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BA277F" w14:textId="2CBEBBB9" w:rsidR="008D7F0A" w:rsidRPr="007B3DCE" w:rsidRDefault="008D7F0A" w:rsidP="00440774">
      <w:pPr>
        <w:pStyle w:val="Heading1-Section-fullpage"/>
        <w:framePr w:wrap="around"/>
        <w:pBdr>
          <w:top w:val="single" w:sz="4" w:space="31" w:color="FFFFFF" w:themeColor="accent6"/>
          <w:left w:val="single" w:sz="4" w:space="26" w:color="FFFFFF" w:themeColor="accent6"/>
          <w:bottom w:val="single" w:sz="4" w:space="26" w:color="FFFFFF" w:themeColor="accent6"/>
          <w:right w:val="single" w:sz="4" w:space="26" w:color="FFFFFF" w:themeColor="accent6"/>
        </w:pBdr>
        <w:shd w:val="clear" w:color="auto" w:fill="FFFFFF" w:themeFill="accent6"/>
      </w:pPr>
    </w:p>
    <w:p w14:paraId="3FBEB827" w14:textId="2C347E27" w:rsidR="00F6462B" w:rsidRDefault="004F3F9B" w:rsidP="00F6462B">
      <w:pPr>
        <w:spacing w:before="0" w:line="259" w:lineRule="auto"/>
      </w:pPr>
      <w:bookmarkStart w:id="0" w:name="_Toc167812504"/>
      <w:bookmarkStart w:id="1" w:name="_Toc167878522"/>
      <w:bookmarkStart w:id="2" w:name="_Toc170466638"/>
      <w:r>
        <w:rPr>
          <w:noProof/>
        </w:rPr>
        <w:drawing>
          <wp:anchor distT="0" distB="0" distL="114300" distR="114300" simplePos="0" relativeHeight="251659284" behindDoc="0" locked="0" layoutInCell="1" allowOverlap="1" wp14:anchorId="19D889E9" wp14:editId="4E8BC942">
            <wp:simplePos x="0" y="0"/>
            <wp:positionH relativeFrom="page">
              <wp:posOffset>0</wp:posOffset>
            </wp:positionH>
            <wp:positionV relativeFrom="page">
              <wp:posOffset>0</wp:posOffset>
            </wp:positionV>
            <wp:extent cx="7549200" cy="10677600"/>
            <wp:effectExtent l="0" t="0" r="0" b="0"/>
            <wp:wrapNone/>
            <wp:docPr id="2011996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9200" cy="1067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A08E8" w14:textId="76B61F4A" w:rsidR="001E76FA" w:rsidRPr="001E76FA" w:rsidRDefault="00FB3A8A" w:rsidP="001E76FA">
      <w:pPr>
        <w:spacing w:before="0" w:line="259" w:lineRule="auto"/>
        <w:rPr>
          <w:rFonts w:asciiTheme="majorHAnsi" w:hAnsiTheme="majorHAnsi"/>
        </w:rPr>
      </w:pPr>
      <w:r>
        <w:rPr>
          <w:rFonts w:asciiTheme="majorHAnsi" w:hAnsiTheme="majorHAnsi"/>
          <w:b/>
          <w:bCs/>
        </w:rPr>
        <w:lastRenderedPageBreak/>
        <w:t xml:space="preserve">The </w:t>
      </w:r>
      <w:r w:rsidR="001E76FA" w:rsidRPr="001E76FA">
        <w:rPr>
          <w:rFonts w:asciiTheme="majorHAnsi" w:hAnsiTheme="majorHAnsi"/>
          <w:b/>
          <w:bCs/>
        </w:rPr>
        <w:t>Productivity Commission</w:t>
      </w:r>
    </w:p>
    <w:p w14:paraId="2DF49FBF" w14:textId="2FAE1B08" w:rsidR="001E76FA" w:rsidRPr="001E76FA" w:rsidRDefault="001E76FA" w:rsidP="00BD3D00">
      <w:pPr>
        <w:pStyle w:val="BodyText"/>
      </w:pPr>
      <w:r w:rsidRPr="001E76FA">
        <w:t>The Productivity Commission is the Australian Government’s independent research and advisory body on a range of economic, social and environmental issues affecting the welfare of Australians. Its role, expressed most simply, is to help governments make better policies, in the long-term interest of the Australian community.</w:t>
      </w:r>
    </w:p>
    <w:p w14:paraId="1CA138B5" w14:textId="77777777" w:rsidR="001E76FA" w:rsidRPr="001E76FA" w:rsidRDefault="001E76FA" w:rsidP="00BD3D00">
      <w:pPr>
        <w:pStyle w:val="BodyText"/>
      </w:pPr>
      <w:r w:rsidRPr="001E76FA">
        <w:t xml:space="preserve">The Commission’s independence is underpinned by an Act of Parliament. Its processes and outputs are open to public scrutiny and are driven by concern for the wellbeing of the community as a whole. </w:t>
      </w:r>
    </w:p>
    <w:p w14:paraId="0EE27DB2" w14:textId="5F9A5B65" w:rsidR="00E947B3" w:rsidRPr="001E76FA" w:rsidRDefault="001E76FA" w:rsidP="00BD3D00">
      <w:pPr>
        <w:pStyle w:val="BodyText"/>
      </w:pPr>
      <w:r w:rsidRPr="001E76FA">
        <w:t>Further information on the Productivity Commission can be obtained from the Commission’s website (</w:t>
      </w:r>
      <w:hyperlink r:id="rId15" w:history="1">
        <w:r w:rsidRPr="001E76FA">
          <w:rPr>
            <w:rStyle w:val="Hyperlink"/>
          </w:rPr>
          <w:t>www.pc.gov.au</w:t>
        </w:r>
      </w:hyperlink>
      <w:r>
        <w:t>)</w:t>
      </w:r>
      <w:r w:rsidRPr="001E76FA">
        <w:t>.</w:t>
      </w:r>
    </w:p>
    <w:p w14:paraId="2C3C378E" w14:textId="292FB36E" w:rsidR="001E76FA" w:rsidRPr="001E76FA" w:rsidRDefault="001E76FA" w:rsidP="001E76FA">
      <w:pPr>
        <w:spacing w:before="0" w:line="259" w:lineRule="auto"/>
      </w:pPr>
      <w:r w:rsidRPr="001E76FA">
        <w:rPr>
          <w:b/>
          <w:bCs/>
        </w:rPr>
        <w:t>© Commonwealth of Australia 202</w:t>
      </w:r>
      <w:r w:rsidR="005C3CCF">
        <w:rPr>
          <w:b/>
          <w:bCs/>
        </w:rPr>
        <w:t>4</w:t>
      </w:r>
    </w:p>
    <w:p w14:paraId="1D2BFF5B" w14:textId="552AA206" w:rsidR="001E76FA" w:rsidRPr="001E76FA" w:rsidRDefault="001E76FA" w:rsidP="001E76FA">
      <w:pPr>
        <w:spacing w:before="0" w:line="259" w:lineRule="auto"/>
      </w:pPr>
      <w:r w:rsidRPr="001E76FA">
        <w:t>With the exception of the Commonwealth Coat of Arms and content supplied by third parties, this copyright work is licensed under a Creative Commons Attribution 4.0 International licence. In essence, you are free to copy, communicate and adapt the work, as long as you attribute the work to the Productivity Commission (but not in any way that suggests the Commission endorses you or your use) and abide by the other licence terms. The licence can be viewed at: https://creativecommons.org/licenses/by/4.0.</w:t>
      </w:r>
    </w:p>
    <w:p w14:paraId="3BF00573" w14:textId="77777777" w:rsidR="001E76FA" w:rsidRPr="001E76FA" w:rsidRDefault="001E76FA" w:rsidP="001E76FA">
      <w:pPr>
        <w:spacing w:before="0" w:line="259" w:lineRule="auto"/>
      </w:pPr>
      <w:r w:rsidRPr="001E76FA">
        <w:t>The terms under which the Coat of Arms can be used are detailed at: www.pmc.gov.au/government/commonwealth-coat-arms.</w:t>
      </w:r>
    </w:p>
    <w:p w14:paraId="020DD9E2" w14:textId="77777777" w:rsidR="001E76FA" w:rsidRPr="001E76FA" w:rsidRDefault="001E76FA" w:rsidP="001E76FA">
      <w:pPr>
        <w:spacing w:before="0" w:line="259" w:lineRule="auto"/>
      </w:pPr>
      <w:r w:rsidRPr="001E76FA">
        <w:t>Wherever a third party holds copyright in this material, the copyright remains with that party. Their permission may be required to use the material, please contact them directly.</w:t>
      </w:r>
    </w:p>
    <w:p w14:paraId="5971783F" w14:textId="0B528D88" w:rsidR="001E76FA" w:rsidRPr="008667CA" w:rsidRDefault="001E76FA" w:rsidP="001E76FA">
      <w:pPr>
        <w:spacing w:before="0" w:line="259" w:lineRule="auto"/>
      </w:pPr>
      <w:r w:rsidRPr="008667CA">
        <w:t xml:space="preserve">ISBN </w:t>
      </w:r>
      <w:r w:rsidR="00D47A22" w:rsidRPr="008667CA">
        <w:t xml:space="preserve">978-1-74037-804-8 </w:t>
      </w:r>
      <w:r w:rsidRPr="008667CA">
        <w:t>(online)</w:t>
      </w:r>
    </w:p>
    <w:p w14:paraId="686C630E" w14:textId="31B9A837" w:rsidR="001E76FA" w:rsidRPr="001E76FA" w:rsidRDefault="001E76FA" w:rsidP="001E76FA">
      <w:pPr>
        <w:spacing w:before="0" w:line="259" w:lineRule="auto"/>
      </w:pPr>
      <w:r w:rsidRPr="008667CA">
        <w:t xml:space="preserve">ISBN </w:t>
      </w:r>
      <w:r w:rsidR="008667CA" w:rsidRPr="008667CA">
        <w:t xml:space="preserve">978-1-74037-803-1 </w:t>
      </w:r>
      <w:r w:rsidRPr="008667CA">
        <w:t>(print)</w:t>
      </w:r>
    </w:p>
    <w:p w14:paraId="2120F385" w14:textId="77777777" w:rsidR="001E76FA" w:rsidRPr="001E76FA" w:rsidRDefault="001E76FA" w:rsidP="001E76FA">
      <w:pPr>
        <w:spacing w:before="0" w:line="259" w:lineRule="auto"/>
        <w:rPr>
          <w:rFonts w:asciiTheme="majorHAnsi" w:hAnsiTheme="majorHAnsi"/>
        </w:rPr>
      </w:pPr>
      <w:r w:rsidRPr="001E76FA">
        <w:rPr>
          <w:rFonts w:asciiTheme="majorHAnsi" w:hAnsiTheme="majorHAnsi"/>
        </w:rPr>
        <w:t>Attribution</w:t>
      </w:r>
    </w:p>
    <w:p w14:paraId="082B0139" w14:textId="53916226" w:rsidR="001E76FA" w:rsidRPr="001E76FA" w:rsidRDefault="001E76FA" w:rsidP="00CD7D3A">
      <w:pPr>
        <w:pStyle w:val="BodyText"/>
      </w:pPr>
      <w:r w:rsidRPr="001E76FA">
        <w:t>This work should be attributed as follows, Source: Productivity Commission</w:t>
      </w:r>
      <w:r w:rsidR="00395077">
        <w:t xml:space="preserve"> 2024</w:t>
      </w:r>
      <w:r w:rsidRPr="001E76FA">
        <w:t xml:space="preserve">, </w:t>
      </w:r>
      <w:r w:rsidRPr="001E76FA">
        <w:rPr>
          <w:i/>
          <w:iCs/>
        </w:rPr>
        <w:t>Closing the Gap Annual Data Compilation Rep</w:t>
      </w:r>
      <w:r w:rsidRPr="003818A2">
        <w:rPr>
          <w:i/>
          <w:iCs/>
        </w:rPr>
        <w:t>ort July 2024</w:t>
      </w:r>
      <w:r w:rsidR="00BA0004">
        <w:rPr>
          <w:i/>
          <w:iCs/>
        </w:rPr>
        <w:t xml:space="preserve">, </w:t>
      </w:r>
      <w:r w:rsidR="00BA0004">
        <w:t>Canberra</w:t>
      </w:r>
    </w:p>
    <w:p w14:paraId="74DA9B41" w14:textId="14BDCF8D" w:rsidR="001E76FA" w:rsidRPr="001A2379" w:rsidRDefault="001E76FA" w:rsidP="00CD7D3A">
      <w:pPr>
        <w:pStyle w:val="BodyText"/>
        <w:rPr>
          <w:spacing w:val="-2"/>
        </w:rPr>
      </w:pPr>
      <w:r w:rsidRPr="001A2379">
        <w:rPr>
          <w:spacing w:val="-2"/>
        </w:rPr>
        <w:t xml:space="preserve">If you have adapted, modified or transformed this work in anyway, please use the following, Source: based on Productivity Commission </w:t>
      </w:r>
      <w:r w:rsidR="00F736F9" w:rsidRPr="001A2379">
        <w:rPr>
          <w:spacing w:val="-2"/>
        </w:rPr>
        <w:t xml:space="preserve">2024 </w:t>
      </w:r>
      <w:r w:rsidRPr="001A2379">
        <w:rPr>
          <w:spacing w:val="-2"/>
        </w:rPr>
        <w:t xml:space="preserve">data, </w:t>
      </w:r>
      <w:r w:rsidRPr="001A2379">
        <w:rPr>
          <w:i/>
          <w:iCs/>
          <w:spacing w:val="-2"/>
        </w:rPr>
        <w:t>Closing the Gap Annual Data Compilation Report July 2024</w:t>
      </w:r>
      <w:r w:rsidR="00BA0004" w:rsidRPr="001A2379">
        <w:rPr>
          <w:spacing w:val="-2"/>
        </w:rPr>
        <w:t>, Canberra</w:t>
      </w:r>
    </w:p>
    <w:p w14:paraId="01830B9F" w14:textId="77777777" w:rsidR="001E76FA" w:rsidRPr="001E76FA" w:rsidRDefault="001E76FA" w:rsidP="001E76FA">
      <w:pPr>
        <w:spacing w:before="0" w:line="259" w:lineRule="auto"/>
      </w:pPr>
      <w:r w:rsidRPr="001E76FA">
        <w:rPr>
          <w:b/>
          <w:bCs/>
        </w:rPr>
        <w:t>Publication enquiries</w:t>
      </w:r>
    </w:p>
    <w:p w14:paraId="11ADFCD0" w14:textId="77777777" w:rsidR="00767B82" w:rsidRDefault="001E76FA" w:rsidP="00CD7D3A">
      <w:pPr>
        <w:pStyle w:val="BodyText"/>
        <w:rPr>
          <w:rStyle w:val="Hyperlink"/>
        </w:rPr>
        <w:sectPr w:rsidR="00767B82" w:rsidSect="00A752A4">
          <w:headerReference w:type="even" r:id="rId16"/>
          <w:headerReference w:type="default" r:id="rId17"/>
          <w:footerReference w:type="even" r:id="rId18"/>
          <w:footerReference w:type="default" r:id="rId19"/>
          <w:pgSz w:w="11906" w:h="16838" w:code="9"/>
          <w:pgMar w:top="1134" w:right="1134" w:bottom="1134" w:left="1134" w:header="794" w:footer="510" w:gutter="0"/>
          <w:pgNumType w:fmt="lowerRoman" w:start="1"/>
          <w:cols w:space="708"/>
          <w:docGrid w:linePitch="360"/>
        </w:sectPr>
      </w:pPr>
      <w:r w:rsidRPr="007D21E8">
        <w:t xml:space="preserve">Phone: (03) 9653 2244 Email: </w:t>
      </w:r>
      <w:hyperlink r:id="rId20" w:history="1">
        <w:r w:rsidR="00BB0489" w:rsidRPr="0001456C">
          <w:rPr>
            <w:rStyle w:val="Hyperlink"/>
          </w:rPr>
          <w:t>publications@pc.gov.au</w:t>
        </w:r>
      </w:hyperlink>
    </w:p>
    <w:p w14:paraId="0D4550B4" w14:textId="45F7AB09" w:rsidR="00154872" w:rsidRPr="00381F16" w:rsidRDefault="00154872" w:rsidP="00381F16">
      <w:pPr>
        <w:pStyle w:val="Heading1-nobackground"/>
        <w:spacing w:before="0" w:after="240"/>
        <w:rPr>
          <w:color w:val="775538"/>
        </w:rPr>
      </w:pPr>
      <w:r w:rsidRPr="00381F16">
        <w:rPr>
          <w:color w:val="775538"/>
        </w:rPr>
        <w:lastRenderedPageBreak/>
        <w:t>Acknowledgment</w:t>
      </w:r>
      <w:r w:rsidR="00475B7E">
        <w:rPr>
          <w:color w:val="775538"/>
        </w:rPr>
        <w:t>s</w:t>
      </w:r>
    </w:p>
    <w:p w14:paraId="04A0F85B" w14:textId="0E553060" w:rsidR="000A07B3" w:rsidRPr="00154872" w:rsidRDefault="00767B82" w:rsidP="00767B82">
      <w:pPr>
        <w:spacing w:before="0" w:line="259" w:lineRule="auto"/>
        <w:rPr>
          <w:rFonts w:cstheme="minorHAnsi"/>
          <w:b/>
          <w:color w:val="3A6E77" w:themeColor="accent1"/>
        </w:rPr>
      </w:pPr>
      <w:r w:rsidRPr="00154872">
        <w:rPr>
          <w:rFonts w:cstheme="minorHAnsi"/>
          <w:b/>
          <w:color w:val="3A6E77" w:themeColor="accent1"/>
        </w:rPr>
        <w:t>T</w:t>
      </w:r>
      <w:r w:rsidR="000A07B3" w:rsidRPr="00154872">
        <w:rPr>
          <w:rFonts w:cstheme="minorHAnsi"/>
          <w:b/>
          <w:color w:val="3A6E77" w:themeColor="accent1"/>
        </w:rPr>
        <w:t>he Productivity Commission acknowledges that Aboriginal and Torres Strait Islander people are the first storytellers of this land and Traditional Owners of Country on which we now live and work. We recognise their continuing connection to lands, waters, communities and cultures. We pay our respects to Aboriginal and Torres Strait Islander cultures, and to Elders past and present.</w:t>
      </w:r>
    </w:p>
    <w:p w14:paraId="7CE7C371" w14:textId="0E1A8AD3" w:rsidR="00D239BB" w:rsidRPr="00154872" w:rsidRDefault="00D239BB" w:rsidP="00154872">
      <w:pPr>
        <w:spacing w:before="0" w:line="259" w:lineRule="auto"/>
        <w:rPr>
          <w:rFonts w:cstheme="minorHAnsi"/>
        </w:rPr>
      </w:pPr>
      <w:r w:rsidRPr="00154872">
        <w:rPr>
          <w:rFonts w:cstheme="minorHAnsi"/>
        </w:rPr>
        <w:t xml:space="preserve">Aboriginal and Torres Strait Islander people should be aware that this report may contain the names of people who have since passed away. </w:t>
      </w:r>
      <w:r w:rsidR="00154872" w:rsidRPr="00154872">
        <w:rPr>
          <w:rFonts w:cstheme="minorHAnsi"/>
          <w:bCs/>
        </w:rPr>
        <w:t xml:space="preserve"> </w:t>
      </w:r>
    </w:p>
    <w:p w14:paraId="663F0606" w14:textId="77777777" w:rsidR="00D239BB" w:rsidRPr="00154872" w:rsidRDefault="00D239BB" w:rsidP="00154872">
      <w:pPr>
        <w:spacing w:before="0" w:line="259" w:lineRule="auto"/>
        <w:rPr>
          <w:rFonts w:cstheme="minorHAnsi"/>
        </w:rPr>
      </w:pPr>
      <w:r w:rsidRPr="00154872">
        <w:rPr>
          <w:rFonts w:cstheme="minorHAnsi"/>
        </w:rPr>
        <w:t>The Productivity Commission thanks the Partnership Working Group along with members of the community, organisations and government agencies who have provided data and other information for use in this report.</w:t>
      </w:r>
    </w:p>
    <w:p w14:paraId="0A6BB3E8" w14:textId="4510214D" w:rsidR="00275BEA" w:rsidRPr="00381F16" w:rsidRDefault="00275BEA" w:rsidP="00275BEA">
      <w:pPr>
        <w:pStyle w:val="Heading1-nobackground"/>
        <w:spacing w:after="240"/>
        <w:rPr>
          <w:rFonts w:ascii="Arial (Body)" w:eastAsia="Arial" w:hAnsi="Arial (Body)" w:cs="Arial"/>
          <w:color w:val="775538"/>
          <w:u w:val="single"/>
        </w:rPr>
      </w:pPr>
      <w:r w:rsidRPr="00381F16">
        <w:rPr>
          <w:color w:val="775538"/>
        </w:rPr>
        <w:t xml:space="preserve">Content </w:t>
      </w:r>
      <w:r w:rsidR="00DB37F2">
        <w:rPr>
          <w:color w:val="775538"/>
        </w:rPr>
        <w:t>W</w:t>
      </w:r>
      <w:r w:rsidRPr="00381F16">
        <w:rPr>
          <w:color w:val="775538"/>
        </w:rPr>
        <w:t>arning</w:t>
      </w:r>
    </w:p>
    <w:p w14:paraId="60E16FFF" w14:textId="77777777" w:rsidR="00275BEA" w:rsidRPr="00154872" w:rsidRDefault="00275BEA" w:rsidP="00275BEA">
      <w:pPr>
        <w:pStyle w:val="BodyText"/>
        <w:rPr>
          <w:b/>
          <w:color w:val="3A6E77" w:themeColor="accent1"/>
        </w:rPr>
      </w:pPr>
      <w:r w:rsidRPr="00154872">
        <w:rPr>
          <w:b/>
          <w:color w:val="3A6E77" w:themeColor="accent1"/>
        </w:rPr>
        <w:t>This report contains material that can be confronting and disturbing. Sometimes information (words and data) can cause sadness or distress, or traumatic memories for people. For some people, these responses can be overwhelming. Support is available if you need to talk to someone.</w:t>
      </w:r>
    </w:p>
    <w:p w14:paraId="439263A0" w14:textId="77777777" w:rsidR="00275BEA" w:rsidRPr="00BB0489" w:rsidRDefault="00275BEA" w:rsidP="00275BEA">
      <w:pPr>
        <w:pStyle w:val="BodyText"/>
        <w:rPr>
          <w:b/>
        </w:rPr>
      </w:pPr>
      <w:r w:rsidRPr="00BB0489">
        <w:rPr>
          <w:b/>
        </w:rPr>
        <w:t>The following services are available 24 hours a day:</w:t>
      </w:r>
    </w:p>
    <w:p w14:paraId="6204D0BB" w14:textId="77777777" w:rsidR="00275BEA" w:rsidRPr="00034480" w:rsidRDefault="00275BEA" w:rsidP="00275BEA">
      <w:pPr>
        <w:pStyle w:val="BodyText"/>
      </w:pPr>
      <w:r w:rsidRPr="00034480">
        <w:t>13YARN: 13 92 76</w:t>
      </w:r>
    </w:p>
    <w:p w14:paraId="6DC88D71" w14:textId="77777777" w:rsidR="00275BEA" w:rsidRPr="00034480" w:rsidRDefault="00275BEA" w:rsidP="00275BEA">
      <w:pPr>
        <w:pStyle w:val="BodyText"/>
      </w:pPr>
      <w:r w:rsidRPr="00034480">
        <w:t>Beyond Blue: 1300 224 636</w:t>
      </w:r>
    </w:p>
    <w:p w14:paraId="41E71D64" w14:textId="77777777" w:rsidR="00275BEA" w:rsidRPr="00034480" w:rsidRDefault="00275BEA" w:rsidP="00275BEA">
      <w:pPr>
        <w:pStyle w:val="BodyText"/>
      </w:pPr>
      <w:r w:rsidRPr="00034480">
        <w:t>1800RESPECT: 1800 737 732</w:t>
      </w:r>
    </w:p>
    <w:p w14:paraId="5A5F4A30" w14:textId="77777777" w:rsidR="00275BEA" w:rsidRPr="00034480" w:rsidRDefault="00275BEA" w:rsidP="00275BEA">
      <w:pPr>
        <w:pStyle w:val="BodyText"/>
      </w:pPr>
      <w:r w:rsidRPr="00034480">
        <w:t>MensLine Australia: 1300 789 978</w:t>
      </w:r>
    </w:p>
    <w:p w14:paraId="14ADEA82" w14:textId="77777777" w:rsidR="00275BEA" w:rsidRPr="00034480" w:rsidRDefault="00275BEA" w:rsidP="00275BEA">
      <w:pPr>
        <w:pStyle w:val="BodyText"/>
      </w:pPr>
      <w:r w:rsidRPr="00034480">
        <w:t>Lifeline: 13 11 14</w:t>
      </w:r>
    </w:p>
    <w:p w14:paraId="6F0A333F" w14:textId="77777777" w:rsidR="00275BEA" w:rsidRPr="00034480" w:rsidRDefault="00275BEA" w:rsidP="00275BEA">
      <w:pPr>
        <w:pStyle w:val="BodyText"/>
      </w:pPr>
      <w:r w:rsidRPr="00034480">
        <w:t>Suicide Call Back Service: 1300 659 467</w:t>
      </w:r>
    </w:p>
    <w:p w14:paraId="5A5776F9" w14:textId="07C903B1" w:rsidR="007C6619" w:rsidRDefault="00DD337B">
      <w:pPr>
        <w:spacing w:before="0" w:after="160" w:line="259" w:lineRule="auto"/>
        <w:rPr>
          <w:rFonts w:asciiTheme="majorHAnsi" w:hAnsiTheme="majorHAnsi"/>
          <w:color w:val="775538" w:themeColor="background1"/>
          <w:sz w:val="42"/>
        </w:rPr>
      </w:pPr>
      <w:r w:rsidRPr="007B3DCE">
        <w:rPr>
          <w:rFonts w:ascii="Arial" w:eastAsia="Arial" w:hAnsi="Arial" w:cs="Times New Roman"/>
          <w:noProof/>
          <w:kern w:val="2"/>
          <w:sz w:val="22"/>
          <w:szCs w:val="22"/>
          <w14:ligatures w14:val="standardContextual"/>
        </w:rPr>
        <w:drawing>
          <wp:anchor distT="0" distB="0" distL="114300" distR="114300" simplePos="0" relativeHeight="251658241" behindDoc="1" locked="1" layoutInCell="1" allowOverlap="1" wp14:anchorId="0C7E142D" wp14:editId="3682EF20">
            <wp:simplePos x="0" y="0"/>
            <wp:positionH relativeFrom="margin">
              <wp:align>center</wp:align>
            </wp:positionH>
            <wp:positionV relativeFrom="page">
              <wp:posOffset>7936865</wp:posOffset>
            </wp:positionV>
            <wp:extent cx="5730875" cy="3243580"/>
            <wp:effectExtent l="0" t="0" r="3175" b="0"/>
            <wp:wrapNone/>
            <wp:docPr id="22913882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38829"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b="43401"/>
                    <a:stretch/>
                  </pic:blipFill>
                  <pic:spPr bwMode="auto">
                    <a:xfrm>
                      <a:off x="0" y="0"/>
                      <a:ext cx="5730875" cy="324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619">
        <w:br w:type="page"/>
      </w:r>
    </w:p>
    <w:p w14:paraId="38DE96A1" w14:textId="01D16D37" w:rsidR="00EF62BB" w:rsidRPr="00E2303F" w:rsidRDefault="00F6462B" w:rsidP="00F10035">
      <w:pPr>
        <w:pStyle w:val="Heading1-nonumber"/>
        <w:pBdr>
          <w:top w:val="none" w:sz="0" w:space="0" w:color="auto"/>
          <w:left w:val="none" w:sz="0" w:space="0" w:color="auto"/>
          <w:bottom w:val="none" w:sz="0" w:space="0" w:color="auto"/>
          <w:right w:val="none" w:sz="0" w:space="0" w:color="auto"/>
        </w:pBdr>
        <w:shd w:val="clear" w:color="auto" w:fill="auto"/>
        <w:spacing w:before="0" w:after="240"/>
        <w:ind w:left="0"/>
        <w:rPr>
          <w:rFonts w:asciiTheme="minorHAnsi" w:hAnsiTheme="minorHAnsi" w:cstheme="minorHAnsi"/>
          <w:color w:val="775538"/>
        </w:rPr>
      </w:pPr>
      <w:r w:rsidRPr="00E2303F">
        <w:rPr>
          <w:color w:val="775538"/>
        </w:rPr>
        <w:lastRenderedPageBreak/>
        <w:t>About the Artwork</w:t>
      </w:r>
      <w:r w:rsidR="00BD360C" w:rsidRPr="00E2303F">
        <w:rPr>
          <w:color w:val="775538"/>
        </w:rPr>
        <w:t xml:space="preserve"> </w:t>
      </w:r>
      <w:r w:rsidR="00133710" w:rsidRPr="00E2303F">
        <w:rPr>
          <w:color w:val="775538"/>
        </w:rPr>
        <w:t>–</w:t>
      </w:r>
      <w:r w:rsidR="00BD360C" w:rsidRPr="00E2303F">
        <w:rPr>
          <w:color w:val="775538"/>
        </w:rPr>
        <w:t xml:space="preserve"> </w:t>
      </w:r>
      <w:r w:rsidR="00133710" w:rsidRPr="00E2303F">
        <w:rPr>
          <w:rFonts w:asciiTheme="minorHAnsi" w:hAnsiTheme="minorHAnsi" w:cstheme="minorHAnsi"/>
          <w:color w:val="775538"/>
        </w:rPr>
        <w:t>‘</w:t>
      </w:r>
      <w:r w:rsidR="00BD360C" w:rsidRPr="00E2303F">
        <w:rPr>
          <w:rFonts w:asciiTheme="minorHAnsi" w:hAnsiTheme="minorHAnsi" w:cstheme="minorHAnsi"/>
          <w:color w:val="775538"/>
        </w:rPr>
        <w:t>Pathways of Progress: A Journey Towards Closing the Gap</w:t>
      </w:r>
      <w:r w:rsidR="00AD4EC6" w:rsidRPr="00E2303F">
        <w:rPr>
          <w:rFonts w:asciiTheme="minorHAnsi" w:hAnsiTheme="minorHAnsi" w:cstheme="minorHAnsi"/>
          <w:color w:val="775538"/>
        </w:rPr>
        <w:t>’</w:t>
      </w:r>
    </w:p>
    <w:p w14:paraId="566D70D8" w14:textId="2B8BE91A" w:rsidR="00875ED9" w:rsidRPr="00123FDA" w:rsidRDefault="00EF62BB" w:rsidP="00B851B1">
      <w:pPr>
        <w:pStyle w:val="BodyText"/>
        <w:rPr>
          <w:spacing w:val="2"/>
        </w:rPr>
      </w:pPr>
      <w:r w:rsidRPr="00123FDA">
        <w:rPr>
          <w:spacing w:val="2"/>
        </w:rPr>
        <w:t>In the timeless expanse of creation, the Productivity Commission embarked on a sacred journey, painting the story of progress across three artworks that echoed with the rhythms of the land and water, resonating with the heartbeat of the people.</w:t>
      </w:r>
    </w:p>
    <w:p w14:paraId="3B47DE3F" w14:textId="24F78553" w:rsidR="00875ED9" w:rsidRPr="00123FDA" w:rsidRDefault="00EF62BB" w:rsidP="00B851B1">
      <w:pPr>
        <w:pStyle w:val="BodyText"/>
        <w:rPr>
          <w:spacing w:val="2"/>
        </w:rPr>
      </w:pPr>
      <w:r w:rsidRPr="00123FDA">
        <w:rPr>
          <w:spacing w:val="2"/>
        </w:rPr>
        <w:t xml:space="preserve">Upon the first artwork, hand prints adorned the beginning, symbols of care and connection, intertwined with the essence of </w:t>
      </w:r>
      <w:r w:rsidR="00E24058">
        <w:rPr>
          <w:spacing w:val="2"/>
        </w:rPr>
        <w:t>T</w:t>
      </w:r>
      <w:r w:rsidRPr="00123FDA">
        <w:rPr>
          <w:spacing w:val="2"/>
        </w:rPr>
        <w:t xml:space="preserve">arget 1 – </w:t>
      </w:r>
      <w:r w:rsidR="00F10035" w:rsidRPr="00123FDA">
        <w:rPr>
          <w:spacing w:val="2"/>
        </w:rPr>
        <w:t>L</w:t>
      </w:r>
      <w:r w:rsidRPr="00123FDA">
        <w:rPr>
          <w:spacing w:val="2"/>
        </w:rPr>
        <w:t xml:space="preserve">ife expectancy. Footprints traced the paths of ancestors, guiding the way forward. Leaves danced in the breeze, whispering tales of ancient ties to country. The boomerang, a symbol of gathering the essence of information. </w:t>
      </w:r>
    </w:p>
    <w:p w14:paraId="38B37147" w14:textId="77777777" w:rsidR="00875ED9" w:rsidRPr="00654F81" w:rsidRDefault="00EF62BB" w:rsidP="00B851B1">
      <w:pPr>
        <w:pStyle w:val="BodyText"/>
        <w:rPr>
          <w:spacing w:val="-4"/>
        </w:rPr>
      </w:pPr>
      <w:r w:rsidRPr="00654F81">
        <w:rPr>
          <w:spacing w:val="-4"/>
        </w:rPr>
        <w:t>Throughout the artworks, dots of blue and orange shimmered, reflecting the land and water that sustains us. People symbols strode forward, their presence a testament to collective effort. Each symbol etched with stories of community, bridging the gap between past and present. Within, a sacred ring forms across each artwork, coloured orange and brown, heralding the Annual Data Compilation. Animal tracks of knowledge are placed representing the tracking of information and moving forward, guiding the way. And high above all, unity unfolded.</w:t>
      </w:r>
    </w:p>
    <w:p w14:paraId="14F59D24" w14:textId="5CD41847" w:rsidR="00BC00C5" w:rsidRDefault="00E938BD" w:rsidP="00B851B1">
      <w:pPr>
        <w:pStyle w:val="BodyText"/>
        <w:rPr>
          <w:rFonts w:asciiTheme="majorHAnsi" w:hAnsiTheme="majorHAnsi"/>
          <w:b/>
          <w:color w:val="775538" w:themeColor="background1"/>
          <w:spacing w:val="-2"/>
          <w:sz w:val="28"/>
          <w:szCs w:val="28"/>
        </w:rPr>
      </w:pPr>
      <w:r w:rsidRPr="00A02127">
        <w:rPr>
          <w:noProof/>
          <w:spacing w:val="-2"/>
        </w:rPr>
        <w:drawing>
          <wp:anchor distT="0" distB="0" distL="114300" distR="114300" simplePos="0" relativeHeight="251658242" behindDoc="1" locked="0" layoutInCell="1" allowOverlap="1" wp14:anchorId="2E2F9DD8" wp14:editId="26942DF9">
            <wp:simplePos x="0" y="0"/>
            <wp:positionH relativeFrom="margin">
              <wp:posOffset>2239097</wp:posOffset>
            </wp:positionH>
            <wp:positionV relativeFrom="paragraph">
              <wp:posOffset>1282700</wp:posOffset>
            </wp:positionV>
            <wp:extent cx="1616075" cy="2339975"/>
            <wp:effectExtent l="0" t="0" r="3175" b="3175"/>
            <wp:wrapTopAndBottom/>
            <wp:docPr id="1915319831" name="Picture 19" descr="The second artwork in a series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19831" name="Picture 19" descr="The second artwork in a series of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6075"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59C5" w:rsidRPr="00A02127">
        <w:rPr>
          <w:noProof/>
          <w:spacing w:val="-2"/>
        </w:rPr>
        <w:drawing>
          <wp:anchor distT="0" distB="0" distL="114300" distR="114300" simplePos="0" relativeHeight="251658243" behindDoc="1" locked="0" layoutInCell="1" allowOverlap="1" wp14:anchorId="70F89B89" wp14:editId="5A9F90CD">
            <wp:simplePos x="0" y="0"/>
            <wp:positionH relativeFrom="margin">
              <wp:align>right</wp:align>
            </wp:positionH>
            <wp:positionV relativeFrom="paragraph">
              <wp:posOffset>1281527</wp:posOffset>
            </wp:positionV>
            <wp:extent cx="1656272" cy="2343325"/>
            <wp:effectExtent l="0" t="0" r="1270" b="0"/>
            <wp:wrapTopAndBottom/>
            <wp:docPr id="2067078005" name="Picture 20" descr="The third artwork in a series of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78005" name="Picture 20" descr="The third artwork in a series of thre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56272" cy="234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715B2" w:rsidRPr="00A02127">
        <w:rPr>
          <w:noProof/>
          <w:spacing w:val="-2"/>
        </w:rPr>
        <w:drawing>
          <wp:anchor distT="0" distB="0" distL="114300" distR="114300" simplePos="0" relativeHeight="251658244" behindDoc="1" locked="0" layoutInCell="1" allowOverlap="1" wp14:anchorId="5285425A" wp14:editId="0BD7F915">
            <wp:simplePos x="0" y="0"/>
            <wp:positionH relativeFrom="margin">
              <wp:align>left</wp:align>
            </wp:positionH>
            <wp:positionV relativeFrom="paragraph">
              <wp:posOffset>1280639</wp:posOffset>
            </wp:positionV>
            <wp:extent cx="1657168" cy="2344221"/>
            <wp:effectExtent l="0" t="0" r="635" b="0"/>
            <wp:wrapTopAndBottom/>
            <wp:docPr id="295271821" name="Picture 18" descr="A picture of the first artwork in a series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71821" name="Picture 18" descr="A picture of the first artwork in a series of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57168" cy="2344221"/>
                    </a:xfrm>
                    <a:prstGeom prst="rect">
                      <a:avLst/>
                    </a:prstGeom>
                    <a:noFill/>
                    <a:ln>
                      <a:noFill/>
                    </a:ln>
                  </pic:spPr>
                </pic:pic>
              </a:graphicData>
            </a:graphic>
            <wp14:sizeRelH relativeFrom="page">
              <wp14:pctWidth>0</wp14:pctWidth>
            </wp14:sizeRelH>
            <wp14:sizeRelV relativeFrom="page">
              <wp14:pctHeight>0</wp14:pctHeight>
            </wp14:sizeRelV>
          </wp:anchor>
        </w:drawing>
      </w:r>
      <w:r w:rsidR="00EF62BB" w:rsidRPr="00A02127">
        <w:rPr>
          <w:spacing w:val="-2"/>
        </w:rPr>
        <w:t xml:space="preserve">The top of the artwork portrayed Aboriginal and Torres Strait Islander people and government, connecting in partnership, minds united in purpose. </w:t>
      </w:r>
      <w:r w:rsidR="00F10035" w:rsidRPr="00A02127">
        <w:rPr>
          <w:spacing w:val="-2"/>
        </w:rPr>
        <w:t xml:space="preserve"> </w:t>
      </w:r>
      <w:r w:rsidR="00EF62BB" w:rsidRPr="00A02127">
        <w:rPr>
          <w:spacing w:val="-2"/>
        </w:rPr>
        <w:t>As the journey unfolded across the remaining artworks, each milestone is marked with reverence. Through strokes of artistry, the Productivity Commission’s journey becomes a testament to resilience, to unity, to the enduring spirit of the land and its people. And in the end, it is not just a report, but a legacy—a testament to the power of collaboration, of understanding, and of hope. The colours used throughout the artwork were chosen to represent Aboriginal and Torres Strait Islander people.</w:t>
      </w:r>
      <w:r w:rsidR="00F10035" w:rsidRPr="00A02127">
        <w:rPr>
          <w:rFonts w:asciiTheme="majorHAnsi" w:hAnsiTheme="majorHAnsi"/>
          <w:b/>
          <w:color w:val="775538" w:themeColor="background1"/>
          <w:spacing w:val="-2"/>
          <w:sz w:val="28"/>
          <w:szCs w:val="28"/>
        </w:rPr>
        <w:t xml:space="preserve"> </w:t>
      </w:r>
    </w:p>
    <w:p w14:paraId="00874DFA" w14:textId="77777777" w:rsidR="00C36131" w:rsidRDefault="00C36131">
      <w:pPr>
        <w:spacing w:before="0" w:after="160" w:line="259" w:lineRule="auto"/>
        <w:rPr>
          <w:rFonts w:asciiTheme="majorHAnsi" w:hAnsiTheme="majorHAnsi"/>
          <w:b/>
          <w:color w:val="775538" w:themeColor="background1"/>
          <w:spacing w:val="-2"/>
          <w:sz w:val="28"/>
          <w:szCs w:val="28"/>
        </w:rPr>
      </w:pPr>
      <w:r>
        <w:rPr>
          <w:rFonts w:asciiTheme="majorHAnsi" w:hAnsiTheme="majorHAnsi"/>
          <w:b/>
          <w:color w:val="775538" w:themeColor="background1"/>
          <w:spacing w:val="-2"/>
          <w:sz w:val="28"/>
          <w:szCs w:val="28"/>
        </w:rPr>
        <w:br w:type="page"/>
      </w:r>
    </w:p>
    <w:p w14:paraId="46519FC6" w14:textId="34E37469" w:rsidR="00F10035" w:rsidRPr="00E2303F" w:rsidRDefault="00F10035" w:rsidP="00610F37">
      <w:pPr>
        <w:pStyle w:val="Heading1-nobackground"/>
        <w:spacing w:before="480" w:after="240"/>
        <w:rPr>
          <w:rStyle w:val="Heading1-nonumberChar"/>
          <w:color w:val="775538"/>
        </w:rPr>
      </w:pPr>
      <w:r w:rsidRPr="00E2303F">
        <w:rPr>
          <w:color w:val="775538"/>
        </w:rPr>
        <w:lastRenderedPageBreak/>
        <w:t>About the Artist</w:t>
      </w:r>
    </w:p>
    <w:p w14:paraId="28D7D08C" w14:textId="28550DA5" w:rsidR="008A564C" w:rsidRPr="00123FDA" w:rsidRDefault="00C36131" w:rsidP="00B851B1">
      <w:pPr>
        <w:pStyle w:val="BodyText"/>
        <w:spacing w:before="100" w:after="100"/>
        <w:rPr>
          <w:spacing w:val="2"/>
        </w:rPr>
      </w:pPr>
      <w:r w:rsidRPr="00A02127">
        <w:rPr>
          <w:noProof/>
          <w:spacing w:val="-2"/>
        </w:rPr>
        <w:drawing>
          <wp:anchor distT="0" distB="0" distL="114300" distR="114300" simplePos="0" relativeHeight="251658245" behindDoc="1" locked="0" layoutInCell="1" allowOverlap="1" wp14:anchorId="00DEA11F" wp14:editId="78E52011">
            <wp:simplePos x="0" y="0"/>
            <wp:positionH relativeFrom="margin">
              <wp:align>right</wp:align>
            </wp:positionH>
            <wp:positionV relativeFrom="paragraph">
              <wp:posOffset>29210</wp:posOffset>
            </wp:positionV>
            <wp:extent cx="2583180" cy="3346450"/>
            <wp:effectExtent l="0" t="0" r="7620" b="6350"/>
            <wp:wrapTight wrapText="bothSides">
              <wp:wrapPolygon edited="0">
                <wp:start x="0" y="0"/>
                <wp:lineTo x="0" y="21518"/>
                <wp:lineTo x="21504" y="21518"/>
                <wp:lineTo x="21504" y="0"/>
                <wp:lineTo x="0" y="0"/>
              </wp:wrapPolygon>
            </wp:wrapTight>
            <wp:docPr id="955023910" name="Picture 16" descr="A picture of the artist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23910" name="Picture 16" descr="A picture of the artist Lani Balzan"/>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399" r="6828"/>
                    <a:stretch/>
                  </pic:blipFill>
                  <pic:spPr bwMode="auto">
                    <a:xfrm>
                      <a:off x="0" y="0"/>
                      <a:ext cx="2583180" cy="334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0035" w:rsidRPr="00123FDA">
        <w:rPr>
          <w:spacing w:val="2"/>
        </w:rPr>
        <w:t xml:space="preserve">Lani Balzan is an Aboriginal artist and graphic designer specialising in designing Indigenous canvas art, graphic design, logo design, Reconciliation Action Plan design and document design. </w:t>
      </w:r>
    </w:p>
    <w:p w14:paraId="7DDEA3EC" w14:textId="51495E35" w:rsidR="00EB31BA" w:rsidRDefault="00F10035" w:rsidP="00C36131">
      <w:pPr>
        <w:pStyle w:val="BodyText"/>
        <w:spacing w:before="100" w:after="100"/>
        <w:rPr>
          <w:spacing w:val="2"/>
        </w:rPr>
      </w:pPr>
      <w:r w:rsidRPr="00123FDA">
        <w:rPr>
          <w:spacing w:val="2"/>
        </w:rPr>
        <w:t xml:space="preserve">Lani is a proud Aboriginal woman from the Wiradjuri people of the three-river tribe. Her family originates from Mudgee but she grew up all over Australia and lived in many different towns starting her business in the Illawarra NSW and recently relocating to Mid-North Queensland. </w:t>
      </w:r>
    </w:p>
    <w:p w14:paraId="53BC15DC" w14:textId="72A15C36" w:rsidR="00875ED9" w:rsidRPr="00123FDA" w:rsidRDefault="00F10035" w:rsidP="00B851B1">
      <w:pPr>
        <w:pStyle w:val="BodyText"/>
        <w:spacing w:before="100" w:after="100"/>
        <w:rPr>
          <w:spacing w:val="2"/>
        </w:rPr>
      </w:pPr>
      <w:r w:rsidRPr="00123FDA">
        <w:rPr>
          <w:spacing w:val="2"/>
        </w:rPr>
        <w:t>In 2016 Lani was announced as the 2016 NAIDOC Poster Competition winner with her artwork “Songlines”. This poster was used as the 2016 NAIDOC theme across the country. Lani has been creating art Aboriginal art since 2013 and has continued success across the country.</w:t>
      </w:r>
    </w:p>
    <w:p w14:paraId="5FA162F8" w14:textId="77777777" w:rsidR="0013027B" w:rsidRDefault="00F10035" w:rsidP="00B851B1">
      <w:pPr>
        <w:pStyle w:val="BodyText"/>
        <w:rPr>
          <w:spacing w:val="2"/>
        </w:rPr>
      </w:pPr>
      <w:r w:rsidRPr="00123FDA">
        <w:rPr>
          <w:spacing w:val="2"/>
        </w:rPr>
        <w:t>One of her biggest goals and inspirations with creating Aboriginal art is to develop a better connection to her culture and to continue to work towards reconciliation; bringing people and communities together to learn about the amazing culture we have here in Australia.</w:t>
      </w:r>
    </w:p>
    <w:p w14:paraId="72E3C7C0" w14:textId="12462BF6" w:rsidR="00572F42" w:rsidRPr="00BE34A9" w:rsidRDefault="003859C5" w:rsidP="00BE34A9">
      <w:pPr>
        <w:pStyle w:val="Heading1-nobackground"/>
        <w:rPr>
          <w:color w:val="775538"/>
        </w:rPr>
      </w:pPr>
      <w:r>
        <w:rPr>
          <w:noProof/>
        </w:rPr>
        <w:drawing>
          <wp:anchor distT="0" distB="0" distL="114300" distR="114300" simplePos="0" relativeHeight="251658246" behindDoc="0" locked="0" layoutInCell="1" allowOverlap="1" wp14:anchorId="2E6D4B5A" wp14:editId="2C858D45">
            <wp:simplePos x="0" y="0"/>
            <wp:positionH relativeFrom="margin">
              <wp:posOffset>-1775544</wp:posOffset>
            </wp:positionH>
            <wp:positionV relativeFrom="paragraph">
              <wp:posOffset>11645</wp:posOffset>
            </wp:positionV>
            <wp:extent cx="15977926" cy="5596759"/>
            <wp:effectExtent l="0" t="0" r="0" b="0"/>
            <wp:wrapNone/>
            <wp:docPr id="107899668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96687" name="Picture 3">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77926" cy="5596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866" w:rsidRPr="007B3DCE">
        <w:br w:type="page"/>
      </w:r>
      <w:r w:rsidR="009669A7" w:rsidRPr="00E2303F">
        <w:rPr>
          <w:color w:val="775538"/>
        </w:rPr>
        <w:lastRenderedPageBreak/>
        <w:t>Forew</w:t>
      </w:r>
      <w:r w:rsidR="00257064" w:rsidRPr="00E2303F">
        <w:rPr>
          <w:color w:val="775538"/>
        </w:rPr>
        <w:t>o</w:t>
      </w:r>
      <w:r w:rsidR="009669A7" w:rsidRPr="00E2303F">
        <w:rPr>
          <w:color w:val="775538"/>
        </w:rPr>
        <w:t>rd</w:t>
      </w:r>
    </w:p>
    <w:p w14:paraId="14E358D4" w14:textId="4E76571B" w:rsidR="00572F42" w:rsidRDefault="00572F42" w:rsidP="00572F42">
      <w:pPr>
        <w:pStyle w:val="BodyText"/>
      </w:pPr>
      <w:r>
        <w:t xml:space="preserve">By taking an interest in this report, you are contributing to holding all governments accountable for addressing the inequality experienced by Aboriginal and Torres Strait Islander people, as committed to in the National Agreement on Closing the Gap. This Annual Data Compilation Report monitors progress toward socio-economic outcomes outlined in that Agreement. </w:t>
      </w:r>
    </w:p>
    <w:p w14:paraId="70D36699" w14:textId="39D458A8" w:rsidR="00572F42" w:rsidRDefault="00572F42" w:rsidP="00572F42">
      <w:pPr>
        <w:pStyle w:val="BodyText"/>
      </w:pPr>
      <w:r>
        <w:t xml:space="preserve">This report looks different from our previous </w:t>
      </w:r>
      <w:r w:rsidR="00B4375E">
        <w:t>r</w:t>
      </w:r>
      <w:r w:rsidR="00081A78">
        <w:t>eports.</w:t>
      </w:r>
      <w:r>
        <w:t xml:space="preserve"> This year’s report acknowledges that national targets should not be viewed in isolation and data alone is insufficient to fully grasp the diverse lived experiences of Aboriginal and Torres Strait Islander people. For the first time, the socio-economic outcomes are reported thematically and the findings are contextualised. The report celebrates the enduring strength and resilience of Aboriginal and Torres Strait Islander people in sustaining the world’s oldest living cultures while acknowledging the lasting impacts of colonisation and subsequent government policies</w:t>
      </w:r>
      <w:r w:rsidR="004401A6">
        <w:t>.</w:t>
      </w:r>
      <w:r w:rsidR="00081A78">
        <w:t xml:space="preserve"> </w:t>
      </w:r>
    </w:p>
    <w:p w14:paraId="4B105F89" w14:textId="576098F9" w:rsidR="00081A78" w:rsidRDefault="00081A78" w:rsidP="00081A78">
      <w:pPr>
        <w:pStyle w:val="BodyText"/>
      </w:pPr>
      <w:r>
        <w:t>We have assessed 15 out of the 19 socio-economic targets, which includes new data for nine targets since last year. Some targets are on track to be achieved, such as healthy birthweight, pre-school enrolment, and land and sea subject to Indigenous rights. However, outcomes are worsening in four areas: children removed into out-of</w:t>
      </w:r>
      <w:r w:rsidR="00ED6C54">
        <w:t>-</w:t>
      </w:r>
      <w:r>
        <w:t xml:space="preserve">home care by child protection systems, the proportion of children who are developmentally on track, the rate of people taking their own lives and the number of adults imprisoned. And while five outcomes have improved since measured at the commencement of the Agreement, they are not on track to be met. This includes life expectancy of Aboriginal and Torres Strait Islander people. </w:t>
      </w:r>
    </w:p>
    <w:p w14:paraId="4E2DF4B8" w14:textId="77777777" w:rsidR="00081A78" w:rsidRDefault="00081A78" w:rsidP="00081A78">
      <w:pPr>
        <w:pStyle w:val="BodyText"/>
      </w:pPr>
      <w:r>
        <w:t xml:space="preserve">A word of caution as you read this report: beware the ‘tyranny of the aggregate’. Progress toward the targets under the Agreement is reported at a national level, which obscures the different experiences of Aboriginal and Torres Strait Islander people in different regions and within specific communities. </w:t>
      </w:r>
    </w:p>
    <w:p w14:paraId="5F967E82" w14:textId="10DDA9D2" w:rsidR="00572F42" w:rsidRDefault="00081A78" w:rsidP="00572F42">
      <w:pPr>
        <w:pStyle w:val="BodyText"/>
      </w:pPr>
      <w:r>
        <w:t xml:space="preserve">Data gaps also mean that the picture of progress is incomplete. </w:t>
      </w:r>
      <w:r w:rsidR="00572F42">
        <w:t xml:space="preserve">For example, we are still waiting on the development of indicators against the four Priority Reform areas, which are the key levers to the success of the outcomes under the Agreement. We know work is progressing on these matters and we hope </w:t>
      </w:r>
      <w:r>
        <w:t>a</w:t>
      </w:r>
      <w:r w:rsidR="00572F42">
        <w:t xml:space="preserve"> more complete picture can be presented to you in </w:t>
      </w:r>
      <w:r>
        <w:t xml:space="preserve">the </w:t>
      </w:r>
      <w:r w:rsidR="00572F42">
        <w:t xml:space="preserve">future. </w:t>
      </w:r>
    </w:p>
    <w:p w14:paraId="5870B56E" w14:textId="26AF3968" w:rsidR="00572F42" w:rsidRDefault="00572F42" w:rsidP="00572F42">
      <w:pPr>
        <w:pStyle w:val="BodyText"/>
      </w:pPr>
      <w:r>
        <w:t xml:space="preserve">The data in this report should impel governments to act. Earlier this year, the Productivity Commission finalised its three-yearly review of progress against the Agreement, focusing on the transformational changes required by governments to implement the four Priority Reforms. We saw that in the pockets where the Priority Reforms were in action, </w:t>
      </w:r>
      <w:r w:rsidR="00A7264B">
        <w:t>outcomes</w:t>
      </w:r>
      <w:r>
        <w:t xml:space="preserve"> were not only achieved, but exceeded. </w:t>
      </w:r>
      <w:r w:rsidR="00D750DB">
        <w:t>This</w:t>
      </w:r>
      <w:r w:rsidR="00081A78">
        <w:t xml:space="preserve"> </w:t>
      </w:r>
      <w:r w:rsidR="00D750DB">
        <w:t>r</w:t>
      </w:r>
      <w:r w:rsidR="00081A78">
        <w:t>eport</w:t>
      </w:r>
      <w:r>
        <w:t xml:space="preserve"> also highlights research that shows how outcomes can be improved, for example, </w:t>
      </w:r>
      <w:r w:rsidR="00D750DB">
        <w:t xml:space="preserve">the role of </w:t>
      </w:r>
      <w:r>
        <w:t xml:space="preserve">culturally safe antenatal health services </w:t>
      </w:r>
      <w:r w:rsidR="00D750DB">
        <w:t>in</w:t>
      </w:r>
      <w:r>
        <w:t xml:space="preserve"> ensuring Aboriginal and Torres Strait Islander children are born healthy and strong. This shows us that the aspirations of the Agreement are not only achievable, but that equity of outcomes for Aboriginal and Torres Strait Islander people is within reach if governments breathe life into the Priority Reforms.</w:t>
      </w:r>
    </w:p>
    <w:p w14:paraId="2BBB3C16" w14:textId="2E965389" w:rsidR="00A116D6" w:rsidRDefault="00572F42" w:rsidP="00F67733">
      <w:pPr>
        <w:pStyle w:val="BodyText"/>
        <w:spacing w:before="0" w:after="0"/>
      </w:pPr>
      <w:r>
        <w:t xml:space="preserve">Natalie </w:t>
      </w:r>
      <w:r w:rsidR="00A116D6">
        <w:t>Siegel-Brown</w:t>
      </w:r>
      <w:r w:rsidR="00A4797F">
        <w:tab/>
      </w:r>
      <w:r w:rsidR="00A4797F">
        <w:tab/>
      </w:r>
      <w:r w:rsidR="00A4797F">
        <w:tab/>
        <w:t>Selwyn Button</w:t>
      </w:r>
    </w:p>
    <w:p w14:paraId="0D3589BB" w14:textId="2BBFC7D0" w:rsidR="00A4797F" w:rsidRDefault="00A4797F" w:rsidP="00F67733">
      <w:pPr>
        <w:pStyle w:val="BodyText"/>
        <w:spacing w:before="0"/>
      </w:pPr>
      <w:r w:rsidRPr="00D46260">
        <w:rPr>
          <w:i/>
          <w:iCs/>
        </w:rPr>
        <w:t>Commissioner</w:t>
      </w:r>
      <w:r>
        <w:tab/>
      </w:r>
      <w:r>
        <w:tab/>
      </w:r>
      <w:r>
        <w:tab/>
      </w:r>
      <w:r>
        <w:tab/>
      </w:r>
      <w:r w:rsidRPr="00D46260">
        <w:rPr>
          <w:i/>
          <w:iCs/>
        </w:rPr>
        <w:t>Commissioner</w:t>
      </w:r>
    </w:p>
    <w:p w14:paraId="6F1E479E" w14:textId="5A4B5B90" w:rsidR="00BC00C5" w:rsidRDefault="0014312E" w:rsidP="00572F42">
      <w:pPr>
        <w:pStyle w:val="BodyText"/>
      </w:pPr>
      <w:r>
        <w:t>July 2024</w:t>
      </w:r>
    </w:p>
    <w:p w14:paraId="2E026B72" w14:textId="77777777" w:rsidR="00726E6B" w:rsidRDefault="00726E6B">
      <w:pPr>
        <w:spacing w:before="0" w:after="160" w:line="259" w:lineRule="auto"/>
        <w:sectPr w:rsidR="00726E6B" w:rsidSect="0071783B">
          <w:pgSz w:w="11906" w:h="16838" w:code="9"/>
          <w:pgMar w:top="1134" w:right="1134" w:bottom="1134" w:left="1134" w:header="794" w:footer="510" w:gutter="0"/>
          <w:pgNumType w:fmt="lowerRoman" w:start="3"/>
          <w:cols w:space="708"/>
          <w:docGrid w:linePitch="360"/>
        </w:sectPr>
      </w:pPr>
    </w:p>
    <w:p w14:paraId="2027EEC7" w14:textId="154678F5" w:rsidR="00EF2253" w:rsidRPr="00E2303F" w:rsidRDefault="00D76C45" w:rsidP="00D76C45">
      <w:pPr>
        <w:pStyle w:val="Heading1-nobackground"/>
        <w:rPr>
          <w:color w:val="775538"/>
        </w:rPr>
      </w:pPr>
      <w:bookmarkStart w:id="3" w:name="_Toc167878664"/>
      <w:bookmarkStart w:id="4" w:name="_Toc170466640"/>
      <w:bookmarkEnd w:id="0"/>
      <w:bookmarkEnd w:id="1"/>
      <w:bookmarkEnd w:id="2"/>
      <w:r w:rsidRPr="00E2303F">
        <w:rPr>
          <w:color w:val="775538"/>
        </w:rPr>
        <w:lastRenderedPageBreak/>
        <w:t>Contents</w:t>
      </w:r>
      <w:bookmarkEnd w:id="3"/>
      <w:bookmarkEnd w:id="4"/>
    </w:p>
    <w:p w14:paraId="1F3ED6DA" w14:textId="0404FD7F" w:rsidR="004B20FB" w:rsidRDefault="004B20FB" w:rsidP="004B20FB">
      <w:pPr>
        <w:pStyle w:val="TOC1"/>
        <w:rPr>
          <w:b/>
          <w:webHidden/>
        </w:rPr>
      </w:pPr>
      <w:r>
        <w:t>Acknowledgmen</w:t>
      </w:r>
      <w:r w:rsidR="00475B7E">
        <w:t>ts</w:t>
      </w:r>
      <w:r w:rsidRPr="007B3DCE">
        <w:rPr>
          <w:webHidden/>
        </w:rPr>
        <w:tab/>
      </w:r>
      <w:r w:rsidR="00042123">
        <w:rPr>
          <w:b/>
          <w:webHidden/>
        </w:rPr>
        <w:t>iii</w:t>
      </w:r>
    </w:p>
    <w:p w14:paraId="1ABB1E88" w14:textId="78101C10" w:rsidR="00E64E35" w:rsidRDefault="00F707A7" w:rsidP="00447594">
      <w:pPr>
        <w:pStyle w:val="TOC1"/>
        <w:rPr>
          <w:b/>
          <w:webHidden/>
        </w:rPr>
      </w:pPr>
      <w:r w:rsidRPr="007B3DCE">
        <w:t xml:space="preserve">Content </w:t>
      </w:r>
      <w:r w:rsidR="00DB37F2">
        <w:t>W</w:t>
      </w:r>
      <w:r w:rsidRPr="007B3DCE">
        <w:t>arning</w:t>
      </w:r>
      <w:r w:rsidR="00E64E35" w:rsidRPr="007B3DCE">
        <w:rPr>
          <w:webHidden/>
        </w:rPr>
        <w:tab/>
      </w:r>
      <w:r w:rsidR="004B20FB">
        <w:rPr>
          <w:b/>
          <w:webHidden/>
        </w:rPr>
        <w:t>i</w:t>
      </w:r>
      <w:r>
        <w:rPr>
          <w:b/>
          <w:webHidden/>
        </w:rPr>
        <w:t>ii</w:t>
      </w:r>
    </w:p>
    <w:p w14:paraId="3127E68C" w14:textId="6CE9C151" w:rsidR="00622982" w:rsidRPr="00622982" w:rsidRDefault="00622982" w:rsidP="00622982">
      <w:pPr>
        <w:pStyle w:val="TOC1"/>
        <w:rPr>
          <w:rFonts w:eastAsiaTheme="minorEastAsia"/>
          <w:b/>
          <w:kern w:val="2"/>
          <w:sz w:val="24"/>
          <w:szCs w:val="24"/>
          <w:lang w:eastAsia="en-AU"/>
          <w14:ligatures w14:val="standardContextual"/>
        </w:rPr>
      </w:pPr>
      <w:r w:rsidRPr="007B3DCE">
        <w:t>A</w:t>
      </w:r>
      <w:r>
        <w:t xml:space="preserve">bout the </w:t>
      </w:r>
      <w:r w:rsidR="00F707A7">
        <w:t>Artwork</w:t>
      </w:r>
      <w:r w:rsidRPr="007B3DCE">
        <w:rPr>
          <w:webHidden/>
        </w:rPr>
        <w:tab/>
      </w:r>
      <w:r w:rsidR="00042123">
        <w:rPr>
          <w:b/>
          <w:webHidden/>
        </w:rPr>
        <w:t>iv</w:t>
      </w:r>
    </w:p>
    <w:p w14:paraId="178F17E2" w14:textId="67F13B65" w:rsidR="00E64E35" w:rsidRDefault="00F707A7" w:rsidP="00447594">
      <w:pPr>
        <w:pStyle w:val="TOC1"/>
        <w:rPr>
          <w:webHidden/>
        </w:rPr>
      </w:pPr>
      <w:r w:rsidRPr="007B3DCE">
        <w:t>A</w:t>
      </w:r>
      <w:r>
        <w:t>bout the Artist</w:t>
      </w:r>
      <w:r w:rsidR="00E64E35" w:rsidRPr="007B3DCE">
        <w:rPr>
          <w:webHidden/>
        </w:rPr>
        <w:tab/>
      </w:r>
      <w:r w:rsidR="004F4742">
        <w:rPr>
          <w:webHidden/>
        </w:rPr>
        <w:t>v</w:t>
      </w:r>
    </w:p>
    <w:p w14:paraId="41816E62" w14:textId="4052D152" w:rsidR="00622982" w:rsidRDefault="00622982" w:rsidP="00622982">
      <w:pPr>
        <w:pStyle w:val="TOC1"/>
        <w:rPr>
          <w:webHidden/>
        </w:rPr>
      </w:pPr>
      <w:r>
        <w:t>Foreword</w:t>
      </w:r>
      <w:r w:rsidRPr="007B3DCE">
        <w:rPr>
          <w:webHidden/>
        </w:rPr>
        <w:tab/>
      </w:r>
      <w:r>
        <w:rPr>
          <w:webHidden/>
        </w:rPr>
        <w:t>v</w:t>
      </w:r>
      <w:r w:rsidR="00042123">
        <w:rPr>
          <w:webHidden/>
        </w:rPr>
        <w:t>i</w:t>
      </w:r>
    </w:p>
    <w:p w14:paraId="31607602" w14:textId="77777777" w:rsidR="00E64E35" w:rsidRPr="007B3DCE" w:rsidRDefault="00E64E35" w:rsidP="00447594">
      <w:pPr>
        <w:pStyle w:val="TOC1"/>
        <w:rPr>
          <w:rFonts w:asciiTheme="minorHAnsi" w:eastAsiaTheme="minorEastAsia" w:hAnsiTheme="minorHAnsi"/>
          <w:kern w:val="2"/>
          <w:sz w:val="24"/>
          <w:szCs w:val="24"/>
          <w:lang w:eastAsia="en-AU"/>
          <w14:ligatures w14:val="standardContextual"/>
        </w:rPr>
      </w:pPr>
      <w:r w:rsidRPr="007B3DCE">
        <w:t>1.</w:t>
      </w:r>
      <w:r w:rsidR="00157284">
        <w:rPr>
          <w:rFonts w:asciiTheme="minorHAnsi" w:eastAsiaTheme="minorEastAsia" w:hAnsiTheme="minorHAnsi"/>
          <w:kern w:val="2"/>
          <w:sz w:val="24"/>
          <w:szCs w:val="24"/>
          <w:lang w:eastAsia="en-AU"/>
          <w14:ligatures w14:val="standardContextual"/>
        </w:rPr>
        <w:tab/>
      </w:r>
      <w:r w:rsidRPr="007B3DCE">
        <w:t>Overview</w:t>
      </w:r>
      <w:r w:rsidRPr="007B3DCE">
        <w:rPr>
          <w:webHidden/>
        </w:rPr>
        <w:tab/>
      </w:r>
      <w:r w:rsidR="0036545D" w:rsidRPr="007B3DCE">
        <w:rPr>
          <w:webHidden/>
        </w:rPr>
        <w:t>1</w:t>
      </w:r>
    </w:p>
    <w:p w14:paraId="5C9BF07C" w14:textId="4A50AC2C"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lang w:eastAsia="en-AU"/>
        </w:rPr>
        <w:t xml:space="preserve">1.1 </w:t>
      </w:r>
      <w:r w:rsidRPr="007B3DCE">
        <w:rPr>
          <w:rFonts w:eastAsiaTheme="minorEastAsia"/>
          <w:noProof w:val="0"/>
          <w:kern w:val="2"/>
          <w:sz w:val="24"/>
          <w:szCs w:val="24"/>
          <w:lang w:eastAsia="en-AU"/>
          <w14:ligatures w14:val="standardContextual"/>
        </w:rPr>
        <w:tab/>
      </w:r>
      <w:r w:rsidRPr="007B3DCE">
        <w:rPr>
          <w:noProof w:val="0"/>
          <w:lang w:eastAsia="en-AU"/>
        </w:rPr>
        <w:t>About this report</w:t>
      </w:r>
      <w:r w:rsidRPr="007B3DCE">
        <w:rPr>
          <w:noProof w:val="0"/>
          <w:webHidden/>
        </w:rPr>
        <w:tab/>
      </w:r>
      <w:r w:rsidR="00414728">
        <w:rPr>
          <w:noProof w:val="0"/>
          <w:webHidden/>
        </w:rPr>
        <w:t>2</w:t>
      </w:r>
    </w:p>
    <w:p w14:paraId="6565A301" w14:textId="42B5B974"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lang w:eastAsia="en-AU"/>
        </w:rPr>
        <w:t xml:space="preserve">1.2 </w:t>
      </w:r>
      <w:r w:rsidRPr="007B3DCE">
        <w:rPr>
          <w:rFonts w:eastAsiaTheme="minorEastAsia"/>
          <w:noProof w:val="0"/>
          <w:kern w:val="2"/>
          <w:sz w:val="24"/>
          <w:szCs w:val="24"/>
          <w:lang w:eastAsia="en-AU"/>
          <w14:ligatures w14:val="standardContextual"/>
        </w:rPr>
        <w:tab/>
      </w:r>
      <w:r w:rsidRPr="007B3DCE">
        <w:rPr>
          <w:noProof w:val="0"/>
          <w:lang w:eastAsia="en-AU"/>
        </w:rPr>
        <w:t>Progress towards Closing the Gap</w:t>
      </w:r>
      <w:r w:rsidRPr="007B3DCE">
        <w:rPr>
          <w:noProof w:val="0"/>
          <w:webHidden/>
        </w:rPr>
        <w:tab/>
      </w:r>
      <w:r w:rsidR="0036545D" w:rsidRPr="007B3DCE">
        <w:rPr>
          <w:noProof w:val="0"/>
          <w:webHidden/>
        </w:rPr>
        <w:t>3</w:t>
      </w:r>
    </w:p>
    <w:p w14:paraId="072B5507" w14:textId="1AEA5E2A"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 xml:space="preserve">1.3 </w:t>
      </w:r>
      <w:r w:rsidRPr="007B3DCE">
        <w:rPr>
          <w:rFonts w:eastAsiaTheme="minorEastAsia"/>
          <w:noProof w:val="0"/>
          <w:kern w:val="2"/>
          <w:sz w:val="24"/>
          <w:szCs w:val="24"/>
          <w:lang w:eastAsia="en-AU"/>
          <w14:ligatures w14:val="standardContextual"/>
        </w:rPr>
        <w:tab/>
      </w:r>
      <w:r w:rsidRPr="007B3DCE">
        <w:rPr>
          <w:noProof w:val="0"/>
        </w:rPr>
        <w:t>Understanding the data landscape</w:t>
      </w:r>
      <w:r w:rsidRPr="007B3DCE">
        <w:rPr>
          <w:noProof w:val="0"/>
          <w:webHidden/>
        </w:rPr>
        <w:tab/>
      </w:r>
      <w:r w:rsidR="003D7DD3">
        <w:rPr>
          <w:noProof w:val="0"/>
          <w:webHidden/>
        </w:rPr>
        <w:t>8</w:t>
      </w:r>
    </w:p>
    <w:p w14:paraId="2469A418" w14:textId="0DB73746" w:rsidR="00E64E35" w:rsidRPr="007B3DCE" w:rsidRDefault="00E64E35" w:rsidP="008620DF">
      <w:pPr>
        <w:pStyle w:val="TOC2"/>
        <w:ind w:left="1134" w:hanging="567"/>
        <w:rPr>
          <w:rFonts w:eastAsiaTheme="minorEastAsia"/>
          <w:noProof w:val="0"/>
          <w:kern w:val="2"/>
          <w:sz w:val="24"/>
          <w:szCs w:val="24"/>
          <w:lang w:eastAsia="en-AU"/>
          <w14:ligatures w14:val="standardContextual"/>
        </w:rPr>
      </w:pPr>
      <w:r w:rsidRPr="007B3DCE">
        <w:rPr>
          <w:noProof w:val="0"/>
        </w:rPr>
        <w:t xml:space="preserve">1.4 </w:t>
      </w:r>
      <w:r w:rsidRPr="007B3DCE">
        <w:rPr>
          <w:rFonts w:eastAsiaTheme="minorEastAsia"/>
          <w:noProof w:val="0"/>
          <w:kern w:val="2"/>
          <w:sz w:val="24"/>
          <w:szCs w:val="24"/>
          <w:lang w:eastAsia="en-AU"/>
          <w14:ligatures w14:val="standardContextual"/>
        </w:rPr>
        <w:tab/>
      </w:r>
      <w:r w:rsidRPr="007B3DCE">
        <w:rPr>
          <w:noProof w:val="0"/>
        </w:rPr>
        <w:t>A closer look at Aboriginal and Torres Strait Islander people and communities’ diverse experiences</w:t>
      </w:r>
      <w:r w:rsidRPr="007B3DCE">
        <w:rPr>
          <w:noProof w:val="0"/>
          <w:webHidden/>
        </w:rPr>
        <w:tab/>
      </w:r>
      <w:r w:rsidR="003D7DD3">
        <w:rPr>
          <w:noProof w:val="0"/>
          <w:webHidden/>
        </w:rPr>
        <w:t>9</w:t>
      </w:r>
    </w:p>
    <w:p w14:paraId="03C8E931" w14:textId="7772FAF5" w:rsidR="00E64E35" w:rsidRPr="007179C4" w:rsidRDefault="00E64E35" w:rsidP="00447594">
      <w:pPr>
        <w:pStyle w:val="TOC1"/>
      </w:pPr>
      <w:r w:rsidRPr="007179C4">
        <w:t xml:space="preserve">2. </w:t>
      </w:r>
      <w:r w:rsidRPr="007179C4">
        <w:tab/>
        <w:t>Progress in socio-economic outcomes</w:t>
      </w:r>
      <w:r w:rsidRPr="007179C4">
        <w:rPr>
          <w:webHidden/>
        </w:rPr>
        <w:tab/>
      </w:r>
      <w:r w:rsidR="0036545D" w:rsidRPr="007179C4">
        <w:rPr>
          <w:webHidden/>
        </w:rPr>
        <w:t>1</w:t>
      </w:r>
      <w:r w:rsidR="003D7DD3">
        <w:rPr>
          <w:webHidden/>
        </w:rPr>
        <w:t>3</w:t>
      </w:r>
    </w:p>
    <w:p w14:paraId="4DA6A051" w14:textId="56C410C6"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2.1</w:t>
      </w:r>
      <w:r w:rsidRPr="007B3DCE">
        <w:rPr>
          <w:rFonts w:eastAsiaTheme="minorEastAsia"/>
          <w:noProof w:val="0"/>
          <w:kern w:val="2"/>
          <w:sz w:val="24"/>
          <w:szCs w:val="24"/>
          <w:lang w:eastAsia="en-AU"/>
          <w14:ligatures w14:val="standardContextual"/>
        </w:rPr>
        <w:tab/>
      </w:r>
      <w:r w:rsidRPr="007B3DCE">
        <w:rPr>
          <w:noProof w:val="0"/>
        </w:rPr>
        <w:t>Health, wellbeing and development</w:t>
      </w:r>
      <w:r w:rsidRPr="007B3DCE">
        <w:rPr>
          <w:noProof w:val="0"/>
          <w:webHidden/>
        </w:rPr>
        <w:tab/>
      </w:r>
      <w:r w:rsidR="0036545D" w:rsidRPr="007B3DCE">
        <w:rPr>
          <w:noProof w:val="0"/>
          <w:webHidden/>
        </w:rPr>
        <w:t>1</w:t>
      </w:r>
      <w:r w:rsidR="00182E60">
        <w:rPr>
          <w:noProof w:val="0"/>
          <w:webHidden/>
        </w:rPr>
        <w:t>4</w:t>
      </w:r>
    </w:p>
    <w:p w14:paraId="0C612104" w14:textId="506586AA"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2.2</w:t>
      </w:r>
      <w:r w:rsidRPr="007B3DCE">
        <w:rPr>
          <w:rFonts w:eastAsiaTheme="minorEastAsia"/>
          <w:noProof w:val="0"/>
          <w:kern w:val="2"/>
          <w:sz w:val="24"/>
          <w:szCs w:val="24"/>
          <w:lang w:eastAsia="en-AU"/>
          <w14:ligatures w14:val="standardContextual"/>
        </w:rPr>
        <w:tab/>
      </w:r>
      <w:r w:rsidRPr="007B3DCE">
        <w:rPr>
          <w:noProof w:val="0"/>
        </w:rPr>
        <w:t>Families and kin</w:t>
      </w:r>
      <w:r w:rsidRPr="007B3DCE">
        <w:rPr>
          <w:noProof w:val="0"/>
          <w:webHidden/>
        </w:rPr>
        <w:tab/>
      </w:r>
      <w:r w:rsidR="0036545D" w:rsidRPr="007B3DCE">
        <w:rPr>
          <w:noProof w:val="0"/>
          <w:webHidden/>
        </w:rPr>
        <w:t>2</w:t>
      </w:r>
      <w:r w:rsidR="00E71288">
        <w:rPr>
          <w:noProof w:val="0"/>
          <w:webHidden/>
        </w:rPr>
        <w:t>8</w:t>
      </w:r>
    </w:p>
    <w:p w14:paraId="053C44EA" w14:textId="6A27C381"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 xml:space="preserve">2.3 </w:t>
      </w:r>
      <w:r w:rsidRPr="007B3DCE">
        <w:rPr>
          <w:rFonts w:eastAsiaTheme="minorEastAsia"/>
          <w:noProof w:val="0"/>
          <w:kern w:val="2"/>
          <w:sz w:val="24"/>
          <w:szCs w:val="24"/>
          <w:lang w:eastAsia="en-AU"/>
          <w14:ligatures w14:val="standardContextual"/>
        </w:rPr>
        <w:tab/>
      </w:r>
      <w:r w:rsidRPr="007B3DCE">
        <w:rPr>
          <w:noProof w:val="0"/>
        </w:rPr>
        <w:t>Language</w:t>
      </w:r>
      <w:r w:rsidRPr="007B3DCE">
        <w:rPr>
          <w:noProof w:val="0"/>
          <w:webHidden/>
        </w:rPr>
        <w:tab/>
      </w:r>
      <w:r w:rsidR="007642B3">
        <w:rPr>
          <w:noProof w:val="0"/>
          <w:webHidden/>
        </w:rPr>
        <w:t>37</w:t>
      </w:r>
    </w:p>
    <w:p w14:paraId="742C69CB" w14:textId="1E9F9393"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 xml:space="preserve">2.4 </w:t>
      </w:r>
      <w:r w:rsidRPr="007B3DCE">
        <w:rPr>
          <w:rFonts w:eastAsiaTheme="minorEastAsia"/>
          <w:noProof w:val="0"/>
          <w:kern w:val="2"/>
          <w:sz w:val="24"/>
          <w:szCs w:val="24"/>
          <w:lang w:eastAsia="en-AU"/>
          <w14:ligatures w14:val="standardContextual"/>
        </w:rPr>
        <w:tab/>
      </w:r>
      <w:r w:rsidRPr="007B3DCE">
        <w:rPr>
          <w:noProof w:val="0"/>
        </w:rPr>
        <w:t>Education and training</w:t>
      </w:r>
      <w:r w:rsidRPr="007B3DCE">
        <w:rPr>
          <w:noProof w:val="0"/>
          <w:webHidden/>
        </w:rPr>
        <w:tab/>
      </w:r>
      <w:r w:rsidR="007642B3">
        <w:rPr>
          <w:noProof w:val="0"/>
          <w:webHidden/>
        </w:rPr>
        <w:t>40</w:t>
      </w:r>
    </w:p>
    <w:p w14:paraId="66E39811" w14:textId="78EAA833"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 xml:space="preserve">2.5 </w:t>
      </w:r>
      <w:r w:rsidRPr="007B3DCE">
        <w:rPr>
          <w:rFonts w:eastAsiaTheme="minorEastAsia"/>
          <w:noProof w:val="0"/>
          <w:kern w:val="2"/>
          <w:sz w:val="24"/>
          <w:szCs w:val="24"/>
          <w:lang w:eastAsia="en-AU"/>
          <w14:ligatures w14:val="standardContextual"/>
        </w:rPr>
        <w:tab/>
      </w:r>
      <w:r w:rsidRPr="007B3DCE">
        <w:rPr>
          <w:noProof w:val="0"/>
        </w:rPr>
        <w:t>Employment</w:t>
      </w:r>
      <w:r w:rsidRPr="007B3DCE">
        <w:rPr>
          <w:noProof w:val="0"/>
          <w:webHidden/>
        </w:rPr>
        <w:tab/>
      </w:r>
      <w:r w:rsidR="007642B3">
        <w:rPr>
          <w:noProof w:val="0"/>
          <w:webHidden/>
        </w:rPr>
        <w:t>51</w:t>
      </w:r>
    </w:p>
    <w:p w14:paraId="444D9FD0" w14:textId="3C6A1D4C"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2.6</w:t>
      </w:r>
      <w:r w:rsidRPr="007B3DCE">
        <w:rPr>
          <w:rFonts w:eastAsiaTheme="minorEastAsia"/>
          <w:noProof w:val="0"/>
          <w:kern w:val="2"/>
          <w:sz w:val="24"/>
          <w:szCs w:val="24"/>
          <w:lang w:eastAsia="en-AU"/>
          <w14:ligatures w14:val="standardContextual"/>
        </w:rPr>
        <w:tab/>
      </w:r>
      <w:r w:rsidRPr="007B3DCE">
        <w:rPr>
          <w:noProof w:val="0"/>
        </w:rPr>
        <w:t>Housing</w:t>
      </w:r>
      <w:r w:rsidRPr="007B3DCE">
        <w:rPr>
          <w:noProof w:val="0"/>
          <w:webHidden/>
        </w:rPr>
        <w:tab/>
      </w:r>
      <w:r w:rsidR="007642B3">
        <w:rPr>
          <w:noProof w:val="0"/>
          <w:webHidden/>
        </w:rPr>
        <w:t>53</w:t>
      </w:r>
    </w:p>
    <w:p w14:paraId="70F8CE05" w14:textId="6B43F9FC"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2.7</w:t>
      </w:r>
      <w:r w:rsidRPr="007B3DCE">
        <w:rPr>
          <w:rFonts w:eastAsiaTheme="minorEastAsia"/>
          <w:noProof w:val="0"/>
          <w:kern w:val="2"/>
          <w:sz w:val="24"/>
          <w:szCs w:val="24"/>
          <w:lang w:eastAsia="en-AU"/>
          <w14:ligatures w14:val="standardContextual"/>
        </w:rPr>
        <w:tab/>
      </w:r>
      <w:r w:rsidRPr="007B3DCE">
        <w:rPr>
          <w:noProof w:val="0"/>
        </w:rPr>
        <w:t>Country</w:t>
      </w:r>
      <w:r w:rsidRPr="007B3DCE">
        <w:rPr>
          <w:noProof w:val="0"/>
          <w:webHidden/>
        </w:rPr>
        <w:tab/>
      </w:r>
      <w:r w:rsidR="007642B3">
        <w:rPr>
          <w:noProof w:val="0"/>
          <w:webHidden/>
        </w:rPr>
        <w:t>57</w:t>
      </w:r>
    </w:p>
    <w:p w14:paraId="14047F65" w14:textId="6EB23DFC" w:rsidR="00E64E35" w:rsidRPr="007B3DCE" w:rsidRDefault="00E64E35" w:rsidP="008620DF">
      <w:pPr>
        <w:pStyle w:val="TOC2"/>
        <w:rPr>
          <w:rFonts w:eastAsiaTheme="minorEastAsia"/>
          <w:noProof w:val="0"/>
          <w:kern w:val="2"/>
          <w:sz w:val="24"/>
          <w:szCs w:val="24"/>
          <w:lang w:eastAsia="en-AU"/>
          <w14:ligatures w14:val="standardContextual"/>
        </w:rPr>
      </w:pPr>
      <w:r w:rsidRPr="007B3DCE">
        <w:rPr>
          <w:noProof w:val="0"/>
        </w:rPr>
        <w:t>2.8</w:t>
      </w:r>
      <w:r w:rsidRPr="007B3DCE">
        <w:rPr>
          <w:rFonts w:eastAsiaTheme="minorEastAsia"/>
          <w:noProof w:val="0"/>
          <w:kern w:val="2"/>
          <w:sz w:val="24"/>
          <w:szCs w:val="24"/>
          <w:lang w:eastAsia="en-AU"/>
          <w14:ligatures w14:val="standardContextual"/>
        </w:rPr>
        <w:tab/>
      </w:r>
      <w:r w:rsidRPr="007B3DCE">
        <w:rPr>
          <w:noProof w:val="0"/>
        </w:rPr>
        <w:t>Justice</w:t>
      </w:r>
      <w:r w:rsidRPr="007B3DCE">
        <w:rPr>
          <w:noProof w:val="0"/>
          <w:webHidden/>
        </w:rPr>
        <w:tab/>
      </w:r>
      <w:r w:rsidR="006D61D0">
        <w:rPr>
          <w:noProof w:val="0"/>
          <w:webHidden/>
        </w:rPr>
        <w:t>61</w:t>
      </w:r>
    </w:p>
    <w:p w14:paraId="0B97F6A0" w14:textId="7414D495" w:rsidR="00E64E35" w:rsidRDefault="00E64E35" w:rsidP="008620DF">
      <w:pPr>
        <w:pStyle w:val="TOC2"/>
        <w:rPr>
          <w:noProof w:val="0"/>
          <w:webHidden/>
        </w:rPr>
      </w:pPr>
      <w:r w:rsidRPr="007B3DCE">
        <w:rPr>
          <w:noProof w:val="0"/>
        </w:rPr>
        <w:t>2.9</w:t>
      </w:r>
      <w:r w:rsidRPr="007B3DCE">
        <w:rPr>
          <w:rFonts w:eastAsiaTheme="minorEastAsia"/>
          <w:noProof w:val="0"/>
          <w:kern w:val="2"/>
          <w:sz w:val="24"/>
          <w:szCs w:val="24"/>
          <w:lang w:eastAsia="en-AU"/>
          <w14:ligatures w14:val="standardContextual"/>
        </w:rPr>
        <w:tab/>
      </w:r>
      <w:r w:rsidRPr="007B3DCE">
        <w:rPr>
          <w:noProof w:val="0"/>
        </w:rPr>
        <w:t>Digital inclusion</w:t>
      </w:r>
      <w:r w:rsidRPr="007B3DCE">
        <w:rPr>
          <w:noProof w:val="0"/>
          <w:webHidden/>
        </w:rPr>
        <w:tab/>
      </w:r>
      <w:r w:rsidR="006D61D0">
        <w:rPr>
          <w:noProof w:val="0"/>
          <w:webHidden/>
        </w:rPr>
        <w:t>71</w:t>
      </w:r>
    </w:p>
    <w:p w14:paraId="615109D6" w14:textId="01DC9C13" w:rsidR="007179C4" w:rsidRDefault="00031C6D" w:rsidP="00447594">
      <w:pPr>
        <w:pStyle w:val="TOC1"/>
        <w:rPr>
          <w:webHidden/>
        </w:rPr>
      </w:pPr>
      <w:r w:rsidRPr="00447594">
        <w:rPr>
          <w:webHidden/>
        </w:rPr>
        <w:t>Appendix</w:t>
      </w:r>
      <w:r w:rsidR="00B64A57" w:rsidRPr="00447594">
        <w:rPr>
          <w:webHidden/>
        </w:rPr>
        <w:t xml:space="preserve"> </w:t>
      </w:r>
      <w:r w:rsidR="00B64A57" w:rsidRPr="00447594">
        <w:rPr>
          <w:webHidden/>
        </w:rPr>
        <w:tab/>
        <w:t>7</w:t>
      </w:r>
      <w:r w:rsidR="00C36A79">
        <w:rPr>
          <w:webHidden/>
        </w:rPr>
        <w:t>5</w:t>
      </w:r>
    </w:p>
    <w:p w14:paraId="0BF8901D" w14:textId="79B79E38" w:rsidR="007B4FEE" w:rsidRPr="00447594" w:rsidRDefault="00E64E35" w:rsidP="00447594">
      <w:pPr>
        <w:pStyle w:val="TOC1"/>
        <w:rPr>
          <w:webHidden/>
        </w:rPr>
      </w:pPr>
      <w:r w:rsidRPr="00447594">
        <w:t>References</w:t>
      </w:r>
      <w:r w:rsidRPr="00447594">
        <w:rPr>
          <w:webHidden/>
        </w:rPr>
        <w:tab/>
      </w:r>
      <w:r w:rsidR="00242E5C" w:rsidRPr="00447594">
        <w:rPr>
          <w:webHidden/>
        </w:rPr>
        <w:t>8</w:t>
      </w:r>
      <w:r w:rsidR="00C36A79">
        <w:rPr>
          <w:webHidden/>
        </w:rPr>
        <w:t>9</w:t>
      </w:r>
    </w:p>
    <w:p w14:paraId="4F29A027" w14:textId="77777777" w:rsidR="00315B7A" w:rsidRDefault="00315B7A" w:rsidP="00315B7A">
      <w:pPr>
        <w:pStyle w:val="BodyText"/>
        <w:rPr>
          <w:webHidden/>
        </w:rPr>
      </w:pPr>
    </w:p>
    <w:p w14:paraId="459F381E" w14:textId="77777777" w:rsidR="00154872" w:rsidRDefault="00154872">
      <w:pPr>
        <w:spacing w:before="0" w:after="160" w:line="259" w:lineRule="auto"/>
        <w:rPr>
          <w:webHidden/>
        </w:rPr>
      </w:pPr>
      <w:r>
        <w:rPr>
          <w:webHidden/>
        </w:rPr>
        <w:br w:type="page"/>
      </w:r>
    </w:p>
    <w:p w14:paraId="3A082327" w14:textId="323BBECE" w:rsidR="00726E6B" w:rsidRDefault="00154872" w:rsidP="00154872">
      <w:pPr>
        <w:spacing w:before="0" w:after="160" w:line="259" w:lineRule="auto"/>
        <w:rPr>
          <w:webHidden/>
        </w:rPr>
        <w:sectPr w:rsidR="00726E6B" w:rsidSect="00726E6B">
          <w:type w:val="oddPage"/>
          <w:pgSz w:w="11906" w:h="16838" w:code="9"/>
          <w:pgMar w:top="1134" w:right="1134" w:bottom="1134" w:left="1134" w:header="794" w:footer="510" w:gutter="0"/>
          <w:pgNumType w:fmt="lowerRoman" w:start="6"/>
          <w:cols w:space="708"/>
          <w:docGrid w:linePitch="360"/>
        </w:sectPr>
      </w:pPr>
      <w:r>
        <w:rPr>
          <w:noProof/>
        </w:rPr>
        <w:lastRenderedPageBreak/>
        <w:drawing>
          <wp:anchor distT="0" distB="0" distL="114300" distR="114300" simplePos="0" relativeHeight="251658247" behindDoc="0" locked="0" layoutInCell="1" allowOverlap="1" wp14:anchorId="3913BCA7" wp14:editId="54AA838D">
            <wp:simplePos x="0" y="0"/>
            <wp:positionH relativeFrom="page">
              <wp:align>left</wp:align>
            </wp:positionH>
            <wp:positionV relativeFrom="paragraph">
              <wp:posOffset>-1638419</wp:posOffset>
            </wp:positionV>
            <wp:extent cx="7594498" cy="5752214"/>
            <wp:effectExtent l="0" t="0" r="6985" b="0"/>
            <wp:wrapNone/>
            <wp:docPr id="110269814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98146" name="Picture 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94498" cy="57522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webHidden/>
        </w:rPr>
        <w:br w:type="page"/>
      </w:r>
    </w:p>
    <w:p w14:paraId="190DEBB4" w14:textId="77777777" w:rsidR="00472C9B" w:rsidRDefault="00472C9B" w:rsidP="00472C9B">
      <w:pPr>
        <w:pStyle w:val="Heading1-nonumber"/>
        <w:numPr>
          <w:ilvl w:val="0"/>
          <w:numId w:val="19"/>
        </w:numPr>
        <w:pBdr>
          <w:top w:val="none" w:sz="0" w:space="0" w:color="auto"/>
          <w:left w:val="none" w:sz="0" w:space="0" w:color="auto"/>
          <w:bottom w:val="none" w:sz="0" w:space="0" w:color="auto"/>
          <w:right w:val="none" w:sz="0" w:space="0" w:color="auto"/>
        </w:pBdr>
        <w:shd w:val="clear" w:color="auto" w:fill="auto"/>
      </w:pPr>
      <w:r>
        <w:lastRenderedPageBreak/>
        <w:t>Overview</w:t>
      </w:r>
    </w:p>
    <w:p w14:paraId="40A69591" w14:textId="4FAF8FE2" w:rsidR="00DE0B38" w:rsidRDefault="007B4FEE" w:rsidP="00447594">
      <w:pPr>
        <w:pStyle w:val="TOC1"/>
        <w:sectPr w:rsidR="00DE0B38" w:rsidSect="00042B06">
          <w:headerReference w:type="even" r:id="rId28"/>
          <w:footerReference w:type="even" r:id="rId29"/>
          <w:footerReference w:type="default" r:id="rId30"/>
          <w:footerReference w:type="first" r:id="rId31"/>
          <w:pgSz w:w="11906" w:h="16838" w:code="9"/>
          <w:pgMar w:top="1134" w:right="1134" w:bottom="1134" w:left="1134" w:header="794" w:footer="510" w:gutter="0"/>
          <w:pgNumType w:start="1"/>
          <w:cols w:space="708"/>
          <w:titlePg/>
          <w:docGrid w:linePitch="360"/>
        </w:sectPr>
      </w:pPr>
      <w:r w:rsidRPr="007B3DCE">
        <w:rPr>
          <w:rStyle w:val="Hyperlink"/>
          <w:noProof/>
          <w:color w:val="8C5E44" w:themeColor="text1"/>
          <w:u w:val="none"/>
        </w:rPr>
        <w:drawing>
          <wp:anchor distT="0" distB="0" distL="114300" distR="114300" simplePos="0" relativeHeight="251658248" behindDoc="1" locked="0" layoutInCell="1" allowOverlap="1" wp14:anchorId="12592969" wp14:editId="271B2C99">
            <wp:simplePos x="0" y="0"/>
            <wp:positionH relativeFrom="page">
              <wp:align>left</wp:align>
            </wp:positionH>
            <wp:positionV relativeFrom="paragraph">
              <wp:posOffset>-1331595</wp:posOffset>
            </wp:positionV>
            <wp:extent cx="7620000" cy="10773321"/>
            <wp:effectExtent l="0" t="0" r="0" b="9525"/>
            <wp:wrapNone/>
            <wp:docPr id="7049110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11017" name="Picture 2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20000" cy="107733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9E1E0" w14:textId="5E44D2B6" w:rsidR="00066FE1" w:rsidRPr="007B3DCE" w:rsidRDefault="00303706" w:rsidP="00117F0A">
      <w:pPr>
        <w:pStyle w:val="Heading2"/>
        <w:rPr>
          <w:color w:val="B65627" w:themeColor="text2"/>
          <w:lang w:eastAsia="en-AU"/>
        </w:rPr>
      </w:pPr>
      <w:bookmarkStart w:id="5" w:name="_Toc167878526"/>
      <w:bookmarkStart w:id="6" w:name="_Toc170466642"/>
      <w:r w:rsidRPr="007B3DCE">
        <w:rPr>
          <w:color w:val="B65627" w:themeColor="text2"/>
          <w:lang w:eastAsia="en-AU"/>
        </w:rPr>
        <w:lastRenderedPageBreak/>
        <w:t xml:space="preserve">1.1 </w:t>
      </w:r>
      <w:r w:rsidR="00BB4038" w:rsidRPr="007B3DCE">
        <w:rPr>
          <w:color w:val="B65627" w:themeColor="text2"/>
          <w:lang w:eastAsia="en-AU"/>
        </w:rPr>
        <w:tab/>
      </w:r>
      <w:r w:rsidR="00066FE1" w:rsidRPr="007B3DCE">
        <w:rPr>
          <w:color w:val="B65627" w:themeColor="text2"/>
          <w:lang w:eastAsia="en-AU"/>
        </w:rPr>
        <w:t>About this report</w:t>
      </w:r>
      <w:bookmarkEnd w:id="5"/>
      <w:bookmarkEnd w:id="6"/>
    </w:p>
    <w:p w14:paraId="2BF3BF0D" w14:textId="0A5154E7" w:rsidR="00A74F6F" w:rsidRPr="007B3DCE" w:rsidRDefault="00A74F6F" w:rsidP="00066FE1">
      <w:pPr>
        <w:pStyle w:val="BodyText"/>
      </w:pPr>
      <w:r w:rsidRPr="007B3DCE">
        <w:t>This is the fourth Annual Data Compilation Report (ADCR)</w:t>
      </w:r>
      <w:r w:rsidR="009F10D6" w:rsidRPr="007B3DCE">
        <w:t>,</w:t>
      </w:r>
      <w:r w:rsidRPr="007B3DCE">
        <w:t xml:space="preserve"> which reports progress under the National Agreement on Closing the Gap (the Agreement). </w:t>
      </w:r>
      <w:r w:rsidR="004268A1" w:rsidRPr="007B3DCE">
        <w:t>The Agreement’s objective</w:t>
      </w:r>
      <w:r w:rsidR="00E4778A" w:rsidRPr="007B3DCE">
        <w:t xml:space="preserve"> is </w:t>
      </w:r>
      <w:r w:rsidRPr="007B3DCE">
        <w:t>to enable Aboriginal and Torres Strait Islander people and governments to work together to overcome the inequality experienced by Aboriginal and Torres Strait Islander people</w:t>
      </w:r>
      <w:r w:rsidR="009F10D6" w:rsidRPr="007B3DCE">
        <w:t xml:space="preserve"> and</w:t>
      </w:r>
      <w:r w:rsidRPr="007B3DCE">
        <w:t xml:space="preserve"> achieve life outcomes equal to all Australians. Due to the broad and complex nature of this objective, the parties to the Agreement </w:t>
      </w:r>
      <w:r w:rsidR="00BE6643" w:rsidRPr="007B3DCE">
        <w:t>(Australian governments and the Coalition of Aboriginal and Torres Strait Islander Peak Organisations</w:t>
      </w:r>
      <w:r w:rsidR="00412002" w:rsidRPr="007B3DCE">
        <w:t>)</w:t>
      </w:r>
      <w:r w:rsidR="00BE6643" w:rsidRPr="007B3DCE">
        <w:t xml:space="preserve"> </w:t>
      </w:r>
      <w:r w:rsidRPr="007B3DCE">
        <w:t xml:space="preserve">established specific outcomes to measure progress against (clause 17). They </w:t>
      </w:r>
      <w:r w:rsidR="00265157" w:rsidRPr="007B3DCE">
        <w:t>consist of</w:t>
      </w:r>
      <w:r w:rsidRPr="007B3DCE">
        <w:t xml:space="preserve">: </w:t>
      </w:r>
    </w:p>
    <w:tbl>
      <w:tblPr>
        <w:tblStyle w:val="TableGrid"/>
        <w:tblW w:w="0" w:type="auto"/>
        <w:tblLook w:val="04A0" w:firstRow="1" w:lastRow="0" w:firstColumn="1" w:lastColumn="0" w:noHBand="0" w:noVBand="1"/>
      </w:tblPr>
      <w:tblGrid>
        <w:gridCol w:w="4814"/>
        <w:gridCol w:w="4814"/>
      </w:tblGrid>
      <w:tr w:rsidR="0087436C" w:rsidRPr="007B3DCE" w14:paraId="5089042A" w14:textId="77777777" w:rsidTr="00781A63">
        <w:tc>
          <w:tcPr>
            <w:tcW w:w="4814" w:type="dxa"/>
            <w:shd w:val="clear" w:color="auto" w:fill="D4BAA3" w:themeFill="background1" w:themeFillTint="66"/>
          </w:tcPr>
          <w:p w14:paraId="33E42AB0" w14:textId="7DC32C74" w:rsidR="0087436C" w:rsidRPr="007B3DCE" w:rsidRDefault="0087436C" w:rsidP="00794619">
            <w:pPr>
              <w:pStyle w:val="BodyText"/>
              <w:tabs>
                <w:tab w:val="left" w:pos="3046"/>
              </w:tabs>
              <w:rPr>
                <w:rStyle w:val="IntenseEmphasis1"/>
                <w:b/>
                <w:bCs/>
                <w:color w:val="auto"/>
              </w:rPr>
            </w:pPr>
            <w:r w:rsidRPr="007B3DCE">
              <w:rPr>
                <w:rStyle w:val="IntenseEmphasis1"/>
                <w:b/>
                <w:bCs/>
                <w:color w:val="auto"/>
              </w:rPr>
              <w:t>Priority Reforms</w:t>
            </w:r>
          </w:p>
        </w:tc>
        <w:tc>
          <w:tcPr>
            <w:tcW w:w="4814" w:type="dxa"/>
            <w:shd w:val="clear" w:color="auto" w:fill="D4BAA3" w:themeFill="background1" w:themeFillTint="66"/>
          </w:tcPr>
          <w:p w14:paraId="534671CF" w14:textId="77777777" w:rsidR="0087436C" w:rsidRPr="007B3DCE" w:rsidRDefault="0087436C" w:rsidP="00794619">
            <w:pPr>
              <w:pStyle w:val="BodyText"/>
              <w:rPr>
                <w:rStyle w:val="IntenseEmphasis1"/>
                <w:b/>
                <w:bCs/>
                <w:color w:val="auto"/>
              </w:rPr>
            </w:pPr>
            <w:r w:rsidRPr="007B3DCE">
              <w:rPr>
                <w:rStyle w:val="IntenseEmphasis1"/>
                <w:b/>
                <w:bCs/>
                <w:color w:val="auto"/>
              </w:rPr>
              <w:t>Socio-economic outcomes</w:t>
            </w:r>
          </w:p>
        </w:tc>
      </w:tr>
      <w:tr w:rsidR="0087436C" w:rsidRPr="007B3DCE" w14:paraId="43A3EDAE" w14:textId="77777777" w:rsidTr="00794619">
        <w:trPr>
          <w:trHeight w:val="1393"/>
        </w:trPr>
        <w:tc>
          <w:tcPr>
            <w:tcW w:w="4814" w:type="dxa"/>
          </w:tcPr>
          <w:p w14:paraId="29A07385" w14:textId="64A4DEF4" w:rsidR="0087436C" w:rsidRPr="007B3DCE" w:rsidRDefault="00D5659F" w:rsidP="00DF7294">
            <w:pPr>
              <w:pStyle w:val="BodyText"/>
            </w:pPr>
            <w:r>
              <w:t>F</w:t>
            </w:r>
            <w:r w:rsidR="0087436C" w:rsidRPr="007B3DCE">
              <w:t>our outcomes focusing on changing how</w:t>
            </w:r>
            <w:r w:rsidR="00F26521" w:rsidRPr="007B3DCE">
              <w:t xml:space="preserve"> </w:t>
            </w:r>
            <w:r w:rsidR="0087436C" w:rsidRPr="007B3DCE">
              <w:t>governments work to ‘accelerate improvements in the lives of Aboriginal and Torres Strait Islander people’ (clause 25).</w:t>
            </w:r>
          </w:p>
        </w:tc>
        <w:tc>
          <w:tcPr>
            <w:tcW w:w="4814" w:type="dxa"/>
          </w:tcPr>
          <w:p w14:paraId="0B7C8917" w14:textId="26F78CDF" w:rsidR="0087436C" w:rsidRPr="007B3DCE" w:rsidRDefault="0087436C" w:rsidP="00DF7294">
            <w:pPr>
              <w:pStyle w:val="BodyText"/>
            </w:pPr>
            <w:r w:rsidRPr="007B3DCE">
              <w:t>17 outcomes focusing on the rights, wellbeing and quality of life of Aboriginal and Torres Strait Islander people.</w:t>
            </w:r>
          </w:p>
        </w:tc>
      </w:tr>
    </w:tbl>
    <w:p w14:paraId="53D7E8F1" w14:textId="24801447" w:rsidR="00A929E2" w:rsidRPr="007B3DCE" w:rsidRDefault="00FF7980" w:rsidP="00057646">
      <w:pPr>
        <w:pStyle w:val="BodyText"/>
        <w:rPr>
          <w:rFonts w:eastAsia="Times New Roman"/>
          <w:lang w:eastAsia="en-AU"/>
        </w:rPr>
      </w:pPr>
      <w:r w:rsidRPr="007B3DCE">
        <w:rPr>
          <w:rFonts w:eastAsia="Times New Roman"/>
          <w:lang w:eastAsia="en-AU"/>
        </w:rPr>
        <w:t>Implementing the four Priority Reforms is key to improving soc</w:t>
      </w:r>
      <w:r w:rsidR="00BE69DA">
        <w:rPr>
          <w:rFonts w:eastAsia="Times New Roman"/>
          <w:lang w:eastAsia="en-AU"/>
        </w:rPr>
        <w:t>io</w:t>
      </w:r>
      <w:r w:rsidRPr="007B3DCE">
        <w:rPr>
          <w:rFonts w:eastAsia="Times New Roman"/>
          <w:lang w:eastAsia="en-AU"/>
        </w:rPr>
        <w:t xml:space="preserve">-economic outcomes. </w:t>
      </w:r>
      <w:r w:rsidR="00813B1C" w:rsidRPr="007B3DCE">
        <w:rPr>
          <w:rFonts w:eastAsia="Times New Roman"/>
          <w:lang w:eastAsia="en-AU"/>
        </w:rPr>
        <w:t>The logic of the framework for measuring progress</w:t>
      </w:r>
      <w:r w:rsidR="00057646" w:rsidRPr="007B3DCE">
        <w:rPr>
          <w:rFonts w:eastAsia="Times New Roman"/>
          <w:lang w:eastAsia="en-AU"/>
        </w:rPr>
        <w:t xml:space="preserve"> </w:t>
      </w:r>
      <w:r w:rsidR="0012501E" w:rsidRPr="007B3DCE">
        <w:rPr>
          <w:rFonts w:eastAsia="Times New Roman"/>
          <w:lang w:eastAsia="en-AU"/>
        </w:rPr>
        <w:t>of</w:t>
      </w:r>
      <w:r w:rsidR="00066FE1" w:rsidRPr="007B3DCE">
        <w:rPr>
          <w:rFonts w:eastAsia="Times New Roman"/>
          <w:lang w:eastAsia="en-AU"/>
        </w:rPr>
        <w:t xml:space="preserve"> these 21 outcomes</w:t>
      </w:r>
      <w:r w:rsidR="0085613E" w:rsidRPr="007B3DCE">
        <w:rPr>
          <w:rFonts w:eastAsia="Times New Roman"/>
          <w:lang w:eastAsia="en-AU"/>
        </w:rPr>
        <w:t xml:space="preserve"> </w:t>
      </w:r>
      <w:r w:rsidR="00813B1C" w:rsidRPr="007B3DCE">
        <w:rPr>
          <w:rFonts w:eastAsia="Times New Roman"/>
          <w:lang w:eastAsia="en-AU"/>
        </w:rPr>
        <w:t>can be found in Attachment</w:t>
      </w:r>
      <w:r w:rsidR="00C21BD9" w:rsidRPr="007B3DCE">
        <w:rPr>
          <w:rFonts w:eastAsia="Times New Roman"/>
          <w:lang w:eastAsia="en-AU"/>
        </w:rPr>
        <w:t> </w:t>
      </w:r>
      <w:r w:rsidR="00813B1C" w:rsidRPr="007B3DCE">
        <w:rPr>
          <w:rFonts w:eastAsia="Times New Roman"/>
          <w:lang w:eastAsia="en-AU"/>
        </w:rPr>
        <w:t>1</w:t>
      </w:r>
      <w:r w:rsidR="00057646" w:rsidRPr="007B3DCE">
        <w:rPr>
          <w:rFonts w:eastAsia="Times New Roman"/>
          <w:lang w:eastAsia="en-AU"/>
        </w:rPr>
        <w:t xml:space="preserve">. </w:t>
      </w:r>
    </w:p>
    <w:p w14:paraId="7FFC285B" w14:textId="3D2BEC4A" w:rsidR="00066FE1" w:rsidRPr="007B3DCE" w:rsidRDefault="00FF7980" w:rsidP="00066FE1">
      <w:pPr>
        <w:pStyle w:val="BodyText"/>
      </w:pPr>
      <w:r w:rsidRPr="007B3DCE">
        <w:rPr>
          <w:rFonts w:eastAsia="Times New Roman"/>
          <w:lang w:eastAsia="en-AU"/>
        </w:rPr>
        <w:t xml:space="preserve">There are </w:t>
      </w:r>
      <w:r w:rsidR="00066FE1" w:rsidRPr="007B3DCE">
        <w:rPr>
          <w:rFonts w:eastAsia="Times New Roman"/>
          <w:lang w:eastAsia="en-AU"/>
        </w:rPr>
        <w:t>23 targets and 164 indicators</w:t>
      </w:r>
      <w:r w:rsidR="3AD7BEEA" w:rsidRPr="007B3DCE">
        <w:rPr>
          <w:rFonts w:eastAsia="Times New Roman"/>
          <w:lang w:eastAsia="en-AU"/>
        </w:rPr>
        <w:t xml:space="preserve"> across the Priority Reforms and socio-economic outcomes</w:t>
      </w:r>
      <w:r w:rsidR="001710F0" w:rsidRPr="007B3DCE">
        <w:rPr>
          <w:rFonts w:eastAsia="Times New Roman"/>
          <w:lang w:eastAsia="en-AU"/>
        </w:rPr>
        <w:t>.</w:t>
      </w:r>
      <w:r w:rsidR="001F4D6E" w:rsidRPr="009D07D6">
        <w:rPr>
          <w:rStyle w:val="FootnoteReference"/>
        </w:rPr>
        <w:footnoteReference w:id="2"/>
      </w:r>
      <w:r w:rsidR="00384B85" w:rsidRPr="007B3DCE">
        <w:rPr>
          <w:rFonts w:eastAsia="Times New Roman"/>
          <w:lang w:eastAsia="en-AU"/>
        </w:rPr>
        <w:t xml:space="preserve"> </w:t>
      </w:r>
      <w:r w:rsidR="00066FE1" w:rsidRPr="007B3DCE">
        <w:rPr>
          <w:rFonts w:eastAsia="Times New Roman"/>
          <w:lang w:eastAsia="en-AU"/>
        </w:rPr>
        <w:t>The targets are specific</w:t>
      </w:r>
      <w:r w:rsidR="00A929E2" w:rsidRPr="007B3DCE">
        <w:rPr>
          <w:rFonts w:eastAsia="Times New Roman"/>
          <w:lang w:eastAsia="en-AU"/>
        </w:rPr>
        <w:t xml:space="preserve"> and</w:t>
      </w:r>
      <w:r w:rsidR="00066FE1" w:rsidRPr="007B3DCE">
        <w:rPr>
          <w:rFonts w:eastAsia="Times New Roman"/>
          <w:lang w:eastAsia="en-AU"/>
        </w:rPr>
        <w:t xml:space="preserve"> measurable goals, while the supporting indicators provide context and information on the drivers of the outcomes.</w:t>
      </w:r>
      <w:r w:rsidR="0032119C" w:rsidRPr="007B3DCE">
        <w:rPr>
          <w:rFonts w:eastAsia="Times New Roman"/>
          <w:lang w:eastAsia="en-AU"/>
        </w:rPr>
        <w:t xml:space="preserve"> </w:t>
      </w:r>
      <w:r w:rsidR="00A46029" w:rsidRPr="007B3DCE">
        <w:rPr>
          <w:rFonts w:eastAsia="Times New Roman"/>
          <w:lang w:eastAsia="en-AU"/>
        </w:rPr>
        <w:t xml:space="preserve">Attachment </w:t>
      </w:r>
      <w:r w:rsidR="006F44B3" w:rsidRPr="007B3DCE">
        <w:rPr>
          <w:rFonts w:eastAsia="Times New Roman"/>
          <w:lang w:eastAsia="en-AU"/>
        </w:rPr>
        <w:t>2</w:t>
      </w:r>
      <w:r w:rsidR="00A46029" w:rsidRPr="007B3DCE">
        <w:rPr>
          <w:rFonts w:eastAsia="Times New Roman"/>
          <w:lang w:eastAsia="en-AU"/>
        </w:rPr>
        <w:t xml:space="preserve"> </w:t>
      </w:r>
      <w:r w:rsidR="00331578" w:rsidRPr="007B3DCE">
        <w:rPr>
          <w:rFonts w:eastAsia="Times New Roman"/>
          <w:lang w:eastAsia="en-AU"/>
        </w:rPr>
        <w:t>provides</w:t>
      </w:r>
      <w:r w:rsidR="00A46029" w:rsidRPr="007B3DCE">
        <w:rPr>
          <w:rFonts w:eastAsia="Times New Roman"/>
          <w:lang w:eastAsia="en-AU"/>
        </w:rPr>
        <w:t xml:space="preserve"> a</w:t>
      </w:r>
      <w:r w:rsidR="00D5234A" w:rsidRPr="007B3DCE">
        <w:rPr>
          <w:rFonts w:eastAsia="Times New Roman"/>
          <w:lang w:eastAsia="en-AU"/>
        </w:rPr>
        <w:t xml:space="preserve"> </w:t>
      </w:r>
      <w:r w:rsidR="00304569" w:rsidRPr="007B3DCE">
        <w:t xml:space="preserve">detailed summary of data collection for </w:t>
      </w:r>
      <w:r w:rsidR="00CC4DD8">
        <w:t>the</w:t>
      </w:r>
      <w:r w:rsidR="00D5234A" w:rsidRPr="007B3DCE">
        <w:rPr>
          <w:rFonts w:eastAsia="Times New Roman"/>
          <w:lang w:eastAsia="en-AU"/>
        </w:rPr>
        <w:t xml:space="preserve"> </w:t>
      </w:r>
      <w:r w:rsidR="00710C06" w:rsidRPr="007B3DCE">
        <w:rPr>
          <w:rFonts w:eastAsia="Times New Roman"/>
          <w:lang w:eastAsia="en-AU"/>
        </w:rPr>
        <w:t>socio</w:t>
      </w:r>
      <w:r w:rsidR="00254193">
        <w:rPr>
          <w:rFonts w:eastAsia="Times New Roman"/>
          <w:lang w:eastAsia="en-AU"/>
        </w:rPr>
        <w:noBreakHyphen/>
      </w:r>
      <w:r w:rsidR="00710C06" w:rsidRPr="007B3DCE">
        <w:rPr>
          <w:rFonts w:eastAsia="Times New Roman"/>
          <w:lang w:eastAsia="en-AU"/>
        </w:rPr>
        <w:t>economic targets and supporting indicators</w:t>
      </w:r>
      <w:r w:rsidR="00A46029" w:rsidRPr="007B3DCE">
        <w:rPr>
          <w:rFonts w:eastAsia="Times New Roman"/>
          <w:lang w:eastAsia="en-AU"/>
        </w:rPr>
        <w:t>.</w:t>
      </w:r>
      <w:r w:rsidR="00710C06" w:rsidRPr="007B3DCE">
        <w:rPr>
          <w:rFonts w:eastAsia="Times New Roman"/>
          <w:lang w:eastAsia="en-AU"/>
        </w:rPr>
        <w:t xml:space="preserve"> </w:t>
      </w:r>
    </w:p>
    <w:p w14:paraId="67F9EA26" w14:textId="6FBC6F2F" w:rsidR="00CB7367" w:rsidRPr="007B3DCE" w:rsidRDefault="00066FE1" w:rsidP="00066FE1">
      <w:pPr>
        <w:pStyle w:val="BodyText"/>
      </w:pPr>
      <w:r w:rsidRPr="007B3DCE">
        <w:t>The Productivity Commission plays a</w:t>
      </w:r>
      <w:r w:rsidR="000A0232" w:rsidRPr="007B3DCE">
        <w:t>n</w:t>
      </w:r>
      <w:r w:rsidRPr="007B3DCE">
        <w:t xml:space="preserve"> accountability role</w:t>
      </w:r>
      <w:r w:rsidR="00385D5F" w:rsidRPr="007B3DCE">
        <w:t xml:space="preserve"> under the Agreement</w:t>
      </w:r>
      <w:r w:rsidR="00331578" w:rsidRPr="007B3DCE">
        <w:t xml:space="preserve"> by</w:t>
      </w:r>
      <w:r w:rsidRPr="007B3DCE">
        <w:t xml:space="preserve"> tracking outcomes. It publishes </w:t>
      </w:r>
      <w:r w:rsidR="00676CF1" w:rsidRPr="007B3DCE">
        <w:t>this AD</w:t>
      </w:r>
      <w:r w:rsidR="00716098" w:rsidRPr="007B3DCE">
        <w:t>CR</w:t>
      </w:r>
      <w:r w:rsidR="001E18F4" w:rsidRPr="007B3DCE">
        <w:t>,</w:t>
      </w:r>
      <w:r w:rsidR="00716098" w:rsidRPr="007B3DCE">
        <w:t xml:space="preserve"> along with</w:t>
      </w:r>
      <w:r w:rsidRPr="007B3DCE">
        <w:t xml:space="preserve"> a </w:t>
      </w:r>
      <w:r w:rsidR="00467524" w:rsidRPr="007B3DCE">
        <w:t xml:space="preserve">Closing the Gap </w:t>
      </w:r>
      <w:r w:rsidR="6E12D986" w:rsidRPr="007B3DCE">
        <w:t>dashboard</w:t>
      </w:r>
      <w:r w:rsidR="007E52F4" w:rsidRPr="007B3DCE">
        <w:t xml:space="preserve"> (the dashboard)</w:t>
      </w:r>
      <w:r w:rsidR="0078222A">
        <w:t>,</w:t>
      </w:r>
      <w:r w:rsidRPr="007B3DCE">
        <w:t xml:space="preserve"> with the latest information on targets, </w:t>
      </w:r>
      <w:r w:rsidRPr="007B3DCE" w:rsidDel="00B766D9">
        <w:t>disaggregations</w:t>
      </w:r>
      <w:r w:rsidRPr="007B3DCE">
        <w:t xml:space="preserve"> (data that has been broken down into component parts, such as by gender or remoteness) and supporting indicators in the Agreement. </w:t>
      </w:r>
      <w:r w:rsidR="000F0180" w:rsidRPr="007B3DCE">
        <w:t xml:space="preserve">In addition, the Commission has a role in </w:t>
      </w:r>
      <w:r w:rsidR="001867B1" w:rsidRPr="007B3DCE">
        <w:t>comprehensive</w:t>
      </w:r>
      <w:r w:rsidR="00213238" w:rsidRPr="007B3DCE">
        <w:t>ly</w:t>
      </w:r>
      <w:r w:rsidR="001867B1" w:rsidRPr="007B3DCE">
        <w:t xml:space="preserve"> </w:t>
      </w:r>
      <w:r w:rsidR="000F0180" w:rsidRPr="007B3DCE">
        <w:t>reviewing progress against the commitments in the Agreement every three years</w:t>
      </w:r>
      <w:r w:rsidR="00331578" w:rsidRPr="007B3DCE">
        <w:t>.</w:t>
      </w:r>
      <w:r w:rsidR="000F0180" w:rsidRPr="007B3DCE">
        <w:t xml:space="preserve"> Further details on </w:t>
      </w:r>
      <w:r w:rsidR="000F03ED" w:rsidRPr="007B3DCE">
        <w:t>the Agreement’s</w:t>
      </w:r>
      <w:r w:rsidR="00EF53EA" w:rsidRPr="007B3DCE">
        <w:t xml:space="preserve"> governance </w:t>
      </w:r>
      <w:r w:rsidR="001D56D0" w:rsidRPr="007B3DCE">
        <w:t>framework</w:t>
      </w:r>
      <w:r w:rsidR="00EF53EA" w:rsidRPr="007B3DCE">
        <w:t xml:space="preserve"> can be fo</w:t>
      </w:r>
      <w:r w:rsidR="00001C49" w:rsidRPr="007B3DCE">
        <w:t xml:space="preserve">und in Attachment </w:t>
      </w:r>
      <w:r w:rsidR="00A43283" w:rsidRPr="007B3DCE">
        <w:t>3</w:t>
      </w:r>
      <w:r w:rsidR="006C101C" w:rsidRPr="007B3DCE">
        <w:t xml:space="preserve">. </w:t>
      </w:r>
    </w:p>
    <w:p w14:paraId="684B2622" w14:textId="5901D426" w:rsidR="00066FE1" w:rsidRPr="00E01401" w:rsidRDefault="00066FE1" w:rsidP="00066FE1">
      <w:pPr>
        <w:pStyle w:val="BodyText"/>
      </w:pPr>
      <w:r w:rsidRPr="007B3DCE">
        <w:t>The ADCR is published annually and provides a snapshot of the dashboard material</w:t>
      </w:r>
      <w:r w:rsidR="6E12D986" w:rsidRPr="007B3DCE">
        <w:t>.</w:t>
      </w:r>
      <w:r w:rsidRPr="007B3DCE">
        <w:t xml:space="preserve"> </w:t>
      </w:r>
      <w:r w:rsidR="00C94FA2">
        <w:t xml:space="preserve">Further details on the information presented in the </w:t>
      </w:r>
      <w:r w:rsidR="00A30363">
        <w:t xml:space="preserve">ADCR can be found on the dashboard. </w:t>
      </w:r>
      <w:r w:rsidRPr="007B3DCE">
        <w:t xml:space="preserve">This year’s report is focused on presenting new data and has </w:t>
      </w:r>
      <w:r w:rsidRPr="00E01401">
        <w:t xml:space="preserve">three </w:t>
      </w:r>
      <w:r w:rsidR="00A217B1" w:rsidRPr="00E01401">
        <w:t>parts</w:t>
      </w:r>
      <w:r w:rsidR="007A660C">
        <w:t>.</w:t>
      </w:r>
      <w:r w:rsidRPr="00E01401">
        <w:t xml:space="preserve"> </w:t>
      </w:r>
    </w:p>
    <w:p w14:paraId="2602DDA4" w14:textId="1121B53B" w:rsidR="00066FE1" w:rsidRPr="00E01401" w:rsidRDefault="007A660C" w:rsidP="0030669B">
      <w:pPr>
        <w:pStyle w:val="ListBullet"/>
        <w:numPr>
          <w:ilvl w:val="0"/>
          <w:numId w:val="17"/>
        </w:numPr>
        <w:ind w:left="227" w:hanging="227"/>
      </w:pPr>
      <w:r>
        <w:t>T</w:t>
      </w:r>
      <w:r w:rsidR="00331578" w:rsidRPr="00E01401">
        <w:t>his</w:t>
      </w:r>
      <w:r w:rsidR="00066FE1" w:rsidRPr="00E01401">
        <w:t xml:space="preserve"> overview </w:t>
      </w:r>
      <w:r w:rsidR="00A60620" w:rsidRPr="00E01401">
        <w:t>present</w:t>
      </w:r>
      <w:r w:rsidR="00946BC5" w:rsidRPr="00E01401">
        <w:t>s</w:t>
      </w:r>
      <w:r w:rsidR="00066FE1" w:rsidRPr="00E01401">
        <w:t xml:space="preserve"> </w:t>
      </w:r>
      <w:r w:rsidR="00D95A79" w:rsidRPr="00E01401">
        <w:t xml:space="preserve">an </w:t>
      </w:r>
      <w:r w:rsidR="00E2149F" w:rsidRPr="00E01401">
        <w:t xml:space="preserve">assessment of </w:t>
      </w:r>
      <w:r w:rsidR="005542AB" w:rsidRPr="00E01401">
        <w:t xml:space="preserve">progress </w:t>
      </w:r>
      <w:r w:rsidR="00E2149F" w:rsidRPr="00E01401">
        <w:t>for</w:t>
      </w:r>
      <w:r w:rsidR="009B2987" w:rsidRPr="00E01401">
        <w:t xml:space="preserve"> the outcomes, </w:t>
      </w:r>
      <w:r w:rsidR="00090770" w:rsidRPr="00E01401">
        <w:t xml:space="preserve">information on </w:t>
      </w:r>
      <w:r w:rsidR="00C87B1E" w:rsidRPr="00E01401">
        <w:t xml:space="preserve">the data landscape and </w:t>
      </w:r>
      <w:r w:rsidR="00442569" w:rsidRPr="00E01401">
        <w:t xml:space="preserve">a closer look at </w:t>
      </w:r>
      <w:r w:rsidR="00082019" w:rsidRPr="00E01401">
        <w:t>the divers</w:t>
      </w:r>
      <w:r w:rsidR="00A60620" w:rsidRPr="00E01401">
        <w:t>e</w:t>
      </w:r>
      <w:r w:rsidR="00082019" w:rsidRPr="00E01401">
        <w:t xml:space="preserve"> experiences of </w:t>
      </w:r>
      <w:r w:rsidR="0056013D" w:rsidRPr="007B3DCE">
        <w:t>Aboriginal</w:t>
      </w:r>
      <w:r w:rsidR="00066FE1" w:rsidRPr="007B3DCE">
        <w:t xml:space="preserve"> and </w:t>
      </w:r>
      <w:r w:rsidR="0056013D" w:rsidRPr="007B3DCE">
        <w:t>Torres Strait Islander people</w:t>
      </w:r>
      <w:r>
        <w:t>.</w:t>
      </w:r>
    </w:p>
    <w:p w14:paraId="56FD96A5" w14:textId="1F8E000E" w:rsidR="00412B92" w:rsidRDefault="00B03C80" w:rsidP="0030669B">
      <w:pPr>
        <w:pStyle w:val="ListBullet"/>
        <w:numPr>
          <w:ilvl w:val="0"/>
          <w:numId w:val="17"/>
        </w:numPr>
        <w:ind w:left="227" w:hanging="227"/>
      </w:pPr>
      <w:r>
        <w:t xml:space="preserve">Section 2 provides </w:t>
      </w:r>
      <w:r w:rsidR="008D6B85" w:rsidRPr="00E01401">
        <w:t xml:space="preserve">an analysis of </w:t>
      </w:r>
      <w:r w:rsidR="00665894" w:rsidRPr="00E01401">
        <w:t xml:space="preserve">progress and </w:t>
      </w:r>
      <w:r w:rsidR="00066FE1" w:rsidRPr="00E01401">
        <w:t>contextual information for each socio-economic outcome</w:t>
      </w:r>
      <w:r w:rsidR="00331578" w:rsidRPr="00E01401">
        <w:t>, grouped</w:t>
      </w:r>
      <w:r w:rsidR="00066FE1" w:rsidRPr="00E01401">
        <w:t xml:space="preserve"> under themes</w:t>
      </w:r>
      <w:r>
        <w:t>.</w:t>
      </w:r>
    </w:p>
    <w:p w14:paraId="31EECABB" w14:textId="11DEE0DB" w:rsidR="00AC6F97" w:rsidRPr="00DF743E" w:rsidRDefault="00B03C80" w:rsidP="0030669B">
      <w:pPr>
        <w:pStyle w:val="ListBullet"/>
        <w:numPr>
          <w:ilvl w:val="0"/>
          <w:numId w:val="17"/>
        </w:numPr>
        <w:ind w:left="227" w:hanging="227"/>
      </w:pPr>
      <w:r w:rsidRPr="00DF743E">
        <w:t>The</w:t>
      </w:r>
      <w:r w:rsidR="00066FE1" w:rsidRPr="00DF743E">
        <w:t xml:space="preserve"> appendix </w:t>
      </w:r>
      <w:r w:rsidRPr="00DF743E">
        <w:t>contains</w:t>
      </w:r>
      <w:r w:rsidR="00066FE1" w:rsidRPr="00DF743E">
        <w:t xml:space="preserve"> relevant background information including </w:t>
      </w:r>
      <w:r w:rsidR="0097739E" w:rsidRPr="00DF743E">
        <w:t xml:space="preserve">implementation and accountability frameworks for Closing the Gap and </w:t>
      </w:r>
      <w:r w:rsidR="00066FE1" w:rsidRPr="00DF743E">
        <w:t>a data collection summary table</w:t>
      </w:r>
      <w:r w:rsidR="00BC0629">
        <w:t>.</w:t>
      </w:r>
    </w:p>
    <w:p w14:paraId="27718DB8" w14:textId="6818550D" w:rsidR="00066FE1" w:rsidRPr="007B3DCE" w:rsidRDefault="00357108" w:rsidP="00976CC5">
      <w:pPr>
        <w:pStyle w:val="Heading2"/>
        <w:rPr>
          <w:color w:val="B65627" w:themeColor="text2"/>
          <w:lang w:eastAsia="en-AU"/>
        </w:rPr>
      </w:pPr>
      <w:bookmarkStart w:id="7" w:name="_Toc167878527"/>
      <w:bookmarkStart w:id="8" w:name="_Toc170466643"/>
      <w:r w:rsidRPr="007B3DCE">
        <w:rPr>
          <w:color w:val="B65627" w:themeColor="text2"/>
          <w:lang w:eastAsia="en-AU"/>
        </w:rPr>
        <w:lastRenderedPageBreak/>
        <w:t xml:space="preserve">1.2 </w:t>
      </w:r>
      <w:r w:rsidR="00D04D87" w:rsidRPr="007B3DCE">
        <w:rPr>
          <w:color w:val="B65627" w:themeColor="text2"/>
          <w:lang w:eastAsia="en-AU"/>
        </w:rPr>
        <w:tab/>
      </w:r>
      <w:r w:rsidR="004F2DCE" w:rsidRPr="007B3DCE">
        <w:rPr>
          <w:color w:val="B65627" w:themeColor="text2"/>
          <w:lang w:eastAsia="en-AU"/>
        </w:rPr>
        <w:t>P</w:t>
      </w:r>
      <w:r w:rsidR="00066FE1" w:rsidRPr="007B3DCE">
        <w:rPr>
          <w:color w:val="B65627" w:themeColor="text2"/>
          <w:lang w:eastAsia="en-AU"/>
        </w:rPr>
        <w:t xml:space="preserve">rogress towards Closing the Gap </w:t>
      </w:r>
      <w:bookmarkEnd w:id="7"/>
      <w:bookmarkEnd w:id="8"/>
    </w:p>
    <w:p w14:paraId="0C0A5A1F" w14:textId="28DABBF6" w:rsidR="00B55D2D" w:rsidRDefault="00B55D2D" w:rsidP="00B55D2D">
      <w:pPr>
        <w:pStyle w:val="BodyText"/>
      </w:pPr>
      <w:r w:rsidRPr="007B3DCE">
        <w:t xml:space="preserve">This </w:t>
      </w:r>
      <w:r w:rsidR="00CC0FC5">
        <w:t>report</w:t>
      </w:r>
      <w:r w:rsidRPr="007B3DCE">
        <w:t xml:space="preserve"> presents the latest assessment </w:t>
      </w:r>
      <w:r w:rsidR="00F436E0">
        <w:t xml:space="preserve">of </w:t>
      </w:r>
      <w:r w:rsidRPr="007B3DCE">
        <w:t>progress for each target</w:t>
      </w:r>
      <w:r w:rsidR="005E3F57">
        <w:t>.</w:t>
      </w:r>
      <w:r w:rsidR="00257ACA">
        <w:t xml:space="preserve"> </w:t>
      </w:r>
      <w:r w:rsidR="005266D1">
        <w:t>The</w:t>
      </w:r>
      <w:r w:rsidR="008318E6">
        <w:t xml:space="preserve"> socio</w:t>
      </w:r>
      <w:r w:rsidRPr="007B3DCE">
        <w:t>-economic outcomes</w:t>
      </w:r>
      <w:r w:rsidR="005266D1">
        <w:t xml:space="preserve"> are reported</w:t>
      </w:r>
      <w:r w:rsidRPr="007B3DCE">
        <w:t xml:space="preserve"> thematically rather than in numerical order to provide a more comprehensive picture of progress</w:t>
      </w:r>
      <w:r w:rsidR="00337A20">
        <w:t xml:space="preserve"> and to illustrate how i</w:t>
      </w:r>
      <w:r w:rsidR="002576D9">
        <w:t>nterconnected the outcome areas are</w:t>
      </w:r>
      <w:r w:rsidRPr="007B3DCE">
        <w:t xml:space="preserve">. </w:t>
      </w:r>
    </w:p>
    <w:p w14:paraId="4F99F7CE" w14:textId="6E494CE6" w:rsidR="00A741BE" w:rsidRPr="007B3DCE" w:rsidRDefault="00A741BE" w:rsidP="00A741BE">
      <w:pPr>
        <w:pStyle w:val="ListBullet"/>
      </w:pPr>
      <w:r w:rsidRPr="007B3DCE">
        <w:t>The Commonwealth, states and territories share accountability for the implementation of the Agreement and are jointly accountable for the outcomes and targets. Th</w:t>
      </w:r>
      <w:r w:rsidR="005F41B9">
        <w:t>e</w:t>
      </w:r>
      <w:r w:rsidRPr="007B3DCE">
        <w:t xml:space="preserve"> report focuses on national outcomes, as there are currently no formal ‘targets’ to assess state and territory progress</w:t>
      </w:r>
      <w:r>
        <w:t>.</w:t>
      </w:r>
      <w:r w:rsidRPr="007B3DCE">
        <w:t xml:space="preserve"> A summary table outlining the assessment of progress for states and territories can be found in Attachment 4. </w:t>
      </w:r>
    </w:p>
    <w:p w14:paraId="195894E9" w14:textId="6FCEED78" w:rsidR="007C3E32" w:rsidRPr="00D2252B" w:rsidRDefault="00794CDA" w:rsidP="00D76134">
      <w:pPr>
        <w:pStyle w:val="Heading3"/>
        <w:rPr>
          <w:color w:val="8C5E44" w:themeColor="text1"/>
        </w:rPr>
      </w:pPr>
      <w:r w:rsidRPr="00D2252B">
        <w:rPr>
          <w:color w:val="8C5E44" w:themeColor="text1"/>
        </w:rPr>
        <w:t>Mixed progress in the s</w:t>
      </w:r>
      <w:r w:rsidR="007C3E32" w:rsidRPr="00D2252B">
        <w:rPr>
          <w:color w:val="8C5E44" w:themeColor="text1"/>
        </w:rPr>
        <w:t>ocio-</w:t>
      </w:r>
      <w:r w:rsidR="00EB146F" w:rsidRPr="00D2252B">
        <w:rPr>
          <w:color w:val="8C5E44" w:themeColor="text1"/>
        </w:rPr>
        <w:t>economic</w:t>
      </w:r>
      <w:r w:rsidR="007C3E32" w:rsidRPr="00D2252B">
        <w:rPr>
          <w:color w:val="8C5E44" w:themeColor="text1"/>
        </w:rPr>
        <w:t xml:space="preserve"> outcomes</w:t>
      </w:r>
    </w:p>
    <w:p w14:paraId="130727D8" w14:textId="700CFDD8" w:rsidR="00CB6C6B" w:rsidRPr="004C31CC" w:rsidRDefault="00CB6C6B" w:rsidP="00CB6C6B">
      <w:pPr>
        <w:pStyle w:val="BodyText"/>
        <w:rPr>
          <w:rFonts w:cstheme="minorHAnsi"/>
          <w:color w:val="000000"/>
        </w:rPr>
      </w:pPr>
      <w:r w:rsidRPr="004C31CC">
        <w:rPr>
          <w:rFonts w:cstheme="minorHAnsi"/>
        </w:rPr>
        <w:t>Overall, data is</w:t>
      </w:r>
      <w:r w:rsidRPr="004C31CC" w:rsidDel="004144EF">
        <w:rPr>
          <w:rFonts w:cstheme="minorHAnsi"/>
        </w:rPr>
        <w:t xml:space="preserve"> </w:t>
      </w:r>
      <w:r w:rsidRPr="004C31CC">
        <w:rPr>
          <w:rFonts w:cstheme="minorHAnsi"/>
        </w:rPr>
        <w:t>available to report progress on 15 out of the 19 socio-economic targets. Five targets are on track, five targets show improvement but are not on track, progress for four targets is worsening</w:t>
      </w:r>
      <w:r w:rsidRPr="004C31CC">
        <w:rPr>
          <w:rFonts w:cstheme="minorHAnsi"/>
          <w:color w:val="000000"/>
        </w:rPr>
        <w:t xml:space="preserve"> and one has shown no change</w:t>
      </w:r>
      <w:r w:rsidR="00DC0636" w:rsidRPr="004C31CC">
        <w:rPr>
          <w:rFonts w:cstheme="minorHAnsi"/>
          <w:color w:val="000000"/>
        </w:rPr>
        <w:t xml:space="preserve"> </w:t>
      </w:r>
      <w:r w:rsidR="00B80D7F" w:rsidRPr="004C31CC">
        <w:rPr>
          <w:rFonts w:cstheme="minorHAnsi"/>
          <w:color w:val="000000"/>
        </w:rPr>
        <w:t>from</w:t>
      </w:r>
      <w:r w:rsidR="00DC0636" w:rsidRPr="004C31CC">
        <w:rPr>
          <w:rFonts w:cstheme="minorHAnsi"/>
          <w:color w:val="000000"/>
        </w:rPr>
        <w:t xml:space="preserve"> the baseline</w:t>
      </w:r>
      <w:r w:rsidR="00CA7D69" w:rsidRPr="004C31CC">
        <w:rPr>
          <w:rFonts w:cstheme="minorHAnsi"/>
          <w:color w:val="000000"/>
        </w:rPr>
        <w:t xml:space="preserve"> (table 1.1)</w:t>
      </w:r>
      <w:r w:rsidRPr="004C31CC">
        <w:rPr>
          <w:rFonts w:cstheme="minorHAnsi"/>
          <w:color w:val="000000"/>
        </w:rPr>
        <w:t xml:space="preserve">. </w:t>
      </w:r>
      <w:r w:rsidR="009E20BB" w:rsidRPr="004C31CC">
        <w:rPr>
          <w:rFonts w:cstheme="minorHAnsi"/>
          <w:color w:val="000000"/>
        </w:rPr>
        <w:t xml:space="preserve">Figure 1.1 presents a </w:t>
      </w:r>
      <w:r w:rsidR="00C42E7B" w:rsidRPr="004C31CC">
        <w:rPr>
          <w:rFonts w:cstheme="minorHAnsi"/>
          <w:color w:val="000000"/>
        </w:rPr>
        <w:t xml:space="preserve">progress </w:t>
      </w:r>
      <w:r w:rsidR="00A63D25" w:rsidRPr="004C31CC">
        <w:rPr>
          <w:rFonts w:cstheme="minorHAnsi"/>
          <w:color w:val="000000"/>
        </w:rPr>
        <w:t xml:space="preserve">of </w:t>
      </w:r>
      <w:r w:rsidR="001979BD" w:rsidRPr="004C31CC">
        <w:rPr>
          <w:rFonts w:cstheme="minorHAnsi"/>
          <w:color w:val="000000"/>
        </w:rPr>
        <w:t>assessment summary</w:t>
      </w:r>
      <w:r w:rsidR="00C42E7B" w:rsidRPr="004C31CC">
        <w:rPr>
          <w:rFonts w:cstheme="minorHAnsi"/>
          <w:color w:val="000000"/>
        </w:rPr>
        <w:t xml:space="preserve"> </w:t>
      </w:r>
      <w:r w:rsidR="001979BD" w:rsidRPr="004C31CC">
        <w:rPr>
          <w:rFonts w:cstheme="minorHAnsi"/>
          <w:color w:val="000000"/>
        </w:rPr>
        <w:t>for</w:t>
      </w:r>
      <w:r w:rsidR="00C42E7B" w:rsidRPr="004C31CC">
        <w:rPr>
          <w:rFonts w:cstheme="minorHAnsi"/>
          <w:color w:val="000000"/>
        </w:rPr>
        <w:t xml:space="preserve"> </w:t>
      </w:r>
      <w:r w:rsidR="009F3958" w:rsidRPr="004C31CC">
        <w:rPr>
          <w:rFonts w:cstheme="minorHAnsi"/>
          <w:color w:val="000000"/>
        </w:rPr>
        <w:t>the socio-economic targets</w:t>
      </w:r>
      <w:r w:rsidR="00544884" w:rsidRPr="004C31CC">
        <w:rPr>
          <w:rFonts w:cstheme="minorHAnsi"/>
          <w:color w:val="000000"/>
        </w:rPr>
        <w:t xml:space="preserve">. </w:t>
      </w:r>
    </w:p>
    <w:p w14:paraId="510273A9" w14:textId="77777777" w:rsidR="005B4138" w:rsidRDefault="2F9D1EDE" w:rsidP="00726CC3">
      <w:pPr>
        <w:pStyle w:val="BodyText"/>
        <w:rPr>
          <w:rFonts w:cstheme="minorHAnsi"/>
          <w:spacing w:val="-2"/>
        </w:rPr>
        <w:sectPr w:rsidR="005B4138" w:rsidSect="00042B06">
          <w:headerReference w:type="even" r:id="rId33"/>
          <w:pgSz w:w="11906" w:h="16838" w:code="9"/>
          <w:pgMar w:top="1134" w:right="1134" w:bottom="1134" w:left="1134" w:header="737" w:footer="510" w:gutter="0"/>
          <w:pgNumType w:start="2"/>
          <w:cols w:space="708"/>
          <w:docGrid w:linePitch="360"/>
        </w:sectPr>
      </w:pPr>
      <w:r w:rsidRPr="00DF7294">
        <w:rPr>
          <w:rStyle w:val="ui-provider"/>
          <w:rFonts w:cstheme="minorHAnsi"/>
          <w:spacing w:val="-2"/>
        </w:rPr>
        <w:t xml:space="preserve">The data used to report </w:t>
      </w:r>
      <w:r w:rsidR="00F24E28" w:rsidRPr="00DF7294">
        <w:rPr>
          <w:rStyle w:val="ui-provider"/>
          <w:rFonts w:cstheme="minorHAnsi"/>
          <w:spacing w:val="-2"/>
        </w:rPr>
        <w:t xml:space="preserve">socio-economic </w:t>
      </w:r>
      <w:r w:rsidR="00393B8A" w:rsidRPr="00DF7294">
        <w:rPr>
          <w:rStyle w:val="ui-provider"/>
          <w:rFonts w:cstheme="minorHAnsi"/>
          <w:spacing w:val="-2"/>
        </w:rPr>
        <w:t xml:space="preserve">outcomes is </w:t>
      </w:r>
      <w:r w:rsidR="000E1CA4" w:rsidRPr="00DF7294">
        <w:rPr>
          <w:rStyle w:val="ui-provider"/>
          <w:rFonts w:cstheme="minorHAnsi"/>
          <w:spacing w:val="-2"/>
        </w:rPr>
        <w:t>fundamental to understanding</w:t>
      </w:r>
      <w:r w:rsidRPr="00DF7294">
        <w:rPr>
          <w:rStyle w:val="ui-provider"/>
          <w:rFonts w:cstheme="minorHAnsi"/>
          <w:spacing w:val="-2"/>
        </w:rPr>
        <w:t xml:space="preserve"> </w:t>
      </w:r>
      <w:r w:rsidR="0065361A" w:rsidRPr="00DF7294">
        <w:rPr>
          <w:rStyle w:val="ui-provider"/>
          <w:rFonts w:cstheme="minorHAnsi"/>
          <w:spacing w:val="-2"/>
        </w:rPr>
        <w:t>progress in</w:t>
      </w:r>
      <w:r w:rsidRPr="00DF7294">
        <w:rPr>
          <w:rStyle w:val="ui-provider"/>
          <w:rFonts w:cstheme="minorHAnsi"/>
          <w:spacing w:val="-2"/>
        </w:rPr>
        <w:t xml:space="preserve"> Closing the Gap. However, data alone is insufficient to understand the diverse experiences and voices of </w:t>
      </w:r>
      <w:r w:rsidRPr="00DF7294">
        <w:rPr>
          <w:rStyle w:val="ui-provider"/>
          <w:rFonts w:eastAsia="Arial" w:cstheme="minorHAnsi"/>
          <w:spacing w:val="-2"/>
        </w:rPr>
        <w:t xml:space="preserve">Aboriginal and Torres Strait Islander people across Australia. </w:t>
      </w:r>
      <w:r w:rsidR="0001722C" w:rsidRPr="00DF7294">
        <w:rPr>
          <w:rStyle w:val="ui-provider"/>
          <w:rFonts w:eastAsia="Arial" w:cstheme="minorHAnsi"/>
          <w:spacing w:val="-2"/>
        </w:rPr>
        <w:t>D</w:t>
      </w:r>
      <w:r w:rsidRPr="00DF7294">
        <w:rPr>
          <w:rStyle w:val="ui-provider"/>
          <w:rFonts w:eastAsia="Arial" w:cstheme="minorHAnsi"/>
          <w:spacing w:val="-2"/>
        </w:rPr>
        <w:t>ata</w:t>
      </w:r>
      <w:r w:rsidR="008832A0" w:rsidRPr="00DF7294">
        <w:rPr>
          <w:rStyle w:val="ui-provider"/>
          <w:rFonts w:eastAsia="Arial" w:cstheme="minorHAnsi"/>
          <w:spacing w:val="-2"/>
        </w:rPr>
        <w:t>, especially at macro-levels</w:t>
      </w:r>
      <w:r w:rsidR="0079589C" w:rsidRPr="00DF7294">
        <w:rPr>
          <w:rStyle w:val="ui-provider"/>
          <w:rFonts w:eastAsia="Arial" w:cstheme="minorHAnsi"/>
          <w:spacing w:val="-2"/>
        </w:rPr>
        <w:t>,</w:t>
      </w:r>
      <w:r w:rsidRPr="00DF7294">
        <w:rPr>
          <w:rStyle w:val="ui-provider"/>
          <w:rFonts w:eastAsia="Arial" w:cstheme="minorHAnsi"/>
          <w:spacing w:val="-2"/>
        </w:rPr>
        <w:t xml:space="preserve"> can reinforce deficit narratives and binary comparison and </w:t>
      </w:r>
      <w:r w:rsidR="00EC3D52" w:rsidRPr="00DF7294">
        <w:rPr>
          <w:rStyle w:val="ui-provider"/>
          <w:rFonts w:eastAsia="Arial" w:cstheme="minorHAnsi"/>
          <w:spacing w:val="-2"/>
        </w:rPr>
        <w:t>fails</w:t>
      </w:r>
      <w:r w:rsidRPr="00DF7294">
        <w:rPr>
          <w:rStyle w:val="ui-provider"/>
          <w:rFonts w:eastAsia="Arial" w:cstheme="minorHAnsi"/>
          <w:spacing w:val="-2"/>
        </w:rPr>
        <w:t xml:space="preserve"> to recognise the contribution</w:t>
      </w:r>
      <w:r w:rsidR="00222D10" w:rsidRPr="00DF7294">
        <w:rPr>
          <w:rStyle w:val="ui-provider"/>
          <w:rFonts w:eastAsia="Arial" w:cstheme="minorHAnsi"/>
          <w:spacing w:val="-2"/>
        </w:rPr>
        <w:t>s</w:t>
      </w:r>
      <w:r w:rsidRPr="00DF7294">
        <w:rPr>
          <w:rStyle w:val="ui-provider"/>
          <w:rFonts w:eastAsia="Arial" w:cstheme="minorHAnsi"/>
          <w:spacing w:val="-2"/>
        </w:rPr>
        <w:t xml:space="preserve"> and resilience of Aboriginal and Torres Strait Islander people </w:t>
      </w:r>
      <w:r w:rsidRPr="00DF7294">
        <w:rPr>
          <w:rFonts w:cstheme="minorHAnsi"/>
          <w:spacing w:val="-2"/>
        </w:rPr>
        <w:t>(Prehn 2024)</w:t>
      </w:r>
      <w:r w:rsidRPr="00DF7294">
        <w:rPr>
          <w:rStyle w:val="ui-provider"/>
          <w:rFonts w:eastAsia="Arial" w:cstheme="minorHAnsi"/>
          <w:spacing w:val="-2"/>
        </w:rPr>
        <w:t xml:space="preserve">. </w:t>
      </w:r>
      <w:r w:rsidRPr="00DF7294" w:rsidDel="6E165F86">
        <w:rPr>
          <w:rFonts w:cstheme="minorHAnsi"/>
          <w:spacing w:val="-2"/>
        </w:rPr>
        <w:t>T</w:t>
      </w:r>
      <w:r w:rsidR="6E165F86" w:rsidRPr="00DF7294">
        <w:rPr>
          <w:rFonts w:cstheme="minorHAnsi"/>
          <w:spacing w:val="-2"/>
        </w:rPr>
        <w:t>his report considers the historical and ongoing context for Aboriginal and Torres Strait Islander people and the socio-economic outcomes within the Agreement. It acknowledges the impacts of colonisation</w:t>
      </w:r>
      <w:r w:rsidR="00CF22A6" w:rsidRPr="00DF7294">
        <w:rPr>
          <w:rFonts w:cstheme="minorHAnsi"/>
          <w:spacing w:val="-2"/>
        </w:rPr>
        <w:t>,</w:t>
      </w:r>
      <w:r w:rsidR="6E165F86" w:rsidRPr="00DF7294">
        <w:rPr>
          <w:rFonts w:cstheme="minorHAnsi"/>
          <w:spacing w:val="-2"/>
        </w:rPr>
        <w:t xml:space="preserve"> government policies </w:t>
      </w:r>
      <w:r w:rsidR="3BC4A630" w:rsidRPr="00DF7294">
        <w:rPr>
          <w:rFonts w:cstheme="minorHAnsi"/>
          <w:spacing w:val="-2"/>
        </w:rPr>
        <w:t xml:space="preserve">and legislation </w:t>
      </w:r>
      <w:r w:rsidR="6E165F86" w:rsidRPr="00DF7294">
        <w:rPr>
          <w:rFonts w:cstheme="minorHAnsi"/>
          <w:spacing w:val="-2"/>
        </w:rPr>
        <w:t>as well as the ongoing strength and resilience of Aboriginal and Torres Strait Islander people in sustaining the world’s oldest living cultures.</w:t>
      </w:r>
    </w:p>
    <w:p w14:paraId="661C06F7" w14:textId="77777777" w:rsidR="005B4138" w:rsidRDefault="005B4138" w:rsidP="00726CC3">
      <w:pPr>
        <w:pStyle w:val="BodyText"/>
        <w:rPr>
          <w:rFonts w:cstheme="minorHAnsi"/>
          <w:spacing w:val="-2"/>
        </w:rPr>
        <w:sectPr w:rsidR="005B4138" w:rsidSect="005B4138">
          <w:type w:val="continuous"/>
          <w:pgSz w:w="11906" w:h="16838" w:code="9"/>
          <w:pgMar w:top="1134" w:right="1134" w:bottom="1134" w:left="1134" w:header="737" w:footer="510" w:gutter="0"/>
          <w:cols w:space="708"/>
          <w:docGrid w:linePitch="360"/>
        </w:sectPr>
      </w:pPr>
    </w:p>
    <w:tbl>
      <w:tblPr>
        <w:tblStyle w:val="TableGrid"/>
        <w:tblpPr w:leftFromText="180" w:rightFromText="180" w:vertAnchor="page" w:horzAnchor="margin" w:tblpY="1358"/>
        <w:tblW w:w="9688" w:type="dxa"/>
        <w:tblBorders>
          <w:top w:val="none" w:sz="0" w:space="0" w:color="auto"/>
          <w:left w:val="none" w:sz="0" w:space="0" w:color="auto"/>
          <w:bottom w:val="none" w:sz="0" w:space="0" w:color="auto"/>
          <w:right w:val="none" w:sz="0" w:space="0" w:color="auto"/>
          <w:insideH w:val="single" w:sz="4" w:space="0" w:color="FFFFFF"/>
          <w:insideV w:val="single" w:sz="4" w:space="0" w:color="FFFFFF"/>
        </w:tblBorders>
        <w:tblLook w:val="04A0" w:firstRow="1" w:lastRow="0" w:firstColumn="1" w:lastColumn="0" w:noHBand="0" w:noVBand="1"/>
      </w:tblPr>
      <w:tblGrid>
        <w:gridCol w:w="1636"/>
        <w:gridCol w:w="8052"/>
      </w:tblGrid>
      <w:tr w:rsidR="000A07B3" w:rsidRPr="007B3DCE" w14:paraId="02F50995" w14:textId="77777777" w:rsidTr="00670A74">
        <w:trPr>
          <w:trHeight w:val="847"/>
        </w:trPr>
        <w:tc>
          <w:tcPr>
            <w:tcW w:w="9688" w:type="dxa"/>
            <w:gridSpan w:val="2"/>
            <w:shd w:val="clear" w:color="auto" w:fill="auto"/>
            <w:vAlign w:val="center"/>
          </w:tcPr>
          <w:p w14:paraId="3BD20420" w14:textId="77777777" w:rsidR="000A07B3" w:rsidRPr="00E04862" w:rsidRDefault="000A07B3" w:rsidP="00670A74">
            <w:pPr>
              <w:pStyle w:val="FigureTableHeading"/>
              <w:spacing w:before="360"/>
              <w:rPr>
                <w:rStyle w:val="normaltextrun"/>
              </w:rPr>
            </w:pPr>
            <w:r w:rsidRPr="005F1D1C">
              <w:lastRenderedPageBreak/>
              <w:t xml:space="preserve">Table 1.1 – Summary of progress grouped by themes </w:t>
            </w:r>
          </w:p>
        </w:tc>
      </w:tr>
      <w:tr w:rsidR="000A07B3" w:rsidRPr="007B3DCE" w14:paraId="309B425F" w14:textId="77777777" w:rsidTr="000A07B3">
        <w:trPr>
          <w:trHeight w:val="1063"/>
        </w:trPr>
        <w:tc>
          <w:tcPr>
            <w:tcW w:w="1636" w:type="dxa"/>
            <w:shd w:val="clear" w:color="auto" w:fill="3B2A1C" w:themeFill="background1" w:themeFillShade="80"/>
            <w:vAlign w:val="center"/>
          </w:tcPr>
          <w:p w14:paraId="0D7D5753" w14:textId="77777777" w:rsidR="000A07B3" w:rsidRPr="00AD25C5" w:rsidRDefault="000A07B3" w:rsidP="00670A74">
            <w:pPr>
              <w:pStyle w:val="Heading3"/>
              <w:spacing w:before="0" w:after="0" w:line="200" w:lineRule="atLeast"/>
              <w:rPr>
                <w:rStyle w:val="Strong"/>
                <w:rFonts w:asciiTheme="majorHAnsi" w:hAnsiTheme="majorHAnsi"/>
                <w:b w:val="0"/>
                <w:color w:val="FFFFFF"/>
                <w:sz w:val="20"/>
                <w:szCs w:val="20"/>
              </w:rPr>
            </w:pPr>
            <w:r w:rsidRPr="00AD25C5">
              <w:rPr>
                <w:rStyle w:val="Strong"/>
                <w:rFonts w:asciiTheme="majorHAnsi" w:hAnsiTheme="majorHAnsi"/>
                <w:b w:val="0"/>
                <w:color w:val="FFFFFF"/>
                <w:sz w:val="20"/>
                <w:szCs w:val="20"/>
              </w:rPr>
              <w:t>Health, wellbeing and development</w:t>
            </w:r>
          </w:p>
        </w:tc>
        <w:tc>
          <w:tcPr>
            <w:tcW w:w="8052" w:type="dxa"/>
            <w:shd w:val="clear" w:color="auto" w:fill="EFE5DD"/>
            <w:vAlign w:val="center"/>
          </w:tcPr>
          <w:p w14:paraId="1C8BB57E"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 life expectancy gap between Aboriginal and Torres Strait Islander people and non-Indigenous people is improving but the target of a zero life expectancy gap is not on track to be met by 2031 (Target 1)*.</w:t>
            </w:r>
          </w:p>
          <w:p w14:paraId="36BE5EF1"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A higher proportion of Aboriginal and Torres Strait Islander babies are being born at a healthy birthweight and the target is on track to be met by 2031 (Target 2)*. The 2023 ADCR reported this target as improving but not on track.</w:t>
            </w:r>
          </w:p>
          <w:p w14:paraId="404D17EC"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 proportion of Aboriginal and Torres Strait Islander children assessed as developmentally on track has declined and the target is not on track to be met by 2031 (Target 4).</w:t>
            </w:r>
          </w:p>
          <w:p w14:paraId="689B8070" w14:textId="77777777" w:rsidR="000A07B3" w:rsidRPr="00670A74" w:rsidRDefault="000A07B3" w:rsidP="00670A74">
            <w:pPr>
              <w:pStyle w:val="ListBullet"/>
              <w:numPr>
                <w:ilvl w:val="0"/>
                <w:numId w:val="17"/>
              </w:numPr>
              <w:spacing w:line="200" w:lineRule="atLeast"/>
              <w:ind w:left="227" w:hanging="227"/>
              <w:rPr>
                <w:rStyle w:val="normaltextrun"/>
                <w:rFonts w:cstheme="minorHAnsi"/>
                <w:sz w:val="18"/>
                <w:szCs w:val="18"/>
              </w:rPr>
            </w:pPr>
            <w:r w:rsidRPr="00670A74">
              <w:rPr>
                <w:spacing w:val="2"/>
                <w:sz w:val="18"/>
                <w:szCs w:val="18"/>
              </w:rPr>
              <w:t>For Aboriginal and Torres Strait Islander people, the rate of deaths by suicide is increasing and the target of a significant and sustained reduction is not on track to be met (Target 14)*.</w:t>
            </w:r>
          </w:p>
        </w:tc>
      </w:tr>
      <w:tr w:rsidR="000A07B3" w:rsidRPr="007B3DCE" w14:paraId="77455BBC" w14:textId="77777777" w:rsidTr="000A07B3">
        <w:trPr>
          <w:trHeight w:val="1063"/>
        </w:trPr>
        <w:tc>
          <w:tcPr>
            <w:tcW w:w="1636" w:type="dxa"/>
            <w:shd w:val="clear" w:color="auto" w:fill="854B1F"/>
            <w:vAlign w:val="center"/>
          </w:tcPr>
          <w:p w14:paraId="4F4E0FC0" w14:textId="77777777" w:rsidR="000A07B3" w:rsidRPr="00AD25C5" w:rsidRDefault="000A07B3" w:rsidP="00670A74">
            <w:pPr>
              <w:pStyle w:val="Heading3"/>
              <w:spacing w:before="0" w:after="0" w:line="200" w:lineRule="atLeast"/>
              <w:rPr>
                <w:rFonts w:eastAsiaTheme="minorHAnsi" w:cstheme="minorBidi"/>
                <w:color w:val="FFFFFF"/>
                <w:sz w:val="20"/>
                <w:szCs w:val="20"/>
              </w:rPr>
            </w:pPr>
            <w:r w:rsidRPr="00AD25C5">
              <w:rPr>
                <w:rStyle w:val="Strong"/>
                <w:rFonts w:asciiTheme="majorHAnsi" w:hAnsiTheme="majorHAnsi"/>
                <w:b w:val="0"/>
                <w:color w:val="FFFFFF"/>
                <w:sz w:val="20"/>
                <w:szCs w:val="20"/>
              </w:rPr>
              <w:t xml:space="preserve">Families </w:t>
            </w:r>
            <w:r>
              <w:rPr>
                <w:rStyle w:val="Strong"/>
                <w:rFonts w:asciiTheme="majorHAnsi" w:hAnsiTheme="majorHAnsi"/>
                <w:b w:val="0"/>
                <w:color w:val="FFFFFF"/>
                <w:sz w:val="20"/>
                <w:szCs w:val="20"/>
              </w:rPr>
              <w:br/>
            </w:r>
            <w:r w:rsidRPr="00AD25C5">
              <w:rPr>
                <w:rStyle w:val="Strong"/>
                <w:rFonts w:asciiTheme="majorHAnsi" w:hAnsiTheme="majorHAnsi"/>
                <w:b w:val="0"/>
                <w:color w:val="FFFFFF"/>
                <w:sz w:val="20"/>
                <w:szCs w:val="20"/>
              </w:rPr>
              <w:t xml:space="preserve">and kin </w:t>
            </w:r>
          </w:p>
        </w:tc>
        <w:tc>
          <w:tcPr>
            <w:tcW w:w="8052" w:type="dxa"/>
            <w:shd w:val="clear" w:color="auto" w:fill="F4DFD0"/>
            <w:vAlign w:val="center"/>
          </w:tcPr>
          <w:p w14:paraId="00BF1F68"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 rate of Aboriginal and Torres Strait Islander children in out-of-home care is increasing (not decreasing) and the target is not on track to be met by 2031 (Target 12)*.</w:t>
            </w:r>
          </w:p>
          <w:p w14:paraId="3F24866A"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pacing w:val="2"/>
                <w:sz w:val="18"/>
                <w:szCs w:val="18"/>
              </w:rPr>
              <w:t>No data is available to track the proportion of Aboriginal and Torres Strait Islander females and children who have experienced family violence (Target 13).</w:t>
            </w:r>
          </w:p>
        </w:tc>
      </w:tr>
      <w:tr w:rsidR="000A07B3" w:rsidRPr="007B3DCE" w14:paraId="1DED0913" w14:textId="77777777" w:rsidTr="000A07B3">
        <w:trPr>
          <w:trHeight w:val="737"/>
        </w:trPr>
        <w:tc>
          <w:tcPr>
            <w:tcW w:w="1636" w:type="dxa"/>
            <w:shd w:val="clear" w:color="auto" w:fill="732B11" w:themeFill="accent4" w:themeFillShade="80"/>
            <w:vAlign w:val="center"/>
          </w:tcPr>
          <w:p w14:paraId="3ADD2EB0" w14:textId="77777777" w:rsidR="000A07B3" w:rsidRPr="00AD25C5" w:rsidRDefault="000A07B3" w:rsidP="00670A74">
            <w:pPr>
              <w:pStyle w:val="Heading3"/>
              <w:spacing w:before="0" w:after="0" w:line="200" w:lineRule="atLeast"/>
              <w:rPr>
                <w:rStyle w:val="Strong"/>
                <w:rFonts w:asciiTheme="majorHAnsi" w:hAnsiTheme="majorHAnsi"/>
                <w:b w:val="0"/>
                <w:color w:val="FFFFFF"/>
                <w:sz w:val="20"/>
                <w:szCs w:val="20"/>
              </w:rPr>
            </w:pPr>
            <w:r w:rsidRPr="00AD25C5">
              <w:rPr>
                <w:rStyle w:val="Strong"/>
                <w:rFonts w:asciiTheme="majorHAnsi" w:hAnsiTheme="majorHAnsi"/>
                <w:b w:val="0"/>
                <w:color w:val="FFFFFF"/>
                <w:sz w:val="20"/>
                <w:szCs w:val="20"/>
              </w:rPr>
              <w:t>Language</w:t>
            </w:r>
          </w:p>
        </w:tc>
        <w:tc>
          <w:tcPr>
            <w:tcW w:w="8052" w:type="dxa"/>
            <w:shd w:val="clear" w:color="auto" w:fill="F8DED4" w:themeFill="accent4" w:themeFillTint="33"/>
            <w:vAlign w:val="center"/>
          </w:tcPr>
          <w:p w14:paraId="5254E549" w14:textId="10BF1D63"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There is no new data available to report on the progress towards a sustained increase in the number and strength of Aboriginal and Torres Strait Islander languages since the baseline was established (Target 16)*</w:t>
            </w:r>
            <w:r w:rsidR="00BB4681" w:rsidRPr="00670A74">
              <w:rPr>
                <w:spacing w:val="2"/>
                <w:sz w:val="18"/>
                <w:szCs w:val="18"/>
              </w:rPr>
              <w:t>.</w:t>
            </w:r>
          </w:p>
        </w:tc>
      </w:tr>
      <w:tr w:rsidR="000A07B3" w:rsidRPr="007B3DCE" w14:paraId="751A1A62" w14:textId="77777777" w:rsidTr="0053769D">
        <w:trPr>
          <w:trHeight w:val="2230"/>
        </w:trPr>
        <w:tc>
          <w:tcPr>
            <w:tcW w:w="1636" w:type="dxa"/>
            <w:shd w:val="clear" w:color="auto" w:fill="102B44"/>
            <w:vAlign w:val="center"/>
          </w:tcPr>
          <w:p w14:paraId="2981D26E" w14:textId="77777777" w:rsidR="000A07B3" w:rsidRPr="00AD25C5" w:rsidRDefault="000A07B3" w:rsidP="00670A74">
            <w:pPr>
              <w:pStyle w:val="Heading3"/>
              <w:spacing w:before="0" w:after="0" w:line="200" w:lineRule="atLeast"/>
              <w:rPr>
                <w:rFonts w:eastAsiaTheme="minorHAnsi" w:cstheme="minorBidi"/>
                <w:color w:val="FFFFFF"/>
                <w:sz w:val="20"/>
                <w:szCs w:val="20"/>
              </w:rPr>
            </w:pPr>
            <w:r w:rsidRPr="00AD25C5">
              <w:rPr>
                <w:rStyle w:val="Strong"/>
                <w:rFonts w:asciiTheme="majorHAnsi" w:hAnsiTheme="majorHAnsi"/>
                <w:b w:val="0"/>
                <w:color w:val="FFFFFF"/>
                <w:sz w:val="20"/>
                <w:szCs w:val="20"/>
              </w:rPr>
              <w:t>Education and training</w:t>
            </w:r>
          </w:p>
        </w:tc>
        <w:tc>
          <w:tcPr>
            <w:tcW w:w="8052" w:type="dxa"/>
            <w:shd w:val="clear" w:color="auto" w:fill="D2E4F4" w:themeFill="accent2" w:themeFillTint="33"/>
            <w:vAlign w:val="center"/>
          </w:tcPr>
          <w:p w14:paraId="74728619"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 proportion of Aboriginal and Torres Strait Islander children enrolled in Year Before Fulltime Schooling (YBFS) early childhood education is increasing and is on track to be met by 2025 (Target 3)*.</w:t>
            </w:r>
          </w:p>
          <w:p w14:paraId="688F5980"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The proportion of Aboriginal and Torres Strait Islander people attaining Year 12 or equivalent is increasing, but the target is not on track to be met by 2031 (Target 5).</w:t>
            </w:r>
          </w:p>
          <w:p w14:paraId="5E697D68"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 proportion of Aboriginal and Torres Strait Islander people aged 25–34 years who have completed a tertiary qualification is increasing, but the target is not on track to be met by 2031 (Target 6).</w:t>
            </w:r>
          </w:p>
          <w:p w14:paraId="0FFCECEE"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The proportion of Aboriginal and Torres Strait Islander young people fully engaged in employment, education or training</w:t>
            </w:r>
            <w:r w:rsidRPr="00670A74" w:rsidDel="00E262BC">
              <w:rPr>
                <w:sz w:val="18"/>
                <w:szCs w:val="18"/>
              </w:rPr>
              <w:t xml:space="preserve"> </w:t>
            </w:r>
            <w:r w:rsidRPr="00670A74">
              <w:rPr>
                <w:sz w:val="18"/>
                <w:szCs w:val="18"/>
              </w:rPr>
              <w:t>has</w:t>
            </w:r>
            <w:r w:rsidRPr="00670A74" w:rsidDel="00E262BC">
              <w:rPr>
                <w:sz w:val="18"/>
                <w:szCs w:val="18"/>
              </w:rPr>
              <w:t xml:space="preserve"> </w:t>
            </w:r>
            <w:r w:rsidRPr="00670A74">
              <w:rPr>
                <w:sz w:val="18"/>
                <w:szCs w:val="18"/>
              </w:rPr>
              <w:t>increased but the target is not on track to be met by 2031 (Target 7).</w:t>
            </w:r>
          </w:p>
        </w:tc>
      </w:tr>
      <w:tr w:rsidR="000A07B3" w:rsidRPr="007B3DCE" w14:paraId="388D1E81" w14:textId="77777777" w:rsidTr="000A07B3">
        <w:trPr>
          <w:trHeight w:val="531"/>
        </w:trPr>
        <w:tc>
          <w:tcPr>
            <w:tcW w:w="1636" w:type="dxa"/>
            <w:shd w:val="clear" w:color="auto" w:fill="1C557E" w:themeFill="background2" w:themeFillShade="80"/>
            <w:vAlign w:val="center"/>
          </w:tcPr>
          <w:p w14:paraId="05731D16" w14:textId="77777777" w:rsidR="000A07B3" w:rsidRPr="00AD25C5" w:rsidRDefault="000A07B3" w:rsidP="00670A74">
            <w:pPr>
              <w:pStyle w:val="Heading3"/>
              <w:spacing w:before="0" w:after="0" w:line="200" w:lineRule="atLeast"/>
              <w:rPr>
                <w:rFonts w:eastAsiaTheme="minorHAnsi" w:cstheme="minorBidi"/>
                <w:color w:val="FFFFFF"/>
                <w:sz w:val="20"/>
                <w:szCs w:val="20"/>
              </w:rPr>
            </w:pPr>
            <w:r w:rsidRPr="00AD25C5">
              <w:rPr>
                <w:rStyle w:val="Strong"/>
                <w:rFonts w:asciiTheme="majorHAnsi" w:hAnsiTheme="majorHAnsi"/>
                <w:b w:val="0"/>
                <w:color w:val="FFFFFF"/>
                <w:sz w:val="20"/>
                <w:szCs w:val="20"/>
              </w:rPr>
              <w:t xml:space="preserve">Employment </w:t>
            </w:r>
          </w:p>
        </w:tc>
        <w:tc>
          <w:tcPr>
            <w:tcW w:w="8052" w:type="dxa"/>
            <w:shd w:val="clear" w:color="auto" w:fill="DAF1FC"/>
            <w:vAlign w:val="center"/>
          </w:tcPr>
          <w:p w14:paraId="2C2F95A8"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There has been an improvement in the proportion of Aboriginal and Torres Strait Islander people aged 25-64 who are employed and the target is on track to be met by 2031 (Target 8).</w:t>
            </w:r>
          </w:p>
        </w:tc>
      </w:tr>
      <w:tr w:rsidR="000A07B3" w:rsidRPr="007B3DCE" w14:paraId="2D736BA2" w14:textId="77777777" w:rsidTr="000A07B3">
        <w:trPr>
          <w:trHeight w:val="1161"/>
        </w:trPr>
        <w:tc>
          <w:tcPr>
            <w:tcW w:w="1636" w:type="dxa"/>
            <w:shd w:val="clear" w:color="auto" w:fill="286647" w:themeFill="accent3" w:themeFillShade="80"/>
            <w:vAlign w:val="center"/>
          </w:tcPr>
          <w:p w14:paraId="18D817DA" w14:textId="77777777" w:rsidR="000A07B3" w:rsidRPr="00AD25C5" w:rsidRDefault="000A07B3" w:rsidP="00670A74">
            <w:pPr>
              <w:pStyle w:val="Heading3"/>
              <w:spacing w:before="0" w:after="0" w:line="200" w:lineRule="atLeast"/>
              <w:rPr>
                <w:rFonts w:eastAsiaTheme="minorHAnsi" w:cstheme="minorBidi"/>
                <w:color w:val="FFFFFF"/>
                <w:sz w:val="20"/>
                <w:szCs w:val="20"/>
              </w:rPr>
            </w:pPr>
            <w:r w:rsidRPr="00AD25C5">
              <w:rPr>
                <w:rStyle w:val="Strong"/>
                <w:rFonts w:asciiTheme="majorHAnsi" w:hAnsiTheme="majorHAnsi"/>
                <w:b w:val="0"/>
                <w:color w:val="FFFFFF"/>
                <w:sz w:val="20"/>
                <w:szCs w:val="20"/>
              </w:rPr>
              <w:t>Housing</w:t>
            </w:r>
          </w:p>
        </w:tc>
        <w:tc>
          <w:tcPr>
            <w:tcW w:w="8052" w:type="dxa"/>
            <w:shd w:val="clear" w:color="auto" w:fill="DEF2E8" w:themeFill="accent3" w:themeFillTint="33"/>
            <w:vAlign w:val="center"/>
          </w:tcPr>
          <w:p w14:paraId="3517C9A2"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There has been an increase in the proportion of Aboriginal and Torres Strait Islander people living in appropriately sized (not overcrowded) housing but this target is not on track to be met by 2031 (Target 9A).</w:t>
            </w:r>
          </w:p>
          <w:p w14:paraId="6C9F119B"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The required data is not available to report progress on Aboriginal and Torres Strait Islander household access to essential services (Target 9B).</w:t>
            </w:r>
          </w:p>
        </w:tc>
      </w:tr>
      <w:tr w:rsidR="000A07B3" w:rsidRPr="007B3DCE" w14:paraId="17386B5A" w14:textId="77777777" w:rsidTr="000A07B3">
        <w:trPr>
          <w:trHeight w:val="1253"/>
        </w:trPr>
        <w:tc>
          <w:tcPr>
            <w:tcW w:w="1636" w:type="dxa"/>
            <w:shd w:val="clear" w:color="auto" w:fill="1D363B" w:themeFill="accent1" w:themeFillShade="80"/>
            <w:vAlign w:val="center"/>
          </w:tcPr>
          <w:p w14:paraId="3FF4F74D" w14:textId="77777777" w:rsidR="000A07B3" w:rsidRPr="00AD25C5" w:rsidRDefault="000A07B3" w:rsidP="00670A74">
            <w:pPr>
              <w:pStyle w:val="Heading3"/>
              <w:spacing w:before="0" w:after="0" w:line="200" w:lineRule="atLeast"/>
              <w:rPr>
                <w:rFonts w:eastAsiaTheme="minorHAnsi" w:cstheme="minorBidi"/>
                <w:color w:val="FFFFFF"/>
                <w:sz w:val="20"/>
                <w:szCs w:val="20"/>
              </w:rPr>
            </w:pPr>
            <w:r w:rsidRPr="00AD25C5">
              <w:rPr>
                <w:rStyle w:val="Strong"/>
                <w:rFonts w:asciiTheme="majorHAnsi" w:hAnsiTheme="majorHAnsi"/>
                <w:b w:val="0"/>
                <w:color w:val="FFFFFF"/>
                <w:sz w:val="20"/>
                <w:szCs w:val="20"/>
              </w:rPr>
              <w:t>Country</w:t>
            </w:r>
          </w:p>
        </w:tc>
        <w:tc>
          <w:tcPr>
            <w:tcW w:w="8052" w:type="dxa"/>
            <w:shd w:val="clear" w:color="auto" w:fill="D2E5E9" w:themeFill="accent1" w:themeFillTint="33"/>
            <w:vAlign w:val="center"/>
          </w:tcPr>
          <w:p w14:paraId="33C00975"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 xml:space="preserve">The proportion of land mass subject to Aboriginal and Torres Strait Islander people’s legal rights or interests is increasing and on track to be met by 2030 (Target 15A)*. </w:t>
            </w:r>
          </w:p>
          <w:p w14:paraId="6937A817"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The proportion of sea area covered by Aboriginal and Torres Strait Islander people’s rights or interests is also increasing and is on track to be met or potentially exceeded by 2030 (Target 15B)*. The 2023 ADCR reported this target as improving but not on track.</w:t>
            </w:r>
          </w:p>
        </w:tc>
      </w:tr>
      <w:tr w:rsidR="000A07B3" w:rsidRPr="007B3DCE" w14:paraId="0E951E8B" w14:textId="77777777" w:rsidTr="000A07B3">
        <w:trPr>
          <w:trHeight w:val="1186"/>
        </w:trPr>
        <w:tc>
          <w:tcPr>
            <w:tcW w:w="1636" w:type="dxa"/>
            <w:shd w:val="clear" w:color="auto" w:fill="684633" w:themeFill="text1" w:themeFillShade="BF"/>
            <w:vAlign w:val="center"/>
          </w:tcPr>
          <w:p w14:paraId="6A7B0BDF" w14:textId="77777777" w:rsidR="000A07B3" w:rsidRPr="00AD25C5" w:rsidRDefault="000A07B3" w:rsidP="00670A74">
            <w:pPr>
              <w:spacing w:before="0" w:after="0" w:line="200" w:lineRule="atLeast"/>
              <w:rPr>
                <w:rFonts w:asciiTheme="majorHAnsi" w:hAnsiTheme="majorHAnsi"/>
                <w:bCs/>
                <w:color w:val="FFFFFF"/>
              </w:rPr>
            </w:pPr>
            <w:r w:rsidRPr="00AD25C5">
              <w:rPr>
                <w:rStyle w:val="Strong"/>
                <w:rFonts w:asciiTheme="majorHAnsi" w:hAnsiTheme="majorHAnsi"/>
                <w:b w:val="0"/>
                <w:color w:val="FFFFFF"/>
              </w:rPr>
              <w:t>Justice</w:t>
            </w:r>
          </w:p>
        </w:tc>
        <w:tc>
          <w:tcPr>
            <w:tcW w:w="8052" w:type="dxa"/>
            <w:shd w:val="clear" w:color="auto" w:fill="F2E6DE"/>
            <w:vAlign w:val="center"/>
          </w:tcPr>
          <w:p w14:paraId="0D83625A" w14:textId="77777777" w:rsidR="000A07B3" w:rsidRPr="00670A74" w:rsidRDefault="000A07B3" w:rsidP="00670A74">
            <w:pPr>
              <w:pStyle w:val="ListBullet"/>
              <w:numPr>
                <w:ilvl w:val="0"/>
                <w:numId w:val="17"/>
              </w:numPr>
              <w:spacing w:line="200" w:lineRule="atLeast"/>
              <w:ind w:left="227" w:hanging="227"/>
              <w:rPr>
                <w:sz w:val="18"/>
                <w:szCs w:val="18"/>
              </w:rPr>
            </w:pPr>
            <w:r w:rsidRPr="00670A74">
              <w:rPr>
                <w:sz w:val="18"/>
                <w:szCs w:val="18"/>
              </w:rPr>
              <w:t>Aboriginal and Torres Strait Islander adults are being incarcerated at an increased rate and the target of a 15% reduction by 2031 is not on track to be met (Target 10)*.</w:t>
            </w:r>
          </w:p>
          <w:p w14:paraId="0460BF3C" w14:textId="77777777" w:rsidR="000A07B3" w:rsidRPr="00670A74" w:rsidRDefault="000A07B3" w:rsidP="00670A74">
            <w:pPr>
              <w:pStyle w:val="ListBullet"/>
              <w:numPr>
                <w:ilvl w:val="0"/>
                <w:numId w:val="17"/>
              </w:numPr>
              <w:spacing w:line="200" w:lineRule="atLeast"/>
              <w:ind w:left="227" w:hanging="227"/>
              <w:rPr>
                <w:spacing w:val="2"/>
                <w:sz w:val="18"/>
                <w:szCs w:val="18"/>
              </w:rPr>
            </w:pPr>
            <w:r w:rsidRPr="00670A74">
              <w:rPr>
                <w:spacing w:val="2"/>
                <w:sz w:val="18"/>
                <w:szCs w:val="18"/>
              </w:rPr>
              <w:t>Aboriginal and Torres Strait Islander young people continue to be overrepresented in the criminal justice system – no progress has been made (Target 11)*. The 2023 ADCR reported this target as on track.</w:t>
            </w:r>
          </w:p>
        </w:tc>
      </w:tr>
      <w:tr w:rsidR="000A07B3" w:rsidRPr="007B3DCE" w14:paraId="58763CBF" w14:textId="77777777" w:rsidTr="000A07B3">
        <w:trPr>
          <w:trHeight w:val="553"/>
        </w:trPr>
        <w:tc>
          <w:tcPr>
            <w:tcW w:w="1636" w:type="dxa"/>
            <w:shd w:val="clear" w:color="auto" w:fill="293032"/>
            <w:vAlign w:val="center"/>
          </w:tcPr>
          <w:p w14:paraId="09C16163" w14:textId="77777777" w:rsidR="000A07B3" w:rsidRPr="00AD25C5" w:rsidRDefault="000A07B3" w:rsidP="00670A74">
            <w:pPr>
              <w:pStyle w:val="Heading3"/>
              <w:spacing w:before="0" w:after="0" w:line="200" w:lineRule="atLeast"/>
              <w:rPr>
                <w:b/>
                <w:color w:val="FFFFFF"/>
                <w:sz w:val="20"/>
                <w:szCs w:val="20"/>
              </w:rPr>
            </w:pPr>
            <w:r w:rsidRPr="00AD25C5">
              <w:rPr>
                <w:rStyle w:val="Strong"/>
                <w:rFonts w:asciiTheme="majorHAnsi" w:hAnsiTheme="majorHAnsi"/>
                <w:color w:val="FFFFFF"/>
                <w:sz w:val="20"/>
                <w:szCs w:val="20"/>
              </w:rPr>
              <w:t xml:space="preserve">Digital inclusion </w:t>
            </w:r>
          </w:p>
        </w:tc>
        <w:tc>
          <w:tcPr>
            <w:tcW w:w="8052" w:type="dxa"/>
            <w:shd w:val="clear" w:color="auto" w:fill="F2F2F2" w:themeFill="accent6" w:themeFillShade="F2"/>
            <w:vAlign w:val="center"/>
          </w:tcPr>
          <w:p w14:paraId="5AC1D0DB" w14:textId="77777777" w:rsidR="000A07B3" w:rsidRPr="00670A74" w:rsidRDefault="000A07B3" w:rsidP="00670A74">
            <w:pPr>
              <w:pStyle w:val="ListBullet"/>
              <w:numPr>
                <w:ilvl w:val="0"/>
                <w:numId w:val="17"/>
              </w:numPr>
              <w:spacing w:line="200" w:lineRule="atLeast"/>
              <w:ind w:left="227" w:hanging="227"/>
              <w:rPr>
                <w:rFonts w:cstheme="minorHAnsi"/>
                <w:spacing w:val="2"/>
                <w:sz w:val="18"/>
                <w:szCs w:val="18"/>
              </w:rPr>
            </w:pPr>
            <w:r w:rsidRPr="00670A74">
              <w:rPr>
                <w:spacing w:val="2"/>
                <w:sz w:val="18"/>
                <w:szCs w:val="18"/>
              </w:rPr>
              <w:t>No new data is available (since the baseline was established) to report on the progress towards increased access to information and services enabling participation in informed decision-making by Aboriginal and Torres Strait Islander people (Target 17).</w:t>
            </w:r>
          </w:p>
        </w:tc>
      </w:tr>
      <w:tr w:rsidR="000A07B3" w:rsidRPr="007B3DCE" w14:paraId="2490EFFE" w14:textId="77777777" w:rsidTr="00670A74">
        <w:trPr>
          <w:trHeight w:val="274"/>
        </w:trPr>
        <w:tc>
          <w:tcPr>
            <w:tcW w:w="9688" w:type="dxa"/>
            <w:gridSpan w:val="2"/>
            <w:shd w:val="clear" w:color="auto" w:fill="auto"/>
          </w:tcPr>
          <w:p w14:paraId="4B054766" w14:textId="77777777" w:rsidR="000A07B3" w:rsidRPr="00670A74" w:rsidRDefault="000A07B3" w:rsidP="00670A74">
            <w:pPr>
              <w:pStyle w:val="Note"/>
              <w:rPr>
                <w:rStyle w:val="normaltextrun"/>
              </w:rPr>
            </w:pPr>
            <w:r w:rsidRPr="00670A74">
              <w:t>Targets with this symbol * have new data to assess progress since the 2023 ADCR.</w:t>
            </w:r>
          </w:p>
        </w:tc>
      </w:tr>
    </w:tbl>
    <w:p w14:paraId="21BBA969" w14:textId="1A8D1CDA" w:rsidR="00D86F6D" w:rsidRPr="00E53213" w:rsidRDefault="00575A77" w:rsidP="00A76BE2">
      <w:pPr>
        <w:pStyle w:val="FigureTableHeading"/>
        <w:spacing w:before="100" w:beforeAutospacing="1"/>
        <w:rPr>
          <w:spacing w:val="2"/>
        </w:rPr>
      </w:pPr>
      <w:r w:rsidRPr="00E53213">
        <w:rPr>
          <w:spacing w:val="2"/>
        </w:rPr>
        <w:lastRenderedPageBreak/>
        <w:t>Figure 1.1</w:t>
      </w:r>
      <w:r w:rsidR="008C6E51" w:rsidRPr="00E53213">
        <w:rPr>
          <w:spacing w:val="2"/>
        </w:rPr>
        <w:t xml:space="preserve"> </w:t>
      </w:r>
      <w:r w:rsidR="002E4FE1" w:rsidRPr="00E53213">
        <w:rPr>
          <w:spacing w:val="2"/>
        </w:rPr>
        <w:t>Priority Reforms and s</w:t>
      </w:r>
      <w:r w:rsidRPr="00E53213">
        <w:rPr>
          <w:spacing w:val="2"/>
        </w:rPr>
        <w:t xml:space="preserve">ocio-economic </w:t>
      </w:r>
      <w:r w:rsidR="00594249" w:rsidRPr="00E53213">
        <w:rPr>
          <w:spacing w:val="2"/>
        </w:rPr>
        <w:t>o</w:t>
      </w:r>
      <w:r w:rsidRPr="00E53213">
        <w:rPr>
          <w:spacing w:val="2"/>
        </w:rPr>
        <w:t>utcomes</w:t>
      </w:r>
      <w:r w:rsidR="00F80BC0" w:rsidRPr="00E53213">
        <w:rPr>
          <w:spacing w:val="2"/>
        </w:rPr>
        <w:t xml:space="preserve"> </w:t>
      </w:r>
      <w:r w:rsidRPr="00E53213">
        <w:rPr>
          <w:spacing w:val="2"/>
        </w:rPr>
        <w:t>– progress assessment</w:t>
      </w:r>
      <w:r w:rsidR="007728A7" w:rsidRPr="00FE2107">
        <w:rPr>
          <w:noProof/>
        </w:rPr>
        <w:drawing>
          <wp:inline distT="0" distB="0" distL="0" distR="0" wp14:anchorId="32989D2E" wp14:editId="7F588542">
            <wp:extent cx="6120130" cy="8084820"/>
            <wp:effectExtent l="0" t="0" r="0" b="0"/>
            <wp:docPr id="1595733733" name="Picture 11" descr="Figure 1.1 is an infographic that shows a progress assessment for each of the socioeconomic outcomes and Priority Reforms. The figure shows each target alongside an icon that specifies whether it is ‘On track’, showing  ‘Improvement, but is not on track’, ‘Worsening’, ‘Not Changing’, or there is ‘No assessment’ available. &#10;Target data updated in 2024 shows:&#10;• Target 1 Long and healthy lives is on track&#10;• Target 2 Born healthy and strong is improving, but not on track&#10;• Target 3 Early childhood education is improving, but not on track&#10;• Target 10 Criminal justice is worsening&#10;• Target 11 Youth justice has not changed&#10;• Target 12 Child protection is worsening&#10;• Target 14 Social and emotional wellbeing is worsening&#10;• Target 15A Land and Target 15B Waters are 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33733" name="Picture 11" descr="Figure 1.1 is an infographic that shows a progress assessment for each of the socioeconomic outcomes and Priority Reforms. The figure shows each target alongside an icon that specifies whether it is ‘On track’, showing  ‘Improvement, but is not on track’, ‘Worsening’, ‘Not Changing’, or there is ‘No assessment’ available. &#10;Target data updated in 2024 shows:&#10;• Target 1 Long and healthy lives is on track&#10;• Target 2 Born healthy and strong is improving, but not on track&#10;• Target 3 Early childhood education is improving, but not on track&#10;• Target 10 Criminal justice is worsening&#10;• Target 11 Youth justice has not changed&#10;• Target 12 Child protection is worsening&#10;• Target 14 Social and emotional wellbeing is worsening&#10;• Target 15A Land and Target 15B Waters are on track"/>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084820"/>
                    </a:xfrm>
                    <a:prstGeom prst="rect">
                      <a:avLst/>
                    </a:prstGeom>
                    <a:noFill/>
                    <a:ln>
                      <a:noFill/>
                    </a:ln>
                  </pic:spPr>
                </pic:pic>
              </a:graphicData>
            </a:graphic>
          </wp:inline>
        </w:drawing>
      </w:r>
    </w:p>
    <w:p w14:paraId="7DA206FA" w14:textId="6EAF538D" w:rsidR="00493997" w:rsidRDefault="006F5F7B" w:rsidP="007728A7">
      <w:pPr>
        <w:pStyle w:val="FigureTableHeading"/>
        <w:spacing w:before="120" w:after="0"/>
        <w:rPr>
          <w:color w:val="B65627" w:themeColor="text2"/>
        </w:rPr>
      </w:pPr>
      <w:r w:rsidRPr="006F5F7B">
        <w:lastRenderedPageBreak/>
        <w:t xml:space="preserve"> </w:t>
      </w:r>
      <w:r w:rsidR="00346F15" w:rsidRPr="00346F15">
        <w:rPr>
          <w:noProof/>
        </w:rPr>
        <w:drawing>
          <wp:inline distT="0" distB="0" distL="0" distR="0" wp14:anchorId="571FD0CE" wp14:editId="6C329368">
            <wp:extent cx="6120130" cy="7950835"/>
            <wp:effectExtent l="0" t="0" r="0" b="0"/>
            <wp:docPr id="1799069609" name="Picture 10" descr="Target data from a previous ADCR shows:&#10;• Target 4 Children thriving is worsening&#10;• Target 5 Student learning potential shows improvement but is not on track&#10;• Target 6 Further education pathways shows improvement, but it is not on track&#10;• Target 7 Youth engagement shows improvement, but it is not on track&#10;• Target 8 Economic participation is on track&#10;• Target 9A Housing shows improvement but it is not on track&#10;Targets with no assessment of progress available include:&#10;• Target 13 Family safety&#10;• Target 16 Culture and languages&#10;• Target 17 Access to information&#10;Targets with no data source and no assessment of progress, include:&#10;• Target 9B Households receiving essential services&#10;•  The targets for all the Priority Refo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69609" name="Picture 10" descr="Target data from a previous ADCR shows:&#10;• Target 4 Children thriving is worsening&#10;• Target 5 Student learning potential shows improvement but is not on track&#10;• Target 6 Further education pathways shows improvement, but it is not on track&#10;• Target 7 Youth engagement shows improvement, but it is not on track&#10;• Target 8 Economic participation is on track&#10;• Target 9A Housing shows improvement but it is not on track&#10;Targets with no assessment of progress available include:&#10;• Target 13 Family safety&#10;• Target 16 Culture and languages&#10;• Target 17 Access to information&#10;Targets with no data source and no assessment of progress, include:&#10;• Target 9B Households receiving essential services&#10;•  The targets for all the Priority Reforms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7950835"/>
                    </a:xfrm>
                    <a:prstGeom prst="rect">
                      <a:avLst/>
                    </a:prstGeom>
                    <a:noFill/>
                    <a:ln>
                      <a:noFill/>
                    </a:ln>
                  </pic:spPr>
                </pic:pic>
              </a:graphicData>
            </a:graphic>
          </wp:inline>
        </w:drawing>
      </w:r>
    </w:p>
    <w:p w14:paraId="33277901" w14:textId="77777777" w:rsidR="000E6ABE" w:rsidRPr="006C13ED" w:rsidRDefault="00D84039" w:rsidP="000E6ABE">
      <w:pPr>
        <w:pStyle w:val="Heading3"/>
        <w:spacing w:before="0"/>
        <w:rPr>
          <w:color w:val="8C5E44" w:themeColor="text1"/>
        </w:rPr>
      </w:pPr>
      <w:r>
        <w:rPr>
          <w:color w:val="B65627" w:themeColor="text2"/>
        </w:rPr>
        <w:br w:type="page"/>
      </w:r>
      <w:r w:rsidR="000E6ABE" w:rsidRPr="006C13ED">
        <w:rPr>
          <w:color w:val="8C5E44" w:themeColor="text1"/>
        </w:rPr>
        <w:lastRenderedPageBreak/>
        <w:t xml:space="preserve">No data to assess progress on the Priority Reforms </w:t>
      </w:r>
    </w:p>
    <w:p w14:paraId="0C59DFED" w14:textId="77777777" w:rsidR="000E6ABE" w:rsidRDefault="000E6ABE" w:rsidP="003E1DFF">
      <w:pPr>
        <w:pStyle w:val="BodyText"/>
        <w:spacing w:after="240"/>
      </w:pPr>
      <w:r w:rsidRPr="000B263C">
        <w:t>The ADCR (and the dashboard) do not currently</w:t>
      </w:r>
      <w:r w:rsidRPr="005F251C">
        <w:t xml:space="preserve"> report on progress towards achieving the Priority Refor</w:t>
      </w:r>
      <w:r>
        <w:t>ms</w:t>
      </w:r>
      <w:r w:rsidRPr="005F251C">
        <w:t>.</w:t>
      </w:r>
      <w:r>
        <w:t xml:space="preserve"> The reason for this is that the parties to the Agreement have not yet settled on how progress should be measured or the data that should be drawn upon. The Commission understands that a measurement framework and recommended indicators are under development and that a draft report has been submitted to the National Indigenous Australians Agency, with feedback sought prior to it being finalised. </w:t>
      </w:r>
      <w:r w:rsidRPr="003700D9">
        <w:t>Attachment 5 outlines</w:t>
      </w:r>
      <w:r w:rsidRPr="003700D9" w:rsidDel="003424A6">
        <w:t xml:space="preserve"> the process</w:t>
      </w:r>
      <w:r w:rsidRPr="003700D9">
        <w:t xml:space="preserve"> for the development of reporting on the Priority Reform targets. </w:t>
      </w:r>
      <w:r>
        <w:t>B</w:t>
      </w:r>
      <w:r w:rsidRPr="000B6067">
        <w:t>ox 1.1 outlines the findings and recommendations of the Commission’s first three-yearly Review of the Agreement and the response by Joint Council to the Review’s recommendations.</w:t>
      </w:r>
    </w:p>
    <w:tbl>
      <w:tblPr>
        <w:tblStyle w:val="Boxtable"/>
        <w:tblW w:w="4857" w:type="pct"/>
        <w:tblLook w:val="04A0" w:firstRow="1" w:lastRow="0" w:firstColumn="1" w:lastColumn="0" w:noHBand="0" w:noVBand="1"/>
      </w:tblPr>
      <w:tblGrid>
        <w:gridCol w:w="9362"/>
      </w:tblGrid>
      <w:tr w:rsidR="000E6ABE" w:rsidRPr="007B3DCE" w14:paraId="122BFDC2" w14:textId="77777777" w:rsidTr="007149D4">
        <w:trPr>
          <w:trHeight w:val="478"/>
        </w:trPr>
        <w:tc>
          <w:tcPr>
            <w:tcW w:w="9362" w:type="dxa"/>
            <w:shd w:val="clear" w:color="auto" w:fill="8C5E44" w:themeFill="text1"/>
            <w:vAlign w:val="center"/>
            <w:hideMark/>
          </w:tcPr>
          <w:p w14:paraId="6EF0424A" w14:textId="77777777" w:rsidR="000E6ABE" w:rsidRPr="007B3DCE" w:rsidRDefault="000E6ABE" w:rsidP="007149D4">
            <w:pPr>
              <w:pStyle w:val="BoxHeading1"/>
              <w:spacing w:before="0"/>
              <w:rPr>
                <w:color w:val="FFFFFF"/>
              </w:rPr>
            </w:pPr>
            <w:r w:rsidRPr="007B3DCE">
              <w:rPr>
                <w:color w:val="FFFFFF"/>
              </w:rPr>
              <w:t>Box 1.1 –</w:t>
            </w:r>
            <w:r>
              <w:rPr>
                <w:color w:val="FFFFFF"/>
              </w:rPr>
              <w:t xml:space="preserve"> </w:t>
            </w:r>
            <w:r w:rsidRPr="007B3DCE">
              <w:rPr>
                <w:color w:val="FFFFFF"/>
              </w:rPr>
              <w:t>Review of the National Agreement on Closing the Gap</w:t>
            </w:r>
          </w:p>
        </w:tc>
      </w:tr>
      <w:tr w:rsidR="000E6ABE" w:rsidRPr="007B3DCE" w14:paraId="39AE64A0" w14:textId="77777777" w:rsidTr="007149D4">
        <w:trPr>
          <w:trHeight w:val="503"/>
        </w:trPr>
        <w:tc>
          <w:tcPr>
            <w:tcW w:w="9362" w:type="dxa"/>
            <w:shd w:val="clear" w:color="auto" w:fill="EBDDD6" w:themeFill="text1" w:themeFillTint="33"/>
            <w:hideMark/>
          </w:tcPr>
          <w:p w14:paraId="3CB2AC1B" w14:textId="77777777" w:rsidR="000E6ABE" w:rsidRPr="004C31CC" w:rsidRDefault="000E6ABE" w:rsidP="007149D4">
            <w:pPr>
              <w:pStyle w:val="BodyText"/>
              <w:spacing w:before="0"/>
              <w:rPr>
                <w:rFonts w:eastAsia="Arial" w:cstheme="minorHAnsi"/>
              </w:rPr>
            </w:pPr>
            <w:r w:rsidRPr="004C31CC">
              <w:rPr>
                <w:rFonts w:cstheme="minorHAnsi"/>
              </w:rPr>
              <w:t>On 7 February 2024, the Productivity Commission released t</w:t>
            </w:r>
            <w:r w:rsidRPr="004C31CC">
              <w:rPr>
                <w:rFonts w:eastAsia="Arial" w:cstheme="minorHAnsi"/>
              </w:rPr>
              <w:t xml:space="preserve">he first comprehensive three-yearly </w:t>
            </w:r>
            <w:r w:rsidRPr="004C31CC">
              <w:rPr>
                <w:rFonts w:cstheme="minorHAnsi"/>
              </w:rPr>
              <w:t xml:space="preserve">Review of the National Agreement on Closing the Gap (the Review). </w:t>
            </w:r>
          </w:p>
          <w:p w14:paraId="2D815D3A" w14:textId="77777777" w:rsidR="000E6ABE" w:rsidRPr="004C31CC" w:rsidRDefault="000E6ABE" w:rsidP="007149D4">
            <w:pPr>
              <w:pStyle w:val="BodyText"/>
              <w:rPr>
                <w:rFonts w:cstheme="minorHAnsi"/>
              </w:rPr>
            </w:pPr>
            <w:r w:rsidRPr="004C31CC">
              <w:rPr>
                <w:rFonts w:cstheme="minorHAnsi"/>
              </w:rPr>
              <w:t>The Review found that despite some pockets of good practice, progress against the Priority Reforms has for the most part been weak and reflects tweaks to or actions overlaid onto business-as-usual.</w:t>
            </w:r>
          </w:p>
          <w:p w14:paraId="56E2569B" w14:textId="77777777" w:rsidR="000E6ABE" w:rsidRPr="004C31CC" w:rsidRDefault="000E6ABE" w:rsidP="007149D4">
            <w:pPr>
              <w:pStyle w:val="BodyText"/>
              <w:rPr>
                <w:rFonts w:cstheme="minorHAnsi"/>
              </w:rPr>
            </w:pPr>
            <w:r w:rsidRPr="004C31CC">
              <w:rPr>
                <w:rFonts w:cstheme="minorHAnsi"/>
              </w:rPr>
              <w:t xml:space="preserve">The recommendations of the Review were that: </w:t>
            </w:r>
          </w:p>
          <w:p w14:paraId="44215EA9" w14:textId="77777777" w:rsidR="000E6ABE" w:rsidRPr="00835CFE" w:rsidRDefault="000E6ABE" w:rsidP="00F917AE">
            <w:pPr>
              <w:pStyle w:val="ListBullet"/>
              <w:numPr>
                <w:ilvl w:val="0"/>
                <w:numId w:val="17"/>
              </w:numPr>
              <w:ind w:left="227" w:hanging="227"/>
            </w:pPr>
            <w:r w:rsidRPr="00835CFE">
              <w:t>governments need to share power to make meaningful progress</w:t>
            </w:r>
          </w:p>
          <w:p w14:paraId="4F3957E1" w14:textId="77777777" w:rsidR="000E6ABE" w:rsidRPr="00835CFE" w:rsidRDefault="000E6ABE" w:rsidP="00F917AE">
            <w:pPr>
              <w:pStyle w:val="ListBullet"/>
              <w:numPr>
                <w:ilvl w:val="0"/>
                <w:numId w:val="17"/>
              </w:numPr>
              <w:ind w:left="227" w:hanging="227"/>
            </w:pPr>
            <w:r w:rsidRPr="00835CFE">
              <w:t>Indigenous Data Sovereignty must be recognised and supported</w:t>
            </w:r>
          </w:p>
          <w:p w14:paraId="65ED2E73" w14:textId="77777777" w:rsidR="000E6ABE" w:rsidRPr="00835CFE" w:rsidRDefault="000E6ABE" w:rsidP="00F917AE">
            <w:pPr>
              <w:pStyle w:val="ListBullet"/>
              <w:numPr>
                <w:ilvl w:val="0"/>
                <w:numId w:val="17"/>
              </w:numPr>
              <w:ind w:left="227" w:hanging="227"/>
            </w:pPr>
            <w:r w:rsidRPr="00835CFE">
              <w:t>mainstream systems and culture within governments should be fundamentally rethought, and</w:t>
            </w:r>
          </w:p>
          <w:p w14:paraId="571BD834" w14:textId="77777777" w:rsidR="000E6ABE" w:rsidRPr="00835CFE" w:rsidRDefault="000E6ABE" w:rsidP="00F917AE">
            <w:pPr>
              <w:pStyle w:val="ListBullet"/>
              <w:numPr>
                <w:ilvl w:val="0"/>
                <w:numId w:val="17"/>
              </w:numPr>
              <w:ind w:left="227" w:hanging="227"/>
            </w:pPr>
            <w:r w:rsidRPr="00835CFE">
              <w:t>stronger accountability is required to drive behaviour change.</w:t>
            </w:r>
          </w:p>
          <w:p w14:paraId="62422857" w14:textId="77777777" w:rsidR="000E6ABE" w:rsidRPr="004C31CC" w:rsidRDefault="000E6ABE" w:rsidP="007149D4">
            <w:pPr>
              <w:pStyle w:val="BodyText"/>
              <w:rPr>
                <w:rFonts w:eastAsia="Segoe UI" w:cstheme="minorHAnsi"/>
              </w:rPr>
            </w:pPr>
            <w:r w:rsidRPr="004C31CC">
              <w:rPr>
                <w:rFonts w:eastAsia="Arial" w:cstheme="minorHAnsi"/>
              </w:rPr>
              <w:t xml:space="preserve">The Review of the National Agreement on Closing the Gap noted that data still needs to be reported across </w:t>
            </w:r>
            <w:r w:rsidRPr="004C31CC">
              <w:rPr>
                <w:rFonts w:eastAsia="Segoe UI" w:cstheme="minorHAnsi"/>
              </w:rPr>
              <w:t xml:space="preserve">all </w:t>
            </w:r>
            <w:r w:rsidRPr="004C31CC">
              <w:rPr>
                <w:rFonts w:eastAsia="Arial" w:cstheme="minorHAnsi"/>
              </w:rPr>
              <w:t>of the Priority Reform targets, four of the socio-economic target</w:t>
            </w:r>
            <w:r w:rsidRPr="004C31CC">
              <w:rPr>
                <w:rFonts w:eastAsia="Segoe UI" w:cstheme="minorHAnsi"/>
              </w:rPr>
              <w:t>s,</w:t>
            </w:r>
            <w:r w:rsidRPr="004C31CC">
              <w:rPr>
                <w:rFonts w:eastAsia="Arial" w:cstheme="minorHAnsi"/>
              </w:rPr>
              <w:t>143 supporting indicators</w:t>
            </w:r>
            <w:r w:rsidRPr="004C31CC">
              <w:rPr>
                <w:rFonts w:eastAsia="Segoe UI" w:cstheme="minorHAnsi"/>
              </w:rPr>
              <w:t xml:space="preserve"> and all 123 data development items.</w:t>
            </w:r>
            <w:r w:rsidRPr="004C31CC">
              <w:rPr>
                <w:rFonts w:eastAsia="Arial" w:cstheme="minorHAnsi"/>
              </w:rPr>
              <w:t xml:space="preserve"> </w:t>
            </w:r>
            <w:r w:rsidRPr="004C31CC">
              <w:rPr>
                <w:rFonts w:eastAsia="Segoe UI" w:cstheme="minorHAnsi"/>
              </w:rPr>
              <w:t xml:space="preserve">The Review noted the scale of this task and the ambiguity in responsibility for actions, given the multiple working groups and organisations involved. It also noted the lack of conceptual logic for some indicators. </w:t>
            </w:r>
          </w:p>
          <w:p w14:paraId="1F128F90" w14:textId="77777777" w:rsidR="000E6ABE" w:rsidRPr="004C31CC" w:rsidRDefault="000E6ABE" w:rsidP="007149D4">
            <w:pPr>
              <w:pStyle w:val="BodyText"/>
              <w:rPr>
                <w:rFonts w:cstheme="minorHAnsi"/>
              </w:rPr>
            </w:pPr>
            <w:r w:rsidRPr="004C31CC">
              <w:rPr>
                <w:rFonts w:cstheme="minorHAnsi"/>
              </w:rPr>
              <w:t>The Review identified how Closing the Gap data measurement and reporting should enable and advance Indigenous Data Sovereignty (IDS) and Indigenous Data Governance (IDG). IDS refers to ‘the right of Indigenous people to exercise ownership over Indigenous Data. Ownership of data can be expressed through the creation, collection, access, analysis, interpretation, management, dissemination and reuse of Indigenous Data’ (Maiam Nayri Wingara 2018, p. 1). IDS is given practical effect through IDG. IDG involves Aboriginal and Torres Strait Islander people autonomously leading the definition, collection, development, access, usage and control of data. IDG is centred on Aboriginal and Torres Strait Islander data that is locally relevant and reflects community priorities, values, cultures, worldviews and diversity.</w:t>
            </w:r>
          </w:p>
          <w:p w14:paraId="261A47C1" w14:textId="77777777" w:rsidR="000E6ABE" w:rsidRPr="004C31CC" w:rsidRDefault="000E6ABE" w:rsidP="007149D4">
            <w:pPr>
              <w:pStyle w:val="BodyText"/>
              <w:spacing w:after="0"/>
              <w:rPr>
                <w:rFonts w:cstheme="minorHAnsi"/>
              </w:rPr>
            </w:pPr>
            <w:r w:rsidRPr="004C31CC">
              <w:rPr>
                <w:rFonts w:cstheme="minorHAnsi"/>
              </w:rPr>
              <w:t>The Review identified that existing bodies and mechanisms, including the Commission, do not have the remit or governance structure to fully enable IDG and recommended the establishment of an Aboriginal and Torres Strait Islander-led Bureau of Indigenous Data (BoID).</w:t>
            </w:r>
          </w:p>
          <w:p w14:paraId="593F72AE" w14:textId="77777777" w:rsidR="000E6ABE" w:rsidRPr="004C31CC" w:rsidRDefault="000E6ABE" w:rsidP="007149D4">
            <w:pPr>
              <w:pStyle w:val="BodyText"/>
              <w:spacing w:after="0"/>
              <w:rPr>
                <w:rFonts w:cstheme="minorHAnsi"/>
              </w:rPr>
            </w:pPr>
            <w:r w:rsidRPr="004C31CC">
              <w:rPr>
                <w:rFonts w:cstheme="minorHAnsi"/>
              </w:rPr>
              <w:t xml:space="preserve">On 5 July 2024, Joint Council agreed to all four key recommendations and 15 of the 16 recommended actions outlined in the Review. It has not agreed to the establishment of the BoID. </w:t>
            </w:r>
          </w:p>
          <w:p w14:paraId="721F668F" w14:textId="77777777" w:rsidR="000E6ABE" w:rsidRPr="00D14A4A" w:rsidRDefault="000E6ABE" w:rsidP="007149D4">
            <w:pPr>
              <w:pStyle w:val="BodyText"/>
              <w:spacing w:after="0"/>
              <w:rPr>
                <w:sz w:val="18"/>
                <w:szCs w:val="18"/>
              </w:rPr>
            </w:pPr>
            <w:r w:rsidRPr="004C31CC">
              <w:rPr>
                <w:rFonts w:cstheme="minorHAnsi"/>
                <w:sz w:val="18"/>
                <w:szCs w:val="18"/>
              </w:rPr>
              <w:t xml:space="preserve">Source: Joint Council </w:t>
            </w:r>
            <w:r w:rsidRPr="004C31CC">
              <w:rPr>
                <w:rFonts w:cstheme="minorHAnsi"/>
                <w:sz w:val="18"/>
              </w:rPr>
              <w:t>(2024)</w:t>
            </w:r>
            <w:r w:rsidRPr="004C31CC">
              <w:rPr>
                <w:rStyle w:val="CommentReference"/>
                <w:rFonts w:cstheme="minorHAnsi"/>
                <w:sz w:val="18"/>
                <w:szCs w:val="18"/>
              </w:rPr>
              <w:t>;</w:t>
            </w:r>
            <w:r w:rsidRPr="004C31CC">
              <w:rPr>
                <w:rFonts w:cstheme="minorHAnsi"/>
                <w:sz w:val="18"/>
                <w:szCs w:val="18"/>
              </w:rPr>
              <w:t xml:space="preserve"> Maiam Nayri Wingara </w:t>
            </w:r>
            <w:r w:rsidRPr="004C31CC">
              <w:rPr>
                <w:rFonts w:cstheme="minorHAnsi"/>
                <w:sz w:val="18"/>
              </w:rPr>
              <w:t>(2018)</w:t>
            </w:r>
            <w:r w:rsidRPr="004C31CC">
              <w:rPr>
                <w:rFonts w:cstheme="minorHAnsi"/>
                <w:sz w:val="18"/>
                <w:szCs w:val="18"/>
              </w:rPr>
              <w:t xml:space="preserve">; PC </w:t>
            </w:r>
            <w:r w:rsidRPr="004C31CC">
              <w:rPr>
                <w:rFonts w:cstheme="minorHAnsi"/>
                <w:sz w:val="18"/>
              </w:rPr>
              <w:t>(2024)</w:t>
            </w:r>
            <w:r w:rsidRPr="004C31CC">
              <w:rPr>
                <w:rFonts w:cstheme="minorHAnsi"/>
                <w:sz w:val="18"/>
                <w:szCs w:val="18"/>
              </w:rPr>
              <w:t>.</w:t>
            </w:r>
          </w:p>
        </w:tc>
      </w:tr>
    </w:tbl>
    <w:p w14:paraId="172DFBD9" w14:textId="03DC77D9" w:rsidR="00066FE1" w:rsidRPr="007B3DCE" w:rsidRDefault="00357108" w:rsidP="00976CC5">
      <w:pPr>
        <w:pStyle w:val="Heading2"/>
        <w:rPr>
          <w:color w:val="B65627" w:themeColor="text2"/>
        </w:rPr>
      </w:pPr>
      <w:bookmarkStart w:id="9" w:name="_Toc167878538"/>
      <w:bookmarkStart w:id="10" w:name="_Toc170466644"/>
      <w:r w:rsidRPr="007B3DCE">
        <w:rPr>
          <w:rFonts w:cstheme="minorBidi"/>
          <w:color w:val="B65627" w:themeColor="text2"/>
        </w:rPr>
        <w:lastRenderedPageBreak/>
        <w:t xml:space="preserve">1.3 </w:t>
      </w:r>
      <w:r w:rsidR="00D04D87" w:rsidRPr="007B3DCE">
        <w:rPr>
          <w:rFonts w:cstheme="minorBidi"/>
          <w:color w:val="B65627" w:themeColor="text2"/>
        </w:rPr>
        <w:tab/>
      </w:r>
      <w:r w:rsidR="00066FE1" w:rsidRPr="007B3DCE">
        <w:rPr>
          <w:rFonts w:cstheme="minorBidi"/>
          <w:color w:val="B65627" w:themeColor="text2"/>
        </w:rPr>
        <w:t>Understanding the data landscape</w:t>
      </w:r>
      <w:bookmarkEnd w:id="9"/>
      <w:bookmarkEnd w:id="10"/>
    </w:p>
    <w:p w14:paraId="770C577A" w14:textId="44369D74" w:rsidR="003E56B1" w:rsidRPr="00F514C9" w:rsidRDefault="00AE5A28" w:rsidP="003E56B1">
      <w:pPr>
        <w:rPr>
          <w:rStyle w:val="ui-provider"/>
          <w:spacing w:val="-4"/>
        </w:rPr>
      </w:pPr>
      <w:r w:rsidRPr="00F514C9">
        <w:rPr>
          <w:spacing w:val="-4"/>
        </w:rPr>
        <w:t>Progress assessments, along with other Closing the Gap data,</w:t>
      </w:r>
      <w:r w:rsidR="003C79BE" w:rsidRPr="00F514C9">
        <w:rPr>
          <w:spacing w:val="-4"/>
        </w:rPr>
        <w:t xml:space="preserve"> </w:t>
      </w:r>
      <w:r w:rsidR="00D129E5" w:rsidRPr="00F514C9">
        <w:rPr>
          <w:spacing w:val="-4"/>
        </w:rPr>
        <w:t xml:space="preserve">should be considered in the context of the </w:t>
      </w:r>
      <w:r w:rsidR="003E56B1" w:rsidRPr="00F514C9">
        <w:rPr>
          <w:spacing w:val="-4"/>
        </w:rPr>
        <w:t>data landscape</w:t>
      </w:r>
      <w:r w:rsidR="001D25D3" w:rsidRPr="00F514C9">
        <w:rPr>
          <w:spacing w:val="-4"/>
        </w:rPr>
        <w:t>,</w:t>
      </w:r>
      <w:r w:rsidR="009230D4" w:rsidRPr="00F514C9">
        <w:rPr>
          <w:spacing w:val="-4"/>
        </w:rPr>
        <w:t xml:space="preserve"> including how frequently data is reported, the quality of the data and where there are data gaps. </w:t>
      </w:r>
    </w:p>
    <w:p w14:paraId="7520D3FC" w14:textId="6C35DEC4" w:rsidR="008333CC" w:rsidRDefault="003E56B1" w:rsidP="008333CC">
      <w:pPr>
        <w:pStyle w:val="BodyText"/>
        <w:rPr>
          <w:rStyle w:val="ui-provider"/>
        </w:rPr>
      </w:pPr>
      <w:r w:rsidRPr="007B3DCE">
        <w:rPr>
          <w:rStyle w:val="ui-provider"/>
        </w:rPr>
        <w:t xml:space="preserve">It is not </w:t>
      </w:r>
      <w:r w:rsidR="00881A4F">
        <w:rPr>
          <w:rStyle w:val="ui-provider"/>
        </w:rPr>
        <w:t>currently</w:t>
      </w:r>
      <w:r w:rsidRPr="007B3DCE">
        <w:rPr>
          <w:rStyle w:val="ui-provider"/>
        </w:rPr>
        <w:t xml:space="preserve"> possible to assess progress for every target</w:t>
      </w:r>
      <w:r>
        <w:rPr>
          <w:rStyle w:val="ui-provider"/>
        </w:rPr>
        <w:t xml:space="preserve"> and some targets cannot be assessed</w:t>
      </w:r>
      <w:r w:rsidRPr="007B3DCE" w:rsidDel="007D176D">
        <w:rPr>
          <w:rStyle w:val="ui-provider"/>
        </w:rPr>
        <w:t xml:space="preserve"> </w:t>
      </w:r>
      <w:r w:rsidRPr="007B3DCE">
        <w:rPr>
          <w:rStyle w:val="ui-provider"/>
        </w:rPr>
        <w:t xml:space="preserve">every year due to </w:t>
      </w:r>
      <w:r w:rsidR="00632D5D">
        <w:rPr>
          <w:rStyle w:val="ui-provider"/>
        </w:rPr>
        <w:t>the frequency of</w:t>
      </w:r>
      <w:r w:rsidRPr="007B3DCE">
        <w:rPr>
          <w:rStyle w:val="ui-provider"/>
        </w:rPr>
        <w:t xml:space="preserve"> data collect</w:t>
      </w:r>
      <w:r>
        <w:rPr>
          <w:rStyle w:val="ui-provider"/>
        </w:rPr>
        <w:t>ion</w:t>
      </w:r>
      <w:r w:rsidRPr="007B3DCE">
        <w:rPr>
          <w:rStyle w:val="ui-provider"/>
        </w:rPr>
        <w:t xml:space="preserve"> and report</w:t>
      </w:r>
      <w:r>
        <w:rPr>
          <w:rStyle w:val="ui-provider"/>
        </w:rPr>
        <w:t>ing (table 1.2)</w:t>
      </w:r>
      <w:r w:rsidR="008333CC">
        <w:rPr>
          <w:rStyle w:val="ui-provider"/>
        </w:rPr>
        <w:t xml:space="preserve">. </w:t>
      </w:r>
      <w:r w:rsidR="002500EB">
        <w:rPr>
          <w:rStyle w:val="ui-provider"/>
        </w:rPr>
        <w:t xml:space="preserve">Since the ADCR was first published, </w:t>
      </w:r>
      <w:r w:rsidR="00D42CFB">
        <w:rPr>
          <w:rStyle w:val="ui-provider"/>
        </w:rPr>
        <w:t xml:space="preserve">progress has not been assessed for </w:t>
      </w:r>
      <w:r w:rsidR="002500EB">
        <w:rPr>
          <w:rStyle w:val="ui-provider"/>
        </w:rPr>
        <w:t xml:space="preserve">four </w:t>
      </w:r>
      <w:r w:rsidR="0019576A">
        <w:rPr>
          <w:rStyle w:val="ui-provider"/>
        </w:rPr>
        <w:t xml:space="preserve">socio-economic </w:t>
      </w:r>
      <w:r w:rsidR="002500EB">
        <w:rPr>
          <w:rStyle w:val="ui-provider"/>
        </w:rPr>
        <w:t xml:space="preserve">targets and updates to </w:t>
      </w:r>
      <w:r w:rsidR="002500EB" w:rsidRPr="001B63B7">
        <w:t xml:space="preserve">progress for seven targets </w:t>
      </w:r>
      <w:r w:rsidR="002500EB">
        <w:rPr>
          <w:rStyle w:val="ui-provider"/>
        </w:rPr>
        <w:t xml:space="preserve">have occurred only once. </w:t>
      </w:r>
      <w:r w:rsidR="000A48DE">
        <w:rPr>
          <w:rFonts w:cs="Open Sans"/>
        </w:rPr>
        <w:t>T</w:t>
      </w:r>
      <w:r w:rsidR="008333CC">
        <w:rPr>
          <w:rFonts w:cs="Open Sans"/>
        </w:rPr>
        <w:t>argets such as further education pathways and economic participation can only be updated every five years.</w:t>
      </w:r>
      <w:r w:rsidR="008333CC" w:rsidRPr="008F5A37">
        <w:rPr>
          <w:rStyle w:val="ui-provider"/>
        </w:rPr>
        <w:t xml:space="preserve"> </w:t>
      </w:r>
    </w:p>
    <w:p w14:paraId="12356153" w14:textId="77777777" w:rsidR="00155168" w:rsidRPr="007B3DCE" w:rsidRDefault="00155168" w:rsidP="00F56B79">
      <w:pPr>
        <w:pStyle w:val="FigureTableHeading"/>
        <w:spacing w:after="120"/>
        <w:rPr>
          <w:vanish/>
          <w:color w:val="B65627" w:themeColor="text2"/>
        </w:rPr>
      </w:pPr>
      <w:r w:rsidRPr="007B3DCE">
        <w:rPr>
          <w:vanish/>
          <w:color w:val="B65627" w:themeColor="text2"/>
        </w:rPr>
        <w:t>[</w:t>
      </w:r>
      <w:r w:rsidRPr="007B3DCE">
        <w:rPr>
          <w:smallCaps/>
          <w:vanish/>
          <w:color w:val="B65627" w:themeColor="text2"/>
        </w:rPr>
        <w:t>Used for spacing, do not delete</w:t>
      </w:r>
      <w:r w:rsidRPr="007B3DCE">
        <w:rPr>
          <w:vanish/>
          <w:color w:val="B65627" w:themeColor="text2"/>
        </w:rPr>
        <w:t xml:space="preserve"> | Style: No Spacing]</w:t>
      </w:r>
    </w:p>
    <w:p w14:paraId="6D2D3A84" w14:textId="0625E32C" w:rsidR="00066FE1" w:rsidRPr="007B3DCE" w:rsidRDefault="00F63ACE" w:rsidP="00F56B79">
      <w:pPr>
        <w:pStyle w:val="FigureTableHeading"/>
        <w:spacing w:after="120"/>
        <w:rPr>
          <w:color w:val="B65627" w:themeColor="text2"/>
        </w:rPr>
      </w:pPr>
      <w:r w:rsidRPr="007B3DCE">
        <w:rPr>
          <w:color w:val="B65627" w:themeColor="text2"/>
        </w:rPr>
        <w:t>Table 1.</w:t>
      </w:r>
      <w:r w:rsidR="00E30FF1">
        <w:rPr>
          <w:noProof/>
          <w:color w:val="B65627" w:themeColor="text2"/>
        </w:rPr>
        <w:t>2</w:t>
      </w:r>
      <w:r w:rsidR="00066FE1" w:rsidRPr="007B3DCE">
        <w:rPr>
          <w:color w:val="B65627" w:themeColor="text2"/>
        </w:rPr>
        <w:t xml:space="preserve"> – Data collection frequency for SEO targets as at 30 July 2024</w:t>
      </w:r>
      <w:r w:rsidR="00066FE1" w:rsidRPr="007B3DCE">
        <w:rPr>
          <w:color w:val="B65627" w:themeColor="text2"/>
          <w:vertAlign w:val="superscript"/>
        </w:rPr>
        <w:t>a</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066FE1" w:rsidRPr="007B3DCE" w14:paraId="029FFB2B" w14:textId="77777777">
        <w:trPr>
          <w:tblHeader/>
        </w:trPr>
        <w:tc>
          <w:tcPr>
            <w:tcW w:w="3212" w:type="dxa"/>
            <w:tcBorders>
              <w:bottom w:val="single" w:sz="4" w:space="0" w:color="B3B3B3"/>
            </w:tcBorders>
            <w:shd w:val="clear" w:color="000000" w:fill="auto"/>
            <w:vAlign w:val="bottom"/>
          </w:tcPr>
          <w:p w14:paraId="7B2AD55B" w14:textId="77777777" w:rsidR="00066FE1" w:rsidRPr="007B3DCE" w:rsidRDefault="00066FE1">
            <w:pPr>
              <w:spacing w:before="45" w:after="45"/>
              <w:ind w:right="108"/>
              <w:rPr>
                <w:rFonts w:ascii="Arial (Body)" w:hAnsi="Arial (Body)"/>
                <w:b/>
                <w:color w:val="5B2A13" w:themeColor="text2" w:themeShade="80"/>
              </w:rPr>
            </w:pPr>
            <w:r w:rsidRPr="007B3DCE">
              <w:rPr>
                <w:rFonts w:ascii="Arial (Body)" w:hAnsi="Arial (Body)"/>
                <w:b/>
                <w:color w:val="5B2A13" w:themeColor="text2" w:themeShade="80"/>
              </w:rPr>
              <w:t>Target number</w:t>
            </w:r>
          </w:p>
        </w:tc>
        <w:tc>
          <w:tcPr>
            <w:tcW w:w="3213" w:type="dxa"/>
            <w:tcBorders>
              <w:bottom w:val="single" w:sz="4" w:space="0" w:color="B3B3B3"/>
            </w:tcBorders>
            <w:shd w:val="clear" w:color="000000" w:fill="auto"/>
            <w:vAlign w:val="bottom"/>
          </w:tcPr>
          <w:p w14:paraId="35480A8E" w14:textId="77777777" w:rsidR="00066FE1" w:rsidRPr="007B3DCE" w:rsidRDefault="00066FE1" w:rsidP="00D6252A">
            <w:pPr>
              <w:pStyle w:val="TableHeading"/>
              <w:rPr>
                <w:color w:val="5B2A13" w:themeColor="text2" w:themeShade="80"/>
              </w:rPr>
            </w:pPr>
            <w:r w:rsidRPr="007B3DCE">
              <w:rPr>
                <w:color w:val="5B2A13" w:themeColor="text2" w:themeShade="80"/>
              </w:rPr>
              <w:t>Last data reported on dashboard</w:t>
            </w:r>
          </w:p>
        </w:tc>
        <w:tc>
          <w:tcPr>
            <w:tcW w:w="3213" w:type="dxa"/>
            <w:tcBorders>
              <w:bottom w:val="single" w:sz="4" w:space="0" w:color="B3B3B3"/>
            </w:tcBorders>
            <w:shd w:val="clear" w:color="000000" w:fill="auto"/>
            <w:vAlign w:val="bottom"/>
          </w:tcPr>
          <w:p w14:paraId="27C9C53A" w14:textId="77777777" w:rsidR="00066FE1" w:rsidRPr="007B3DCE" w:rsidRDefault="00066FE1">
            <w:pPr>
              <w:pStyle w:val="TableHeading"/>
              <w:rPr>
                <w:color w:val="5B2A13" w:themeColor="text2" w:themeShade="80"/>
              </w:rPr>
            </w:pPr>
            <w:r w:rsidRPr="007B3DCE">
              <w:rPr>
                <w:color w:val="5B2A13" w:themeColor="text2" w:themeShade="80"/>
              </w:rPr>
              <w:t>Frequency</w:t>
            </w:r>
          </w:p>
        </w:tc>
      </w:tr>
      <w:tr w:rsidR="00192EC2" w:rsidRPr="007B3DCE" w14:paraId="42F4B5C9" w14:textId="77777777" w:rsidTr="00787AF7">
        <w:tc>
          <w:tcPr>
            <w:tcW w:w="3212" w:type="dxa"/>
            <w:tcBorders>
              <w:top w:val="single" w:sz="4" w:space="0" w:color="B3B3B3"/>
              <w:bottom w:val="nil"/>
            </w:tcBorders>
            <w:shd w:val="clear" w:color="auto" w:fill="auto"/>
          </w:tcPr>
          <w:p w14:paraId="28733D5E" w14:textId="140359B3" w:rsidR="00192EC2" w:rsidRPr="007B3DCE" w:rsidRDefault="00192EC2" w:rsidP="00192EC2">
            <w:pPr>
              <w:pStyle w:val="TableHeading"/>
              <w:rPr>
                <w:color w:val="5B2A13" w:themeColor="text2" w:themeShade="80"/>
              </w:rPr>
            </w:pPr>
            <w:r w:rsidRPr="007B3DCE">
              <w:rPr>
                <w:color w:val="5B2A13" w:themeColor="text2" w:themeShade="80"/>
              </w:rPr>
              <w:t>Targets 3, 10, 12, 15A, 15B</w:t>
            </w:r>
          </w:p>
        </w:tc>
        <w:tc>
          <w:tcPr>
            <w:tcW w:w="3213" w:type="dxa"/>
            <w:tcBorders>
              <w:top w:val="single" w:sz="4" w:space="0" w:color="B3B3B3"/>
              <w:bottom w:val="nil"/>
            </w:tcBorders>
            <w:shd w:val="clear" w:color="auto" w:fill="auto"/>
          </w:tcPr>
          <w:p w14:paraId="6805F9F7" w14:textId="36CBA3D2" w:rsidR="00192EC2" w:rsidRPr="007B3DCE" w:rsidRDefault="00192EC2" w:rsidP="00D6252A">
            <w:pPr>
              <w:pStyle w:val="TableBody"/>
              <w:spacing w:before="45" w:after="45"/>
              <w:ind w:right="108"/>
            </w:pPr>
            <w:r w:rsidRPr="007B3DCE">
              <w:t>2023</w:t>
            </w:r>
          </w:p>
        </w:tc>
        <w:tc>
          <w:tcPr>
            <w:tcW w:w="3213" w:type="dxa"/>
            <w:tcBorders>
              <w:top w:val="single" w:sz="4" w:space="0" w:color="B3B3B3"/>
              <w:bottom w:val="nil"/>
            </w:tcBorders>
            <w:shd w:val="clear" w:color="auto" w:fill="auto"/>
          </w:tcPr>
          <w:p w14:paraId="4853691F" w14:textId="3FE557AA" w:rsidR="00192EC2" w:rsidRPr="007B3DCE" w:rsidRDefault="00192EC2" w:rsidP="00192EC2">
            <w:pPr>
              <w:pStyle w:val="TableBody"/>
              <w:spacing w:before="45" w:after="45"/>
              <w:ind w:right="108"/>
            </w:pPr>
            <w:r w:rsidRPr="007B3DCE">
              <w:t>Annually</w:t>
            </w:r>
          </w:p>
        </w:tc>
      </w:tr>
      <w:tr w:rsidR="00066FE1" w:rsidRPr="007B3DCE" w14:paraId="2CC8AAF8" w14:textId="77777777" w:rsidTr="00787AF7">
        <w:tc>
          <w:tcPr>
            <w:tcW w:w="3212" w:type="dxa"/>
            <w:tcBorders>
              <w:top w:val="nil"/>
              <w:bottom w:val="nil"/>
            </w:tcBorders>
            <w:shd w:val="clear" w:color="auto" w:fill="F4DBCF" w:themeFill="text2" w:themeFillTint="33"/>
          </w:tcPr>
          <w:p w14:paraId="4E7363D5" w14:textId="0CD5C16A" w:rsidR="00066FE1" w:rsidRPr="007B3DCE" w:rsidRDefault="00066FE1">
            <w:pPr>
              <w:pStyle w:val="TableHeading"/>
              <w:rPr>
                <w:color w:val="B65627" w:themeColor="text2"/>
              </w:rPr>
            </w:pPr>
            <w:r w:rsidRPr="007B3DCE">
              <w:rPr>
                <w:color w:val="5B2A13" w:themeColor="text2" w:themeShade="80"/>
              </w:rPr>
              <w:t>Target 11</w:t>
            </w:r>
          </w:p>
        </w:tc>
        <w:tc>
          <w:tcPr>
            <w:tcW w:w="3213" w:type="dxa"/>
            <w:tcBorders>
              <w:top w:val="nil"/>
              <w:bottom w:val="nil"/>
            </w:tcBorders>
            <w:shd w:val="clear" w:color="auto" w:fill="F4DBCF" w:themeFill="text2" w:themeFillTint="33"/>
          </w:tcPr>
          <w:p w14:paraId="3BC9B999" w14:textId="3B758F6C" w:rsidR="00066FE1" w:rsidRPr="007B3DCE" w:rsidRDefault="00066FE1" w:rsidP="00D6252A">
            <w:pPr>
              <w:pStyle w:val="TableBody"/>
              <w:spacing w:before="45" w:after="45"/>
              <w:ind w:right="108"/>
              <w:rPr>
                <w:rFonts w:ascii="Arial (Body)" w:hAnsi="Arial (Body)"/>
                <w:color w:val="000000"/>
              </w:rPr>
            </w:pPr>
            <w:r w:rsidRPr="007B3DCE">
              <w:t>2022-23</w:t>
            </w:r>
          </w:p>
        </w:tc>
        <w:tc>
          <w:tcPr>
            <w:tcW w:w="3213" w:type="dxa"/>
            <w:tcBorders>
              <w:top w:val="nil"/>
              <w:bottom w:val="nil"/>
            </w:tcBorders>
            <w:shd w:val="clear" w:color="auto" w:fill="F4DBCF" w:themeFill="text2" w:themeFillTint="33"/>
          </w:tcPr>
          <w:p w14:paraId="44E1FD8C" w14:textId="77777777" w:rsidR="00066FE1" w:rsidRPr="007B3DCE" w:rsidRDefault="00066FE1">
            <w:pPr>
              <w:pStyle w:val="TableBody"/>
              <w:spacing w:before="45" w:after="45"/>
              <w:ind w:right="108"/>
              <w:rPr>
                <w:rFonts w:ascii="Arial (Body)" w:hAnsi="Arial (Body)"/>
                <w:color w:val="000000"/>
              </w:rPr>
            </w:pPr>
            <w:r w:rsidRPr="007B3DCE">
              <w:t>Annually</w:t>
            </w:r>
          </w:p>
        </w:tc>
      </w:tr>
      <w:tr w:rsidR="00066FE1" w:rsidRPr="007B3DCE" w14:paraId="5357E096" w14:textId="77777777">
        <w:tc>
          <w:tcPr>
            <w:tcW w:w="3212" w:type="dxa"/>
            <w:tcBorders>
              <w:top w:val="nil"/>
              <w:bottom w:val="nil"/>
            </w:tcBorders>
            <w:shd w:val="clear" w:color="000000" w:fill="auto"/>
          </w:tcPr>
          <w:p w14:paraId="2953AE08" w14:textId="77777777" w:rsidR="00066FE1" w:rsidRPr="007B3DCE" w:rsidRDefault="00066FE1">
            <w:pPr>
              <w:pStyle w:val="TableHeading"/>
              <w:rPr>
                <w:color w:val="5B2A13" w:themeColor="text2" w:themeShade="80"/>
              </w:rPr>
            </w:pPr>
            <w:r w:rsidRPr="007B3DCE">
              <w:rPr>
                <w:color w:val="5B2A13" w:themeColor="text2" w:themeShade="80"/>
              </w:rPr>
              <w:t>Target 14</w:t>
            </w:r>
          </w:p>
        </w:tc>
        <w:tc>
          <w:tcPr>
            <w:tcW w:w="3213" w:type="dxa"/>
            <w:tcBorders>
              <w:top w:val="nil"/>
              <w:bottom w:val="nil"/>
            </w:tcBorders>
            <w:shd w:val="clear" w:color="000000" w:fill="auto"/>
          </w:tcPr>
          <w:p w14:paraId="0A483CC1" w14:textId="77777777" w:rsidR="00066FE1" w:rsidRPr="007B3DCE" w:rsidRDefault="00066FE1" w:rsidP="00D6252A">
            <w:pPr>
              <w:pStyle w:val="TableBody"/>
              <w:spacing w:before="45" w:after="45"/>
              <w:ind w:right="108"/>
              <w:rPr>
                <w:rFonts w:ascii="Arial (Body)" w:hAnsi="Arial (Body)"/>
                <w:color w:val="000000"/>
              </w:rPr>
            </w:pPr>
            <w:r w:rsidRPr="007B3DCE">
              <w:t>2022</w:t>
            </w:r>
          </w:p>
        </w:tc>
        <w:tc>
          <w:tcPr>
            <w:tcW w:w="3213" w:type="dxa"/>
            <w:tcBorders>
              <w:top w:val="nil"/>
              <w:bottom w:val="nil"/>
            </w:tcBorders>
            <w:shd w:val="clear" w:color="000000" w:fill="auto"/>
          </w:tcPr>
          <w:p w14:paraId="104F7568" w14:textId="77777777" w:rsidR="00066FE1" w:rsidRPr="007B3DCE" w:rsidRDefault="00066FE1">
            <w:pPr>
              <w:pStyle w:val="TableBody"/>
              <w:spacing w:before="45" w:after="45"/>
              <w:ind w:right="108"/>
              <w:rPr>
                <w:rFonts w:ascii="Arial (Body)" w:hAnsi="Arial (Body)"/>
                <w:color w:val="000000"/>
              </w:rPr>
            </w:pPr>
            <w:r w:rsidRPr="007B3DCE">
              <w:t>Annually</w:t>
            </w:r>
          </w:p>
        </w:tc>
      </w:tr>
      <w:tr w:rsidR="00066FE1" w:rsidRPr="007B3DCE" w14:paraId="4DDE9069" w14:textId="77777777">
        <w:tc>
          <w:tcPr>
            <w:tcW w:w="3212" w:type="dxa"/>
            <w:tcBorders>
              <w:top w:val="nil"/>
              <w:bottom w:val="nil"/>
            </w:tcBorders>
            <w:shd w:val="clear" w:color="auto" w:fill="F4DBCF" w:themeFill="text2" w:themeFillTint="33"/>
          </w:tcPr>
          <w:p w14:paraId="6D4FB11B" w14:textId="77777777" w:rsidR="00066FE1" w:rsidRPr="007B3DCE" w:rsidRDefault="00066FE1">
            <w:pPr>
              <w:pStyle w:val="TableHeading"/>
              <w:rPr>
                <w:color w:val="5B2A13" w:themeColor="text2" w:themeShade="80"/>
              </w:rPr>
            </w:pPr>
            <w:r w:rsidRPr="007B3DCE">
              <w:rPr>
                <w:color w:val="5B2A13" w:themeColor="text2" w:themeShade="80"/>
              </w:rPr>
              <w:t>Target 2</w:t>
            </w:r>
          </w:p>
        </w:tc>
        <w:tc>
          <w:tcPr>
            <w:tcW w:w="3213" w:type="dxa"/>
            <w:tcBorders>
              <w:top w:val="nil"/>
              <w:bottom w:val="nil"/>
            </w:tcBorders>
            <w:shd w:val="clear" w:color="auto" w:fill="F4DBCF" w:themeFill="text2" w:themeFillTint="33"/>
          </w:tcPr>
          <w:p w14:paraId="254A581D" w14:textId="77777777" w:rsidR="00066FE1" w:rsidRPr="007B3DCE" w:rsidRDefault="00066FE1" w:rsidP="00D6252A">
            <w:pPr>
              <w:pStyle w:val="TableBody"/>
              <w:spacing w:before="45" w:after="45"/>
              <w:ind w:right="108"/>
              <w:rPr>
                <w:rFonts w:ascii="Arial (Body)" w:hAnsi="Arial (Body)"/>
                <w:color w:val="000000"/>
              </w:rPr>
            </w:pPr>
            <w:r w:rsidRPr="007B3DCE">
              <w:t>2021</w:t>
            </w:r>
          </w:p>
        </w:tc>
        <w:tc>
          <w:tcPr>
            <w:tcW w:w="3213" w:type="dxa"/>
            <w:tcBorders>
              <w:top w:val="nil"/>
              <w:bottom w:val="nil"/>
            </w:tcBorders>
            <w:shd w:val="clear" w:color="auto" w:fill="F4DBCF" w:themeFill="text2" w:themeFillTint="33"/>
          </w:tcPr>
          <w:p w14:paraId="30231B64" w14:textId="77777777" w:rsidR="00066FE1" w:rsidRPr="007B3DCE" w:rsidRDefault="00066FE1">
            <w:pPr>
              <w:pStyle w:val="TableBody"/>
              <w:spacing w:before="45" w:after="45"/>
              <w:ind w:right="108"/>
              <w:rPr>
                <w:rFonts w:ascii="Arial (Body)" w:hAnsi="Arial (Body)"/>
                <w:color w:val="000000"/>
              </w:rPr>
            </w:pPr>
            <w:r w:rsidRPr="007B3DCE">
              <w:t>Annually</w:t>
            </w:r>
          </w:p>
        </w:tc>
      </w:tr>
      <w:tr w:rsidR="00066FE1" w:rsidRPr="007B3DCE" w14:paraId="5E646A97" w14:textId="77777777">
        <w:tc>
          <w:tcPr>
            <w:tcW w:w="3212" w:type="dxa"/>
            <w:tcBorders>
              <w:top w:val="nil"/>
              <w:bottom w:val="nil"/>
            </w:tcBorders>
            <w:shd w:val="clear" w:color="000000" w:fill="auto"/>
          </w:tcPr>
          <w:p w14:paraId="6E56F81D" w14:textId="77777777" w:rsidR="00066FE1" w:rsidRPr="007B3DCE" w:rsidRDefault="00066FE1">
            <w:pPr>
              <w:pStyle w:val="TableHeading"/>
              <w:rPr>
                <w:color w:val="5B2A13" w:themeColor="text2" w:themeShade="80"/>
              </w:rPr>
            </w:pPr>
            <w:r w:rsidRPr="007B3DCE">
              <w:rPr>
                <w:color w:val="5B2A13" w:themeColor="text2" w:themeShade="80"/>
              </w:rPr>
              <w:t>Target 4</w:t>
            </w:r>
          </w:p>
        </w:tc>
        <w:tc>
          <w:tcPr>
            <w:tcW w:w="3213" w:type="dxa"/>
            <w:tcBorders>
              <w:top w:val="nil"/>
              <w:bottom w:val="nil"/>
            </w:tcBorders>
            <w:shd w:val="clear" w:color="000000" w:fill="auto"/>
          </w:tcPr>
          <w:p w14:paraId="197966ED" w14:textId="77777777" w:rsidR="00066FE1" w:rsidRPr="007B3DCE" w:rsidRDefault="00066FE1" w:rsidP="00D6252A">
            <w:pPr>
              <w:pStyle w:val="TableBody"/>
              <w:spacing w:before="45" w:after="45"/>
              <w:ind w:right="108"/>
              <w:rPr>
                <w:rFonts w:ascii="Arial (Body)" w:hAnsi="Arial (Body)"/>
                <w:color w:val="000000"/>
              </w:rPr>
            </w:pPr>
            <w:r w:rsidRPr="007B3DCE">
              <w:t>2021</w:t>
            </w:r>
          </w:p>
        </w:tc>
        <w:tc>
          <w:tcPr>
            <w:tcW w:w="3213" w:type="dxa"/>
            <w:tcBorders>
              <w:top w:val="nil"/>
              <w:bottom w:val="nil"/>
            </w:tcBorders>
            <w:shd w:val="clear" w:color="000000" w:fill="auto"/>
          </w:tcPr>
          <w:p w14:paraId="616E4546" w14:textId="77777777" w:rsidR="00066FE1" w:rsidRPr="007B3DCE" w:rsidRDefault="00066FE1">
            <w:pPr>
              <w:pStyle w:val="TableBody"/>
              <w:spacing w:before="45" w:after="45"/>
              <w:ind w:right="108"/>
              <w:rPr>
                <w:rFonts w:ascii="Arial (Body)" w:hAnsi="Arial (Body)"/>
                <w:color w:val="000000"/>
              </w:rPr>
            </w:pPr>
            <w:r w:rsidRPr="007B3DCE">
              <w:t>Every three years</w:t>
            </w:r>
          </w:p>
        </w:tc>
      </w:tr>
      <w:tr w:rsidR="00066FE1" w:rsidRPr="007B3DCE" w14:paraId="06DB4679" w14:textId="77777777">
        <w:tc>
          <w:tcPr>
            <w:tcW w:w="3212" w:type="dxa"/>
            <w:tcBorders>
              <w:top w:val="nil"/>
              <w:bottom w:val="nil"/>
            </w:tcBorders>
            <w:shd w:val="clear" w:color="auto" w:fill="F4DBCF" w:themeFill="text2" w:themeFillTint="33"/>
          </w:tcPr>
          <w:p w14:paraId="4D5A0CBB" w14:textId="77777777" w:rsidR="00066FE1" w:rsidRPr="007B3DCE" w:rsidRDefault="00066FE1">
            <w:pPr>
              <w:pStyle w:val="TableHeading"/>
              <w:rPr>
                <w:color w:val="5B2A13" w:themeColor="text2" w:themeShade="80"/>
              </w:rPr>
            </w:pPr>
            <w:r w:rsidRPr="007B3DCE">
              <w:rPr>
                <w:color w:val="5B2A13" w:themeColor="text2" w:themeShade="80"/>
              </w:rPr>
              <w:t>Targets 5, 6, 7, 8, 9A</w:t>
            </w:r>
          </w:p>
        </w:tc>
        <w:tc>
          <w:tcPr>
            <w:tcW w:w="3213" w:type="dxa"/>
            <w:tcBorders>
              <w:top w:val="nil"/>
              <w:bottom w:val="nil"/>
            </w:tcBorders>
            <w:shd w:val="clear" w:color="auto" w:fill="F4DBCF" w:themeFill="text2" w:themeFillTint="33"/>
          </w:tcPr>
          <w:p w14:paraId="12A72EAA" w14:textId="77777777" w:rsidR="00066FE1" w:rsidRPr="007B3DCE" w:rsidRDefault="00066FE1" w:rsidP="00D6252A">
            <w:pPr>
              <w:pStyle w:val="TableBody"/>
              <w:spacing w:before="45" w:after="45"/>
              <w:ind w:right="108"/>
              <w:rPr>
                <w:rFonts w:ascii="Arial (Body)" w:hAnsi="Arial (Body)"/>
                <w:color w:val="000000"/>
              </w:rPr>
            </w:pPr>
            <w:r w:rsidRPr="007B3DCE">
              <w:t>2021</w:t>
            </w:r>
          </w:p>
        </w:tc>
        <w:tc>
          <w:tcPr>
            <w:tcW w:w="3213" w:type="dxa"/>
            <w:tcBorders>
              <w:top w:val="nil"/>
              <w:bottom w:val="nil"/>
            </w:tcBorders>
            <w:shd w:val="clear" w:color="auto" w:fill="F4DBCF" w:themeFill="text2" w:themeFillTint="33"/>
          </w:tcPr>
          <w:p w14:paraId="32B5E33C" w14:textId="77777777" w:rsidR="00066FE1" w:rsidRPr="007B3DCE" w:rsidRDefault="00066FE1">
            <w:pPr>
              <w:pStyle w:val="TableBody"/>
              <w:spacing w:before="45" w:after="45"/>
              <w:ind w:right="108"/>
              <w:rPr>
                <w:rFonts w:ascii="Arial (Body)" w:hAnsi="Arial (Body)"/>
                <w:color w:val="000000"/>
              </w:rPr>
            </w:pPr>
            <w:r w:rsidRPr="007B3DCE">
              <w:t>Every five years</w:t>
            </w:r>
          </w:p>
        </w:tc>
      </w:tr>
      <w:tr w:rsidR="00066FE1" w:rsidRPr="007B3DCE" w14:paraId="1167638E" w14:textId="77777777">
        <w:tc>
          <w:tcPr>
            <w:tcW w:w="3212" w:type="dxa"/>
            <w:tcBorders>
              <w:top w:val="nil"/>
              <w:bottom w:val="nil"/>
            </w:tcBorders>
            <w:shd w:val="clear" w:color="000000" w:fill="auto"/>
          </w:tcPr>
          <w:p w14:paraId="252B42FC" w14:textId="77777777" w:rsidR="00066FE1" w:rsidRPr="007B3DCE" w:rsidRDefault="00066FE1">
            <w:pPr>
              <w:pStyle w:val="TableHeading"/>
              <w:rPr>
                <w:color w:val="5B2A13" w:themeColor="text2" w:themeShade="80"/>
              </w:rPr>
            </w:pPr>
            <w:r w:rsidRPr="007B3DCE">
              <w:rPr>
                <w:color w:val="5B2A13" w:themeColor="text2" w:themeShade="80"/>
              </w:rPr>
              <w:t>Target 1</w:t>
            </w:r>
          </w:p>
        </w:tc>
        <w:tc>
          <w:tcPr>
            <w:tcW w:w="3213" w:type="dxa"/>
            <w:tcBorders>
              <w:top w:val="nil"/>
              <w:bottom w:val="nil"/>
            </w:tcBorders>
            <w:shd w:val="clear" w:color="000000" w:fill="auto"/>
          </w:tcPr>
          <w:p w14:paraId="07B58BC7" w14:textId="77777777" w:rsidR="00066FE1" w:rsidRPr="007B3DCE" w:rsidRDefault="00066FE1" w:rsidP="00D6252A">
            <w:pPr>
              <w:pStyle w:val="TableBody"/>
              <w:spacing w:before="45" w:after="45"/>
              <w:ind w:right="108"/>
              <w:rPr>
                <w:rFonts w:ascii="Arial (Body)" w:hAnsi="Arial (Body)"/>
                <w:color w:val="000000"/>
              </w:rPr>
            </w:pPr>
            <w:r w:rsidRPr="007B3DCE">
              <w:t>2020–2022</w:t>
            </w:r>
          </w:p>
        </w:tc>
        <w:tc>
          <w:tcPr>
            <w:tcW w:w="3213" w:type="dxa"/>
            <w:tcBorders>
              <w:top w:val="nil"/>
              <w:bottom w:val="nil"/>
            </w:tcBorders>
            <w:shd w:val="clear" w:color="000000" w:fill="auto"/>
          </w:tcPr>
          <w:p w14:paraId="5ABFF6AE" w14:textId="77777777" w:rsidR="00066FE1" w:rsidRPr="007B3DCE" w:rsidRDefault="00066FE1">
            <w:pPr>
              <w:pStyle w:val="TableBody"/>
              <w:spacing w:before="45" w:after="45"/>
              <w:ind w:right="108"/>
              <w:rPr>
                <w:rFonts w:ascii="Arial (Body)" w:hAnsi="Arial (Body)"/>
                <w:color w:val="000000"/>
              </w:rPr>
            </w:pPr>
            <w:r w:rsidRPr="007B3DCE">
              <w:t>Every five years</w:t>
            </w:r>
          </w:p>
        </w:tc>
      </w:tr>
      <w:tr w:rsidR="00066FE1" w:rsidRPr="007B3DCE" w14:paraId="7C6DE8F8" w14:textId="77777777">
        <w:tc>
          <w:tcPr>
            <w:tcW w:w="3212" w:type="dxa"/>
            <w:tcBorders>
              <w:top w:val="nil"/>
              <w:bottom w:val="nil"/>
            </w:tcBorders>
            <w:shd w:val="clear" w:color="auto" w:fill="F4DBCF" w:themeFill="text2" w:themeFillTint="33"/>
          </w:tcPr>
          <w:p w14:paraId="4662F91B" w14:textId="4E13CA94" w:rsidR="00066FE1" w:rsidRPr="007B3DCE" w:rsidRDefault="00066FE1">
            <w:pPr>
              <w:pStyle w:val="TableHeading"/>
              <w:rPr>
                <w:color w:val="5B2A13" w:themeColor="text2" w:themeShade="80"/>
              </w:rPr>
            </w:pPr>
            <w:r w:rsidRPr="007B3DCE">
              <w:rPr>
                <w:color w:val="5B2A13" w:themeColor="text2" w:themeShade="80"/>
              </w:rPr>
              <w:t>Target 16</w:t>
            </w:r>
          </w:p>
        </w:tc>
        <w:tc>
          <w:tcPr>
            <w:tcW w:w="3213" w:type="dxa"/>
            <w:tcBorders>
              <w:top w:val="nil"/>
              <w:bottom w:val="nil"/>
            </w:tcBorders>
            <w:shd w:val="clear" w:color="auto" w:fill="F4DBCF" w:themeFill="text2" w:themeFillTint="33"/>
          </w:tcPr>
          <w:p w14:paraId="5DFB5554" w14:textId="77777777" w:rsidR="00066FE1" w:rsidRPr="007B3DCE" w:rsidRDefault="00066FE1" w:rsidP="00D6252A">
            <w:pPr>
              <w:pStyle w:val="TableBody"/>
              <w:spacing w:before="45" w:after="45"/>
              <w:ind w:right="108"/>
              <w:rPr>
                <w:rFonts w:ascii="Arial (Body)" w:hAnsi="Arial (Body)"/>
                <w:color w:val="000000"/>
              </w:rPr>
            </w:pPr>
            <w:r w:rsidRPr="007B3DCE">
              <w:t>2018-19</w:t>
            </w:r>
          </w:p>
        </w:tc>
        <w:tc>
          <w:tcPr>
            <w:tcW w:w="3213" w:type="dxa"/>
            <w:tcBorders>
              <w:top w:val="nil"/>
              <w:bottom w:val="nil"/>
            </w:tcBorders>
            <w:shd w:val="clear" w:color="auto" w:fill="F4DBCF" w:themeFill="text2" w:themeFillTint="33"/>
          </w:tcPr>
          <w:p w14:paraId="0E054D29" w14:textId="77777777" w:rsidR="00066FE1" w:rsidRPr="007B3DCE" w:rsidRDefault="00066FE1">
            <w:pPr>
              <w:pStyle w:val="TableBody"/>
              <w:spacing w:before="45" w:after="45"/>
              <w:ind w:right="108"/>
              <w:rPr>
                <w:rFonts w:ascii="Arial (Body)" w:hAnsi="Arial (Body)"/>
                <w:color w:val="000000"/>
              </w:rPr>
            </w:pPr>
            <w:r w:rsidRPr="007B3DCE">
              <w:t>Periodic</w:t>
            </w:r>
          </w:p>
        </w:tc>
      </w:tr>
      <w:tr w:rsidR="00BA355A" w:rsidRPr="007B3DCE" w14:paraId="46E6B8F3" w14:textId="77777777">
        <w:tc>
          <w:tcPr>
            <w:tcW w:w="3212" w:type="dxa"/>
            <w:tcBorders>
              <w:top w:val="nil"/>
              <w:bottom w:val="nil"/>
            </w:tcBorders>
            <w:shd w:val="clear" w:color="auto" w:fill="auto"/>
          </w:tcPr>
          <w:p w14:paraId="1C03E170" w14:textId="155999E8" w:rsidR="00BA355A" w:rsidRPr="007B3DCE" w:rsidRDefault="007D6D3E">
            <w:pPr>
              <w:pStyle w:val="TableHeading"/>
              <w:rPr>
                <w:color w:val="5B2A13" w:themeColor="text2" w:themeShade="80"/>
              </w:rPr>
            </w:pPr>
            <w:r w:rsidRPr="007B3DCE">
              <w:rPr>
                <w:color w:val="5B2A13" w:themeColor="text2" w:themeShade="80"/>
              </w:rPr>
              <w:t>Target 13</w:t>
            </w:r>
          </w:p>
        </w:tc>
        <w:tc>
          <w:tcPr>
            <w:tcW w:w="3213" w:type="dxa"/>
            <w:tcBorders>
              <w:top w:val="nil"/>
              <w:bottom w:val="nil"/>
            </w:tcBorders>
            <w:shd w:val="clear" w:color="auto" w:fill="auto"/>
          </w:tcPr>
          <w:p w14:paraId="5BEC46CC" w14:textId="2ECAE693" w:rsidR="00BA355A" w:rsidRPr="007B3DCE" w:rsidRDefault="007D6D3E" w:rsidP="00D6252A">
            <w:pPr>
              <w:pStyle w:val="TableBody"/>
              <w:spacing w:before="45" w:after="45"/>
              <w:ind w:right="108"/>
            </w:pPr>
            <w:r w:rsidRPr="007B3DCE">
              <w:t>2018-19</w:t>
            </w:r>
          </w:p>
        </w:tc>
        <w:tc>
          <w:tcPr>
            <w:tcW w:w="3213" w:type="dxa"/>
            <w:tcBorders>
              <w:top w:val="nil"/>
              <w:bottom w:val="nil"/>
            </w:tcBorders>
            <w:shd w:val="clear" w:color="auto" w:fill="auto"/>
          </w:tcPr>
          <w:p w14:paraId="1264FA65" w14:textId="07150FA5" w:rsidR="00BA355A" w:rsidRPr="007B3DCE" w:rsidRDefault="007D6D3E">
            <w:pPr>
              <w:pStyle w:val="TableBody"/>
              <w:spacing w:before="45" w:after="45"/>
              <w:ind w:right="108"/>
            </w:pPr>
            <w:r w:rsidRPr="007B3DCE">
              <w:t>To be confirmed</w:t>
            </w:r>
          </w:p>
        </w:tc>
      </w:tr>
      <w:tr w:rsidR="00066FE1" w:rsidRPr="007B3DCE" w14:paraId="3EC8E162" w14:textId="77777777">
        <w:tc>
          <w:tcPr>
            <w:tcW w:w="3212" w:type="dxa"/>
            <w:tcBorders>
              <w:top w:val="nil"/>
              <w:bottom w:val="nil"/>
            </w:tcBorders>
            <w:shd w:val="clear" w:color="auto" w:fill="F4DBCF" w:themeFill="text2" w:themeFillTint="33"/>
          </w:tcPr>
          <w:p w14:paraId="1F8F7273" w14:textId="77777777" w:rsidR="00066FE1" w:rsidRPr="007B3DCE" w:rsidRDefault="00066FE1">
            <w:pPr>
              <w:pStyle w:val="TableHeading"/>
              <w:rPr>
                <w:color w:val="5B2A13" w:themeColor="text2" w:themeShade="80"/>
              </w:rPr>
            </w:pPr>
            <w:r w:rsidRPr="007B3DCE">
              <w:rPr>
                <w:color w:val="5B2A13" w:themeColor="text2" w:themeShade="80"/>
              </w:rPr>
              <w:t>Targets 17</w:t>
            </w:r>
          </w:p>
        </w:tc>
        <w:tc>
          <w:tcPr>
            <w:tcW w:w="3213" w:type="dxa"/>
            <w:tcBorders>
              <w:top w:val="nil"/>
              <w:bottom w:val="nil"/>
            </w:tcBorders>
            <w:shd w:val="clear" w:color="auto" w:fill="F4DBCF" w:themeFill="text2" w:themeFillTint="33"/>
          </w:tcPr>
          <w:p w14:paraId="5D265F19" w14:textId="77777777" w:rsidR="00066FE1" w:rsidRPr="007B3DCE" w:rsidRDefault="00066FE1" w:rsidP="00D6252A">
            <w:pPr>
              <w:pStyle w:val="TableBody"/>
              <w:spacing w:before="45" w:after="45"/>
              <w:ind w:right="108"/>
              <w:rPr>
                <w:rFonts w:ascii="Arial (Body)" w:hAnsi="Arial (Body)"/>
                <w:color w:val="000000"/>
              </w:rPr>
            </w:pPr>
            <w:r w:rsidRPr="007B3DCE">
              <w:t>2014-15</w:t>
            </w:r>
          </w:p>
        </w:tc>
        <w:tc>
          <w:tcPr>
            <w:tcW w:w="3213" w:type="dxa"/>
            <w:tcBorders>
              <w:top w:val="nil"/>
              <w:bottom w:val="nil"/>
            </w:tcBorders>
            <w:shd w:val="clear" w:color="auto" w:fill="F4DBCF" w:themeFill="text2" w:themeFillTint="33"/>
          </w:tcPr>
          <w:p w14:paraId="241B1A33" w14:textId="7291A705" w:rsidR="00066FE1" w:rsidRPr="007B3DCE" w:rsidRDefault="00351E72">
            <w:pPr>
              <w:pStyle w:val="TableBody"/>
              <w:spacing w:before="45" w:after="45"/>
              <w:ind w:right="108"/>
              <w:rPr>
                <w:rFonts w:ascii="Arial (Body)" w:hAnsi="Arial (Body)"/>
                <w:color w:val="000000"/>
              </w:rPr>
            </w:pPr>
            <w:r w:rsidRPr="007B3DCE">
              <w:t>To be confirmed</w:t>
            </w:r>
          </w:p>
        </w:tc>
      </w:tr>
      <w:tr w:rsidR="00066FE1" w:rsidRPr="007B3DCE" w14:paraId="182E1BA5" w14:textId="77777777" w:rsidTr="00D07711">
        <w:tc>
          <w:tcPr>
            <w:tcW w:w="3212" w:type="dxa"/>
            <w:tcBorders>
              <w:top w:val="nil"/>
              <w:bottom w:val="single" w:sz="4" w:space="0" w:color="B3B3B3"/>
            </w:tcBorders>
            <w:shd w:val="clear" w:color="auto" w:fill="auto"/>
          </w:tcPr>
          <w:p w14:paraId="3B7B31B0" w14:textId="77777777" w:rsidR="00066FE1" w:rsidRPr="007B3DCE" w:rsidRDefault="00066FE1">
            <w:pPr>
              <w:pStyle w:val="TableHeading"/>
              <w:rPr>
                <w:color w:val="5B2A13" w:themeColor="text2" w:themeShade="80"/>
              </w:rPr>
            </w:pPr>
            <w:r w:rsidRPr="007B3DCE">
              <w:rPr>
                <w:color w:val="5B2A13" w:themeColor="text2" w:themeShade="80"/>
              </w:rPr>
              <w:t>Target 9B</w:t>
            </w:r>
          </w:p>
        </w:tc>
        <w:tc>
          <w:tcPr>
            <w:tcW w:w="3213" w:type="dxa"/>
            <w:tcBorders>
              <w:top w:val="nil"/>
              <w:bottom w:val="single" w:sz="4" w:space="0" w:color="B3B3B3"/>
            </w:tcBorders>
            <w:shd w:val="clear" w:color="auto" w:fill="auto"/>
          </w:tcPr>
          <w:p w14:paraId="002DF28D" w14:textId="77777777" w:rsidR="00066FE1" w:rsidRPr="007B3DCE" w:rsidRDefault="00066FE1" w:rsidP="00D6252A">
            <w:pPr>
              <w:pStyle w:val="TableBody"/>
              <w:spacing w:before="45" w:after="45"/>
              <w:ind w:right="108"/>
            </w:pPr>
            <w:r w:rsidRPr="007B3DCE">
              <w:t>Not applicable</w:t>
            </w:r>
          </w:p>
        </w:tc>
        <w:tc>
          <w:tcPr>
            <w:tcW w:w="3213" w:type="dxa"/>
            <w:tcBorders>
              <w:top w:val="nil"/>
              <w:bottom w:val="single" w:sz="4" w:space="0" w:color="B3B3B3"/>
            </w:tcBorders>
            <w:shd w:val="clear" w:color="auto" w:fill="auto"/>
          </w:tcPr>
          <w:p w14:paraId="7DBEB4E1" w14:textId="77777777" w:rsidR="00066FE1" w:rsidRPr="007B3DCE" w:rsidRDefault="00066FE1">
            <w:pPr>
              <w:pStyle w:val="TableBody"/>
              <w:spacing w:before="45" w:after="45"/>
              <w:ind w:right="108"/>
            </w:pPr>
            <w:r w:rsidRPr="007B3DCE">
              <w:t>Not applicable</w:t>
            </w:r>
          </w:p>
        </w:tc>
      </w:tr>
    </w:tbl>
    <w:p w14:paraId="045F46A6" w14:textId="78E7735E" w:rsidR="003075EF" w:rsidRPr="00F514C9" w:rsidRDefault="00066FE1" w:rsidP="009E04A2">
      <w:pPr>
        <w:pStyle w:val="Note"/>
        <w:rPr>
          <w:spacing w:val="-4"/>
        </w:rPr>
      </w:pPr>
      <w:r w:rsidRPr="00F514C9">
        <w:rPr>
          <w:b/>
          <w:bCs/>
          <w:spacing w:val="-4"/>
        </w:rPr>
        <w:t>a.</w:t>
      </w:r>
      <w:r w:rsidRPr="00F514C9">
        <w:rPr>
          <w:spacing w:val="-4"/>
        </w:rPr>
        <w:t xml:space="preserve"> A detailed summary of </w:t>
      </w:r>
      <w:r w:rsidR="00F73AD9" w:rsidRPr="00F514C9">
        <w:rPr>
          <w:spacing w:val="-4"/>
        </w:rPr>
        <w:t xml:space="preserve">Closing the Gap </w:t>
      </w:r>
      <w:r w:rsidRPr="00F514C9">
        <w:rPr>
          <w:spacing w:val="-4"/>
        </w:rPr>
        <w:t xml:space="preserve">data collection can be found in Attachment </w:t>
      </w:r>
      <w:r w:rsidR="003710F3" w:rsidRPr="00F514C9">
        <w:rPr>
          <w:spacing w:val="-4"/>
        </w:rPr>
        <w:t>2. If</w:t>
      </w:r>
      <w:r w:rsidR="00D61E4E" w:rsidRPr="00F514C9">
        <w:rPr>
          <w:spacing w:val="-4"/>
        </w:rPr>
        <w:t xml:space="preserve"> no new data </w:t>
      </w:r>
      <w:r w:rsidR="00943F8B" w:rsidRPr="00F514C9">
        <w:rPr>
          <w:spacing w:val="-4"/>
        </w:rPr>
        <w:t>is</w:t>
      </w:r>
      <w:r w:rsidR="00D61E4E" w:rsidRPr="00F514C9">
        <w:rPr>
          <w:spacing w:val="-4"/>
        </w:rPr>
        <w:t xml:space="preserve"> available for a target, readers are referred to the source of the most recent data, such as the 2022 or 2023 ADCR publications or the dashboard</w:t>
      </w:r>
      <w:r w:rsidR="003075EF" w:rsidRPr="00F514C9">
        <w:rPr>
          <w:spacing w:val="-4"/>
        </w:rPr>
        <w:t xml:space="preserve">. </w:t>
      </w:r>
    </w:p>
    <w:p w14:paraId="6303C0F9" w14:textId="0B1A2678" w:rsidR="00D76134" w:rsidRDefault="007E79FE" w:rsidP="00AA48F2">
      <w:pPr>
        <w:pStyle w:val="BodyText"/>
      </w:pPr>
      <w:r w:rsidRPr="009F6712">
        <w:t>This report contains updates on progress for nine socio-economic targets, a new year of data for 13 supporting indicators, 10 supporting indicators reported for the first time and two new measures for an existing supporting indicator</w:t>
      </w:r>
      <w:r w:rsidR="0079238C">
        <w:t xml:space="preserve"> (table 1.3)</w:t>
      </w:r>
      <w:r w:rsidRPr="009F6712">
        <w:t>.</w:t>
      </w:r>
      <w:r w:rsidRPr="009F6712" w:rsidDel="00FD3355">
        <w:t xml:space="preserve"> </w:t>
      </w:r>
    </w:p>
    <w:p w14:paraId="7DADA257" w14:textId="0CAB60E3" w:rsidR="00261D54" w:rsidRPr="001D218F" w:rsidRDefault="00261D54" w:rsidP="001D218F">
      <w:pPr>
        <w:spacing w:before="0" w:after="160" w:line="259" w:lineRule="auto"/>
        <w:rPr>
          <w:rFonts w:asciiTheme="majorHAnsi" w:hAnsiTheme="majorHAnsi"/>
          <w:color w:val="B65627" w:themeColor="text2"/>
        </w:rPr>
      </w:pPr>
      <w:r w:rsidRPr="001D218F">
        <w:rPr>
          <w:rFonts w:asciiTheme="majorHAnsi" w:hAnsiTheme="majorHAnsi"/>
          <w:color w:val="B65627" w:themeColor="text2"/>
        </w:rPr>
        <w:t xml:space="preserve">Table </w:t>
      </w:r>
      <w:r w:rsidRPr="001D218F">
        <w:rPr>
          <w:rFonts w:asciiTheme="majorHAnsi" w:hAnsiTheme="majorHAnsi"/>
          <w:noProof/>
          <w:color w:val="B65627" w:themeColor="text2"/>
        </w:rPr>
        <w:t>1</w:t>
      </w:r>
      <w:r w:rsidRPr="001D218F">
        <w:rPr>
          <w:rFonts w:asciiTheme="majorHAnsi" w:hAnsiTheme="majorHAnsi"/>
          <w:color w:val="B65627" w:themeColor="text2"/>
        </w:rPr>
        <w:t>.</w:t>
      </w:r>
      <w:r w:rsidR="0079238C" w:rsidRPr="001D218F">
        <w:rPr>
          <w:rFonts w:asciiTheme="majorHAnsi" w:hAnsiTheme="majorHAnsi"/>
          <w:color w:val="B65627" w:themeColor="text2"/>
        </w:rPr>
        <w:t>3</w:t>
      </w:r>
      <w:r w:rsidRPr="001D218F">
        <w:rPr>
          <w:rFonts w:asciiTheme="majorHAnsi" w:hAnsiTheme="majorHAnsi"/>
          <w:noProof/>
          <w:color w:val="B65627" w:themeColor="text2"/>
        </w:rPr>
        <w:t xml:space="preserve"> – </w:t>
      </w:r>
      <w:r w:rsidR="0074205B" w:rsidRPr="001D218F">
        <w:rPr>
          <w:rFonts w:asciiTheme="majorHAnsi" w:hAnsiTheme="majorHAnsi"/>
          <w:noProof/>
          <w:color w:val="B65627" w:themeColor="text2"/>
        </w:rPr>
        <w:t xml:space="preserve">What </w:t>
      </w:r>
      <w:r w:rsidR="000E4945" w:rsidRPr="001D218F">
        <w:rPr>
          <w:rFonts w:asciiTheme="majorHAnsi" w:hAnsiTheme="majorHAnsi"/>
          <w:noProof/>
          <w:color w:val="B65627" w:themeColor="text2"/>
        </w:rPr>
        <w:t>new</w:t>
      </w:r>
      <w:r w:rsidR="0074205B" w:rsidRPr="001D218F">
        <w:rPr>
          <w:rFonts w:asciiTheme="majorHAnsi" w:hAnsiTheme="majorHAnsi"/>
          <w:noProof/>
          <w:color w:val="B65627" w:themeColor="text2"/>
        </w:rPr>
        <w:t xml:space="preserve"> data will you find in this report?</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09"/>
        <w:gridCol w:w="2409"/>
        <w:gridCol w:w="2410"/>
        <w:gridCol w:w="2410"/>
      </w:tblGrid>
      <w:tr w:rsidR="009D5ADC" w:rsidRPr="00030C67" w14:paraId="78FC90D5" w14:textId="5CBD6FAD" w:rsidTr="00425FC9">
        <w:trPr>
          <w:trHeight w:val="567"/>
          <w:tblHeader/>
        </w:trPr>
        <w:tc>
          <w:tcPr>
            <w:tcW w:w="1250" w:type="pct"/>
            <w:tcBorders>
              <w:bottom w:val="single" w:sz="4" w:space="0" w:color="B3B3B3"/>
              <w:right w:val="single" w:sz="4" w:space="0" w:color="FFFFFF"/>
            </w:tcBorders>
            <w:shd w:val="clear" w:color="auto" w:fill="8C5E44" w:themeFill="text1"/>
            <w:vAlign w:val="center"/>
          </w:tcPr>
          <w:p w14:paraId="0AD185F3" w14:textId="31F8B3AB" w:rsidR="009D5ADC" w:rsidRPr="00D76134" w:rsidRDefault="009D5ADC" w:rsidP="00E37E88">
            <w:pPr>
              <w:pStyle w:val="TableHeading"/>
              <w:spacing w:line="200" w:lineRule="exact"/>
              <w:rPr>
                <w:color w:val="FFFFFF" w:themeColor="accent6"/>
              </w:rPr>
            </w:pPr>
            <w:r w:rsidRPr="00D76134">
              <w:rPr>
                <w:color w:val="FFFFFF" w:themeColor="accent6"/>
              </w:rPr>
              <w:t>Updated targets</w:t>
            </w:r>
          </w:p>
        </w:tc>
        <w:tc>
          <w:tcPr>
            <w:tcW w:w="1250" w:type="pct"/>
            <w:tcBorders>
              <w:left w:val="single" w:sz="4" w:space="0" w:color="FFFFFF"/>
              <w:bottom w:val="single" w:sz="4" w:space="0" w:color="B3B3B3"/>
              <w:right w:val="single" w:sz="4" w:space="0" w:color="FFFFFF"/>
            </w:tcBorders>
            <w:shd w:val="clear" w:color="auto" w:fill="8C5E44" w:themeFill="text1"/>
            <w:vAlign w:val="center"/>
          </w:tcPr>
          <w:p w14:paraId="230C775F" w14:textId="023E4736" w:rsidR="009D5ADC" w:rsidRPr="00D76134" w:rsidRDefault="00D92AA3" w:rsidP="00E37E88">
            <w:pPr>
              <w:pStyle w:val="TableHeading"/>
              <w:spacing w:line="200" w:lineRule="exact"/>
              <w:rPr>
                <w:color w:val="FFFFFF" w:themeColor="accent6"/>
              </w:rPr>
            </w:pPr>
            <w:r w:rsidRPr="00D76134">
              <w:rPr>
                <w:color w:val="FFFFFF" w:themeColor="accent6"/>
              </w:rPr>
              <w:t>Supporting indicators with a new y</w:t>
            </w:r>
            <w:r w:rsidR="009D5ADC" w:rsidRPr="00D76134">
              <w:rPr>
                <w:color w:val="FFFFFF" w:themeColor="accent6"/>
              </w:rPr>
              <w:t>ear of data</w:t>
            </w:r>
          </w:p>
        </w:tc>
        <w:tc>
          <w:tcPr>
            <w:tcW w:w="1250" w:type="pct"/>
            <w:tcBorders>
              <w:left w:val="single" w:sz="4" w:space="0" w:color="FFFFFF"/>
              <w:bottom w:val="single" w:sz="4" w:space="0" w:color="B3B3B3"/>
              <w:right w:val="single" w:sz="4" w:space="0" w:color="FFFFFF"/>
            </w:tcBorders>
            <w:shd w:val="clear" w:color="auto" w:fill="8C5E44" w:themeFill="text1"/>
            <w:vAlign w:val="center"/>
          </w:tcPr>
          <w:p w14:paraId="304C44EA" w14:textId="62862BD5" w:rsidR="009D5ADC" w:rsidRPr="00D76134" w:rsidRDefault="009D5ADC" w:rsidP="00E37E88">
            <w:pPr>
              <w:pStyle w:val="TableHeading"/>
              <w:spacing w:line="200" w:lineRule="exact"/>
              <w:rPr>
                <w:color w:val="FFFFFF" w:themeColor="accent6"/>
              </w:rPr>
            </w:pPr>
            <w:r w:rsidRPr="00D76134">
              <w:rPr>
                <w:color w:val="FFFFFF" w:themeColor="accent6"/>
              </w:rPr>
              <w:t>New supporting indicators</w:t>
            </w:r>
          </w:p>
        </w:tc>
        <w:tc>
          <w:tcPr>
            <w:tcW w:w="1250" w:type="pct"/>
            <w:tcBorders>
              <w:left w:val="single" w:sz="4" w:space="0" w:color="FFFFFF"/>
              <w:bottom w:val="single" w:sz="4" w:space="0" w:color="B3B3B3"/>
            </w:tcBorders>
            <w:shd w:val="clear" w:color="auto" w:fill="8C5E44" w:themeFill="text1"/>
            <w:vAlign w:val="center"/>
          </w:tcPr>
          <w:p w14:paraId="6A722B25" w14:textId="79B551DA" w:rsidR="009D5ADC" w:rsidRPr="00D76134" w:rsidRDefault="00CC4C7F" w:rsidP="00E37E88">
            <w:pPr>
              <w:pStyle w:val="TableHeading"/>
              <w:spacing w:line="200" w:lineRule="exact"/>
              <w:rPr>
                <w:color w:val="FFFFFF" w:themeColor="accent6"/>
              </w:rPr>
            </w:pPr>
            <w:r w:rsidRPr="00D76134">
              <w:rPr>
                <w:color w:val="FFFFFF" w:themeColor="accent6"/>
              </w:rPr>
              <w:t>New measures for existing supporting indicators</w:t>
            </w:r>
          </w:p>
        </w:tc>
      </w:tr>
      <w:tr w:rsidR="009D5ADC" w:rsidRPr="00030C67" w14:paraId="40E464BF" w14:textId="7AFE3B47" w:rsidTr="00D76134">
        <w:tc>
          <w:tcPr>
            <w:tcW w:w="1250" w:type="pct"/>
            <w:tcBorders>
              <w:top w:val="single" w:sz="4" w:space="0" w:color="B3B3B3"/>
              <w:bottom w:val="nil"/>
              <w:right w:val="single" w:sz="4" w:space="0" w:color="FFFFFF"/>
            </w:tcBorders>
            <w:shd w:val="clear" w:color="auto" w:fill="EBDDD6" w:themeFill="text1" w:themeFillTint="33"/>
          </w:tcPr>
          <w:p w14:paraId="0C4D34B1" w14:textId="78580C7B" w:rsidR="009D5ADC" w:rsidRPr="00030C67" w:rsidRDefault="00A268D4" w:rsidP="00AA48F2">
            <w:pPr>
              <w:pStyle w:val="TableBody"/>
              <w:spacing w:before="45" w:after="45"/>
            </w:pPr>
            <w:r>
              <w:t>9 t</w:t>
            </w:r>
            <w:r w:rsidR="00C4014D">
              <w:t xml:space="preserve">argets </w:t>
            </w:r>
            <w:r w:rsidR="00567CB7" w:rsidRPr="007B3DCE">
              <w:t>- 1, 2, 3, 10, 11, 12, 14 and 15A and 15B</w:t>
            </w:r>
          </w:p>
        </w:tc>
        <w:tc>
          <w:tcPr>
            <w:tcW w:w="1250" w:type="pct"/>
            <w:tcBorders>
              <w:top w:val="single" w:sz="4" w:space="0" w:color="B3B3B3"/>
              <w:left w:val="single" w:sz="4" w:space="0" w:color="FFFFFF"/>
              <w:bottom w:val="nil"/>
              <w:right w:val="single" w:sz="4" w:space="0" w:color="FFFFFF"/>
            </w:tcBorders>
            <w:shd w:val="clear" w:color="auto" w:fill="EBDDD6" w:themeFill="text1" w:themeFillTint="33"/>
          </w:tcPr>
          <w:p w14:paraId="08EB20C7" w14:textId="5CCC1FB5" w:rsidR="009D5ADC" w:rsidRPr="00030C67" w:rsidRDefault="00DA2605">
            <w:pPr>
              <w:pStyle w:val="TableBody"/>
              <w:spacing w:before="45" w:after="45"/>
              <w:ind w:right="108"/>
              <w:rPr>
                <w:rFonts w:ascii="Arial (Body)" w:hAnsi="Arial (Body)"/>
                <w:color w:val="000000"/>
              </w:rPr>
            </w:pPr>
            <w:r w:rsidRPr="007B3DCE" w:rsidDel="003424A6">
              <w:rPr>
                <w:rStyle w:val="ui-provider"/>
              </w:rPr>
              <w:t>13 supporting indicators across outcome areas</w:t>
            </w:r>
            <w:r>
              <w:rPr>
                <w:rStyle w:val="ui-provider"/>
              </w:rPr>
              <w:t>:</w:t>
            </w:r>
            <w:r w:rsidRPr="007B3DCE" w:rsidDel="003424A6">
              <w:rPr>
                <w:rStyle w:val="ui-provider"/>
              </w:rPr>
              <w:t xml:space="preserve"> </w:t>
            </w:r>
            <w:r w:rsidR="000C57B5">
              <w:rPr>
                <w:rStyle w:val="ui-provider"/>
              </w:rPr>
              <w:br/>
            </w:r>
            <w:r w:rsidRPr="007B3DCE" w:rsidDel="003424A6">
              <w:rPr>
                <w:rStyle w:val="ui-provider"/>
              </w:rPr>
              <w:t>1, 2, 3, 6, 10, 11, 12, 15, 16 and 17</w:t>
            </w:r>
          </w:p>
        </w:tc>
        <w:tc>
          <w:tcPr>
            <w:tcW w:w="1250" w:type="pct"/>
            <w:tcBorders>
              <w:top w:val="single" w:sz="4" w:space="0" w:color="B3B3B3"/>
              <w:left w:val="single" w:sz="4" w:space="0" w:color="FFFFFF"/>
              <w:bottom w:val="nil"/>
              <w:right w:val="single" w:sz="4" w:space="0" w:color="FFFFFF"/>
            </w:tcBorders>
            <w:shd w:val="clear" w:color="auto" w:fill="EBDDD6" w:themeFill="text1" w:themeFillTint="33"/>
          </w:tcPr>
          <w:p w14:paraId="3F5527CB" w14:textId="77B12A9D" w:rsidR="009D5ADC" w:rsidRPr="00030C67" w:rsidRDefault="00112CFD">
            <w:pPr>
              <w:pStyle w:val="TableBody"/>
              <w:spacing w:before="45" w:after="45"/>
              <w:ind w:right="108"/>
              <w:rPr>
                <w:rFonts w:ascii="Arial (Body)" w:hAnsi="Arial (Body)"/>
                <w:color w:val="000000"/>
              </w:rPr>
            </w:pPr>
            <w:r w:rsidRPr="007B3DCE" w:rsidDel="003424A6">
              <w:rPr>
                <w:rStyle w:val="ui-provider"/>
              </w:rPr>
              <w:t>10 new supporting indicators across outcome areas 1, 2, 5, 9, 10, 11, 12, 13, 14 and 17</w:t>
            </w:r>
            <w:r w:rsidRPr="007B3DCE">
              <w:rPr>
                <w:rStyle w:val="ui-provider"/>
              </w:rPr>
              <w:t xml:space="preserve"> </w:t>
            </w:r>
          </w:p>
        </w:tc>
        <w:tc>
          <w:tcPr>
            <w:tcW w:w="1250" w:type="pct"/>
            <w:tcBorders>
              <w:top w:val="single" w:sz="4" w:space="0" w:color="B3B3B3"/>
              <w:left w:val="single" w:sz="4" w:space="0" w:color="FFFFFF"/>
              <w:bottom w:val="nil"/>
            </w:tcBorders>
            <w:shd w:val="clear" w:color="auto" w:fill="EBDDD6" w:themeFill="text1" w:themeFillTint="33"/>
          </w:tcPr>
          <w:p w14:paraId="06351C5D" w14:textId="3845F877" w:rsidR="009D5ADC" w:rsidRDefault="008A3660">
            <w:pPr>
              <w:pStyle w:val="TableBody"/>
              <w:spacing w:before="45" w:after="45"/>
              <w:ind w:right="108"/>
              <w:rPr>
                <w:rFonts w:ascii="Arial (Body)" w:hAnsi="Arial (Body)"/>
                <w:color w:val="000000"/>
              </w:rPr>
            </w:pPr>
            <w:r>
              <w:rPr>
                <w:rFonts w:ascii="Arial (Body)" w:hAnsi="Arial (Body)"/>
                <w:color w:val="000000"/>
              </w:rPr>
              <w:t>2 new measures for outcome area 1</w:t>
            </w:r>
          </w:p>
        </w:tc>
      </w:tr>
    </w:tbl>
    <w:p w14:paraId="3772EBE5" w14:textId="23A29F4F" w:rsidR="00467DE9" w:rsidRPr="007B3DCE" w:rsidRDefault="00467DE9" w:rsidP="000A3341">
      <w:pPr>
        <w:pStyle w:val="BodyText"/>
      </w:pPr>
      <w:r w:rsidRPr="007B3DCE">
        <w:rPr>
          <w:rStyle w:val="ui-provider"/>
        </w:rPr>
        <w:t xml:space="preserve">Most data used to assess progress against the targets is drawn from government agencies, such as the Australian Bureau of Statistics and the Australian Institute of Health and Welfare. </w:t>
      </w:r>
      <w:r w:rsidR="000A3341" w:rsidRPr="000A3341">
        <w:rPr>
          <w:rStyle w:val="ui-provider"/>
        </w:rPr>
        <w:t>Australian Government</w:t>
      </w:r>
      <w:r w:rsidR="00E716F1">
        <w:rPr>
          <w:rStyle w:val="ui-provider"/>
        </w:rPr>
        <w:t xml:space="preserve"> </w:t>
      </w:r>
      <w:r w:rsidR="000A3341" w:rsidRPr="000A3341">
        <w:rPr>
          <w:rStyle w:val="ui-provider"/>
        </w:rPr>
        <w:t>agencies are now required to implement the new Framework for Governance of Indigenous Data (released May</w:t>
      </w:r>
      <w:r w:rsidR="000A3341">
        <w:rPr>
          <w:rStyle w:val="ui-provider"/>
        </w:rPr>
        <w:t xml:space="preserve"> </w:t>
      </w:r>
      <w:r w:rsidR="000A3341" w:rsidRPr="000A3341">
        <w:rPr>
          <w:rStyle w:val="ui-provider"/>
        </w:rPr>
        <w:t>2024) to embed relevant elements of IDS in their data lifecycle (box 1.2).</w:t>
      </w:r>
      <w:r w:rsidR="00156BC8">
        <w:rPr>
          <w:rStyle w:val="ui-provider"/>
        </w:rPr>
        <w:t>Th</w:t>
      </w:r>
      <w:r w:rsidR="001A6DD5">
        <w:rPr>
          <w:rStyle w:val="ui-provider"/>
        </w:rPr>
        <w:t xml:space="preserve">is report (and the </w:t>
      </w:r>
      <w:r w:rsidR="001A6DD5">
        <w:rPr>
          <w:rStyle w:val="ui-provider"/>
        </w:rPr>
        <w:lastRenderedPageBreak/>
        <w:t xml:space="preserve">dashboard) also draws upon </w:t>
      </w:r>
      <w:r w:rsidR="007C55B9">
        <w:rPr>
          <w:rStyle w:val="ui-provider"/>
        </w:rPr>
        <w:t xml:space="preserve">some </w:t>
      </w:r>
      <w:r w:rsidRPr="007B3DCE">
        <w:rPr>
          <w:rStyle w:val="ui-provider"/>
        </w:rPr>
        <w:t>community-sourced data, such as the count of early years services (Indicator 3b)</w:t>
      </w:r>
      <w:r w:rsidRPr="007B3DCE">
        <w:t>.</w:t>
      </w:r>
      <w:r w:rsidRPr="009D07D6">
        <w:rPr>
          <w:rStyle w:val="FootnoteReference"/>
        </w:rPr>
        <w:footnoteReference w:id="3"/>
      </w:r>
      <w:r w:rsidRPr="007B3DCE">
        <w:t xml:space="preserve"> </w:t>
      </w:r>
      <w:r w:rsidRPr="005432DC">
        <w:t xml:space="preserve">Attachment </w:t>
      </w:r>
      <w:r w:rsidR="00854A54" w:rsidRPr="005432DC">
        <w:t>2</w:t>
      </w:r>
      <w:r w:rsidRPr="005432DC">
        <w:t xml:space="preserve"> </w:t>
      </w:r>
      <w:r w:rsidR="00385CFF" w:rsidRPr="005432DC">
        <w:t>provides</w:t>
      </w:r>
      <w:r w:rsidRPr="007B3DCE">
        <w:t xml:space="preserve"> </w:t>
      </w:r>
      <w:r w:rsidR="003710F3" w:rsidRPr="007B3DCE">
        <w:t xml:space="preserve">a </w:t>
      </w:r>
      <w:r w:rsidRPr="007B3DCE">
        <w:t>detailed summary of data used on the dashboard.</w:t>
      </w:r>
    </w:p>
    <w:p w14:paraId="0826A955" w14:textId="28FECC97" w:rsidR="47F0A84F" w:rsidRPr="007B3DCE" w:rsidRDefault="47F0A84F" w:rsidP="2078C99A">
      <w:pPr>
        <w:pStyle w:val="BodyText"/>
        <w:spacing w:before="0" w:after="0" w:line="80" w:lineRule="atLeast"/>
        <w:rPr>
          <w:smallCaps/>
        </w:rPr>
      </w:pPr>
    </w:p>
    <w:tbl>
      <w:tblPr>
        <w:tblStyle w:val="Boxtable"/>
        <w:tblW w:w="5000" w:type="pct"/>
        <w:tblLook w:val="04A0" w:firstRow="1" w:lastRow="0" w:firstColumn="1" w:lastColumn="0" w:noHBand="0" w:noVBand="1"/>
      </w:tblPr>
      <w:tblGrid>
        <w:gridCol w:w="9638"/>
      </w:tblGrid>
      <w:tr w:rsidR="00E41629" w:rsidRPr="007B3DCE" w14:paraId="7A40FC8A" w14:textId="77777777" w:rsidTr="00D77B7F">
        <w:trPr>
          <w:trHeight w:val="476"/>
          <w:tblHeader/>
        </w:trPr>
        <w:tc>
          <w:tcPr>
            <w:tcW w:w="9638" w:type="dxa"/>
            <w:shd w:val="clear" w:color="auto" w:fill="8C5E44" w:themeFill="text1"/>
            <w:tcMar>
              <w:top w:w="170" w:type="dxa"/>
              <w:left w:w="170" w:type="dxa"/>
              <w:bottom w:w="113" w:type="dxa"/>
              <w:right w:w="170" w:type="dxa"/>
            </w:tcMar>
            <w:vAlign w:val="center"/>
            <w:hideMark/>
          </w:tcPr>
          <w:p w14:paraId="2F08A8D0" w14:textId="16E79505" w:rsidR="00E41629" w:rsidRPr="007B3DCE" w:rsidRDefault="00F63ACE" w:rsidP="00D77B7F">
            <w:pPr>
              <w:pStyle w:val="BoxHeading1"/>
              <w:spacing w:before="0"/>
            </w:pPr>
            <w:r w:rsidRPr="007B3DCE">
              <w:rPr>
                <w:color w:val="FFFFFF"/>
              </w:rPr>
              <w:t>Box</w:t>
            </w:r>
            <w:r w:rsidR="00FA39EF" w:rsidRPr="007B3DCE">
              <w:rPr>
                <w:color w:val="FFFFFF"/>
              </w:rPr>
              <w:t xml:space="preserve"> 1</w:t>
            </w:r>
            <w:r w:rsidRPr="007B3DCE">
              <w:rPr>
                <w:color w:val="FFFFFF"/>
              </w:rPr>
              <w:t>.2</w:t>
            </w:r>
            <w:r w:rsidR="00E41629" w:rsidRPr="007B3DCE">
              <w:rPr>
                <w:color w:val="FFFFFF"/>
              </w:rPr>
              <w:t xml:space="preserve"> – Framework for Governance of Indigenous Data</w:t>
            </w:r>
          </w:p>
        </w:tc>
      </w:tr>
      <w:tr w:rsidR="00E41629" w:rsidRPr="007B3DCE" w14:paraId="3F1DD0A8" w14:textId="77777777">
        <w:tc>
          <w:tcPr>
            <w:tcW w:w="9638" w:type="dxa"/>
            <w:shd w:val="clear" w:color="auto" w:fill="EBDDD6" w:themeFill="text1" w:themeFillTint="33"/>
            <w:tcMar>
              <w:top w:w="28" w:type="dxa"/>
              <w:left w:w="170" w:type="dxa"/>
              <w:bottom w:w="170" w:type="dxa"/>
              <w:right w:w="170" w:type="dxa"/>
            </w:tcMar>
            <w:hideMark/>
          </w:tcPr>
          <w:p w14:paraId="2A253731" w14:textId="083E01D2" w:rsidR="00E41629" w:rsidRPr="004C31CC" w:rsidRDefault="00E41629">
            <w:pPr>
              <w:pStyle w:val="BoxHeading2"/>
              <w:rPr>
                <w:rFonts w:eastAsia="Arial" w:cstheme="minorHAnsi"/>
                <w:b w:val="0"/>
                <w:bCs/>
              </w:rPr>
            </w:pPr>
            <w:r w:rsidRPr="004C31CC">
              <w:rPr>
                <w:rFonts w:eastAsia="Arial" w:cstheme="minorHAnsi"/>
                <w:b w:val="0"/>
                <w:bCs/>
              </w:rPr>
              <w:t>The</w:t>
            </w:r>
            <w:r w:rsidR="00B465F3" w:rsidRPr="004C31CC">
              <w:rPr>
                <w:rFonts w:eastAsia="Arial" w:cstheme="minorHAnsi"/>
                <w:b w:val="0"/>
                <w:bCs/>
              </w:rPr>
              <w:t xml:space="preserve"> Australian</w:t>
            </w:r>
            <w:r w:rsidRPr="004C31CC" w:rsidDel="00B465F3">
              <w:rPr>
                <w:rFonts w:eastAsia="Arial" w:cstheme="minorHAnsi"/>
                <w:b w:val="0"/>
                <w:bCs/>
              </w:rPr>
              <w:t xml:space="preserve"> </w:t>
            </w:r>
            <w:r w:rsidRPr="004C31CC">
              <w:rPr>
                <w:rFonts w:eastAsia="Arial" w:cstheme="minorHAnsi"/>
                <w:b w:val="0"/>
                <w:bCs/>
              </w:rPr>
              <w:t xml:space="preserve">Government’s Framework for Governance of Indigenous Data (the Framework) was released on 30 May 2024. The Framework </w:t>
            </w:r>
            <w:r w:rsidR="007067EE" w:rsidRPr="004C31CC">
              <w:rPr>
                <w:rFonts w:eastAsia="Arial" w:cstheme="minorHAnsi"/>
                <w:b w:val="0"/>
                <w:bCs/>
              </w:rPr>
              <w:t>provides guidance for</w:t>
            </w:r>
            <w:r w:rsidRPr="004C31CC">
              <w:rPr>
                <w:rFonts w:eastAsia="Arial" w:cstheme="minorHAnsi"/>
                <w:b w:val="0"/>
                <w:bCs/>
              </w:rPr>
              <w:t xml:space="preserve"> Australian Government agencies to implement and embed elements of IDS</w:t>
            </w:r>
            <w:r w:rsidR="007067EE" w:rsidRPr="004C31CC">
              <w:rPr>
                <w:rFonts w:eastAsia="Arial" w:cstheme="minorHAnsi"/>
                <w:b w:val="0"/>
                <w:bCs/>
              </w:rPr>
              <w:t>.</w:t>
            </w:r>
            <w:r w:rsidRPr="004C31CC">
              <w:rPr>
                <w:rFonts w:eastAsia="Arial" w:cstheme="minorHAnsi"/>
                <w:b w:val="0"/>
                <w:bCs/>
              </w:rPr>
              <w:t xml:space="preserve"> The guidelines within the Framework direct Australian Government agencies to partner with Aboriginal and Torres Strait Islander people, build data-related capabilities, provide knowledge of data assets and build an inclusive system</w:t>
            </w:r>
            <w:r w:rsidR="004A1993" w:rsidRPr="004C31CC">
              <w:rPr>
                <w:rFonts w:eastAsia="Arial" w:cstheme="minorHAnsi"/>
                <w:b w:val="0"/>
                <w:bCs/>
              </w:rPr>
              <w:t>.</w:t>
            </w:r>
            <w:r w:rsidRPr="004C31CC">
              <w:rPr>
                <w:rFonts w:eastAsia="Arial" w:cstheme="minorHAnsi"/>
                <w:b w:val="0"/>
                <w:bCs/>
              </w:rPr>
              <w:t xml:space="preserve"> </w:t>
            </w:r>
          </w:p>
          <w:p w14:paraId="3B7E4B2D" w14:textId="73C48093" w:rsidR="005C3C09" w:rsidRPr="004C31CC" w:rsidRDefault="0F2DE98D">
            <w:pPr>
              <w:pStyle w:val="BodyText"/>
              <w:rPr>
                <w:rFonts w:eastAsia="Arial" w:cstheme="minorHAnsi"/>
                <w:color w:val="FF0000"/>
              </w:rPr>
            </w:pPr>
            <w:r w:rsidRPr="004C31CC">
              <w:rPr>
                <w:rFonts w:cstheme="minorHAnsi"/>
              </w:rPr>
              <w:t>The Framework states that ‘</w:t>
            </w:r>
            <w:r w:rsidR="00E41629" w:rsidRPr="004C31CC">
              <w:rPr>
                <w:rFonts w:cstheme="minorHAnsi"/>
              </w:rPr>
              <w:t>Australian Government agencies are required to prepare implementation plans responding to the actions contained within the Framework and a timeframe for implementation</w:t>
            </w:r>
            <w:r w:rsidR="362286C6" w:rsidRPr="004C31CC">
              <w:rPr>
                <w:rFonts w:cstheme="minorHAnsi"/>
              </w:rPr>
              <w:t>’</w:t>
            </w:r>
            <w:r w:rsidR="00A475F8" w:rsidRPr="004C31CC">
              <w:rPr>
                <w:rFonts w:cstheme="minorHAnsi"/>
              </w:rPr>
              <w:t xml:space="preserve"> </w:t>
            </w:r>
            <w:r w:rsidR="000F156C" w:rsidRPr="004C31CC">
              <w:rPr>
                <w:rFonts w:cstheme="minorHAnsi"/>
              </w:rPr>
              <w:t>(</w:t>
            </w:r>
            <w:r w:rsidR="003E0480" w:rsidRPr="004C31CC">
              <w:rPr>
                <w:rFonts w:cstheme="minorHAnsi"/>
              </w:rPr>
              <w:t>p. 9</w:t>
            </w:r>
            <w:r w:rsidR="000F156C" w:rsidRPr="004C31CC">
              <w:rPr>
                <w:rFonts w:cstheme="minorHAnsi"/>
              </w:rPr>
              <w:t>)</w:t>
            </w:r>
            <w:r w:rsidR="003E0480" w:rsidRPr="004C31CC">
              <w:rPr>
                <w:rFonts w:cstheme="minorHAnsi"/>
              </w:rPr>
              <w:t xml:space="preserve">. </w:t>
            </w:r>
            <w:r w:rsidR="00E41629" w:rsidRPr="004C31CC">
              <w:rPr>
                <w:rFonts w:cstheme="minorHAnsi"/>
              </w:rPr>
              <w:t xml:space="preserve">Implementing the Framework will support efforts toward the </w:t>
            </w:r>
            <w:r w:rsidR="008D1344" w:rsidRPr="004C31CC">
              <w:rPr>
                <w:rFonts w:cstheme="minorHAnsi"/>
              </w:rPr>
              <w:t>commitments outlined in the</w:t>
            </w:r>
            <w:r w:rsidR="00E41629" w:rsidRPr="004C31CC">
              <w:rPr>
                <w:rFonts w:cstheme="minorHAnsi"/>
              </w:rPr>
              <w:t xml:space="preserve"> National Agreement on Closing the Gap, in particular Priority Reform Three (</w:t>
            </w:r>
            <w:r w:rsidR="00E41629" w:rsidRPr="004C31CC">
              <w:rPr>
                <w:rFonts w:cstheme="minorHAnsi"/>
                <w:i/>
              </w:rPr>
              <w:t>Transforming Government Organisations</w:t>
            </w:r>
            <w:r w:rsidR="00E41629" w:rsidRPr="004C31CC">
              <w:rPr>
                <w:rFonts w:cstheme="minorHAnsi"/>
              </w:rPr>
              <w:t>) and Priority Reform Four (</w:t>
            </w:r>
            <w:r w:rsidR="00E41629" w:rsidRPr="004C31CC">
              <w:rPr>
                <w:rFonts w:cstheme="minorHAnsi"/>
                <w:i/>
              </w:rPr>
              <w:t>Shared Access to Data and Information at a Regional Level</w:t>
            </w:r>
            <w:r w:rsidR="00E41629" w:rsidRPr="004C31CC">
              <w:rPr>
                <w:rFonts w:cstheme="minorHAnsi"/>
              </w:rPr>
              <w:t>)</w:t>
            </w:r>
            <w:r w:rsidR="00755315" w:rsidRPr="004C31CC">
              <w:rPr>
                <w:rFonts w:cstheme="minorHAnsi"/>
              </w:rPr>
              <w:t xml:space="preserve">. </w:t>
            </w:r>
          </w:p>
          <w:p w14:paraId="05C058DD" w14:textId="1BA143CD" w:rsidR="00E41629" w:rsidRPr="005E65B9" w:rsidRDefault="005C3C09">
            <w:pPr>
              <w:pStyle w:val="BodyText"/>
              <w:rPr>
                <w:rFonts w:cstheme="minorHAnsi"/>
                <w:sz w:val="18"/>
                <w:szCs w:val="18"/>
              </w:rPr>
            </w:pPr>
            <w:r w:rsidRPr="004C31CC">
              <w:rPr>
                <w:rFonts w:eastAsia="Arial" w:cstheme="minorHAnsi"/>
                <w:sz w:val="18"/>
                <w:szCs w:val="18"/>
              </w:rPr>
              <w:t>Source:</w:t>
            </w:r>
            <w:r w:rsidR="00980AC4" w:rsidRPr="004C31CC">
              <w:rPr>
                <w:rFonts w:eastAsia="Arial" w:cstheme="minorHAnsi"/>
                <w:sz w:val="18"/>
                <w:szCs w:val="18"/>
              </w:rPr>
              <w:t xml:space="preserve"> Commonwealth of Australia </w:t>
            </w:r>
            <w:r w:rsidR="00980AC4" w:rsidRPr="004C31CC">
              <w:rPr>
                <w:rFonts w:cstheme="minorHAnsi"/>
                <w:sz w:val="18"/>
                <w:szCs w:val="18"/>
              </w:rPr>
              <w:t>(2024)</w:t>
            </w:r>
            <w:r w:rsidRPr="004C31CC">
              <w:rPr>
                <w:rFonts w:eastAsia="Arial" w:cstheme="minorHAnsi"/>
                <w:sz w:val="18"/>
                <w:szCs w:val="18"/>
              </w:rPr>
              <w:t xml:space="preserve">. </w:t>
            </w:r>
          </w:p>
        </w:tc>
      </w:tr>
      <w:tr w:rsidR="00E41629" w:rsidRPr="007B3DCE" w14:paraId="5AF7FBEB" w14:textId="77777777">
        <w:trPr>
          <w:hidden/>
        </w:trPr>
        <w:tc>
          <w:tcPr>
            <w:tcW w:w="9638" w:type="dxa"/>
            <w:shd w:val="clear" w:color="auto" w:fill="auto"/>
            <w:tcMar>
              <w:top w:w="0" w:type="dxa"/>
              <w:left w:w="170" w:type="dxa"/>
              <w:bottom w:w="0" w:type="dxa"/>
              <w:right w:w="170" w:type="dxa"/>
            </w:tcMar>
          </w:tcPr>
          <w:p w14:paraId="75DA839C" w14:textId="77777777" w:rsidR="00E41629" w:rsidRPr="007B3DCE" w:rsidRDefault="00E41629">
            <w:pPr>
              <w:pStyle w:val="BodyText"/>
              <w:spacing w:before="0" w:after="0" w:line="80" w:lineRule="atLeast"/>
              <w:rPr>
                <w:smallCaps/>
                <w:vanish/>
              </w:rPr>
            </w:pPr>
            <w:r w:rsidRPr="007B3DCE">
              <w:rPr>
                <w:smallCaps/>
                <w:vanish/>
                <w:color w:val="FF00FF"/>
              </w:rPr>
              <w:t>Used for spacing, do not delete</w:t>
            </w:r>
          </w:p>
        </w:tc>
      </w:tr>
    </w:tbl>
    <w:p w14:paraId="2B543425" w14:textId="39B93259" w:rsidR="00FB414E" w:rsidRDefault="00FB414E" w:rsidP="00FB414E">
      <w:pPr>
        <w:pStyle w:val="BodyText"/>
        <w:rPr>
          <w:color w:val="B65627" w:themeColor="text2"/>
        </w:rPr>
      </w:pPr>
      <w:bookmarkStart w:id="11" w:name="_Toc170466645"/>
      <w:bookmarkStart w:id="12" w:name="_Toc167878539"/>
      <w:r w:rsidRPr="00B744CE">
        <w:rPr>
          <w:rStyle w:val="ui-provider"/>
        </w:rPr>
        <w:t xml:space="preserve">The </w:t>
      </w:r>
      <w:r>
        <w:rPr>
          <w:rStyle w:val="ui-provider"/>
        </w:rPr>
        <w:t xml:space="preserve">data outlined in this report and on the dashboard is a portion of the indicators outlined in the Agreement. The </w:t>
      </w:r>
      <w:r w:rsidRPr="00B744CE">
        <w:rPr>
          <w:rStyle w:val="ui-provider"/>
        </w:rPr>
        <w:t xml:space="preserve">Commission works with the parties to the Agreement to </w:t>
      </w:r>
      <w:r>
        <w:rPr>
          <w:rStyle w:val="ui-provider"/>
        </w:rPr>
        <w:t xml:space="preserve">specify and </w:t>
      </w:r>
      <w:r w:rsidRPr="00B744CE">
        <w:rPr>
          <w:rStyle w:val="ui-provider"/>
        </w:rPr>
        <w:t xml:space="preserve">develop the </w:t>
      </w:r>
      <w:r>
        <w:rPr>
          <w:rStyle w:val="ui-provider"/>
        </w:rPr>
        <w:t>supporting</w:t>
      </w:r>
      <w:r w:rsidRPr="00B744CE">
        <w:rPr>
          <w:rStyle w:val="ui-provider"/>
        </w:rPr>
        <w:t xml:space="preserve"> indicators </w:t>
      </w:r>
      <w:r>
        <w:rPr>
          <w:rStyle w:val="ui-provider"/>
        </w:rPr>
        <w:t>named in the Agreement</w:t>
      </w:r>
      <w:r w:rsidRPr="00B744CE">
        <w:rPr>
          <w:rStyle w:val="ui-provider"/>
        </w:rPr>
        <w:t>, expanding the range of indicators reported each year. Given the Agreement outlines 23 targets and 164 supporting indicators across the Priority Reforms and socio-economic outcomes, the scope of outstanding material to be reported remains extensive.</w:t>
      </w:r>
      <w:r w:rsidRPr="00FF50B4">
        <w:rPr>
          <w:rStyle w:val="ui-provider"/>
        </w:rPr>
        <w:t xml:space="preserve"> </w:t>
      </w:r>
      <w:r>
        <w:rPr>
          <w:rStyle w:val="ui-provider"/>
        </w:rPr>
        <w:t xml:space="preserve">There is also additional work underway within governments and the community to progress the Agreement’s approximately 150 data development items outlined in the Closing the Gap Data Development </w:t>
      </w:r>
      <w:r w:rsidRPr="003E701E">
        <w:rPr>
          <w:rStyle w:val="ui-provider"/>
        </w:rPr>
        <w:t>Plan.</w:t>
      </w:r>
      <w:r w:rsidRPr="009D07D6">
        <w:rPr>
          <w:rStyle w:val="FootnoteReference"/>
        </w:rPr>
        <w:footnoteReference w:id="4"/>
      </w:r>
    </w:p>
    <w:p w14:paraId="5792C03F" w14:textId="1DAB5F77" w:rsidR="00801062" w:rsidRPr="007B3DCE" w:rsidRDefault="007E75E2" w:rsidP="00D77B7F">
      <w:pPr>
        <w:pStyle w:val="Heading2"/>
        <w:spacing w:before="0"/>
        <w:ind w:left="0" w:firstLine="0"/>
        <w:rPr>
          <w:color w:val="B65627" w:themeColor="text2"/>
        </w:rPr>
      </w:pPr>
      <w:r w:rsidRPr="007B3DCE">
        <w:rPr>
          <w:color w:val="B65627" w:themeColor="text2"/>
        </w:rPr>
        <w:t xml:space="preserve">1.4 </w:t>
      </w:r>
      <w:r w:rsidR="00801062" w:rsidRPr="007B3DCE">
        <w:rPr>
          <w:color w:val="B65627" w:themeColor="text2"/>
        </w:rPr>
        <w:t>A closer look at Aboriginal and Torres Strait Islander people and communities’ diverse experienc</w:t>
      </w:r>
      <w:r w:rsidR="00797B6B" w:rsidRPr="007B3DCE">
        <w:rPr>
          <w:color w:val="B65627" w:themeColor="text2"/>
        </w:rPr>
        <w:t>e</w:t>
      </w:r>
      <w:r w:rsidR="00801062" w:rsidRPr="007B3DCE">
        <w:rPr>
          <w:color w:val="B65627" w:themeColor="text2"/>
        </w:rPr>
        <w:t>s</w:t>
      </w:r>
      <w:bookmarkEnd w:id="11"/>
    </w:p>
    <w:bookmarkEnd w:id="12"/>
    <w:p w14:paraId="2513F4F6" w14:textId="42CED36F" w:rsidR="0087645B" w:rsidRPr="000806F1" w:rsidRDefault="00837AAB" w:rsidP="00A94FD5">
      <w:pPr>
        <w:pStyle w:val="BodyText"/>
        <w:rPr>
          <w:lang w:eastAsia="en-AU"/>
        </w:rPr>
      </w:pPr>
      <w:r w:rsidRPr="00BE75AD">
        <w:rPr>
          <w:lang w:eastAsia="en-AU"/>
        </w:rPr>
        <w:t xml:space="preserve">Aboriginal and Torres Strait Islander wellbeing can encompass the cultural, mental, physical, and spiritual dimensions of individuals and community </w:t>
      </w:r>
      <w:r w:rsidRPr="00216127">
        <w:rPr>
          <w:rFonts w:ascii="Arial (Body)" w:hAnsi="Arial (Body)" w:cs="Arial"/>
        </w:rPr>
        <w:t>(Dudgeon et al. 2014)</w:t>
      </w:r>
      <w:r w:rsidRPr="00BE75AD">
        <w:rPr>
          <w:lang w:eastAsia="en-AU"/>
        </w:rPr>
        <w:t>.</w:t>
      </w:r>
      <w:r w:rsidR="001E6BC7" w:rsidRPr="00BE75AD">
        <w:rPr>
          <w:lang w:eastAsia="en-AU"/>
        </w:rPr>
        <w:t xml:space="preserve"> </w:t>
      </w:r>
      <w:r w:rsidR="00B5040A" w:rsidRPr="00BC0968">
        <w:rPr>
          <w:lang w:eastAsia="en-AU"/>
        </w:rPr>
        <w:t>A</w:t>
      </w:r>
      <w:r w:rsidR="001E6BC7" w:rsidRPr="00BC0968">
        <w:rPr>
          <w:lang w:eastAsia="en-AU"/>
        </w:rPr>
        <w:t>pplying this perspective to the</w:t>
      </w:r>
      <w:r w:rsidR="00152AB4">
        <w:rPr>
          <w:lang w:eastAsia="en-AU"/>
        </w:rPr>
        <w:t xml:space="preserve"> </w:t>
      </w:r>
      <w:r w:rsidR="004844C1" w:rsidRPr="00BC0968">
        <w:rPr>
          <w:lang w:eastAsia="en-AU"/>
        </w:rPr>
        <w:t>Agreement</w:t>
      </w:r>
      <w:r w:rsidR="00AB1438" w:rsidRPr="00BC0968">
        <w:rPr>
          <w:lang w:eastAsia="en-AU"/>
        </w:rPr>
        <w:t xml:space="preserve"> means that</w:t>
      </w:r>
      <w:r w:rsidR="00A9149E" w:rsidRPr="00BC0968">
        <w:rPr>
          <w:lang w:eastAsia="en-AU"/>
        </w:rPr>
        <w:t xml:space="preserve"> </w:t>
      </w:r>
      <w:r w:rsidR="0001071E" w:rsidRPr="00BC0968">
        <w:rPr>
          <w:lang w:eastAsia="en-AU"/>
        </w:rPr>
        <w:t>the</w:t>
      </w:r>
      <w:r w:rsidR="001C0D1D">
        <w:rPr>
          <w:lang w:eastAsia="en-AU"/>
        </w:rPr>
        <w:t xml:space="preserve"> </w:t>
      </w:r>
      <w:r w:rsidR="001E6BC7" w:rsidRPr="00BC0968">
        <w:rPr>
          <w:lang w:eastAsia="en-AU"/>
        </w:rPr>
        <w:t>socio-economic outcomes, including their targets and disaggregations</w:t>
      </w:r>
      <w:r w:rsidR="001926A2">
        <w:rPr>
          <w:lang w:eastAsia="en-AU"/>
        </w:rPr>
        <w:t>,</w:t>
      </w:r>
      <w:r w:rsidR="004844C1" w:rsidRPr="00BC0968">
        <w:rPr>
          <w:lang w:eastAsia="en-AU"/>
        </w:rPr>
        <w:t xml:space="preserve"> </w:t>
      </w:r>
      <w:r w:rsidR="00BC0968" w:rsidRPr="003C0547">
        <w:rPr>
          <w:lang w:eastAsia="en-AU"/>
        </w:rPr>
        <w:t>c</w:t>
      </w:r>
      <w:r w:rsidR="00AB1438" w:rsidRPr="00BC0968">
        <w:rPr>
          <w:lang w:eastAsia="en-AU"/>
        </w:rPr>
        <w:t>ould</w:t>
      </w:r>
      <w:r w:rsidR="004844C1" w:rsidRPr="00BC0968">
        <w:rPr>
          <w:lang w:eastAsia="en-AU"/>
        </w:rPr>
        <w:t xml:space="preserve"> be viewed as mutually reinforcing</w:t>
      </w:r>
      <w:r w:rsidR="001E6BC7" w:rsidRPr="00BC0968">
        <w:rPr>
          <w:lang w:eastAsia="en-AU"/>
        </w:rPr>
        <w:t>.</w:t>
      </w:r>
      <w:r w:rsidR="00CF2B98" w:rsidRPr="00BE75AD">
        <w:rPr>
          <w:lang w:eastAsia="en-AU"/>
        </w:rPr>
        <w:t xml:space="preserve"> For instance, access to culturally responsive education not only enhances educational attainment but also improves employment opportunities. This interconnection across all outcomes</w:t>
      </w:r>
      <w:r w:rsidR="00CF2B98" w:rsidRPr="00BE75AD" w:rsidDel="008D1344">
        <w:rPr>
          <w:lang w:eastAsia="en-AU"/>
        </w:rPr>
        <w:t xml:space="preserve"> </w:t>
      </w:r>
      <w:r w:rsidR="00CF2B98" w:rsidRPr="00BE75AD">
        <w:rPr>
          <w:lang w:eastAsia="en-AU"/>
        </w:rPr>
        <w:t xml:space="preserve">means progress should not be viewed in </w:t>
      </w:r>
      <w:r w:rsidR="000130BD">
        <w:rPr>
          <w:lang w:eastAsia="en-AU"/>
        </w:rPr>
        <w:t>isolation</w:t>
      </w:r>
      <w:r w:rsidR="00CF2B98" w:rsidRPr="00BE75AD">
        <w:rPr>
          <w:lang w:eastAsia="en-AU"/>
        </w:rPr>
        <w:t xml:space="preserve">. </w:t>
      </w:r>
    </w:p>
    <w:p w14:paraId="71E88D51" w14:textId="279591F8" w:rsidR="00066FE1" w:rsidRPr="007B3DCE" w:rsidRDefault="00066FE1" w:rsidP="00066FE1">
      <w:pPr>
        <w:pStyle w:val="BodyText"/>
        <w:rPr>
          <w:lang w:eastAsia="en-AU"/>
        </w:rPr>
      </w:pPr>
      <w:r w:rsidRPr="007B3DCE">
        <w:rPr>
          <w:lang w:eastAsia="en-AU"/>
        </w:rPr>
        <w:t xml:space="preserve">Progress toward the targets under the Agreement is </w:t>
      </w:r>
      <w:r w:rsidR="009558AA" w:rsidRPr="007B3DCE">
        <w:rPr>
          <w:lang w:eastAsia="en-AU"/>
        </w:rPr>
        <w:t>reported</w:t>
      </w:r>
      <w:r w:rsidRPr="007B3DCE">
        <w:rPr>
          <w:lang w:eastAsia="en-AU"/>
        </w:rPr>
        <w:t xml:space="preserve"> at a national level, which means the data </w:t>
      </w:r>
      <w:r w:rsidR="009558AA" w:rsidRPr="007B3DCE">
        <w:rPr>
          <w:lang w:eastAsia="en-AU"/>
        </w:rPr>
        <w:t>may</w:t>
      </w:r>
      <w:r w:rsidRPr="007B3DCE">
        <w:rPr>
          <w:lang w:eastAsia="en-AU"/>
        </w:rPr>
        <w:t xml:space="preserve"> not reflect the different experiences of Aboriginal and Torres Strait Islander people an</w:t>
      </w:r>
      <w:r w:rsidR="00264292">
        <w:rPr>
          <w:lang w:eastAsia="en-AU"/>
        </w:rPr>
        <w:t xml:space="preserve">d </w:t>
      </w:r>
      <w:r w:rsidRPr="007B3DCE">
        <w:rPr>
          <w:lang w:eastAsia="en-AU"/>
        </w:rPr>
        <w:t>communities.</w:t>
      </w:r>
      <w:r w:rsidR="00264292">
        <w:rPr>
          <w:lang w:eastAsia="en-AU"/>
        </w:rPr>
        <w:t xml:space="preserve"> </w:t>
      </w:r>
      <w:r w:rsidRPr="007B3DCE">
        <w:rPr>
          <w:lang w:eastAsia="en-AU"/>
        </w:rPr>
        <w:t xml:space="preserve">Breaking down the data – or disaggregating it – can provide more insights into the outcomes and experiences in different regions and population groups, </w:t>
      </w:r>
      <w:r w:rsidRPr="00216127">
        <w:rPr>
          <w:rFonts w:ascii="Arial (Body)" w:hAnsi="Arial (Body)" w:cs="Arial"/>
        </w:rPr>
        <w:t xml:space="preserve">highlighting areas of progress and where greater </w:t>
      </w:r>
      <w:r w:rsidRPr="00216127">
        <w:rPr>
          <w:rFonts w:ascii="Arial (Body)" w:hAnsi="Arial (Body)" w:cs="Arial"/>
        </w:rPr>
        <w:lastRenderedPageBreak/>
        <w:t>effort is needed (clause 82</w:t>
      </w:r>
      <w:r w:rsidR="00C774F8" w:rsidRPr="00216127">
        <w:rPr>
          <w:rFonts w:ascii="Arial (Body)" w:hAnsi="Arial (Body)" w:cs="Arial"/>
        </w:rPr>
        <w:t xml:space="preserve"> of the Agreement</w:t>
      </w:r>
      <w:r w:rsidRPr="00216127">
        <w:rPr>
          <w:rFonts w:ascii="Arial (Body)" w:hAnsi="Arial (Body)" w:cs="Arial"/>
        </w:rPr>
        <w:t>)</w:t>
      </w:r>
      <w:r w:rsidRPr="007B3DCE">
        <w:rPr>
          <w:lang w:eastAsia="en-AU"/>
        </w:rPr>
        <w:t xml:space="preserve">. For example, living with disability or living in a remote area can present unique challenges that can affect outcomes significantly. </w:t>
      </w:r>
      <w:r w:rsidR="00AE6C94" w:rsidRPr="007B3DCE">
        <w:rPr>
          <w:lang w:eastAsia="en-AU"/>
        </w:rPr>
        <w:t>Understanding</w:t>
      </w:r>
      <w:r w:rsidRPr="007B3DCE">
        <w:rPr>
          <w:lang w:eastAsia="en-AU"/>
        </w:rPr>
        <w:t xml:space="preserve"> the </w:t>
      </w:r>
      <w:r w:rsidR="00AE6C94" w:rsidRPr="007B3DCE">
        <w:rPr>
          <w:lang w:eastAsia="en-AU"/>
        </w:rPr>
        <w:t>experiences of different population groups</w:t>
      </w:r>
      <w:r w:rsidRPr="007B3DCE">
        <w:rPr>
          <w:lang w:eastAsia="en-AU"/>
        </w:rPr>
        <w:t xml:space="preserve"> can help </w:t>
      </w:r>
      <w:r w:rsidR="00AE6C94" w:rsidRPr="007B3DCE">
        <w:rPr>
          <w:lang w:eastAsia="en-AU"/>
        </w:rPr>
        <w:t>to</w:t>
      </w:r>
      <w:r w:rsidRPr="007B3DCE">
        <w:rPr>
          <w:lang w:eastAsia="en-AU"/>
        </w:rPr>
        <w:t xml:space="preserve"> target policies and programs and enable Aboriginal and Torres Strait Islander people and communities to make more informed decisions about their lives.</w:t>
      </w:r>
    </w:p>
    <w:p w14:paraId="712E1737" w14:textId="49C881E1" w:rsidR="00C33620" w:rsidRPr="007B3DCE" w:rsidRDefault="00231CA2" w:rsidP="00066FE1">
      <w:pPr>
        <w:pStyle w:val="BodyText"/>
      </w:pPr>
      <w:r w:rsidRPr="007B3DCE">
        <w:t>Disaggregated</w:t>
      </w:r>
      <w:r w:rsidR="00066FE1" w:rsidRPr="007B3DCE">
        <w:t xml:space="preserve"> data </w:t>
      </w:r>
      <w:r w:rsidR="00343749" w:rsidRPr="007B3DCE">
        <w:t>is</w:t>
      </w:r>
      <w:r w:rsidR="00066FE1" w:rsidRPr="007B3DCE">
        <w:t xml:space="preserve"> available</w:t>
      </w:r>
      <w:r w:rsidRPr="007B3DCE">
        <w:t xml:space="preserve"> f</w:t>
      </w:r>
      <w:r w:rsidR="00066FE1" w:rsidRPr="007B3DCE">
        <w:t xml:space="preserve">or most outcomes, including by age, gender, disability status, remoteness area and socio-economic status of the locality. However, data for key priority groups such as the </w:t>
      </w:r>
      <w:r w:rsidR="006809F3" w:rsidRPr="007B3DCE">
        <w:t>S</w:t>
      </w:r>
      <w:r w:rsidR="00066FE1" w:rsidRPr="007B3DCE">
        <w:t xml:space="preserve">tolen </w:t>
      </w:r>
      <w:r w:rsidR="006809F3" w:rsidRPr="007B3DCE">
        <w:t>G</w:t>
      </w:r>
      <w:r w:rsidR="00066FE1" w:rsidRPr="007B3DCE">
        <w:t>enerations and LGBTQIA</w:t>
      </w:r>
      <w:r w:rsidR="00992AF9" w:rsidRPr="007B3DCE">
        <w:t>+</w:t>
      </w:r>
      <w:r w:rsidR="00066FE1" w:rsidRPr="007B3DCE">
        <w:t xml:space="preserve"> individuals </w:t>
      </w:r>
      <w:r w:rsidR="00343749" w:rsidRPr="007B3DCE">
        <w:t>is</w:t>
      </w:r>
      <w:r w:rsidR="00066FE1" w:rsidRPr="007B3DCE">
        <w:t xml:space="preserve"> </w:t>
      </w:r>
      <w:r w:rsidRPr="007B3DCE">
        <w:t xml:space="preserve">not </w:t>
      </w:r>
      <w:r w:rsidR="00066FE1" w:rsidRPr="007B3DCE">
        <w:t xml:space="preserve">currently available. </w:t>
      </w:r>
    </w:p>
    <w:p w14:paraId="7E3A2010" w14:textId="63F67CAD" w:rsidR="00066FE1" w:rsidRPr="007B3DCE" w:rsidRDefault="00066FE1" w:rsidP="00066FE1">
      <w:pPr>
        <w:pStyle w:val="BodyText"/>
      </w:pPr>
      <w:r w:rsidRPr="007B3DCE">
        <w:t xml:space="preserve">The intersection of location and demographic factors may create additional advantages or barriers. For example, a young Aboriginal or Torres Strait Islander person with disability living in a very remote area may face greater challenges compared with others. </w:t>
      </w:r>
      <w:r w:rsidR="00514601" w:rsidRPr="007B3DCE">
        <w:t>I</w:t>
      </w:r>
      <w:r w:rsidRPr="007B3DCE">
        <w:t>ndividuals with multiple intersecting attributes often experience more complex and compounding disadvantages across the socio</w:t>
      </w:r>
      <w:r w:rsidR="00963F32" w:rsidRPr="007B3DCE">
        <w:noBreakHyphen/>
      </w:r>
      <w:r w:rsidRPr="007B3DCE">
        <w:t>economic outcome areas</w:t>
      </w:r>
      <w:r w:rsidR="36F6D102" w:rsidRPr="007B3DCE">
        <w:t xml:space="preserve">. While </w:t>
      </w:r>
      <w:r w:rsidR="13F82A3A" w:rsidRPr="007B3DCE">
        <w:t>some</w:t>
      </w:r>
      <w:r w:rsidR="36F6D102" w:rsidRPr="00216127">
        <w:rPr>
          <w:rFonts w:ascii="Arial (Body)" w:hAnsi="Arial (Body)" w:cs="Arial"/>
        </w:rPr>
        <w:t xml:space="preserve"> disaggregated data</w:t>
      </w:r>
      <w:r w:rsidR="36F6D102" w:rsidRPr="007B3DCE">
        <w:t xml:space="preserve"> is </w:t>
      </w:r>
      <w:r w:rsidR="3BF7D71F" w:rsidRPr="007B3DCE">
        <w:t>available</w:t>
      </w:r>
      <w:r w:rsidRPr="007B3DCE">
        <w:t xml:space="preserve">, reporting on target outcomes by intersecting factors is limited. </w:t>
      </w:r>
    </w:p>
    <w:p w14:paraId="04025677" w14:textId="7A9DF8AA" w:rsidR="003A03DB" w:rsidRPr="007B3DCE" w:rsidRDefault="00B71366" w:rsidP="00AB42FD">
      <w:pPr>
        <w:pStyle w:val="Heading3"/>
        <w:rPr>
          <w:lang w:eastAsia="en-AU"/>
        </w:rPr>
      </w:pPr>
      <w:r w:rsidRPr="007B3DCE">
        <w:rPr>
          <w:lang w:eastAsia="en-AU"/>
        </w:rPr>
        <w:t>P</w:t>
      </w:r>
      <w:r w:rsidR="007A45B5" w:rsidRPr="007B3DCE">
        <w:rPr>
          <w:lang w:eastAsia="en-AU"/>
        </w:rPr>
        <w:t>eople living in more remote areas typically experience poorer outcomes</w:t>
      </w:r>
      <w:r w:rsidR="008C6E51">
        <w:rPr>
          <w:lang w:eastAsia="en-AU"/>
        </w:rPr>
        <w:t xml:space="preserve"> </w:t>
      </w:r>
    </w:p>
    <w:p w14:paraId="1A88ED25" w14:textId="51A5D126" w:rsidR="00066FE1" w:rsidRPr="007B3DCE" w:rsidRDefault="00066FE1" w:rsidP="00066FE1">
      <w:pPr>
        <w:pStyle w:val="BodyText"/>
        <w:rPr>
          <w:lang w:eastAsia="en-AU"/>
        </w:rPr>
      </w:pPr>
      <w:r w:rsidRPr="007B3DCE">
        <w:rPr>
          <w:lang w:eastAsia="en-AU"/>
        </w:rPr>
        <w:t xml:space="preserve">Aboriginal and Torres Strait Islander people tend to live more in urban and regional areas than remote areas, but they make up a higher percentage of the population living in remote areas </w:t>
      </w:r>
      <w:r w:rsidR="00AA119C" w:rsidRPr="00216127">
        <w:rPr>
          <w:rFonts w:ascii="Arial (Body)" w:hAnsi="Arial (Body)" w:cs="Arial"/>
        </w:rPr>
        <w:t>(AIHW 2023)</w:t>
      </w:r>
      <w:r w:rsidRPr="007B3DCE">
        <w:rPr>
          <w:lang w:eastAsia="en-AU"/>
        </w:rPr>
        <w:t xml:space="preserve">. </w:t>
      </w:r>
    </w:p>
    <w:p w14:paraId="11FE6E53" w14:textId="4AA47E6D" w:rsidR="00066FE1" w:rsidRPr="001C2E1A" w:rsidRDefault="00066FE1" w:rsidP="00066FE1">
      <w:pPr>
        <w:pStyle w:val="BodyText"/>
        <w:rPr>
          <w:lang w:eastAsia="en-AU"/>
        </w:rPr>
      </w:pPr>
      <w:r w:rsidRPr="007B3DCE">
        <w:rPr>
          <w:lang w:eastAsia="en-AU"/>
        </w:rPr>
        <w:t xml:space="preserve">Aboriginal and Torres Strait Islander people in more remote areas typically experience poorer outcomes, a trend </w:t>
      </w:r>
      <w:r w:rsidR="00AE26AA" w:rsidRPr="007B3DCE">
        <w:rPr>
          <w:lang w:eastAsia="en-AU"/>
        </w:rPr>
        <w:t>which is</w:t>
      </w:r>
      <w:r w:rsidRPr="007B3DCE">
        <w:rPr>
          <w:lang w:eastAsia="en-AU"/>
        </w:rPr>
        <w:t xml:space="preserve"> not as prevalent among non-Indigenous people. For example, in 20</w:t>
      </w:r>
      <w:r w:rsidR="007C63CA" w:rsidRPr="007B3DCE">
        <w:rPr>
          <w:lang w:eastAsia="en-AU"/>
        </w:rPr>
        <w:t>20</w:t>
      </w:r>
      <w:r w:rsidR="00A6781F" w:rsidRPr="007B3DCE">
        <w:t>–</w:t>
      </w:r>
      <w:r w:rsidRPr="007B3DCE">
        <w:rPr>
          <w:lang w:eastAsia="en-AU"/>
        </w:rPr>
        <w:t>2022</w:t>
      </w:r>
      <w:r w:rsidR="00312E84">
        <w:rPr>
          <w:lang w:eastAsia="en-AU"/>
        </w:rPr>
        <w:t>,</w:t>
      </w:r>
      <w:r w:rsidRPr="007B3DCE">
        <w:rPr>
          <w:lang w:eastAsia="en-AU"/>
        </w:rPr>
        <w:t xml:space="preserve"> Aboriginal and Torres Strait Islander people in remote areas had a life expectancy about 5</w:t>
      </w:r>
      <w:r w:rsidR="00AE26AA" w:rsidRPr="007B3DCE">
        <w:rPr>
          <w:lang w:eastAsia="en-AU"/>
        </w:rPr>
        <w:t> </w:t>
      </w:r>
      <w:r w:rsidRPr="007B3DCE">
        <w:rPr>
          <w:lang w:eastAsia="en-AU"/>
        </w:rPr>
        <w:t xml:space="preserve">years shorter than people in major cities or inner and outer regional areas. </w:t>
      </w:r>
      <w:r w:rsidR="00477D95" w:rsidRPr="001C2E1A">
        <w:rPr>
          <w:lang w:eastAsia="en-AU"/>
        </w:rPr>
        <w:t>There are b</w:t>
      </w:r>
      <w:r w:rsidRPr="001C2E1A">
        <w:rPr>
          <w:lang w:eastAsia="en-AU"/>
        </w:rPr>
        <w:t xml:space="preserve">arriers to better outcomes, such as distance to, or availability of culturally </w:t>
      </w:r>
      <w:r w:rsidR="009454D6" w:rsidRPr="001C2E1A">
        <w:rPr>
          <w:lang w:eastAsia="en-AU"/>
        </w:rPr>
        <w:t xml:space="preserve">responsive </w:t>
      </w:r>
      <w:r w:rsidRPr="001C2E1A">
        <w:rPr>
          <w:lang w:eastAsia="en-AU"/>
        </w:rPr>
        <w:t>government services and infrastructure for Aboriginal and Torres Strait Islander people in remote areas</w:t>
      </w:r>
      <w:r w:rsidR="00477D95" w:rsidRPr="001C2E1A">
        <w:rPr>
          <w:lang w:eastAsia="en-AU"/>
        </w:rPr>
        <w:t>.</w:t>
      </w:r>
    </w:p>
    <w:p w14:paraId="68DB1D5F" w14:textId="25DDDCD1" w:rsidR="00066FE1" w:rsidRPr="007B3DCE" w:rsidRDefault="008D1344" w:rsidP="00066FE1">
      <w:pPr>
        <w:pStyle w:val="BodyText"/>
        <w:rPr>
          <w:lang w:eastAsia="en-AU"/>
        </w:rPr>
      </w:pPr>
      <w:r w:rsidRPr="001C2E1A">
        <w:rPr>
          <w:lang w:eastAsia="en-AU"/>
        </w:rPr>
        <w:t xml:space="preserve">Even </w:t>
      </w:r>
      <w:r w:rsidR="00066FE1" w:rsidRPr="001C2E1A">
        <w:rPr>
          <w:lang w:eastAsia="en-AU"/>
        </w:rPr>
        <w:t xml:space="preserve">where there </w:t>
      </w:r>
      <w:r w:rsidRPr="001C2E1A">
        <w:rPr>
          <w:lang w:eastAsia="en-AU"/>
        </w:rPr>
        <w:t>is</w:t>
      </w:r>
      <w:r w:rsidR="006368E0" w:rsidRPr="001C2E1A">
        <w:rPr>
          <w:lang w:eastAsia="en-AU"/>
        </w:rPr>
        <w:t xml:space="preserve"> progress</w:t>
      </w:r>
      <w:r w:rsidR="00066FE1" w:rsidRPr="001C2E1A">
        <w:rPr>
          <w:lang w:eastAsia="en-AU"/>
        </w:rPr>
        <w:t xml:space="preserve"> towards </w:t>
      </w:r>
      <w:r w:rsidR="006368E0" w:rsidRPr="001C2E1A">
        <w:rPr>
          <w:lang w:eastAsia="en-AU"/>
        </w:rPr>
        <w:t>a</w:t>
      </w:r>
      <w:r w:rsidR="00066FE1" w:rsidRPr="001C2E1A">
        <w:rPr>
          <w:lang w:eastAsia="en-AU"/>
        </w:rPr>
        <w:t xml:space="preserve"> target</w:t>
      </w:r>
      <w:r w:rsidRPr="001C2E1A">
        <w:rPr>
          <w:lang w:eastAsia="en-AU"/>
        </w:rPr>
        <w:t>,</w:t>
      </w:r>
      <w:r w:rsidR="00066FE1" w:rsidRPr="001C2E1A">
        <w:rPr>
          <w:lang w:eastAsia="en-AU"/>
        </w:rPr>
        <w:t xml:space="preserve"> </w:t>
      </w:r>
      <w:r w:rsidR="00EB3E90" w:rsidRPr="001C2E1A">
        <w:rPr>
          <w:lang w:eastAsia="en-AU"/>
        </w:rPr>
        <w:t xml:space="preserve">there </w:t>
      </w:r>
      <w:r w:rsidRPr="001C2E1A">
        <w:rPr>
          <w:lang w:eastAsia="en-AU"/>
        </w:rPr>
        <w:t>is generally</w:t>
      </w:r>
      <w:r w:rsidRPr="007B3DCE">
        <w:rPr>
          <w:lang w:eastAsia="en-AU"/>
        </w:rPr>
        <w:t xml:space="preserve"> </w:t>
      </w:r>
      <w:r w:rsidR="00EB3E90" w:rsidRPr="007B3DCE">
        <w:rPr>
          <w:lang w:eastAsia="en-AU"/>
        </w:rPr>
        <w:t>less progress</w:t>
      </w:r>
      <w:r w:rsidR="003B16AD" w:rsidRPr="007B3DCE">
        <w:rPr>
          <w:lang w:eastAsia="en-AU"/>
        </w:rPr>
        <w:t>,</w:t>
      </w:r>
      <w:r w:rsidR="00EB3E90" w:rsidRPr="007B3DCE">
        <w:rPr>
          <w:lang w:eastAsia="en-AU"/>
        </w:rPr>
        <w:t xml:space="preserve"> </w:t>
      </w:r>
      <w:r w:rsidR="00A35D11" w:rsidRPr="007B3DCE">
        <w:rPr>
          <w:lang w:eastAsia="en-AU"/>
        </w:rPr>
        <w:t>or in some cases worsening outcomes</w:t>
      </w:r>
      <w:r w:rsidR="003B16AD" w:rsidRPr="007B3DCE">
        <w:rPr>
          <w:lang w:eastAsia="en-AU"/>
        </w:rPr>
        <w:t>,</w:t>
      </w:r>
      <w:r w:rsidR="00F72211" w:rsidRPr="007B3DCE">
        <w:rPr>
          <w:lang w:eastAsia="en-AU"/>
        </w:rPr>
        <w:t xml:space="preserve"> in remote areas.</w:t>
      </w:r>
      <w:r w:rsidR="00A35D11" w:rsidRPr="007B3DCE">
        <w:rPr>
          <w:lang w:eastAsia="en-AU"/>
        </w:rPr>
        <w:t xml:space="preserve"> </w:t>
      </w:r>
      <w:r w:rsidR="00066FE1" w:rsidRPr="007B3DCE">
        <w:rPr>
          <w:lang w:eastAsia="en-AU"/>
        </w:rPr>
        <w:t xml:space="preserve">For instance, </w:t>
      </w:r>
      <w:r w:rsidR="006368E0" w:rsidRPr="007B3DCE">
        <w:rPr>
          <w:lang w:eastAsia="en-AU"/>
        </w:rPr>
        <w:t xml:space="preserve">outcomes improved </w:t>
      </w:r>
      <w:r w:rsidR="00066FE1" w:rsidRPr="007B3DCE">
        <w:rPr>
          <w:lang w:eastAsia="en-AU"/>
        </w:rPr>
        <w:t>for further education pathways (</w:t>
      </w:r>
      <w:r w:rsidR="00812AFA" w:rsidRPr="007B3DCE">
        <w:rPr>
          <w:lang w:eastAsia="en-AU"/>
        </w:rPr>
        <w:t>T</w:t>
      </w:r>
      <w:r w:rsidR="00066FE1" w:rsidRPr="007B3DCE">
        <w:rPr>
          <w:lang w:eastAsia="en-AU"/>
        </w:rPr>
        <w:t>arget 6) and economic participation (</w:t>
      </w:r>
      <w:r w:rsidR="00812AFA" w:rsidRPr="007B3DCE">
        <w:rPr>
          <w:lang w:eastAsia="en-AU"/>
        </w:rPr>
        <w:t>T</w:t>
      </w:r>
      <w:r w:rsidR="00066FE1" w:rsidRPr="007B3DCE">
        <w:rPr>
          <w:lang w:eastAsia="en-AU"/>
        </w:rPr>
        <w:t xml:space="preserve">arget 8) in all areas except </w:t>
      </w:r>
      <w:r w:rsidR="003B16AD" w:rsidRPr="007B3DCE">
        <w:rPr>
          <w:lang w:eastAsia="en-AU"/>
        </w:rPr>
        <w:t>in</w:t>
      </w:r>
      <w:r w:rsidR="00066FE1" w:rsidRPr="007B3DCE">
        <w:rPr>
          <w:lang w:eastAsia="en-AU"/>
        </w:rPr>
        <w:t xml:space="preserve"> very remote areas, where </w:t>
      </w:r>
      <w:r w:rsidR="00884C8A">
        <w:rPr>
          <w:lang w:eastAsia="en-AU"/>
        </w:rPr>
        <w:t>progress</w:t>
      </w:r>
      <w:r w:rsidR="001C0D1D">
        <w:rPr>
          <w:lang w:eastAsia="en-AU"/>
        </w:rPr>
        <w:t xml:space="preserve"> </w:t>
      </w:r>
      <w:r w:rsidR="00066FE1" w:rsidRPr="007B3DCE">
        <w:rPr>
          <w:lang w:eastAsia="en-AU"/>
        </w:rPr>
        <w:t>stagnated or slightly decreased. Similarly for youth engagement in employment or education (</w:t>
      </w:r>
      <w:r w:rsidR="00812AFA" w:rsidRPr="007B3DCE">
        <w:rPr>
          <w:lang w:eastAsia="en-AU"/>
        </w:rPr>
        <w:t>T</w:t>
      </w:r>
      <w:r w:rsidR="00066FE1" w:rsidRPr="007B3DCE">
        <w:rPr>
          <w:lang w:eastAsia="en-AU"/>
        </w:rPr>
        <w:t xml:space="preserve">arget 7), outcomes in remote and very remote areas have worsened since the baseline year (2016) but have improved in inner regional and regional areas. </w:t>
      </w:r>
    </w:p>
    <w:p w14:paraId="3902C0B2" w14:textId="5F70B688" w:rsidR="00066FE1" w:rsidRPr="00B9545B" w:rsidRDefault="00066FE1" w:rsidP="00066FE1">
      <w:pPr>
        <w:pStyle w:val="BodyText"/>
        <w:rPr>
          <w:lang w:eastAsia="en-AU"/>
        </w:rPr>
      </w:pPr>
      <w:r w:rsidRPr="00B9545B">
        <w:rPr>
          <w:lang w:eastAsia="en-AU"/>
        </w:rPr>
        <w:t>For the two targets with worsening progress where remoteness data is available, childhood development (</w:t>
      </w:r>
      <w:r w:rsidR="00812AFA" w:rsidRPr="00B9545B">
        <w:rPr>
          <w:lang w:eastAsia="en-AU"/>
        </w:rPr>
        <w:t>T</w:t>
      </w:r>
      <w:r w:rsidRPr="00B9545B">
        <w:rPr>
          <w:lang w:eastAsia="en-AU"/>
        </w:rPr>
        <w:t>arget 4) and suicide rates (</w:t>
      </w:r>
      <w:r w:rsidR="00812AFA" w:rsidRPr="00B9545B">
        <w:rPr>
          <w:lang w:eastAsia="en-AU"/>
        </w:rPr>
        <w:t>T</w:t>
      </w:r>
      <w:r w:rsidRPr="00B9545B">
        <w:rPr>
          <w:lang w:eastAsia="en-AU"/>
        </w:rPr>
        <w:t>arget 14)</w:t>
      </w:r>
      <w:r w:rsidR="00A05DA8" w:rsidRPr="00B9545B">
        <w:rPr>
          <w:lang w:eastAsia="en-AU"/>
        </w:rPr>
        <w:t>, outcomes</w:t>
      </w:r>
      <w:r w:rsidR="0015619F" w:rsidRPr="00B9545B">
        <w:rPr>
          <w:lang w:eastAsia="en-AU"/>
        </w:rPr>
        <w:t xml:space="preserve"> have</w:t>
      </w:r>
      <w:r w:rsidRPr="00B9545B" w:rsidDel="009D3CB0">
        <w:rPr>
          <w:lang w:eastAsia="en-AU"/>
        </w:rPr>
        <w:t xml:space="preserve"> </w:t>
      </w:r>
      <w:r w:rsidRPr="00B9545B">
        <w:rPr>
          <w:lang w:eastAsia="en-AU"/>
        </w:rPr>
        <w:t xml:space="preserve">worsened across all areas </w:t>
      </w:r>
      <w:r w:rsidR="0015619F" w:rsidRPr="00B9545B">
        <w:rPr>
          <w:lang w:eastAsia="en-AU"/>
        </w:rPr>
        <w:t xml:space="preserve">of remoteness </w:t>
      </w:r>
      <w:r w:rsidRPr="00B9545B">
        <w:rPr>
          <w:lang w:eastAsia="en-AU"/>
        </w:rPr>
        <w:t>since the baseline</w:t>
      </w:r>
      <w:r w:rsidR="0094586C" w:rsidRPr="00B9545B">
        <w:rPr>
          <w:lang w:eastAsia="en-AU"/>
        </w:rPr>
        <w:t xml:space="preserve"> (2018)</w:t>
      </w:r>
      <w:r w:rsidRPr="00B9545B">
        <w:rPr>
          <w:lang w:eastAsia="en-AU"/>
        </w:rPr>
        <w:t>.</w:t>
      </w:r>
    </w:p>
    <w:p w14:paraId="5F152DE2" w14:textId="3DC66DA7" w:rsidR="00066FE1" w:rsidRPr="007B3DCE" w:rsidRDefault="001926A2" w:rsidP="00AB42FD">
      <w:pPr>
        <w:pStyle w:val="Heading3"/>
        <w:rPr>
          <w:lang w:eastAsia="en-AU"/>
        </w:rPr>
      </w:pPr>
      <w:r>
        <w:rPr>
          <w:lang w:eastAsia="en-AU"/>
        </w:rPr>
        <w:t>Improvement in some outcome</w:t>
      </w:r>
      <w:r w:rsidR="004C3573">
        <w:rPr>
          <w:lang w:eastAsia="en-AU"/>
        </w:rPr>
        <w:t>s across</w:t>
      </w:r>
      <w:r w:rsidR="00066FE1" w:rsidRPr="007B3DCE">
        <w:rPr>
          <w:lang w:eastAsia="en-AU"/>
        </w:rPr>
        <w:t xml:space="preserve"> all socio</w:t>
      </w:r>
      <w:r w:rsidR="004C3573">
        <w:rPr>
          <w:lang w:eastAsia="en-AU"/>
        </w:rPr>
        <w:t>-</w:t>
      </w:r>
      <w:r w:rsidR="00066FE1" w:rsidRPr="007B3DCE">
        <w:rPr>
          <w:lang w:eastAsia="en-AU"/>
        </w:rPr>
        <w:t>economic areas of disadvantage</w:t>
      </w:r>
    </w:p>
    <w:p w14:paraId="4A8E1297" w14:textId="07C66918" w:rsidR="00066FE1" w:rsidRPr="007B3DCE" w:rsidRDefault="00F11973" w:rsidP="00066FE1">
      <w:pPr>
        <w:pStyle w:val="BodyText"/>
      </w:pPr>
      <w:r>
        <w:t>Some Closing the Gap d</w:t>
      </w:r>
      <w:r w:rsidR="002F3010">
        <w:t>ata</w:t>
      </w:r>
      <w:r w:rsidR="002F3010" w:rsidRPr="007B3DCE">
        <w:t xml:space="preserve"> </w:t>
      </w:r>
      <w:r w:rsidR="00E6191F" w:rsidRPr="007B3DCE">
        <w:t xml:space="preserve">can </w:t>
      </w:r>
      <w:r w:rsidR="007728A2" w:rsidRPr="007B3DCE">
        <w:t>provide insights</w:t>
      </w:r>
      <w:r w:rsidR="00FD6CEA" w:rsidRPr="007B3DCE">
        <w:t xml:space="preserve"> </w:t>
      </w:r>
      <w:r>
        <w:t xml:space="preserve">into </w:t>
      </w:r>
      <w:r w:rsidRPr="00D63EBD">
        <w:t>outcomes</w:t>
      </w:r>
      <w:r>
        <w:t xml:space="preserve"> </w:t>
      </w:r>
      <w:r w:rsidR="00013BA5">
        <w:t xml:space="preserve">according to </w:t>
      </w:r>
      <w:r w:rsidR="002F3010" w:rsidRPr="007B3DCE">
        <w:t>the so</w:t>
      </w:r>
      <w:r w:rsidR="00E6191F" w:rsidRPr="007B3DCE">
        <w:t>c</w:t>
      </w:r>
      <w:r w:rsidR="002F3010" w:rsidRPr="007B3DCE">
        <w:t xml:space="preserve">io-economic status of the locality in which </w:t>
      </w:r>
      <w:r w:rsidR="00872AD3" w:rsidRPr="007B3DCE">
        <w:t>a person</w:t>
      </w:r>
      <w:r w:rsidR="002F3010" w:rsidRPr="007B3DCE">
        <w:t xml:space="preserve"> lives. </w:t>
      </w:r>
      <w:r w:rsidR="00066FE1" w:rsidRPr="007B3DCE">
        <w:t>Unlike</w:t>
      </w:r>
      <w:r w:rsidR="00EB4E18">
        <w:t xml:space="preserve"> outcomes in</w:t>
      </w:r>
      <w:r w:rsidR="00066FE1" w:rsidRPr="007B3DCE">
        <w:t xml:space="preserve"> remote areas, </w:t>
      </w:r>
      <w:r w:rsidR="003446D8" w:rsidRPr="007B3DCE">
        <w:t>there</w:t>
      </w:r>
      <w:r w:rsidR="00066FE1" w:rsidRPr="007B3DCE">
        <w:t xml:space="preserve"> has been progress across all socio-economic areas</w:t>
      </w:r>
      <w:r w:rsidR="007A5A87" w:rsidRPr="007B3DCE">
        <w:t xml:space="preserve"> </w:t>
      </w:r>
      <w:r w:rsidR="003446D8" w:rsidRPr="007B3DCE">
        <w:t xml:space="preserve">– from the most disadvantaged through to the least disadvantaged localities – since </w:t>
      </w:r>
      <w:r w:rsidR="007A5A87" w:rsidRPr="007B3DCE">
        <w:t>the baseline year</w:t>
      </w:r>
      <w:r w:rsidR="009B3552" w:rsidRPr="007B3DCE">
        <w:t>s</w:t>
      </w:r>
      <w:r w:rsidR="00066FE1" w:rsidRPr="007B3DCE">
        <w:t xml:space="preserve">. This includes </w:t>
      </w:r>
      <w:r w:rsidR="00AE15FD">
        <w:t xml:space="preserve">outcomes </w:t>
      </w:r>
      <w:r w:rsidR="00066FE1" w:rsidRPr="007B3DCE">
        <w:t>in</w:t>
      </w:r>
      <w:r w:rsidR="00AE15FD">
        <w:t xml:space="preserve"> the areas of</w:t>
      </w:r>
      <w:r w:rsidR="00066FE1" w:rsidRPr="007B3DCE">
        <w:t xml:space="preserve"> school completion (</w:t>
      </w:r>
      <w:r w:rsidR="009743EF" w:rsidRPr="007B3DCE">
        <w:t>T</w:t>
      </w:r>
      <w:r w:rsidR="00066FE1" w:rsidRPr="007B3DCE">
        <w:t>arget 5), further education pathways (</w:t>
      </w:r>
      <w:r w:rsidR="00812AFA" w:rsidRPr="007B3DCE">
        <w:t>T</w:t>
      </w:r>
      <w:r w:rsidR="00066FE1" w:rsidRPr="007B3DCE">
        <w:t>arget 6), economic participation (</w:t>
      </w:r>
      <w:r w:rsidR="00812AFA" w:rsidRPr="007B3DCE">
        <w:t>T</w:t>
      </w:r>
      <w:r w:rsidR="00066FE1" w:rsidRPr="007B3DCE">
        <w:t>arget 8) and appropriate</w:t>
      </w:r>
      <w:r w:rsidR="00DC1253">
        <w:t>ly sized</w:t>
      </w:r>
      <w:r w:rsidR="00066FE1" w:rsidRPr="007B3DCE">
        <w:t xml:space="preserve"> housing (</w:t>
      </w:r>
      <w:r w:rsidR="008A2D0E" w:rsidRPr="007B3DCE">
        <w:t>T</w:t>
      </w:r>
      <w:r w:rsidR="00066FE1" w:rsidRPr="007B3DCE">
        <w:t xml:space="preserve">arget 9A). </w:t>
      </w:r>
    </w:p>
    <w:p w14:paraId="476BFC61" w14:textId="134B102C" w:rsidR="00066FE1" w:rsidRPr="00F56B79" w:rsidDel="0049646B" w:rsidRDefault="00066FE1" w:rsidP="00066FE1">
      <w:pPr>
        <w:pStyle w:val="BodyText"/>
        <w:rPr>
          <w:spacing w:val="-4"/>
          <w:highlight w:val="cyan"/>
          <w:lang w:eastAsia="en-AU"/>
        </w:rPr>
      </w:pPr>
      <w:r w:rsidRPr="00F56B79">
        <w:rPr>
          <w:spacing w:val="-4"/>
        </w:rPr>
        <w:t xml:space="preserve">However, outcomes </w:t>
      </w:r>
      <w:r w:rsidR="003B16AD" w:rsidRPr="00F56B79">
        <w:rPr>
          <w:spacing w:val="-4"/>
        </w:rPr>
        <w:t xml:space="preserve">generally </w:t>
      </w:r>
      <w:r w:rsidRPr="00F56B79">
        <w:rPr>
          <w:spacing w:val="-4"/>
        </w:rPr>
        <w:t>remain worse for people living in disadvantaged areas than for individuals in less disadvantaged areas. For example, in 2020</w:t>
      </w:r>
      <w:r w:rsidR="00E453A7" w:rsidRPr="00F56B79">
        <w:rPr>
          <w:rStyle w:val="normaltextrun"/>
          <w:rFonts w:ascii="Arial (Body)" w:hAnsi="Arial (Body)" w:cs="Arial"/>
          <w:spacing w:val="-4"/>
          <w:bdr w:val="none" w:sz="0" w:space="0" w:color="auto" w:frame="1"/>
        </w:rPr>
        <w:t>–</w:t>
      </w:r>
      <w:r w:rsidRPr="00F56B79">
        <w:rPr>
          <w:spacing w:val="-4"/>
        </w:rPr>
        <w:t xml:space="preserve">22, an Aboriginal male living in the most disadvantaged areas had a life expectancy about 5 years shorter than an Aboriginal male in the least disadvantaged areas </w:t>
      </w:r>
      <w:r w:rsidR="00E95E79" w:rsidRPr="00F56B79">
        <w:rPr>
          <w:rFonts w:ascii="Arial (Body)" w:hAnsi="Arial (Body)" w:cs="Arial"/>
          <w:spacing w:val="-4"/>
        </w:rPr>
        <w:t>(AIHW 2024d)</w:t>
      </w:r>
      <w:r w:rsidRPr="00F56B79">
        <w:rPr>
          <w:spacing w:val="-4"/>
        </w:rPr>
        <w:t xml:space="preserve">. </w:t>
      </w:r>
    </w:p>
    <w:p w14:paraId="14BDE0B2" w14:textId="40D07EB3" w:rsidR="00066FE1" w:rsidRPr="007B3DCE" w:rsidRDefault="00043BAD" w:rsidP="00B9545B">
      <w:pPr>
        <w:pStyle w:val="Heading3"/>
        <w:spacing w:line="260" w:lineRule="atLeast"/>
        <w:rPr>
          <w:lang w:eastAsia="en-AU"/>
        </w:rPr>
      </w:pPr>
      <w:r w:rsidRPr="4B99C86F">
        <w:rPr>
          <w:lang w:eastAsia="en-AU"/>
        </w:rPr>
        <w:lastRenderedPageBreak/>
        <w:t>Mixed outcomes for young people</w:t>
      </w:r>
    </w:p>
    <w:p w14:paraId="4774927C" w14:textId="4756F9CD" w:rsidR="00B85136" w:rsidRPr="007B3DCE" w:rsidRDefault="00066FE1" w:rsidP="00B9545B">
      <w:pPr>
        <w:pStyle w:val="BodyText"/>
        <w:spacing w:line="260" w:lineRule="atLeast"/>
        <w:rPr>
          <w:lang w:eastAsia="en-AU"/>
        </w:rPr>
      </w:pPr>
      <w:r w:rsidRPr="007B3DCE">
        <w:rPr>
          <w:lang w:eastAsia="en-AU"/>
        </w:rPr>
        <w:t>The Aboriginal and Torres Strait Islander population has a younger age profile than the non</w:t>
      </w:r>
      <w:r w:rsidR="002E5F29" w:rsidRPr="007B3DCE">
        <w:rPr>
          <w:lang w:eastAsia="en-AU"/>
        </w:rPr>
        <w:noBreakHyphen/>
      </w:r>
      <w:r w:rsidRPr="007B3DCE">
        <w:rPr>
          <w:lang w:eastAsia="en-AU"/>
        </w:rPr>
        <w:t xml:space="preserve">Indigenous population. </w:t>
      </w:r>
      <w:r w:rsidRPr="007B3DCE">
        <w:rPr>
          <w:bCs/>
          <w:lang w:eastAsia="en-AU"/>
        </w:rPr>
        <w:t>Young</w:t>
      </w:r>
      <w:r w:rsidRPr="007B3DCE" w:rsidDel="00C95E34">
        <w:rPr>
          <w:bCs/>
          <w:lang w:eastAsia="en-AU"/>
        </w:rPr>
        <w:t xml:space="preserve"> Aboriginal and Torres Strait Islander people </w:t>
      </w:r>
      <w:r w:rsidR="42401B55" w:rsidRPr="007B3DCE">
        <w:rPr>
          <w:lang w:eastAsia="en-AU"/>
        </w:rPr>
        <w:t xml:space="preserve">(25 </w:t>
      </w:r>
      <w:r w:rsidR="008018FB">
        <w:rPr>
          <w:lang w:eastAsia="en-AU"/>
        </w:rPr>
        <w:t xml:space="preserve">years </w:t>
      </w:r>
      <w:r w:rsidR="42401B55" w:rsidRPr="007B3DCE">
        <w:rPr>
          <w:lang w:eastAsia="en-AU"/>
        </w:rPr>
        <w:t xml:space="preserve">and under) </w:t>
      </w:r>
      <w:r w:rsidR="6CBF4EAC" w:rsidRPr="007B3DCE">
        <w:rPr>
          <w:lang w:eastAsia="en-AU"/>
        </w:rPr>
        <w:t>and</w:t>
      </w:r>
      <w:r w:rsidR="42401B55" w:rsidRPr="007B3DCE">
        <w:rPr>
          <w:lang w:eastAsia="en-AU"/>
        </w:rPr>
        <w:t xml:space="preserve"> </w:t>
      </w:r>
      <w:r w:rsidR="00466A1D" w:rsidRPr="007B3DCE">
        <w:rPr>
          <w:lang w:eastAsia="en-AU"/>
        </w:rPr>
        <w:t xml:space="preserve">those </w:t>
      </w:r>
      <w:r w:rsidRPr="007B3DCE">
        <w:rPr>
          <w:bCs/>
          <w:lang w:eastAsia="en-AU"/>
        </w:rPr>
        <w:t xml:space="preserve">aged </w:t>
      </w:r>
      <w:r w:rsidR="00EB27AE">
        <w:rPr>
          <w:bCs/>
          <w:lang w:eastAsia="en-AU"/>
        </w:rPr>
        <w:br/>
      </w:r>
      <w:r w:rsidR="00A04210" w:rsidRPr="00216127">
        <w:rPr>
          <w:rStyle w:val="normaltextrun"/>
          <w:rFonts w:ascii="Arial (Body)" w:hAnsi="Arial (Body)" w:cs="Arial"/>
          <w:color w:val="000000"/>
          <w:shd w:val="clear" w:color="auto" w:fill="FFFFFF"/>
        </w:rPr>
        <w:t>25</w:t>
      </w:r>
      <w:r w:rsidR="00695A52" w:rsidRPr="00216127">
        <w:rPr>
          <w:rStyle w:val="normaltextrun"/>
          <w:rFonts w:ascii="Arial (Body)" w:hAnsi="Arial (Body)" w:cs="Arial"/>
          <w:color w:val="000000"/>
          <w:shd w:val="clear" w:color="auto" w:fill="FFFFFF"/>
        </w:rPr>
        <w:t>–</w:t>
      </w:r>
      <w:r w:rsidR="00A04210" w:rsidRPr="00216127">
        <w:rPr>
          <w:rStyle w:val="normaltextrun"/>
          <w:rFonts w:ascii="Arial (Body)" w:hAnsi="Arial (Body)" w:cs="Arial"/>
          <w:color w:val="000000"/>
          <w:shd w:val="clear" w:color="auto" w:fill="FFFFFF"/>
        </w:rPr>
        <w:t>40 years</w:t>
      </w:r>
      <w:r w:rsidR="00516E40" w:rsidRPr="00216127">
        <w:rPr>
          <w:rStyle w:val="normaltextrun"/>
          <w:rFonts w:ascii="Arial (Body)" w:hAnsi="Arial (Body)" w:cs="Arial"/>
          <w:color w:val="000000"/>
          <w:shd w:val="clear" w:color="auto" w:fill="FFFFFF"/>
        </w:rPr>
        <w:t xml:space="preserve"> </w:t>
      </w:r>
      <w:r w:rsidRPr="007B3DCE">
        <w:rPr>
          <w:bCs/>
          <w:lang w:eastAsia="en-AU"/>
        </w:rPr>
        <w:t>have consistently faced worse outcomes than people aged 40</w:t>
      </w:r>
      <w:r w:rsidR="00695A52" w:rsidRPr="007B3DCE">
        <w:t>–</w:t>
      </w:r>
      <w:r w:rsidRPr="007B3DCE">
        <w:rPr>
          <w:bCs/>
          <w:lang w:eastAsia="en-AU"/>
        </w:rPr>
        <w:t>50 years</w:t>
      </w:r>
      <w:r w:rsidRPr="007B3DCE" w:rsidDel="005B643D">
        <w:rPr>
          <w:bCs/>
          <w:lang w:eastAsia="en-AU"/>
        </w:rPr>
        <w:t xml:space="preserve"> </w:t>
      </w:r>
      <w:r w:rsidRPr="007B3DCE">
        <w:rPr>
          <w:bCs/>
          <w:lang w:eastAsia="en-AU"/>
        </w:rPr>
        <w:t xml:space="preserve">in </w:t>
      </w:r>
      <w:r w:rsidR="003B16AD" w:rsidRPr="007B3DCE">
        <w:rPr>
          <w:bCs/>
          <w:lang w:eastAsia="en-AU"/>
        </w:rPr>
        <w:t xml:space="preserve">access to </w:t>
      </w:r>
      <w:r w:rsidRPr="007B3DCE">
        <w:rPr>
          <w:bCs/>
          <w:lang w:eastAsia="en-AU"/>
        </w:rPr>
        <w:t>appropriate housing (</w:t>
      </w:r>
      <w:r w:rsidR="00812AFA" w:rsidRPr="007B3DCE">
        <w:rPr>
          <w:bCs/>
          <w:lang w:eastAsia="en-AU"/>
        </w:rPr>
        <w:t>T</w:t>
      </w:r>
      <w:r w:rsidRPr="007B3DCE">
        <w:rPr>
          <w:bCs/>
          <w:lang w:eastAsia="en-AU"/>
        </w:rPr>
        <w:t xml:space="preserve">arget 9A) </w:t>
      </w:r>
      <w:r w:rsidR="003B16AD" w:rsidRPr="007B3DCE">
        <w:rPr>
          <w:bCs/>
          <w:lang w:eastAsia="en-AU"/>
        </w:rPr>
        <w:t xml:space="preserve">and </w:t>
      </w:r>
      <w:r w:rsidR="3872509D" w:rsidRPr="007B3DCE">
        <w:rPr>
          <w:lang w:eastAsia="en-AU"/>
        </w:rPr>
        <w:t>deaths by</w:t>
      </w:r>
      <w:r w:rsidRPr="007B3DCE">
        <w:rPr>
          <w:bCs/>
          <w:lang w:eastAsia="en-AU"/>
        </w:rPr>
        <w:t xml:space="preserve"> suicide (</w:t>
      </w:r>
      <w:r w:rsidR="00812AFA" w:rsidRPr="007B3DCE">
        <w:rPr>
          <w:bCs/>
          <w:lang w:eastAsia="en-AU"/>
        </w:rPr>
        <w:t>T</w:t>
      </w:r>
      <w:r w:rsidRPr="007B3DCE">
        <w:rPr>
          <w:bCs/>
          <w:lang w:eastAsia="en-AU"/>
        </w:rPr>
        <w:t>arget 14) since the baseline year</w:t>
      </w:r>
      <w:r w:rsidR="0025436C" w:rsidRPr="007B3DCE">
        <w:rPr>
          <w:bCs/>
          <w:lang w:eastAsia="en-AU"/>
        </w:rPr>
        <w:t>s (2016 and 2018</w:t>
      </w:r>
      <w:r w:rsidR="00B52070" w:rsidRPr="007B3DCE">
        <w:rPr>
          <w:bCs/>
          <w:lang w:eastAsia="en-AU"/>
        </w:rPr>
        <w:t xml:space="preserve"> respectively</w:t>
      </w:r>
      <w:r w:rsidR="0025436C" w:rsidRPr="007B3DCE">
        <w:rPr>
          <w:bCs/>
          <w:lang w:eastAsia="en-AU"/>
        </w:rPr>
        <w:t>)</w:t>
      </w:r>
      <w:r w:rsidRPr="007B3DCE">
        <w:rPr>
          <w:bCs/>
          <w:lang w:eastAsia="en-AU"/>
        </w:rPr>
        <w:t>.</w:t>
      </w:r>
      <w:r w:rsidRPr="007B3DCE" w:rsidDel="005E3FF1">
        <w:rPr>
          <w:b/>
          <w:lang w:eastAsia="en-AU"/>
        </w:rPr>
        <w:t xml:space="preserve"> </w:t>
      </w:r>
      <w:r w:rsidRPr="007B3DCE">
        <w:rPr>
          <w:bCs/>
          <w:lang w:eastAsia="en-AU"/>
        </w:rPr>
        <w:t xml:space="preserve">However, young Aboriginal and Torres Strait Islander people </w:t>
      </w:r>
      <w:r w:rsidR="00863879" w:rsidRPr="007B3DCE">
        <w:rPr>
          <w:rStyle w:val="ui-provider"/>
        </w:rPr>
        <w:t>and those aged 25</w:t>
      </w:r>
      <w:r w:rsidR="00367AFE" w:rsidRPr="007B3DCE">
        <w:t>–</w:t>
      </w:r>
      <w:r w:rsidR="00863879" w:rsidRPr="007B3DCE">
        <w:rPr>
          <w:rStyle w:val="ui-provider"/>
        </w:rPr>
        <w:t xml:space="preserve">40 </w:t>
      </w:r>
      <w:r w:rsidR="0013055B" w:rsidRPr="007B3DCE">
        <w:rPr>
          <w:bCs/>
          <w:lang w:eastAsia="en-AU"/>
        </w:rPr>
        <w:t xml:space="preserve">years </w:t>
      </w:r>
      <w:r w:rsidRPr="007B3DCE">
        <w:rPr>
          <w:bCs/>
          <w:lang w:eastAsia="en-AU"/>
        </w:rPr>
        <w:t>are seeing greater improvements across economic participation (</w:t>
      </w:r>
      <w:r w:rsidR="00812AFA" w:rsidRPr="007B3DCE">
        <w:rPr>
          <w:bCs/>
          <w:lang w:eastAsia="en-AU"/>
        </w:rPr>
        <w:t>T</w:t>
      </w:r>
      <w:r w:rsidRPr="007B3DCE">
        <w:rPr>
          <w:bCs/>
          <w:lang w:eastAsia="en-AU"/>
        </w:rPr>
        <w:t>arget 8) and imprisonment rates (</w:t>
      </w:r>
      <w:r w:rsidR="00812AFA" w:rsidRPr="007B3DCE">
        <w:rPr>
          <w:bCs/>
          <w:lang w:eastAsia="en-AU"/>
        </w:rPr>
        <w:t>T</w:t>
      </w:r>
      <w:r w:rsidRPr="007B3DCE">
        <w:rPr>
          <w:bCs/>
          <w:lang w:eastAsia="en-AU"/>
        </w:rPr>
        <w:t>arget 10) compared with their older counterparts.</w:t>
      </w:r>
    </w:p>
    <w:p w14:paraId="4DA1C043" w14:textId="55E2C14C" w:rsidR="2718C709" w:rsidRPr="007B3DCE" w:rsidRDefault="00066FE1" w:rsidP="00B9545B">
      <w:pPr>
        <w:pStyle w:val="BodyText"/>
        <w:spacing w:line="260" w:lineRule="atLeast"/>
        <w:rPr>
          <w:lang w:eastAsia="en-AU"/>
        </w:rPr>
      </w:pPr>
      <w:r w:rsidRPr="007B3DCE">
        <w:rPr>
          <w:bCs/>
          <w:lang w:eastAsia="en-AU"/>
        </w:rPr>
        <w:t>For Aboriginal and Torres Strait Islander children, early childhood education and care enrolment rates show promise (</w:t>
      </w:r>
      <w:r w:rsidR="00812AFA" w:rsidRPr="007B3DCE">
        <w:rPr>
          <w:bCs/>
          <w:lang w:eastAsia="en-AU"/>
        </w:rPr>
        <w:t>T</w:t>
      </w:r>
      <w:r w:rsidRPr="007B3DCE">
        <w:rPr>
          <w:bCs/>
          <w:lang w:eastAsia="en-AU"/>
        </w:rPr>
        <w:t xml:space="preserve">arget 3). However, broader wellbeing challenges persist (especially for children in rural areas), with little change in youth detention rates and suicide rates, and an increase in rates of out-of-home care. In particular, some outcomes show the vulnerability of Aboriginal and Torres Strait Islander children in the </w:t>
      </w:r>
      <w:r w:rsidR="001F62A3">
        <w:rPr>
          <w:bCs/>
          <w:lang w:eastAsia="en-AU"/>
        </w:rPr>
        <w:br/>
      </w:r>
      <w:r w:rsidRPr="007B3DCE">
        <w:rPr>
          <w:bCs/>
          <w:lang w:eastAsia="en-AU"/>
        </w:rPr>
        <w:t>10</w:t>
      </w:r>
      <w:r w:rsidRPr="007B3DCE">
        <w:rPr>
          <w:bCs/>
          <w:lang w:eastAsia="en-AU"/>
        </w:rPr>
        <w:softHyphen/>
      </w:r>
      <w:r w:rsidR="0038149E" w:rsidRPr="007B3DCE">
        <w:t>–</w:t>
      </w:r>
      <w:r w:rsidRPr="007B3DCE">
        <w:rPr>
          <w:bCs/>
          <w:lang w:eastAsia="en-AU"/>
        </w:rPr>
        <w:t xml:space="preserve">13 year age group: </w:t>
      </w:r>
      <w:r w:rsidR="00E83B94" w:rsidRPr="007B3DCE">
        <w:rPr>
          <w:bCs/>
          <w:lang w:eastAsia="en-AU"/>
        </w:rPr>
        <w:t>m</w:t>
      </w:r>
      <w:r w:rsidRPr="007B3DCE">
        <w:rPr>
          <w:bCs/>
          <w:lang w:eastAsia="en-AU"/>
        </w:rPr>
        <w:t>ore than one-third of the Aboriginal and Torres Strait Islander young people in youth detention in 2022-23 were aged 10</w:t>
      </w:r>
      <w:r w:rsidR="00221777" w:rsidRPr="007B3DCE">
        <w:t>–</w:t>
      </w:r>
      <w:r w:rsidRPr="007B3DCE">
        <w:rPr>
          <w:bCs/>
          <w:lang w:eastAsia="en-AU"/>
        </w:rPr>
        <w:t>13 years when they entered youth detention for the first time (</w:t>
      </w:r>
      <w:r w:rsidR="00812AFA" w:rsidRPr="007B3DCE">
        <w:rPr>
          <w:bCs/>
          <w:lang w:eastAsia="en-AU"/>
        </w:rPr>
        <w:t>T</w:t>
      </w:r>
      <w:r w:rsidRPr="007B3DCE">
        <w:rPr>
          <w:bCs/>
          <w:lang w:eastAsia="en-AU"/>
        </w:rPr>
        <w:t>arget 11), while children aged 10</w:t>
      </w:r>
      <w:r w:rsidR="00221777" w:rsidRPr="007B3DCE">
        <w:t>–</w:t>
      </w:r>
      <w:r w:rsidRPr="007B3DCE">
        <w:rPr>
          <w:bCs/>
          <w:lang w:eastAsia="en-AU"/>
        </w:rPr>
        <w:t>14 years had the highest rates of out</w:t>
      </w:r>
      <w:r w:rsidR="542D0F98" w:rsidRPr="007B3DCE">
        <w:rPr>
          <w:lang w:eastAsia="en-AU"/>
        </w:rPr>
        <w:t>-</w:t>
      </w:r>
      <w:r w:rsidRPr="007B3DCE">
        <w:rPr>
          <w:bCs/>
          <w:lang w:eastAsia="en-AU"/>
        </w:rPr>
        <w:t>of</w:t>
      </w:r>
      <w:r w:rsidR="1BA710E0" w:rsidRPr="007B3DCE">
        <w:rPr>
          <w:lang w:eastAsia="en-AU"/>
        </w:rPr>
        <w:t>-</w:t>
      </w:r>
      <w:r w:rsidRPr="007B3DCE">
        <w:rPr>
          <w:bCs/>
          <w:lang w:eastAsia="en-AU"/>
        </w:rPr>
        <w:t>home care (</w:t>
      </w:r>
      <w:r w:rsidR="00812AFA" w:rsidRPr="007B3DCE">
        <w:rPr>
          <w:bCs/>
          <w:lang w:eastAsia="en-AU"/>
        </w:rPr>
        <w:t>T</w:t>
      </w:r>
      <w:r w:rsidRPr="007B3DCE">
        <w:rPr>
          <w:bCs/>
          <w:lang w:eastAsia="en-AU"/>
        </w:rPr>
        <w:t>arget 12).</w:t>
      </w:r>
    </w:p>
    <w:p w14:paraId="49F13F72" w14:textId="7AE31C9D" w:rsidR="005972E3" w:rsidRPr="00C92DFD" w:rsidRDefault="00C3787E" w:rsidP="00B9545B">
      <w:pPr>
        <w:pStyle w:val="Heading3"/>
        <w:spacing w:line="260" w:lineRule="atLeast"/>
        <w:rPr>
          <w:spacing w:val="4"/>
          <w:lang w:eastAsia="en-AU"/>
        </w:rPr>
      </w:pPr>
      <w:r w:rsidRPr="00C92DFD">
        <w:rPr>
          <w:spacing w:val="4"/>
          <w:lang w:eastAsia="en-AU"/>
        </w:rPr>
        <w:t>M</w:t>
      </w:r>
      <w:r w:rsidR="00B74374" w:rsidRPr="00C92DFD">
        <w:rPr>
          <w:spacing w:val="4"/>
          <w:lang w:eastAsia="en-AU"/>
        </w:rPr>
        <w:t>ales</w:t>
      </w:r>
      <w:r w:rsidRPr="00C92DFD">
        <w:rPr>
          <w:spacing w:val="4"/>
          <w:lang w:eastAsia="en-AU"/>
        </w:rPr>
        <w:t xml:space="preserve"> and </w:t>
      </w:r>
      <w:r w:rsidR="00B74374" w:rsidRPr="00C92DFD">
        <w:rPr>
          <w:spacing w:val="4"/>
          <w:lang w:eastAsia="en-AU"/>
        </w:rPr>
        <w:t>females</w:t>
      </w:r>
      <w:r w:rsidR="000517CC" w:rsidRPr="00C92DFD">
        <w:rPr>
          <w:spacing w:val="4"/>
          <w:lang w:eastAsia="en-AU"/>
        </w:rPr>
        <w:t xml:space="preserve"> experienc</w:t>
      </w:r>
      <w:r w:rsidR="00711ED1" w:rsidRPr="00C92DFD">
        <w:rPr>
          <w:spacing w:val="4"/>
          <w:lang w:eastAsia="en-AU"/>
        </w:rPr>
        <w:t>e</w:t>
      </w:r>
      <w:r w:rsidR="000517CC" w:rsidRPr="00C92DFD">
        <w:rPr>
          <w:spacing w:val="4"/>
          <w:lang w:eastAsia="en-AU"/>
        </w:rPr>
        <w:t xml:space="preserve"> differences in socio-economic outcomes</w:t>
      </w:r>
    </w:p>
    <w:p w14:paraId="7CA149E4" w14:textId="63CF116D" w:rsidR="005311E8" w:rsidRPr="007B3DCE" w:rsidRDefault="005972E3" w:rsidP="00B9545B">
      <w:pPr>
        <w:pStyle w:val="BodyText"/>
        <w:spacing w:line="260" w:lineRule="atLeast"/>
        <w:rPr>
          <w:bCs/>
          <w:lang w:eastAsia="en-AU"/>
        </w:rPr>
      </w:pPr>
      <w:r w:rsidRPr="007B3DCE">
        <w:rPr>
          <w:bCs/>
          <w:lang w:eastAsia="en-AU"/>
        </w:rPr>
        <w:t>Outcomes tend to be better for Aboriginal and Torres Strait Islander females than males</w:t>
      </w:r>
      <w:r w:rsidR="009614F5">
        <w:rPr>
          <w:bCs/>
          <w:lang w:eastAsia="en-AU"/>
        </w:rPr>
        <w:t>.</w:t>
      </w:r>
      <w:r w:rsidR="009614F5" w:rsidRPr="009D07D6">
        <w:rPr>
          <w:rStyle w:val="FootnoteReference"/>
        </w:rPr>
        <w:footnoteReference w:id="5"/>
      </w:r>
      <w:r w:rsidR="008459B6">
        <w:rPr>
          <w:lang w:eastAsia="en-AU"/>
        </w:rPr>
        <w:t xml:space="preserve"> </w:t>
      </w:r>
      <w:r w:rsidRPr="007B3DCE">
        <w:rPr>
          <w:bCs/>
          <w:lang w:eastAsia="en-AU"/>
        </w:rPr>
        <w:t xml:space="preserve">Aboriginal and Torres </w:t>
      </w:r>
      <w:r w:rsidR="00B15D48">
        <w:rPr>
          <w:bCs/>
          <w:lang w:eastAsia="en-AU"/>
        </w:rPr>
        <w:t xml:space="preserve">Strait </w:t>
      </w:r>
      <w:r w:rsidRPr="007B3DCE">
        <w:rPr>
          <w:bCs/>
          <w:lang w:eastAsia="en-AU"/>
        </w:rPr>
        <w:t xml:space="preserve">Islander females are more likely than males to attain a year 12 or equivalent </w:t>
      </w:r>
      <w:r w:rsidR="003B16AD" w:rsidRPr="007B3DCE">
        <w:rPr>
          <w:bCs/>
          <w:lang w:eastAsia="en-AU"/>
        </w:rPr>
        <w:t xml:space="preserve">qualification </w:t>
      </w:r>
      <w:r w:rsidRPr="007B3DCE">
        <w:rPr>
          <w:bCs/>
          <w:lang w:eastAsia="en-AU"/>
        </w:rPr>
        <w:t>and to complete tertiary education</w:t>
      </w:r>
      <w:r w:rsidR="003B16AD" w:rsidRPr="007B3DCE">
        <w:rPr>
          <w:bCs/>
          <w:lang w:eastAsia="en-AU"/>
        </w:rPr>
        <w:t>,</w:t>
      </w:r>
      <w:r w:rsidRPr="007B3DCE">
        <w:rPr>
          <w:bCs/>
          <w:lang w:eastAsia="en-AU"/>
        </w:rPr>
        <w:t xml:space="preserve"> and </w:t>
      </w:r>
      <w:r w:rsidR="003B16AD" w:rsidRPr="007B3DCE">
        <w:rPr>
          <w:bCs/>
          <w:lang w:eastAsia="en-AU"/>
        </w:rPr>
        <w:t>they</w:t>
      </w:r>
      <w:r w:rsidRPr="007B3DCE">
        <w:rPr>
          <w:bCs/>
          <w:lang w:eastAsia="en-AU"/>
        </w:rPr>
        <w:t xml:space="preserve"> have lower rates of adult incarceration (Target 10) and suicide (Target 14). However, a higher rate of Aboriginal and Torres Strait Islander males than females are employed (Target 8), fully engaged in employment, education and training (Target 7) and live in appropriately sized housing (Target 9).</w:t>
      </w:r>
      <w:r w:rsidR="00B85633" w:rsidRPr="007B3DCE">
        <w:rPr>
          <w:bCs/>
          <w:lang w:eastAsia="en-AU"/>
        </w:rPr>
        <w:t xml:space="preserve"> </w:t>
      </w:r>
      <w:r w:rsidRPr="007B3DCE">
        <w:rPr>
          <w:bCs/>
          <w:lang w:eastAsia="en-AU"/>
        </w:rPr>
        <w:t>Over time, progress has been more evenly distributed between males and females. Of the 13 outcome areas with data for males and females, males saw greater improvements in six</w:t>
      </w:r>
      <w:r w:rsidR="003B16AD" w:rsidRPr="007B3DCE">
        <w:rPr>
          <w:bCs/>
          <w:lang w:eastAsia="en-AU"/>
        </w:rPr>
        <w:t xml:space="preserve"> areas</w:t>
      </w:r>
      <w:r w:rsidRPr="007B3DCE">
        <w:rPr>
          <w:bCs/>
          <w:lang w:eastAsia="en-AU"/>
        </w:rPr>
        <w:t xml:space="preserve">, including life expectancy (Target 1) </w:t>
      </w:r>
      <w:r w:rsidRPr="007B3DCE">
        <w:rPr>
          <w:lang w:eastAsia="en-AU"/>
        </w:rPr>
        <w:t>and access to appropriate</w:t>
      </w:r>
      <w:r w:rsidR="006D426F">
        <w:rPr>
          <w:lang w:eastAsia="en-AU"/>
        </w:rPr>
        <w:t xml:space="preserve">ly </w:t>
      </w:r>
      <w:r w:rsidRPr="007B3DCE">
        <w:rPr>
          <w:lang w:eastAsia="en-AU"/>
        </w:rPr>
        <w:t>sized housing</w:t>
      </w:r>
      <w:r w:rsidRPr="007B3DCE">
        <w:rPr>
          <w:bCs/>
          <w:lang w:eastAsia="en-AU"/>
        </w:rPr>
        <w:t xml:space="preserve"> (Target 9), while females experienced greater improvement in seven areas.</w:t>
      </w:r>
    </w:p>
    <w:p w14:paraId="773904B9" w14:textId="184BA7E9" w:rsidR="005311E8" w:rsidRPr="007B3DCE" w:rsidRDefault="005311E8" w:rsidP="00B9545B">
      <w:pPr>
        <w:pStyle w:val="Heading3"/>
        <w:spacing w:line="260" w:lineRule="atLeast"/>
        <w:rPr>
          <w:lang w:eastAsia="en-AU"/>
        </w:rPr>
      </w:pPr>
      <w:r w:rsidRPr="007B3DCE">
        <w:rPr>
          <w:lang w:eastAsia="en-AU"/>
        </w:rPr>
        <w:t>The lives of people with disability are seeing some improvement</w:t>
      </w:r>
    </w:p>
    <w:p w14:paraId="4C6A0E85" w14:textId="1584F978" w:rsidR="00590C9A" w:rsidRDefault="005311E8" w:rsidP="00B9545B">
      <w:pPr>
        <w:pStyle w:val="BodyText"/>
        <w:spacing w:line="260" w:lineRule="atLeast"/>
        <w:rPr>
          <w:lang w:eastAsia="en-AU"/>
        </w:rPr>
      </w:pPr>
      <w:r w:rsidRPr="007B3DCE">
        <w:rPr>
          <w:lang w:eastAsia="en-AU"/>
        </w:rPr>
        <w:t xml:space="preserve">In 2021, 8.2% of Aboriginal and Torres Strait Islander people reported needing core activity assistance, up from 6.7% in 2016 </w:t>
      </w:r>
      <w:r w:rsidR="00E95E79" w:rsidRPr="00216127">
        <w:rPr>
          <w:rFonts w:ascii="Arial (Body)" w:hAnsi="Arial (Body)" w:cs="Arial"/>
        </w:rPr>
        <w:t>(ABS 2022a)</w:t>
      </w:r>
      <w:r w:rsidRPr="007B3DCE">
        <w:rPr>
          <w:lang w:eastAsia="en-AU"/>
        </w:rPr>
        <w:t xml:space="preserve">. Although there have been some improvements </w:t>
      </w:r>
      <w:r w:rsidR="006C7FB5">
        <w:rPr>
          <w:lang w:eastAsia="en-AU"/>
        </w:rPr>
        <w:t xml:space="preserve">in outcomes </w:t>
      </w:r>
      <w:r w:rsidRPr="007B3DCE">
        <w:rPr>
          <w:lang w:eastAsia="en-AU"/>
        </w:rPr>
        <w:t>for Aboriginal and Torres Strait Islander people needing assistance with core activities, progress is less pronounced compared to Aboriginal and Torres Strait Islander people without disability</w:t>
      </w:r>
      <w:r w:rsidR="000F68BE">
        <w:rPr>
          <w:lang w:eastAsia="en-AU"/>
        </w:rPr>
        <w:t xml:space="preserve"> (Targ</w:t>
      </w:r>
      <w:r w:rsidR="00623016">
        <w:rPr>
          <w:lang w:eastAsia="en-AU"/>
        </w:rPr>
        <w:t>ets 4, 6, 8 and 9</w:t>
      </w:r>
      <w:r w:rsidR="00BA3ED9">
        <w:rPr>
          <w:lang w:eastAsia="en-AU"/>
        </w:rPr>
        <w:t>; noting there is no new data since June 2023</w:t>
      </w:r>
      <w:r w:rsidR="00623016">
        <w:rPr>
          <w:lang w:eastAsia="en-AU"/>
        </w:rPr>
        <w:t>)</w:t>
      </w:r>
      <w:r w:rsidRPr="007B3DCE">
        <w:rPr>
          <w:lang w:eastAsia="en-AU"/>
        </w:rPr>
        <w:t>.</w:t>
      </w:r>
      <w:r w:rsidRPr="009D07D6">
        <w:rPr>
          <w:rStyle w:val="FootnoteReference"/>
        </w:rPr>
        <w:footnoteReference w:id="6"/>
      </w:r>
      <w:r w:rsidRPr="007B3DCE">
        <w:rPr>
          <w:lang w:eastAsia="en-AU"/>
        </w:rPr>
        <w:t xml:space="preserve"> Two exceptions stand out: Aboriginal and Torres Strait Islander people with disability saw greater improvements in completing year 12 or equivalent (Target 5), while young Aboriginal and Torres Strait Islander people living with disability experienced worsening outcomes in employment or education (</w:t>
      </w:r>
      <w:r w:rsidR="006A520B" w:rsidRPr="007B3DCE">
        <w:rPr>
          <w:lang w:eastAsia="en-AU"/>
        </w:rPr>
        <w:t>Target</w:t>
      </w:r>
      <w:r w:rsidR="006A520B">
        <w:rPr>
          <w:lang w:eastAsia="en-AU"/>
        </w:rPr>
        <w:t> </w:t>
      </w:r>
      <w:r w:rsidRPr="007B3DCE">
        <w:rPr>
          <w:lang w:eastAsia="en-AU"/>
        </w:rPr>
        <w:t>7)</w:t>
      </w:r>
      <w:r w:rsidR="001F62A3">
        <w:rPr>
          <w:lang w:eastAsia="en-AU"/>
        </w:rPr>
        <w:t>.</w:t>
      </w:r>
    </w:p>
    <w:p w14:paraId="1BFAC5B8" w14:textId="296321F9" w:rsidR="00590C9A" w:rsidRDefault="00260410">
      <w:pPr>
        <w:spacing w:before="0" w:after="160" w:line="259" w:lineRule="auto"/>
        <w:rPr>
          <w:lang w:eastAsia="en-AU"/>
        </w:rPr>
      </w:pPr>
      <w:r>
        <w:rPr>
          <w:noProof/>
        </w:rPr>
        <w:lastRenderedPageBreak/>
        <w:drawing>
          <wp:anchor distT="0" distB="0" distL="114300" distR="114300" simplePos="0" relativeHeight="251658249" behindDoc="0" locked="0" layoutInCell="1" allowOverlap="1" wp14:anchorId="4EE2A17A" wp14:editId="64947C52">
            <wp:simplePos x="0" y="0"/>
            <wp:positionH relativeFrom="page">
              <wp:posOffset>5625</wp:posOffset>
            </wp:positionH>
            <wp:positionV relativeFrom="paragraph">
              <wp:posOffset>-1566998</wp:posOffset>
            </wp:positionV>
            <wp:extent cx="7617124" cy="5751810"/>
            <wp:effectExtent l="0" t="0" r="3175" b="0"/>
            <wp:wrapNone/>
            <wp:docPr id="43371548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15482" name="Picture 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17124" cy="5751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C9A">
        <w:rPr>
          <w:lang w:eastAsia="en-AU"/>
        </w:rPr>
        <w:br w:type="page"/>
      </w:r>
    </w:p>
    <w:p w14:paraId="1E59DCC7" w14:textId="77777777" w:rsidR="00C77D59" w:rsidRDefault="00C77D59" w:rsidP="001D218F">
      <w:pPr>
        <w:pStyle w:val="BodyText"/>
        <w:rPr>
          <w:lang w:eastAsia="en-AU"/>
        </w:rPr>
        <w:sectPr w:rsidR="00C77D59" w:rsidSect="00C82A2E">
          <w:pgSz w:w="11906" w:h="16838" w:code="9"/>
          <w:pgMar w:top="1134" w:right="1134" w:bottom="1134" w:left="1134" w:header="794" w:footer="510" w:gutter="0"/>
          <w:pgNumType w:start="4"/>
          <w:cols w:space="708"/>
          <w:docGrid w:linePitch="360"/>
        </w:sectPr>
      </w:pPr>
    </w:p>
    <w:p w14:paraId="3D649BA1" w14:textId="1BBEC652" w:rsidR="002464FC" w:rsidRPr="007B3DCE" w:rsidRDefault="00C77D59" w:rsidP="00CE362C">
      <w:pPr>
        <w:pStyle w:val="BodyText"/>
        <w:tabs>
          <w:tab w:val="left" w:pos="2071"/>
        </w:tabs>
        <w:rPr>
          <w:lang w:eastAsia="en-AU"/>
        </w:rPr>
      </w:pPr>
      <w:r w:rsidRPr="007B3DCE">
        <w:rPr>
          <w:rStyle w:val="Hyperlink"/>
          <w:noProof/>
          <w:color w:val="8C5E44" w:themeColor="text1"/>
          <w:u w:val="none"/>
        </w:rPr>
        <w:lastRenderedPageBreak/>
        <w:drawing>
          <wp:anchor distT="0" distB="0" distL="114300" distR="114300" simplePos="0" relativeHeight="251658250" behindDoc="1" locked="0" layoutInCell="1" allowOverlap="1" wp14:anchorId="3C44DA2C" wp14:editId="640ECEAA">
            <wp:simplePos x="0" y="0"/>
            <wp:positionH relativeFrom="margin">
              <wp:align>center</wp:align>
            </wp:positionH>
            <wp:positionV relativeFrom="paragraph">
              <wp:posOffset>-771850</wp:posOffset>
            </wp:positionV>
            <wp:extent cx="7620000" cy="10773321"/>
            <wp:effectExtent l="0" t="0" r="0" b="9525"/>
            <wp:wrapNone/>
            <wp:docPr id="115292411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24112" name="Picture 2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20000" cy="10773321"/>
                    </a:xfrm>
                    <a:prstGeom prst="rect">
                      <a:avLst/>
                    </a:prstGeom>
                    <a:noFill/>
                    <a:ln>
                      <a:noFill/>
                    </a:ln>
                  </pic:spPr>
                </pic:pic>
              </a:graphicData>
            </a:graphic>
            <wp14:sizeRelH relativeFrom="page">
              <wp14:pctWidth>0</wp14:pctWidth>
            </wp14:sizeRelH>
            <wp14:sizeRelV relativeFrom="page">
              <wp14:pctHeight>0</wp14:pctHeight>
            </wp14:sizeRelV>
          </wp:anchor>
        </w:drawing>
      </w:r>
      <w:r w:rsidR="00CE362C">
        <w:rPr>
          <w:lang w:eastAsia="en-AU"/>
        </w:rPr>
        <w:tab/>
      </w:r>
    </w:p>
    <w:p w14:paraId="2BA2E700" w14:textId="4D0ACA7D" w:rsidR="00C463F8" w:rsidRDefault="00584C7E" w:rsidP="00783CA1">
      <w:pPr>
        <w:pStyle w:val="Heading1"/>
        <w:pBdr>
          <w:top w:val="none" w:sz="0" w:space="0" w:color="auto"/>
          <w:left w:val="none" w:sz="0" w:space="0" w:color="auto"/>
          <w:bottom w:val="none" w:sz="0" w:space="0" w:color="auto"/>
          <w:right w:val="none" w:sz="0" w:space="0" w:color="auto"/>
        </w:pBdr>
        <w:shd w:val="clear" w:color="auto" w:fill="auto"/>
        <w:ind w:left="851"/>
        <w:sectPr w:rsidR="00C463F8" w:rsidSect="0065672E">
          <w:headerReference w:type="default" r:id="rId36"/>
          <w:footerReference w:type="even" r:id="rId37"/>
          <w:footerReference w:type="default" r:id="rId38"/>
          <w:pgSz w:w="11906" w:h="16838" w:code="9"/>
          <w:pgMar w:top="1134" w:right="1134" w:bottom="1134" w:left="1134" w:header="283" w:footer="510" w:gutter="0"/>
          <w:pgNumType w:start="1"/>
          <w:cols w:space="708"/>
          <w:docGrid w:linePitch="360"/>
        </w:sectPr>
      </w:pPr>
      <w:bookmarkStart w:id="13" w:name="_Toc167878541"/>
      <w:bookmarkStart w:id="14" w:name="_Toc170466646"/>
      <w:r w:rsidRPr="007B3DCE">
        <w:t xml:space="preserve">2. </w:t>
      </w:r>
      <w:r w:rsidRPr="007B3DCE">
        <w:tab/>
      </w:r>
      <w:r w:rsidR="006B4DAF" w:rsidRPr="007B3DCE">
        <w:t xml:space="preserve">Progress </w:t>
      </w:r>
      <w:r w:rsidR="00524931" w:rsidRPr="007B3DCE">
        <w:t>in s</w:t>
      </w:r>
      <w:r w:rsidR="003F057B" w:rsidRPr="007B3DCE">
        <w:t>ocio-economic outco</w:t>
      </w:r>
      <w:bookmarkEnd w:id="13"/>
      <w:bookmarkEnd w:id="14"/>
      <w:r w:rsidR="00C463F8">
        <w:t>mes</w:t>
      </w:r>
    </w:p>
    <w:p w14:paraId="78985966" w14:textId="6AE325FF" w:rsidR="00965932" w:rsidRPr="007B3DCE" w:rsidRDefault="00584C7E" w:rsidP="00510BAD">
      <w:pPr>
        <w:pStyle w:val="Heading1-nonumber"/>
        <w:pBdr>
          <w:top w:val="single" w:sz="4" w:space="31" w:color="DBDCDE"/>
          <w:left w:val="single" w:sz="4" w:space="26" w:color="DBDCDE"/>
          <w:bottom w:val="single" w:sz="4" w:space="26" w:color="DBDCDE"/>
          <w:right w:val="single" w:sz="4" w:space="26" w:color="DBDCDE"/>
        </w:pBdr>
        <w:shd w:val="clear" w:color="auto" w:fill="3B2A1C" w:themeFill="background1" w:themeFillShade="80"/>
        <w:rPr>
          <w:color w:val="E9DCD1" w:themeColor="background1" w:themeTint="33"/>
        </w:rPr>
      </w:pPr>
      <w:bookmarkStart w:id="15" w:name="_Toc167878542"/>
      <w:bookmarkStart w:id="16" w:name="_Toc170466647"/>
      <w:r w:rsidRPr="007B3DCE">
        <w:rPr>
          <w:color w:val="E9DCD1" w:themeColor="background1" w:themeTint="33"/>
        </w:rPr>
        <w:lastRenderedPageBreak/>
        <w:t>2.1</w:t>
      </w:r>
      <w:r w:rsidRPr="007B3DCE">
        <w:rPr>
          <w:color w:val="E9DCD1" w:themeColor="background1" w:themeTint="33"/>
        </w:rPr>
        <w:tab/>
      </w:r>
      <w:r w:rsidR="00965932" w:rsidRPr="007B3DCE">
        <w:rPr>
          <w:color w:val="E9DCD1" w:themeColor="background1" w:themeTint="33"/>
        </w:rPr>
        <w:t xml:space="preserve">Health, </w:t>
      </w:r>
      <w:r w:rsidR="0DCCC660" w:rsidRPr="007B3DCE">
        <w:rPr>
          <w:color w:val="E9DCD1" w:themeColor="background1" w:themeTint="33"/>
        </w:rPr>
        <w:t>w</w:t>
      </w:r>
      <w:r w:rsidR="00965932" w:rsidRPr="007B3DCE">
        <w:rPr>
          <w:color w:val="E9DCD1" w:themeColor="background1" w:themeTint="33"/>
        </w:rPr>
        <w:t xml:space="preserve">ellbeing and </w:t>
      </w:r>
      <w:bookmarkEnd w:id="15"/>
      <w:r w:rsidR="26C8759C" w:rsidRPr="007B3DCE">
        <w:rPr>
          <w:color w:val="E9DCD1" w:themeColor="background1" w:themeTint="33"/>
        </w:rPr>
        <w:t>d</w:t>
      </w:r>
      <w:r w:rsidR="00965932" w:rsidRPr="007B3DCE">
        <w:rPr>
          <w:color w:val="E9DCD1" w:themeColor="background1" w:themeTint="33"/>
        </w:rPr>
        <w:t>evelopment</w:t>
      </w:r>
      <w:bookmarkEnd w:id="16"/>
    </w:p>
    <w:p w14:paraId="61FE52F7" w14:textId="55C097AF" w:rsidR="006C7315" w:rsidRPr="004C31CC" w:rsidRDefault="00506B93">
      <w:pPr>
        <w:pStyle w:val="BodyText"/>
        <w:rPr>
          <w:rFonts w:cstheme="minorHAnsi"/>
          <w:strike/>
        </w:rPr>
      </w:pPr>
      <w:r w:rsidRPr="004C31CC">
        <w:rPr>
          <w:rStyle w:val="cf01"/>
          <w:rFonts w:asciiTheme="minorHAnsi" w:hAnsiTheme="minorHAnsi" w:cstheme="minorHAnsi"/>
          <w:sz w:val="20"/>
          <w:szCs w:val="20"/>
        </w:rPr>
        <w:t xml:space="preserve">Health for Aboriginal and Torres Strait Islander people is holistic, encompassing not just physical health but also </w:t>
      </w:r>
      <w:r w:rsidRPr="009D4378">
        <w:rPr>
          <w:rFonts w:cstheme="minorHAnsi"/>
        </w:rPr>
        <w:t>social, emotional</w:t>
      </w:r>
      <w:r w:rsidR="006C7315" w:rsidRPr="004C31CC">
        <w:rPr>
          <w:rStyle w:val="cf01"/>
          <w:rFonts w:asciiTheme="minorHAnsi" w:hAnsiTheme="minorHAnsi" w:cstheme="minorHAnsi"/>
          <w:sz w:val="20"/>
          <w:szCs w:val="20"/>
        </w:rPr>
        <w:t xml:space="preserve">, cultural, spiritual and ecological wellbeing for individuals and communities </w:t>
      </w:r>
      <w:r w:rsidR="00704E7F" w:rsidRPr="004C31CC">
        <w:rPr>
          <w:rFonts w:cstheme="minorHAnsi"/>
        </w:rPr>
        <w:t>(Dudgeon et al. 2014)</w:t>
      </w:r>
      <w:r w:rsidR="006C7315" w:rsidRPr="004C31CC">
        <w:rPr>
          <w:rStyle w:val="cf01"/>
          <w:rFonts w:asciiTheme="minorHAnsi" w:hAnsiTheme="minorHAnsi" w:cstheme="minorHAnsi"/>
          <w:sz w:val="20"/>
          <w:szCs w:val="20"/>
        </w:rPr>
        <w:t>.</w:t>
      </w:r>
      <w:r w:rsidR="006C7315" w:rsidRPr="004C31CC">
        <w:rPr>
          <w:rFonts w:cstheme="minorHAnsi"/>
        </w:rPr>
        <w:t xml:space="preserve"> </w:t>
      </w:r>
      <w:r w:rsidR="006C7315" w:rsidRPr="004C31CC">
        <w:rPr>
          <w:rStyle w:val="cf01"/>
          <w:rFonts w:asciiTheme="minorHAnsi" w:hAnsiTheme="minorHAnsi" w:cstheme="minorHAnsi"/>
          <w:sz w:val="20"/>
          <w:szCs w:val="20"/>
        </w:rPr>
        <w:t>This perspective reflects a strong sense of cultural identity and deep connections t</w:t>
      </w:r>
      <w:r w:rsidR="006C7315" w:rsidRPr="004C31CC">
        <w:rPr>
          <w:rStyle w:val="Hyperlink"/>
          <w:rFonts w:cstheme="minorHAnsi"/>
          <w:color w:val="auto"/>
          <w:u w:val="none"/>
        </w:rPr>
        <w:t>o Country</w:t>
      </w:r>
      <w:r w:rsidR="006C7315" w:rsidRPr="004C31CC">
        <w:rPr>
          <w:rStyle w:val="cf01"/>
          <w:rFonts w:asciiTheme="minorHAnsi" w:hAnsiTheme="minorHAnsi" w:cstheme="minorHAnsi"/>
          <w:sz w:val="20"/>
          <w:szCs w:val="20"/>
        </w:rPr>
        <w:t>, culture, family, kinship and community that are essential to Aboriginal and Torres Strait Islander wellbeing.</w:t>
      </w:r>
      <w:r w:rsidR="006C7315" w:rsidRPr="004C31CC">
        <w:rPr>
          <w:rStyle w:val="FootnoteReference"/>
          <w:rFonts w:cstheme="minorHAnsi"/>
        </w:rPr>
        <w:footnoteReference w:id="7"/>
      </w:r>
      <w:r w:rsidR="006C7315" w:rsidRPr="004C31CC">
        <w:rPr>
          <w:rFonts w:cstheme="minorHAnsi"/>
        </w:rPr>
        <w:t xml:space="preserve"> </w:t>
      </w:r>
      <w:r w:rsidR="006C7315" w:rsidRPr="004C31CC">
        <w:rPr>
          <w:rFonts w:cstheme="minorHAnsi"/>
          <w:strike/>
        </w:rPr>
        <w:t xml:space="preserve"> </w:t>
      </w:r>
    </w:p>
    <w:p w14:paraId="74C1B760" w14:textId="0A3A5554" w:rsidR="006C7315" w:rsidRPr="0051205B" w:rsidRDefault="006C7315">
      <w:pPr>
        <w:pStyle w:val="BodyText"/>
        <w:rPr>
          <w:rFonts w:cstheme="minorHAnsi"/>
          <w:spacing w:val="-2"/>
        </w:rPr>
      </w:pPr>
      <w:r w:rsidRPr="0051205B">
        <w:rPr>
          <w:rFonts w:cstheme="minorHAnsi"/>
          <w:spacing w:val="-2"/>
        </w:rPr>
        <w:t xml:space="preserve">Colonisation and government policies have disrupted Aboriginal and Torres Strait Islander ways of living and suppressed cultural practices and expression, </w:t>
      </w:r>
      <w:r w:rsidR="009A3BAB" w:rsidRPr="0051205B">
        <w:rPr>
          <w:rFonts w:cstheme="minorHAnsi"/>
          <w:spacing w:val="-2"/>
        </w:rPr>
        <w:t>leading to</w:t>
      </w:r>
      <w:r w:rsidRPr="0051205B">
        <w:rPr>
          <w:rFonts w:cstheme="minorHAnsi"/>
          <w:spacing w:val="-2"/>
        </w:rPr>
        <w:t xml:space="preserve"> profoundly harmful effects on wellbeing </w:t>
      </w:r>
      <w:r w:rsidR="00704E7F" w:rsidRPr="0051205B">
        <w:rPr>
          <w:rFonts w:cstheme="minorHAnsi"/>
          <w:spacing w:val="-2"/>
        </w:rPr>
        <w:t>(Dudgeon et al. 2014; Lowitja Institute 2020)</w:t>
      </w:r>
      <w:r w:rsidRPr="0051205B">
        <w:rPr>
          <w:rFonts w:cstheme="minorHAnsi"/>
          <w:spacing w:val="-2"/>
        </w:rPr>
        <w:t>.</w:t>
      </w:r>
      <w:r w:rsidR="00047644" w:rsidRPr="0051205B">
        <w:rPr>
          <w:rFonts w:cstheme="minorHAnsi"/>
          <w:spacing w:val="-2"/>
        </w:rPr>
        <w:t xml:space="preserve"> </w:t>
      </w:r>
      <w:r w:rsidRPr="0051205B">
        <w:rPr>
          <w:rFonts w:cstheme="minorHAnsi"/>
          <w:spacing w:val="-2"/>
        </w:rPr>
        <w:t>The ongoing trauma and marginalisation resulting from colonisation continues to affect Aboriginal and Torres Strait Islander health and wellbeing through a range of interrelated stressors. These include the presence and impact of institutional racism and discrimination in mainstream</w:t>
      </w:r>
      <w:r w:rsidRPr="0051205B">
        <w:rPr>
          <w:rFonts w:eastAsiaTheme="minorEastAsia" w:cstheme="minorHAnsi"/>
          <w:spacing w:val="-2"/>
        </w:rPr>
        <w:t xml:space="preserve"> services as well as social and economic inequalities such as access to adequate housing, educa</w:t>
      </w:r>
      <w:r w:rsidRPr="0051205B">
        <w:rPr>
          <w:rFonts w:cstheme="minorHAnsi"/>
          <w:spacing w:val="-2"/>
        </w:rPr>
        <w:t>tion and income, and unemployment</w:t>
      </w:r>
      <w:r w:rsidR="00942C98" w:rsidRPr="0051205B">
        <w:rPr>
          <w:rStyle w:val="Hyperlink"/>
          <w:rFonts w:cstheme="minorHAnsi"/>
          <w:color w:val="auto"/>
          <w:spacing w:val="-2"/>
          <w:u w:val="none"/>
        </w:rPr>
        <w:t xml:space="preserve">. </w:t>
      </w:r>
      <w:r w:rsidR="00586B46" w:rsidRPr="0051205B">
        <w:rPr>
          <w:rStyle w:val="Hyperlink"/>
          <w:rFonts w:cstheme="minorHAnsi"/>
          <w:color w:val="auto"/>
          <w:spacing w:val="-2"/>
          <w:u w:val="none"/>
        </w:rPr>
        <w:t>The</w:t>
      </w:r>
      <w:r w:rsidR="00663449" w:rsidRPr="0051205B">
        <w:rPr>
          <w:rStyle w:val="Hyperlink"/>
          <w:rFonts w:cstheme="minorHAnsi"/>
          <w:color w:val="auto"/>
          <w:spacing w:val="-2"/>
          <w:u w:val="none"/>
        </w:rPr>
        <w:t xml:space="preserve"> result is</w:t>
      </w:r>
      <w:r w:rsidRPr="0051205B">
        <w:rPr>
          <w:rStyle w:val="Hyperlink"/>
          <w:rFonts w:cstheme="minorHAnsi"/>
          <w:color w:val="auto"/>
          <w:spacing w:val="-2"/>
          <w:u w:val="none"/>
        </w:rPr>
        <w:t xml:space="preserve"> higher health risk factors </w:t>
      </w:r>
      <w:r w:rsidRPr="0051205B">
        <w:rPr>
          <w:rFonts w:cstheme="minorHAnsi"/>
          <w:spacing w:val="-2"/>
        </w:rPr>
        <w:t xml:space="preserve">(AIHW 2022c; Gubhaju et al. 2015; Menzies 2019). </w:t>
      </w:r>
    </w:p>
    <w:p w14:paraId="46A4E26C" w14:textId="35C5A939" w:rsidR="006C7315" w:rsidRPr="004C31CC" w:rsidRDefault="006C7315">
      <w:pPr>
        <w:pStyle w:val="BodyText"/>
        <w:rPr>
          <w:rFonts w:cstheme="minorHAnsi"/>
        </w:rPr>
      </w:pPr>
      <w:r w:rsidRPr="004C31CC">
        <w:rPr>
          <w:rFonts w:cstheme="minorHAnsi"/>
        </w:rPr>
        <w:t xml:space="preserve">Social and emotional wellbeing encompasses many foundational and interconnected dimensions including autonomy, empowerment and recognition; family and community; culture, spirituality and identity; Country; basic needs; work, roles and responsibilities; education; physical health; and mental health </w:t>
      </w:r>
      <w:r w:rsidR="00704E7F" w:rsidRPr="004C31CC">
        <w:rPr>
          <w:rFonts w:cstheme="minorHAnsi"/>
        </w:rPr>
        <w:t>(Butler et al. 2019; Dudgeon et al. 2014; Sutherland and Adams 2019)</w:t>
      </w:r>
      <w:r w:rsidRPr="004C31CC">
        <w:rPr>
          <w:rFonts w:cstheme="minorHAnsi"/>
        </w:rPr>
        <w:t>. While social and emotional wellbeing and mental health are distinct, a decline in social and emotional wellbeing is associated with an increased risk of self-harm and death by suicide (</w:t>
      </w:r>
      <w:r w:rsidR="00047644">
        <w:rPr>
          <w:rFonts w:cstheme="minorHAnsi"/>
        </w:rPr>
        <w:t>Dudgeon</w:t>
      </w:r>
      <w:r w:rsidRPr="004C31CC">
        <w:rPr>
          <w:rFonts w:cstheme="minorHAnsi"/>
        </w:rPr>
        <w:t xml:space="preserve"> et al. 2014). </w:t>
      </w:r>
    </w:p>
    <w:p w14:paraId="3E8F2F83" w14:textId="76437B42" w:rsidR="006C7315" w:rsidRPr="004C31CC" w:rsidRDefault="006C7315">
      <w:pPr>
        <w:pStyle w:val="BodyText"/>
        <w:rPr>
          <w:rFonts w:cstheme="minorHAnsi"/>
          <w:color w:val="FF0000"/>
        </w:rPr>
      </w:pPr>
      <w:r w:rsidRPr="004C31CC">
        <w:rPr>
          <w:rFonts w:cstheme="minorHAnsi"/>
        </w:rPr>
        <w:t xml:space="preserve">Strengthening and investing in the health of children in the prenatal and early childhood periods can have positive and long-lasting impacts for wellbeing (AIHW 2011). The health and wellbeing of </w:t>
      </w:r>
      <w:r w:rsidR="005A788D" w:rsidRPr="004C31CC">
        <w:rPr>
          <w:rFonts w:cstheme="minorHAnsi"/>
        </w:rPr>
        <w:t>a</w:t>
      </w:r>
      <w:r w:rsidRPr="004C31CC">
        <w:rPr>
          <w:rFonts w:cstheme="minorHAnsi"/>
        </w:rPr>
        <w:t xml:space="preserve"> baby are closely linked to that of the</w:t>
      </w:r>
      <w:r w:rsidR="006979B0" w:rsidRPr="004C31CC">
        <w:rPr>
          <w:rFonts w:cstheme="minorHAnsi"/>
        </w:rPr>
        <w:t>ir</w:t>
      </w:r>
      <w:r w:rsidRPr="004C31CC">
        <w:rPr>
          <w:rFonts w:cstheme="minorHAnsi"/>
        </w:rPr>
        <w:t xml:space="preserve"> mother and surrounding environment </w:t>
      </w:r>
      <w:r w:rsidR="00592D50" w:rsidRPr="004C31CC">
        <w:rPr>
          <w:rFonts w:cstheme="minorHAnsi"/>
        </w:rPr>
        <w:t>(Comino et al. 2012; Healing Foundation 2020)</w:t>
      </w:r>
      <w:r w:rsidRPr="004C31CC">
        <w:rPr>
          <w:rFonts w:cstheme="minorHAnsi"/>
        </w:rPr>
        <w:t xml:space="preserve">. </w:t>
      </w:r>
      <w:r w:rsidR="00FD6BD2" w:rsidRPr="004C31CC">
        <w:rPr>
          <w:rFonts w:cstheme="minorHAnsi"/>
        </w:rPr>
        <w:t>As such,</w:t>
      </w:r>
      <w:r w:rsidRPr="004C31CC">
        <w:rPr>
          <w:rFonts w:cstheme="minorHAnsi"/>
        </w:rPr>
        <w:t xml:space="preserve"> maintaining cultural practices, ties to community and Country, and ensuring family support</w:t>
      </w:r>
      <w:r w:rsidR="0092539A" w:rsidRPr="004C31CC">
        <w:rPr>
          <w:rFonts w:cstheme="minorHAnsi"/>
        </w:rPr>
        <w:t xml:space="preserve"> </w:t>
      </w:r>
      <w:r w:rsidRPr="004C31CC">
        <w:rPr>
          <w:rFonts w:cstheme="minorHAnsi"/>
        </w:rPr>
        <w:t xml:space="preserve">can play a crucial role in promoting the wellbeing of mothers, babies and children </w:t>
      </w:r>
      <w:r w:rsidR="00E95E79" w:rsidRPr="004C31CC">
        <w:rPr>
          <w:rFonts w:cstheme="minorHAnsi"/>
        </w:rPr>
        <w:t>(AIHW 2024a; Dudgeon et al. 2014; Healing Foundation 2020)</w:t>
      </w:r>
      <w:r w:rsidRPr="004C31CC">
        <w:rPr>
          <w:rFonts w:cstheme="minorHAnsi"/>
        </w:rPr>
        <w:t>.</w:t>
      </w:r>
      <w:r w:rsidRPr="004C31CC">
        <w:rPr>
          <w:rFonts w:cstheme="minorHAnsi"/>
          <w:color w:val="FF0000"/>
        </w:rPr>
        <w:t xml:space="preserve"> </w:t>
      </w:r>
    </w:p>
    <w:p w14:paraId="161E8C1C" w14:textId="07D59262" w:rsidR="006C7315" w:rsidRPr="004C31CC" w:rsidRDefault="006C7315" w:rsidP="006C7315">
      <w:pPr>
        <w:pStyle w:val="BodyText"/>
        <w:rPr>
          <w:rFonts w:cstheme="minorHAnsi"/>
        </w:rPr>
      </w:pPr>
      <w:r w:rsidRPr="004C31CC">
        <w:rPr>
          <w:rFonts w:cstheme="minorHAnsi"/>
        </w:rPr>
        <w:t xml:space="preserve">The unique protective factors found in Aboriginal and Torres Strait Islander cultures such as connection to land, spirituality, ancestry, family and community are sources of strength and resilience </w:t>
      </w:r>
      <w:r w:rsidR="00704E7F" w:rsidRPr="004C31CC">
        <w:rPr>
          <w:rFonts w:cstheme="minorHAnsi"/>
        </w:rPr>
        <w:t>(Dudgeon et al. 2014; Sutherland and Adams 2019)</w:t>
      </w:r>
      <w:r w:rsidRPr="004C31CC">
        <w:rPr>
          <w:rFonts w:cstheme="minorHAnsi"/>
        </w:rPr>
        <w:t>. Strengthening and restoring protective factors can improve health outcomes and the social and emotional wellbeing of Aboriginal and Torres Strait Islander people (</w:t>
      </w:r>
      <w:r w:rsidR="00047644">
        <w:rPr>
          <w:rFonts w:cstheme="minorHAnsi"/>
        </w:rPr>
        <w:t>Dudgeon</w:t>
      </w:r>
      <w:r w:rsidRPr="004C31CC">
        <w:rPr>
          <w:rFonts w:cstheme="minorHAnsi"/>
        </w:rPr>
        <w:t xml:space="preserve"> et al. 2014; Kelly 2009). </w:t>
      </w:r>
    </w:p>
    <w:tbl>
      <w:tblPr>
        <w:tblStyle w:val="Boxtable"/>
        <w:tblW w:w="5000" w:type="pct"/>
        <w:tblLook w:val="04A0" w:firstRow="1" w:lastRow="0" w:firstColumn="1" w:lastColumn="0" w:noHBand="0" w:noVBand="1"/>
      </w:tblPr>
      <w:tblGrid>
        <w:gridCol w:w="9638"/>
      </w:tblGrid>
      <w:tr w:rsidR="00A51E7A" w:rsidRPr="007B3DCE" w14:paraId="5341EE79" w14:textId="77777777" w:rsidTr="00030340">
        <w:trPr>
          <w:trHeight w:val="476"/>
          <w:tblHeader/>
        </w:trPr>
        <w:tc>
          <w:tcPr>
            <w:tcW w:w="9638" w:type="dxa"/>
            <w:shd w:val="clear" w:color="auto" w:fill="3B2A1C" w:themeFill="background1" w:themeFillShade="80"/>
            <w:tcMar>
              <w:top w:w="170" w:type="dxa"/>
              <w:left w:w="170" w:type="dxa"/>
              <w:bottom w:w="113" w:type="dxa"/>
              <w:right w:w="170" w:type="dxa"/>
            </w:tcMar>
            <w:vAlign w:val="center"/>
            <w:hideMark/>
          </w:tcPr>
          <w:p w14:paraId="79C9F17B" w14:textId="506EA81B" w:rsidR="00A51E7A" w:rsidRPr="007B3DCE" w:rsidRDefault="00A51E7A" w:rsidP="001D218F">
            <w:pPr>
              <w:pStyle w:val="BoxHeading1"/>
              <w:spacing w:before="0"/>
            </w:pPr>
            <w:bookmarkStart w:id="17" w:name="_Toc167878543"/>
            <w:r w:rsidRPr="007B3DCE">
              <w:rPr>
                <w:color w:val="FFFFFF"/>
              </w:rPr>
              <w:lastRenderedPageBreak/>
              <w:t>Box 2.</w:t>
            </w:r>
            <w:r w:rsidR="00D92CF2">
              <w:rPr>
                <w:color w:val="FFFFFF"/>
              </w:rPr>
              <w:t>1</w:t>
            </w:r>
            <w:r w:rsidR="000C089F">
              <w:rPr>
                <w:color w:val="FFFFFF"/>
              </w:rPr>
              <w:t xml:space="preserve"> </w:t>
            </w:r>
            <w:r w:rsidRPr="007B3DCE">
              <w:rPr>
                <w:color w:val="FFFFFF"/>
              </w:rPr>
              <w:t>– What data will you find in this section?</w:t>
            </w:r>
          </w:p>
        </w:tc>
      </w:tr>
      <w:tr w:rsidR="00A51E7A" w:rsidRPr="007B3DCE" w14:paraId="4F3A4305" w14:textId="77777777" w:rsidTr="00510BAD">
        <w:tc>
          <w:tcPr>
            <w:tcW w:w="9638" w:type="dxa"/>
            <w:shd w:val="clear" w:color="auto" w:fill="E9DCD1" w:themeFill="background1" w:themeFillTint="33"/>
            <w:tcMar>
              <w:top w:w="28" w:type="dxa"/>
              <w:left w:w="170" w:type="dxa"/>
              <w:bottom w:w="170" w:type="dxa"/>
              <w:right w:w="170" w:type="dxa"/>
            </w:tcMar>
            <w:hideMark/>
          </w:tcPr>
          <w:p w14:paraId="23667C4A" w14:textId="2B62533C" w:rsidR="00A51E7A" w:rsidRPr="004C31CC" w:rsidRDefault="00A51E7A" w:rsidP="00B64DF5">
            <w:pPr>
              <w:pStyle w:val="ListBullet"/>
              <w:rPr>
                <w:rFonts w:cstheme="minorHAnsi"/>
              </w:rPr>
            </w:pPr>
            <w:r w:rsidRPr="004C31CC">
              <w:rPr>
                <w:rFonts w:cstheme="minorHAnsi"/>
              </w:rPr>
              <w:t xml:space="preserve">This section provides a snapshot of the latest data available in 2024 for socio-economic outcomes </w:t>
            </w:r>
            <w:r w:rsidR="00745A16" w:rsidRPr="004C31CC">
              <w:rPr>
                <w:rFonts w:cstheme="minorHAnsi"/>
              </w:rPr>
              <w:t>1</w:t>
            </w:r>
            <w:r w:rsidRPr="004C31CC">
              <w:rPr>
                <w:rFonts w:cstheme="minorHAnsi"/>
              </w:rPr>
              <w:t>,</w:t>
            </w:r>
            <w:r w:rsidR="002663BA" w:rsidRPr="004C31CC">
              <w:rPr>
                <w:rFonts w:cstheme="minorHAnsi"/>
              </w:rPr>
              <w:t> </w:t>
            </w:r>
            <w:r w:rsidR="00745A16" w:rsidRPr="004C31CC">
              <w:rPr>
                <w:rFonts w:cstheme="minorHAnsi"/>
              </w:rPr>
              <w:t>2</w:t>
            </w:r>
            <w:r w:rsidRPr="004C31CC">
              <w:rPr>
                <w:rFonts w:cstheme="minorHAnsi"/>
              </w:rPr>
              <w:t>,</w:t>
            </w:r>
            <w:r w:rsidR="002663BA" w:rsidRPr="004C31CC">
              <w:rPr>
                <w:rFonts w:cstheme="minorHAnsi"/>
              </w:rPr>
              <w:t> </w:t>
            </w:r>
            <w:r w:rsidR="00745A16" w:rsidRPr="004C31CC">
              <w:rPr>
                <w:rFonts w:cstheme="minorHAnsi"/>
              </w:rPr>
              <w:t>4</w:t>
            </w:r>
            <w:r w:rsidR="002663BA" w:rsidRPr="004C31CC">
              <w:rPr>
                <w:rFonts w:cstheme="minorHAnsi"/>
              </w:rPr>
              <w:t> </w:t>
            </w:r>
            <w:r w:rsidRPr="004C31CC">
              <w:rPr>
                <w:rFonts w:cstheme="minorHAnsi"/>
              </w:rPr>
              <w:t xml:space="preserve">and </w:t>
            </w:r>
            <w:r w:rsidR="00745A16" w:rsidRPr="004C31CC">
              <w:rPr>
                <w:rFonts w:cstheme="minorHAnsi"/>
              </w:rPr>
              <w:t>14</w:t>
            </w:r>
            <w:r w:rsidRPr="004C31CC">
              <w:rPr>
                <w:rFonts w:cstheme="minorHAnsi"/>
              </w:rPr>
              <w:t xml:space="preserve">. </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DCD1" w:themeFill="background1" w:themeFillTint="33"/>
              <w:tblLook w:val="04A0" w:firstRow="1" w:lastRow="0" w:firstColumn="1" w:lastColumn="0" w:noHBand="0" w:noVBand="1"/>
            </w:tblPr>
            <w:tblGrid>
              <w:gridCol w:w="7058"/>
              <w:gridCol w:w="2013"/>
            </w:tblGrid>
            <w:tr w:rsidR="0071503D" w:rsidRPr="004C31CC" w14:paraId="2319A834" w14:textId="77777777" w:rsidTr="000C089F">
              <w:trPr>
                <w:trHeight w:val="420"/>
              </w:trPr>
              <w:tc>
                <w:tcPr>
                  <w:tcW w:w="7058" w:type="dxa"/>
                  <w:shd w:val="clear" w:color="auto" w:fill="E9DCD1" w:themeFill="background1" w:themeFillTint="33"/>
                  <w:vAlign w:val="center"/>
                </w:tcPr>
                <w:p w14:paraId="26E41379" w14:textId="77777777" w:rsidR="0071503D" w:rsidRPr="004C31CC" w:rsidRDefault="0071503D" w:rsidP="0071503D">
                  <w:pPr>
                    <w:rPr>
                      <w:rFonts w:cstheme="minorHAnsi"/>
                      <w:b/>
                      <w:bCs/>
                    </w:rPr>
                  </w:pPr>
                  <w:r w:rsidRPr="004C31CC">
                    <w:rPr>
                      <w:rFonts w:cstheme="minorHAnsi"/>
                      <w:b/>
                      <w:bCs/>
                    </w:rPr>
                    <w:t>Outcome</w:t>
                  </w:r>
                </w:p>
              </w:tc>
              <w:tc>
                <w:tcPr>
                  <w:tcW w:w="2013" w:type="dxa"/>
                  <w:shd w:val="clear" w:color="auto" w:fill="E9DCD1" w:themeFill="background1" w:themeFillTint="33"/>
                </w:tcPr>
                <w:p w14:paraId="16CBCA39" w14:textId="0AC9A648" w:rsidR="0071503D" w:rsidRPr="004C31CC" w:rsidRDefault="0071503D" w:rsidP="00A14718">
                  <w:pPr>
                    <w:jc w:val="right"/>
                    <w:rPr>
                      <w:rFonts w:cstheme="minorHAnsi"/>
                      <w:b/>
                    </w:rPr>
                  </w:pPr>
                  <w:r w:rsidRPr="004C31CC">
                    <w:rPr>
                      <w:rFonts w:cstheme="minorHAnsi"/>
                      <w:b/>
                      <w:bCs/>
                    </w:rPr>
                    <w:t>Latest data</w:t>
                  </w:r>
                </w:p>
              </w:tc>
            </w:tr>
            <w:tr w:rsidR="0071503D" w:rsidRPr="004C31CC" w14:paraId="21861909" w14:textId="77777777" w:rsidTr="000C089F">
              <w:trPr>
                <w:trHeight w:val="300"/>
              </w:trPr>
              <w:tc>
                <w:tcPr>
                  <w:tcW w:w="7058" w:type="dxa"/>
                  <w:shd w:val="clear" w:color="auto" w:fill="E9DCD1" w:themeFill="background1" w:themeFillTint="33"/>
                </w:tcPr>
                <w:p w14:paraId="3F67BB82" w14:textId="6D6F0528" w:rsidR="0071503D" w:rsidRPr="004C31CC" w:rsidRDefault="0071503D" w:rsidP="005C1A9D">
                  <w:pPr>
                    <w:rPr>
                      <w:rFonts w:cstheme="minorHAnsi"/>
                    </w:rPr>
                  </w:pPr>
                  <w:r w:rsidRPr="004C31CC">
                    <w:rPr>
                      <w:rFonts w:cstheme="minorHAnsi"/>
                      <w:b/>
                      <w:bCs/>
                    </w:rPr>
                    <w:t xml:space="preserve">Outcome 1: </w:t>
                  </w:r>
                  <w:r w:rsidRPr="004C31CC">
                    <w:rPr>
                      <w:rFonts w:cstheme="minorHAnsi"/>
                    </w:rPr>
                    <w:t>Aboriginal and Torres Strait Islander people enjoying long and healthy lives</w:t>
                  </w:r>
                </w:p>
              </w:tc>
              <w:tc>
                <w:tcPr>
                  <w:tcW w:w="2013" w:type="dxa"/>
                  <w:shd w:val="clear" w:color="auto" w:fill="E9DCD1" w:themeFill="background1" w:themeFillTint="33"/>
                </w:tcPr>
                <w:p w14:paraId="09912D5E" w14:textId="51FDAB5D" w:rsidR="0071503D" w:rsidRPr="004C31CC" w:rsidRDefault="0071503D" w:rsidP="00A14718">
                  <w:pPr>
                    <w:jc w:val="right"/>
                    <w:rPr>
                      <w:rFonts w:cstheme="minorHAnsi"/>
                    </w:rPr>
                  </w:pPr>
                </w:p>
              </w:tc>
            </w:tr>
            <w:tr w:rsidR="00A02ED8" w:rsidRPr="004C31CC" w14:paraId="47826109" w14:textId="77777777" w:rsidTr="000C089F">
              <w:trPr>
                <w:trHeight w:val="283"/>
              </w:trPr>
              <w:tc>
                <w:tcPr>
                  <w:tcW w:w="7058" w:type="dxa"/>
                  <w:shd w:val="clear" w:color="auto" w:fill="E9DCD1" w:themeFill="background1" w:themeFillTint="33"/>
                </w:tcPr>
                <w:p w14:paraId="2A1B9601" w14:textId="77777777" w:rsidR="00400BBF" w:rsidRPr="004C31CC" w:rsidRDefault="00400BBF" w:rsidP="0089760C">
                  <w:pPr>
                    <w:pStyle w:val="ListBullet"/>
                    <w:numPr>
                      <w:ilvl w:val="0"/>
                      <w:numId w:val="17"/>
                    </w:numPr>
                    <w:ind w:left="227" w:hanging="227"/>
                  </w:pPr>
                  <w:r w:rsidRPr="004C31CC">
                    <w:t>Life expectancy (Target 1)*</w:t>
                  </w:r>
                </w:p>
                <w:p w14:paraId="7F567415" w14:textId="77777777" w:rsidR="00400BBF" w:rsidRPr="004C31CC" w:rsidRDefault="00400BBF" w:rsidP="0089760C">
                  <w:pPr>
                    <w:pStyle w:val="ListBullet"/>
                    <w:numPr>
                      <w:ilvl w:val="0"/>
                      <w:numId w:val="17"/>
                    </w:numPr>
                    <w:ind w:left="227" w:hanging="227"/>
                  </w:pPr>
                  <w:r w:rsidRPr="004C31CC">
                    <w:t>Leading causes of death (1b)*</w:t>
                  </w:r>
                </w:p>
                <w:p w14:paraId="32B05406" w14:textId="77777777" w:rsidR="00400BBF" w:rsidRDefault="00400BBF" w:rsidP="0089760C">
                  <w:pPr>
                    <w:pStyle w:val="ListBullet"/>
                    <w:numPr>
                      <w:ilvl w:val="0"/>
                      <w:numId w:val="17"/>
                    </w:numPr>
                    <w:ind w:left="227" w:hanging="227"/>
                  </w:pPr>
                  <w:r w:rsidRPr="004C31CC">
                    <w:t>Health risk factors (1d)**</w:t>
                  </w:r>
                </w:p>
                <w:p w14:paraId="70A17BF5" w14:textId="0FA19E2F" w:rsidR="00A02ED8" w:rsidRPr="00400BBF" w:rsidRDefault="00400BBF" w:rsidP="0089760C">
                  <w:pPr>
                    <w:pStyle w:val="ListBullet"/>
                    <w:numPr>
                      <w:ilvl w:val="0"/>
                      <w:numId w:val="17"/>
                    </w:numPr>
                    <w:ind w:left="227" w:hanging="227"/>
                  </w:pPr>
                  <w:r w:rsidRPr="0044480F">
                    <w:t>Access/use of health services (1e)*</w:t>
                  </w:r>
                </w:p>
              </w:tc>
              <w:tc>
                <w:tcPr>
                  <w:tcW w:w="2013" w:type="dxa"/>
                  <w:shd w:val="clear" w:color="auto" w:fill="E9DCD1" w:themeFill="background1" w:themeFillTint="33"/>
                </w:tcPr>
                <w:p w14:paraId="3BDB1EDD" w14:textId="04CAEA5F" w:rsidR="00A02ED8" w:rsidRPr="004C31CC" w:rsidRDefault="009319FD" w:rsidP="009F696E">
                  <w:pPr>
                    <w:spacing w:after="0" w:line="276" w:lineRule="auto"/>
                    <w:jc w:val="right"/>
                    <w:rPr>
                      <w:rFonts w:cstheme="minorHAnsi"/>
                    </w:rPr>
                  </w:pPr>
                  <w:r w:rsidRPr="004C31CC">
                    <w:rPr>
                      <w:rFonts w:cstheme="minorHAnsi"/>
                    </w:rPr>
                    <w:t>2020</w:t>
                  </w:r>
                  <w:r w:rsidR="00B47A85" w:rsidRPr="004C31CC">
                    <w:rPr>
                      <w:rFonts w:cstheme="minorHAnsi"/>
                    </w:rPr>
                    <w:t>–</w:t>
                  </w:r>
                  <w:r w:rsidRPr="004C31CC">
                    <w:rPr>
                      <w:rFonts w:cstheme="minorHAnsi"/>
                    </w:rPr>
                    <w:t>22</w:t>
                  </w:r>
                </w:p>
                <w:p w14:paraId="5AC347F4" w14:textId="1DB12FC1" w:rsidR="009319FD" w:rsidRPr="004C31CC" w:rsidRDefault="009319FD" w:rsidP="00A14718">
                  <w:pPr>
                    <w:spacing w:before="0" w:after="0" w:line="276" w:lineRule="auto"/>
                    <w:jc w:val="right"/>
                    <w:rPr>
                      <w:rFonts w:cstheme="minorHAnsi"/>
                    </w:rPr>
                  </w:pPr>
                  <w:r w:rsidRPr="004C31CC">
                    <w:rPr>
                      <w:rFonts w:cstheme="minorHAnsi"/>
                    </w:rPr>
                    <w:t>2018</w:t>
                  </w:r>
                  <w:r w:rsidR="00B47A85" w:rsidRPr="004C31CC">
                    <w:rPr>
                      <w:rFonts w:cstheme="minorHAnsi"/>
                    </w:rPr>
                    <w:t>–</w:t>
                  </w:r>
                  <w:r w:rsidRPr="004C31CC">
                    <w:rPr>
                      <w:rFonts w:cstheme="minorHAnsi"/>
                    </w:rPr>
                    <w:t>22</w:t>
                  </w:r>
                </w:p>
                <w:p w14:paraId="59F0BC93" w14:textId="47F7E8D7" w:rsidR="009319FD" w:rsidRPr="004C31CC" w:rsidRDefault="009319FD" w:rsidP="00A14718">
                  <w:pPr>
                    <w:spacing w:before="0" w:after="0" w:line="276" w:lineRule="auto"/>
                    <w:jc w:val="right"/>
                    <w:rPr>
                      <w:rFonts w:cstheme="minorHAnsi"/>
                    </w:rPr>
                  </w:pPr>
                  <w:r w:rsidRPr="004C31CC">
                    <w:rPr>
                      <w:rFonts w:cstheme="minorHAnsi"/>
                    </w:rPr>
                    <w:t>2018-19</w:t>
                  </w:r>
                </w:p>
                <w:p w14:paraId="7E1D5CE9" w14:textId="6A8077BF" w:rsidR="009319FD" w:rsidRPr="004C31CC" w:rsidDel="003D63A6" w:rsidRDefault="007230CA" w:rsidP="00A14718">
                  <w:pPr>
                    <w:spacing w:before="0" w:after="0" w:line="276" w:lineRule="auto"/>
                    <w:jc w:val="right"/>
                    <w:rPr>
                      <w:rFonts w:cstheme="minorHAnsi"/>
                    </w:rPr>
                  </w:pPr>
                  <w:r w:rsidRPr="004C31CC">
                    <w:rPr>
                      <w:rFonts w:cstheme="minorHAnsi"/>
                    </w:rPr>
                    <w:t>2022-23</w:t>
                  </w:r>
                </w:p>
              </w:tc>
            </w:tr>
            <w:tr w:rsidR="0071503D" w:rsidRPr="004C31CC" w14:paraId="6440CE65" w14:textId="77777777" w:rsidTr="000C089F">
              <w:trPr>
                <w:trHeight w:val="300"/>
              </w:trPr>
              <w:tc>
                <w:tcPr>
                  <w:tcW w:w="7058" w:type="dxa"/>
                  <w:shd w:val="clear" w:color="auto" w:fill="E9DCD1" w:themeFill="background1" w:themeFillTint="33"/>
                </w:tcPr>
                <w:p w14:paraId="4A594418" w14:textId="11890675" w:rsidR="0071503D" w:rsidRPr="004C31CC" w:rsidRDefault="0071503D" w:rsidP="005C1A9D">
                  <w:pPr>
                    <w:rPr>
                      <w:rFonts w:cstheme="minorHAnsi"/>
                    </w:rPr>
                  </w:pPr>
                  <w:r w:rsidRPr="004C31CC">
                    <w:rPr>
                      <w:rFonts w:cstheme="minorHAnsi"/>
                      <w:b/>
                      <w:bCs/>
                    </w:rPr>
                    <w:t>Outcome 2:</w:t>
                  </w:r>
                  <w:r w:rsidRPr="004C31CC">
                    <w:rPr>
                      <w:rFonts w:cstheme="minorHAnsi"/>
                    </w:rPr>
                    <w:t xml:space="preserve"> Aboriginal and Torres Strait Islander children being born healthy and strong</w:t>
                  </w:r>
                </w:p>
              </w:tc>
              <w:tc>
                <w:tcPr>
                  <w:tcW w:w="2013" w:type="dxa"/>
                  <w:shd w:val="clear" w:color="auto" w:fill="E9DCD1" w:themeFill="background1" w:themeFillTint="33"/>
                </w:tcPr>
                <w:p w14:paraId="5D96261B" w14:textId="3F46C3F5" w:rsidR="0071503D" w:rsidRPr="004C31CC" w:rsidRDefault="0071503D" w:rsidP="00A14718">
                  <w:pPr>
                    <w:jc w:val="right"/>
                    <w:rPr>
                      <w:rFonts w:cstheme="minorHAnsi"/>
                    </w:rPr>
                  </w:pPr>
                </w:p>
              </w:tc>
            </w:tr>
            <w:tr w:rsidR="00BD74C2" w:rsidRPr="004C31CC" w14:paraId="55255803" w14:textId="77777777" w:rsidTr="000C089F">
              <w:trPr>
                <w:trHeight w:val="300"/>
              </w:trPr>
              <w:tc>
                <w:tcPr>
                  <w:tcW w:w="7058" w:type="dxa"/>
                  <w:shd w:val="clear" w:color="auto" w:fill="E9DCD1" w:themeFill="background1" w:themeFillTint="33"/>
                </w:tcPr>
                <w:p w14:paraId="0287C757" w14:textId="77777777" w:rsidR="00BD74C2" w:rsidRPr="00400BBF" w:rsidRDefault="00BD74C2" w:rsidP="0089760C">
                  <w:pPr>
                    <w:pStyle w:val="ListBullet"/>
                    <w:numPr>
                      <w:ilvl w:val="0"/>
                      <w:numId w:val="17"/>
                    </w:numPr>
                    <w:ind w:left="227" w:hanging="227"/>
                  </w:pPr>
                  <w:r w:rsidRPr="00400BBF">
                    <w:t>Healthy birthweight (Target 2)*</w:t>
                  </w:r>
                </w:p>
                <w:p w14:paraId="2DF7010A" w14:textId="77777777" w:rsidR="00BD74C2" w:rsidRPr="00400BBF" w:rsidRDefault="00BD74C2" w:rsidP="0089760C">
                  <w:pPr>
                    <w:pStyle w:val="ListBullet"/>
                    <w:numPr>
                      <w:ilvl w:val="0"/>
                      <w:numId w:val="17"/>
                    </w:numPr>
                    <w:ind w:left="227" w:hanging="227"/>
                  </w:pPr>
                  <w:r w:rsidRPr="00400BBF">
                    <w:t>Mothers who smoke during pregnancy (2a)**</w:t>
                  </w:r>
                </w:p>
                <w:p w14:paraId="252C5961" w14:textId="77EFAB75" w:rsidR="00BD74C2" w:rsidRPr="004C31CC" w:rsidRDefault="00BD74C2" w:rsidP="0089760C">
                  <w:pPr>
                    <w:pStyle w:val="ListBullet"/>
                    <w:numPr>
                      <w:ilvl w:val="0"/>
                      <w:numId w:val="17"/>
                    </w:numPr>
                    <w:ind w:left="227" w:hanging="227"/>
                    <w:rPr>
                      <w:rFonts w:cstheme="minorHAnsi"/>
                      <w:b/>
                      <w:bCs/>
                    </w:rPr>
                  </w:pPr>
                  <w:r w:rsidRPr="00400BBF">
                    <w:t>Use of antenatal care (2d)*</w:t>
                  </w:r>
                </w:p>
              </w:tc>
              <w:tc>
                <w:tcPr>
                  <w:tcW w:w="2013" w:type="dxa"/>
                  <w:shd w:val="clear" w:color="auto" w:fill="E9DCD1" w:themeFill="background1" w:themeFillTint="33"/>
                </w:tcPr>
                <w:p w14:paraId="164D0950" w14:textId="77777777" w:rsidR="00BD74C2" w:rsidRPr="004C31CC" w:rsidRDefault="00BD74C2" w:rsidP="00A14718">
                  <w:pPr>
                    <w:spacing w:line="240" w:lineRule="auto"/>
                    <w:jc w:val="right"/>
                    <w:rPr>
                      <w:rFonts w:cstheme="minorHAnsi"/>
                    </w:rPr>
                  </w:pPr>
                  <w:r w:rsidRPr="004C31CC">
                    <w:rPr>
                      <w:rFonts w:cstheme="minorHAnsi"/>
                    </w:rPr>
                    <w:t>2021</w:t>
                  </w:r>
                </w:p>
                <w:p w14:paraId="229DC433" w14:textId="77777777" w:rsidR="00BD74C2" w:rsidRPr="004C31CC" w:rsidRDefault="00BD74C2" w:rsidP="00A14718">
                  <w:pPr>
                    <w:spacing w:line="240" w:lineRule="auto"/>
                    <w:jc w:val="right"/>
                    <w:rPr>
                      <w:rFonts w:cstheme="minorHAnsi"/>
                    </w:rPr>
                  </w:pPr>
                  <w:r w:rsidRPr="004C31CC">
                    <w:rPr>
                      <w:rFonts w:cstheme="minorHAnsi"/>
                    </w:rPr>
                    <w:t>2021</w:t>
                  </w:r>
                </w:p>
                <w:p w14:paraId="316D9CCE" w14:textId="632572B6" w:rsidR="00BD74C2" w:rsidRPr="004C31CC" w:rsidRDefault="00BD74C2" w:rsidP="00A14718">
                  <w:pPr>
                    <w:spacing w:line="240" w:lineRule="auto"/>
                    <w:jc w:val="right"/>
                    <w:rPr>
                      <w:rFonts w:cstheme="minorHAnsi"/>
                    </w:rPr>
                  </w:pPr>
                  <w:r w:rsidRPr="004C31CC">
                    <w:rPr>
                      <w:rFonts w:cstheme="minorHAnsi"/>
                    </w:rPr>
                    <w:t>2021</w:t>
                  </w:r>
                </w:p>
              </w:tc>
            </w:tr>
            <w:tr w:rsidR="0071503D" w:rsidRPr="004C31CC" w14:paraId="177B19F5" w14:textId="77777777" w:rsidTr="000C089F">
              <w:trPr>
                <w:trHeight w:val="300"/>
              </w:trPr>
              <w:tc>
                <w:tcPr>
                  <w:tcW w:w="7058" w:type="dxa"/>
                  <w:shd w:val="clear" w:color="auto" w:fill="E9DCD1" w:themeFill="background1" w:themeFillTint="33"/>
                </w:tcPr>
                <w:p w14:paraId="604ED32D" w14:textId="7ED2AC53" w:rsidR="0071503D" w:rsidRPr="004C31CC" w:rsidRDefault="0071503D" w:rsidP="005C1A9D">
                  <w:pPr>
                    <w:rPr>
                      <w:rFonts w:cstheme="minorHAnsi"/>
                    </w:rPr>
                  </w:pPr>
                  <w:r w:rsidRPr="004C31CC">
                    <w:rPr>
                      <w:rFonts w:cstheme="minorHAnsi"/>
                      <w:b/>
                      <w:bCs/>
                    </w:rPr>
                    <w:t>Outcome 4:</w:t>
                  </w:r>
                  <w:r w:rsidRPr="004C31CC">
                    <w:rPr>
                      <w:rFonts w:cstheme="minorHAnsi"/>
                    </w:rPr>
                    <w:t xml:space="preserve"> Aboriginal and Torres Strait Islander children thriving in their early years</w:t>
                  </w:r>
                </w:p>
              </w:tc>
              <w:tc>
                <w:tcPr>
                  <w:tcW w:w="2013" w:type="dxa"/>
                  <w:shd w:val="clear" w:color="auto" w:fill="E9DCD1" w:themeFill="background1" w:themeFillTint="33"/>
                </w:tcPr>
                <w:p w14:paraId="4B08463B" w14:textId="5251D85C" w:rsidR="0071503D" w:rsidRPr="004C31CC" w:rsidRDefault="0071503D" w:rsidP="00A14718">
                  <w:pPr>
                    <w:jc w:val="right"/>
                    <w:rPr>
                      <w:rFonts w:cstheme="minorHAnsi"/>
                    </w:rPr>
                  </w:pPr>
                </w:p>
              </w:tc>
            </w:tr>
            <w:tr w:rsidR="00B47A85" w:rsidRPr="004C31CC" w14:paraId="02442FD4" w14:textId="77777777" w:rsidTr="000C089F">
              <w:trPr>
                <w:trHeight w:val="300"/>
              </w:trPr>
              <w:tc>
                <w:tcPr>
                  <w:tcW w:w="7058" w:type="dxa"/>
                  <w:shd w:val="clear" w:color="auto" w:fill="E9DCD1" w:themeFill="background1" w:themeFillTint="33"/>
                </w:tcPr>
                <w:p w14:paraId="0762E717" w14:textId="2BE9137A" w:rsidR="00B47A85" w:rsidRPr="004C31CC" w:rsidRDefault="00B47A85" w:rsidP="0089760C">
                  <w:pPr>
                    <w:pStyle w:val="ListBullet"/>
                    <w:numPr>
                      <w:ilvl w:val="0"/>
                      <w:numId w:val="17"/>
                    </w:numPr>
                    <w:ind w:left="227" w:hanging="227"/>
                    <w:rPr>
                      <w:rFonts w:cstheme="minorHAnsi"/>
                      <w:b/>
                      <w:bCs/>
                    </w:rPr>
                  </w:pPr>
                  <w:r w:rsidRPr="00704B84">
                    <w:t>Childhood development (Target 4)</w:t>
                  </w:r>
                </w:p>
              </w:tc>
              <w:tc>
                <w:tcPr>
                  <w:tcW w:w="2013" w:type="dxa"/>
                  <w:shd w:val="clear" w:color="auto" w:fill="E9DCD1" w:themeFill="background1" w:themeFillTint="33"/>
                </w:tcPr>
                <w:p w14:paraId="784821C3" w14:textId="1DB0C0F3" w:rsidR="00B47A85" w:rsidRPr="004C31CC" w:rsidRDefault="00B47A85" w:rsidP="00A14718">
                  <w:pPr>
                    <w:jc w:val="right"/>
                    <w:rPr>
                      <w:rFonts w:cstheme="minorHAnsi"/>
                    </w:rPr>
                  </w:pPr>
                  <w:r w:rsidRPr="004C31CC">
                    <w:rPr>
                      <w:rFonts w:cstheme="minorHAnsi"/>
                    </w:rPr>
                    <w:t>2021</w:t>
                  </w:r>
                </w:p>
              </w:tc>
            </w:tr>
            <w:tr w:rsidR="002E2079" w:rsidRPr="004C31CC" w14:paraId="2C74838B" w14:textId="77777777" w:rsidTr="000C089F">
              <w:trPr>
                <w:trHeight w:val="692"/>
              </w:trPr>
              <w:tc>
                <w:tcPr>
                  <w:tcW w:w="7058" w:type="dxa"/>
                  <w:shd w:val="clear" w:color="auto" w:fill="E9DCD1" w:themeFill="background1" w:themeFillTint="33"/>
                </w:tcPr>
                <w:p w14:paraId="64DEAB1D" w14:textId="7849BDEF" w:rsidR="0071503D" w:rsidRPr="004C31CC" w:rsidRDefault="0071503D" w:rsidP="005C1A9D">
                  <w:pPr>
                    <w:rPr>
                      <w:rFonts w:cstheme="minorHAnsi"/>
                    </w:rPr>
                  </w:pPr>
                  <w:r w:rsidRPr="004C31CC">
                    <w:rPr>
                      <w:rFonts w:cstheme="minorHAnsi"/>
                      <w:b/>
                      <w:bCs/>
                    </w:rPr>
                    <w:t>Outcome 14:</w:t>
                  </w:r>
                  <w:r w:rsidRPr="004C31CC">
                    <w:rPr>
                      <w:rFonts w:cstheme="minorHAnsi"/>
                    </w:rPr>
                    <w:t xml:space="preserve"> Aboriginal and Torres Strait Islander people enjoying high levels of social and emotional wellbeing</w:t>
                  </w:r>
                </w:p>
              </w:tc>
              <w:tc>
                <w:tcPr>
                  <w:tcW w:w="2013" w:type="dxa"/>
                  <w:shd w:val="clear" w:color="auto" w:fill="E9DCD1" w:themeFill="background1" w:themeFillTint="33"/>
                </w:tcPr>
                <w:p w14:paraId="4D5762C2" w14:textId="08864A75" w:rsidR="0071503D" w:rsidRPr="004C31CC" w:rsidRDefault="0071503D" w:rsidP="00A14718">
                  <w:pPr>
                    <w:jc w:val="right"/>
                    <w:rPr>
                      <w:rFonts w:cstheme="minorHAnsi"/>
                    </w:rPr>
                  </w:pPr>
                </w:p>
              </w:tc>
            </w:tr>
            <w:tr w:rsidR="00A23FB4" w:rsidRPr="004C31CC" w14:paraId="4C54D152" w14:textId="77777777" w:rsidTr="000C089F">
              <w:trPr>
                <w:trHeight w:val="996"/>
              </w:trPr>
              <w:tc>
                <w:tcPr>
                  <w:tcW w:w="7058" w:type="dxa"/>
                  <w:shd w:val="clear" w:color="auto" w:fill="E9DCD1" w:themeFill="background1" w:themeFillTint="33"/>
                </w:tcPr>
                <w:p w14:paraId="3A74B340" w14:textId="77777777" w:rsidR="00A23FB4" w:rsidRPr="007A63F5" w:rsidRDefault="00A23FB4" w:rsidP="0089760C">
                  <w:pPr>
                    <w:pStyle w:val="ListBullet"/>
                    <w:numPr>
                      <w:ilvl w:val="0"/>
                      <w:numId w:val="17"/>
                    </w:numPr>
                    <w:ind w:left="227" w:hanging="227"/>
                  </w:pPr>
                  <w:r w:rsidRPr="007A63F5">
                    <w:t>Suicide rates (Target 14)*</w:t>
                  </w:r>
                </w:p>
                <w:p w14:paraId="6DB1800C" w14:textId="2A0D80DB" w:rsidR="00A23FB4" w:rsidRPr="004C31CC" w:rsidRDefault="00A23FB4" w:rsidP="0089760C">
                  <w:pPr>
                    <w:pStyle w:val="ListBullet"/>
                    <w:numPr>
                      <w:ilvl w:val="0"/>
                      <w:numId w:val="17"/>
                    </w:numPr>
                    <w:ind w:left="227" w:hanging="227"/>
                    <w:rPr>
                      <w:rFonts w:cstheme="minorHAnsi"/>
                      <w:b/>
                      <w:bCs/>
                    </w:rPr>
                  </w:pPr>
                  <w:r w:rsidRPr="007A63F5">
                    <w:t>Experience of racism (14g)**</w:t>
                  </w:r>
                </w:p>
              </w:tc>
              <w:tc>
                <w:tcPr>
                  <w:tcW w:w="2013" w:type="dxa"/>
                  <w:shd w:val="clear" w:color="auto" w:fill="E9DCD1" w:themeFill="background1" w:themeFillTint="33"/>
                </w:tcPr>
                <w:p w14:paraId="329EFD16" w14:textId="77777777" w:rsidR="00A23FB4" w:rsidRPr="004C31CC" w:rsidRDefault="004B3F63" w:rsidP="008B3566">
                  <w:pPr>
                    <w:spacing w:after="0"/>
                    <w:jc w:val="right"/>
                    <w:rPr>
                      <w:rFonts w:cstheme="minorHAnsi"/>
                    </w:rPr>
                  </w:pPr>
                  <w:r w:rsidRPr="004C31CC">
                    <w:rPr>
                      <w:rFonts w:cstheme="minorHAnsi"/>
                    </w:rPr>
                    <w:t>2022</w:t>
                  </w:r>
                </w:p>
                <w:p w14:paraId="4D8A43B8" w14:textId="0E14CE90" w:rsidR="004B3F63" w:rsidRPr="004C31CC" w:rsidRDefault="004B3F63" w:rsidP="008B3566">
                  <w:pPr>
                    <w:spacing w:before="0"/>
                    <w:jc w:val="right"/>
                    <w:rPr>
                      <w:rFonts w:cstheme="minorHAnsi"/>
                    </w:rPr>
                  </w:pPr>
                  <w:r w:rsidRPr="004C31CC">
                    <w:rPr>
                      <w:rFonts w:cstheme="minorHAnsi"/>
                    </w:rPr>
                    <w:t>2022</w:t>
                  </w:r>
                </w:p>
              </w:tc>
            </w:tr>
            <w:tr w:rsidR="002E2079" w:rsidRPr="004C31CC" w14:paraId="25C09D49" w14:textId="77777777" w:rsidTr="000C089F">
              <w:trPr>
                <w:trHeight w:val="680"/>
              </w:trPr>
              <w:tc>
                <w:tcPr>
                  <w:tcW w:w="9071" w:type="dxa"/>
                  <w:gridSpan w:val="2"/>
                  <w:shd w:val="clear" w:color="auto" w:fill="E9DCD1" w:themeFill="background1" w:themeFillTint="33"/>
                </w:tcPr>
                <w:p w14:paraId="33BAF11C" w14:textId="5BAC8017" w:rsidR="002E2079" w:rsidRPr="001452AF" w:rsidRDefault="009C623E" w:rsidP="00521AE2">
                  <w:pPr>
                    <w:pStyle w:val="Note"/>
                    <w:rPr>
                      <w:rFonts w:cstheme="minorHAnsi"/>
                      <w:spacing w:val="-2"/>
                    </w:rPr>
                  </w:pPr>
                  <w:r w:rsidRPr="001452AF">
                    <w:rPr>
                      <w:rFonts w:cstheme="minorHAnsi"/>
                      <w:spacing w:val="-2"/>
                    </w:rPr>
                    <w:t>Note</w:t>
                  </w:r>
                  <w:r w:rsidR="00221C9E" w:rsidRPr="001452AF">
                    <w:rPr>
                      <w:rFonts w:cstheme="minorHAnsi"/>
                      <w:spacing w:val="-2"/>
                    </w:rPr>
                    <w:t>:</w:t>
                  </w:r>
                  <w:r w:rsidR="00127CA1" w:rsidRPr="001452AF">
                    <w:rPr>
                      <w:rFonts w:cstheme="minorHAnsi"/>
                      <w:spacing w:val="-2"/>
                    </w:rPr>
                    <w:t xml:space="preserve"> </w:t>
                  </w:r>
                  <w:r w:rsidR="00007536" w:rsidRPr="001452AF">
                    <w:rPr>
                      <w:rFonts w:cstheme="minorHAnsi"/>
                      <w:spacing w:val="-2"/>
                    </w:rPr>
                    <w:t xml:space="preserve">* </w:t>
                  </w:r>
                  <w:r w:rsidR="002E2079" w:rsidRPr="001452AF">
                    <w:rPr>
                      <w:rFonts w:cstheme="minorHAnsi"/>
                      <w:spacing w:val="-2"/>
                    </w:rPr>
                    <w:t>Indicates</w:t>
                  </w:r>
                  <w:r w:rsidR="00CD11DA" w:rsidRPr="001452AF">
                    <w:rPr>
                      <w:rFonts w:cstheme="minorHAnsi"/>
                      <w:spacing w:val="-2"/>
                    </w:rPr>
                    <w:t xml:space="preserve"> where</w:t>
                  </w:r>
                  <w:r w:rsidR="002E2079" w:rsidRPr="001452AF">
                    <w:rPr>
                      <w:rFonts w:cstheme="minorHAnsi"/>
                      <w:spacing w:val="-2"/>
                    </w:rPr>
                    <w:t xml:space="preserve"> </w:t>
                  </w:r>
                  <w:r w:rsidR="00173F53" w:rsidRPr="001452AF">
                    <w:rPr>
                      <w:rFonts w:cstheme="minorHAnsi"/>
                      <w:spacing w:val="-2"/>
                    </w:rPr>
                    <w:t xml:space="preserve">a </w:t>
                  </w:r>
                  <w:r w:rsidR="00734D4B" w:rsidRPr="001452AF">
                    <w:rPr>
                      <w:rFonts w:cstheme="minorHAnsi"/>
                      <w:spacing w:val="-2"/>
                    </w:rPr>
                    <w:t>new</w:t>
                  </w:r>
                  <w:r w:rsidR="00173F53" w:rsidRPr="001452AF">
                    <w:rPr>
                      <w:rFonts w:cstheme="minorHAnsi"/>
                      <w:spacing w:val="-2"/>
                    </w:rPr>
                    <w:t xml:space="preserve"> year of</w:t>
                  </w:r>
                  <w:r w:rsidR="00734D4B" w:rsidRPr="001452AF">
                    <w:rPr>
                      <w:rFonts w:cstheme="minorHAnsi"/>
                      <w:spacing w:val="-2"/>
                    </w:rPr>
                    <w:t xml:space="preserve"> data </w:t>
                  </w:r>
                  <w:r w:rsidR="00CD11DA" w:rsidRPr="001452AF">
                    <w:rPr>
                      <w:rFonts w:cstheme="minorHAnsi"/>
                      <w:spacing w:val="-2"/>
                    </w:rPr>
                    <w:t xml:space="preserve">has been published </w:t>
                  </w:r>
                  <w:r w:rsidR="00734D4B" w:rsidRPr="001452AF">
                    <w:rPr>
                      <w:rFonts w:cstheme="minorHAnsi"/>
                      <w:color w:val="000000"/>
                      <w:spacing w:val="-2"/>
                    </w:rPr>
                    <w:t>since the 2023 ADCR</w:t>
                  </w:r>
                  <w:r w:rsidR="00903980" w:rsidRPr="001452AF">
                    <w:rPr>
                      <w:rFonts w:cstheme="minorHAnsi"/>
                      <w:color w:val="000000"/>
                      <w:spacing w:val="-2"/>
                    </w:rPr>
                    <w:t xml:space="preserve">. </w:t>
                  </w:r>
                  <w:r w:rsidR="002E2079" w:rsidRPr="001452AF">
                    <w:rPr>
                      <w:rFonts w:cstheme="minorHAnsi"/>
                      <w:spacing w:val="-2"/>
                    </w:rPr>
                    <w:t xml:space="preserve">** Indicates a new </w:t>
                  </w:r>
                  <w:r w:rsidR="0093393C" w:rsidRPr="001452AF">
                    <w:rPr>
                      <w:rFonts w:cstheme="minorHAnsi"/>
                      <w:spacing w:val="-2"/>
                    </w:rPr>
                    <w:t>supporting indicator</w:t>
                  </w:r>
                  <w:r w:rsidR="00340032" w:rsidRPr="001452AF">
                    <w:rPr>
                      <w:rFonts w:cstheme="minorHAnsi"/>
                      <w:spacing w:val="-2"/>
                    </w:rPr>
                    <w:t xml:space="preserve"> </w:t>
                  </w:r>
                  <w:r w:rsidR="0033089C" w:rsidRPr="001452AF">
                    <w:rPr>
                      <w:rFonts w:cstheme="minorHAnsi"/>
                      <w:color w:val="000000"/>
                      <w:spacing w:val="-2"/>
                    </w:rPr>
                    <w:t>since the 2023 ADCR</w:t>
                  </w:r>
                  <w:r w:rsidR="00903980" w:rsidRPr="001452AF">
                    <w:rPr>
                      <w:rFonts w:cstheme="minorHAnsi"/>
                      <w:color w:val="000000"/>
                      <w:spacing w:val="-2"/>
                    </w:rPr>
                    <w:t xml:space="preserve">. </w:t>
                  </w:r>
                  <w:r w:rsidR="001F7E36" w:rsidRPr="001452AF">
                    <w:rPr>
                      <w:rFonts w:cstheme="minorHAnsi"/>
                      <w:color w:val="000000"/>
                      <w:spacing w:val="-2"/>
                    </w:rPr>
                    <w:t>Data considerations are provided in boxes 2.2</w:t>
                  </w:r>
                  <w:r w:rsidR="00D67FA7" w:rsidRPr="001452AF">
                    <w:rPr>
                      <w:rFonts w:cstheme="minorHAnsi"/>
                      <w:color w:val="000000"/>
                      <w:spacing w:val="-2"/>
                    </w:rPr>
                    <w:t xml:space="preserve"> and 2.3</w:t>
                  </w:r>
                  <w:r w:rsidR="00EE004C" w:rsidRPr="001452AF">
                    <w:rPr>
                      <w:rFonts w:cstheme="minorHAnsi"/>
                      <w:color w:val="000000"/>
                      <w:spacing w:val="-2"/>
                    </w:rPr>
                    <w:t xml:space="preserve"> in this section</w:t>
                  </w:r>
                  <w:r w:rsidR="00D67FA7" w:rsidRPr="001452AF">
                    <w:rPr>
                      <w:rFonts w:cstheme="minorHAnsi"/>
                      <w:color w:val="000000"/>
                      <w:spacing w:val="-2"/>
                    </w:rPr>
                    <w:t>.</w:t>
                  </w:r>
                </w:p>
              </w:tc>
            </w:tr>
          </w:tbl>
          <w:p w14:paraId="3C84D709" w14:textId="77777777" w:rsidR="00A51E7A" w:rsidRPr="007B3DCE" w:rsidRDefault="00A51E7A" w:rsidP="00C47986">
            <w:pPr>
              <w:pStyle w:val="ListBullet"/>
            </w:pPr>
          </w:p>
        </w:tc>
      </w:tr>
      <w:tr w:rsidR="00A51E7A" w:rsidRPr="007B3DCE" w14:paraId="2A2D2141" w14:textId="77777777">
        <w:trPr>
          <w:hidden/>
        </w:trPr>
        <w:tc>
          <w:tcPr>
            <w:tcW w:w="9638" w:type="dxa"/>
            <w:shd w:val="clear" w:color="auto" w:fill="auto"/>
            <w:tcMar>
              <w:top w:w="0" w:type="dxa"/>
              <w:left w:w="170" w:type="dxa"/>
              <w:bottom w:w="0" w:type="dxa"/>
              <w:right w:w="170" w:type="dxa"/>
            </w:tcMar>
          </w:tcPr>
          <w:p w14:paraId="0929F874" w14:textId="77777777" w:rsidR="00A51E7A" w:rsidRPr="007B3DCE" w:rsidRDefault="00A51E7A">
            <w:pPr>
              <w:pStyle w:val="BodyText"/>
              <w:spacing w:before="0" w:after="0" w:line="80" w:lineRule="atLeast"/>
              <w:rPr>
                <w:smallCaps/>
                <w:vanish/>
              </w:rPr>
            </w:pPr>
          </w:p>
        </w:tc>
      </w:tr>
    </w:tbl>
    <w:p w14:paraId="1D16C4F7" w14:textId="6EB5D412" w:rsidR="00A51E7A" w:rsidRPr="007B3DCE" w:rsidRDefault="00A51E7A">
      <w:pPr>
        <w:spacing w:before="0" w:after="160" w:line="259" w:lineRule="auto"/>
      </w:pPr>
    </w:p>
    <w:p w14:paraId="03878BA3" w14:textId="77777777" w:rsidR="00EE5FA9" w:rsidRDefault="00FE1358">
      <w:pPr>
        <w:spacing w:before="0" w:after="160" w:line="259" w:lineRule="auto"/>
        <w:sectPr w:rsidR="00EE5FA9" w:rsidSect="00590C9A">
          <w:headerReference w:type="default" r:id="rId39"/>
          <w:footerReference w:type="even" r:id="rId40"/>
          <w:footerReference w:type="default" r:id="rId41"/>
          <w:pgSz w:w="11906" w:h="16838" w:code="9"/>
          <w:pgMar w:top="1134" w:right="1134" w:bottom="1134" w:left="1134" w:header="794" w:footer="510" w:gutter="0"/>
          <w:pgNumType w:start="14"/>
          <w:cols w:space="708"/>
          <w:docGrid w:linePitch="360"/>
        </w:sectPr>
      </w:pPr>
      <w:r w:rsidRPr="007B3DCE">
        <w:br w:type="page"/>
      </w:r>
    </w:p>
    <w:p w14:paraId="4F24BB1E" w14:textId="513B17B5" w:rsidR="00C86A87" w:rsidRPr="007B3DCE" w:rsidRDefault="00C86A87" w:rsidP="00B66CC8">
      <w:pPr>
        <w:pStyle w:val="Heading3"/>
        <w:rPr>
          <w:color w:val="3B2A1C" w:themeColor="background1" w:themeShade="80"/>
        </w:rPr>
      </w:pPr>
      <w:r w:rsidRPr="007B3DCE">
        <w:rPr>
          <w:color w:val="3B2A1C" w:themeColor="background1" w:themeShade="80"/>
        </w:rPr>
        <w:lastRenderedPageBreak/>
        <w:t>Outcome 1</w:t>
      </w:r>
      <w:r w:rsidR="002F3D7A" w:rsidRPr="007B3DCE">
        <w:rPr>
          <w:color w:val="3B2A1C" w:themeColor="background1" w:themeShade="80"/>
        </w:rPr>
        <w:t>:</w:t>
      </w:r>
      <w:r w:rsidRPr="007B3DCE">
        <w:rPr>
          <w:color w:val="3B2A1C" w:themeColor="background1" w:themeShade="80"/>
        </w:rPr>
        <w:t xml:space="preserve"> Aboriginal and Torres Strait Islander people enjoy long and healthy lives</w:t>
      </w:r>
      <w:bookmarkEnd w:id="17"/>
    </w:p>
    <w:p w14:paraId="0B120EC5" w14:textId="2C7E7D5E" w:rsidR="00E26B59" w:rsidRDefault="009962E5" w:rsidP="00E93A6F">
      <w:pPr>
        <w:pStyle w:val="Heading4"/>
        <w:rPr>
          <w:color w:val="775538" w:themeColor="background1"/>
        </w:rPr>
      </w:pPr>
      <w:r>
        <w:rPr>
          <w:color w:val="775538" w:themeColor="background1"/>
        </w:rPr>
        <w:t xml:space="preserve">Life expectancy for </w:t>
      </w:r>
      <w:r w:rsidR="00C86A87" w:rsidRPr="007B3DCE">
        <w:rPr>
          <w:color w:val="775538" w:themeColor="background1"/>
        </w:rPr>
        <w:t xml:space="preserve">Aboriginal and Torres Strait Islander people </w:t>
      </w:r>
      <w:r w:rsidRPr="007B3DCE">
        <w:rPr>
          <w:color w:val="775538" w:themeColor="background1"/>
        </w:rPr>
        <w:t xml:space="preserve">is </w:t>
      </w:r>
      <w:r w:rsidR="005F6A70" w:rsidDel="00E93A6F">
        <w:rPr>
          <w:color w:val="775538" w:themeColor="background1"/>
        </w:rPr>
        <w:t xml:space="preserve">improving </w:t>
      </w:r>
      <w:r w:rsidR="005F6A70">
        <w:rPr>
          <w:color w:val="775538" w:themeColor="background1"/>
        </w:rPr>
        <w:t>but</w:t>
      </w:r>
      <w:r w:rsidR="00E93A6F">
        <w:rPr>
          <w:color w:val="775538" w:themeColor="background1"/>
        </w:rPr>
        <w:t xml:space="preserve"> the target</w:t>
      </w:r>
      <w:r w:rsidR="005F6A70">
        <w:rPr>
          <w:color w:val="775538" w:themeColor="background1"/>
        </w:rPr>
        <w:t xml:space="preserve"> </w:t>
      </w:r>
      <w:r w:rsidR="00387D18">
        <w:rPr>
          <w:color w:val="775538" w:themeColor="background1"/>
        </w:rPr>
        <w:t xml:space="preserve">to close the gap </w:t>
      </w:r>
      <w:r w:rsidR="00387D18" w:rsidRPr="007B3DCE">
        <w:rPr>
          <w:color w:val="775538" w:themeColor="background1"/>
        </w:rPr>
        <w:t>by 2031</w:t>
      </w:r>
      <w:r w:rsidR="00387D18">
        <w:rPr>
          <w:color w:val="775538" w:themeColor="background1"/>
        </w:rPr>
        <w:t xml:space="preserve"> </w:t>
      </w:r>
      <w:r w:rsidR="00E26B59" w:rsidRPr="007B3DCE">
        <w:rPr>
          <w:color w:val="775538" w:themeColor="background1"/>
        </w:rPr>
        <w:t xml:space="preserve">is </w:t>
      </w:r>
      <w:r w:rsidR="00E26B59">
        <w:rPr>
          <w:color w:val="775538" w:themeColor="background1"/>
        </w:rPr>
        <w:t>not on track to be met</w:t>
      </w:r>
      <w:r w:rsidR="00E26B59" w:rsidRPr="007B3DCE">
        <w:rPr>
          <w:color w:val="775538" w:themeColor="background1"/>
        </w:rPr>
        <w:t xml:space="preserve"> </w:t>
      </w:r>
    </w:p>
    <w:p w14:paraId="50053478" w14:textId="497508FB" w:rsidR="00751156" w:rsidRPr="007B3DCE" w:rsidRDefault="00751156" w:rsidP="002413F2">
      <w:pPr>
        <w:pStyle w:val="BodyText"/>
        <w:spacing w:after="240"/>
      </w:pPr>
      <w:r w:rsidRPr="007B3DCE">
        <w:t xml:space="preserve">The latest </w:t>
      </w:r>
      <w:r w:rsidR="00765A97" w:rsidRPr="007B3DCE">
        <w:t>target</w:t>
      </w:r>
      <w:r w:rsidRPr="007B3DCE">
        <w:t xml:space="preserve"> data indicates that Aboriginal and Torres Strait Islander people </w:t>
      </w:r>
      <w:r w:rsidR="00664BC9">
        <w:t>born in 202</w:t>
      </w:r>
      <w:r w:rsidR="00801C7E">
        <w:t>0</w:t>
      </w:r>
      <w:r w:rsidR="00925B1D" w:rsidRPr="00216127">
        <w:rPr>
          <w:rStyle w:val="normaltextrun"/>
          <w:rFonts w:ascii="Arial (Body)" w:hAnsi="Arial (Body)" w:cs="Arial"/>
          <w:shd w:val="clear" w:color="auto" w:fill="FFFFFF"/>
        </w:rPr>
        <w:t>–</w:t>
      </w:r>
      <w:r w:rsidR="00664BC9">
        <w:t xml:space="preserve">2022 </w:t>
      </w:r>
      <w:r w:rsidRPr="007B3DCE">
        <w:t xml:space="preserve">are </w:t>
      </w:r>
      <w:r w:rsidR="00664BC9">
        <w:t xml:space="preserve">expected to live </w:t>
      </w:r>
      <w:r w:rsidRPr="007B3DCE">
        <w:t>longer</w:t>
      </w:r>
      <w:r w:rsidR="00664BC9">
        <w:t xml:space="preserve"> tha</w:t>
      </w:r>
      <w:r w:rsidR="00CF3221">
        <w:t xml:space="preserve">n </w:t>
      </w:r>
      <w:r w:rsidR="0074758F">
        <w:t>Aboriginal and Torres Strait Islander people born in 2005-2007</w:t>
      </w:r>
      <w:r w:rsidR="007C6109">
        <w:t xml:space="preserve"> </w:t>
      </w:r>
      <w:r w:rsidR="00EC3C61">
        <w:t>(box 2.2 provides data quality considerations)</w:t>
      </w:r>
      <w:r w:rsidRPr="007B3DCE">
        <w:t xml:space="preserve">. </w:t>
      </w:r>
    </w:p>
    <w:tbl>
      <w:tblPr>
        <w:tblStyle w:val="Texttable-Keyline"/>
        <w:tblW w:w="9639" w:type="dxa"/>
        <w:tblBorders>
          <w:top w:val="single" w:sz="4" w:space="0" w:color="3B2A1C" w:themeColor="background1" w:themeShade="80"/>
          <w:left w:val="single" w:sz="4" w:space="0" w:color="3B2A1C" w:themeColor="background1" w:themeShade="80"/>
          <w:bottom w:val="single" w:sz="4" w:space="0" w:color="3B2A1C" w:themeColor="background1" w:themeShade="80"/>
          <w:right w:val="single" w:sz="4" w:space="0" w:color="3B2A1C" w:themeColor="background1" w:themeShade="80"/>
        </w:tblBorders>
        <w:shd w:val="clear" w:color="auto" w:fill="705035" w:themeFill="background1" w:themeFillShade="F2"/>
        <w:tblLook w:val="04A0" w:firstRow="1" w:lastRow="0" w:firstColumn="1" w:lastColumn="0" w:noHBand="0" w:noVBand="1"/>
      </w:tblPr>
      <w:tblGrid>
        <w:gridCol w:w="4678"/>
        <w:gridCol w:w="4961"/>
      </w:tblGrid>
      <w:tr w:rsidR="00874918" w:rsidRPr="007B3DCE" w14:paraId="5243E25F" w14:textId="77777777" w:rsidTr="00936B5E">
        <w:tc>
          <w:tcPr>
            <w:tcW w:w="4678" w:type="dxa"/>
            <w:shd w:val="clear" w:color="auto" w:fill="E9DCD1" w:themeFill="background1" w:themeFillTint="33"/>
          </w:tcPr>
          <w:p w14:paraId="1F54EA09" w14:textId="3898DD22" w:rsidR="00874918" w:rsidRPr="004C31CC" w:rsidRDefault="00874918" w:rsidP="00874918">
            <w:pPr>
              <w:jc w:val="center"/>
              <w:rPr>
                <w:rFonts w:cstheme="minorHAnsi"/>
              </w:rPr>
            </w:pPr>
            <w:r w:rsidRPr="004C31CC">
              <w:rPr>
                <w:rFonts w:cstheme="minorHAnsi"/>
              </w:rPr>
              <w:t>An Aboriginal and Torres Strait Islander male born in 2020</w:t>
            </w:r>
            <w:r w:rsidR="00925B1D" w:rsidRPr="004C31CC">
              <w:rPr>
                <w:rFonts w:cstheme="minorHAnsi"/>
              </w:rPr>
              <w:t>–</w:t>
            </w:r>
            <w:r w:rsidRPr="004C31CC">
              <w:rPr>
                <w:rFonts w:cstheme="minorHAnsi"/>
              </w:rPr>
              <w:t>22 is expected to live to 71.9 years</w:t>
            </w:r>
            <w:r w:rsidR="00C37336" w:rsidRPr="004C31CC">
              <w:rPr>
                <w:rFonts w:cstheme="minorHAnsi"/>
              </w:rPr>
              <w:t>.</w:t>
            </w:r>
          </w:p>
          <w:p w14:paraId="561D45D5" w14:textId="43208CF5" w:rsidR="00874918" w:rsidRPr="004C31CC" w:rsidRDefault="003B3E02" w:rsidP="00874918">
            <w:pPr>
              <w:jc w:val="center"/>
              <w:rPr>
                <w:rFonts w:cstheme="minorHAnsi"/>
              </w:rPr>
            </w:pPr>
            <w:r w:rsidRPr="004C31CC">
              <w:rPr>
                <w:rFonts w:cstheme="minorHAnsi"/>
              </w:rPr>
              <w:t>For Aboriginal and Torres Strait Islander male</w:t>
            </w:r>
            <w:r w:rsidR="00D84341" w:rsidRPr="004C31CC">
              <w:rPr>
                <w:rFonts w:cstheme="minorHAnsi"/>
              </w:rPr>
              <w:t>s</w:t>
            </w:r>
            <w:r w:rsidRPr="004C31CC">
              <w:rPr>
                <w:rFonts w:cstheme="minorHAnsi"/>
              </w:rPr>
              <w:t xml:space="preserve"> born fifteen years earlier, t</w:t>
            </w:r>
            <w:r w:rsidR="00B65C94" w:rsidRPr="004C31CC">
              <w:rPr>
                <w:rFonts w:cstheme="minorHAnsi"/>
              </w:rPr>
              <w:t>he</w:t>
            </w:r>
            <w:r w:rsidR="000408C0" w:rsidRPr="004C31CC">
              <w:rPr>
                <w:rFonts w:cstheme="minorHAnsi"/>
              </w:rPr>
              <w:t xml:space="preserve"> life expectancy </w:t>
            </w:r>
            <w:r w:rsidR="007B2AEC" w:rsidRPr="004C31CC">
              <w:rPr>
                <w:rFonts w:cstheme="minorHAnsi"/>
              </w:rPr>
              <w:t xml:space="preserve">was </w:t>
            </w:r>
            <w:r w:rsidR="000408C0" w:rsidRPr="004C31CC">
              <w:rPr>
                <w:rFonts w:cstheme="minorHAnsi"/>
              </w:rPr>
              <w:t>67.5 years</w:t>
            </w:r>
            <w:r w:rsidRPr="004C31CC">
              <w:rPr>
                <w:rFonts w:cstheme="minorHAnsi"/>
              </w:rPr>
              <w:t>.</w:t>
            </w:r>
            <w:r w:rsidR="00874918" w:rsidRPr="004C31CC">
              <w:rPr>
                <w:rFonts w:cstheme="minorHAnsi"/>
              </w:rPr>
              <w:t xml:space="preserve"> </w:t>
            </w:r>
          </w:p>
        </w:tc>
        <w:tc>
          <w:tcPr>
            <w:tcW w:w="4961" w:type="dxa"/>
            <w:shd w:val="clear" w:color="auto" w:fill="E9DCD1" w:themeFill="background1" w:themeFillTint="33"/>
          </w:tcPr>
          <w:p w14:paraId="5C447BF5" w14:textId="11299FE8" w:rsidR="00874918" w:rsidRPr="004C31CC" w:rsidRDefault="006C68D3">
            <w:pPr>
              <w:ind w:left="172"/>
              <w:jc w:val="center"/>
              <w:rPr>
                <w:rFonts w:cstheme="minorHAnsi"/>
              </w:rPr>
            </w:pPr>
            <w:r w:rsidRPr="004C31CC">
              <w:rPr>
                <w:rFonts w:cstheme="minorHAnsi"/>
              </w:rPr>
              <w:t>An Aboriginal and Torres Strait Islander female born in 2020</w:t>
            </w:r>
            <w:r w:rsidR="00925B1D" w:rsidRPr="004C31CC">
              <w:rPr>
                <w:rFonts w:cstheme="minorHAnsi"/>
              </w:rPr>
              <w:t>–</w:t>
            </w:r>
            <w:r w:rsidRPr="004C31CC">
              <w:rPr>
                <w:rFonts w:cstheme="minorHAnsi"/>
              </w:rPr>
              <w:t>22 is expected to live to 75.6 years</w:t>
            </w:r>
            <w:r w:rsidR="005C5E86" w:rsidRPr="004C31CC">
              <w:rPr>
                <w:rFonts w:cstheme="minorHAnsi"/>
              </w:rPr>
              <w:t>.</w:t>
            </w:r>
            <w:r w:rsidRPr="004C31CC">
              <w:rPr>
                <w:rFonts w:cstheme="minorHAnsi"/>
              </w:rPr>
              <w:t xml:space="preserve"> </w:t>
            </w:r>
          </w:p>
          <w:p w14:paraId="3C0CCDE7" w14:textId="7BB00198" w:rsidR="006C68D3" w:rsidRPr="004C31CC" w:rsidRDefault="00534A00">
            <w:pPr>
              <w:ind w:left="172"/>
              <w:jc w:val="center"/>
              <w:rPr>
                <w:rFonts w:cstheme="minorHAnsi"/>
              </w:rPr>
            </w:pPr>
            <w:r w:rsidRPr="004C31CC">
              <w:rPr>
                <w:rFonts w:cstheme="minorHAnsi"/>
              </w:rPr>
              <w:t xml:space="preserve"> </w:t>
            </w:r>
            <w:r w:rsidR="003B3E02" w:rsidRPr="004C31CC">
              <w:rPr>
                <w:rFonts w:cstheme="minorHAnsi"/>
              </w:rPr>
              <w:t>F</w:t>
            </w:r>
            <w:r w:rsidRPr="004C31CC">
              <w:rPr>
                <w:rFonts w:cstheme="minorHAnsi"/>
              </w:rPr>
              <w:t>or Aboriginal and Torres Strait Islander female</w:t>
            </w:r>
            <w:r w:rsidR="00D84341" w:rsidRPr="004C31CC">
              <w:rPr>
                <w:rFonts w:cstheme="minorHAnsi"/>
              </w:rPr>
              <w:t>s</w:t>
            </w:r>
            <w:r w:rsidRPr="004C31CC">
              <w:rPr>
                <w:rFonts w:cstheme="minorHAnsi"/>
              </w:rPr>
              <w:t xml:space="preserve"> born fifteen years earlier</w:t>
            </w:r>
            <w:r w:rsidR="003B3E02" w:rsidRPr="004C31CC">
              <w:rPr>
                <w:rFonts w:cstheme="minorHAnsi"/>
              </w:rPr>
              <w:t>, the life expectancy was 73.1 years</w:t>
            </w:r>
            <w:r w:rsidRPr="004C31CC">
              <w:rPr>
                <w:rFonts w:cstheme="minorHAnsi"/>
              </w:rPr>
              <w:t>.</w:t>
            </w:r>
          </w:p>
        </w:tc>
      </w:tr>
    </w:tbl>
    <w:p w14:paraId="3D33EB64" w14:textId="1AC83163" w:rsidR="00005BCF" w:rsidRPr="007B3DCE" w:rsidRDefault="003717AB" w:rsidP="005E6274">
      <w:pPr>
        <w:pStyle w:val="BodyText"/>
        <w:spacing w:after="240"/>
      </w:pPr>
      <w:r w:rsidRPr="007B3DCE">
        <w:t>Nationally,</w:t>
      </w:r>
      <w:r w:rsidR="00C86A87" w:rsidRPr="007B3DCE">
        <w:t xml:space="preserve"> the life expectancy gap </w:t>
      </w:r>
      <w:r w:rsidR="00061094" w:rsidRPr="007B3DCE">
        <w:t>is assessed as improving</w:t>
      </w:r>
      <w:r w:rsidR="00C86A87" w:rsidRPr="007B3DCE">
        <w:t xml:space="preserve">, </w:t>
      </w:r>
      <w:r w:rsidR="00111241">
        <w:t xml:space="preserve">however </w:t>
      </w:r>
      <w:r w:rsidR="00C86A87" w:rsidRPr="007B3DCE">
        <w:t xml:space="preserve">the target of achieving </w:t>
      </w:r>
      <w:r w:rsidR="002B6E19" w:rsidRPr="007B3DCE">
        <w:t>a</w:t>
      </w:r>
      <w:r w:rsidR="00C86A87" w:rsidRPr="007B3DCE">
        <w:t xml:space="preserve"> zero life expectancy gap by 203</w:t>
      </w:r>
      <w:r w:rsidR="005D56D9">
        <w:t>1</w:t>
      </w:r>
      <w:r w:rsidR="00C86A87" w:rsidRPr="007B3DCE">
        <w:t xml:space="preserve"> is not on track to be met</w:t>
      </w:r>
      <w:r w:rsidR="007F257D" w:rsidRPr="007B3DCE">
        <w:t>.</w:t>
      </w:r>
      <w:r w:rsidR="00C86A87" w:rsidRPr="007B3DCE">
        <w:t xml:space="preserve"> In 2020–2022, non-Indigenous males were expected to live 8.8 years longer than Aboriginal and Torres Strait Islander males while non</w:t>
      </w:r>
      <w:r w:rsidR="006619F9" w:rsidRPr="007B3DCE">
        <w:noBreakHyphen/>
      </w:r>
      <w:r w:rsidR="00C86A87" w:rsidRPr="007B3DCE">
        <w:t>Indigenous females were expected to live 8.1 years longer than Aboriginal and Torres Strait Islander females</w:t>
      </w:r>
      <w:r w:rsidR="00594A0A" w:rsidRPr="007B3DCE">
        <w:t xml:space="preserve"> (</w:t>
      </w:r>
      <w:r w:rsidR="00C5680C" w:rsidRPr="007B3DCE">
        <w:t>f</w:t>
      </w:r>
      <w:r w:rsidR="00594A0A" w:rsidRPr="007B3DCE">
        <w:t>igure</w:t>
      </w:r>
      <w:r w:rsidR="00325512" w:rsidRPr="007B3DCE">
        <w:t> </w:t>
      </w:r>
      <w:r w:rsidR="00594A0A" w:rsidRPr="007B3DCE">
        <w:t>2.1)</w:t>
      </w:r>
      <w:r w:rsidR="009173F1" w:rsidRPr="007B3DCE">
        <w:t>.</w:t>
      </w:r>
      <w:r w:rsidR="00C86A87" w:rsidRPr="007B3DCE">
        <w:t xml:space="preserve"> </w:t>
      </w:r>
    </w:p>
    <w:tbl>
      <w:tblPr>
        <w:tblStyle w:val="Boxtable"/>
        <w:tblW w:w="5000" w:type="pct"/>
        <w:tblLook w:val="04A0" w:firstRow="1" w:lastRow="0" w:firstColumn="1" w:lastColumn="0" w:noHBand="0" w:noVBand="1"/>
      </w:tblPr>
      <w:tblGrid>
        <w:gridCol w:w="9638"/>
      </w:tblGrid>
      <w:tr w:rsidR="007F257D" w:rsidRPr="007B3DCE" w14:paraId="4789BAF4" w14:textId="77777777" w:rsidTr="00484C81">
        <w:trPr>
          <w:trHeight w:val="476"/>
          <w:tblHeader/>
        </w:trPr>
        <w:tc>
          <w:tcPr>
            <w:tcW w:w="9638" w:type="dxa"/>
            <w:shd w:val="clear" w:color="auto" w:fill="3B2A1C" w:themeFill="background1" w:themeFillShade="80"/>
            <w:tcMar>
              <w:top w:w="170" w:type="dxa"/>
              <w:left w:w="170" w:type="dxa"/>
              <w:bottom w:w="113" w:type="dxa"/>
              <w:right w:w="170" w:type="dxa"/>
            </w:tcMar>
            <w:vAlign w:val="center"/>
            <w:hideMark/>
          </w:tcPr>
          <w:p w14:paraId="505AD427" w14:textId="079DA807" w:rsidR="007F257D" w:rsidRPr="007B3DCE" w:rsidRDefault="007F257D" w:rsidP="00484C81">
            <w:pPr>
              <w:pStyle w:val="BoxHeading1"/>
              <w:spacing w:before="0"/>
            </w:pPr>
            <w:r w:rsidRPr="007B3DCE">
              <w:rPr>
                <w:color w:val="FFFFFF"/>
              </w:rPr>
              <w:t>Box 2.</w:t>
            </w:r>
            <w:r w:rsidR="00D92CF2">
              <w:rPr>
                <w:color w:val="FFFFFF"/>
              </w:rPr>
              <w:t xml:space="preserve">2 </w:t>
            </w:r>
            <w:r w:rsidRPr="007B3DCE">
              <w:rPr>
                <w:color w:val="FFFFFF"/>
              </w:rPr>
              <w:t xml:space="preserve">– </w:t>
            </w:r>
            <w:r w:rsidRPr="007B3DCE">
              <w:rPr>
                <w:rFonts w:ascii="Arial Black" w:hAnsi="Arial Black"/>
                <w:color w:val="FFFFFF"/>
              </w:rPr>
              <w:t>Data considerations: use caution when comparing life expectancy or mortality over time</w:t>
            </w:r>
          </w:p>
        </w:tc>
      </w:tr>
      <w:tr w:rsidR="007F257D" w:rsidRPr="007B3DCE" w14:paraId="47620706" w14:textId="77777777">
        <w:tc>
          <w:tcPr>
            <w:tcW w:w="9638" w:type="dxa"/>
            <w:shd w:val="clear" w:color="auto" w:fill="E9DCD1" w:themeFill="background1" w:themeFillTint="33"/>
            <w:tcMar>
              <w:top w:w="28" w:type="dxa"/>
              <w:left w:w="170" w:type="dxa"/>
              <w:bottom w:w="170" w:type="dxa"/>
              <w:right w:w="170" w:type="dxa"/>
            </w:tcMar>
            <w:hideMark/>
          </w:tcPr>
          <w:p w14:paraId="09D5F3DE" w14:textId="2C36B64C" w:rsidR="007F257D" w:rsidRPr="004C31CC" w:rsidRDefault="007F257D">
            <w:pPr>
              <w:pStyle w:val="BodyText"/>
              <w:rPr>
                <w:rFonts w:cstheme="minorHAnsi"/>
              </w:rPr>
            </w:pPr>
            <w:r w:rsidRPr="004C31CC">
              <w:rPr>
                <w:rFonts w:cstheme="minorHAnsi"/>
              </w:rPr>
              <w:t>Caution is required when interpreting trends in life expectancy estimates. The ABS does not compare Aboriginal and Torres Strait Islander life expectancy estimates over time. </w:t>
            </w:r>
            <w:r w:rsidRPr="009D4378">
              <w:rPr>
                <w:rFonts w:cstheme="minorHAnsi"/>
              </w:rPr>
              <w:t>Significant increases in the Aboriginal and Torres Strait Islander population</w:t>
            </w:r>
            <w:r w:rsidRPr="004C31CC">
              <w:rPr>
                <w:rFonts w:cstheme="minorHAnsi"/>
              </w:rPr>
              <w:t xml:space="preserve"> and improvements to identification of Indigenous status in death records have contributed to changes in the life expectancy estimates</w:t>
            </w:r>
            <w:r w:rsidR="00474E2D">
              <w:rPr>
                <w:rFonts w:cstheme="minorHAnsi"/>
              </w:rPr>
              <w:t>.</w:t>
            </w:r>
            <w:r w:rsidRPr="004C31CC">
              <w:rPr>
                <w:rFonts w:cstheme="minorHAnsi"/>
              </w:rPr>
              <w:t xml:space="preserve"> It is not possible to determine the extent to which population changes and/or improved health outcomes have contributed to changes in the life expectancy estimates.</w:t>
            </w:r>
          </w:p>
          <w:p w14:paraId="0B55AAC2" w14:textId="77777777" w:rsidR="00421009" w:rsidRPr="00D33F5B" w:rsidRDefault="007F257D">
            <w:pPr>
              <w:pStyle w:val="BodyText"/>
              <w:rPr>
                <w:rFonts w:cstheme="minorHAnsi"/>
                <w:spacing w:val="2"/>
              </w:rPr>
            </w:pPr>
            <w:r w:rsidRPr="00D33F5B">
              <w:rPr>
                <w:rFonts w:cstheme="minorHAnsi"/>
                <w:spacing w:val="2"/>
              </w:rPr>
              <w:t xml:space="preserve">Data is only available for New South Wales, Queensland, Western Australia and the Northern Territory, which are the jurisdictions with sufficient Aboriginal and Torres Strait Islander identification to support analysis. </w:t>
            </w:r>
          </w:p>
          <w:p w14:paraId="6FF93B3A" w14:textId="556E6629" w:rsidR="007F257D" w:rsidRPr="007B3DCE" w:rsidRDefault="001538A3" w:rsidP="00595A6C">
            <w:pPr>
              <w:pStyle w:val="Source"/>
            </w:pPr>
            <w:r w:rsidRPr="004C31CC">
              <w:rPr>
                <w:rFonts w:cstheme="minorHAnsi"/>
              </w:rPr>
              <w:t>Source: ABS</w:t>
            </w:r>
            <w:r w:rsidR="00551651" w:rsidRPr="004C31CC">
              <w:rPr>
                <w:rFonts w:cstheme="minorHAnsi"/>
              </w:rPr>
              <w:t xml:space="preserve"> </w:t>
            </w:r>
            <w:r w:rsidR="00551651" w:rsidRPr="004C31CC">
              <w:rPr>
                <w:rFonts w:cstheme="minorHAnsi"/>
                <w:sz w:val="20"/>
              </w:rPr>
              <w:t>(2023)</w:t>
            </w:r>
            <w:r w:rsidR="00551651" w:rsidRPr="004C31CC">
              <w:rPr>
                <w:rFonts w:cstheme="minorHAnsi"/>
              </w:rPr>
              <w:t>.</w:t>
            </w:r>
          </w:p>
        </w:tc>
      </w:tr>
      <w:tr w:rsidR="007F257D" w:rsidRPr="007B3DCE" w14:paraId="1B41EC6D" w14:textId="77777777">
        <w:trPr>
          <w:hidden/>
        </w:trPr>
        <w:tc>
          <w:tcPr>
            <w:tcW w:w="9638" w:type="dxa"/>
            <w:shd w:val="clear" w:color="auto" w:fill="auto"/>
            <w:tcMar>
              <w:top w:w="0" w:type="dxa"/>
              <w:left w:w="170" w:type="dxa"/>
              <w:bottom w:w="0" w:type="dxa"/>
              <w:right w:w="170" w:type="dxa"/>
            </w:tcMar>
          </w:tcPr>
          <w:p w14:paraId="16B43AD6" w14:textId="77777777" w:rsidR="007F257D" w:rsidRPr="007B3DCE" w:rsidRDefault="007F257D">
            <w:pPr>
              <w:pStyle w:val="BodyText"/>
              <w:spacing w:before="0" w:after="0" w:line="80" w:lineRule="atLeast"/>
              <w:rPr>
                <w:smallCaps/>
                <w:vanish/>
              </w:rPr>
            </w:pPr>
            <w:r w:rsidRPr="007B3DCE">
              <w:rPr>
                <w:smallCaps/>
                <w:vanish/>
                <w:color w:val="FF00FF"/>
              </w:rPr>
              <w:t>Used for spacing, do not delete</w:t>
            </w:r>
          </w:p>
        </w:tc>
      </w:tr>
    </w:tbl>
    <w:p w14:paraId="3B379E92" w14:textId="59FE1F49" w:rsidR="00CC0191" w:rsidRPr="007B3DCE" w:rsidRDefault="00CC0191" w:rsidP="003706EE">
      <w:pPr>
        <w:pStyle w:val="BodyText"/>
      </w:pPr>
    </w:p>
    <w:p w14:paraId="56675E9D" w14:textId="17AB99E1" w:rsidR="00B04231" w:rsidRPr="007B3DCE" w:rsidRDefault="00B04231">
      <w:pPr>
        <w:pStyle w:val="FigureTableHeading"/>
        <w:rPr>
          <w:color w:val="3B2A1C" w:themeColor="background1" w:themeShade="80"/>
        </w:rPr>
      </w:pPr>
      <w:r w:rsidRPr="007B3DCE">
        <w:rPr>
          <w:color w:val="3B2A1C" w:themeColor="background1" w:themeShade="80"/>
        </w:rPr>
        <w:lastRenderedPageBreak/>
        <w:t>Figure 2.</w:t>
      </w:r>
      <w:r w:rsidR="0036545D" w:rsidRPr="007B3DCE">
        <w:rPr>
          <w:color w:val="3B2A1C" w:themeColor="background1" w:themeShade="80"/>
        </w:rPr>
        <w:t>1</w:t>
      </w:r>
      <w:r w:rsidRPr="007B3DCE">
        <w:rPr>
          <w:color w:val="3B2A1C" w:themeColor="background1" w:themeShade="80"/>
        </w:rPr>
        <w:t xml:space="preserve"> – Life expectancy gap nationally</w:t>
      </w:r>
      <w:r w:rsidRPr="007B3DCE">
        <w:rPr>
          <w:color w:val="3B2A1C" w:themeColor="background1" w:themeShade="80"/>
          <w:vertAlign w:val="superscript"/>
        </w:rPr>
        <w:t>a,b</w:t>
      </w:r>
    </w:p>
    <w:p w14:paraId="1C19127F" w14:textId="23A6A013" w:rsidR="00C86A87" w:rsidRPr="007B3DCE" w:rsidRDefault="00B41824" w:rsidP="00257953">
      <w:pPr>
        <w:pStyle w:val="FigureTableSubheading"/>
        <w:rPr>
          <w:color w:val="775538" w:themeColor="background1"/>
        </w:rPr>
      </w:pPr>
      <w:r w:rsidRPr="007B3DCE">
        <w:rPr>
          <w:color w:val="775538" w:themeColor="background1"/>
        </w:rPr>
        <w:t>L</w:t>
      </w:r>
      <w:r w:rsidR="00C86A87" w:rsidRPr="007B3DCE">
        <w:rPr>
          <w:color w:val="775538" w:themeColor="background1"/>
        </w:rPr>
        <w:t>ife expectancy gap between Aboriginal and Torres Strait Islander and non</w:t>
      </w:r>
      <w:r w:rsidR="00715F65" w:rsidRPr="007B3DCE">
        <w:rPr>
          <w:color w:val="775538" w:themeColor="background1"/>
        </w:rPr>
        <w:noBreakHyphen/>
      </w:r>
      <w:r w:rsidR="00C86A87" w:rsidRPr="007B3DCE">
        <w:rPr>
          <w:color w:val="775538" w:themeColor="background1"/>
        </w:rPr>
        <w:t>Indigenous people</w:t>
      </w:r>
      <w:r w:rsidR="44FB82ED" w:rsidRPr="007B3DCE">
        <w:rPr>
          <w:color w:val="775538" w:themeColor="background1"/>
        </w:rPr>
        <w:t>, by sex</w:t>
      </w:r>
    </w:p>
    <w:p w14:paraId="4418181E" w14:textId="2FD55341" w:rsidR="00DE380C" w:rsidRPr="00EE52B6" w:rsidRDefault="00EE52B6" w:rsidP="004A4022">
      <w:pPr>
        <w:pStyle w:val="FigureTableSubheading"/>
        <w:rPr>
          <w:color w:val="775538" w:themeColor="background1"/>
        </w:rPr>
      </w:pPr>
      <w:r w:rsidRPr="00EE52B6">
        <w:rPr>
          <w:noProof/>
        </w:rPr>
        <w:drawing>
          <wp:inline distT="0" distB="0" distL="0" distR="0" wp14:anchorId="707DC576" wp14:editId="25A49CDB">
            <wp:extent cx="6120130" cy="2657856"/>
            <wp:effectExtent l="0" t="0" r="0" b="0"/>
            <wp:docPr id="547682102" name="Picture 186" descr="Figure 2.1 is a column chart that shows the life expectancy gap in Australia between Aboriginal and Torres Strait Islander and non-Indigenous people, by sex, for the following time periods: 2005-07, 2010-12, 2015-17 and 2020-22. &#10;There are two sets of bars, one for males and one for females. &#10;For males, the life expectancy gap was 11.4 years in 2005-07, 10.6 years in 2010-12, 8.7 years in 2015-17 and in 2020-22, it is just above 8 years. &#10;For females, the gap was around 9 years in 2005-07, similarly around 9 years in 2010-12, and just above 8 years by 2020-22. The bars for 2020-22 for both males and females have error bars representing 95% confidence interv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82102" name="Picture 186" descr="Figure 2.1 is a column chart that shows the life expectancy gap in Australia between Aboriginal and Torres Strait Islander and non-Indigenous people, by sex, for the following time periods: 2005-07, 2010-12, 2015-17 and 2020-22. &#10;There are two sets of bars, one for males and one for females. &#10;For males, the life expectancy gap was 11.4 years in 2005-07, 10.6 years in 2010-12, 8.7 years in 2015-17 and in 2020-22, it is just above 8 years. &#10;For females, the gap was around 9 years in 2005-07, similarly around 9 years in 2010-12, and just above 8 years by 2020-22. The bars for 2020-22 for both males and females have error bars representing 95% confidence intervals.&#1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7887"/>
                    <a:stretch/>
                  </pic:blipFill>
                  <pic:spPr bwMode="auto">
                    <a:xfrm>
                      <a:off x="0" y="0"/>
                      <a:ext cx="6120130" cy="2657856"/>
                    </a:xfrm>
                    <a:prstGeom prst="rect">
                      <a:avLst/>
                    </a:prstGeom>
                    <a:noFill/>
                    <a:ln>
                      <a:noFill/>
                    </a:ln>
                    <a:extLst>
                      <a:ext uri="{53640926-AAD7-44D8-BBD7-CCE9431645EC}">
                        <a14:shadowObscured xmlns:a14="http://schemas.microsoft.com/office/drawing/2010/main"/>
                      </a:ext>
                    </a:extLst>
                  </pic:spPr>
                </pic:pic>
              </a:graphicData>
            </a:graphic>
          </wp:inline>
        </w:drawing>
      </w:r>
    </w:p>
    <w:p w14:paraId="52C24CD9" w14:textId="6B6218C1" w:rsidR="007441EC" w:rsidRDefault="0996E93A" w:rsidP="00750353">
      <w:pPr>
        <w:pStyle w:val="NoSpacing"/>
        <w:rPr>
          <w:sz w:val="18"/>
          <w:szCs w:val="18"/>
        </w:rPr>
      </w:pPr>
      <w:r w:rsidRPr="007B3DCE">
        <w:rPr>
          <w:b/>
          <w:bCs/>
          <w:sz w:val="18"/>
          <w:szCs w:val="18"/>
        </w:rPr>
        <w:t>a</w:t>
      </w:r>
      <w:r w:rsidR="28CAFD80" w:rsidRPr="007B3DCE">
        <w:rPr>
          <w:b/>
          <w:bCs/>
          <w:sz w:val="18"/>
          <w:szCs w:val="18"/>
        </w:rPr>
        <w:t>.</w:t>
      </w:r>
      <w:r w:rsidR="00004AA9" w:rsidRPr="007B3DCE">
        <w:rPr>
          <w:sz w:val="18"/>
          <w:szCs w:val="18"/>
        </w:rPr>
        <w:t xml:space="preserve"> </w:t>
      </w:r>
      <w:r w:rsidR="2DD92BE9" w:rsidRPr="007B3DCE">
        <w:rPr>
          <w:sz w:val="18"/>
          <w:szCs w:val="18"/>
        </w:rPr>
        <w:t>E</w:t>
      </w:r>
      <w:r w:rsidR="00004AA9" w:rsidRPr="007B3DCE">
        <w:rPr>
          <w:sz w:val="18"/>
          <w:szCs w:val="18"/>
        </w:rPr>
        <w:t>rror bars represent 95% confidence intervals.</w:t>
      </w:r>
      <w:r w:rsidR="00520D97">
        <w:rPr>
          <w:b/>
          <w:bCs/>
          <w:sz w:val="18"/>
          <w:szCs w:val="18"/>
        </w:rPr>
        <w:t xml:space="preserve"> </w:t>
      </w:r>
      <w:r w:rsidR="14B72CAD" w:rsidRPr="007B3DCE">
        <w:rPr>
          <w:b/>
          <w:bCs/>
          <w:sz w:val="18"/>
          <w:szCs w:val="18"/>
        </w:rPr>
        <w:t>b</w:t>
      </w:r>
      <w:r w:rsidR="007441EC" w:rsidRPr="007B3DCE">
        <w:rPr>
          <w:b/>
          <w:bCs/>
          <w:sz w:val="18"/>
          <w:szCs w:val="18"/>
        </w:rPr>
        <w:t xml:space="preserve">. </w:t>
      </w:r>
      <w:r w:rsidR="34880C2C" w:rsidRPr="007B3DCE">
        <w:rPr>
          <w:sz w:val="18"/>
          <w:szCs w:val="18"/>
        </w:rPr>
        <w:t>Confidence intervals are available for estimates in 2020–22 only</w:t>
      </w:r>
      <w:r w:rsidR="248CCE19" w:rsidRPr="007B3DCE">
        <w:rPr>
          <w:sz w:val="18"/>
          <w:szCs w:val="18"/>
        </w:rPr>
        <w:t>.</w:t>
      </w:r>
    </w:p>
    <w:p w14:paraId="4CD050CC" w14:textId="77777777" w:rsidR="00474E2D" w:rsidRPr="008320D1" w:rsidRDefault="00474E2D" w:rsidP="009A5C20">
      <w:pPr>
        <w:pStyle w:val="Source"/>
      </w:pPr>
      <w:r>
        <w:t xml:space="preserve">Source: </w:t>
      </w:r>
      <w:r w:rsidRPr="009E0654">
        <w:t>Derived from ABS Life Tables for Aboriginal and Torres Strait Islander Australians</w:t>
      </w:r>
    </w:p>
    <w:p w14:paraId="7FDD56F5" w14:textId="53EB801F" w:rsidR="00D2675E" w:rsidRDefault="006739EF" w:rsidP="009A5C20">
      <w:pPr>
        <w:pStyle w:val="BodyText"/>
      </w:pPr>
      <w:r w:rsidRPr="007B3DCE">
        <w:t xml:space="preserve">Life expectancy outcomes </w:t>
      </w:r>
      <w:r w:rsidR="00342D55">
        <w:t>in 2020</w:t>
      </w:r>
      <w:r w:rsidR="00342D55" w:rsidRPr="007B3DCE">
        <w:t>–22</w:t>
      </w:r>
      <w:r w:rsidR="00342D55">
        <w:t xml:space="preserve"> </w:t>
      </w:r>
      <w:r w:rsidRPr="007B3DCE">
        <w:t>differ depending on the relative socio</w:t>
      </w:r>
      <w:r w:rsidRPr="00216127">
        <w:rPr>
          <w:rFonts w:ascii="Arial (Body)" w:eastAsia="Arial" w:hAnsi="Arial (Body)" w:cs="Arial"/>
        </w:rPr>
        <w:t>-</w:t>
      </w:r>
      <w:r w:rsidRPr="007B3DCE">
        <w:t xml:space="preserve">economic disadvantage of </w:t>
      </w:r>
      <w:r w:rsidR="00BE7BAB">
        <w:t xml:space="preserve">the locality </w:t>
      </w:r>
      <w:r w:rsidR="00F207F1">
        <w:t>w</w:t>
      </w:r>
      <w:r w:rsidR="00325426">
        <w:t>here</w:t>
      </w:r>
      <w:r w:rsidRPr="007B3DCE">
        <w:t xml:space="preserve"> a person lives.</w:t>
      </w:r>
      <w:r w:rsidR="004A0419" w:rsidRPr="009D07D6">
        <w:rPr>
          <w:rStyle w:val="FootnoteReference"/>
        </w:rPr>
        <w:footnoteReference w:id="8"/>
      </w:r>
      <w:r w:rsidRPr="007B3DCE">
        <w:t xml:space="preserve"> </w:t>
      </w:r>
      <w:r w:rsidR="004121D6" w:rsidRPr="004121D6">
        <w:t>Aboriginal and Torres Strait Islander males and females living in the most disadvantaged areas (lowest quintile) had lower life expectancy than those living in all other areas.</w:t>
      </w:r>
      <w:r w:rsidR="004121D6">
        <w:t xml:space="preserve"> </w:t>
      </w:r>
      <w:r w:rsidRPr="007B3DCE">
        <w:t xml:space="preserve">The gap between Aboriginal and Torres Strait Islander people and non-Indigenous people was narrowest </w:t>
      </w:r>
      <w:r w:rsidR="002E17C9">
        <w:t xml:space="preserve">for people </w:t>
      </w:r>
      <w:r w:rsidRPr="007B3DCE">
        <w:t>in the middle 20%</w:t>
      </w:r>
      <w:r w:rsidR="002E17C9">
        <w:t xml:space="preserve"> of </w:t>
      </w:r>
      <w:r w:rsidR="005B1D04">
        <w:t>relative socio-economic disadvantage</w:t>
      </w:r>
      <w:r w:rsidRPr="007B3DCE">
        <w:t>.</w:t>
      </w:r>
    </w:p>
    <w:p w14:paraId="6F38DF2E" w14:textId="12549340" w:rsidR="00C86A87" w:rsidRPr="007B3DCE" w:rsidRDefault="00DC448B" w:rsidP="0014487D">
      <w:pPr>
        <w:pStyle w:val="Heading5"/>
        <w:rPr>
          <w:color w:val="3B2A1C" w:themeColor="background1" w:themeShade="80"/>
        </w:rPr>
      </w:pPr>
      <w:r w:rsidRPr="007B3DCE">
        <w:rPr>
          <w:color w:val="3B2A1C" w:themeColor="background1" w:themeShade="80"/>
        </w:rPr>
        <w:t>M</w:t>
      </w:r>
      <w:r w:rsidR="00C86A87" w:rsidRPr="007B3DCE">
        <w:rPr>
          <w:color w:val="3B2A1C" w:themeColor="background1" w:themeShade="80"/>
        </w:rPr>
        <w:t xml:space="preserve">ortality rates are increasing for most age </w:t>
      </w:r>
      <w:r w:rsidR="004D3973" w:rsidRPr="007B3DCE">
        <w:rPr>
          <w:color w:val="3B2A1C" w:themeColor="background1" w:themeShade="80"/>
        </w:rPr>
        <w:t>cohorts</w:t>
      </w:r>
    </w:p>
    <w:p w14:paraId="6AFAC96D" w14:textId="1B2EC5C0" w:rsidR="00A26DE8" w:rsidRPr="00B353EB" w:rsidRDefault="008C6178" w:rsidP="00B353EB">
      <w:pPr>
        <w:pStyle w:val="BodyText"/>
      </w:pPr>
      <w:r w:rsidRPr="00B353EB">
        <w:t xml:space="preserve">New </w:t>
      </w:r>
      <w:r w:rsidR="004759C0" w:rsidRPr="00B353EB">
        <w:t>supporting indicator data for m</w:t>
      </w:r>
      <w:r w:rsidR="6F5753DE" w:rsidRPr="00B353EB">
        <w:t>ortality rates by leading cause of death</w:t>
      </w:r>
      <w:r w:rsidR="629920F3" w:rsidRPr="00B353EB">
        <w:t xml:space="preserve"> – </w:t>
      </w:r>
      <w:r w:rsidR="00983E65" w:rsidRPr="00B353EB">
        <w:t>I</w:t>
      </w:r>
      <w:r w:rsidR="629920F3" w:rsidRPr="00B353EB">
        <w:t xml:space="preserve">ndicator 1b – </w:t>
      </w:r>
      <w:r w:rsidR="1D22B200" w:rsidRPr="00B353EB">
        <w:t>provide</w:t>
      </w:r>
      <w:r w:rsidR="004759C0" w:rsidRPr="00B353EB">
        <w:t>s</w:t>
      </w:r>
      <w:r w:rsidR="1D22B200" w:rsidRPr="00B353EB">
        <w:t xml:space="preserve"> </w:t>
      </w:r>
      <w:r w:rsidR="16537B37" w:rsidRPr="00B353EB">
        <w:t xml:space="preserve">further </w:t>
      </w:r>
      <w:r w:rsidR="1D22B200" w:rsidRPr="00B353EB">
        <w:t>insight into</w:t>
      </w:r>
      <w:r w:rsidR="6F5753DE" w:rsidRPr="00B353EB">
        <w:t xml:space="preserve"> trends in </w:t>
      </w:r>
      <w:r w:rsidR="5D0F9911" w:rsidRPr="00B353EB">
        <w:t xml:space="preserve">Aboriginal and Torres Strait Islander </w:t>
      </w:r>
      <w:r w:rsidR="6F5753DE" w:rsidRPr="00B353EB">
        <w:t>health and wellbeing.</w:t>
      </w:r>
      <w:r w:rsidR="000921A7" w:rsidRPr="00B353EB">
        <w:rPr>
          <w:rStyle w:val="FootnoteReference"/>
          <w:spacing w:val="-6"/>
        </w:rPr>
        <w:footnoteReference w:id="9"/>
      </w:r>
      <w:r w:rsidR="008C6E51" w:rsidRPr="00B353EB">
        <w:t xml:space="preserve"> </w:t>
      </w:r>
      <w:r w:rsidR="323CDC88" w:rsidRPr="00B353EB">
        <w:t>A</w:t>
      </w:r>
      <w:r w:rsidR="631E5590" w:rsidRPr="00B353EB">
        <w:t xml:space="preserve"> decreasing rate </w:t>
      </w:r>
      <w:r w:rsidR="006934DF" w:rsidRPr="00B353EB">
        <w:t xml:space="preserve">is </w:t>
      </w:r>
      <w:r w:rsidR="0031795E" w:rsidRPr="00B353EB">
        <w:t xml:space="preserve">the objective for this </w:t>
      </w:r>
      <w:r w:rsidR="323CDC88" w:rsidRPr="00B353EB">
        <w:t>measure</w:t>
      </w:r>
      <w:r w:rsidR="00B2381F" w:rsidRPr="00B353EB">
        <w:t>,</w:t>
      </w:r>
      <w:r w:rsidR="1C11EF80" w:rsidRPr="00B353EB">
        <w:t xml:space="preserve"> but </w:t>
      </w:r>
      <w:r w:rsidR="1C11EF80" w:rsidRPr="00B353EB">
        <w:rPr>
          <w:rStyle w:val="BodyTextChar"/>
          <w:spacing w:val="-6"/>
        </w:rPr>
        <w:t>m</w:t>
      </w:r>
      <w:r w:rsidR="6E2C18E2" w:rsidRPr="00B353EB">
        <w:rPr>
          <w:rStyle w:val="BodyTextChar"/>
          <w:spacing w:val="-6"/>
        </w:rPr>
        <w:t xml:space="preserve">ortality rates </w:t>
      </w:r>
      <w:r w:rsidR="008C518E" w:rsidRPr="00B353EB">
        <w:rPr>
          <w:rStyle w:val="BodyTextChar"/>
          <w:spacing w:val="-6"/>
        </w:rPr>
        <w:t xml:space="preserve">– the number of deaths </w:t>
      </w:r>
      <w:r w:rsidR="006A3FBD" w:rsidRPr="00B353EB">
        <w:rPr>
          <w:rStyle w:val="BodyTextChar"/>
          <w:spacing w:val="-6"/>
        </w:rPr>
        <w:t>in a population</w:t>
      </w:r>
      <w:r w:rsidR="00E744DE" w:rsidRPr="00B353EB">
        <w:rPr>
          <w:rStyle w:val="BodyTextChar"/>
          <w:spacing w:val="-6"/>
        </w:rPr>
        <w:t>,</w:t>
      </w:r>
      <w:r w:rsidR="006A3FBD" w:rsidRPr="00B353EB">
        <w:rPr>
          <w:rStyle w:val="BodyTextChar"/>
          <w:spacing w:val="-6"/>
        </w:rPr>
        <w:t xml:space="preserve"> </w:t>
      </w:r>
      <w:r w:rsidR="00E744DE" w:rsidRPr="00B353EB">
        <w:rPr>
          <w:rStyle w:val="BodyTextChar"/>
          <w:spacing w:val="-6"/>
        </w:rPr>
        <w:t xml:space="preserve">scaled </w:t>
      </w:r>
      <w:r w:rsidR="003B5AD3" w:rsidRPr="00B353EB">
        <w:rPr>
          <w:rStyle w:val="BodyTextChar"/>
          <w:spacing w:val="-6"/>
        </w:rPr>
        <w:t xml:space="preserve">to the </w:t>
      </w:r>
      <w:r w:rsidR="00E744DE" w:rsidRPr="00B353EB">
        <w:rPr>
          <w:rStyle w:val="BodyTextChar"/>
          <w:spacing w:val="-6"/>
        </w:rPr>
        <w:t xml:space="preserve">size of the </w:t>
      </w:r>
      <w:r w:rsidR="003B5AD3" w:rsidRPr="00B353EB">
        <w:rPr>
          <w:rStyle w:val="BodyTextChar"/>
          <w:spacing w:val="-6"/>
        </w:rPr>
        <w:t>population</w:t>
      </w:r>
      <w:r w:rsidR="00E744DE" w:rsidRPr="00B353EB">
        <w:rPr>
          <w:rStyle w:val="BodyTextChar"/>
          <w:spacing w:val="-6"/>
        </w:rPr>
        <w:t xml:space="preserve"> – </w:t>
      </w:r>
      <w:r w:rsidR="6E2C18E2" w:rsidRPr="00B353EB">
        <w:rPr>
          <w:rStyle w:val="BodyTextChar"/>
          <w:spacing w:val="-6"/>
        </w:rPr>
        <w:t>for most cohorts (except &lt;1, 25</w:t>
      </w:r>
      <w:r w:rsidR="007A7A95" w:rsidRPr="00B353EB">
        <w:rPr>
          <w:rStyle w:val="BodyTextChar"/>
          <w:spacing w:val="-6"/>
        </w:rPr>
        <w:t>–</w:t>
      </w:r>
      <w:r w:rsidR="6E2C18E2" w:rsidRPr="00B353EB">
        <w:rPr>
          <w:rStyle w:val="BodyTextChar"/>
          <w:spacing w:val="-6"/>
        </w:rPr>
        <w:t>29 and 45</w:t>
      </w:r>
      <w:r w:rsidR="007A7A95" w:rsidRPr="00B353EB">
        <w:rPr>
          <w:rStyle w:val="BodyTextChar"/>
          <w:spacing w:val="-6"/>
        </w:rPr>
        <w:t>–</w:t>
      </w:r>
      <w:r w:rsidR="6E2C18E2" w:rsidRPr="00B353EB">
        <w:rPr>
          <w:rStyle w:val="BodyTextChar"/>
          <w:spacing w:val="-6"/>
        </w:rPr>
        <w:t>49</w:t>
      </w:r>
      <w:r w:rsidR="007A7A95" w:rsidRPr="00B353EB">
        <w:rPr>
          <w:rStyle w:val="BodyTextChar"/>
          <w:spacing w:val="-6"/>
        </w:rPr>
        <w:t xml:space="preserve"> years</w:t>
      </w:r>
      <w:r w:rsidR="6E2C18E2" w:rsidRPr="00B353EB">
        <w:rPr>
          <w:rStyle w:val="BodyTextChar"/>
          <w:spacing w:val="-6"/>
        </w:rPr>
        <w:t>) increas</w:t>
      </w:r>
      <w:r w:rsidR="00E20C29" w:rsidRPr="00B353EB">
        <w:rPr>
          <w:rStyle w:val="BodyTextChar"/>
          <w:spacing w:val="-6"/>
        </w:rPr>
        <w:t>ed from 2014</w:t>
      </w:r>
      <w:r w:rsidR="007A7A95" w:rsidRPr="00B353EB">
        <w:rPr>
          <w:rStyle w:val="BodyTextChar"/>
          <w:spacing w:val="-6"/>
        </w:rPr>
        <w:t>–</w:t>
      </w:r>
      <w:r w:rsidR="00E20C29" w:rsidRPr="00B353EB">
        <w:rPr>
          <w:rStyle w:val="BodyTextChar"/>
          <w:spacing w:val="-6"/>
        </w:rPr>
        <w:t>18 to 2018</w:t>
      </w:r>
      <w:r w:rsidR="007A7A95" w:rsidRPr="00B353EB">
        <w:rPr>
          <w:rStyle w:val="BodyTextChar"/>
          <w:spacing w:val="-6"/>
        </w:rPr>
        <w:t>–</w:t>
      </w:r>
      <w:r w:rsidR="00E20C29" w:rsidRPr="00B353EB">
        <w:rPr>
          <w:rStyle w:val="BodyTextChar"/>
          <w:spacing w:val="-6"/>
        </w:rPr>
        <w:t>2022</w:t>
      </w:r>
      <w:r w:rsidR="61A51C16" w:rsidRPr="00B353EB">
        <w:rPr>
          <w:rStyle w:val="BodyTextChar"/>
          <w:spacing w:val="-6"/>
        </w:rPr>
        <w:t xml:space="preserve"> (figure 2.2)</w:t>
      </w:r>
      <w:r w:rsidR="245E3167" w:rsidRPr="00B353EB">
        <w:rPr>
          <w:rStyle w:val="BodyTextChar"/>
          <w:spacing w:val="-6"/>
        </w:rPr>
        <w:t xml:space="preserve">. </w:t>
      </w:r>
      <w:r w:rsidR="00CD1559" w:rsidRPr="00B353EB">
        <w:rPr>
          <w:rStyle w:val="BodyTextChar"/>
          <w:spacing w:val="-6"/>
        </w:rPr>
        <w:t>Trends</w:t>
      </w:r>
      <w:r w:rsidR="00A028AD" w:rsidRPr="00B353EB">
        <w:rPr>
          <w:rStyle w:val="BodyTextChar"/>
          <w:spacing w:val="-6"/>
        </w:rPr>
        <w:t xml:space="preserve"> for this indicator</w:t>
      </w:r>
      <w:r w:rsidR="00CD1559" w:rsidRPr="00B353EB">
        <w:rPr>
          <w:rStyle w:val="BodyTextChar"/>
          <w:spacing w:val="-6"/>
        </w:rPr>
        <w:t xml:space="preserve"> should be interpreted with a degree of </w:t>
      </w:r>
      <w:r w:rsidR="00540823" w:rsidRPr="00B353EB">
        <w:rPr>
          <w:rStyle w:val="BodyTextChar"/>
          <w:spacing w:val="-6"/>
        </w:rPr>
        <w:t>caution</w:t>
      </w:r>
      <w:r w:rsidR="00586193" w:rsidRPr="00B353EB">
        <w:rPr>
          <w:rStyle w:val="BodyTextChar"/>
          <w:spacing w:val="-6"/>
        </w:rPr>
        <w:t xml:space="preserve"> </w:t>
      </w:r>
      <w:r w:rsidR="00CC5FA9" w:rsidRPr="00B353EB">
        <w:rPr>
          <w:rStyle w:val="BodyTextChar"/>
          <w:spacing w:val="-6"/>
        </w:rPr>
        <w:t xml:space="preserve">as outlined in </w:t>
      </w:r>
      <w:r w:rsidR="00F60B71" w:rsidRPr="00B353EB">
        <w:rPr>
          <w:rStyle w:val="BodyTextChar"/>
          <w:spacing w:val="-6"/>
        </w:rPr>
        <w:t>box</w:t>
      </w:r>
      <w:r w:rsidR="0076295A" w:rsidRPr="00B353EB">
        <w:rPr>
          <w:rStyle w:val="BodyTextChar"/>
          <w:spacing w:val="-6"/>
        </w:rPr>
        <w:t> </w:t>
      </w:r>
      <w:r w:rsidR="00F60B71" w:rsidRPr="00B353EB">
        <w:rPr>
          <w:rStyle w:val="BodyTextChar"/>
          <w:spacing w:val="-6"/>
        </w:rPr>
        <w:t>2.2</w:t>
      </w:r>
      <w:r w:rsidR="00131EFE" w:rsidRPr="00B353EB">
        <w:rPr>
          <w:rStyle w:val="BodyTextChar"/>
          <w:spacing w:val="-6"/>
        </w:rPr>
        <w:t>.</w:t>
      </w:r>
      <w:r w:rsidR="00F60B71" w:rsidRPr="00B353EB">
        <w:rPr>
          <w:iCs/>
        </w:rPr>
        <w:t xml:space="preserve"> </w:t>
      </w:r>
    </w:p>
    <w:p w14:paraId="3C59A5FB" w14:textId="7C76B8E2" w:rsidR="003874F1" w:rsidRPr="007B3DCE" w:rsidRDefault="003874F1">
      <w:pPr>
        <w:pStyle w:val="FigureTableHeading"/>
        <w:rPr>
          <w:color w:val="3B2A1C" w:themeColor="background1" w:themeShade="80"/>
        </w:rPr>
      </w:pPr>
      <w:r w:rsidRPr="007B3DCE">
        <w:rPr>
          <w:color w:val="3B2A1C" w:themeColor="background1" w:themeShade="80"/>
        </w:rPr>
        <w:lastRenderedPageBreak/>
        <w:t xml:space="preserve">Figure </w:t>
      </w:r>
      <w:r w:rsidR="00D15D87" w:rsidRPr="007B3DCE">
        <w:rPr>
          <w:color w:val="3B2A1C" w:themeColor="background1" w:themeShade="80"/>
        </w:rPr>
        <w:t>2</w:t>
      </w:r>
      <w:r w:rsidRPr="007B3DCE">
        <w:rPr>
          <w:color w:val="3B2A1C" w:themeColor="background1" w:themeShade="80"/>
        </w:rPr>
        <w:t>.</w:t>
      </w:r>
      <w:r w:rsidR="0036545D" w:rsidRPr="007B3DCE">
        <w:rPr>
          <w:color w:val="3B2A1C" w:themeColor="background1" w:themeShade="80"/>
        </w:rPr>
        <w:t>2</w:t>
      </w:r>
      <w:r w:rsidRPr="007B3DCE">
        <w:rPr>
          <w:color w:val="3B2A1C" w:themeColor="background1" w:themeShade="80"/>
        </w:rPr>
        <w:t xml:space="preserve"> – </w:t>
      </w:r>
      <w:r w:rsidR="00D15D87" w:rsidRPr="007B3DCE">
        <w:rPr>
          <w:rFonts w:ascii="Arial Black" w:hAnsi="Arial Black"/>
          <w:b/>
          <w:color w:val="3B2A1C" w:themeColor="background1" w:themeShade="80"/>
        </w:rPr>
        <w:t>Percentage change in mortality rates nationally</w:t>
      </w:r>
      <w:r w:rsidRPr="007B3DCE">
        <w:rPr>
          <w:color w:val="3B2A1C" w:themeColor="background1" w:themeShade="80"/>
          <w:vertAlign w:val="superscript"/>
        </w:rPr>
        <w:t>a</w:t>
      </w:r>
    </w:p>
    <w:p w14:paraId="1D83B219" w14:textId="7BF2E6A9" w:rsidR="00455C16" w:rsidRPr="007B3DCE" w:rsidRDefault="00C87B54" w:rsidP="00C87B54">
      <w:pPr>
        <w:pStyle w:val="FigureTableSubheading"/>
        <w:rPr>
          <w:color w:val="775538" w:themeColor="background1"/>
        </w:rPr>
      </w:pPr>
      <w:r w:rsidRPr="007B3DCE">
        <w:rPr>
          <w:color w:val="775538" w:themeColor="background1"/>
        </w:rPr>
        <w:t>Change</w:t>
      </w:r>
      <w:r w:rsidR="0CBA8D3D" w:rsidRPr="007B3DCE">
        <w:rPr>
          <w:color w:val="775538" w:themeColor="background1"/>
        </w:rPr>
        <w:t xml:space="preserve"> in </w:t>
      </w:r>
      <w:r w:rsidR="7F993897" w:rsidRPr="007B3DCE">
        <w:rPr>
          <w:color w:val="775538" w:themeColor="background1"/>
        </w:rPr>
        <w:t xml:space="preserve">Aboriginal and Torres Strait Islander </w:t>
      </w:r>
      <w:r w:rsidR="0CBA8D3D" w:rsidRPr="007B3DCE">
        <w:rPr>
          <w:color w:val="775538" w:themeColor="background1"/>
        </w:rPr>
        <w:t>mortality rates</w:t>
      </w:r>
      <w:r w:rsidRPr="007B3DCE">
        <w:rPr>
          <w:color w:val="775538" w:themeColor="background1"/>
        </w:rPr>
        <w:t xml:space="preserve"> </w:t>
      </w:r>
      <w:r w:rsidR="001177F4">
        <w:rPr>
          <w:color w:val="775538" w:themeColor="background1"/>
        </w:rPr>
        <w:t>by</w:t>
      </w:r>
      <w:r w:rsidR="0A8B7AF5" w:rsidRPr="007B3DCE">
        <w:rPr>
          <w:color w:val="775538" w:themeColor="background1"/>
        </w:rPr>
        <w:t xml:space="preserve"> age cohort</w:t>
      </w:r>
      <w:r w:rsidR="00DF0BB4">
        <w:rPr>
          <w:color w:val="775538" w:themeColor="background1"/>
        </w:rPr>
        <w:t>,</w:t>
      </w:r>
      <w:r w:rsidR="0A8B7AF5" w:rsidRPr="007B3DCE">
        <w:rPr>
          <w:color w:val="775538" w:themeColor="background1"/>
        </w:rPr>
        <w:t xml:space="preserve"> all causes of death, between 2014–2018 and 2018–2022</w:t>
      </w:r>
      <w:r w:rsidRPr="007B3DCE">
        <w:rPr>
          <w:color w:val="775538" w:themeColor="background1"/>
        </w:rPr>
        <w:t xml:space="preserve"> </w:t>
      </w:r>
      <w:r w:rsidR="0046656B" w:rsidRPr="007B3DCE">
        <w:rPr>
          <w:color w:val="775538" w:themeColor="background1"/>
        </w:rPr>
        <w:t>(1b)</w:t>
      </w:r>
    </w:p>
    <w:p w14:paraId="434C553A" w14:textId="136CDA25" w:rsidR="003654F3" w:rsidRDefault="00F53E51" w:rsidP="000B3714">
      <w:pPr>
        <w:pStyle w:val="Note"/>
        <w:rPr>
          <w:b/>
          <w:bCs/>
        </w:rPr>
      </w:pPr>
      <w:r w:rsidRPr="00F53E51">
        <w:rPr>
          <w:noProof/>
        </w:rPr>
        <w:drawing>
          <wp:inline distT="0" distB="0" distL="0" distR="0" wp14:anchorId="3A0EBD91" wp14:editId="1440150C">
            <wp:extent cx="6120130" cy="2743200"/>
            <wp:effectExtent l="0" t="0" r="0" b="0"/>
            <wp:docPr id="1910766574" name="Picture 187" descr="Figure 2.2 is a pyramid chart that shows the changes in Aboriginal and Torres Strait Islander mortality rates of age cohorts for all causes of death, between 2014-2018 and 2018-2022. The age groups range from less than 1 year to 75+ years. The data shows most age groups are increasing/worsening, with the 15-19 year age group showing the worst percentage change at almost 25%. The figure shows only three age groups decreasing/improving - &lt; 1, 25-29, and 45-4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66574" name="Picture 187" descr="Figure 2.2 is a pyramid chart that shows the changes in Aboriginal and Torres Strait Islander mortality rates of age cohorts for all causes of death, between 2014-2018 and 2018-2022. The age groups range from less than 1 year to 75+ years. The data shows most age groups are increasing/worsening, with the 15-19 year age group showing the worst percentage change at almost 25%. The figure shows only three age groups decreasing/improving - &lt; 1, 25-29, and 45-49. "/>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867"/>
                    <a:stretch/>
                  </pic:blipFill>
                  <pic:spPr bwMode="auto">
                    <a:xfrm>
                      <a:off x="0" y="0"/>
                      <a:ext cx="612013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57AF344F" w14:textId="636C90A8" w:rsidR="00C87B54" w:rsidRDefault="00B301B4" w:rsidP="000B3714">
      <w:pPr>
        <w:pStyle w:val="Note"/>
      </w:pPr>
      <w:r w:rsidRPr="007B3DCE">
        <w:rPr>
          <w:b/>
          <w:bCs/>
        </w:rPr>
        <w:t>a</w:t>
      </w:r>
      <w:r w:rsidR="009173F1" w:rsidRPr="007B3DCE">
        <w:rPr>
          <w:b/>
          <w:bCs/>
        </w:rPr>
        <w:t>.</w:t>
      </w:r>
      <w:r w:rsidR="009173F1" w:rsidRPr="007B3DCE">
        <w:rPr>
          <w:b/>
        </w:rPr>
        <w:t xml:space="preserve"> </w:t>
      </w:r>
      <w:r w:rsidR="00C87B54" w:rsidRPr="007B3DCE">
        <w:t xml:space="preserve">Mortality rates for infants (children less than 1 year) are deaths per 1,000 live births. Mortality rates for other age </w:t>
      </w:r>
      <w:r w:rsidR="00EB19FC" w:rsidRPr="007B3DCE">
        <w:t>cohorts</w:t>
      </w:r>
      <w:r w:rsidR="00C87B54" w:rsidRPr="007B3DCE">
        <w:t xml:space="preserve"> are deaths per 100,000 people.</w:t>
      </w:r>
    </w:p>
    <w:p w14:paraId="1E729E2D" w14:textId="77777777" w:rsidR="008779BD" w:rsidRPr="003654F3" w:rsidRDefault="008779BD" w:rsidP="009A5C20">
      <w:pPr>
        <w:pStyle w:val="Source"/>
      </w:pPr>
      <w:r w:rsidRPr="003654F3">
        <w:t>Source: Derived from ABS (unpublished) Causes of Death Australia</w:t>
      </w:r>
    </w:p>
    <w:p w14:paraId="6E8E76DB" w14:textId="566274A3" w:rsidR="00673E89" w:rsidRPr="00673E89" w:rsidRDefault="00673E89" w:rsidP="00673E89">
      <w:pPr>
        <w:pStyle w:val="Heading5"/>
        <w:spacing w:before="240"/>
        <w:rPr>
          <w:color w:val="3B2A1C" w:themeColor="background1" w:themeShade="80"/>
        </w:rPr>
      </w:pPr>
      <w:r w:rsidRPr="000630AB">
        <w:rPr>
          <w:color w:val="3B2A1C" w:themeColor="background1" w:themeShade="80"/>
        </w:rPr>
        <w:t>Some changes in the leading causes of death</w:t>
      </w:r>
      <w:r w:rsidR="009D0F88">
        <w:rPr>
          <w:color w:val="3B2A1C" w:themeColor="background1" w:themeShade="80"/>
        </w:rPr>
        <w:t xml:space="preserve"> </w:t>
      </w:r>
    </w:p>
    <w:p w14:paraId="7DC274C3" w14:textId="6C8C2B7B" w:rsidR="00C86A87" w:rsidRPr="00320314" w:rsidRDefault="59893600" w:rsidP="00320314">
      <w:pPr>
        <w:pStyle w:val="BodyText"/>
      </w:pPr>
      <w:r w:rsidRPr="007B3DCE">
        <w:t xml:space="preserve">Despite a decline in the rate of </w:t>
      </w:r>
      <w:r w:rsidR="2675D686" w:rsidRPr="007B3DCE">
        <w:t xml:space="preserve">Aboriginal and Torres Strait Islander infant mortality </w:t>
      </w:r>
      <w:r w:rsidRPr="007B3DCE">
        <w:t xml:space="preserve">associated with certain conditions </w:t>
      </w:r>
      <w:r w:rsidRPr="00320314">
        <w:t xml:space="preserve">originating in the perinatal period, it </w:t>
      </w:r>
      <w:r w:rsidR="00710381" w:rsidRPr="00320314">
        <w:t xml:space="preserve">remained </w:t>
      </w:r>
      <w:r w:rsidRPr="00320314">
        <w:t xml:space="preserve">the leading cause of death for </w:t>
      </w:r>
      <w:r w:rsidR="008C4298" w:rsidRPr="00320314">
        <w:t>childre</w:t>
      </w:r>
      <w:r w:rsidR="008B4EDD" w:rsidRPr="00320314">
        <w:t>n</w:t>
      </w:r>
      <w:r w:rsidR="008C4298" w:rsidRPr="00320314">
        <w:t xml:space="preserve"> aged less than 1 year</w:t>
      </w:r>
      <w:r w:rsidRPr="00320314">
        <w:t>.</w:t>
      </w:r>
      <w:r w:rsidR="00A86903" w:rsidRPr="00320314">
        <w:t xml:space="preserve"> </w:t>
      </w:r>
      <w:r w:rsidR="002E0719" w:rsidRPr="00320314">
        <w:t xml:space="preserve">For </w:t>
      </w:r>
      <w:r w:rsidR="003348DF" w:rsidRPr="00320314">
        <w:t xml:space="preserve">Aboriginal and Torres Strait Islander </w:t>
      </w:r>
      <w:r w:rsidR="002E0719" w:rsidRPr="00320314">
        <w:t>children</w:t>
      </w:r>
      <w:r w:rsidR="008D367B" w:rsidRPr="00320314">
        <w:t xml:space="preserve"> aged 1</w:t>
      </w:r>
      <w:r w:rsidR="00DF1C9A" w:rsidRPr="00320314">
        <w:rPr>
          <w:rStyle w:val="normaltextrun"/>
        </w:rPr>
        <w:t>–</w:t>
      </w:r>
      <w:r w:rsidR="008D367B" w:rsidRPr="00320314">
        <w:t>14 years, the</w:t>
      </w:r>
      <w:r w:rsidR="00C86A87" w:rsidRPr="00320314">
        <w:t xml:space="preserve"> leading cause of mortality </w:t>
      </w:r>
      <w:r w:rsidR="006A2CB1" w:rsidRPr="00320314">
        <w:t>remain</w:t>
      </w:r>
      <w:r w:rsidR="008D367B" w:rsidRPr="00320314">
        <w:t>ed</w:t>
      </w:r>
      <w:r w:rsidR="00C86A87" w:rsidRPr="00320314">
        <w:t xml:space="preserve"> land</w:t>
      </w:r>
      <w:r w:rsidR="0060072C" w:rsidRPr="00320314">
        <w:t>-</w:t>
      </w:r>
      <w:r w:rsidR="00C86A87" w:rsidRPr="00320314">
        <w:t xml:space="preserve">transport accidents </w:t>
      </w:r>
      <w:r w:rsidR="006A2CB1" w:rsidRPr="00320314">
        <w:t>and increased</w:t>
      </w:r>
      <w:r w:rsidR="00C86A87" w:rsidRPr="00320314">
        <w:t xml:space="preserve"> </w:t>
      </w:r>
      <w:r w:rsidR="0C271FC9" w:rsidRPr="00320314">
        <w:t xml:space="preserve">from 3.6 to </w:t>
      </w:r>
      <w:r w:rsidR="00C86A87" w:rsidRPr="00320314">
        <w:t xml:space="preserve">4.0 </w:t>
      </w:r>
      <w:r w:rsidR="00612EF6" w:rsidRPr="00320314">
        <w:t xml:space="preserve">deaths </w:t>
      </w:r>
      <w:r w:rsidR="00C86A87" w:rsidRPr="00320314">
        <w:t>per 100,000 children</w:t>
      </w:r>
      <w:r w:rsidR="00A730C5" w:rsidRPr="00320314">
        <w:t xml:space="preserve"> in 2018</w:t>
      </w:r>
      <w:r w:rsidR="005E5E46" w:rsidRPr="00320314">
        <w:rPr>
          <w:rStyle w:val="normaltextrun"/>
        </w:rPr>
        <w:t>-</w:t>
      </w:r>
      <w:r w:rsidR="00A730C5" w:rsidRPr="00320314">
        <w:t>2022</w:t>
      </w:r>
      <w:r w:rsidR="008448A2" w:rsidRPr="00320314">
        <w:t xml:space="preserve"> </w:t>
      </w:r>
      <w:r w:rsidR="00937B9A" w:rsidRPr="00320314">
        <w:t>(</w:t>
      </w:r>
      <w:r w:rsidR="001D5FC3" w:rsidRPr="00320314">
        <w:t>Measure</w:t>
      </w:r>
      <w:r w:rsidR="00937B9A" w:rsidRPr="00320314">
        <w:t xml:space="preserve"> 1b.2)</w:t>
      </w:r>
      <w:r w:rsidR="00C86A87" w:rsidRPr="00320314">
        <w:t xml:space="preserve">. </w:t>
      </w:r>
    </w:p>
    <w:p w14:paraId="6AEEC21F" w14:textId="2B5CFE3A" w:rsidR="00C86A87" w:rsidRPr="007B3DCE" w:rsidRDefault="4ADF7E7C" w:rsidP="00320314">
      <w:pPr>
        <w:pStyle w:val="BodyText"/>
      </w:pPr>
      <w:r w:rsidRPr="00320314">
        <w:t>F</w:t>
      </w:r>
      <w:r w:rsidR="0076084B" w:rsidRPr="00320314">
        <w:t>or</w:t>
      </w:r>
      <w:r w:rsidR="36CC236F" w:rsidRPr="00320314">
        <w:t xml:space="preserve"> </w:t>
      </w:r>
      <w:r w:rsidR="00A7350C" w:rsidRPr="00320314">
        <w:t xml:space="preserve">Aboriginal and Torres Strait Islander </w:t>
      </w:r>
      <w:r w:rsidR="00F772B5" w:rsidRPr="00320314">
        <w:t xml:space="preserve">people </w:t>
      </w:r>
      <w:r w:rsidR="00C86A87" w:rsidRPr="00320314">
        <w:t>aged 15</w:t>
      </w:r>
      <w:r w:rsidR="00DF1C9A" w:rsidRPr="00320314">
        <w:rPr>
          <w:rStyle w:val="normaltextrun"/>
        </w:rPr>
        <w:t>–</w:t>
      </w:r>
      <w:r w:rsidR="00C86A87" w:rsidRPr="00320314">
        <w:t xml:space="preserve">39 years </w:t>
      </w:r>
      <w:r w:rsidR="390F9C97" w:rsidRPr="00320314">
        <w:t>the leading cause of death</w:t>
      </w:r>
      <w:r w:rsidR="00E47C85" w:rsidRPr="00320314">
        <w:t xml:space="preserve"> in 2018</w:t>
      </w:r>
      <w:r w:rsidR="00DF1C9A" w:rsidRPr="00320314">
        <w:t>–</w:t>
      </w:r>
      <w:r w:rsidR="00E47C85" w:rsidRPr="00320314">
        <w:t>2022</w:t>
      </w:r>
      <w:r w:rsidR="3480581A" w:rsidRPr="00320314">
        <w:t xml:space="preserve"> was</w:t>
      </w:r>
      <w:r w:rsidR="0098162F" w:rsidRPr="00320314">
        <w:t xml:space="preserve"> self-harm</w:t>
      </w:r>
      <w:r w:rsidR="00D80AA1" w:rsidRPr="00320314">
        <w:t>,</w:t>
      </w:r>
      <w:r w:rsidR="00A764B3" w:rsidRPr="00320314">
        <w:t xml:space="preserve"> </w:t>
      </w:r>
      <w:r w:rsidR="2FB50653" w:rsidRPr="00320314">
        <w:t xml:space="preserve">with </w:t>
      </w:r>
      <w:r w:rsidR="00C86A87" w:rsidRPr="00320314">
        <w:t>rate</w:t>
      </w:r>
      <w:r w:rsidR="2616DAE1" w:rsidRPr="00320314">
        <w:t>s</w:t>
      </w:r>
      <w:r w:rsidR="00C86A87" w:rsidRPr="00320314">
        <w:t xml:space="preserve"> of death due to self</w:t>
      </w:r>
      <w:r w:rsidR="00C86A87" w:rsidRPr="00320314">
        <w:rPr>
          <w:rFonts w:ascii="Cambria Math" w:hAnsi="Cambria Math" w:cs="Cambria Math"/>
        </w:rPr>
        <w:t>‑</w:t>
      </w:r>
      <w:r w:rsidR="00C86A87" w:rsidRPr="00320314">
        <w:t>harm increas</w:t>
      </w:r>
      <w:r w:rsidR="3E572D3A" w:rsidRPr="00320314">
        <w:t xml:space="preserve">ing </w:t>
      </w:r>
      <w:r w:rsidR="00C86A87" w:rsidRPr="00320314">
        <w:t xml:space="preserve">for people </w:t>
      </w:r>
      <w:r w:rsidR="69604E6F" w:rsidRPr="00320314">
        <w:t xml:space="preserve">aged </w:t>
      </w:r>
      <w:r w:rsidR="00C86A87" w:rsidRPr="00320314">
        <w:t>15</w:t>
      </w:r>
      <w:r w:rsidR="00696EE3" w:rsidRPr="00320314">
        <w:t>–</w:t>
      </w:r>
      <w:r w:rsidR="00C86A87" w:rsidRPr="00320314">
        <w:t>19 years, 25</w:t>
      </w:r>
      <w:r w:rsidR="00696EE3" w:rsidRPr="00320314">
        <w:t>–</w:t>
      </w:r>
      <w:r w:rsidR="00C86A87" w:rsidRPr="00320314">
        <w:t>29 years and 35</w:t>
      </w:r>
      <w:r w:rsidR="00DF1C9A" w:rsidRPr="00320314">
        <w:rPr>
          <w:rStyle w:val="normaltextrun"/>
        </w:rPr>
        <w:t>–</w:t>
      </w:r>
      <w:r w:rsidR="00C86A87" w:rsidRPr="00320314">
        <w:t>39 years</w:t>
      </w:r>
      <w:r w:rsidR="004D67E3" w:rsidRPr="00320314">
        <w:t xml:space="preserve"> (from 2014-2018)</w:t>
      </w:r>
      <w:r w:rsidR="00C86A87" w:rsidRPr="00320314">
        <w:t xml:space="preserve">. </w:t>
      </w:r>
      <w:r w:rsidR="002C287D" w:rsidRPr="00320314">
        <w:t>R</w:t>
      </w:r>
      <w:r w:rsidR="00C86A87" w:rsidRPr="00320314">
        <w:t>ates decreased for people aged 20</w:t>
      </w:r>
      <w:r w:rsidR="00DF1C9A" w:rsidRPr="00320314">
        <w:rPr>
          <w:rStyle w:val="normaltextrun"/>
        </w:rPr>
        <w:t>–</w:t>
      </w:r>
      <w:r w:rsidR="00C86A87" w:rsidRPr="00320314">
        <w:t>24 years and 30 to 34 years</w:t>
      </w:r>
      <w:r w:rsidR="0026103C" w:rsidRPr="00320314">
        <w:t xml:space="preserve"> </w:t>
      </w:r>
      <w:r w:rsidR="00322962" w:rsidRPr="00320314">
        <w:t>(from 2014</w:t>
      </w:r>
      <w:r w:rsidR="00DF1C9A" w:rsidRPr="00320314">
        <w:rPr>
          <w:rStyle w:val="normaltextrun"/>
        </w:rPr>
        <w:t>–</w:t>
      </w:r>
      <w:r w:rsidR="00322962" w:rsidRPr="00320314">
        <w:t>2018)</w:t>
      </w:r>
      <w:r w:rsidR="00C86A87" w:rsidRPr="00320314">
        <w:t>.</w:t>
      </w:r>
      <w:r w:rsidR="003348DF" w:rsidRPr="00320314">
        <w:t xml:space="preserve"> </w:t>
      </w:r>
      <w:r w:rsidR="00847A1D" w:rsidRPr="00320314">
        <w:t>I</w:t>
      </w:r>
      <w:r w:rsidR="006A5406" w:rsidRPr="00320314">
        <w:t xml:space="preserve">schemic heart disease </w:t>
      </w:r>
      <w:r w:rsidR="003925E9" w:rsidRPr="00320314">
        <w:t>was</w:t>
      </w:r>
      <w:r w:rsidR="006A5406" w:rsidRPr="00320314">
        <w:t xml:space="preserve"> </w:t>
      </w:r>
      <w:r w:rsidR="00C86A87" w:rsidRPr="00320314">
        <w:t>the leading cause of death for Aboriginal and Torres Strait Islander people aged 40</w:t>
      </w:r>
      <w:r w:rsidR="00696EE3" w:rsidRPr="00320314">
        <w:rPr>
          <w:rStyle w:val="normaltextrun"/>
        </w:rPr>
        <w:t>–</w:t>
      </w:r>
      <w:r w:rsidR="00C86A87" w:rsidRPr="00320314">
        <w:t>74</w:t>
      </w:r>
      <w:r w:rsidR="00C86A87" w:rsidRPr="007B3DCE">
        <w:t xml:space="preserve"> years (</w:t>
      </w:r>
      <w:r w:rsidR="0007044D">
        <w:t xml:space="preserve">by </w:t>
      </w:r>
      <w:r w:rsidR="00C86A87" w:rsidRPr="007B3DCE">
        <w:t>five-year age groups)</w:t>
      </w:r>
      <w:r w:rsidR="00646D53" w:rsidRPr="007B3DCE">
        <w:t xml:space="preserve"> in</w:t>
      </w:r>
      <w:r w:rsidR="00C86A87" w:rsidRPr="007B3DCE">
        <w:t xml:space="preserve"> </w:t>
      </w:r>
      <w:r w:rsidR="00C86A87" w:rsidRPr="00320314">
        <w:t xml:space="preserve">2018–2022. </w:t>
      </w:r>
      <w:r w:rsidR="00F46CEA" w:rsidRPr="00320314">
        <w:t>R</w:t>
      </w:r>
      <w:r w:rsidR="00C86A87" w:rsidRPr="00320314">
        <w:t>ates</w:t>
      </w:r>
      <w:r w:rsidR="00725CB5" w:rsidRPr="00320314">
        <w:t xml:space="preserve"> </w:t>
      </w:r>
      <w:r w:rsidR="00C86A87" w:rsidRPr="00320314">
        <w:t xml:space="preserve">decreased </w:t>
      </w:r>
      <w:r w:rsidR="00E215E4" w:rsidRPr="00320314">
        <w:t>from 2014–2018</w:t>
      </w:r>
      <w:r w:rsidR="00C86A87" w:rsidRPr="00320314">
        <w:t xml:space="preserve"> </w:t>
      </w:r>
      <w:r w:rsidR="00725CB5" w:rsidRPr="00320314">
        <w:t xml:space="preserve">to 2018-2022 </w:t>
      </w:r>
      <w:r w:rsidR="0BEB078E" w:rsidRPr="00320314">
        <w:t xml:space="preserve">for </w:t>
      </w:r>
      <w:r w:rsidR="00C86A87" w:rsidRPr="00320314">
        <w:t xml:space="preserve">most age </w:t>
      </w:r>
      <w:r w:rsidR="0BA6109F" w:rsidRPr="00320314">
        <w:t>cohorts</w:t>
      </w:r>
      <w:r w:rsidR="00C86A87" w:rsidRPr="00320314">
        <w:t xml:space="preserve">, </w:t>
      </w:r>
      <w:r w:rsidR="0085367F" w:rsidRPr="00320314">
        <w:t>except for</w:t>
      </w:r>
      <w:r w:rsidR="00C86A87" w:rsidRPr="00320314">
        <w:t xml:space="preserve"> </w:t>
      </w:r>
      <w:r w:rsidR="2B128429" w:rsidRPr="00320314">
        <w:t xml:space="preserve">people </w:t>
      </w:r>
      <w:r w:rsidR="00C86A87" w:rsidRPr="00320314">
        <w:t>aged 40</w:t>
      </w:r>
      <w:r w:rsidR="00DF1C9A" w:rsidRPr="00320314">
        <w:t>–</w:t>
      </w:r>
      <w:r w:rsidR="00C86A87" w:rsidRPr="00320314">
        <w:t>44 years, 50</w:t>
      </w:r>
      <w:r w:rsidR="00DF1C9A" w:rsidRPr="00320314">
        <w:t>–</w:t>
      </w:r>
      <w:r w:rsidR="00C86A87" w:rsidRPr="00320314">
        <w:t>54 years and 70</w:t>
      </w:r>
      <w:r w:rsidR="00DF1C9A" w:rsidRPr="00320314">
        <w:t>–</w:t>
      </w:r>
      <w:r w:rsidR="00C86A87" w:rsidRPr="00320314">
        <w:t>74 years.</w:t>
      </w:r>
      <w:r w:rsidR="009226A1" w:rsidRPr="00320314">
        <w:t xml:space="preserve"> </w:t>
      </w:r>
      <w:r w:rsidR="00C86A87" w:rsidRPr="00320314">
        <w:t>Dementia overt</w:t>
      </w:r>
      <w:r w:rsidR="001C6826" w:rsidRPr="00320314">
        <w:t>ook</w:t>
      </w:r>
      <w:r w:rsidR="00C86A87" w:rsidRPr="00320314">
        <w:t xml:space="preserve"> ischemic heart disease as the leading cause of death for Aboriginal and Torres Strait Islander people aged 75 years or over </w:t>
      </w:r>
      <w:r w:rsidR="008C1F99" w:rsidRPr="00320314">
        <w:t xml:space="preserve">in </w:t>
      </w:r>
      <w:r w:rsidR="00C86A87" w:rsidRPr="00320314">
        <w:t>2018–2022</w:t>
      </w:r>
      <w:r w:rsidR="008C1F99" w:rsidRPr="00320314">
        <w:t xml:space="preserve">. </w:t>
      </w:r>
    </w:p>
    <w:p w14:paraId="3E67F15E" w14:textId="0DDBA5A7" w:rsidR="00C86A87" w:rsidRPr="007B3DCE" w:rsidRDefault="00B85AA2" w:rsidP="00C34584">
      <w:pPr>
        <w:pStyle w:val="Heading5"/>
        <w:spacing w:before="240"/>
        <w:rPr>
          <w:color w:val="3B2A1C" w:themeColor="background1" w:themeShade="80"/>
        </w:rPr>
      </w:pPr>
      <w:r w:rsidRPr="007B3DCE">
        <w:rPr>
          <w:color w:val="3B2A1C" w:themeColor="background1" w:themeShade="80"/>
        </w:rPr>
        <w:t>P</w:t>
      </w:r>
      <w:r w:rsidR="00C86A87" w:rsidRPr="007B3DCE">
        <w:rPr>
          <w:color w:val="3B2A1C" w:themeColor="background1" w:themeShade="80"/>
        </w:rPr>
        <w:t xml:space="preserve">ersonal protective </w:t>
      </w:r>
      <w:r w:rsidR="4D92ADEE" w:rsidRPr="007B3DCE">
        <w:rPr>
          <w:color w:val="3B2A1C" w:themeColor="background1" w:themeShade="80"/>
        </w:rPr>
        <w:t xml:space="preserve">and risk </w:t>
      </w:r>
      <w:r w:rsidR="00C86A87" w:rsidRPr="007B3DCE">
        <w:rPr>
          <w:color w:val="3B2A1C" w:themeColor="background1" w:themeShade="80"/>
        </w:rPr>
        <w:t xml:space="preserve">factors </w:t>
      </w:r>
      <w:r w:rsidR="005F0BE9" w:rsidRPr="007B3DCE">
        <w:rPr>
          <w:color w:val="3B2A1C" w:themeColor="background1" w:themeShade="80"/>
        </w:rPr>
        <w:t>show little improvement</w:t>
      </w:r>
    </w:p>
    <w:p w14:paraId="7FC81587" w14:textId="1E4EE251" w:rsidR="00C86A87" w:rsidRPr="004D06D9" w:rsidRDefault="001D5FC3">
      <w:pPr>
        <w:pStyle w:val="BodyText"/>
        <w:rPr>
          <w:spacing w:val="-2"/>
        </w:rPr>
      </w:pPr>
      <w:r w:rsidRPr="004D06D9">
        <w:rPr>
          <w:spacing w:val="-2"/>
        </w:rPr>
        <w:t>Strengthening</w:t>
      </w:r>
      <w:r w:rsidR="5A382B21" w:rsidRPr="004D06D9">
        <w:rPr>
          <w:spacing w:val="-2"/>
        </w:rPr>
        <w:t xml:space="preserve"> </w:t>
      </w:r>
      <w:r w:rsidR="00312C69" w:rsidRPr="004D06D9">
        <w:rPr>
          <w:spacing w:val="-2"/>
        </w:rPr>
        <w:t>protective factors</w:t>
      </w:r>
      <w:r w:rsidR="00BC7287" w:rsidRPr="004D06D9">
        <w:rPr>
          <w:spacing w:val="-2"/>
        </w:rPr>
        <w:t xml:space="preserve"> </w:t>
      </w:r>
      <w:r w:rsidR="4EEAB33D" w:rsidRPr="004D06D9">
        <w:rPr>
          <w:spacing w:val="-2"/>
        </w:rPr>
        <w:t xml:space="preserve">and reducing </w:t>
      </w:r>
      <w:r w:rsidR="0D77CE4E" w:rsidRPr="004D06D9">
        <w:rPr>
          <w:spacing w:val="-2"/>
        </w:rPr>
        <w:t>risk</w:t>
      </w:r>
      <w:r w:rsidR="536E5721" w:rsidRPr="004D06D9">
        <w:rPr>
          <w:spacing w:val="-2"/>
        </w:rPr>
        <w:t xml:space="preserve"> factors </w:t>
      </w:r>
      <w:r w:rsidR="00E038D5" w:rsidRPr="004D06D9">
        <w:rPr>
          <w:spacing w:val="-2"/>
        </w:rPr>
        <w:t xml:space="preserve">– </w:t>
      </w:r>
      <w:r w:rsidR="00852C04" w:rsidRPr="004D06D9">
        <w:rPr>
          <w:spacing w:val="-2"/>
        </w:rPr>
        <w:t>recorded under</w:t>
      </w:r>
      <w:r w:rsidR="00E038D5" w:rsidRPr="004D06D9">
        <w:rPr>
          <w:spacing w:val="-2"/>
        </w:rPr>
        <w:t xml:space="preserve"> Indicator 1d </w:t>
      </w:r>
      <w:r w:rsidR="00696EE3" w:rsidRPr="004D06D9">
        <w:rPr>
          <w:spacing w:val="-2"/>
        </w:rPr>
        <w:t>–</w:t>
      </w:r>
      <w:r w:rsidR="00E038D5" w:rsidRPr="004D06D9">
        <w:rPr>
          <w:spacing w:val="-2"/>
        </w:rPr>
        <w:t xml:space="preserve"> </w:t>
      </w:r>
      <w:r w:rsidR="00BC7287" w:rsidRPr="004D06D9">
        <w:rPr>
          <w:spacing w:val="-2"/>
        </w:rPr>
        <w:t xml:space="preserve">can </w:t>
      </w:r>
      <w:r w:rsidR="50C48A21" w:rsidRPr="004D06D9">
        <w:rPr>
          <w:spacing w:val="-2"/>
        </w:rPr>
        <w:t xml:space="preserve">promote </w:t>
      </w:r>
      <w:r w:rsidR="00BC7287" w:rsidRPr="004D06D9">
        <w:rPr>
          <w:spacing w:val="-2"/>
        </w:rPr>
        <w:t>holistic health and wellbeing</w:t>
      </w:r>
      <w:r w:rsidR="38E7E5BF" w:rsidRPr="004D06D9">
        <w:rPr>
          <w:spacing w:val="-2"/>
        </w:rPr>
        <w:t xml:space="preserve">, </w:t>
      </w:r>
      <w:r w:rsidR="45365B41" w:rsidRPr="004D06D9">
        <w:rPr>
          <w:spacing w:val="-2"/>
        </w:rPr>
        <w:t>ultimately</w:t>
      </w:r>
      <w:r w:rsidR="38E7E5BF" w:rsidRPr="004D06D9">
        <w:rPr>
          <w:spacing w:val="-2"/>
        </w:rPr>
        <w:t xml:space="preserve"> </w:t>
      </w:r>
      <w:r w:rsidR="00BC7287" w:rsidRPr="004D06D9">
        <w:rPr>
          <w:spacing w:val="-2"/>
        </w:rPr>
        <w:t>support</w:t>
      </w:r>
      <w:r w:rsidR="1BC17C0E" w:rsidRPr="004D06D9">
        <w:rPr>
          <w:spacing w:val="-2"/>
        </w:rPr>
        <w:t>ing a longer</w:t>
      </w:r>
      <w:r w:rsidR="00BC7287" w:rsidRPr="004D06D9">
        <w:rPr>
          <w:spacing w:val="-2"/>
        </w:rPr>
        <w:t xml:space="preserve"> </w:t>
      </w:r>
      <w:r w:rsidR="322792DC" w:rsidRPr="004D06D9">
        <w:rPr>
          <w:spacing w:val="-2"/>
        </w:rPr>
        <w:t xml:space="preserve">and healthier </w:t>
      </w:r>
      <w:r w:rsidR="00BC7287" w:rsidRPr="004D06D9">
        <w:rPr>
          <w:spacing w:val="-2"/>
        </w:rPr>
        <w:t>life</w:t>
      </w:r>
      <w:r w:rsidR="00EC1AF2" w:rsidRPr="004D06D9">
        <w:rPr>
          <w:spacing w:val="-2"/>
        </w:rPr>
        <w:t>.</w:t>
      </w:r>
      <w:r w:rsidR="00C96CDA" w:rsidRPr="004D06D9">
        <w:rPr>
          <w:spacing w:val="-2"/>
        </w:rPr>
        <w:t xml:space="preserve"> </w:t>
      </w:r>
      <w:r w:rsidR="38F20F71" w:rsidRPr="004D06D9">
        <w:rPr>
          <w:rFonts w:ascii="Helvetica" w:eastAsia="Helvetica" w:hAnsi="Helvetica" w:cs="Helvetica"/>
          <w:spacing w:val="-2"/>
        </w:rPr>
        <w:t xml:space="preserve">There has been little improvement in personal </w:t>
      </w:r>
      <w:r w:rsidR="003348DF" w:rsidRPr="004D06D9">
        <w:rPr>
          <w:rFonts w:ascii="Helvetica" w:eastAsia="Helvetica" w:hAnsi="Helvetica" w:cs="Helvetica"/>
          <w:spacing w:val="-2"/>
        </w:rPr>
        <w:t xml:space="preserve">protective and </w:t>
      </w:r>
      <w:r w:rsidR="00B77801" w:rsidRPr="004D06D9">
        <w:rPr>
          <w:rFonts w:ascii="Helvetica" w:eastAsia="Helvetica" w:hAnsi="Helvetica" w:cs="Helvetica"/>
          <w:spacing w:val="-2"/>
        </w:rPr>
        <w:t>health</w:t>
      </w:r>
      <w:r w:rsidR="006B4DF8" w:rsidRPr="004D06D9">
        <w:rPr>
          <w:rFonts w:ascii="Helvetica" w:eastAsia="Helvetica" w:hAnsi="Helvetica" w:cs="Helvetica"/>
          <w:spacing w:val="-2"/>
        </w:rPr>
        <w:t xml:space="preserve"> </w:t>
      </w:r>
      <w:r w:rsidR="003348DF" w:rsidRPr="004D06D9">
        <w:rPr>
          <w:rFonts w:ascii="Helvetica" w:eastAsia="Helvetica" w:hAnsi="Helvetica" w:cs="Helvetica"/>
          <w:spacing w:val="-2"/>
        </w:rPr>
        <w:t>risk</w:t>
      </w:r>
      <w:r w:rsidR="00B77801" w:rsidRPr="004D06D9">
        <w:rPr>
          <w:rFonts w:ascii="Helvetica" w:eastAsia="Helvetica" w:hAnsi="Helvetica" w:cs="Helvetica"/>
          <w:spacing w:val="-2"/>
        </w:rPr>
        <w:t xml:space="preserve"> </w:t>
      </w:r>
      <w:r w:rsidR="38F20F71" w:rsidRPr="004D06D9">
        <w:rPr>
          <w:rFonts w:ascii="Helvetica" w:eastAsia="Helvetica" w:hAnsi="Helvetica" w:cs="Helvetica"/>
          <w:spacing w:val="-2"/>
        </w:rPr>
        <w:t xml:space="preserve">factors of Aboriginal and Torres Strait Islander people over </w:t>
      </w:r>
      <w:r w:rsidR="003348DF" w:rsidRPr="004D06D9">
        <w:rPr>
          <w:rFonts w:ascii="Helvetica" w:eastAsia="Helvetica" w:hAnsi="Helvetica" w:cs="Helvetica"/>
          <w:spacing w:val="-2"/>
        </w:rPr>
        <w:t>time</w:t>
      </w:r>
      <w:r w:rsidR="003F29F1" w:rsidRPr="004D06D9">
        <w:rPr>
          <w:spacing w:val="-2"/>
        </w:rPr>
        <w:t xml:space="preserve"> (figure </w:t>
      </w:r>
      <w:r w:rsidR="00326757" w:rsidRPr="004D06D9">
        <w:rPr>
          <w:spacing w:val="-2"/>
        </w:rPr>
        <w:t xml:space="preserve">2.3). </w:t>
      </w:r>
      <w:r w:rsidR="003348DF" w:rsidRPr="004D06D9">
        <w:rPr>
          <w:spacing w:val="-2"/>
        </w:rPr>
        <w:t>Data for 2018</w:t>
      </w:r>
      <w:r w:rsidR="00C374EC" w:rsidRPr="004D06D9">
        <w:rPr>
          <w:spacing w:val="-2"/>
        </w:rPr>
        <w:t>-</w:t>
      </w:r>
      <w:r w:rsidR="003348DF" w:rsidRPr="004D06D9">
        <w:rPr>
          <w:spacing w:val="-2"/>
        </w:rPr>
        <w:t>19 shows that p</w:t>
      </w:r>
      <w:r w:rsidR="00AE5CA1" w:rsidRPr="004D06D9">
        <w:rPr>
          <w:spacing w:val="-2"/>
        </w:rPr>
        <w:t>rotective</w:t>
      </w:r>
      <w:r w:rsidR="00C86A87" w:rsidRPr="004D06D9">
        <w:rPr>
          <w:spacing w:val="-2"/>
        </w:rPr>
        <w:t xml:space="preserve"> health </w:t>
      </w:r>
      <w:r w:rsidR="000E1E20" w:rsidRPr="004D06D9">
        <w:rPr>
          <w:spacing w:val="-2"/>
        </w:rPr>
        <w:t>factors</w:t>
      </w:r>
      <w:r w:rsidR="48E90574" w:rsidRPr="004D06D9">
        <w:rPr>
          <w:spacing w:val="-2"/>
        </w:rPr>
        <w:t xml:space="preserve"> including </w:t>
      </w:r>
      <w:r w:rsidR="73CB821B" w:rsidRPr="004D06D9">
        <w:rPr>
          <w:spacing w:val="-2"/>
        </w:rPr>
        <w:t xml:space="preserve">adequate daily fruit intake and vegetable consumption have remained largely unchanged since </w:t>
      </w:r>
      <w:r w:rsidR="55476D46" w:rsidRPr="004D06D9">
        <w:rPr>
          <w:spacing w:val="-2"/>
        </w:rPr>
        <w:t>2012</w:t>
      </w:r>
      <w:r w:rsidR="005E5E46" w:rsidRPr="004D06D9">
        <w:rPr>
          <w:rStyle w:val="normaltextrun"/>
          <w:rFonts w:ascii="Arial (Body)" w:hAnsi="Arial (Body)" w:cs="Arial"/>
          <w:spacing w:val="-2"/>
          <w:bdr w:val="none" w:sz="0" w:space="0" w:color="auto" w:frame="1"/>
        </w:rPr>
        <w:t>-</w:t>
      </w:r>
      <w:r w:rsidR="55476D46" w:rsidRPr="004D06D9">
        <w:rPr>
          <w:spacing w:val="-2"/>
        </w:rPr>
        <w:t>13</w:t>
      </w:r>
      <w:r w:rsidR="00412180" w:rsidRPr="004D06D9">
        <w:rPr>
          <w:spacing w:val="-2"/>
        </w:rPr>
        <w:t xml:space="preserve"> (box 2.3</w:t>
      </w:r>
      <w:r w:rsidR="00A16AF2" w:rsidRPr="004D06D9">
        <w:rPr>
          <w:spacing w:val="-2"/>
        </w:rPr>
        <w:t xml:space="preserve"> provides data considerations</w:t>
      </w:r>
      <w:r w:rsidR="00412180" w:rsidRPr="004D06D9">
        <w:rPr>
          <w:spacing w:val="-2"/>
        </w:rPr>
        <w:t>)</w:t>
      </w:r>
      <w:r w:rsidR="73CB821B" w:rsidRPr="004D06D9">
        <w:rPr>
          <w:spacing w:val="-2"/>
        </w:rPr>
        <w:t>.</w:t>
      </w:r>
      <w:r w:rsidR="00C86A87" w:rsidRPr="004D06D9">
        <w:rPr>
          <w:spacing w:val="-2"/>
        </w:rPr>
        <w:t xml:space="preserve"> </w:t>
      </w:r>
      <w:r w:rsidR="04D3E6C1" w:rsidRPr="004D06D9">
        <w:rPr>
          <w:spacing w:val="-2"/>
        </w:rPr>
        <w:t>While</w:t>
      </w:r>
      <w:r w:rsidR="00785D0C" w:rsidRPr="004D06D9">
        <w:rPr>
          <w:spacing w:val="-2"/>
        </w:rPr>
        <w:t xml:space="preserve"> t</w:t>
      </w:r>
      <w:r w:rsidR="00A25D57" w:rsidRPr="004D06D9">
        <w:rPr>
          <w:spacing w:val="-2"/>
        </w:rPr>
        <w:t>he</w:t>
      </w:r>
      <w:r w:rsidR="00C86A87" w:rsidRPr="004D06D9">
        <w:rPr>
          <w:spacing w:val="-2"/>
        </w:rPr>
        <w:t xml:space="preserve"> rate of daily smoking among Aboriginal and Torres Strait Islander adults declined </w:t>
      </w:r>
      <w:r w:rsidR="00197354" w:rsidRPr="004D06D9">
        <w:rPr>
          <w:spacing w:val="-2"/>
        </w:rPr>
        <w:t>by almost 10</w:t>
      </w:r>
      <w:r w:rsidR="003348DF" w:rsidRPr="004D06D9">
        <w:rPr>
          <w:spacing w:val="-2"/>
        </w:rPr>
        <w:t> </w:t>
      </w:r>
      <w:r w:rsidR="06359612" w:rsidRPr="004D06D9">
        <w:rPr>
          <w:spacing w:val="-2"/>
        </w:rPr>
        <w:t>percentage points</w:t>
      </w:r>
      <w:r w:rsidR="327DC4A2" w:rsidRPr="004D06D9">
        <w:rPr>
          <w:spacing w:val="-2"/>
        </w:rPr>
        <w:t xml:space="preserve"> </w:t>
      </w:r>
      <w:r w:rsidR="43AA2C6F" w:rsidRPr="004D06D9">
        <w:rPr>
          <w:spacing w:val="-2"/>
        </w:rPr>
        <w:t>since 2004</w:t>
      </w:r>
      <w:r w:rsidR="00836224" w:rsidRPr="004D06D9">
        <w:rPr>
          <w:spacing w:val="-2"/>
        </w:rPr>
        <w:t>-05</w:t>
      </w:r>
      <w:r w:rsidR="43AA2C6F" w:rsidRPr="004D06D9">
        <w:rPr>
          <w:spacing w:val="-2"/>
        </w:rPr>
        <w:t>, it plateaued between 2014</w:t>
      </w:r>
      <w:r w:rsidR="005E5E46" w:rsidRPr="004D06D9">
        <w:rPr>
          <w:spacing w:val="-2"/>
        </w:rPr>
        <w:t>-</w:t>
      </w:r>
      <w:r w:rsidR="43AA2C6F" w:rsidRPr="004D06D9">
        <w:rPr>
          <w:spacing w:val="-2"/>
        </w:rPr>
        <w:t>15 and 2018</w:t>
      </w:r>
      <w:r w:rsidR="005E5E46" w:rsidRPr="004D06D9">
        <w:rPr>
          <w:spacing w:val="-2"/>
        </w:rPr>
        <w:t>-</w:t>
      </w:r>
      <w:r w:rsidR="43AA2C6F" w:rsidRPr="004D06D9">
        <w:rPr>
          <w:spacing w:val="-2"/>
        </w:rPr>
        <w:t>19 at 40.2%</w:t>
      </w:r>
      <w:r w:rsidR="00A7334A" w:rsidRPr="004D06D9">
        <w:rPr>
          <w:spacing w:val="-2"/>
        </w:rPr>
        <w:t>.</w:t>
      </w:r>
      <w:r w:rsidR="43AA2C6F" w:rsidRPr="004D06D9">
        <w:rPr>
          <w:spacing w:val="-2"/>
        </w:rPr>
        <w:t xml:space="preserve"> </w:t>
      </w:r>
      <w:r w:rsidR="00A7334A" w:rsidRPr="004D06D9">
        <w:rPr>
          <w:spacing w:val="-2"/>
        </w:rPr>
        <w:t>T</w:t>
      </w:r>
      <w:r w:rsidR="00C86A87" w:rsidRPr="004D06D9">
        <w:rPr>
          <w:spacing w:val="-2"/>
        </w:rPr>
        <w:t>he proportion of adults reporting long-term risky alcohol consumption</w:t>
      </w:r>
      <w:r w:rsidR="52E4B8BA" w:rsidRPr="004D06D9">
        <w:rPr>
          <w:spacing w:val="-2"/>
        </w:rPr>
        <w:t xml:space="preserve"> and</w:t>
      </w:r>
      <w:r w:rsidR="00921C01" w:rsidRPr="004D06D9">
        <w:rPr>
          <w:spacing w:val="-2"/>
        </w:rPr>
        <w:t xml:space="preserve"> </w:t>
      </w:r>
      <w:r w:rsidR="00C86A87" w:rsidRPr="004D06D9">
        <w:rPr>
          <w:spacing w:val="-2"/>
        </w:rPr>
        <w:t>illicit drug use</w:t>
      </w:r>
      <w:r w:rsidR="00921C01" w:rsidRPr="004D06D9">
        <w:rPr>
          <w:spacing w:val="-2"/>
        </w:rPr>
        <w:t xml:space="preserve"> </w:t>
      </w:r>
      <w:r w:rsidR="003348DF" w:rsidRPr="004D06D9">
        <w:rPr>
          <w:spacing w:val="-2"/>
        </w:rPr>
        <w:t xml:space="preserve">has </w:t>
      </w:r>
      <w:r w:rsidR="587CF615" w:rsidRPr="004D06D9">
        <w:rPr>
          <w:spacing w:val="-2"/>
        </w:rPr>
        <w:t>remained unchanged</w:t>
      </w:r>
      <w:r w:rsidR="003348DF" w:rsidRPr="004D06D9">
        <w:rPr>
          <w:spacing w:val="-2"/>
        </w:rPr>
        <w:t>.</w:t>
      </w:r>
    </w:p>
    <w:p w14:paraId="7BBBF611" w14:textId="6778BE2C" w:rsidR="00C86A87" w:rsidRPr="007B3DCE" w:rsidRDefault="00C86A87" w:rsidP="00D13C0D">
      <w:pPr>
        <w:pStyle w:val="FigureTableHeading"/>
        <w:rPr>
          <w:rFonts w:ascii="Arial Black" w:hAnsi="Arial Black"/>
          <w:color w:val="3B2A1C" w:themeColor="background1" w:themeShade="80"/>
        </w:rPr>
      </w:pPr>
      <w:r w:rsidRPr="007B3DCE">
        <w:rPr>
          <w:color w:val="3B2A1C" w:themeColor="background1" w:themeShade="80"/>
        </w:rPr>
        <w:lastRenderedPageBreak/>
        <w:t xml:space="preserve">Figure </w:t>
      </w:r>
      <w:r w:rsidR="0010213B" w:rsidRPr="007B3DCE">
        <w:rPr>
          <w:color w:val="3B2A1C" w:themeColor="background1" w:themeShade="80"/>
        </w:rPr>
        <w:t>2</w:t>
      </w:r>
      <w:r w:rsidR="00A97C22" w:rsidRPr="007B3DCE">
        <w:rPr>
          <w:color w:val="3B2A1C" w:themeColor="background1" w:themeShade="80"/>
        </w:rPr>
        <w:t>.</w:t>
      </w:r>
      <w:r w:rsidR="0036545D" w:rsidRPr="007B3DCE">
        <w:rPr>
          <w:color w:val="3B2A1C" w:themeColor="background1" w:themeShade="80"/>
        </w:rPr>
        <w:t>3</w:t>
      </w:r>
      <w:r w:rsidRPr="007B3DCE">
        <w:rPr>
          <w:color w:val="3B2A1C" w:themeColor="background1" w:themeShade="80"/>
        </w:rPr>
        <w:t xml:space="preserve"> – Personal protective factors and risk factor rates </w:t>
      </w:r>
      <w:r w:rsidR="3ED1A95B" w:rsidRPr="007B3DCE">
        <w:rPr>
          <w:color w:val="3B2A1C" w:themeColor="background1" w:themeShade="80"/>
        </w:rPr>
        <w:t>nationally</w:t>
      </w:r>
      <w:r w:rsidRPr="007B3DCE">
        <w:rPr>
          <w:rFonts w:ascii="Arial Black" w:hAnsi="Arial Black"/>
          <w:color w:val="3B2A1C" w:themeColor="background1" w:themeShade="80"/>
          <w:vertAlign w:val="superscript"/>
        </w:rPr>
        <w:t>a,b,c</w:t>
      </w:r>
      <w:r w:rsidR="000E2DEB" w:rsidRPr="007B3DCE">
        <w:rPr>
          <w:rFonts w:ascii="Arial Black" w:hAnsi="Arial Black"/>
          <w:color w:val="3B2A1C" w:themeColor="background1" w:themeShade="80"/>
          <w:vertAlign w:val="superscript"/>
        </w:rPr>
        <w:t>,</w:t>
      </w:r>
      <w:r w:rsidR="000E5EDE" w:rsidRPr="007B3DCE">
        <w:rPr>
          <w:rFonts w:ascii="Arial Black" w:hAnsi="Arial Black"/>
          <w:color w:val="3B2A1C" w:themeColor="background1" w:themeShade="80"/>
          <w:vertAlign w:val="superscript"/>
        </w:rPr>
        <w:t>d</w:t>
      </w:r>
      <w:r w:rsidR="79C5FCF8" w:rsidRPr="007B3DCE">
        <w:rPr>
          <w:rFonts w:ascii="Arial Black" w:hAnsi="Arial Black"/>
          <w:color w:val="3B2A1C" w:themeColor="background1" w:themeShade="80"/>
          <w:vertAlign w:val="superscript"/>
        </w:rPr>
        <w:t>,e</w:t>
      </w:r>
    </w:p>
    <w:p w14:paraId="21F42CA8" w14:textId="18791BA0" w:rsidR="50DD66B4" w:rsidRPr="007B3DCE" w:rsidRDefault="03D01F45" w:rsidP="00C14300">
      <w:pPr>
        <w:pStyle w:val="FigureTableSubheading"/>
        <w:spacing w:after="120"/>
        <w:rPr>
          <w:color w:val="775538" w:themeColor="background1"/>
        </w:rPr>
      </w:pPr>
      <w:r w:rsidRPr="007B3DCE">
        <w:rPr>
          <w:color w:val="775538" w:themeColor="background1"/>
        </w:rPr>
        <w:t xml:space="preserve">Rate of Aboriginal and Torres Strait Islander people </w:t>
      </w:r>
      <w:r w:rsidR="3FCCF432" w:rsidRPr="007B3DCE">
        <w:rPr>
          <w:color w:val="775538" w:themeColor="background1"/>
        </w:rPr>
        <w:t xml:space="preserve">reported </w:t>
      </w:r>
      <w:r w:rsidR="41A56955" w:rsidRPr="007B3DCE">
        <w:rPr>
          <w:color w:val="775538" w:themeColor="background1"/>
        </w:rPr>
        <w:t>engaging in</w:t>
      </w:r>
      <w:r w:rsidR="00697517">
        <w:rPr>
          <w:color w:val="775538" w:themeColor="background1"/>
        </w:rPr>
        <w:t xml:space="preserve"> </w:t>
      </w:r>
      <w:r w:rsidR="753179ED" w:rsidRPr="007B3DCE">
        <w:rPr>
          <w:color w:val="775538" w:themeColor="background1"/>
        </w:rPr>
        <w:t>risk</w:t>
      </w:r>
      <w:r w:rsidR="00F03580">
        <w:rPr>
          <w:color w:val="775538" w:themeColor="background1"/>
        </w:rPr>
        <w:t>y</w:t>
      </w:r>
      <w:r w:rsidR="753179ED" w:rsidRPr="007B3DCE">
        <w:rPr>
          <w:color w:val="775538" w:themeColor="background1"/>
        </w:rPr>
        <w:t xml:space="preserve"> or protective </w:t>
      </w:r>
      <w:r w:rsidR="41A56955" w:rsidRPr="007B3DCE">
        <w:rPr>
          <w:color w:val="775538" w:themeColor="background1"/>
        </w:rPr>
        <w:t>behaviours</w:t>
      </w:r>
    </w:p>
    <w:p w14:paraId="76243B68" w14:textId="330FD9BF" w:rsidR="002A2A26" w:rsidRPr="0059693A" w:rsidRDefault="00D06933" w:rsidP="0059693A">
      <w:pPr>
        <w:pStyle w:val="FigureTableSubheading"/>
        <w:rPr>
          <w:color w:val="775538" w:themeColor="background1"/>
        </w:rPr>
      </w:pPr>
      <w:r w:rsidRPr="00D06933">
        <w:rPr>
          <w:noProof/>
        </w:rPr>
        <w:drawing>
          <wp:inline distT="0" distB="0" distL="0" distR="0" wp14:anchorId="00590B7F" wp14:editId="3092975E">
            <wp:extent cx="6120130" cy="2888615"/>
            <wp:effectExtent l="0" t="0" r="0" b="0"/>
            <wp:docPr id="1130155784" name="Picture 189" descr="Figure 2.3 is a bar chart that displays the rate at which Aboriginal and Torres Strait Islander people reported engaging in health risk or protective behaviours from 2004-05 to 2018-19. The chart covers the risk factors of daily smoking, long-term risky alcohol consumption, being overweight or obese, and illicit substance use, as well as protective factors of meeting vegetable and fruit intake guidelines and sufficient daily activity. Daily smoking and long-term risky alcohol consumption have generally decreased, while the rates for meeting recommended guidelines for fruit and vegetable intake show a varying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55784" name="Picture 189" descr="Figure 2.3 is a bar chart that displays the rate at which Aboriginal and Torres Strait Islander people reported engaging in health risk or protective behaviours from 2004-05 to 2018-19. The chart covers the risk factors of daily smoking, long-term risky alcohol consumption, being overweight or obese, and illicit substance use, as well as protective factors of meeting vegetable and fruit intake guidelines and sufficient daily activity. Daily smoking and long-term risky alcohol consumption have generally decreased, while the rates for meeting recommended guidelines for fruit and vegetable intake show a varying patter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2888615"/>
                    </a:xfrm>
                    <a:prstGeom prst="rect">
                      <a:avLst/>
                    </a:prstGeom>
                    <a:noFill/>
                    <a:ln>
                      <a:noFill/>
                    </a:ln>
                  </pic:spPr>
                </pic:pic>
              </a:graphicData>
            </a:graphic>
          </wp:inline>
        </w:drawing>
      </w:r>
    </w:p>
    <w:p w14:paraId="5EC2BAEC" w14:textId="61F08066" w:rsidR="006B2D22" w:rsidRDefault="00C86A87" w:rsidP="52283B10">
      <w:pPr>
        <w:pStyle w:val="Note"/>
      </w:pPr>
      <w:r w:rsidRPr="007B3DCE">
        <w:rPr>
          <w:b/>
          <w:bCs/>
        </w:rPr>
        <w:t>a.</w:t>
      </w:r>
      <w:r w:rsidRPr="007B3DCE">
        <w:t xml:space="preserve"> For SE1d</w:t>
      </w:r>
      <w:r w:rsidRPr="00697517">
        <w:t xml:space="preserve">.2 </w:t>
      </w:r>
      <w:r w:rsidR="006B5420" w:rsidRPr="00697517">
        <w:t>–</w:t>
      </w:r>
      <w:r w:rsidRPr="00697517">
        <w:t xml:space="preserve"> The data for 2008 and 2014-15 is not directly comparable with the data from other periods</w:t>
      </w:r>
      <w:r w:rsidR="000B7D26" w:rsidRPr="00697517">
        <w:t xml:space="preserve"> </w:t>
      </w:r>
      <w:r w:rsidR="000B7D26" w:rsidRPr="008B75B4">
        <w:rPr>
          <w:b/>
          <w:bCs/>
        </w:rPr>
        <w:t>b.</w:t>
      </w:r>
      <w:r w:rsidR="000B7D26" w:rsidRPr="00697517">
        <w:t xml:space="preserve"> For SE1d.5 – The data for the Australian Capital Territory in 2012</w:t>
      </w:r>
      <w:r w:rsidR="00472DEA" w:rsidRPr="00697517">
        <w:t>-</w:t>
      </w:r>
      <w:r w:rsidR="000B7D26" w:rsidRPr="00697517">
        <w:t xml:space="preserve">13 is not publishable because the estimate is considered unreliable for general use </w:t>
      </w:r>
      <w:r w:rsidR="000B7D26" w:rsidRPr="008B75B4">
        <w:rPr>
          <w:b/>
          <w:bCs/>
        </w:rPr>
        <w:t>c.</w:t>
      </w:r>
      <w:r w:rsidR="000B7D26" w:rsidRPr="00697517">
        <w:t xml:space="preserve"> For SE1d.6 </w:t>
      </w:r>
      <w:r w:rsidR="006B5420" w:rsidRPr="00697517">
        <w:t>–</w:t>
      </w:r>
      <w:r w:rsidR="000B7D26" w:rsidRPr="00697517">
        <w:t>The relative standard error for Victoria and the Australian Capital Territory in 2018</w:t>
      </w:r>
      <w:r w:rsidR="006B5420" w:rsidRPr="00697517">
        <w:t>–</w:t>
      </w:r>
      <w:r w:rsidR="000B7D26" w:rsidRPr="00697517">
        <w:t xml:space="preserve">19 is 50% or greater. These estimates are considered unreliable for general use </w:t>
      </w:r>
      <w:r w:rsidR="000B7D26" w:rsidRPr="008B75B4">
        <w:rPr>
          <w:b/>
          <w:bCs/>
        </w:rPr>
        <w:t>d.</w:t>
      </w:r>
      <w:r w:rsidR="000B7D26" w:rsidRPr="00697517">
        <w:t xml:space="preserve"> For SE1d.7 </w:t>
      </w:r>
      <w:r w:rsidR="006B5420" w:rsidRPr="00697517">
        <w:t>–</w:t>
      </w:r>
      <w:r w:rsidR="000B7D26" w:rsidRPr="00697517">
        <w:t xml:space="preserve"> Physical activity data is applicable to persons 18 years or over in nonremote areas only. </w:t>
      </w:r>
      <w:r w:rsidR="000B7D26" w:rsidRPr="00AC5BFE">
        <w:rPr>
          <w:b/>
        </w:rPr>
        <w:t>e.</w:t>
      </w:r>
      <w:r w:rsidR="000B7D26" w:rsidRPr="00697517">
        <w:t xml:space="preserve"> Error bars represent 95% confidence intervals.</w:t>
      </w:r>
    </w:p>
    <w:p w14:paraId="5D28AC93" w14:textId="4013E913" w:rsidR="00B917DE" w:rsidRDefault="008B75B4" w:rsidP="00C14300">
      <w:pPr>
        <w:pStyle w:val="Source"/>
      </w:pPr>
      <w:r w:rsidRPr="00747FB7">
        <w:t>Source: ABS (unpublished) Australian Aboriginal and Torres Strait Islander Health Survey; ABS (unpublished) National Aboriginal and Torres Strait Islander Social Survey</w:t>
      </w:r>
    </w:p>
    <w:p w14:paraId="048BA279" w14:textId="77777777" w:rsidR="004831EE" w:rsidRPr="007B3DCE" w:rsidRDefault="004831EE" w:rsidP="004831EE">
      <w:pPr>
        <w:pStyle w:val="Note"/>
        <w:spacing w:before="0" w:after="0"/>
      </w:pPr>
    </w:p>
    <w:tbl>
      <w:tblPr>
        <w:tblStyle w:val="Boxtable"/>
        <w:tblW w:w="5000" w:type="pct"/>
        <w:tblLook w:val="04A0" w:firstRow="1" w:lastRow="0" w:firstColumn="1" w:lastColumn="0" w:noHBand="0" w:noVBand="1"/>
      </w:tblPr>
      <w:tblGrid>
        <w:gridCol w:w="9638"/>
      </w:tblGrid>
      <w:tr w:rsidR="00072D91" w:rsidRPr="007B3DCE" w14:paraId="42F9E028" w14:textId="77777777" w:rsidTr="00484C81">
        <w:trPr>
          <w:trHeight w:val="476"/>
          <w:tblHeader/>
        </w:trPr>
        <w:tc>
          <w:tcPr>
            <w:tcW w:w="9638" w:type="dxa"/>
            <w:shd w:val="clear" w:color="auto" w:fill="3B2A1C" w:themeFill="background1" w:themeFillShade="80"/>
            <w:tcMar>
              <w:top w:w="170" w:type="dxa"/>
              <w:left w:w="170" w:type="dxa"/>
              <w:bottom w:w="113" w:type="dxa"/>
              <w:right w:w="170" w:type="dxa"/>
            </w:tcMar>
            <w:vAlign w:val="center"/>
            <w:hideMark/>
          </w:tcPr>
          <w:p w14:paraId="52DB5287" w14:textId="174C6966" w:rsidR="00072D91" w:rsidRPr="007B3DCE" w:rsidRDefault="00072D91" w:rsidP="00484C81">
            <w:pPr>
              <w:pStyle w:val="BoxHeading1"/>
              <w:spacing w:before="0"/>
            </w:pPr>
            <w:r w:rsidRPr="007B3DCE">
              <w:rPr>
                <w:color w:val="FFFFFF"/>
              </w:rPr>
              <w:t>Box 2.</w:t>
            </w:r>
            <w:r w:rsidR="00D92CF2">
              <w:rPr>
                <w:color w:val="FFFFFF"/>
              </w:rPr>
              <w:t>3</w:t>
            </w:r>
            <w:r w:rsidRPr="007B3DCE">
              <w:rPr>
                <w:color w:val="FFFFFF"/>
              </w:rPr>
              <w:t xml:space="preserve"> – Data considerations: timeliness of risk and protective factors and why health assessment data may not be representative</w:t>
            </w:r>
          </w:p>
        </w:tc>
      </w:tr>
      <w:tr w:rsidR="00072D91" w:rsidRPr="007B3DCE" w14:paraId="5F867976" w14:textId="77777777">
        <w:tc>
          <w:tcPr>
            <w:tcW w:w="9638" w:type="dxa"/>
            <w:shd w:val="clear" w:color="auto" w:fill="E9DCD1" w:themeFill="background1" w:themeFillTint="33"/>
            <w:tcMar>
              <w:top w:w="28" w:type="dxa"/>
              <w:left w:w="170" w:type="dxa"/>
              <w:bottom w:w="170" w:type="dxa"/>
              <w:right w:w="170" w:type="dxa"/>
            </w:tcMar>
            <w:hideMark/>
          </w:tcPr>
          <w:p w14:paraId="07193394" w14:textId="77777777" w:rsidR="00072D91" w:rsidRPr="004C31CC" w:rsidRDefault="00072D91">
            <w:pPr>
              <w:pStyle w:val="BodyText"/>
              <w:rPr>
                <w:rFonts w:cstheme="minorHAnsi"/>
              </w:rPr>
            </w:pPr>
            <w:r w:rsidRPr="004C31CC">
              <w:rPr>
                <w:rFonts w:cstheme="minorHAnsi"/>
              </w:rPr>
              <w:t>Data for personal protective and risk factors is only available for individuals aged 18 and over. The most recent data available for these factors is from 2018-19 and thus does not provide an accurate picture of the current situation.</w:t>
            </w:r>
          </w:p>
          <w:p w14:paraId="05D20C7C" w14:textId="77777777" w:rsidR="00B61466" w:rsidRPr="004C31CC" w:rsidRDefault="00C930BF">
            <w:pPr>
              <w:pStyle w:val="BodyText"/>
              <w:rPr>
                <w:rFonts w:cstheme="minorHAnsi"/>
              </w:rPr>
            </w:pPr>
            <w:r w:rsidRPr="004C31CC">
              <w:rPr>
                <w:rFonts w:cstheme="minorHAnsi"/>
              </w:rPr>
              <w:t>D</w:t>
            </w:r>
            <w:r w:rsidR="00072D91" w:rsidRPr="004C31CC">
              <w:rPr>
                <w:rFonts w:cstheme="minorHAnsi"/>
              </w:rPr>
              <w:t xml:space="preserve">ata on </w:t>
            </w:r>
            <w:r w:rsidRPr="004C31CC">
              <w:rPr>
                <w:rFonts w:cstheme="minorHAnsi"/>
              </w:rPr>
              <w:t>the</w:t>
            </w:r>
            <w:r w:rsidR="00072D91" w:rsidRPr="004C31CC">
              <w:rPr>
                <w:rFonts w:cstheme="minorHAnsi"/>
              </w:rPr>
              <w:t xml:space="preserve"> rate of health assessments </w:t>
            </w:r>
            <w:r w:rsidRPr="004C31CC">
              <w:rPr>
                <w:rFonts w:cstheme="minorHAnsi"/>
              </w:rPr>
              <w:t>(discussed below)</w:t>
            </w:r>
            <w:r w:rsidR="00072D91" w:rsidRPr="004C31CC">
              <w:rPr>
                <w:rFonts w:cstheme="minorHAnsi"/>
              </w:rPr>
              <w:t xml:space="preserve"> should be used with caution.</w:t>
            </w:r>
            <w:r w:rsidR="00072D91" w:rsidRPr="004C31CC" w:rsidDel="00367D40">
              <w:rPr>
                <w:rFonts w:cstheme="minorHAnsi"/>
              </w:rPr>
              <w:t xml:space="preserve"> </w:t>
            </w:r>
            <w:r w:rsidR="00072D91" w:rsidRPr="004C31CC">
              <w:rPr>
                <w:rFonts w:cstheme="minorHAnsi"/>
              </w:rPr>
              <w:t>It may underestimate the number of health assessments due to a lack of awareness of the specific MBS item number for recording Indigenous-specific health checks and the fact that some people may receive a health check outside Medicare</w:t>
            </w:r>
            <w:r w:rsidR="00B61466" w:rsidRPr="004C31CC">
              <w:rPr>
                <w:rFonts w:cstheme="minorHAnsi"/>
              </w:rPr>
              <w:t xml:space="preserve">. </w:t>
            </w:r>
          </w:p>
          <w:p w14:paraId="6CDC6E75" w14:textId="7A28073D" w:rsidR="00072D91" w:rsidRPr="007B3DCE" w:rsidRDefault="00B61466" w:rsidP="00742737">
            <w:pPr>
              <w:pStyle w:val="Source"/>
              <w:spacing w:after="0"/>
            </w:pPr>
            <w:r w:rsidRPr="004C31CC">
              <w:rPr>
                <w:rFonts w:cstheme="minorHAnsi"/>
              </w:rPr>
              <w:t xml:space="preserve">Source: Schütze </w:t>
            </w:r>
            <w:r w:rsidR="00BB2C32" w:rsidRPr="004C31CC">
              <w:rPr>
                <w:rFonts w:cstheme="minorHAnsi"/>
                <w:sz w:val="20"/>
              </w:rPr>
              <w:t>(2016)</w:t>
            </w:r>
            <w:r w:rsidR="00072D91" w:rsidRPr="004C31CC">
              <w:rPr>
                <w:rFonts w:cstheme="minorHAnsi"/>
              </w:rPr>
              <w:t>.</w:t>
            </w:r>
          </w:p>
        </w:tc>
      </w:tr>
      <w:tr w:rsidR="00072D91" w:rsidRPr="007B3DCE" w14:paraId="0CC69584" w14:textId="77777777">
        <w:trPr>
          <w:hidden/>
        </w:trPr>
        <w:tc>
          <w:tcPr>
            <w:tcW w:w="9638" w:type="dxa"/>
            <w:shd w:val="clear" w:color="auto" w:fill="auto"/>
            <w:tcMar>
              <w:top w:w="0" w:type="dxa"/>
              <w:left w:w="170" w:type="dxa"/>
              <w:bottom w:w="0" w:type="dxa"/>
              <w:right w:w="170" w:type="dxa"/>
            </w:tcMar>
          </w:tcPr>
          <w:p w14:paraId="44EE808E" w14:textId="77777777" w:rsidR="00072D91" w:rsidRPr="007B3DCE" w:rsidRDefault="00072D91">
            <w:pPr>
              <w:pStyle w:val="BodyText"/>
              <w:spacing w:before="0" w:after="0" w:line="80" w:lineRule="atLeast"/>
              <w:rPr>
                <w:smallCaps/>
                <w:vanish/>
              </w:rPr>
            </w:pPr>
            <w:r w:rsidRPr="007B3DCE">
              <w:rPr>
                <w:smallCaps/>
                <w:vanish/>
                <w:color w:val="FF00FF"/>
              </w:rPr>
              <w:t>Used for spacing, do not delete</w:t>
            </w:r>
          </w:p>
        </w:tc>
      </w:tr>
    </w:tbl>
    <w:p w14:paraId="226739E2" w14:textId="1724E501" w:rsidR="00C86A87" w:rsidRPr="007B3DCE" w:rsidRDefault="00C86A87" w:rsidP="00C34584">
      <w:pPr>
        <w:pStyle w:val="Heading5"/>
        <w:spacing w:before="240"/>
        <w:rPr>
          <w:color w:val="3B2A1C" w:themeColor="background1" w:themeShade="80"/>
        </w:rPr>
      </w:pPr>
      <w:r w:rsidRPr="007B3DCE">
        <w:rPr>
          <w:color w:val="3B2A1C" w:themeColor="background1" w:themeShade="80"/>
        </w:rPr>
        <w:lastRenderedPageBreak/>
        <w:t>The utilisation of health services has declined but is showing slow signs of recovery</w:t>
      </w:r>
    </w:p>
    <w:p w14:paraId="191D9A46" w14:textId="36DE364D" w:rsidR="001874EE" w:rsidRDefault="00CC0289" w:rsidP="005D4B90">
      <w:pPr>
        <w:pStyle w:val="BodyText"/>
        <w:spacing w:after="0"/>
        <w:rPr>
          <w:rFonts w:cstheme="minorHAnsi"/>
        </w:rPr>
      </w:pPr>
      <w:r w:rsidRPr="004C31CC">
        <w:rPr>
          <w:rFonts w:cstheme="minorHAnsi"/>
        </w:rPr>
        <w:t>G</w:t>
      </w:r>
      <w:r w:rsidR="004D59B6" w:rsidRPr="004C31CC">
        <w:rPr>
          <w:rFonts w:cstheme="minorHAnsi"/>
        </w:rPr>
        <w:t>reater u</w:t>
      </w:r>
      <w:r w:rsidR="00EA4178" w:rsidRPr="004C31CC">
        <w:rPr>
          <w:rFonts w:cstheme="minorHAnsi"/>
        </w:rPr>
        <w:t xml:space="preserve">tilisation of health services </w:t>
      </w:r>
      <w:r w:rsidRPr="004C31CC">
        <w:rPr>
          <w:rFonts w:cstheme="minorHAnsi"/>
        </w:rPr>
        <w:t>can</w:t>
      </w:r>
      <w:r w:rsidR="004D59B6" w:rsidRPr="004C31CC">
        <w:rPr>
          <w:rFonts w:cstheme="minorHAnsi"/>
        </w:rPr>
        <w:t xml:space="preserve"> </w:t>
      </w:r>
      <w:r w:rsidR="002B1A7B" w:rsidRPr="004C31CC">
        <w:rPr>
          <w:rFonts w:cstheme="minorHAnsi"/>
        </w:rPr>
        <w:t>support</w:t>
      </w:r>
      <w:r w:rsidR="00C9781F" w:rsidRPr="004C31CC">
        <w:rPr>
          <w:rFonts w:cstheme="minorHAnsi"/>
        </w:rPr>
        <w:t xml:space="preserve"> improved health outcomes</w:t>
      </w:r>
      <w:r w:rsidR="00ED0612" w:rsidRPr="004C31CC">
        <w:rPr>
          <w:rFonts w:cstheme="minorHAnsi"/>
        </w:rPr>
        <w:t xml:space="preserve"> over time</w:t>
      </w:r>
      <w:r w:rsidR="001874EE" w:rsidRPr="004C31CC">
        <w:rPr>
          <w:rFonts w:cstheme="minorHAnsi"/>
        </w:rPr>
        <w:t xml:space="preserve"> </w:t>
      </w:r>
      <w:r w:rsidR="00E95E79" w:rsidRPr="004C31CC">
        <w:rPr>
          <w:rFonts w:cstheme="minorHAnsi"/>
        </w:rPr>
        <w:t>(AIHW 2024c)</w:t>
      </w:r>
      <w:r w:rsidR="00C9781F" w:rsidRPr="004C31CC">
        <w:rPr>
          <w:rFonts w:cstheme="minorHAnsi"/>
        </w:rPr>
        <w:t>.</w:t>
      </w:r>
      <w:r w:rsidR="00ED0612" w:rsidRPr="004C31CC">
        <w:rPr>
          <w:rStyle w:val="FootnoteReference"/>
          <w:rFonts w:cstheme="minorHAnsi"/>
        </w:rPr>
        <w:footnoteReference w:id="10"/>
      </w:r>
      <w:r w:rsidR="00C9781F" w:rsidRPr="004C31CC">
        <w:rPr>
          <w:rFonts w:cstheme="minorHAnsi"/>
        </w:rPr>
        <w:t xml:space="preserve"> </w:t>
      </w:r>
      <w:r w:rsidR="00281C2B" w:rsidRPr="004C31CC">
        <w:rPr>
          <w:rFonts w:cstheme="minorHAnsi"/>
        </w:rPr>
        <w:t>F</w:t>
      </w:r>
      <w:r w:rsidR="00C86A87" w:rsidRPr="004C31CC">
        <w:rPr>
          <w:rFonts w:eastAsia="Times New Roman" w:cstheme="minorHAnsi"/>
          <w:color w:val="000000"/>
          <w:lang w:eastAsia="en-AU"/>
        </w:rPr>
        <w:t>rom 2016</w:t>
      </w:r>
      <w:r w:rsidR="00CE6B62" w:rsidRPr="00584CD3">
        <w:rPr>
          <w:rStyle w:val="normaltextrun"/>
          <w:rFonts w:cstheme="minorHAnsi"/>
          <w:bdr w:val="none" w:sz="0" w:space="0" w:color="auto" w:frame="1"/>
        </w:rPr>
        <w:t>-</w:t>
      </w:r>
      <w:r w:rsidR="00C86A87" w:rsidRPr="004C31CC">
        <w:rPr>
          <w:rFonts w:eastAsia="Times New Roman" w:cstheme="minorHAnsi"/>
          <w:color w:val="000000"/>
          <w:lang w:eastAsia="en-AU"/>
        </w:rPr>
        <w:t>17 to 2020</w:t>
      </w:r>
      <w:r w:rsidR="00CE6B62" w:rsidRPr="004C1D23">
        <w:rPr>
          <w:rStyle w:val="normaltextrun"/>
          <w:rFonts w:cstheme="minorHAnsi"/>
          <w:bdr w:val="none" w:sz="0" w:space="0" w:color="auto" w:frame="1"/>
        </w:rPr>
        <w:t>-</w:t>
      </w:r>
      <w:r w:rsidR="00C86A87" w:rsidRPr="004C31CC">
        <w:rPr>
          <w:rFonts w:eastAsia="Times New Roman" w:cstheme="minorHAnsi"/>
          <w:color w:val="000000"/>
          <w:lang w:eastAsia="en-AU"/>
        </w:rPr>
        <w:t xml:space="preserve">21, </w:t>
      </w:r>
      <w:r w:rsidR="00C86A87" w:rsidRPr="004C31CC">
        <w:rPr>
          <w:rFonts w:cstheme="minorHAnsi"/>
        </w:rPr>
        <w:t>there was a decrease in non-referred GP services</w:t>
      </w:r>
      <w:r w:rsidR="00C86A87" w:rsidRPr="004C31CC">
        <w:rPr>
          <w:rFonts w:eastAsia="Times New Roman" w:cstheme="minorHAnsi"/>
          <w:lang w:eastAsia="en-AU"/>
        </w:rPr>
        <w:t xml:space="preserve"> and </w:t>
      </w:r>
      <w:r w:rsidR="34B98315" w:rsidRPr="004C31CC">
        <w:rPr>
          <w:rFonts w:eastAsia="Times New Roman" w:cstheme="minorHAnsi"/>
          <w:lang w:eastAsia="en-AU"/>
        </w:rPr>
        <w:t xml:space="preserve">services supporting </w:t>
      </w:r>
      <w:r w:rsidR="0E85D88C" w:rsidRPr="004C31CC">
        <w:rPr>
          <w:rFonts w:eastAsia="Times New Roman" w:cstheme="minorHAnsi"/>
          <w:lang w:eastAsia="en-AU"/>
        </w:rPr>
        <w:t>the coordination of care for people with a chronic medical condition, such as kidney disease or cardiovascular disease (</w:t>
      </w:r>
      <w:r w:rsidR="00C86A87" w:rsidRPr="004C31CC">
        <w:rPr>
          <w:rFonts w:eastAsia="Times New Roman" w:cstheme="minorHAnsi"/>
          <w:lang w:eastAsia="en-AU"/>
        </w:rPr>
        <w:t>chronic care items</w:t>
      </w:r>
      <w:r w:rsidR="190BEE78" w:rsidRPr="004C31CC">
        <w:rPr>
          <w:rFonts w:eastAsia="Times New Roman" w:cstheme="minorHAnsi"/>
          <w:lang w:eastAsia="en-AU"/>
        </w:rPr>
        <w:t>)</w:t>
      </w:r>
      <w:r w:rsidR="00C86A87" w:rsidRPr="004C31CC">
        <w:rPr>
          <w:rFonts w:cstheme="minorHAnsi"/>
        </w:rPr>
        <w:t xml:space="preserve"> </w:t>
      </w:r>
      <w:r w:rsidR="01CE1F98" w:rsidRPr="004C31CC">
        <w:rPr>
          <w:rFonts w:cstheme="minorHAnsi"/>
        </w:rPr>
        <w:t xml:space="preserve">(figure </w:t>
      </w:r>
      <w:r w:rsidR="000F6A13" w:rsidRPr="004C31CC">
        <w:rPr>
          <w:rFonts w:cstheme="minorHAnsi"/>
        </w:rPr>
        <w:t>2.4</w:t>
      </w:r>
      <w:r w:rsidR="01CE1F98" w:rsidRPr="004C31CC">
        <w:rPr>
          <w:rFonts w:cstheme="minorHAnsi"/>
        </w:rPr>
        <w:t>)</w:t>
      </w:r>
      <w:r w:rsidR="00046221" w:rsidRPr="004C31CC">
        <w:rPr>
          <w:rFonts w:cstheme="minorHAnsi"/>
        </w:rPr>
        <w:t>.</w:t>
      </w:r>
      <w:r w:rsidR="00DB2E21" w:rsidRPr="004C31CC">
        <w:rPr>
          <w:rFonts w:cstheme="minorHAnsi"/>
        </w:rPr>
        <w:t xml:space="preserve"> </w:t>
      </w:r>
      <w:r w:rsidR="008514FE" w:rsidRPr="004C31CC">
        <w:rPr>
          <w:rFonts w:cstheme="minorHAnsi"/>
        </w:rPr>
        <w:t>I</w:t>
      </w:r>
      <w:r w:rsidR="00DB2E21" w:rsidRPr="004C31CC">
        <w:rPr>
          <w:rFonts w:cstheme="minorHAnsi"/>
        </w:rPr>
        <w:t>n 2021</w:t>
      </w:r>
      <w:r w:rsidR="00CE6B62" w:rsidRPr="004C1D23">
        <w:rPr>
          <w:rStyle w:val="normaltextrun"/>
          <w:rFonts w:cstheme="minorHAnsi"/>
          <w:bdr w:val="none" w:sz="0" w:space="0" w:color="auto" w:frame="1"/>
        </w:rPr>
        <w:t>-</w:t>
      </w:r>
      <w:r w:rsidR="00DB2E21" w:rsidRPr="004C31CC">
        <w:rPr>
          <w:rFonts w:cstheme="minorHAnsi"/>
        </w:rPr>
        <w:t>22,</w:t>
      </w:r>
      <w:r w:rsidR="008514FE" w:rsidRPr="004C31CC">
        <w:rPr>
          <w:rFonts w:cstheme="minorHAnsi"/>
        </w:rPr>
        <w:t xml:space="preserve"> </w:t>
      </w:r>
      <w:r w:rsidR="004643AC" w:rsidRPr="004C31CC">
        <w:rPr>
          <w:rFonts w:cstheme="minorHAnsi"/>
        </w:rPr>
        <w:t xml:space="preserve">with the COVID-19 pandemic </w:t>
      </w:r>
      <w:r w:rsidR="00D64246" w:rsidRPr="004C31CC">
        <w:rPr>
          <w:rFonts w:cstheme="minorHAnsi"/>
        </w:rPr>
        <w:t xml:space="preserve">still </w:t>
      </w:r>
      <w:r w:rsidR="00DD27F9" w:rsidRPr="004C31CC">
        <w:rPr>
          <w:rFonts w:cstheme="minorHAnsi"/>
        </w:rPr>
        <w:t>underway</w:t>
      </w:r>
      <w:r w:rsidR="004643AC" w:rsidRPr="004C31CC">
        <w:rPr>
          <w:rFonts w:cstheme="minorHAnsi"/>
        </w:rPr>
        <w:t>,</w:t>
      </w:r>
      <w:r w:rsidR="00046221" w:rsidRPr="004C31CC">
        <w:rPr>
          <w:rFonts w:cstheme="minorHAnsi"/>
        </w:rPr>
        <w:t xml:space="preserve"> </w:t>
      </w:r>
      <w:r w:rsidR="00D13940" w:rsidRPr="004C31CC">
        <w:rPr>
          <w:rFonts w:cstheme="minorHAnsi"/>
        </w:rPr>
        <w:t>t</w:t>
      </w:r>
      <w:r w:rsidR="00C86A87" w:rsidRPr="004C31CC">
        <w:rPr>
          <w:rFonts w:cstheme="minorHAnsi"/>
        </w:rPr>
        <w:t xml:space="preserve">he utilisation </w:t>
      </w:r>
      <w:r w:rsidR="003C5540" w:rsidRPr="004C31CC">
        <w:rPr>
          <w:rFonts w:cstheme="minorHAnsi"/>
        </w:rPr>
        <w:t xml:space="preserve">rates </w:t>
      </w:r>
      <w:r w:rsidR="00C86A87" w:rsidRPr="004C31CC">
        <w:rPr>
          <w:rFonts w:cstheme="minorHAnsi"/>
        </w:rPr>
        <w:t xml:space="preserve">of </w:t>
      </w:r>
      <w:r w:rsidR="652CBCBE" w:rsidRPr="004C31CC">
        <w:rPr>
          <w:rFonts w:cstheme="minorHAnsi"/>
        </w:rPr>
        <w:t xml:space="preserve">these </w:t>
      </w:r>
      <w:r w:rsidR="000824FE" w:rsidRPr="004C31CC">
        <w:rPr>
          <w:rFonts w:cstheme="minorHAnsi"/>
        </w:rPr>
        <w:t>health</w:t>
      </w:r>
      <w:r w:rsidR="00C86A87" w:rsidRPr="004C31CC" w:rsidDel="001524C4">
        <w:rPr>
          <w:rFonts w:cstheme="minorHAnsi"/>
        </w:rPr>
        <w:t xml:space="preserve"> </w:t>
      </w:r>
      <w:r w:rsidR="652CBCBE" w:rsidRPr="004C31CC">
        <w:rPr>
          <w:rFonts w:cstheme="minorHAnsi"/>
        </w:rPr>
        <w:t>services</w:t>
      </w:r>
      <w:r w:rsidR="00C86A87" w:rsidRPr="004C31CC">
        <w:rPr>
          <w:rFonts w:cstheme="minorHAnsi"/>
        </w:rPr>
        <w:t xml:space="preserve"> </w:t>
      </w:r>
      <w:r w:rsidR="00D64246" w:rsidRPr="004C31CC">
        <w:rPr>
          <w:rFonts w:cstheme="minorHAnsi"/>
        </w:rPr>
        <w:t>had</w:t>
      </w:r>
      <w:r w:rsidR="006340A7" w:rsidRPr="004C31CC">
        <w:rPr>
          <w:rFonts w:cstheme="minorHAnsi"/>
        </w:rPr>
        <w:t xml:space="preserve"> not </w:t>
      </w:r>
      <w:r w:rsidR="00783A2C" w:rsidRPr="004C31CC">
        <w:rPr>
          <w:rFonts w:cstheme="minorHAnsi"/>
        </w:rPr>
        <w:t>fully return</w:t>
      </w:r>
      <w:r w:rsidR="00D64246" w:rsidRPr="004C31CC">
        <w:rPr>
          <w:rFonts w:cstheme="minorHAnsi"/>
        </w:rPr>
        <w:t>ed</w:t>
      </w:r>
      <w:r w:rsidR="006340A7" w:rsidRPr="004C31CC">
        <w:rPr>
          <w:rFonts w:cstheme="minorHAnsi"/>
        </w:rPr>
        <w:t xml:space="preserve"> to</w:t>
      </w:r>
      <w:r w:rsidR="00F515E9" w:rsidRPr="004C31CC">
        <w:rPr>
          <w:rFonts w:cstheme="minorHAnsi"/>
        </w:rPr>
        <w:t xml:space="preserve"> baseline</w:t>
      </w:r>
      <w:r w:rsidR="00D3767D" w:rsidRPr="004C31CC">
        <w:rPr>
          <w:rFonts w:cstheme="minorHAnsi"/>
        </w:rPr>
        <w:t xml:space="preserve"> levels</w:t>
      </w:r>
      <w:r w:rsidR="00F515E9" w:rsidRPr="004C31CC">
        <w:rPr>
          <w:rFonts w:cstheme="minorHAnsi"/>
        </w:rPr>
        <w:t>.</w:t>
      </w:r>
      <w:r w:rsidR="00E76013" w:rsidRPr="004C31CC">
        <w:rPr>
          <w:rFonts w:cstheme="minorHAnsi"/>
        </w:rPr>
        <w:t xml:space="preserve"> </w:t>
      </w:r>
    </w:p>
    <w:p w14:paraId="48ED55FA" w14:textId="77777777" w:rsidR="005D4B90" w:rsidRPr="005D4B90" w:rsidRDefault="005D4B90" w:rsidP="005D4B90">
      <w:pPr>
        <w:pStyle w:val="BodyText"/>
        <w:spacing w:after="0"/>
        <w:rPr>
          <w:rFonts w:cstheme="minorHAnsi"/>
        </w:rPr>
      </w:pPr>
    </w:p>
    <w:tbl>
      <w:tblPr>
        <w:tblStyle w:val="Boxtable"/>
        <w:tblW w:w="5000" w:type="pct"/>
        <w:tblLook w:val="04A0" w:firstRow="1" w:lastRow="0" w:firstColumn="1" w:lastColumn="0" w:noHBand="0" w:noVBand="1"/>
      </w:tblPr>
      <w:tblGrid>
        <w:gridCol w:w="9638"/>
      </w:tblGrid>
      <w:tr w:rsidR="001874EE" w:rsidRPr="007B3DCE" w14:paraId="52B13314" w14:textId="77777777" w:rsidTr="0068019E">
        <w:trPr>
          <w:trHeight w:val="476"/>
          <w:tblHeader/>
        </w:trPr>
        <w:tc>
          <w:tcPr>
            <w:tcW w:w="9638" w:type="dxa"/>
            <w:shd w:val="clear" w:color="auto" w:fill="3B2A1C" w:themeFill="background1" w:themeFillShade="80"/>
            <w:tcMar>
              <w:top w:w="170" w:type="dxa"/>
              <w:left w:w="170" w:type="dxa"/>
              <w:bottom w:w="113" w:type="dxa"/>
              <w:right w:w="170" w:type="dxa"/>
            </w:tcMar>
            <w:vAlign w:val="center"/>
            <w:hideMark/>
          </w:tcPr>
          <w:p w14:paraId="68D51C72" w14:textId="7660134E" w:rsidR="001874EE" w:rsidRPr="007B3DCE" w:rsidRDefault="001874EE" w:rsidP="0068019E">
            <w:pPr>
              <w:pStyle w:val="BoxHeading1"/>
              <w:spacing w:before="0"/>
            </w:pPr>
            <w:r w:rsidRPr="007B3DCE">
              <w:rPr>
                <w:color w:val="FFFFFF"/>
              </w:rPr>
              <w:t>Box 2.</w:t>
            </w:r>
            <w:r w:rsidR="008A2457">
              <w:rPr>
                <w:color w:val="FFFFFF"/>
              </w:rPr>
              <w:t>4</w:t>
            </w:r>
            <w:r w:rsidR="004E1D94">
              <w:rPr>
                <w:color w:val="FFFFFF"/>
              </w:rPr>
              <w:t xml:space="preserve"> </w:t>
            </w:r>
            <w:r w:rsidRPr="007B3DCE">
              <w:rPr>
                <w:color w:val="FFFFFF"/>
              </w:rPr>
              <w:t xml:space="preserve">– </w:t>
            </w:r>
            <w:r w:rsidRPr="007B3DCE">
              <w:rPr>
                <w:rFonts w:ascii="Arial Black" w:hAnsi="Arial Black"/>
                <w:color w:val="FFFFFF"/>
              </w:rPr>
              <w:t>Supporting improved Aboriginal and Torres Strait Islander health</w:t>
            </w:r>
          </w:p>
        </w:tc>
      </w:tr>
      <w:tr w:rsidR="001874EE" w:rsidRPr="004C31CC" w14:paraId="012142A9" w14:textId="77777777" w:rsidTr="00B06523">
        <w:trPr>
          <w:trHeight w:val="4622"/>
        </w:trPr>
        <w:tc>
          <w:tcPr>
            <w:tcW w:w="9638" w:type="dxa"/>
            <w:shd w:val="clear" w:color="auto" w:fill="E9DCD1" w:themeFill="background1" w:themeFillTint="33"/>
            <w:tcMar>
              <w:top w:w="28" w:type="dxa"/>
              <w:left w:w="170" w:type="dxa"/>
              <w:bottom w:w="170" w:type="dxa"/>
              <w:right w:w="170" w:type="dxa"/>
            </w:tcMar>
            <w:hideMark/>
          </w:tcPr>
          <w:p w14:paraId="73017528" w14:textId="2C809EF7" w:rsidR="001874EE" w:rsidRPr="004C31CC" w:rsidRDefault="001874EE">
            <w:pPr>
              <w:pStyle w:val="BodyText"/>
              <w:rPr>
                <w:rFonts w:cstheme="minorHAnsi"/>
              </w:rPr>
            </w:pPr>
            <w:r w:rsidRPr="004C31CC">
              <w:rPr>
                <w:rFonts w:cstheme="minorHAnsi"/>
              </w:rPr>
              <w:t xml:space="preserve">Higher utilisation of healthcare services that are culturally safe and community–integrated can support improved wellbeing and higher life expectancy for Aboriginal and Torres Strait Islander people. Access to healthcare is complex, involving both sufficient supply of services and the ability to utilise available services (which may be influenced by affordability, physical accessibility, cultural safety and acceptability of the services and individual need).  </w:t>
            </w:r>
          </w:p>
          <w:p w14:paraId="19F87924" w14:textId="52C5EA61" w:rsidR="001874EE" w:rsidRPr="004C31CC" w:rsidRDefault="001874EE">
            <w:pPr>
              <w:pStyle w:val="BodyText"/>
              <w:rPr>
                <w:rFonts w:cstheme="minorHAnsi"/>
              </w:rPr>
            </w:pPr>
            <w:r w:rsidRPr="004C31CC">
              <w:rPr>
                <w:rFonts w:cstheme="minorHAnsi"/>
              </w:rPr>
              <w:t>Several factors can improve access and utilisation of healthcare services that are culturally safe and geographically accessible</w:t>
            </w:r>
            <w:r w:rsidR="00742737">
              <w:rPr>
                <w:rFonts w:cstheme="minorHAnsi"/>
              </w:rPr>
              <w:t>,</w:t>
            </w:r>
            <w:r w:rsidRPr="004C31CC">
              <w:rPr>
                <w:rFonts w:cstheme="minorHAnsi"/>
              </w:rPr>
              <w:t xml:space="preserve"> including:</w:t>
            </w:r>
          </w:p>
          <w:p w14:paraId="6C4C2C6C" w14:textId="23B7BCFD" w:rsidR="001874EE" w:rsidRPr="00736A64" w:rsidRDefault="00DD34E4" w:rsidP="0030669B">
            <w:pPr>
              <w:pStyle w:val="ListBullet"/>
              <w:numPr>
                <w:ilvl w:val="0"/>
                <w:numId w:val="17"/>
              </w:numPr>
              <w:ind w:left="227" w:hanging="227"/>
            </w:pPr>
            <w:r w:rsidRPr="00736A64">
              <w:t>a</w:t>
            </w:r>
            <w:r w:rsidR="001874EE" w:rsidRPr="00736A64">
              <w:t>vailability of well-resourced Aboriginal and Torres Strait Islander community-controlled health organisations (ACCHOs) that deliver care in a holistic way that meets the unique cultural and health needs of the community</w:t>
            </w:r>
          </w:p>
          <w:p w14:paraId="41511CFA" w14:textId="0EB241BD" w:rsidR="001874EE" w:rsidRPr="00736A64" w:rsidRDefault="00DD34E4" w:rsidP="0030669B">
            <w:pPr>
              <w:pStyle w:val="ListBullet"/>
              <w:numPr>
                <w:ilvl w:val="0"/>
                <w:numId w:val="17"/>
              </w:numPr>
              <w:ind w:left="227" w:hanging="227"/>
            </w:pPr>
            <w:r w:rsidRPr="00736A64">
              <w:t>a</w:t>
            </w:r>
            <w:r w:rsidR="001874EE" w:rsidRPr="00736A64">
              <w:t>ddressing racism and discrimination in mainstream services to build trust and improve service quality</w:t>
            </w:r>
          </w:p>
          <w:p w14:paraId="722EA749" w14:textId="2D08CC6D" w:rsidR="001874EE" w:rsidRPr="00736A64" w:rsidRDefault="00DD34E4" w:rsidP="0030669B">
            <w:pPr>
              <w:pStyle w:val="ListBullet"/>
              <w:numPr>
                <w:ilvl w:val="0"/>
                <w:numId w:val="17"/>
              </w:numPr>
              <w:ind w:left="227" w:hanging="227"/>
            </w:pPr>
            <w:r w:rsidRPr="00736A64">
              <w:t>i</w:t>
            </w:r>
            <w:r w:rsidR="001874EE" w:rsidRPr="00736A64">
              <w:t>mproving the availability of high quality and culturally safe healthcare services, such as specialist services, for people who live in rural, regional and remote areas</w:t>
            </w:r>
            <w:r w:rsidR="001C34D5" w:rsidRPr="00736A64">
              <w:t>.</w:t>
            </w:r>
          </w:p>
          <w:p w14:paraId="5FD17278" w14:textId="7B810129" w:rsidR="00BB2C32" w:rsidRPr="00B06523" w:rsidRDefault="00BB2C32" w:rsidP="00B06523">
            <w:pPr>
              <w:pStyle w:val="Source"/>
            </w:pPr>
            <w:r w:rsidRPr="00B06523">
              <w:t>Source</w:t>
            </w:r>
            <w:r w:rsidR="005D4B90" w:rsidRPr="00B06523">
              <w:t>:</w:t>
            </w:r>
            <w:r w:rsidRPr="00B06523">
              <w:t xml:space="preserve"> Alford </w:t>
            </w:r>
            <w:r w:rsidR="00447523" w:rsidRPr="00B06523">
              <w:t>(2014)</w:t>
            </w:r>
            <w:r w:rsidR="00C57EA8" w:rsidRPr="00B06523">
              <w:t xml:space="preserve">; Gomersall </w:t>
            </w:r>
            <w:r w:rsidR="0086395D" w:rsidRPr="00B06523">
              <w:t>et al. (</w:t>
            </w:r>
            <w:r w:rsidR="00293B1F" w:rsidRPr="00B06523">
              <w:t xml:space="preserve">2017); </w:t>
            </w:r>
            <w:r w:rsidR="00553612" w:rsidRPr="00B06523">
              <w:t xml:space="preserve">Lowitja Institute </w:t>
            </w:r>
            <w:r w:rsidR="006E69FE" w:rsidRPr="00B06523">
              <w:t xml:space="preserve">(2022); NACCHO </w:t>
            </w:r>
            <w:r w:rsidR="00BE307D" w:rsidRPr="00B06523">
              <w:t xml:space="preserve">(nd); Nolan-Isles et al. </w:t>
            </w:r>
            <w:r w:rsidR="00E43811" w:rsidRPr="00B06523">
              <w:t>(2021)</w:t>
            </w:r>
            <w:r w:rsidR="008D7A6E" w:rsidRPr="00B06523">
              <w:t xml:space="preserve">; Marrie </w:t>
            </w:r>
            <w:r w:rsidR="007670F4" w:rsidRPr="00B06523">
              <w:t xml:space="preserve">(2017); </w:t>
            </w:r>
            <w:r w:rsidR="0001698F" w:rsidRPr="00B06523">
              <w:t xml:space="preserve">Watego et al. </w:t>
            </w:r>
            <w:r w:rsidR="001C34D5" w:rsidRPr="00B06523">
              <w:t>(2021)</w:t>
            </w:r>
            <w:r w:rsidR="003772A9" w:rsidRPr="00B06523">
              <w:t>.</w:t>
            </w:r>
          </w:p>
        </w:tc>
      </w:tr>
      <w:tr w:rsidR="001874EE" w:rsidRPr="004C31CC" w14:paraId="49691753" w14:textId="77777777">
        <w:trPr>
          <w:hidden/>
        </w:trPr>
        <w:tc>
          <w:tcPr>
            <w:tcW w:w="9638" w:type="dxa"/>
            <w:shd w:val="clear" w:color="auto" w:fill="auto"/>
            <w:tcMar>
              <w:top w:w="0" w:type="dxa"/>
              <w:left w:w="170" w:type="dxa"/>
              <w:bottom w:w="0" w:type="dxa"/>
              <w:right w:w="170" w:type="dxa"/>
            </w:tcMar>
          </w:tcPr>
          <w:p w14:paraId="7406F16F" w14:textId="77777777" w:rsidR="001874EE" w:rsidRPr="004C31CC" w:rsidRDefault="001874EE">
            <w:pPr>
              <w:pStyle w:val="BodyText"/>
              <w:spacing w:before="0" w:after="0" w:line="80" w:lineRule="atLeast"/>
              <w:rPr>
                <w:rFonts w:cstheme="minorHAnsi"/>
                <w:smallCaps/>
                <w:vanish/>
              </w:rPr>
            </w:pPr>
            <w:r w:rsidRPr="004C31CC">
              <w:rPr>
                <w:rFonts w:cstheme="minorHAnsi"/>
                <w:smallCaps/>
                <w:vanish/>
                <w:color w:val="FF00FF"/>
              </w:rPr>
              <w:t>Used for spacing, do not delete</w:t>
            </w:r>
          </w:p>
        </w:tc>
      </w:tr>
    </w:tbl>
    <w:p w14:paraId="44576BF3" w14:textId="4F7E8872" w:rsidR="001874EE" w:rsidRPr="004C31CC" w:rsidRDefault="001874EE" w:rsidP="005D4B90">
      <w:pPr>
        <w:spacing w:before="0" w:after="0"/>
        <w:rPr>
          <w:rFonts w:cstheme="minorHAnsi"/>
        </w:rPr>
      </w:pPr>
    </w:p>
    <w:p w14:paraId="2FA42FD5" w14:textId="6501E906" w:rsidR="00C86A87" w:rsidRPr="004C31CC" w:rsidRDefault="00F515E9" w:rsidP="00DD66DD">
      <w:pPr>
        <w:pStyle w:val="BodyText"/>
        <w:rPr>
          <w:color w:val="A22D2B"/>
        </w:rPr>
      </w:pPr>
      <w:r w:rsidRPr="004C31CC">
        <w:t xml:space="preserve">In </w:t>
      </w:r>
      <w:r w:rsidRPr="004C31CC">
        <w:rPr>
          <w:rStyle w:val="BodyTextChar"/>
          <w:rFonts w:cstheme="minorHAnsi"/>
        </w:rPr>
        <w:t>2021</w:t>
      </w:r>
      <w:r w:rsidR="00545DC3" w:rsidRPr="004C31CC">
        <w:rPr>
          <w:rStyle w:val="BodyTextChar"/>
          <w:rFonts w:cstheme="minorHAnsi"/>
        </w:rPr>
        <w:t>-</w:t>
      </w:r>
      <w:r w:rsidRPr="004C31CC">
        <w:rPr>
          <w:rStyle w:val="BodyTextChar"/>
          <w:rFonts w:cstheme="minorHAnsi"/>
        </w:rPr>
        <w:t xml:space="preserve">22, </w:t>
      </w:r>
      <w:r w:rsidR="497E3BAA" w:rsidRPr="004C31CC">
        <w:rPr>
          <w:rStyle w:val="BodyTextChar"/>
          <w:rFonts w:cstheme="minorHAnsi"/>
        </w:rPr>
        <w:t xml:space="preserve">around four in five (807.0 per 1,000) Aboriginal and Torres Strait Islander people </w:t>
      </w:r>
      <w:r w:rsidR="00C16B84" w:rsidRPr="004C31CC">
        <w:rPr>
          <w:rStyle w:val="BodyTextChar"/>
          <w:rFonts w:cstheme="minorHAnsi"/>
        </w:rPr>
        <w:t>visited the GP.</w:t>
      </w:r>
      <w:r w:rsidR="001524C4" w:rsidRPr="004C31CC">
        <w:rPr>
          <w:rStyle w:val="BodyTextChar"/>
          <w:rFonts w:cstheme="minorHAnsi"/>
        </w:rPr>
        <w:t xml:space="preserve"> </w:t>
      </w:r>
      <w:r w:rsidR="773573DE" w:rsidRPr="004C31CC">
        <w:rPr>
          <w:rStyle w:val="BodyTextChar"/>
          <w:rFonts w:cstheme="minorHAnsi"/>
        </w:rPr>
        <w:t xml:space="preserve">This rate is </w:t>
      </w:r>
      <w:r w:rsidR="497E3BAA" w:rsidRPr="004C31CC">
        <w:rPr>
          <w:rStyle w:val="BodyTextChar"/>
          <w:rFonts w:cstheme="minorHAnsi"/>
        </w:rPr>
        <w:t>comparable</w:t>
      </w:r>
      <w:r w:rsidR="497E3BAA" w:rsidRPr="004C31CC">
        <w:t xml:space="preserve"> across most states and territories, except the Northern Territory</w:t>
      </w:r>
      <w:r w:rsidR="00F252C1" w:rsidRPr="004C31CC">
        <w:t>,</w:t>
      </w:r>
      <w:r w:rsidR="497E3BAA" w:rsidRPr="004C31CC">
        <w:t xml:space="preserve"> which had slightly lower attendance rates at 721.1 per 1,000 people in 202</w:t>
      </w:r>
      <w:r w:rsidR="497E3BAA" w:rsidRPr="004C31CC">
        <w:rPr>
          <w:rStyle w:val="BodyTextChar"/>
          <w:rFonts w:cstheme="minorHAnsi"/>
        </w:rPr>
        <w:t>1</w:t>
      </w:r>
      <w:r w:rsidR="00472DEA" w:rsidRPr="004C31CC">
        <w:rPr>
          <w:rStyle w:val="BodyTextChar"/>
          <w:rFonts w:cstheme="minorHAnsi"/>
        </w:rPr>
        <w:t>-</w:t>
      </w:r>
      <w:r w:rsidR="497E3BAA" w:rsidRPr="004C31CC">
        <w:rPr>
          <w:rStyle w:val="BodyTextChar"/>
          <w:rFonts w:cstheme="minorHAnsi"/>
        </w:rPr>
        <w:t>22</w:t>
      </w:r>
      <w:r w:rsidR="497E3BAA" w:rsidRPr="004C31CC">
        <w:t>.</w:t>
      </w:r>
    </w:p>
    <w:p w14:paraId="28ED114D" w14:textId="3144FBBD" w:rsidR="00C86A87" w:rsidRPr="007B3DCE" w:rsidRDefault="00993A3D" w:rsidP="00DD66DD">
      <w:pPr>
        <w:pStyle w:val="BodyText"/>
      </w:pPr>
      <w:r w:rsidRPr="004C31CC">
        <w:t>Nationally in 2021</w:t>
      </w:r>
      <w:r w:rsidR="00545DC3" w:rsidRPr="004C31CC">
        <w:t>-</w:t>
      </w:r>
      <w:r w:rsidRPr="004C31CC">
        <w:t xml:space="preserve">22, </w:t>
      </w:r>
      <w:r w:rsidR="00EF0DC7" w:rsidRPr="004C31CC">
        <w:t>almost</w:t>
      </w:r>
      <w:r w:rsidRPr="004C31CC">
        <w:t xml:space="preserve"> one in 10 (91.0 per 1,000) Aboriginal and Torres Strait Islander people received chronic disease care under General Practitioner Management Plans, while 77.8 per 1,000 received chronic disease care under Team Care Arrangements. This is higher than 2020</w:t>
      </w:r>
      <w:r w:rsidR="00545DC3" w:rsidRPr="004C31CC">
        <w:t>-</w:t>
      </w:r>
      <w:r w:rsidRPr="004C31CC">
        <w:t>21 levels but a decrease since 2016</w:t>
      </w:r>
      <w:r w:rsidR="00472DEA" w:rsidRPr="004C31CC">
        <w:t>-</w:t>
      </w:r>
      <w:r w:rsidRPr="004C31CC">
        <w:t>17 (figure 2.4). The Australian Capital Territory and Tasmania have generally lower rates for utilisation of General Practitioner Management Plans and Team Care Arrangements, while the Northern Territory, Queensland and New South Wales have generally higher rates of utilisation for chronic care items</w:t>
      </w:r>
      <w:r w:rsidRPr="007B3DCE">
        <w:t>.</w:t>
      </w:r>
    </w:p>
    <w:p w14:paraId="26FFDE1A" w14:textId="2CA0802B" w:rsidR="003D3D51" w:rsidRPr="00271911" w:rsidRDefault="003D3D51">
      <w:pPr>
        <w:pStyle w:val="FigureTableHeading"/>
        <w:rPr>
          <w:color w:val="3B2A1C" w:themeColor="background1" w:themeShade="80"/>
          <w:spacing w:val="-4"/>
        </w:rPr>
      </w:pPr>
      <w:r w:rsidRPr="00271911">
        <w:rPr>
          <w:color w:val="3B2A1C" w:themeColor="background1" w:themeShade="80"/>
          <w:spacing w:val="-4"/>
        </w:rPr>
        <w:lastRenderedPageBreak/>
        <w:t>Figure 2.</w:t>
      </w:r>
      <w:r w:rsidR="0036545D" w:rsidRPr="00271911">
        <w:rPr>
          <w:color w:val="3B2A1C" w:themeColor="background1" w:themeShade="80"/>
          <w:spacing w:val="-4"/>
        </w:rPr>
        <w:t>4</w:t>
      </w:r>
      <w:r w:rsidRPr="00271911">
        <w:rPr>
          <w:color w:val="3B2A1C" w:themeColor="background1" w:themeShade="80"/>
          <w:spacing w:val="-4"/>
        </w:rPr>
        <w:t xml:space="preserve"> – National rate of GP visits, health assessments and chronic disease care items</w:t>
      </w:r>
      <w:r w:rsidRPr="00271911">
        <w:rPr>
          <w:color w:val="3B2A1C" w:themeColor="background1" w:themeShade="80"/>
          <w:spacing w:val="-4"/>
          <w:vertAlign w:val="superscript"/>
        </w:rPr>
        <w:t>a</w:t>
      </w:r>
    </w:p>
    <w:p w14:paraId="1C01C0E3" w14:textId="2D50E768" w:rsidR="003566F4" w:rsidRPr="007B3DCE" w:rsidRDefault="003566F4" w:rsidP="003122A2">
      <w:pPr>
        <w:pStyle w:val="FigureTableSubheading"/>
        <w:rPr>
          <w:color w:val="775538" w:themeColor="background1"/>
        </w:rPr>
      </w:pPr>
      <w:r w:rsidRPr="007B3DCE">
        <w:rPr>
          <w:color w:val="775538" w:themeColor="background1"/>
        </w:rPr>
        <w:t xml:space="preserve">Rate </w:t>
      </w:r>
      <w:r w:rsidR="76BA28B6" w:rsidRPr="007B3DCE">
        <w:rPr>
          <w:color w:val="775538" w:themeColor="background1"/>
        </w:rPr>
        <w:t xml:space="preserve">of Medicare </w:t>
      </w:r>
      <w:r w:rsidR="6DD7CF02" w:rsidRPr="007B3DCE">
        <w:rPr>
          <w:color w:val="775538" w:themeColor="background1"/>
        </w:rPr>
        <w:t>i</w:t>
      </w:r>
      <w:r w:rsidR="76BA28B6" w:rsidRPr="007B3DCE">
        <w:rPr>
          <w:color w:val="775538" w:themeColor="background1"/>
        </w:rPr>
        <w:t xml:space="preserve">tem utilisation </w:t>
      </w:r>
      <w:r w:rsidRPr="007B3DCE">
        <w:rPr>
          <w:color w:val="775538" w:themeColor="background1"/>
        </w:rPr>
        <w:t>per 1</w:t>
      </w:r>
      <w:r w:rsidR="1CBEAA47" w:rsidRPr="007B3DCE">
        <w:rPr>
          <w:color w:val="775538" w:themeColor="background1"/>
        </w:rPr>
        <w:t>,</w:t>
      </w:r>
      <w:r w:rsidRPr="007B3DCE">
        <w:rPr>
          <w:color w:val="775538" w:themeColor="background1"/>
        </w:rPr>
        <w:t xml:space="preserve">000 </w:t>
      </w:r>
      <w:r w:rsidR="726E9B63" w:rsidRPr="007B3DCE">
        <w:rPr>
          <w:color w:val="775538" w:themeColor="background1"/>
        </w:rPr>
        <w:t xml:space="preserve">Aboriginal and Torres Strait Islander </w:t>
      </w:r>
      <w:r w:rsidRPr="007B3DCE">
        <w:rPr>
          <w:color w:val="775538" w:themeColor="background1"/>
        </w:rPr>
        <w:t>people</w:t>
      </w:r>
      <w:r w:rsidR="00827CA8" w:rsidRPr="007B3DCE" w:rsidDel="00827CA8">
        <w:rPr>
          <w:color w:val="775538" w:themeColor="background1"/>
        </w:rPr>
        <w:t xml:space="preserve"> </w:t>
      </w:r>
      <w:r w:rsidR="009030C7" w:rsidRPr="007B3DCE">
        <w:rPr>
          <w:color w:val="775538" w:themeColor="background1"/>
        </w:rPr>
        <w:t>(1e)</w:t>
      </w:r>
    </w:p>
    <w:p w14:paraId="1E2B0350" w14:textId="60647DEB" w:rsidR="0027415B" w:rsidRDefault="00626DB2">
      <w:pPr>
        <w:pStyle w:val="NoSpacing"/>
        <w:rPr>
          <w:b/>
          <w:bCs/>
          <w:sz w:val="18"/>
          <w:szCs w:val="18"/>
        </w:rPr>
      </w:pPr>
      <w:r w:rsidRPr="00626DB2">
        <w:rPr>
          <w:noProof/>
        </w:rPr>
        <w:drawing>
          <wp:inline distT="0" distB="0" distL="0" distR="0" wp14:anchorId="4D18A120" wp14:editId="49FD4412">
            <wp:extent cx="6120130" cy="2888615"/>
            <wp:effectExtent l="0" t="0" r="0" b="0"/>
            <wp:docPr id="1099091558" name="Picture 190" descr="Figure 2.4 is a column chart that shows the rate of Medicare item utilisation per 1,000 Aboriginal and Torres Strait Islander people for GP visits, health assessments, and chronic disease care from 2016-17 to 2022-23. &#10;Non-referred GP visits consistently have the highest utilisation rate each year, ranging from 781 to 821.1 per 1,000. Health assessments are considerably lower, ranging from 235.3 to 271.9 per 1,000. Similarly, chronic disease care items are lower ranging between 90.3 and 100.8 per 1,000. For 2022-23, data is only available for health assessments, which is at 269.7 per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91558" name="Picture 190" descr="Figure 2.4 is a column chart that shows the rate of Medicare item utilisation per 1,000 Aboriginal and Torres Strait Islander people for GP visits, health assessments, and chronic disease care from 2016-17 to 2022-23. &#10;Non-referred GP visits consistently have the highest utilisation rate each year, ranging from 781 to 821.1 per 1,000. Health assessments are considerably lower, ranging from 235.3 to 271.9 per 1,000. Similarly, chronic disease care items are lower ranging between 90.3 and 100.8 per 1,000. For 2022-23, data is only available for health assessments, which is at 269.7 per 1,000.&#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2888615"/>
                    </a:xfrm>
                    <a:prstGeom prst="rect">
                      <a:avLst/>
                    </a:prstGeom>
                    <a:noFill/>
                    <a:ln>
                      <a:noFill/>
                    </a:ln>
                  </pic:spPr>
                </pic:pic>
              </a:graphicData>
            </a:graphic>
          </wp:inline>
        </w:drawing>
      </w:r>
    </w:p>
    <w:p w14:paraId="0EF88319" w14:textId="732AD147" w:rsidR="003D3D51" w:rsidRPr="007B3DCE" w:rsidRDefault="00931D2C">
      <w:pPr>
        <w:pStyle w:val="NoSpacing"/>
        <w:rPr>
          <w:sz w:val="18"/>
          <w:szCs w:val="18"/>
        </w:rPr>
      </w:pPr>
      <w:r w:rsidRPr="007B3DCE">
        <w:rPr>
          <w:b/>
          <w:bCs/>
          <w:sz w:val="18"/>
          <w:szCs w:val="18"/>
        </w:rPr>
        <w:t>a.</w:t>
      </w:r>
      <w:r w:rsidRPr="007B3DCE">
        <w:rPr>
          <w:sz w:val="18"/>
          <w:szCs w:val="18"/>
        </w:rPr>
        <w:t xml:space="preserve"> </w:t>
      </w:r>
      <w:r w:rsidR="00C8237F" w:rsidRPr="007B3DCE">
        <w:rPr>
          <w:sz w:val="18"/>
          <w:szCs w:val="18"/>
        </w:rPr>
        <w:t xml:space="preserve">The 2022-23 data </w:t>
      </w:r>
      <w:r w:rsidR="008E5D5D" w:rsidRPr="007B3DCE">
        <w:rPr>
          <w:sz w:val="18"/>
          <w:szCs w:val="18"/>
        </w:rPr>
        <w:t>for non-referred GP visits and the chronic disease care items was not available</w:t>
      </w:r>
    </w:p>
    <w:p w14:paraId="35DEC9F6" w14:textId="77777777" w:rsidR="00A95350" w:rsidRPr="0027415B" w:rsidRDefault="00A95350" w:rsidP="00A95350">
      <w:pPr>
        <w:pStyle w:val="Source"/>
      </w:pPr>
      <w:r w:rsidRPr="0027415B">
        <w:t>Source: Derived from AIHW (unpublished) Medicare Benefits Schedule data (AIHW analyses); ABS Estimates and Projections Aboriginal and Torres Strait Islander Australians</w:t>
      </w:r>
    </w:p>
    <w:p w14:paraId="46BD2F44" w14:textId="23AA73A7" w:rsidR="002150C8" w:rsidRDefault="00320E93" w:rsidP="003774C2">
      <w:pPr>
        <w:pStyle w:val="BodyText"/>
      </w:pPr>
      <w:r w:rsidRPr="004C31CC">
        <w:rPr>
          <w:rFonts w:cstheme="minorHAnsi"/>
        </w:rPr>
        <w:t xml:space="preserve">For Aboriginal and Torres Strait Islander-specific health assessments, rates </w:t>
      </w:r>
      <w:r w:rsidR="00D27435" w:rsidRPr="004C31CC">
        <w:rPr>
          <w:rFonts w:cstheme="minorHAnsi"/>
        </w:rPr>
        <w:t xml:space="preserve">in </w:t>
      </w:r>
      <w:r w:rsidRPr="004C31CC">
        <w:rPr>
          <w:rFonts w:cstheme="minorHAnsi"/>
        </w:rPr>
        <w:t>202</w:t>
      </w:r>
      <w:r w:rsidR="2528F4FD" w:rsidRPr="004C31CC">
        <w:rPr>
          <w:rFonts w:cstheme="minorHAnsi"/>
        </w:rPr>
        <w:t>2</w:t>
      </w:r>
      <w:r w:rsidR="00545DC3" w:rsidRPr="004C31CC">
        <w:rPr>
          <w:rFonts w:cstheme="minorHAnsi"/>
        </w:rPr>
        <w:t>-</w:t>
      </w:r>
      <w:r w:rsidRPr="004C31CC">
        <w:rPr>
          <w:rFonts w:cstheme="minorHAnsi"/>
        </w:rPr>
        <w:t>2</w:t>
      </w:r>
      <w:r w:rsidR="03250914" w:rsidRPr="004C31CC">
        <w:rPr>
          <w:rFonts w:cstheme="minorHAnsi"/>
        </w:rPr>
        <w:t>3</w:t>
      </w:r>
      <w:r w:rsidRPr="004C31CC">
        <w:rPr>
          <w:rFonts w:cstheme="minorHAnsi"/>
        </w:rPr>
        <w:t xml:space="preserve"> </w:t>
      </w:r>
      <w:r w:rsidR="00D27435" w:rsidRPr="004C31CC">
        <w:rPr>
          <w:rFonts w:cstheme="minorHAnsi"/>
        </w:rPr>
        <w:t>are</w:t>
      </w:r>
      <w:r w:rsidRPr="004C31CC">
        <w:rPr>
          <w:rFonts w:cstheme="minorHAnsi"/>
        </w:rPr>
        <w:t xml:space="preserve"> higher than </w:t>
      </w:r>
      <w:r w:rsidR="00D27435" w:rsidRPr="004C31CC">
        <w:rPr>
          <w:rFonts w:cstheme="minorHAnsi"/>
        </w:rPr>
        <w:t xml:space="preserve">in </w:t>
      </w:r>
      <w:r w:rsidRPr="004C31CC">
        <w:rPr>
          <w:rFonts w:cstheme="minorHAnsi"/>
        </w:rPr>
        <w:t>2016</w:t>
      </w:r>
      <w:r w:rsidR="00545DC3" w:rsidRPr="004C31CC">
        <w:rPr>
          <w:rFonts w:cstheme="minorHAnsi"/>
        </w:rPr>
        <w:t>-</w:t>
      </w:r>
      <w:r w:rsidRPr="004C31CC">
        <w:rPr>
          <w:rFonts w:cstheme="minorHAnsi"/>
        </w:rPr>
        <w:t>17 (figure 2.5). However, this progress remains modest with just over one in four (269.7 per 1,000) Aboriginal and Torres Strait Islander people accessing these checks nationally in 2022</w:t>
      </w:r>
      <w:r w:rsidR="00545DC3" w:rsidRPr="00584CD3">
        <w:rPr>
          <w:rStyle w:val="normaltextrun"/>
          <w:rFonts w:cstheme="minorHAnsi"/>
          <w:bdr w:val="none" w:sz="0" w:space="0" w:color="auto" w:frame="1"/>
        </w:rPr>
        <w:t>-</w:t>
      </w:r>
      <w:r w:rsidRPr="004C31CC">
        <w:rPr>
          <w:rFonts w:cstheme="minorHAnsi"/>
        </w:rPr>
        <w:t xml:space="preserve">23. Health assessment utilisation rates were higher in New South Wales, Queensland, Western Australia and </w:t>
      </w:r>
      <w:r w:rsidR="00046221" w:rsidRPr="004C31CC">
        <w:rPr>
          <w:rFonts w:cstheme="minorHAnsi"/>
        </w:rPr>
        <w:t xml:space="preserve">the </w:t>
      </w:r>
      <w:r w:rsidRPr="004C31CC">
        <w:rPr>
          <w:rFonts w:cstheme="minorHAnsi"/>
        </w:rPr>
        <w:t>Northern Territory when compared to other jurisdictions</w:t>
      </w:r>
      <w:r w:rsidR="0060040D" w:rsidRPr="004C31CC">
        <w:rPr>
          <w:rFonts w:cstheme="minorHAnsi"/>
        </w:rPr>
        <w:t xml:space="preserve"> (box 2.3</w:t>
      </w:r>
      <w:r w:rsidR="576220A5" w:rsidRPr="004C31CC">
        <w:rPr>
          <w:rFonts w:cstheme="minorHAnsi"/>
        </w:rPr>
        <w:t xml:space="preserve"> </w:t>
      </w:r>
      <w:r w:rsidR="00931406" w:rsidRPr="004C31CC">
        <w:rPr>
          <w:rFonts w:cstheme="minorHAnsi"/>
        </w:rPr>
        <w:t xml:space="preserve">outlines </w:t>
      </w:r>
      <w:r w:rsidR="576220A5" w:rsidRPr="004C31CC">
        <w:rPr>
          <w:rFonts w:cstheme="minorHAnsi"/>
        </w:rPr>
        <w:t>data considerations</w:t>
      </w:r>
      <w:r w:rsidR="0060040D">
        <w:t>)</w:t>
      </w:r>
      <w:r w:rsidR="00E84BBC">
        <w:t>.</w:t>
      </w:r>
    </w:p>
    <w:p w14:paraId="5D2392FA" w14:textId="77777777" w:rsidR="002150C8" w:rsidRDefault="002150C8">
      <w:pPr>
        <w:spacing w:before="0" w:after="160" w:line="259" w:lineRule="auto"/>
      </w:pPr>
      <w:r>
        <w:br w:type="page"/>
      </w:r>
    </w:p>
    <w:p w14:paraId="2E71EC10" w14:textId="77777777" w:rsidR="00030C2E" w:rsidRPr="007B3DCE" w:rsidRDefault="00030C2E" w:rsidP="00030C2E">
      <w:pPr>
        <w:pStyle w:val="FigureTableHeading"/>
        <w:rPr>
          <w:color w:val="3B2A1C" w:themeColor="background1" w:themeShade="80"/>
        </w:rPr>
      </w:pPr>
      <w:r w:rsidRPr="007B3DCE">
        <w:rPr>
          <w:color w:val="3B2A1C" w:themeColor="background1" w:themeShade="80"/>
        </w:rPr>
        <w:lastRenderedPageBreak/>
        <w:t>Figure 2.5 – Rate of health assessments, by jurisdiction</w:t>
      </w:r>
    </w:p>
    <w:p w14:paraId="6379EEB0" w14:textId="77777777" w:rsidR="00030C2E" w:rsidRPr="007B3DCE" w:rsidRDefault="00030C2E" w:rsidP="00030C2E">
      <w:pPr>
        <w:pStyle w:val="FigureTableSubheading"/>
        <w:rPr>
          <w:color w:val="775538" w:themeColor="background1"/>
        </w:rPr>
      </w:pPr>
      <w:r w:rsidRPr="007B3DCE">
        <w:rPr>
          <w:color w:val="775538" w:themeColor="background1"/>
        </w:rPr>
        <w:t>Rate of Medicare item utilisation per 1,000 Aboriginal and Torres Strait Islander people comparing recent years to the baseline (2016-17) (1e.2)</w:t>
      </w:r>
    </w:p>
    <w:p w14:paraId="57C6BDB6" w14:textId="77777777" w:rsidR="00030C2E" w:rsidRDefault="00030C2E" w:rsidP="00030C2E">
      <w:pPr>
        <w:pStyle w:val="FigureTableSubheading"/>
        <w:rPr>
          <w:color w:val="FF00FF"/>
        </w:rPr>
      </w:pPr>
      <w:r w:rsidRPr="003A4BF1">
        <w:rPr>
          <w:noProof/>
        </w:rPr>
        <w:drawing>
          <wp:inline distT="0" distB="0" distL="0" distR="0" wp14:anchorId="183C6AC9" wp14:editId="60D96846">
            <wp:extent cx="6118225" cy="2406015"/>
            <wp:effectExtent l="0" t="0" r="0" b="0"/>
            <wp:docPr id="1344017697" name="Picture 192" descr="Figure 2.5 is a column chart that compares the rate of health assessments per 1,000 Aboriginal and Torres Strait Islander people by jurisdiction from 2016-17 to 2022-23. &#10;The chart shows variations across the states and territories, with some jurisdictions, like Queensland, Western Australia and the NT, showing higher rates compared to others. The overall trend indicates fluctuating rates of health assessments. At the national level, there was a slight increase from 262.3 per 1,000 in 2016-17 up to 269.7 per 1,000 in 2022-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17697" name="Picture 192" descr="Figure 2.5 is a column chart that compares the rate of health assessments per 1,000 Aboriginal and Torres Strait Islander people by jurisdiction from 2016-17 to 2022-23. &#10;The chart shows variations across the states and territories, with some jurisdictions, like Queensland, Western Australia and the NT, showing higher rates compared to others. The overall trend indicates fluctuating rates of health assessments. At the national level, there was a slight increase from 262.3 per 1,000 in 2016-17 up to 269.7 per 1,000 in 2022-23.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8225" cy="2406015"/>
                    </a:xfrm>
                    <a:prstGeom prst="rect">
                      <a:avLst/>
                    </a:prstGeom>
                    <a:noFill/>
                    <a:ln>
                      <a:noFill/>
                    </a:ln>
                  </pic:spPr>
                </pic:pic>
              </a:graphicData>
            </a:graphic>
          </wp:inline>
        </w:drawing>
      </w:r>
      <w:r w:rsidRPr="003A4BF1">
        <w:t xml:space="preserve"> </w:t>
      </w:r>
      <w:r w:rsidRPr="007B3DCE">
        <w:rPr>
          <w:vanish/>
          <w:color w:val="FF00FF"/>
        </w:rPr>
        <w:t>[</w:t>
      </w:r>
      <w:r w:rsidRPr="007B3DCE">
        <w:rPr>
          <w:smallCaps/>
          <w:vanish/>
          <w:color w:val="FF00FF"/>
        </w:rPr>
        <w:t>Used for spacing, do not delete</w:t>
      </w:r>
      <w:r w:rsidRPr="007B3DCE">
        <w:rPr>
          <w:vanish/>
          <w:color w:val="FF00FF"/>
        </w:rPr>
        <w:t xml:space="preserve"> | Style: No Spacing]</w:t>
      </w:r>
    </w:p>
    <w:p w14:paraId="7E68DEE8" w14:textId="77777777" w:rsidR="00030C2E" w:rsidRDefault="00030C2E" w:rsidP="00030C2E">
      <w:pPr>
        <w:pStyle w:val="Source"/>
        <w:rPr>
          <w:szCs w:val="18"/>
        </w:rPr>
      </w:pPr>
      <w:r w:rsidRPr="00FF6D42">
        <w:t>Source: Derived from Australian Government Department of Health and Aged Care (unpublished) Medicare Benefits</w:t>
      </w:r>
      <w:r w:rsidRPr="00FF6D42">
        <w:rPr>
          <w:szCs w:val="18"/>
        </w:rPr>
        <w:t xml:space="preserve"> Schedule (MBS) statistics; ABS Estimates and Projections Aboriginal and Torres Strait Islander Australians</w:t>
      </w:r>
    </w:p>
    <w:p w14:paraId="2AEEA90D" w14:textId="700E55D9" w:rsidR="00FF4481" w:rsidRPr="007B3DCE" w:rsidRDefault="00FF4481" w:rsidP="00F21B37">
      <w:pPr>
        <w:pStyle w:val="Heading3"/>
        <w:rPr>
          <w:color w:val="3B2A1C" w:themeColor="background1" w:themeShade="80"/>
        </w:rPr>
      </w:pPr>
      <w:bookmarkStart w:id="18" w:name="_Toc167878544"/>
      <w:r w:rsidRPr="007B3DCE">
        <w:rPr>
          <w:color w:val="3B2A1C" w:themeColor="background1" w:themeShade="80"/>
        </w:rPr>
        <w:t>Outcome 2</w:t>
      </w:r>
      <w:r w:rsidR="002F3D7A" w:rsidRPr="007B3DCE">
        <w:rPr>
          <w:color w:val="3B2A1C" w:themeColor="background1" w:themeShade="80"/>
        </w:rPr>
        <w:t>:</w:t>
      </w:r>
      <w:r w:rsidRPr="007B3DCE">
        <w:rPr>
          <w:color w:val="3B2A1C" w:themeColor="background1" w:themeShade="80"/>
        </w:rPr>
        <w:t xml:space="preserve"> Aboriginal and Torres Strait Islander children are born healthy and strong</w:t>
      </w:r>
      <w:bookmarkEnd w:id="18"/>
    </w:p>
    <w:p w14:paraId="231FF4BB" w14:textId="32989CA2" w:rsidR="00E22BA8" w:rsidRPr="00C13021" w:rsidRDefault="00FF4481" w:rsidP="00C13021">
      <w:pPr>
        <w:pStyle w:val="Heading4"/>
        <w:rPr>
          <w:color w:val="775538" w:themeColor="background1"/>
        </w:rPr>
      </w:pPr>
      <w:r w:rsidRPr="007B3DCE">
        <w:rPr>
          <w:color w:val="775538" w:themeColor="background1"/>
        </w:rPr>
        <w:t xml:space="preserve">A higher proportion of Aboriginal and Torres Strait Islander babies are being born at a healthy birthweight and the target is on track to </w:t>
      </w:r>
      <w:r w:rsidR="000742AC" w:rsidRPr="007B3DCE">
        <w:rPr>
          <w:color w:val="775538" w:themeColor="background1"/>
        </w:rPr>
        <w:t xml:space="preserve">be met </w:t>
      </w:r>
      <w:r w:rsidRPr="007B3DCE">
        <w:rPr>
          <w:color w:val="775538" w:themeColor="background1"/>
        </w:rPr>
        <w:t>by 2031</w:t>
      </w:r>
    </w:p>
    <w:p w14:paraId="03CCD329" w14:textId="7520E5AC" w:rsidR="00FF4481" w:rsidRPr="004C31CC" w:rsidRDefault="00F940B1" w:rsidP="0007141F">
      <w:pPr>
        <w:pStyle w:val="BodyText"/>
      </w:pPr>
      <w:r w:rsidRPr="004C31CC">
        <w:t>T</w:t>
      </w:r>
      <w:r w:rsidR="00C13021" w:rsidRPr="004C31CC">
        <w:t>arget</w:t>
      </w:r>
      <w:r w:rsidRPr="004C31CC">
        <w:t xml:space="preserve"> 2 – that</w:t>
      </w:r>
      <w:r w:rsidR="00C13021" w:rsidRPr="004C31CC">
        <w:t xml:space="preserve"> 91% </w:t>
      </w:r>
      <w:r w:rsidR="00AB1BA1" w:rsidRPr="004C31CC">
        <w:t xml:space="preserve">of Aboriginal and Torres Strait babies are born at a healthy birthweight </w:t>
      </w:r>
      <w:r w:rsidR="00C13021" w:rsidRPr="004C31CC">
        <w:t xml:space="preserve">by 2031 </w:t>
      </w:r>
      <w:r w:rsidR="009A5F0F" w:rsidRPr="004C31CC">
        <w:t xml:space="preserve">– </w:t>
      </w:r>
      <w:r w:rsidR="00C13021" w:rsidRPr="004C31CC">
        <w:t xml:space="preserve">is on track to be met. </w:t>
      </w:r>
      <w:r w:rsidR="00FF4481" w:rsidRPr="004C31CC">
        <w:t>Of the 18</w:t>
      </w:r>
      <w:r w:rsidR="00245BFE" w:rsidRPr="004C31CC">
        <w:t>,</w:t>
      </w:r>
      <w:r w:rsidR="00FF4481" w:rsidRPr="004C31CC">
        <w:t xml:space="preserve">539 </w:t>
      </w:r>
      <w:r w:rsidR="005F0C0A" w:rsidRPr="004C31CC">
        <w:t>Aboriginal and Torres Strait Islander</w:t>
      </w:r>
      <w:r w:rsidR="00FF4481" w:rsidRPr="004C31CC">
        <w:t xml:space="preserve"> children born in 2021, 89.6% were of healthy birthweight, up from 88.8% in 2017. Nationally, the increase was driven by improvements in four states – Victoria, Queensland, Western Australia and Tasmania. The proportion of healthy birthweights remained unchanged for South Australia, </w:t>
      </w:r>
      <w:r w:rsidR="00046221" w:rsidRPr="004C31CC">
        <w:t xml:space="preserve">the </w:t>
      </w:r>
      <w:r w:rsidR="00FF4481" w:rsidRPr="004C31CC">
        <w:t>Australian Capital Territory</w:t>
      </w:r>
      <w:r w:rsidR="007E5405" w:rsidRPr="004C31CC">
        <w:t xml:space="preserve"> and</w:t>
      </w:r>
      <w:r w:rsidR="00FF4481" w:rsidRPr="004C31CC">
        <w:t xml:space="preserve"> N</w:t>
      </w:r>
      <w:r w:rsidR="00004564" w:rsidRPr="004C31CC">
        <w:t xml:space="preserve">ew </w:t>
      </w:r>
      <w:r w:rsidR="00FF4481" w:rsidRPr="004C31CC">
        <w:t>S</w:t>
      </w:r>
      <w:r w:rsidR="00004564" w:rsidRPr="004C31CC">
        <w:t xml:space="preserve">outh </w:t>
      </w:r>
      <w:r w:rsidR="00FF4481" w:rsidRPr="004C31CC">
        <w:t>W</w:t>
      </w:r>
      <w:r w:rsidR="00004564" w:rsidRPr="004C31CC">
        <w:t>ales</w:t>
      </w:r>
      <w:r w:rsidR="00FF4481" w:rsidRPr="004C31CC">
        <w:t xml:space="preserve">, </w:t>
      </w:r>
      <w:r w:rsidR="00245BFE" w:rsidRPr="004C31CC">
        <w:t>h</w:t>
      </w:r>
      <w:r w:rsidR="00FF4481" w:rsidRPr="004C31CC">
        <w:t xml:space="preserve">owever, </w:t>
      </w:r>
      <w:r w:rsidR="002E25CB" w:rsidRPr="004C31CC">
        <w:t xml:space="preserve">a </w:t>
      </w:r>
      <w:r w:rsidR="00FF4481" w:rsidRPr="004C31CC">
        <w:t>decline w</w:t>
      </w:r>
      <w:r w:rsidR="002E25CB" w:rsidRPr="004C31CC">
        <w:t>as</w:t>
      </w:r>
      <w:r w:rsidR="00FF4481" w:rsidRPr="004C31CC">
        <w:t xml:space="preserve"> observed in the Northern Territory. </w:t>
      </w:r>
      <w:r w:rsidR="007D54A6" w:rsidRPr="004C31CC">
        <w:t>The proportion of h</w:t>
      </w:r>
      <w:r w:rsidR="00FF4481" w:rsidRPr="004C31CC">
        <w:t>ealthy birthweights increased in major cities between 2017 and 2021 but remained relatively stable in regional and remote areas (figure 2.</w:t>
      </w:r>
      <w:r w:rsidR="00150B30" w:rsidRPr="004C31CC">
        <w:t>6</w:t>
      </w:r>
      <w:r w:rsidR="00FF4481" w:rsidRPr="004C31CC">
        <w:t>).</w:t>
      </w:r>
    </w:p>
    <w:p w14:paraId="63CD7EEC" w14:textId="0D73F45E" w:rsidR="00FF4481" w:rsidRPr="007B3DCE" w:rsidRDefault="00FF4481" w:rsidP="00FF4481">
      <w:pPr>
        <w:pStyle w:val="FigureTableHeading"/>
        <w:rPr>
          <w:color w:val="3B2A1C" w:themeColor="background1" w:themeShade="80"/>
        </w:rPr>
      </w:pPr>
      <w:r w:rsidRPr="007B3DCE">
        <w:rPr>
          <w:color w:val="3B2A1C" w:themeColor="background1" w:themeShade="80"/>
        </w:rPr>
        <w:lastRenderedPageBreak/>
        <w:t xml:space="preserve">Figure </w:t>
      </w:r>
      <w:r w:rsidR="004C2EBD" w:rsidRPr="007B3DCE">
        <w:rPr>
          <w:color w:val="3B2A1C" w:themeColor="background1" w:themeShade="80"/>
        </w:rPr>
        <w:t>2.</w:t>
      </w:r>
      <w:r w:rsidR="0036545D" w:rsidRPr="007B3DCE">
        <w:rPr>
          <w:color w:val="3B2A1C" w:themeColor="background1" w:themeShade="80"/>
        </w:rPr>
        <w:t>6</w:t>
      </w:r>
      <w:r w:rsidRPr="007B3DCE">
        <w:rPr>
          <w:color w:val="3B2A1C" w:themeColor="background1" w:themeShade="80"/>
        </w:rPr>
        <w:t xml:space="preserve"> – </w:t>
      </w:r>
      <w:r w:rsidR="1C93D3B7" w:rsidRPr="007B3DCE">
        <w:rPr>
          <w:color w:val="3B2A1C" w:themeColor="background1" w:themeShade="80"/>
        </w:rPr>
        <w:t xml:space="preserve">Proportion of </w:t>
      </w:r>
      <w:r w:rsidRPr="007B3DCE">
        <w:rPr>
          <w:color w:val="3B2A1C" w:themeColor="background1" w:themeShade="80"/>
        </w:rPr>
        <w:t xml:space="preserve">babies </w:t>
      </w:r>
      <w:r w:rsidR="1C93D3B7" w:rsidRPr="007B3DCE">
        <w:rPr>
          <w:color w:val="3B2A1C" w:themeColor="background1" w:themeShade="80"/>
        </w:rPr>
        <w:t xml:space="preserve">born at a </w:t>
      </w:r>
      <w:r w:rsidRPr="007B3DCE">
        <w:rPr>
          <w:color w:val="3B2A1C" w:themeColor="background1" w:themeShade="80"/>
        </w:rPr>
        <w:t>healthy birthweight by remoteness</w:t>
      </w:r>
    </w:p>
    <w:p w14:paraId="5D8B08F4" w14:textId="23AA926F" w:rsidR="00FF4481" w:rsidRDefault="00FF4481" w:rsidP="0018284C">
      <w:pPr>
        <w:pStyle w:val="FigureTableSubheading"/>
        <w:rPr>
          <w:color w:val="775538" w:themeColor="background1"/>
        </w:rPr>
      </w:pPr>
      <w:r w:rsidRPr="007B3DCE">
        <w:rPr>
          <w:color w:val="775538" w:themeColor="background1"/>
        </w:rPr>
        <w:t xml:space="preserve">Proportion of </w:t>
      </w:r>
      <w:r w:rsidR="11B0F89C" w:rsidRPr="007B3DCE">
        <w:rPr>
          <w:color w:val="775538" w:themeColor="background1"/>
        </w:rPr>
        <w:t xml:space="preserve">Aboriginal and Torres Strait Islander </w:t>
      </w:r>
      <w:r w:rsidRPr="007B3DCE">
        <w:rPr>
          <w:color w:val="775538" w:themeColor="background1"/>
        </w:rPr>
        <w:t xml:space="preserve">live-born singleton babies </w:t>
      </w:r>
      <w:r w:rsidR="139C86C3" w:rsidRPr="007B3DCE">
        <w:rPr>
          <w:color w:val="775538" w:themeColor="background1"/>
        </w:rPr>
        <w:t>born at a</w:t>
      </w:r>
      <w:r w:rsidRPr="007B3DCE">
        <w:rPr>
          <w:color w:val="775538" w:themeColor="background1"/>
        </w:rPr>
        <w:t xml:space="preserve"> birthweight </w:t>
      </w:r>
      <w:r w:rsidR="2BC51280" w:rsidRPr="007B3DCE">
        <w:rPr>
          <w:color w:val="775538" w:themeColor="background1"/>
        </w:rPr>
        <w:t>between</w:t>
      </w:r>
      <w:r w:rsidRPr="007B3DCE">
        <w:rPr>
          <w:color w:val="775538" w:themeColor="background1"/>
        </w:rPr>
        <w:t xml:space="preserve"> 2,500–4,499</w:t>
      </w:r>
      <w:r w:rsidR="0018284C" w:rsidRPr="007B3DCE">
        <w:rPr>
          <w:color w:val="775538" w:themeColor="background1"/>
        </w:rPr>
        <w:t>g</w:t>
      </w:r>
    </w:p>
    <w:p w14:paraId="37DC6A0D" w14:textId="65B10B2A" w:rsidR="006263D8" w:rsidRPr="00D9561D" w:rsidRDefault="00D9561D" w:rsidP="00D9561D">
      <w:pPr>
        <w:pStyle w:val="FigureTableSubheading"/>
        <w:rPr>
          <w:color w:val="775538" w:themeColor="background1"/>
        </w:rPr>
      </w:pPr>
      <w:r w:rsidRPr="00D9561D">
        <w:rPr>
          <w:noProof/>
        </w:rPr>
        <w:drawing>
          <wp:inline distT="0" distB="0" distL="0" distR="0" wp14:anchorId="42E319F8" wp14:editId="2050BE8A">
            <wp:extent cx="6120130" cy="2877820"/>
            <wp:effectExtent l="0" t="0" r="0" b="0"/>
            <wp:docPr id="2084682327" name="Picture 198" descr="Figure 2.6 is a line chart that shows the proportion of Aboriginal and Torres Strait Islander live-born singleton babies born at a healthy birthweight (2,500-4,499 grams) by remoteness from 2017 to 2021. The chart shows that major cities consistently have the highest proportion of babies born at a healthy birthweight, while remote and very remote areas have lower proportions. There is an upward trend in healthy birthweight proportions in major citi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82327" name="Picture 198" descr="Figure 2.6 is a line chart that shows the proportion of Aboriginal and Torres Strait Islander live-born singleton babies born at a healthy birthweight (2,500-4,499 grams) by remoteness from 2017 to 2021. The chart shows that major cities consistently have the highest proportion of babies born at a healthy birthweight, while remote and very remote areas have lower proportions. There is an upward trend in healthy birthweight proportions in major cities over tim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2877820"/>
                    </a:xfrm>
                    <a:prstGeom prst="rect">
                      <a:avLst/>
                    </a:prstGeom>
                    <a:noFill/>
                    <a:ln>
                      <a:noFill/>
                    </a:ln>
                  </pic:spPr>
                </pic:pic>
              </a:graphicData>
            </a:graphic>
          </wp:inline>
        </w:drawing>
      </w:r>
    </w:p>
    <w:p w14:paraId="2C8A2BAA" w14:textId="47BCFF94" w:rsidR="00963669" w:rsidRPr="00CF3A9D" w:rsidRDefault="00312ADB" w:rsidP="00CF3A9D">
      <w:pPr>
        <w:pStyle w:val="Source"/>
      </w:pPr>
      <w:r w:rsidRPr="00312ADB">
        <w:t>Source: AIHW (unpublished) National Perinatal Data Collection</w:t>
      </w:r>
    </w:p>
    <w:p w14:paraId="23F92DCA" w14:textId="65B14891" w:rsidR="00FF4481" w:rsidRPr="00173782" w:rsidRDefault="480BE1A3" w:rsidP="00F21B37">
      <w:pPr>
        <w:pStyle w:val="Heading5"/>
        <w:rPr>
          <w:color w:val="3B2A1C" w:themeColor="background1" w:themeShade="80"/>
        </w:rPr>
      </w:pPr>
      <w:r w:rsidRPr="00173782">
        <w:rPr>
          <w:color w:val="3B2A1C" w:themeColor="background1" w:themeShade="80"/>
        </w:rPr>
        <w:t>Rising rates of early prenatal care and falling smoking rates during pregnancy</w:t>
      </w:r>
    </w:p>
    <w:p w14:paraId="4FC09463" w14:textId="723EC2C7" w:rsidR="00123DAB" w:rsidRPr="004C31CC" w:rsidRDefault="00D0331D" w:rsidP="00226E85">
      <w:pPr>
        <w:pStyle w:val="BodyText"/>
      </w:pPr>
      <w:r w:rsidRPr="004C31CC">
        <w:t>New d</w:t>
      </w:r>
      <w:r w:rsidR="00172165" w:rsidRPr="004C31CC">
        <w:t xml:space="preserve">ata </w:t>
      </w:r>
      <w:r w:rsidR="52F1FD8D" w:rsidRPr="004C31CC">
        <w:t xml:space="preserve">for smoking during pregnancy </w:t>
      </w:r>
      <w:r w:rsidRPr="004C31CC">
        <w:t>show</w:t>
      </w:r>
      <w:r w:rsidR="001662D7" w:rsidRPr="004C31CC">
        <w:t>s</w:t>
      </w:r>
      <w:r w:rsidRPr="004C31CC">
        <w:t xml:space="preserve"> that</w:t>
      </w:r>
      <w:r w:rsidR="009B5320" w:rsidRPr="004C31CC">
        <w:t xml:space="preserve"> </w:t>
      </w:r>
      <w:r w:rsidRPr="004C31CC">
        <w:t>i</w:t>
      </w:r>
      <w:r w:rsidR="6EA09F47" w:rsidRPr="004C31CC">
        <w:t>n 2021</w:t>
      </w:r>
      <w:r w:rsidR="00B34EDB" w:rsidRPr="004C31CC">
        <w:t>,</w:t>
      </w:r>
      <w:r w:rsidR="0067180C" w:rsidRPr="004C31CC">
        <w:t xml:space="preserve"> </w:t>
      </w:r>
      <w:r w:rsidR="00172165" w:rsidRPr="004C31CC">
        <w:t>41.</w:t>
      </w:r>
      <w:r w:rsidR="008B75ED" w:rsidRPr="004C31CC">
        <w:t>6</w:t>
      </w:r>
      <w:r w:rsidR="00172165" w:rsidRPr="004C31CC">
        <w:t xml:space="preserve">% of </w:t>
      </w:r>
      <w:r w:rsidR="00122B3E" w:rsidRPr="004C31CC">
        <w:t xml:space="preserve">Aboriginal and Torres Strait Islander </w:t>
      </w:r>
      <w:r w:rsidR="00172165" w:rsidRPr="004C31CC">
        <w:t>women who gave birth reported smoking at any time during pregnancy and 35</w:t>
      </w:r>
      <w:r w:rsidR="008B75ED" w:rsidRPr="004C31CC">
        <w:t>.5</w:t>
      </w:r>
      <w:r w:rsidR="00172165" w:rsidRPr="004C31CC">
        <w:t>% smoked after twenty weeks (</w:t>
      </w:r>
      <w:r w:rsidR="007B14B6" w:rsidRPr="004C31CC">
        <w:t>Measures</w:t>
      </w:r>
      <w:r w:rsidR="00C71DBD" w:rsidRPr="004C31CC">
        <w:t xml:space="preserve"> </w:t>
      </w:r>
      <w:r w:rsidR="0097106D" w:rsidRPr="004C31CC">
        <w:t>2a</w:t>
      </w:r>
      <w:r w:rsidR="00172165" w:rsidRPr="004C31CC">
        <w:t xml:space="preserve">.1 and </w:t>
      </w:r>
      <w:r w:rsidR="0097106D" w:rsidRPr="004C31CC">
        <w:t>2a</w:t>
      </w:r>
      <w:r w:rsidR="00172165" w:rsidRPr="004C31CC">
        <w:t xml:space="preserve">.2). </w:t>
      </w:r>
      <w:r w:rsidR="61A6A91D" w:rsidRPr="004C31CC">
        <w:t>T</w:t>
      </w:r>
      <w:r w:rsidR="00172165" w:rsidRPr="004C31CC">
        <w:t>he rate</w:t>
      </w:r>
      <w:r w:rsidR="7904ED72" w:rsidRPr="004C31CC">
        <w:t xml:space="preserve"> of smoking at any time during pregnancy</w:t>
      </w:r>
      <w:r w:rsidR="00172165" w:rsidRPr="004C31CC">
        <w:t xml:space="preserve"> decreased by </w:t>
      </w:r>
      <w:r w:rsidR="004A5153" w:rsidRPr="004C31CC">
        <w:t xml:space="preserve">approximately </w:t>
      </w:r>
      <w:r w:rsidR="00172165" w:rsidRPr="004C31CC">
        <w:t>3% since the baseline</w:t>
      </w:r>
      <w:r w:rsidR="035D863C" w:rsidRPr="004C31CC">
        <w:t xml:space="preserve"> year</w:t>
      </w:r>
      <w:r w:rsidR="00172165" w:rsidRPr="004C31CC">
        <w:t xml:space="preserve"> </w:t>
      </w:r>
      <w:r w:rsidR="66D98E8A" w:rsidRPr="004C31CC">
        <w:t>(2017)</w:t>
      </w:r>
      <w:r w:rsidR="004A5153" w:rsidRPr="004C31CC">
        <w:t>,</w:t>
      </w:r>
      <w:r w:rsidR="00172165" w:rsidRPr="004C31CC">
        <w:t xml:space="preserve"> </w:t>
      </w:r>
      <w:r w:rsidR="004A5153" w:rsidRPr="004C31CC">
        <w:t>with</w:t>
      </w:r>
      <w:r w:rsidR="00172165" w:rsidRPr="004C31CC">
        <w:t xml:space="preserve"> the largest decrease </w:t>
      </w:r>
      <w:r w:rsidR="1A0D8B2C" w:rsidRPr="004C31CC">
        <w:t>between 2020 and 2021 (43.4% and 41.</w:t>
      </w:r>
      <w:r w:rsidR="008B75ED" w:rsidRPr="004C31CC">
        <w:t>6</w:t>
      </w:r>
      <w:r w:rsidR="1A0D8B2C" w:rsidRPr="004C31CC">
        <w:t>%, respectively</w:t>
      </w:r>
      <w:r w:rsidR="00172165" w:rsidRPr="004C31CC" w:rsidDel="00172165">
        <w:t>)</w:t>
      </w:r>
      <w:r w:rsidR="00CE04B1" w:rsidRPr="004C31CC">
        <w:t>.</w:t>
      </w:r>
    </w:p>
    <w:p w14:paraId="4815B71A" w14:textId="041E2DB3" w:rsidR="00D2368F" w:rsidRDefault="00123DAB">
      <w:pPr>
        <w:spacing w:before="0" w:after="160" w:line="259" w:lineRule="auto"/>
        <w:sectPr w:rsidR="00D2368F" w:rsidSect="00CE362C">
          <w:footerReference w:type="default" r:id="rId48"/>
          <w:pgSz w:w="11906" w:h="16838" w:code="9"/>
          <w:pgMar w:top="1134" w:right="1134" w:bottom="1134" w:left="1134" w:header="794" w:footer="510" w:gutter="0"/>
          <w:cols w:space="708"/>
          <w:docGrid w:linePitch="360"/>
        </w:sectPr>
      </w:pPr>
      <w:r w:rsidRPr="004C31CC">
        <w:t xml:space="preserve">New data for </w:t>
      </w:r>
      <w:r w:rsidR="008A5CFE" w:rsidRPr="004C31CC">
        <w:t>the</w:t>
      </w:r>
      <w:r w:rsidRPr="004C31CC">
        <w:t xml:space="preserve"> use of antenatal care </w:t>
      </w:r>
      <w:r w:rsidR="415D3D1D" w:rsidRPr="004C31CC">
        <w:t xml:space="preserve">shows a notable increase in the proportion of Aboriginal and Torres Strait Islander women receiving antenatal care during the first trimester of pregnancy, rising to 72% in 2021 from 63.5% in </w:t>
      </w:r>
      <w:r w:rsidR="00156F7C" w:rsidRPr="004C31CC">
        <w:t>the baseline year (</w:t>
      </w:r>
      <w:r w:rsidR="415D3D1D" w:rsidRPr="004C31CC">
        <w:t>2017</w:t>
      </w:r>
      <w:r w:rsidR="00156F7C" w:rsidRPr="004C31CC">
        <w:t>)</w:t>
      </w:r>
      <w:r w:rsidR="415D3D1D" w:rsidRPr="004C31CC">
        <w:t xml:space="preserve"> (</w:t>
      </w:r>
      <w:r w:rsidR="007B14B6" w:rsidRPr="004C31CC">
        <w:t xml:space="preserve">Measure </w:t>
      </w:r>
      <w:r w:rsidR="0030620E" w:rsidRPr="004C31CC">
        <w:t>2d</w:t>
      </w:r>
      <w:r w:rsidR="415D3D1D" w:rsidRPr="004C31CC">
        <w:t>.2).</w:t>
      </w:r>
      <w:r w:rsidR="2274593B" w:rsidRPr="004C31CC">
        <w:t xml:space="preserve"> </w:t>
      </w:r>
      <w:r w:rsidR="00FF4481" w:rsidRPr="004C31CC">
        <w:t>Over recent years, there has been stability in the proportion of women who gave birth at 32 weeks or more gestation and attended five or more antenatal visits</w:t>
      </w:r>
      <w:r w:rsidR="408A900D" w:rsidRPr="004C31CC">
        <w:t xml:space="preserve"> (</w:t>
      </w:r>
      <w:r w:rsidR="007B14B6" w:rsidRPr="004C31CC">
        <w:t>Measure</w:t>
      </w:r>
      <w:r w:rsidR="0030620E" w:rsidRPr="004C31CC">
        <w:t xml:space="preserve"> </w:t>
      </w:r>
      <w:r w:rsidR="408A900D" w:rsidRPr="004C31CC">
        <w:t>2d.1)</w:t>
      </w:r>
      <w:r w:rsidR="00FF4481" w:rsidRPr="004C31CC">
        <w:t>.</w:t>
      </w:r>
      <w:r w:rsidR="00CD09D5" w:rsidRPr="004C31CC">
        <w:t xml:space="preserve"> </w:t>
      </w:r>
      <w:r w:rsidR="001A4B43" w:rsidRPr="004C31CC">
        <w:t>Some k</w:t>
      </w:r>
      <w:r w:rsidR="002C08E2" w:rsidRPr="004C31CC">
        <w:t xml:space="preserve">ey factors </w:t>
      </w:r>
      <w:r w:rsidR="00A814CC" w:rsidRPr="004C31CC">
        <w:t>in</w:t>
      </w:r>
      <w:r w:rsidR="002C08E2" w:rsidRPr="004C31CC">
        <w:t xml:space="preserve"> </w:t>
      </w:r>
      <w:r w:rsidR="000640C4" w:rsidRPr="004C31CC">
        <w:t>improv</w:t>
      </w:r>
      <w:r w:rsidR="00A814CC" w:rsidRPr="004C31CC">
        <w:t>ing</w:t>
      </w:r>
      <w:r w:rsidR="000640C4" w:rsidRPr="004C31CC">
        <w:t xml:space="preserve"> pregnancy outcomes are outlined in </w:t>
      </w:r>
      <w:r w:rsidR="00CD09D5" w:rsidRPr="004C31CC">
        <w:t>box 2.5</w:t>
      </w:r>
      <w:r w:rsidR="00D2368F">
        <w:t>.</w:t>
      </w:r>
    </w:p>
    <w:tbl>
      <w:tblPr>
        <w:tblStyle w:val="Boxtable"/>
        <w:tblW w:w="5000" w:type="pct"/>
        <w:tblLook w:val="04A0" w:firstRow="1" w:lastRow="0" w:firstColumn="1" w:lastColumn="0" w:noHBand="0" w:noVBand="1"/>
      </w:tblPr>
      <w:tblGrid>
        <w:gridCol w:w="9638"/>
      </w:tblGrid>
      <w:tr w:rsidR="004C2EBD" w:rsidRPr="007B3DCE" w14:paraId="3141C702" w14:textId="77777777" w:rsidTr="001752AD">
        <w:trPr>
          <w:tblHeader/>
        </w:trPr>
        <w:tc>
          <w:tcPr>
            <w:tcW w:w="9638" w:type="dxa"/>
            <w:shd w:val="clear" w:color="auto" w:fill="3B2A1C" w:themeFill="background1" w:themeFillShade="80"/>
            <w:tcMar>
              <w:top w:w="170" w:type="dxa"/>
              <w:left w:w="170" w:type="dxa"/>
              <w:bottom w:w="113" w:type="dxa"/>
              <w:right w:w="170" w:type="dxa"/>
            </w:tcMar>
            <w:vAlign w:val="center"/>
            <w:hideMark/>
          </w:tcPr>
          <w:p w14:paraId="2B27CF20" w14:textId="2A073E42" w:rsidR="004C2EBD" w:rsidRPr="007B3DCE" w:rsidRDefault="004C2EBD" w:rsidP="001752AD">
            <w:pPr>
              <w:pStyle w:val="BoxHeading1"/>
              <w:spacing w:before="0"/>
            </w:pPr>
            <w:r w:rsidRPr="007B3DCE">
              <w:rPr>
                <w:color w:val="FFFFFF"/>
              </w:rPr>
              <w:lastRenderedPageBreak/>
              <w:t>Box 2.</w:t>
            </w:r>
            <w:r w:rsidR="008A2457">
              <w:rPr>
                <w:color w:val="FFFFFF"/>
              </w:rPr>
              <w:t>5</w:t>
            </w:r>
            <w:r w:rsidR="000B6782">
              <w:rPr>
                <w:color w:val="FFFFFF"/>
              </w:rPr>
              <w:t xml:space="preserve"> </w:t>
            </w:r>
            <w:r w:rsidRPr="007B3DCE">
              <w:rPr>
                <w:color w:val="FFFFFF"/>
              </w:rPr>
              <w:t>– Early and ongoing culturally responsive antenatal care is key to improving pregnancy outcomes</w:t>
            </w:r>
          </w:p>
        </w:tc>
      </w:tr>
      <w:tr w:rsidR="004C2EBD" w:rsidRPr="007B3DCE" w14:paraId="74EA285E" w14:textId="77777777" w:rsidTr="00092C0A">
        <w:tc>
          <w:tcPr>
            <w:tcW w:w="9638" w:type="dxa"/>
            <w:shd w:val="clear" w:color="auto" w:fill="E9DCD1" w:themeFill="background1" w:themeFillTint="33"/>
            <w:tcMar>
              <w:top w:w="28" w:type="dxa"/>
              <w:left w:w="170" w:type="dxa"/>
              <w:bottom w:w="170" w:type="dxa"/>
              <w:right w:w="170" w:type="dxa"/>
            </w:tcMar>
            <w:hideMark/>
          </w:tcPr>
          <w:p w14:paraId="7D547A0C" w14:textId="77777777" w:rsidR="004C2EBD" w:rsidRPr="007B3DCE" w:rsidRDefault="004C2EBD" w:rsidP="004C2EBD">
            <w:pPr>
              <w:pStyle w:val="BodyText"/>
            </w:pPr>
            <w:r w:rsidRPr="007B3DCE">
              <w:t xml:space="preserve">Culturally safe and appropriate antenatal health services are crucial to ensuring Aboriginal and Torres Strait Islander children are born healthy and strong. </w:t>
            </w:r>
          </w:p>
          <w:p w14:paraId="2CDB0EFA" w14:textId="35EA6770" w:rsidR="004C2EBD" w:rsidRPr="007B3DCE" w:rsidRDefault="004C2EBD" w:rsidP="004C2EBD">
            <w:pPr>
              <w:pStyle w:val="BodyText"/>
            </w:pPr>
            <w:r w:rsidRPr="007B3DCE">
              <w:t>The first antenatal visit is important as it involves assessment of physical, social and emotional health, providing advice and identifying if additional care or support is needed. Providing ongoing access to antenatal care in community-controlled settings throughout pregnancy can address language and cultural barriers, as well as experiences of racism and discrimination</w:t>
            </w:r>
            <w:r w:rsidR="005A78F7">
              <w:t>.</w:t>
            </w:r>
          </w:p>
          <w:p w14:paraId="6ADA66F5" w14:textId="3DA041B3" w:rsidR="004C2EBD" w:rsidRPr="007B3DCE" w:rsidRDefault="004C2EBD" w:rsidP="004C2EBD">
            <w:pPr>
              <w:pStyle w:val="BodyText"/>
            </w:pPr>
            <w:r w:rsidRPr="007B3DCE">
              <w:t>Enabling Birthing on Country, a culturally significant practice, provides holistic care for healing intergenerational trauma. This practice promotes maternal social and emotional wellbeing, serving as a protective factor against low birthweight</w:t>
            </w:r>
            <w:r w:rsidR="005A78F7">
              <w:t>.</w:t>
            </w:r>
          </w:p>
          <w:p w14:paraId="669D7348" w14:textId="3364BD70" w:rsidR="004C2EBD" w:rsidRDefault="004C2EBD" w:rsidP="004C2EBD">
            <w:pPr>
              <w:pStyle w:val="BodyText"/>
            </w:pPr>
            <w:r w:rsidRPr="007B3DCE">
              <w:t xml:space="preserve">Racism is a particular issue affecting appropriate antenatal care, as many Aboriginal and Torres Strait Islander mothers hold fears their baby will be removed from them by child protection. This fear is </w:t>
            </w:r>
            <w:r w:rsidR="006C2AEA">
              <w:br/>
            </w:r>
            <w:r w:rsidRPr="007B3DCE">
              <w:t>well</w:t>
            </w:r>
            <w:r w:rsidR="009959A4" w:rsidRPr="00216127">
              <w:rPr>
                <w:rFonts w:ascii="Arial (Body)" w:hAnsi="Arial (Body)" w:cs="Arial"/>
              </w:rPr>
              <w:t>–</w:t>
            </w:r>
            <w:r w:rsidRPr="007B3DCE">
              <w:t>grounded given the high number of reports to child protection involving unborn babies of Aboriginal or Torres Strait Islander mothers in mainstream services. These reports often stem from racism and systemic biases within the health system and frequently lead to the removal of babies</w:t>
            </w:r>
            <w:r w:rsidR="005A78F7">
              <w:t xml:space="preserve">. </w:t>
            </w:r>
          </w:p>
          <w:p w14:paraId="2F5F4516" w14:textId="3D291BA5" w:rsidR="001C34D5" w:rsidRPr="007B3DCE" w:rsidRDefault="001C34D5" w:rsidP="00827862">
            <w:pPr>
              <w:pStyle w:val="Source"/>
            </w:pPr>
            <w:r w:rsidRPr="006C2AEA">
              <w:t>Source: DoHAC</w:t>
            </w:r>
            <w:r w:rsidR="002741BF" w:rsidRPr="006C2AEA">
              <w:rPr>
                <w:szCs w:val="18"/>
              </w:rPr>
              <w:t xml:space="preserve"> </w:t>
            </w:r>
            <w:r w:rsidR="00CA5DB5" w:rsidRPr="006C2AEA">
              <w:rPr>
                <w:rFonts w:ascii="Arial (Body)" w:hAnsi="Arial (Body)" w:cs="Arial"/>
                <w:szCs w:val="18"/>
              </w:rPr>
              <w:t>(2020)</w:t>
            </w:r>
            <w:r w:rsidR="005A78F7" w:rsidRPr="006C2AEA">
              <w:rPr>
                <w:szCs w:val="18"/>
              </w:rPr>
              <w:t>; Siversten et al.</w:t>
            </w:r>
            <w:r w:rsidR="005A78F7" w:rsidRPr="006C2AEA">
              <w:rPr>
                <w:rFonts w:ascii="Arial (Body)" w:hAnsi="Arial (Body)" w:cs="Arial"/>
                <w:szCs w:val="18"/>
              </w:rPr>
              <w:t>(2020)</w:t>
            </w:r>
            <w:r w:rsidR="005A78F7" w:rsidRPr="006C2AEA">
              <w:rPr>
                <w:szCs w:val="18"/>
              </w:rPr>
              <w:t xml:space="preserve">; Kildea et al. </w:t>
            </w:r>
            <w:r w:rsidR="000D2B3B" w:rsidRPr="006C2AEA">
              <w:rPr>
                <w:rFonts w:ascii="Arial (Body)" w:hAnsi="Arial (Body)" w:cs="Arial"/>
                <w:szCs w:val="18"/>
              </w:rPr>
              <w:t>(2019)</w:t>
            </w:r>
            <w:r w:rsidR="000D2B3B" w:rsidRPr="006C2AEA">
              <w:rPr>
                <w:szCs w:val="18"/>
              </w:rPr>
              <w:t>; Healing Foundation</w:t>
            </w:r>
            <w:r w:rsidR="005A78F7" w:rsidRPr="006C2AEA">
              <w:rPr>
                <w:szCs w:val="18"/>
              </w:rPr>
              <w:t xml:space="preserve"> </w:t>
            </w:r>
            <w:r w:rsidR="00625B75" w:rsidRPr="006C2AEA">
              <w:rPr>
                <w:rFonts w:ascii="Arial (Body)" w:hAnsi="Arial (Body)" w:cs="Arial"/>
                <w:szCs w:val="18"/>
              </w:rPr>
              <w:t>(2018)</w:t>
            </w:r>
            <w:r w:rsidR="00625B75" w:rsidRPr="006C2AEA">
              <w:rPr>
                <w:szCs w:val="18"/>
              </w:rPr>
              <w:t>; Hine et al.</w:t>
            </w:r>
            <w:r w:rsidR="005A78F7" w:rsidRPr="006C2AEA">
              <w:rPr>
                <w:szCs w:val="18"/>
              </w:rPr>
              <w:t xml:space="preserve"> </w:t>
            </w:r>
            <w:r w:rsidR="001B38C3" w:rsidRPr="006C2AEA">
              <w:rPr>
                <w:rFonts w:ascii="Arial (Body)" w:hAnsi="Arial (Body)" w:cs="Arial"/>
                <w:szCs w:val="18"/>
              </w:rPr>
              <w:t>(2023)</w:t>
            </w:r>
            <w:r w:rsidR="001B38C3" w:rsidRPr="006C2AEA">
              <w:rPr>
                <w:szCs w:val="18"/>
              </w:rPr>
              <w:t>; Yoorook Justice Commission</w:t>
            </w:r>
            <w:r w:rsidR="005A78F7" w:rsidRPr="006C2AEA">
              <w:rPr>
                <w:szCs w:val="18"/>
              </w:rPr>
              <w:t xml:space="preserve"> </w:t>
            </w:r>
            <w:r w:rsidR="0060000C" w:rsidRPr="006C2AEA">
              <w:rPr>
                <w:rFonts w:ascii="Arial (Body)" w:hAnsi="Arial (Body)" w:cs="Arial"/>
                <w:szCs w:val="18"/>
              </w:rPr>
              <w:t>(2023)</w:t>
            </w:r>
            <w:r w:rsidR="005A78F7" w:rsidRPr="006C2AEA">
              <w:rPr>
                <w:szCs w:val="18"/>
              </w:rPr>
              <w:t>.</w:t>
            </w:r>
          </w:p>
        </w:tc>
      </w:tr>
      <w:tr w:rsidR="004C2EBD" w:rsidRPr="007B3DCE" w14:paraId="7B0A0649" w14:textId="77777777">
        <w:trPr>
          <w:hidden/>
        </w:trPr>
        <w:tc>
          <w:tcPr>
            <w:tcW w:w="9638" w:type="dxa"/>
            <w:shd w:val="clear" w:color="auto" w:fill="auto"/>
            <w:tcMar>
              <w:top w:w="0" w:type="dxa"/>
              <w:left w:w="170" w:type="dxa"/>
              <w:bottom w:w="0" w:type="dxa"/>
              <w:right w:w="170" w:type="dxa"/>
            </w:tcMar>
          </w:tcPr>
          <w:p w14:paraId="561B9402" w14:textId="77777777" w:rsidR="004C2EBD" w:rsidRPr="007B3DCE" w:rsidRDefault="004C2EBD">
            <w:pPr>
              <w:pStyle w:val="BodyText"/>
              <w:spacing w:before="0" w:after="0" w:line="80" w:lineRule="atLeast"/>
              <w:rPr>
                <w:smallCaps/>
                <w:vanish/>
              </w:rPr>
            </w:pPr>
            <w:r w:rsidRPr="007B3DCE">
              <w:rPr>
                <w:smallCaps/>
                <w:vanish/>
                <w:color w:val="FF00FF"/>
              </w:rPr>
              <w:t>Used for spacing, do not delete</w:t>
            </w:r>
          </w:p>
        </w:tc>
      </w:tr>
    </w:tbl>
    <w:p w14:paraId="1E2461AC" w14:textId="1FE63F58" w:rsidR="00DD7C13" w:rsidRPr="007B3DCE" w:rsidRDefault="00DD7C13" w:rsidP="00BF1C42">
      <w:pPr>
        <w:pStyle w:val="Heading3"/>
        <w:rPr>
          <w:color w:val="3B2A1C" w:themeColor="background1" w:themeShade="80"/>
        </w:rPr>
      </w:pPr>
      <w:bookmarkStart w:id="19" w:name="_Toc167878545"/>
      <w:r w:rsidRPr="007B3DCE">
        <w:rPr>
          <w:color w:val="3B2A1C" w:themeColor="background1" w:themeShade="80"/>
        </w:rPr>
        <w:t>Outcome 4</w:t>
      </w:r>
      <w:r w:rsidR="002F3D7A" w:rsidRPr="007B3DCE">
        <w:rPr>
          <w:color w:val="3B2A1C" w:themeColor="background1" w:themeShade="80"/>
        </w:rPr>
        <w:t>:</w:t>
      </w:r>
      <w:r w:rsidRPr="007B3DCE">
        <w:rPr>
          <w:color w:val="3B2A1C" w:themeColor="background1" w:themeShade="80"/>
        </w:rPr>
        <w:t xml:space="preserve"> Aboriginal and Torres Strait Islander children thrive in their early years</w:t>
      </w:r>
      <w:bookmarkEnd w:id="19"/>
    </w:p>
    <w:p w14:paraId="23426E3A" w14:textId="02AD40C1" w:rsidR="009B4BC1" w:rsidRPr="00E71ABC" w:rsidRDefault="00947C41" w:rsidP="00E71ABC">
      <w:pPr>
        <w:pStyle w:val="Heading4"/>
        <w:rPr>
          <w:color w:val="775538" w:themeColor="background1"/>
        </w:rPr>
      </w:pPr>
      <w:r w:rsidRPr="007B3DCE">
        <w:rPr>
          <w:color w:val="775538" w:themeColor="background1"/>
        </w:rPr>
        <w:t>A lower</w:t>
      </w:r>
      <w:r w:rsidR="001C62F0" w:rsidRPr="007B3DCE">
        <w:rPr>
          <w:color w:val="775538" w:themeColor="background1"/>
        </w:rPr>
        <w:t xml:space="preserve"> proportion of Aboriginal and Torres Strait Islander children </w:t>
      </w:r>
      <w:r w:rsidR="00173E43" w:rsidRPr="007B3DCE">
        <w:rPr>
          <w:color w:val="775538" w:themeColor="background1"/>
        </w:rPr>
        <w:t xml:space="preserve">have been </w:t>
      </w:r>
      <w:r w:rsidR="001C62F0" w:rsidRPr="007B3DCE">
        <w:rPr>
          <w:color w:val="775538" w:themeColor="background1"/>
        </w:rPr>
        <w:t xml:space="preserve">assessed as developmentally on track and </w:t>
      </w:r>
      <w:r w:rsidR="008341DC" w:rsidRPr="007B3DCE">
        <w:rPr>
          <w:color w:val="775538" w:themeColor="background1"/>
        </w:rPr>
        <w:t xml:space="preserve">the target </w:t>
      </w:r>
      <w:r w:rsidR="001C62F0" w:rsidRPr="007B3DCE">
        <w:rPr>
          <w:color w:val="775538" w:themeColor="background1"/>
        </w:rPr>
        <w:t xml:space="preserve">is not on track to </w:t>
      </w:r>
      <w:r w:rsidR="0049041E">
        <w:rPr>
          <w:color w:val="775538" w:themeColor="background1"/>
        </w:rPr>
        <w:t xml:space="preserve">be </w:t>
      </w:r>
      <w:r w:rsidR="001C62F0" w:rsidRPr="660116FE">
        <w:rPr>
          <w:color w:val="775538" w:themeColor="background1"/>
        </w:rPr>
        <w:t>met</w:t>
      </w:r>
      <w:r w:rsidR="001C62F0" w:rsidRPr="007B3DCE">
        <w:rPr>
          <w:color w:val="775538" w:themeColor="background1"/>
        </w:rPr>
        <w:t xml:space="preserve"> </w:t>
      </w:r>
      <w:r w:rsidR="00E626E1">
        <w:rPr>
          <w:color w:val="775538" w:themeColor="background1"/>
        </w:rPr>
        <w:t>by 2031</w:t>
      </w:r>
    </w:p>
    <w:p w14:paraId="48CA2C43" w14:textId="38A5A4D6" w:rsidR="00FE29E6" w:rsidRPr="0038115D" w:rsidRDefault="00AB2244" w:rsidP="0038115D">
      <w:pPr>
        <w:pStyle w:val="BodyText"/>
      </w:pPr>
      <w:r w:rsidRPr="0038115D">
        <w:t>N</w:t>
      </w:r>
      <w:r w:rsidR="00DD7C13" w:rsidRPr="0038115D">
        <w:t>ationally in 2021, 34.3% of Aboriginal and Torres Strait Islander children commencing school were assessed as being developmentally on track in all five Australian Early Development Census (AEDC) domains.</w:t>
      </w:r>
      <w:r w:rsidR="00E836E0" w:rsidRPr="0038115D">
        <w:rPr>
          <w:rStyle w:val="FootnoteReference"/>
          <w:vertAlign w:val="baseline"/>
        </w:rPr>
        <w:footnoteReference w:id="11"/>
      </w:r>
      <w:r w:rsidR="00DD7C13" w:rsidRPr="0038115D">
        <w:t xml:space="preserve"> </w:t>
      </w:r>
      <w:r w:rsidR="00BA795A" w:rsidRPr="0038115D">
        <w:t xml:space="preserve">This </w:t>
      </w:r>
      <w:r w:rsidR="00CF57EA" w:rsidRPr="0038115D">
        <w:t>was</w:t>
      </w:r>
      <w:r w:rsidR="00BA795A" w:rsidRPr="0038115D">
        <w:t xml:space="preserve"> a decrease from 35.2% in </w:t>
      </w:r>
      <w:r w:rsidR="00436203" w:rsidRPr="0038115D">
        <w:t>the baseline year</w:t>
      </w:r>
      <w:r w:rsidR="00BA795A" w:rsidRPr="0038115D">
        <w:t xml:space="preserve"> </w:t>
      </w:r>
      <w:r w:rsidR="00436203" w:rsidRPr="0038115D">
        <w:t>(</w:t>
      </w:r>
      <w:r w:rsidR="00BA795A" w:rsidRPr="0038115D">
        <w:t>2018</w:t>
      </w:r>
      <w:r w:rsidR="00436203" w:rsidRPr="0038115D">
        <w:t>)</w:t>
      </w:r>
      <w:r w:rsidR="00BA795A" w:rsidRPr="0038115D">
        <w:t>.</w:t>
      </w:r>
      <w:r w:rsidR="75AFD19F" w:rsidRPr="0038115D">
        <w:t xml:space="preserve"> </w:t>
      </w:r>
      <w:r w:rsidR="0025431A" w:rsidRPr="0038115D">
        <w:t xml:space="preserve">The target of 55% is not on track to be met. </w:t>
      </w:r>
    </w:p>
    <w:p w14:paraId="446473C8" w14:textId="4E3A0FD0" w:rsidR="007A11C8" w:rsidRPr="0038115D" w:rsidRDefault="00DD7C13" w:rsidP="0038115D">
      <w:pPr>
        <w:pStyle w:val="BodyText"/>
      </w:pPr>
      <w:r w:rsidRPr="0038115D">
        <w:t xml:space="preserve">The AEDC is a population-based measure for childhood development, conducted every three years by educators </w:t>
      </w:r>
      <w:r w:rsidR="00F6020A" w:rsidRPr="0038115D">
        <w:t>(AEDC 2022)</w:t>
      </w:r>
      <w:r w:rsidRPr="0038115D">
        <w:t xml:space="preserve">. </w:t>
      </w:r>
      <w:r w:rsidR="00CA3908" w:rsidRPr="0038115D">
        <w:t>It</w:t>
      </w:r>
      <w:r w:rsidRPr="0038115D">
        <w:t xml:space="preserve"> is a developmental measurement tool based on a Western paradigm, and as such it may not fully demonstrate the progress and strengths of Aboriginal and Torres Strait Islander children </w:t>
      </w:r>
      <w:r w:rsidR="00CB79C6" w:rsidRPr="0038115D">
        <w:t>(SNAICC et al. 2023)</w:t>
      </w:r>
      <w:r w:rsidRPr="0038115D">
        <w:t>.</w:t>
      </w:r>
    </w:p>
    <w:p w14:paraId="32D769A2" w14:textId="69B7D256" w:rsidR="00680FC3" w:rsidRPr="0038115D" w:rsidRDefault="39ADE5E4" w:rsidP="0038115D">
      <w:pPr>
        <w:pStyle w:val="BodyText"/>
      </w:pPr>
      <w:r w:rsidRPr="0038115D">
        <w:t>T</w:t>
      </w:r>
      <w:r w:rsidR="00576DF7" w:rsidRPr="0038115D">
        <w:t>h</w:t>
      </w:r>
      <w:r w:rsidR="00DD7C13" w:rsidRPr="0038115D">
        <w:t xml:space="preserve">e </w:t>
      </w:r>
      <w:r w:rsidR="00E72F0E" w:rsidRPr="0038115D">
        <w:t xml:space="preserve">supporting indicator for this target </w:t>
      </w:r>
      <w:r w:rsidR="008C47E2" w:rsidRPr="0038115D">
        <w:t>–</w:t>
      </w:r>
      <w:r w:rsidR="00E72F0E" w:rsidRPr="0038115D">
        <w:t xml:space="preserve"> </w:t>
      </w:r>
      <w:r w:rsidR="008C47E2" w:rsidRPr="0038115D">
        <w:t xml:space="preserve">the AEDC Multiple Strengths Indicator </w:t>
      </w:r>
      <w:r w:rsidR="00BE785B" w:rsidRPr="0038115D">
        <w:t>(Indicator 4d)</w:t>
      </w:r>
      <w:r w:rsidR="008C47E2" w:rsidRPr="0038115D">
        <w:t xml:space="preserve"> </w:t>
      </w:r>
      <w:r w:rsidR="008C47AB" w:rsidRPr="0038115D">
        <w:t>–</w:t>
      </w:r>
      <w:r w:rsidR="004E6D61" w:rsidRPr="0038115D">
        <w:t xml:space="preserve"> </w:t>
      </w:r>
      <w:r w:rsidR="008C47AB" w:rsidRPr="0038115D">
        <w:t xml:space="preserve">was last updated in the </w:t>
      </w:r>
      <w:r w:rsidR="00871F22" w:rsidRPr="0038115D">
        <w:t>2023 ADCR</w:t>
      </w:r>
      <w:r w:rsidR="006A2860" w:rsidRPr="0038115D">
        <w:t>, with data from</w:t>
      </w:r>
      <w:r w:rsidR="00DD7C13" w:rsidRPr="0038115D" w:rsidDel="006A2860">
        <w:t xml:space="preserve"> </w:t>
      </w:r>
      <w:r w:rsidR="00DD7C13" w:rsidRPr="0038115D">
        <w:t>2021.</w:t>
      </w:r>
    </w:p>
    <w:p w14:paraId="31172F2A" w14:textId="77777777" w:rsidR="00680FC3" w:rsidRDefault="00680FC3">
      <w:pPr>
        <w:spacing w:before="0" w:after="160" w:line="259" w:lineRule="auto"/>
      </w:pPr>
      <w:r>
        <w:br w:type="page"/>
      </w:r>
    </w:p>
    <w:p w14:paraId="69C345B5" w14:textId="4F941ACD" w:rsidR="00964E19" w:rsidRPr="007B3DCE" w:rsidRDefault="00964E19" w:rsidP="00BF1C42">
      <w:pPr>
        <w:pStyle w:val="Heading3"/>
        <w:rPr>
          <w:color w:val="3B2A1C" w:themeColor="background1" w:themeShade="80"/>
        </w:rPr>
      </w:pPr>
      <w:bookmarkStart w:id="20" w:name="_Hlk164334186"/>
      <w:bookmarkStart w:id="21" w:name="_Toc167878546"/>
      <w:bookmarkEnd w:id="20"/>
      <w:r w:rsidRPr="007B3DCE">
        <w:rPr>
          <w:color w:val="3B2A1C" w:themeColor="background1" w:themeShade="80"/>
        </w:rPr>
        <w:lastRenderedPageBreak/>
        <w:t>Outcome 14: Aboriginal and Torres Strait Islander people enjoy high levels of social and emotional wellbeing</w:t>
      </w:r>
      <w:bookmarkEnd w:id="21"/>
    </w:p>
    <w:p w14:paraId="3DE93AD2" w14:textId="5C461F31" w:rsidR="00991655" w:rsidRPr="007B3DCE" w:rsidRDefault="00991655" w:rsidP="00303D31">
      <w:pPr>
        <w:pStyle w:val="Heading4"/>
        <w:rPr>
          <w:color w:val="775538" w:themeColor="background1"/>
        </w:rPr>
      </w:pPr>
      <w:r w:rsidRPr="007B3DCE">
        <w:rPr>
          <w:color w:val="775538" w:themeColor="background1"/>
        </w:rPr>
        <w:t>The target for a significant and sustained reduction in suicide of Aboriginal and Torres Strait Islander people towards zero is not on track to be met</w:t>
      </w:r>
    </w:p>
    <w:p w14:paraId="61034437" w14:textId="03F1043D" w:rsidR="00684E28" w:rsidRPr="002F3026" w:rsidRDefault="36599F26" w:rsidP="002F3026">
      <w:pPr>
        <w:pStyle w:val="BodyText"/>
        <w:rPr>
          <w:spacing w:val="-2"/>
        </w:rPr>
      </w:pPr>
      <w:r w:rsidRPr="002F3026">
        <w:rPr>
          <w:spacing w:val="-2"/>
        </w:rPr>
        <w:t>In 2022, 212 Aboriginal and Torres Strait Islander people died from suicide</w:t>
      </w:r>
      <w:r w:rsidR="2915AD15" w:rsidRPr="002F3026">
        <w:rPr>
          <w:spacing w:val="-2"/>
        </w:rPr>
        <w:t xml:space="preserve"> in New South Wales, Queensland, Western Australia, South Australia and the Northern Territory</w:t>
      </w:r>
      <w:r w:rsidRPr="002F3026">
        <w:rPr>
          <w:spacing w:val="-2"/>
        </w:rPr>
        <w:t xml:space="preserve">, </w:t>
      </w:r>
      <w:r w:rsidR="001F7266" w:rsidRPr="002F3026">
        <w:rPr>
          <w:spacing w:val="-2"/>
        </w:rPr>
        <w:t>compared with 174 in 2018</w:t>
      </w:r>
      <w:r w:rsidR="00201EC3" w:rsidRPr="002F3026">
        <w:rPr>
          <w:spacing w:val="-2"/>
        </w:rPr>
        <w:t>.</w:t>
      </w:r>
      <w:r w:rsidR="0F795746" w:rsidRPr="002F3026">
        <w:rPr>
          <w:spacing w:val="-2"/>
        </w:rPr>
        <w:t xml:space="preserve"> </w:t>
      </w:r>
      <w:r w:rsidR="00201EC3" w:rsidRPr="002F3026">
        <w:rPr>
          <w:spacing w:val="-2"/>
        </w:rPr>
        <w:t>Th</w:t>
      </w:r>
      <w:r w:rsidR="3F027A5F" w:rsidRPr="002F3026">
        <w:rPr>
          <w:spacing w:val="-2"/>
        </w:rPr>
        <w:t>e</w:t>
      </w:r>
      <w:r w:rsidR="00201EC3" w:rsidRPr="002F3026">
        <w:rPr>
          <w:spacing w:val="-2"/>
        </w:rPr>
        <w:t xml:space="preserve"> </w:t>
      </w:r>
      <w:r w:rsidR="00684E28" w:rsidRPr="002F3026">
        <w:rPr>
          <w:spacing w:val="-2"/>
        </w:rPr>
        <w:t>age-</w:t>
      </w:r>
      <w:r w:rsidR="67368037" w:rsidRPr="002F3026">
        <w:rPr>
          <w:spacing w:val="-2"/>
        </w:rPr>
        <w:t xml:space="preserve">adjusted </w:t>
      </w:r>
      <w:r w:rsidR="00684E28" w:rsidRPr="002F3026">
        <w:rPr>
          <w:spacing w:val="-2"/>
        </w:rPr>
        <w:t xml:space="preserve">suicide rate </w:t>
      </w:r>
      <w:r w:rsidR="6AFF2BB6" w:rsidRPr="002F3026">
        <w:rPr>
          <w:spacing w:val="-2"/>
        </w:rPr>
        <w:t xml:space="preserve">rose to </w:t>
      </w:r>
      <w:r w:rsidR="00684E28" w:rsidRPr="002F3026">
        <w:rPr>
          <w:spacing w:val="-2"/>
        </w:rPr>
        <w:t xml:space="preserve">29.9 per 100,000 </w:t>
      </w:r>
      <w:r w:rsidR="03B6050D" w:rsidRPr="002F3026">
        <w:rPr>
          <w:spacing w:val="-2"/>
        </w:rPr>
        <w:t>people</w:t>
      </w:r>
      <w:r w:rsidR="00684E28" w:rsidRPr="002F3026">
        <w:rPr>
          <w:spacing w:val="-2"/>
        </w:rPr>
        <w:t xml:space="preserve"> from 25.1 in 2018 (figure </w:t>
      </w:r>
      <w:r w:rsidR="004F705F" w:rsidRPr="002F3026">
        <w:rPr>
          <w:spacing w:val="-2"/>
        </w:rPr>
        <w:t>2</w:t>
      </w:r>
      <w:r w:rsidR="00684E28" w:rsidRPr="002F3026">
        <w:rPr>
          <w:spacing w:val="-2"/>
        </w:rPr>
        <w:t>.</w:t>
      </w:r>
      <w:r w:rsidR="004F705F" w:rsidRPr="002F3026">
        <w:rPr>
          <w:spacing w:val="-2"/>
        </w:rPr>
        <w:t>7</w:t>
      </w:r>
      <w:r w:rsidR="00684E28" w:rsidRPr="002F3026">
        <w:rPr>
          <w:spacing w:val="-2"/>
        </w:rPr>
        <w:t>). Th</w:t>
      </w:r>
      <w:r w:rsidR="78188E1A" w:rsidRPr="002F3026">
        <w:rPr>
          <w:spacing w:val="-2"/>
        </w:rPr>
        <w:t>e</w:t>
      </w:r>
      <w:r w:rsidR="00684E28" w:rsidRPr="002F3026">
        <w:rPr>
          <w:spacing w:val="-2"/>
        </w:rPr>
        <w:t xml:space="preserve"> increase in the suicide rate means the target for a significant and sustained reduction in suicide </w:t>
      </w:r>
      <w:r w:rsidR="2C10A915" w:rsidRPr="002F3026">
        <w:rPr>
          <w:spacing w:val="-2"/>
        </w:rPr>
        <w:t xml:space="preserve">towards zero </w:t>
      </w:r>
      <w:r w:rsidR="00684E28" w:rsidRPr="002F3026">
        <w:rPr>
          <w:spacing w:val="-2"/>
        </w:rPr>
        <w:t>is not on track to be met.</w:t>
      </w:r>
    </w:p>
    <w:p w14:paraId="4C66B8E4" w14:textId="19325470" w:rsidR="0000292C" w:rsidRPr="007B3DCE" w:rsidRDefault="0000292C">
      <w:pPr>
        <w:pStyle w:val="FigureTableHeading"/>
        <w:rPr>
          <w:color w:val="3B2A1C" w:themeColor="background1" w:themeShade="80"/>
        </w:rPr>
      </w:pPr>
      <w:r w:rsidRPr="007B3DCE">
        <w:rPr>
          <w:color w:val="3B2A1C" w:themeColor="background1" w:themeShade="80"/>
        </w:rPr>
        <w:t>Figure 2.</w:t>
      </w:r>
      <w:r w:rsidR="0036545D" w:rsidRPr="007B3DCE">
        <w:rPr>
          <w:color w:val="3B2A1C" w:themeColor="background1" w:themeShade="80"/>
        </w:rPr>
        <w:t>7</w:t>
      </w:r>
      <w:r w:rsidRPr="007B3DCE">
        <w:rPr>
          <w:color w:val="3B2A1C" w:themeColor="background1" w:themeShade="80"/>
        </w:rPr>
        <w:t xml:space="preserve"> – </w:t>
      </w:r>
      <w:r w:rsidR="002E15A4" w:rsidRPr="007B3DCE">
        <w:rPr>
          <w:color w:val="3B2A1C" w:themeColor="background1" w:themeShade="80"/>
        </w:rPr>
        <w:t>Suicide rate per 100,000 people</w:t>
      </w:r>
      <w:r w:rsidR="002E15A4" w:rsidRPr="007B3DCE">
        <w:rPr>
          <w:rFonts w:ascii="Arial Black" w:hAnsi="Arial Black"/>
          <w:color w:val="3B2A1C" w:themeColor="background1" w:themeShade="80"/>
          <w:vertAlign w:val="superscript"/>
        </w:rPr>
        <w:t>a,b</w:t>
      </w:r>
    </w:p>
    <w:p w14:paraId="1C1D9F47" w14:textId="3914E087" w:rsidR="0000292C" w:rsidRDefault="01CD2E49" w:rsidP="002E15A4">
      <w:pPr>
        <w:pStyle w:val="FigureTableSubheading"/>
        <w:keepLines/>
        <w:rPr>
          <w:color w:val="775538" w:themeColor="background1"/>
        </w:rPr>
      </w:pPr>
      <w:r w:rsidRPr="007B3DCE">
        <w:rPr>
          <w:color w:val="775538" w:themeColor="background1"/>
        </w:rPr>
        <w:t xml:space="preserve">Age-standardised suicide rate </w:t>
      </w:r>
      <w:r w:rsidR="00964E19" w:rsidRPr="007B3DCE">
        <w:rPr>
          <w:color w:val="775538" w:themeColor="background1"/>
        </w:rPr>
        <w:t>for Aboriginal and Torres Strait Islander people</w:t>
      </w:r>
      <w:r w:rsidR="002A6057">
        <w:rPr>
          <w:color w:val="775538" w:themeColor="background1"/>
        </w:rPr>
        <w:t>,</w:t>
      </w:r>
      <w:r w:rsidR="2E178974" w:rsidRPr="007B3DCE" w:rsidDel="002A6057">
        <w:rPr>
          <w:color w:val="775538" w:themeColor="background1"/>
        </w:rPr>
        <w:t xml:space="preserve"> </w:t>
      </w:r>
      <w:r w:rsidR="2E178974" w:rsidRPr="007B3DCE">
        <w:rPr>
          <w:color w:val="775538" w:themeColor="background1"/>
        </w:rPr>
        <w:t>2018</w:t>
      </w:r>
      <w:r w:rsidR="002A6057" w:rsidRPr="005658FA">
        <w:rPr>
          <w:color w:val="775538" w:themeColor="background1"/>
        </w:rPr>
        <w:t xml:space="preserve"> to</w:t>
      </w:r>
      <w:r w:rsidR="002A6057" w:rsidRPr="00216127">
        <w:rPr>
          <w:rStyle w:val="normaltextrun"/>
          <w:rFonts w:ascii="Arial (Body)" w:hAnsi="Arial (Body)" w:cs="Arial"/>
          <w:color w:val="0078D4"/>
          <w:bdr w:val="none" w:sz="0" w:space="0" w:color="auto" w:frame="1"/>
        </w:rPr>
        <w:t xml:space="preserve"> </w:t>
      </w:r>
      <w:r w:rsidR="2E178974" w:rsidRPr="007B3DCE">
        <w:rPr>
          <w:color w:val="775538" w:themeColor="background1"/>
        </w:rPr>
        <w:t>2022</w:t>
      </w:r>
    </w:p>
    <w:p w14:paraId="31A7EB5C" w14:textId="61EC2AFA" w:rsidR="00022D75" w:rsidRPr="00880B76" w:rsidRDefault="00880B76" w:rsidP="00880B76">
      <w:pPr>
        <w:pStyle w:val="FigureTableSubheading"/>
        <w:keepLines/>
        <w:rPr>
          <w:color w:val="775538" w:themeColor="background1"/>
        </w:rPr>
      </w:pPr>
      <w:r w:rsidRPr="00880B76">
        <w:rPr>
          <w:noProof/>
        </w:rPr>
        <w:drawing>
          <wp:inline distT="0" distB="0" distL="0" distR="0" wp14:anchorId="46A19368" wp14:editId="4081AE20">
            <wp:extent cx="6120130" cy="2499360"/>
            <wp:effectExtent l="0" t="0" r="0" b="0"/>
            <wp:docPr id="2040765331" name="Picture 194" descr="Figure 2.7 is a line chart that shows the age-standardised suicide rate per 100,000 Aboriginal and Torres Strait Islander people from 2018 to 2022, with projections to 2031. The actual suicide rates remain relatively stable from 2018 to 2022, but the trajectory suggests an increase if current trends continue. The chart includes a shaded area representing 95% confidence intervals for the linear regression estimates, indicating a projected widening gap between the target and actual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65331" name="Picture 194" descr="Figure 2.7 is a line chart that shows the age-standardised suicide rate per 100,000 Aboriginal and Torres Strait Islander people from 2018 to 2022, with projections to 2031. The actual suicide rates remain relatively stable from 2018 to 2022, but the trajectory suggests an increase if current trends continue. The chart includes a shaded area representing 95% confidence intervals for the linear regression estimates, indicating a projected widening gap between the target and actual rates."/>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950"/>
                    <a:stretch/>
                  </pic:blipFill>
                  <pic:spPr bwMode="auto">
                    <a:xfrm>
                      <a:off x="0" y="0"/>
                      <a:ext cx="6120130" cy="2499360"/>
                    </a:xfrm>
                    <a:prstGeom prst="rect">
                      <a:avLst/>
                    </a:prstGeom>
                    <a:noFill/>
                    <a:ln>
                      <a:noFill/>
                    </a:ln>
                    <a:extLst>
                      <a:ext uri="{53640926-AAD7-44D8-BBD7-CCE9431645EC}">
                        <a14:shadowObscured xmlns:a14="http://schemas.microsoft.com/office/drawing/2010/main"/>
                      </a:ext>
                    </a:extLst>
                  </pic:spPr>
                </pic:pic>
              </a:graphicData>
            </a:graphic>
          </wp:inline>
        </w:drawing>
      </w:r>
    </w:p>
    <w:p w14:paraId="4ABDDC2D" w14:textId="11FCF779" w:rsidR="00CB2291" w:rsidRDefault="007E60A0" w:rsidP="007E60A0">
      <w:pPr>
        <w:pStyle w:val="Note"/>
      </w:pPr>
      <w:r w:rsidRPr="007B3DCE">
        <w:rPr>
          <w:b/>
          <w:bCs/>
        </w:rPr>
        <w:t>a.</w:t>
      </w:r>
      <w:r w:rsidRPr="007B3DCE">
        <w:rPr>
          <w:b/>
        </w:rPr>
        <w:t xml:space="preserve"> </w:t>
      </w:r>
      <w:r w:rsidR="4D893119" w:rsidRPr="007B3DCE">
        <w:t>The d</w:t>
      </w:r>
      <w:r w:rsidRPr="007B3DCE">
        <w:t xml:space="preserve">ata </w:t>
      </w:r>
      <w:r w:rsidR="343F3048" w:rsidRPr="007B3DCE">
        <w:t>presented is</w:t>
      </w:r>
      <w:r w:rsidRPr="007B3DCE">
        <w:t xml:space="preserve"> for New South Wales, Queensland, Western Australia, South Australia and the Northern Territory</w:t>
      </w:r>
      <w:r w:rsidR="71A7D7D2" w:rsidRPr="007B3DCE">
        <w:t xml:space="preserve"> combined only, in line with national reporting guidelines for this target.</w:t>
      </w:r>
      <w:r w:rsidR="00B06D4B">
        <w:rPr>
          <w:b/>
          <w:bCs/>
        </w:rPr>
        <w:t xml:space="preserve"> </w:t>
      </w:r>
      <w:bookmarkStart w:id="22" w:name="_Hlk169875804"/>
      <w:r w:rsidR="00020B95" w:rsidRPr="007B3DCE">
        <w:rPr>
          <w:b/>
          <w:bCs/>
        </w:rPr>
        <w:t>b.</w:t>
      </w:r>
      <w:r w:rsidR="00CB2291" w:rsidRPr="007B3DCE">
        <w:t xml:space="preserve"> </w:t>
      </w:r>
      <w:r w:rsidR="00BD6CAF" w:rsidRPr="007B3DCE">
        <w:t>T</w:t>
      </w:r>
      <w:r w:rsidR="005F2AA2" w:rsidRPr="007B3DCE">
        <w:t xml:space="preserve">he </w:t>
      </w:r>
      <w:r w:rsidR="00CB2291" w:rsidRPr="007B3DCE">
        <w:t>shaded area represents 95% confidence intervals for the linear regression estimates.</w:t>
      </w:r>
    </w:p>
    <w:p w14:paraId="21BE9377" w14:textId="77777777" w:rsidR="005658FA" w:rsidRDefault="005658FA" w:rsidP="005658FA">
      <w:pPr>
        <w:pStyle w:val="Source"/>
      </w:pPr>
      <w:r>
        <w:t xml:space="preserve">Source: Derived from ABS (unpublished) Causes of Death Australia </w:t>
      </w:r>
    </w:p>
    <w:bookmarkEnd w:id="22"/>
    <w:p w14:paraId="6DDFA3D5" w14:textId="1E334284" w:rsidR="00D42841" w:rsidRDefault="00D16ACA" w:rsidP="00E94CFF">
      <w:pPr>
        <w:pStyle w:val="BodyText"/>
      </w:pPr>
      <w:r>
        <w:t xml:space="preserve">In </w:t>
      </w:r>
      <w:r w:rsidR="00063179" w:rsidRPr="007B3DCE">
        <w:t>2022</w:t>
      </w:r>
      <w:r w:rsidR="009378F7" w:rsidRPr="007B3DCE">
        <w:t>,</w:t>
      </w:r>
      <w:r w:rsidR="00063179" w:rsidRPr="007B3DCE">
        <w:t xml:space="preserve"> s</w:t>
      </w:r>
      <w:r w:rsidR="00E93C19" w:rsidRPr="007B3DCE">
        <w:t xml:space="preserve">uicide </w:t>
      </w:r>
      <w:r w:rsidR="00063179" w:rsidRPr="007B3DCE">
        <w:t>was</w:t>
      </w:r>
      <w:r w:rsidR="00E93C19" w:rsidRPr="007B3DCE">
        <w:t xml:space="preserve"> the </w:t>
      </w:r>
      <w:r w:rsidR="00E93C19" w:rsidRPr="009D4378">
        <w:t>leading cause of death</w:t>
      </w:r>
      <w:r w:rsidR="00D42841">
        <w:t xml:space="preserve"> for Aboriginal and Torres Strait Islander people aged 15</w:t>
      </w:r>
      <w:r w:rsidR="00D42841" w:rsidRPr="00A64ED0">
        <w:t>–</w:t>
      </w:r>
      <w:r w:rsidR="00D42841">
        <w:t>39</w:t>
      </w:r>
      <w:r w:rsidR="005858C8">
        <w:t xml:space="preserve"> years</w:t>
      </w:r>
      <w:r w:rsidR="00D42841">
        <w:t>. Across all age</w:t>
      </w:r>
      <w:r w:rsidR="001D1F10">
        <w:t xml:space="preserve"> </w:t>
      </w:r>
      <w:r w:rsidR="001D1F10" w:rsidRPr="006A6D10">
        <w:t>groups</w:t>
      </w:r>
      <w:r>
        <w:t>,</w:t>
      </w:r>
      <w:r w:rsidR="00D42841" w:rsidRPr="00E317A3">
        <w:rPr>
          <w:color w:val="FF0000"/>
        </w:rPr>
        <w:t xml:space="preserve"> </w:t>
      </w:r>
      <w:r w:rsidR="00D42841">
        <w:t xml:space="preserve">Aboriginal and Torres Strait Islander people aged </w:t>
      </w:r>
      <w:r w:rsidR="00D42841" w:rsidRPr="00272FB1">
        <w:t>35–44</w:t>
      </w:r>
      <w:r w:rsidR="005858C8">
        <w:t xml:space="preserve"> years</w:t>
      </w:r>
      <w:r w:rsidR="00D42841" w:rsidRPr="00272FB1">
        <w:t xml:space="preserve"> </w:t>
      </w:r>
      <w:r w:rsidR="00D42841">
        <w:t>have the highest rate of death by suicide (figure 2.8)</w:t>
      </w:r>
      <w:r w:rsidR="002E6361">
        <w:t>.</w:t>
      </w:r>
    </w:p>
    <w:p w14:paraId="732F3ACB" w14:textId="4F096E78" w:rsidR="004F13AA" w:rsidRPr="007B3DCE" w:rsidRDefault="004F13AA" w:rsidP="007E60A0">
      <w:pPr>
        <w:pStyle w:val="FigureTableHeading"/>
        <w:rPr>
          <w:color w:val="3B2A1C" w:themeColor="background1" w:themeShade="80"/>
        </w:rPr>
      </w:pPr>
      <w:r w:rsidRPr="007B3DCE">
        <w:rPr>
          <w:color w:val="3B2A1C" w:themeColor="background1" w:themeShade="80"/>
        </w:rPr>
        <w:t>Figure 2.</w:t>
      </w:r>
      <w:r w:rsidR="0036545D" w:rsidRPr="007B3DCE">
        <w:rPr>
          <w:color w:val="3B2A1C" w:themeColor="background1" w:themeShade="80"/>
        </w:rPr>
        <w:t>8</w:t>
      </w:r>
      <w:r w:rsidRPr="007B3DCE">
        <w:rPr>
          <w:color w:val="3B2A1C" w:themeColor="background1" w:themeShade="80"/>
        </w:rPr>
        <w:t xml:space="preserve"> – Rates of suicide for Aboriginal and Torres Strait Islander people</w:t>
      </w:r>
    </w:p>
    <w:p w14:paraId="400EB763" w14:textId="31F52AFB" w:rsidR="00655E07" w:rsidRDefault="00655E07" w:rsidP="00186B01">
      <w:pPr>
        <w:pStyle w:val="BodyText"/>
      </w:pPr>
      <w:r w:rsidRPr="00655E07">
        <w:rPr>
          <w:noProof/>
        </w:rPr>
        <w:drawing>
          <wp:inline distT="0" distB="0" distL="0" distR="0" wp14:anchorId="5F86E777" wp14:editId="407BFC92">
            <wp:extent cx="6112510" cy="688975"/>
            <wp:effectExtent l="0" t="0" r="2540" b="0"/>
            <wp:docPr id="1196684141" name="Picture 217" descr="Figure 2.8 is an infographic that shows the latest figures from 2022 on suicide rates among Aboriginal and Torres Strait Islander people, broken down by age group. The rates are 48.1 per 100,000 for those aged 18-24 years, 48.4 per 100,000 for those aged 25-34 years, and 52.3 per 100,000 for those aged 35-44 years, highlighting higher suicide rates in the older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84141" name="Picture 217" descr="Figure 2.8 is an infographic that shows the latest figures from 2022 on suicide rates among Aboriginal and Torres Strait Islander people, broken down by age group. The rates are 48.1 per 100,000 for those aged 18-24 years, 48.4 per 100,000 for those aged 25-34 years, and 52.3 per 100,000 for those aged 35-44 years, highlighting higher suicide rates in the older age grou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2510" cy="688975"/>
                    </a:xfrm>
                    <a:prstGeom prst="rect">
                      <a:avLst/>
                    </a:prstGeom>
                    <a:noFill/>
                    <a:ln>
                      <a:noFill/>
                    </a:ln>
                  </pic:spPr>
                </pic:pic>
              </a:graphicData>
            </a:graphic>
          </wp:inline>
        </w:drawing>
      </w:r>
    </w:p>
    <w:p w14:paraId="149A2610" w14:textId="4228E53A" w:rsidR="00964E19" w:rsidRPr="007B3DCE" w:rsidRDefault="0CE2606E" w:rsidP="00361D63">
      <w:pPr>
        <w:pStyle w:val="Heading5"/>
        <w:spacing w:before="240"/>
        <w:rPr>
          <w:color w:val="3B2A1C" w:themeColor="background1" w:themeShade="80"/>
        </w:rPr>
      </w:pPr>
      <w:r w:rsidRPr="007B3DCE">
        <w:rPr>
          <w:color w:val="3B2A1C" w:themeColor="background1" w:themeShade="80"/>
        </w:rPr>
        <w:t xml:space="preserve">Deaths by suicide </w:t>
      </w:r>
      <w:r w:rsidR="36F387C0" w:rsidRPr="007B3DCE">
        <w:rPr>
          <w:color w:val="3B2A1C" w:themeColor="background1" w:themeShade="80"/>
        </w:rPr>
        <w:t xml:space="preserve">are </w:t>
      </w:r>
      <w:r w:rsidR="00964E19" w:rsidRPr="007B3DCE">
        <w:rPr>
          <w:color w:val="3B2A1C" w:themeColor="background1" w:themeShade="80"/>
        </w:rPr>
        <w:t xml:space="preserve">higher </w:t>
      </w:r>
      <w:r w:rsidR="40A392CD" w:rsidRPr="007B3DCE">
        <w:rPr>
          <w:color w:val="3B2A1C" w:themeColor="background1" w:themeShade="80"/>
        </w:rPr>
        <w:t xml:space="preserve">for </w:t>
      </w:r>
      <w:r w:rsidR="5912A9AF" w:rsidRPr="007B3DCE">
        <w:rPr>
          <w:color w:val="3B2A1C" w:themeColor="background1" w:themeShade="80"/>
        </w:rPr>
        <w:t>males</w:t>
      </w:r>
      <w:r w:rsidRPr="007B3DCE" w:rsidDel="00964E19">
        <w:rPr>
          <w:color w:val="3B2A1C" w:themeColor="background1" w:themeShade="80"/>
        </w:rPr>
        <w:t xml:space="preserve"> </w:t>
      </w:r>
      <w:r w:rsidR="00964E19" w:rsidRPr="007B3DCE">
        <w:rPr>
          <w:color w:val="3B2A1C" w:themeColor="background1" w:themeShade="80"/>
        </w:rPr>
        <w:t xml:space="preserve">than </w:t>
      </w:r>
      <w:r w:rsidR="6BEC4EBB" w:rsidRPr="007B3DCE">
        <w:rPr>
          <w:color w:val="3B2A1C" w:themeColor="background1" w:themeShade="80"/>
        </w:rPr>
        <w:t>females</w:t>
      </w:r>
    </w:p>
    <w:p w14:paraId="5C6259DD" w14:textId="4366EBD1" w:rsidR="00894AF6" w:rsidRPr="00CB7532" w:rsidRDefault="00F322D6" w:rsidP="00CB7532">
      <w:pPr>
        <w:pStyle w:val="BodyText"/>
      </w:pPr>
      <w:r w:rsidRPr="00CB7532">
        <w:t>In 2022, d</w:t>
      </w:r>
      <w:r w:rsidR="48C1B7FF" w:rsidRPr="00CB7532">
        <w:t xml:space="preserve">eath rates by </w:t>
      </w:r>
      <w:r w:rsidR="00964E19" w:rsidRPr="00CB7532">
        <w:t xml:space="preserve">suicide </w:t>
      </w:r>
      <w:r w:rsidRPr="00CB7532">
        <w:t>wer</w:t>
      </w:r>
      <w:r w:rsidR="1E59E69D" w:rsidRPr="00CB7532">
        <w:t xml:space="preserve">e 3.3 times higher for </w:t>
      </w:r>
      <w:r w:rsidR="3FE25279" w:rsidRPr="00CB7532">
        <w:t>males</w:t>
      </w:r>
      <w:r w:rsidR="00964E19" w:rsidRPr="00CB7532" w:rsidDel="00964E19">
        <w:t xml:space="preserve"> </w:t>
      </w:r>
      <w:r w:rsidR="00964E19" w:rsidRPr="00CB7532">
        <w:t xml:space="preserve">than </w:t>
      </w:r>
      <w:r w:rsidR="00B66258" w:rsidRPr="00CB7532">
        <w:t>females</w:t>
      </w:r>
      <w:r w:rsidR="00AB5327" w:rsidRPr="00CB7532">
        <w:t xml:space="preserve">. </w:t>
      </w:r>
      <w:r w:rsidR="00B267E0" w:rsidRPr="00CB7532">
        <w:t>F</w:t>
      </w:r>
      <w:r w:rsidR="00964E19" w:rsidRPr="00CB7532">
        <w:t xml:space="preserve">or </w:t>
      </w:r>
      <w:r w:rsidR="5F9B7F90" w:rsidRPr="00CB7532">
        <w:t>males</w:t>
      </w:r>
      <w:r w:rsidR="00964E19" w:rsidRPr="00CB7532">
        <w:t xml:space="preserve"> </w:t>
      </w:r>
      <w:r w:rsidR="00B267E0" w:rsidRPr="00CB7532">
        <w:t xml:space="preserve">the suicide rate </w:t>
      </w:r>
      <w:r w:rsidR="001F2A43" w:rsidRPr="00CB7532">
        <w:t>was</w:t>
      </w:r>
      <w:r w:rsidR="00964E19" w:rsidRPr="00CB7532">
        <w:t xml:space="preserve"> 46.3 per 100,000, while it </w:t>
      </w:r>
      <w:r w:rsidR="001F2A43" w:rsidRPr="00CB7532">
        <w:t>was</w:t>
      </w:r>
      <w:r w:rsidR="00964E19" w:rsidRPr="00CB7532">
        <w:t xml:space="preserve"> 14 per 100,000 for </w:t>
      </w:r>
      <w:r w:rsidR="033ED26F" w:rsidRPr="00CB7532">
        <w:t>females</w:t>
      </w:r>
      <w:r w:rsidR="00964E19" w:rsidRPr="00CB7532">
        <w:t>. This is an increase from 2018, whe</w:t>
      </w:r>
      <w:r w:rsidR="00CA351F" w:rsidRPr="00CB7532">
        <w:t>n</w:t>
      </w:r>
      <w:r w:rsidR="00964E19" w:rsidRPr="00CB7532">
        <w:t xml:space="preserve"> it was 38.6 per 100,000 for </w:t>
      </w:r>
      <w:r w:rsidR="5B25E997" w:rsidRPr="00CB7532">
        <w:t>males</w:t>
      </w:r>
      <w:r w:rsidR="00964E19" w:rsidRPr="00CB7532">
        <w:t xml:space="preserve"> and 11.7 per 100,000 for </w:t>
      </w:r>
      <w:r w:rsidR="1DC8923D" w:rsidRPr="00CB7532">
        <w:t>females</w:t>
      </w:r>
      <w:r w:rsidR="00964E19" w:rsidRPr="00CB7532">
        <w:t xml:space="preserve">. </w:t>
      </w:r>
    </w:p>
    <w:p w14:paraId="09184473" w14:textId="589F8A8C" w:rsidR="00964E19" w:rsidRPr="00CB7532" w:rsidRDefault="00E507BF" w:rsidP="004D701A">
      <w:pPr>
        <w:pStyle w:val="BodyText"/>
        <w:spacing w:line="260" w:lineRule="atLeast"/>
      </w:pPr>
      <w:r w:rsidRPr="00CB7532">
        <w:lastRenderedPageBreak/>
        <w:t>D</w:t>
      </w:r>
      <w:r w:rsidR="0EF51E8D" w:rsidRPr="00CB7532">
        <w:t xml:space="preserve">eath rates by suicide </w:t>
      </w:r>
      <w:r w:rsidR="00964E19" w:rsidRPr="00CB7532">
        <w:t>increas</w:t>
      </w:r>
      <w:r w:rsidR="5D553C88" w:rsidRPr="00CB7532">
        <w:t>e</w:t>
      </w:r>
      <w:r w:rsidR="00E57B1A" w:rsidRPr="00CB7532">
        <w:t>d</w:t>
      </w:r>
      <w:r w:rsidR="00964E19" w:rsidRPr="00CB7532">
        <w:t xml:space="preserve"> with remoteness</w:t>
      </w:r>
      <w:r w:rsidR="00463BD3" w:rsidRPr="00CB7532">
        <w:t xml:space="preserve">. </w:t>
      </w:r>
      <w:r w:rsidR="00583799" w:rsidRPr="00CB7532">
        <w:t>In 2022,</w:t>
      </w:r>
      <w:r w:rsidR="00C16D80" w:rsidRPr="00CB7532">
        <w:t xml:space="preserve"> </w:t>
      </w:r>
      <w:r w:rsidR="00583799" w:rsidRPr="00CB7532">
        <w:t>m</w:t>
      </w:r>
      <w:r w:rsidR="00FB38BB" w:rsidRPr="00CB7532">
        <w:t xml:space="preserve">ales in remote and very remote </w:t>
      </w:r>
      <w:r w:rsidR="00583CEA" w:rsidRPr="00CB7532">
        <w:t>areas ha</w:t>
      </w:r>
      <w:r w:rsidR="003A6325" w:rsidRPr="00CB7532">
        <w:t>d</w:t>
      </w:r>
      <w:r w:rsidR="00583CEA" w:rsidRPr="00CB7532">
        <w:t xml:space="preserve"> a death rate by suicide</w:t>
      </w:r>
      <w:r w:rsidR="00964E19" w:rsidRPr="00CB7532">
        <w:t xml:space="preserve"> of 45.2 </w:t>
      </w:r>
      <w:r w:rsidR="004463CF" w:rsidRPr="00CB7532">
        <w:t>per 100,000</w:t>
      </w:r>
      <w:r w:rsidR="001F7555" w:rsidRPr="00CB7532">
        <w:t xml:space="preserve">, compared with 38.1 </w:t>
      </w:r>
      <w:r w:rsidR="00981091" w:rsidRPr="00CB7532">
        <w:t>per 100,000</w:t>
      </w:r>
      <w:r w:rsidR="001F7555" w:rsidRPr="00CB7532">
        <w:t xml:space="preserve"> in major cities</w:t>
      </w:r>
      <w:r w:rsidR="00680010" w:rsidRPr="00CB7532">
        <w:t xml:space="preserve">. </w:t>
      </w:r>
      <w:r w:rsidR="00981091" w:rsidRPr="00CB7532">
        <w:t>Similarly,</w:t>
      </w:r>
      <w:r w:rsidR="00680010" w:rsidRPr="00CB7532">
        <w:t xml:space="preserve"> </w:t>
      </w:r>
      <w:r w:rsidR="1CD9C04A" w:rsidRPr="00CB7532">
        <w:t>f</w:t>
      </w:r>
      <w:r w:rsidR="00680010" w:rsidRPr="00CB7532">
        <w:t>emales</w:t>
      </w:r>
      <w:r w:rsidR="00964E19" w:rsidRPr="00CB7532">
        <w:t xml:space="preserve"> </w:t>
      </w:r>
      <w:r w:rsidR="00680010" w:rsidRPr="00CB7532">
        <w:t xml:space="preserve">in remote </w:t>
      </w:r>
      <w:r w:rsidR="00964E19" w:rsidRPr="00CB7532">
        <w:t xml:space="preserve">and </w:t>
      </w:r>
      <w:r w:rsidR="00680010" w:rsidRPr="00CB7532">
        <w:t>very remote areas ha</w:t>
      </w:r>
      <w:r w:rsidR="003A6325" w:rsidRPr="00CB7532">
        <w:t>d</w:t>
      </w:r>
      <w:r w:rsidR="00680010" w:rsidRPr="00CB7532">
        <w:t xml:space="preserve"> a </w:t>
      </w:r>
      <w:r w:rsidR="004463CF" w:rsidRPr="00CB7532">
        <w:t xml:space="preserve">death rate by suicide of </w:t>
      </w:r>
      <w:r w:rsidR="00964E19" w:rsidRPr="00CB7532">
        <w:t xml:space="preserve">16.9 per 100,000, </w:t>
      </w:r>
      <w:r w:rsidR="00981091" w:rsidRPr="00CB7532">
        <w:t xml:space="preserve">compared with 13.6 </w:t>
      </w:r>
      <w:r w:rsidR="00793E8E" w:rsidRPr="00CB7532">
        <w:t>per 100,000 in major cities</w:t>
      </w:r>
      <w:r w:rsidR="00964E19" w:rsidRPr="00CB7532">
        <w:t>.</w:t>
      </w:r>
      <w:r w:rsidR="00FE567B" w:rsidRPr="00CB7532">
        <w:t xml:space="preserve"> </w:t>
      </w:r>
      <w:r w:rsidR="00472B4D" w:rsidRPr="00CB7532">
        <w:t>L</w:t>
      </w:r>
      <w:r w:rsidR="00FE567B" w:rsidRPr="00CB7532">
        <w:t>imited access to mental health services</w:t>
      </w:r>
      <w:r w:rsidR="008D4BEF" w:rsidRPr="00CB7532">
        <w:t xml:space="preserve"> may be one of the dr</w:t>
      </w:r>
      <w:r w:rsidR="00386024" w:rsidRPr="00CB7532">
        <w:t>ivers</w:t>
      </w:r>
      <w:r w:rsidR="00472B4D" w:rsidRPr="00CB7532">
        <w:t xml:space="preserve"> of higher rates in more remote areas</w:t>
      </w:r>
      <w:r w:rsidR="00386024" w:rsidRPr="00CB7532">
        <w:t xml:space="preserve"> </w:t>
      </w:r>
      <w:r w:rsidR="0088480B" w:rsidRPr="00CB7532">
        <w:t>(Kelly 2009)</w:t>
      </w:r>
      <w:r w:rsidR="006704DF" w:rsidRPr="00CB7532">
        <w:t>.</w:t>
      </w:r>
      <w:r w:rsidR="00386024" w:rsidRPr="00CB7532">
        <w:t xml:space="preserve"> </w:t>
      </w:r>
    </w:p>
    <w:p w14:paraId="48B5B481" w14:textId="088A63AB" w:rsidR="00AF54B0" w:rsidRPr="00CB7532" w:rsidRDefault="006252C8" w:rsidP="004D701A">
      <w:pPr>
        <w:pStyle w:val="BodyText"/>
        <w:spacing w:line="260" w:lineRule="atLeast"/>
      </w:pPr>
      <w:r w:rsidRPr="006252C8">
        <w:t>Deaths by suicide among Aboriginal and Torres Strait Islander men and women differ across age groups, with certain age groups being more affected for each gender</w:t>
      </w:r>
      <w:r w:rsidR="00964E19" w:rsidRPr="00CB7532">
        <w:t xml:space="preserve">. </w:t>
      </w:r>
    </w:p>
    <w:tbl>
      <w:tblPr>
        <w:tblStyle w:val="Texttable-Keyline"/>
        <w:tblW w:w="0" w:type="auto"/>
        <w:tblBorders>
          <w:top w:val="single" w:sz="4" w:space="0" w:color="3B2A1C" w:themeColor="background1" w:themeShade="80"/>
          <w:left w:val="single" w:sz="4" w:space="0" w:color="3B2A1C" w:themeColor="background1" w:themeShade="80"/>
          <w:bottom w:val="single" w:sz="4" w:space="0" w:color="3B2A1C" w:themeColor="background1" w:themeShade="80"/>
          <w:right w:val="single" w:sz="4" w:space="0" w:color="3B2A1C" w:themeColor="background1" w:themeShade="80"/>
        </w:tblBorders>
        <w:shd w:val="clear" w:color="auto" w:fill="705035" w:themeFill="background1" w:themeFillShade="F2"/>
        <w:tblLook w:val="04A0" w:firstRow="1" w:lastRow="0" w:firstColumn="1" w:lastColumn="0" w:noHBand="0" w:noVBand="1"/>
      </w:tblPr>
      <w:tblGrid>
        <w:gridCol w:w="4814"/>
        <w:gridCol w:w="4814"/>
      </w:tblGrid>
      <w:tr w:rsidR="00AF54B0" w:rsidRPr="007B3DCE" w14:paraId="7050BDBB" w14:textId="77777777" w:rsidTr="00361D63">
        <w:tc>
          <w:tcPr>
            <w:tcW w:w="4814" w:type="dxa"/>
            <w:shd w:val="clear" w:color="auto" w:fill="E9DCD1" w:themeFill="background1" w:themeFillTint="33"/>
          </w:tcPr>
          <w:p w14:paraId="6CBEB945" w14:textId="7D0CA460" w:rsidR="00260D89" w:rsidRPr="007B3DCE" w:rsidRDefault="1329AC5D" w:rsidP="00DE38CA">
            <w:pPr>
              <w:pStyle w:val="BodyText"/>
              <w:spacing w:line="240" w:lineRule="auto"/>
              <w:ind w:right="173"/>
              <w:jc w:val="center"/>
            </w:pPr>
            <w:r w:rsidRPr="007B3DCE">
              <w:t xml:space="preserve">Death rates by suicide for </w:t>
            </w:r>
            <w:r w:rsidR="00B867B7" w:rsidRPr="007B3DCE">
              <w:t xml:space="preserve">Aboriginal and Torres Strait Islander </w:t>
            </w:r>
            <w:r w:rsidR="79117D38" w:rsidRPr="007B3DCE">
              <w:t>males</w:t>
            </w:r>
            <w:r w:rsidR="00B867B7" w:rsidRPr="007B3DCE" w:rsidDel="10213AC4">
              <w:t xml:space="preserve"> </w:t>
            </w:r>
            <w:r w:rsidR="782228E7" w:rsidRPr="007B3DCE">
              <w:t xml:space="preserve">are highest </w:t>
            </w:r>
            <w:r w:rsidR="00472B4D" w:rsidRPr="007B3DCE">
              <w:t xml:space="preserve">for those </w:t>
            </w:r>
            <w:r w:rsidR="00B867B7" w:rsidRPr="007B3DCE">
              <w:t>aged 35</w:t>
            </w:r>
            <w:r w:rsidR="007102C0">
              <w:t>-</w:t>
            </w:r>
            <w:r w:rsidR="00B867B7" w:rsidRPr="007B3DCE">
              <w:t xml:space="preserve">44 years </w:t>
            </w:r>
          </w:p>
          <w:p w14:paraId="4CA3A2A7" w14:textId="432E5972" w:rsidR="00AF54B0" w:rsidRPr="007B3DCE" w:rsidRDefault="00AF54B0" w:rsidP="00DE38CA">
            <w:pPr>
              <w:pStyle w:val="BodyText"/>
              <w:spacing w:line="240" w:lineRule="auto"/>
              <w:ind w:right="173"/>
              <w:jc w:val="center"/>
            </w:pPr>
            <w:r w:rsidRPr="007B3DCE">
              <w:t xml:space="preserve"> (84.9 per 100,000).</w:t>
            </w:r>
          </w:p>
        </w:tc>
        <w:tc>
          <w:tcPr>
            <w:tcW w:w="4814" w:type="dxa"/>
            <w:shd w:val="clear" w:color="auto" w:fill="E9DCD1" w:themeFill="background1" w:themeFillTint="33"/>
          </w:tcPr>
          <w:p w14:paraId="521A8770" w14:textId="0E72799D" w:rsidR="00260D89" w:rsidRPr="007B3DCE" w:rsidRDefault="26177AFB" w:rsidP="00DE38CA">
            <w:pPr>
              <w:pStyle w:val="BodyText"/>
              <w:spacing w:line="240" w:lineRule="auto"/>
              <w:ind w:right="167"/>
              <w:jc w:val="center"/>
            </w:pPr>
            <w:r w:rsidRPr="007B3DCE">
              <w:t xml:space="preserve">Death rates by suicide for </w:t>
            </w:r>
            <w:r w:rsidR="00FE13D0" w:rsidRPr="007B3DCE">
              <w:t xml:space="preserve">Aboriginal and Torres Strait Islander </w:t>
            </w:r>
            <w:r w:rsidR="58CD50E0" w:rsidRPr="007B3DCE">
              <w:t>females</w:t>
            </w:r>
            <w:r w:rsidR="002B4518" w:rsidRPr="007B3DCE">
              <w:t xml:space="preserve"> </w:t>
            </w:r>
            <w:r w:rsidR="5E832112" w:rsidRPr="007B3DCE">
              <w:t xml:space="preserve">are highest </w:t>
            </w:r>
            <w:r w:rsidR="00472B4D" w:rsidRPr="007B3DCE">
              <w:t>for those</w:t>
            </w:r>
            <w:r w:rsidR="5E832112" w:rsidRPr="007B3DCE">
              <w:t xml:space="preserve"> </w:t>
            </w:r>
            <w:r w:rsidR="00FE13D0" w:rsidRPr="007B3DCE">
              <w:t xml:space="preserve">aged </w:t>
            </w:r>
            <w:r w:rsidR="00AF54B0" w:rsidRPr="007B3DCE">
              <w:t>18</w:t>
            </w:r>
            <w:r w:rsidR="007102C0">
              <w:t>-</w:t>
            </w:r>
            <w:r w:rsidR="00AF54B0" w:rsidRPr="007B3DCE">
              <w:t xml:space="preserve">24 </w:t>
            </w:r>
            <w:r w:rsidR="002A752B" w:rsidRPr="007B3DCE">
              <w:t>years</w:t>
            </w:r>
          </w:p>
          <w:p w14:paraId="3CA3BB2F" w14:textId="37D3DB40" w:rsidR="00AF54B0" w:rsidRPr="007B3DCE" w:rsidRDefault="753476D1" w:rsidP="00DE38CA">
            <w:pPr>
              <w:pStyle w:val="BodyText"/>
              <w:spacing w:line="240" w:lineRule="auto"/>
              <w:jc w:val="center"/>
            </w:pPr>
            <w:r w:rsidRPr="007B3DCE">
              <w:t xml:space="preserve">  </w:t>
            </w:r>
            <w:r w:rsidR="422BCDD4" w:rsidRPr="007B3DCE">
              <w:t>(</w:t>
            </w:r>
            <w:r w:rsidR="00AF54B0" w:rsidRPr="007B3DCE">
              <w:t>27.2 per 100,000)</w:t>
            </w:r>
          </w:p>
        </w:tc>
      </w:tr>
    </w:tbl>
    <w:p w14:paraId="6A3927C6" w14:textId="3D28F6E9" w:rsidR="00763379" w:rsidRPr="007B3DCE" w:rsidRDefault="0843611A" w:rsidP="00361D63">
      <w:pPr>
        <w:pStyle w:val="Heading5"/>
        <w:spacing w:before="240"/>
        <w:rPr>
          <w:color w:val="3B2A1C" w:themeColor="background1" w:themeShade="80"/>
        </w:rPr>
      </w:pPr>
      <w:r w:rsidRPr="007B3DCE">
        <w:rPr>
          <w:color w:val="3B2A1C" w:themeColor="background1" w:themeShade="80"/>
        </w:rPr>
        <w:t>More people r</w:t>
      </w:r>
      <w:r w:rsidR="00604C1F" w:rsidRPr="007B3DCE">
        <w:rPr>
          <w:color w:val="3B2A1C" w:themeColor="background1" w:themeShade="80"/>
        </w:rPr>
        <w:t>eport experienc</w:t>
      </w:r>
      <w:r w:rsidR="367601E3" w:rsidRPr="007B3DCE">
        <w:rPr>
          <w:color w:val="3B2A1C" w:themeColor="background1" w:themeShade="80"/>
        </w:rPr>
        <w:t>ing</w:t>
      </w:r>
      <w:r w:rsidR="00604C1F" w:rsidRPr="007B3DCE">
        <w:rPr>
          <w:color w:val="3B2A1C" w:themeColor="background1" w:themeShade="80"/>
        </w:rPr>
        <w:t xml:space="preserve"> r</w:t>
      </w:r>
      <w:r w:rsidR="00C23B89" w:rsidRPr="007B3DCE">
        <w:rPr>
          <w:color w:val="3B2A1C" w:themeColor="background1" w:themeShade="80"/>
        </w:rPr>
        <w:t xml:space="preserve">acial prejudice  </w:t>
      </w:r>
    </w:p>
    <w:p w14:paraId="6B067FDB" w14:textId="0427D3DC" w:rsidR="006D1F41" w:rsidRPr="007B3DCE" w:rsidRDefault="63C8E945" w:rsidP="00CC714F">
      <w:pPr>
        <w:pStyle w:val="BodyText"/>
        <w:spacing w:line="240" w:lineRule="atLeast"/>
      </w:pPr>
      <w:r w:rsidRPr="007B3DCE">
        <w:t xml:space="preserve">Racism </w:t>
      </w:r>
      <w:r w:rsidR="2BCEA4DF" w:rsidRPr="007B3DCE">
        <w:t>negatively</w:t>
      </w:r>
      <w:r w:rsidRPr="007B3DCE">
        <w:t xml:space="preserve"> </w:t>
      </w:r>
      <w:r w:rsidR="00501A42" w:rsidRPr="007B3DCE">
        <w:t xml:space="preserve">affects </w:t>
      </w:r>
      <w:r w:rsidR="79E0FAAF" w:rsidRPr="007B3DCE">
        <w:t xml:space="preserve">the social and emotional wellbeing of </w:t>
      </w:r>
      <w:r w:rsidR="7E6ECEF0" w:rsidRPr="007B3DCE">
        <w:t>Aboriginal and Torres Strait Islander peo</w:t>
      </w:r>
      <w:r w:rsidR="39945214" w:rsidRPr="007B3DCE">
        <w:t>ple</w:t>
      </w:r>
      <w:r w:rsidR="7D3C916E" w:rsidRPr="007B3DCE">
        <w:t xml:space="preserve">, increasing risks of </w:t>
      </w:r>
      <w:r w:rsidR="16C8A05B" w:rsidRPr="007B3DCE">
        <w:t xml:space="preserve">anxiety, depression, </w:t>
      </w:r>
      <w:r w:rsidR="0483D2E0" w:rsidRPr="007B3DCE">
        <w:t xml:space="preserve">self-harm, </w:t>
      </w:r>
      <w:r w:rsidR="16C8A05B" w:rsidRPr="007B3DCE">
        <w:t xml:space="preserve">asthma, </w:t>
      </w:r>
      <w:r w:rsidR="5809CF64" w:rsidRPr="007B3DCE">
        <w:t xml:space="preserve">higher </w:t>
      </w:r>
      <w:r w:rsidR="00472B4D" w:rsidRPr="007B3DCE">
        <w:t>Body Mass Index</w:t>
      </w:r>
      <w:r w:rsidR="53B6EFBA" w:rsidRPr="007B3DCE">
        <w:t xml:space="preserve">, </w:t>
      </w:r>
      <w:r w:rsidR="16C8A05B" w:rsidRPr="007B3DCE">
        <w:t xml:space="preserve">smoking </w:t>
      </w:r>
      <w:r w:rsidR="5E72AE49" w:rsidRPr="007B3DCE">
        <w:t>and death by suicide</w:t>
      </w:r>
      <w:r w:rsidR="16C8A05B" w:rsidRPr="007B3DCE">
        <w:t xml:space="preserve"> </w:t>
      </w:r>
      <w:r w:rsidR="00220990" w:rsidRPr="00216127">
        <w:rPr>
          <w:rFonts w:ascii="Arial (Body)" w:hAnsi="Arial (Body)" w:cs="Arial"/>
        </w:rPr>
        <w:t xml:space="preserve">(AIHW 2022b; </w:t>
      </w:r>
      <w:r w:rsidR="0013316C">
        <w:rPr>
          <w:rFonts w:ascii="Arial (Body)" w:hAnsi="Arial (Body)" w:cs="Arial"/>
        </w:rPr>
        <w:t>Dudgeon</w:t>
      </w:r>
      <w:r w:rsidR="00220990" w:rsidRPr="00216127">
        <w:rPr>
          <w:rFonts w:ascii="Arial (Body)" w:hAnsi="Arial (Body)" w:cs="Arial"/>
        </w:rPr>
        <w:t xml:space="preserve"> et al. 2014; Kairuz et al. 2021; Kelly 2009; Truong and Moore 2023)</w:t>
      </w:r>
      <w:r w:rsidR="16C8A05B" w:rsidRPr="007B3DCE">
        <w:t xml:space="preserve">. </w:t>
      </w:r>
    </w:p>
    <w:p w14:paraId="7363DFDA" w14:textId="3AC1BC40" w:rsidR="006D1F41" w:rsidRPr="007B3DCE" w:rsidRDefault="006D1F41" w:rsidP="004D701A">
      <w:pPr>
        <w:pStyle w:val="BodyText"/>
        <w:spacing w:line="260" w:lineRule="atLeast"/>
      </w:pPr>
      <w:r w:rsidRPr="007B3DCE">
        <w:t xml:space="preserve">The latest data (2022) </w:t>
      </w:r>
      <w:r w:rsidR="00455300" w:rsidRPr="007B3DCE">
        <w:t>shows</w:t>
      </w:r>
      <w:r w:rsidRPr="007B3DCE">
        <w:t xml:space="preserve"> that Aboriginal and Torres Strait Islander people experienced racial prejudice at a significantly higher rate than non-Indigenous people, with this rate (and gap) continuing to grow.</w:t>
      </w:r>
    </w:p>
    <w:p w14:paraId="598FB298" w14:textId="67229849" w:rsidR="006D1F41" w:rsidRPr="007B3DCE" w:rsidRDefault="006D1F41" w:rsidP="00CC714F">
      <w:pPr>
        <w:pStyle w:val="BodyText"/>
        <w:spacing w:line="240" w:lineRule="atLeast"/>
      </w:pPr>
      <w:r w:rsidRPr="007B3DCE">
        <w:t xml:space="preserve">The proportion of Aboriginal and Torres Strait Islander people aged 18 years or over who reported experiencing racial prejudice in the past 6 months increased from 43% in 2018 to 60% in 2022. For the general community, the proportion reporting racial prejudice in the past 6 months rose from 20% to 25% over the same period. </w:t>
      </w:r>
    </w:p>
    <w:p w14:paraId="4459514A" w14:textId="7810B970" w:rsidR="004F13AA" w:rsidRPr="007B3DCE" w:rsidRDefault="004F13AA">
      <w:pPr>
        <w:pStyle w:val="FigureTableHeading"/>
        <w:rPr>
          <w:color w:val="3B2A1C" w:themeColor="background1" w:themeShade="80"/>
        </w:rPr>
      </w:pPr>
      <w:r w:rsidRPr="007B3DCE">
        <w:rPr>
          <w:color w:val="3B2A1C" w:themeColor="background1" w:themeShade="80"/>
        </w:rPr>
        <w:t>Figure 2.</w:t>
      </w:r>
      <w:r w:rsidR="0036545D" w:rsidRPr="007B3DCE">
        <w:rPr>
          <w:color w:val="3B2A1C" w:themeColor="background1" w:themeShade="80"/>
        </w:rPr>
        <w:t>9</w:t>
      </w:r>
      <w:r w:rsidRPr="007B3DCE">
        <w:rPr>
          <w:color w:val="3B2A1C" w:themeColor="background1" w:themeShade="80"/>
        </w:rPr>
        <w:t xml:space="preserve"> – Experiences of racism</w:t>
      </w:r>
      <w:r w:rsidRPr="007B3DCE">
        <w:rPr>
          <w:color w:val="3B2A1C" w:themeColor="background1" w:themeShade="80"/>
          <w:vertAlign w:val="superscript"/>
        </w:rPr>
        <w:t>a,b,c</w:t>
      </w:r>
    </w:p>
    <w:p w14:paraId="171BAE4F" w14:textId="62D05C4E" w:rsidR="004F13AA" w:rsidRDefault="00915662" w:rsidP="004F13AA">
      <w:pPr>
        <w:pStyle w:val="FigureTableSubheading"/>
        <w:keepLines/>
        <w:rPr>
          <w:color w:val="775538" w:themeColor="background1"/>
        </w:rPr>
      </w:pPr>
      <w:r w:rsidRPr="007B3DCE">
        <w:rPr>
          <w:color w:val="775538" w:themeColor="background1"/>
        </w:rPr>
        <w:t>Proportion of people reporting they experienced racial prejudice in the past 6 months, by jurisdiction</w:t>
      </w:r>
    </w:p>
    <w:p w14:paraId="42EBDDEF" w14:textId="30388911" w:rsidR="00AD0AF7" w:rsidRPr="007B3DCE" w:rsidRDefault="00057A92" w:rsidP="004F13AA">
      <w:pPr>
        <w:pStyle w:val="FigureTableSubheading"/>
        <w:keepLines/>
        <w:rPr>
          <w:color w:val="775538" w:themeColor="background1"/>
        </w:rPr>
      </w:pPr>
      <w:r w:rsidRPr="00057A92">
        <w:rPr>
          <w:noProof/>
        </w:rPr>
        <w:drawing>
          <wp:inline distT="0" distB="0" distL="0" distR="0" wp14:anchorId="53BF6C39" wp14:editId="43FB7CAC">
            <wp:extent cx="6120130" cy="2877820"/>
            <wp:effectExtent l="0" t="0" r="0" b="0"/>
            <wp:docPr id="762213268" name="Picture 195" descr="Figure 2.9 is a column chart that shows the proportion of Aboriginal and Torres Strait Islander people reporting experiences of racial prejudice in the past six months by jurisdiction from 2018 to 2022. The bar chart indicates varying levels of reported racism across different states and territories, with noticeable increases in some regions such as NSW and Queensland. Error bars representing 95% confidence intervals show wide variability across some of the states and territories, with the confidence intervals ranging from 4% at the national level to 24% for some of the states and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13268" name="Picture 195" descr="Figure 2.9 is a column chart that shows the proportion of Aboriginal and Torres Strait Islander people reporting experiences of racial prejudice in the past six months by jurisdiction from 2018 to 2022. The bar chart indicates varying levels of reported racism across different states and territories, with noticeable increases in some regions such as NSW and Queensland. Error bars representing 95% confidence intervals show wide variability across some of the states and territories, with the confidence intervals ranging from 4% at the national level to 24% for some of the states and territori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2877820"/>
                    </a:xfrm>
                    <a:prstGeom prst="rect">
                      <a:avLst/>
                    </a:prstGeom>
                    <a:noFill/>
                    <a:ln>
                      <a:noFill/>
                    </a:ln>
                  </pic:spPr>
                </pic:pic>
              </a:graphicData>
            </a:graphic>
          </wp:inline>
        </w:drawing>
      </w:r>
    </w:p>
    <w:p w14:paraId="74A2EFB1" w14:textId="4C421C93" w:rsidR="00D34CF0" w:rsidRDefault="002A1386" w:rsidP="00CC714F">
      <w:pPr>
        <w:pStyle w:val="Note"/>
        <w:keepLines/>
        <w:spacing w:line="200" w:lineRule="atLeast"/>
      </w:pPr>
      <w:r w:rsidRPr="007B3DCE">
        <w:rPr>
          <w:b/>
          <w:bCs/>
        </w:rPr>
        <w:t>a</w:t>
      </w:r>
      <w:r w:rsidR="00D34CF0" w:rsidRPr="007B3DCE">
        <w:rPr>
          <w:b/>
          <w:bCs/>
        </w:rPr>
        <w:t>.</w:t>
      </w:r>
      <w:r w:rsidRPr="007B3DCE">
        <w:rPr>
          <w:b/>
          <w:bCs/>
        </w:rPr>
        <w:t xml:space="preserve"> </w:t>
      </w:r>
      <w:r w:rsidR="00DC6606">
        <w:t>D</w:t>
      </w:r>
      <w:r w:rsidRPr="007B3DCE">
        <w:t xml:space="preserve">ata for Aboriginal and Torres Strait Islander people in the ACT and the NT is not available for 2018 and 2020. </w:t>
      </w:r>
      <w:r w:rsidRPr="007B3DCE">
        <w:rPr>
          <w:b/>
          <w:bCs/>
        </w:rPr>
        <w:t>b</w:t>
      </w:r>
      <w:r w:rsidR="00D34CF0" w:rsidRPr="007B3DCE">
        <w:rPr>
          <w:b/>
          <w:bCs/>
        </w:rPr>
        <w:t>.</w:t>
      </w:r>
      <w:r w:rsidRPr="007B3DCE">
        <w:rPr>
          <w:b/>
          <w:bCs/>
        </w:rPr>
        <w:t xml:space="preserve"> </w:t>
      </w:r>
      <w:r w:rsidRPr="007B3DCE">
        <w:t>From 2020, ‘social media abuse’ was included as a category for the forms of racial prejudice.</w:t>
      </w:r>
      <w:r w:rsidR="00B06D4B">
        <w:rPr>
          <w:b/>
          <w:bCs/>
        </w:rPr>
        <w:t xml:space="preserve"> </w:t>
      </w:r>
      <w:r w:rsidR="00240025" w:rsidRPr="007B3DCE">
        <w:rPr>
          <w:b/>
          <w:bCs/>
        </w:rPr>
        <w:t>c.</w:t>
      </w:r>
      <w:r w:rsidR="00240025" w:rsidRPr="007B3DCE">
        <w:t xml:space="preserve"> Error bars represent 95% confidence intervals.</w:t>
      </w:r>
    </w:p>
    <w:p w14:paraId="68B0CC4C" w14:textId="3FDB129D" w:rsidR="00392EBD" w:rsidRPr="007B3DCE" w:rsidRDefault="002725F8" w:rsidP="002725F8">
      <w:pPr>
        <w:pStyle w:val="Source"/>
      </w:pPr>
      <w:r w:rsidRPr="00DD3790">
        <w:t>Source: Australian Reconciliation Barometer</w:t>
      </w:r>
    </w:p>
    <w:p w14:paraId="2678A672" w14:textId="5DBB18DB" w:rsidR="003309B0" w:rsidRDefault="00964E19" w:rsidP="00E920DF">
      <w:pPr>
        <w:pStyle w:val="NoSpacing"/>
      </w:pPr>
      <w:r w:rsidRPr="007B3DCE">
        <w:lastRenderedPageBreak/>
        <w:t xml:space="preserve">There is no new data since the 2023 ADCR for the proportion of Aboriginal and Torres Strait Islander people who reported experiencing psychological distress </w:t>
      </w:r>
      <w:r w:rsidR="00323203" w:rsidRPr="007B3DCE">
        <w:t xml:space="preserve">(Indicator 14d) </w:t>
      </w:r>
      <w:r w:rsidRPr="007B3DCE">
        <w:t>and the proportion who reported experiencing one or more barriers to accessing health services</w:t>
      </w:r>
      <w:r w:rsidR="00BB1DF7" w:rsidRPr="007B3DCE">
        <w:t xml:space="preserve"> (Indicator 14e)</w:t>
      </w:r>
      <w:r w:rsidRPr="007B3DCE">
        <w:t>.</w:t>
      </w:r>
      <w:r w:rsidR="00465139" w:rsidRPr="009D07D6">
        <w:rPr>
          <w:rStyle w:val="FootnoteReference"/>
        </w:rPr>
        <w:footnoteReference w:id="12"/>
      </w:r>
      <w:r w:rsidR="00465139" w:rsidRPr="007B3DCE">
        <w:t xml:space="preserve"> </w:t>
      </w:r>
    </w:p>
    <w:p w14:paraId="681701A6" w14:textId="40224D7C" w:rsidR="00F802FB" w:rsidRDefault="00F802FB" w:rsidP="004D701A">
      <w:pPr>
        <w:spacing w:before="0" w:after="160" w:line="259" w:lineRule="auto"/>
      </w:pPr>
    </w:p>
    <w:p w14:paraId="3900AAE3" w14:textId="7F03682F" w:rsidR="00C73DFE" w:rsidRDefault="00886A94" w:rsidP="004D701A">
      <w:pPr>
        <w:spacing w:before="0" w:after="160" w:line="259" w:lineRule="auto"/>
      </w:pPr>
      <w:r>
        <w:rPr>
          <w:noProof/>
        </w:rPr>
        <w:drawing>
          <wp:anchor distT="0" distB="0" distL="114300" distR="114300" simplePos="0" relativeHeight="251658251" behindDoc="1" locked="0" layoutInCell="1" allowOverlap="1" wp14:anchorId="51587F8A" wp14:editId="40C0C09F">
            <wp:simplePos x="0" y="0"/>
            <wp:positionH relativeFrom="margin">
              <wp:posOffset>-467195</wp:posOffset>
            </wp:positionH>
            <wp:positionV relativeFrom="paragraph">
              <wp:posOffset>2268811</wp:posOffset>
            </wp:positionV>
            <wp:extent cx="7056000" cy="5434219"/>
            <wp:effectExtent l="0" t="0" r="0" b="0"/>
            <wp:wrapNone/>
            <wp:docPr id="1920592184"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92184" name="Picture 213">
                      <a:extLst>
                        <a:ext uri="{C183D7F6-B498-43B3-948B-1728B52AA6E4}">
                          <adec:decorative xmlns:adec="http://schemas.microsoft.com/office/drawing/2017/decorative" val="1"/>
                        </a:ext>
                      </a:extLst>
                    </pic:cNvPr>
                    <pic:cNvPicPr>
                      <a:picLocks noChangeAspect="1" noChangeArrowheads="1"/>
                    </pic:cNvPicPr>
                  </pic:nvPicPr>
                  <pic:blipFill>
                    <a:blip r:embed="rId52" cstate="print">
                      <a:duotone>
                        <a:prstClr val="black"/>
                        <a:schemeClr val="tx2">
                          <a:tint val="45000"/>
                          <a:satMod val="400000"/>
                        </a:schemeClr>
                      </a:duotone>
                      <a:extLst>
                        <a:ext uri="{BEBA8EAE-BF5A-486C-A8C5-ECC9F3942E4B}">
                          <a14:imgProps xmlns:a14="http://schemas.microsoft.com/office/drawing/2010/main">
                            <a14:imgLayer r:embed="rId53">
                              <a14:imgEffect>
                                <a14:colorTemperature colorTemp="88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056000" cy="5434219"/>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D8" w:rsidRPr="00B418D8">
        <w:rPr>
          <w:noProof/>
        </w:rPr>
        <w:drawing>
          <wp:inline distT="0" distB="0" distL="0" distR="0" wp14:anchorId="7B27FF92" wp14:editId="535ECE05">
            <wp:extent cx="6120130" cy="4694555"/>
            <wp:effectExtent l="0" t="0" r="0" b="0"/>
            <wp:docPr id="708199301" name="Picture 2" descr="The summary box shows that progress towards targets is mixed. Life expectancy (Target 1) is improving but not on track. Healthy birthweights (Target 2) are improving but not on track. Childhood development (Target 4) is worsening. Significant and sustained reduction in suicide (Target 14) is wors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99301" name="Picture 2" descr="The summary box shows that progress towards targets is mixed. Life expectancy (Target 1) is improving but not on track. Healthy birthweights (Target 2) are improving but not on track. Childhood development (Target 4) is worsening. Significant and sustained reduction in suicide (Target 14) is worsening.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4694555"/>
                    </a:xfrm>
                    <a:prstGeom prst="rect">
                      <a:avLst/>
                    </a:prstGeom>
                    <a:noFill/>
                    <a:ln>
                      <a:noFill/>
                    </a:ln>
                  </pic:spPr>
                </pic:pic>
              </a:graphicData>
            </a:graphic>
          </wp:inline>
        </w:drawing>
      </w:r>
    </w:p>
    <w:p w14:paraId="04EB46E9" w14:textId="77777777" w:rsidR="00C73DFE" w:rsidRDefault="00C73DFE" w:rsidP="00C73DFE"/>
    <w:p w14:paraId="0846F637" w14:textId="5896E103" w:rsidR="00C73DFE" w:rsidRPr="00C73DFE" w:rsidRDefault="00C73DFE" w:rsidP="00C73DFE">
      <w:pPr>
        <w:sectPr w:rsidR="00C73DFE" w:rsidRPr="00C73DFE" w:rsidSect="00D2368F">
          <w:type w:val="evenPage"/>
          <w:pgSz w:w="11906" w:h="16838" w:code="9"/>
          <w:pgMar w:top="1134" w:right="1134" w:bottom="1134" w:left="1134" w:header="794" w:footer="510" w:gutter="0"/>
          <w:cols w:space="708"/>
          <w:docGrid w:linePitch="360"/>
        </w:sectPr>
      </w:pPr>
    </w:p>
    <w:p w14:paraId="74BA260C" w14:textId="39C5D771" w:rsidR="008E0748" w:rsidRPr="007B3DCE" w:rsidRDefault="00DA3A6B" w:rsidP="002B50F7">
      <w:pPr>
        <w:pStyle w:val="Heading1-nonumber"/>
        <w:pBdr>
          <w:top w:val="single" w:sz="4" w:space="31" w:color="DBDCDE"/>
          <w:left w:val="single" w:sz="4" w:space="26" w:color="DBDCDE"/>
          <w:bottom w:val="single" w:sz="4" w:space="26" w:color="DBDCDE"/>
          <w:right w:val="single" w:sz="4" w:space="26" w:color="DBDCDE"/>
        </w:pBdr>
        <w:shd w:val="clear" w:color="auto" w:fill="854B1F"/>
        <w:rPr>
          <w:color w:val="F4DFD0"/>
        </w:rPr>
      </w:pPr>
      <w:bookmarkStart w:id="23" w:name="_Toc167878547"/>
      <w:bookmarkStart w:id="24" w:name="_Toc170466648"/>
      <w:r w:rsidRPr="007B3DCE">
        <w:rPr>
          <w:color w:val="F4DFD0"/>
        </w:rPr>
        <w:lastRenderedPageBreak/>
        <w:t>2.2</w:t>
      </w:r>
      <w:r w:rsidRPr="007B3DCE">
        <w:rPr>
          <w:color w:val="F4DFD0"/>
        </w:rPr>
        <w:tab/>
      </w:r>
      <w:r w:rsidR="008E0748" w:rsidRPr="007B3DCE">
        <w:rPr>
          <w:color w:val="F4DFD0"/>
        </w:rPr>
        <w:t xml:space="preserve">Families and </w:t>
      </w:r>
      <w:bookmarkEnd w:id="23"/>
      <w:r w:rsidR="70EB9A52" w:rsidRPr="007B3DCE">
        <w:rPr>
          <w:color w:val="F4DFD0"/>
        </w:rPr>
        <w:t>k</w:t>
      </w:r>
      <w:r w:rsidR="006167B5" w:rsidRPr="007B3DCE">
        <w:rPr>
          <w:color w:val="F4DFD0"/>
        </w:rPr>
        <w:t>in</w:t>
      </w:r>
      <w:bookmarkEnd w:id="24"/>
      <w:r w:rsidR="006167B5" w:rsidRPr="007B3DCE">
        <w:rPr>
          <w:color w:val="F4DFD0"/>
        </w:rPr>
        <w:t xml:space="preserve"> </w:t>
      </w:r>
    </w:p>
    <w:p w14:paraId="40627017" w14:textId="73331BEB" w:rsidR="008F26EC" w:rsidRPr="00216127" w:rsidRDefault="008F26EC" w:rsidP="008F26EC">
      <w:pPr>
        <w:rPr>
          <w:rFonts w:ascii="Arial (Body)" w:hAnsi="Arial (Body)" w:cs="Arial"/>
        </w:rPr>
      </w:pPr>
      <w:r w:rsidRPr="00216127">
        <w:rPr>
          <w:rFonts w:ascii="Arial (Body)" w:hAnsi="Arial (Body)" w:cs="Arial"/>
        </w:rPr>
        <w:t>Aboriginal and Torres Strait Islander communities are based on complex kinship systems that influence all aspects of life. Kinship determines</w:t>
      </w:r>
      <w:r w:rsidR="006A6D10" w:rsidRPr="00216127">
        <w:rPr>
          <w:rFonts w:ascii="Arial (Body)" w:hAnsi="Arial (Body)" w:cs="Arial"/>
        </w:rPr>
        <w:t xml:space="preserve"> an</w:t>
      </w:r>
      <w:r w:rsidRPr="00216127">
        <w:rPr>
          <w:rFonts w:ascii="Arial (Body)" w:hAnsi="Arial (Body)" w:cs="Arial"/>
        </w:rPr>
        <w:t xml:space="preserve"> individual</w:t>
      </w:r>
      <w:r w:rsidR="006A6D10" w:rsidRPr="00216127">
        <w:rPr>
          <w:rFonts w:ascii="Arial (Body)" w:hAnsi="Arial (Body)" w:cs="Arial"/>
        </w:rPr>
        <w:t>’s</w:t>
      </w:r>
      <w:r w:rsidRPr="00216127">
        <w:rPr>
          <w:rFonts w:ascii="Arial (Body)" w:hAnsi="Arial (Body)" w:cs="Arial"/>
        </w:rPr>
        <w:t xml:space="preserve"> roles and responsibilities, behaviours and obligations to their family, community and Country. Kinship systems are essential for social and emotional wellbeing, particularly for children (Bourke et al. 2018; Miller et al. 2020). Further, nurturing family environments in childhood lay the foundation for competent and healthy adults who contribute to society and enjoy happy, fulfilling lives (Berger and Font 2015; Pezzullo et al. 2010). Aboriginal and Torres Strait Islander children are largely raised in loving and secure families (Lohoar et al. 2014; Martin 2017).</w:t>
      </w:r>
    </w:p>
    <w:p w14:paraId="1B730437" w14:textId="0311605F" w:rsidR="008F26EC" w:rsidRPr="00216127" w:rsidRDefault="00277E1E" w:rsidP="008F26EC">
      <w:pPr>
        <w:rPr>
          <w:rFonts w:ascii="Arial (Body)" w:hAnsi="Arial (Body)" w:cs="Arial"/>
        </w:rPr>
      </w:pPr>
      <w:r w:rsidRPr="00216127">
        <w:rPr>
          <w:rFonts w:ascii="Arial (Body)" w:hAnsi="Arial (Body)" w:cs="Arial"/>
        </w:rPr>
        <w:t xml:space="preserve">The over-representation of Aboriginal and Torres Strait Islander children in Australia’s child protection system and the </w:t>
      </w:r>
      <w:r w:rsidR="00321681" w:rsidRPr="00216127">
        <w:rPr>
          <w:rFonts w:ascii="Arial (Body)" w:hAnsi="Arial (Body)" w:cs="Arial"/>
        </w:rPr>
        <w:t xml:space="preserve">complex </w:t>
      </w:r>
      <w:r w:rsidRPr="00216127">
        <w:rPr>
          <w:rFonts w:ascii="Arial (Body)" w:hAnsi="Arial (Body)" w:cs="Arial"/>
        </w:rPr>
        <w:t xml:space="preserve">factors that contribute to family violence are </w:t>
      </w:r>
      <w:r w:rsidR="009C4920" w:rsidRPr="00216127">
        <w:rPr>
          <w:rFonts w:ascii="Arial (Body)" w:hAnsi="Arial (Body)" w:cs="Arial"/>
        </w:rPr>
        <w:t>interconnected</w:t>
      </w:r>
      <w:r w:rsidR="00321681" w:rsidRPr="00216127">
        <w:rPr>
          <w:rFonts w:ascii="Arial (Body)" w:hAnsi="Arial (Body)" w:cs="Arial"/>
        </w:rPr>
        <w:t xml:space="preserve"> </w:t>
      </w:r>
      <w:r w:rsidR="009C4920" w:rsidRPr="00216127">
        <w:rPr>
          <w:rFonts w:ascii="Arial (Body)" w:hAnsi="Arial (Body)" w:cs="Arial"/>
        </w:rPr>
        <w:t xml:space="preserve">and </w:t>
      </w:r>
      <w:r w:rsidR="005F2D02" w:rsidRPr="00216127">
        <w:rPr>
          <w:rFonts w:ascii="Arial (Body)" w:hAnsi="Arial (Body)" w:cs="Arial"/>
        </w:rPr>
        <w:t xml:space="preserve">are </w:t>
      </w:r>
      <w:r w:rsidR="00076639" w:rsidRPr="00216127">
        <w:rPr>
          <w:rFonts w:ascii="Arial (Body)" w:hAnsi="Arial (Body)" w:cs="Arial"/>
        </w:rPr>
        <w:t xml:space="preserve">also </w:t>
      </w:r>
      <w:r w:rsidR="005F2D02" w:rsidRPr="00216127">
        <w:rPr>
          <w:rFonts w:ascii="Arial (Body)" w:hAnsi="Arial (Body)" w:cs="Arial"/>
        </w:rPr>
        <w:t>linked</w:t>
      </w:r>
      <w:r w:rsidR="00321681" w:rsidRPr="00216127">
        <w:rPr>
          <w:rFonts w:ascii="Arial (Body)" w:hAnsi="Arial (Body)" w:cs="Arial"/>
        </w:rPr>
        <w:t xml:space="preserve"> to the impact </w:t>
      </w:r>
      <w:r w:rsidR="00CE781A" w:rsidRPr="00216127">
        <w:rPr>
          <w:rFonts w:ascii="Arial (Body)" w:hAnsi="Arial (Body)" w:cs="Arial"/>
        </w:rPr>
        <w:t xml:space="preserve">of </w:t>
      </w:r>
      <w:r w:rsidR="00321681" w:rsidRPr="00216127">
        <w:rPr>
          <w:rFonts w:ascii="Arial (Body)" w:hAnsi="Arial (Body)" w:cs="Arial"/>
        </w:rPr>
        <w:t>colonisation</w:t>
      </w:r>
      <w:r w:rsidR="00CE781A" w:rsidRPr="00216127">
        <w:rPr>
          <w:rFonts w:ascii="Arial (Body)" w:hAnsi="Arial (Body)" w:cs="Arial"/>
        </w:rPr>
        <w:t xml:space="preserve">, </w:t>
      </w:r>
      <w:r w:rsidR="005F2D02" w:rsidRPr="00216127">
        <w:rPr>
          <w:rFonts w:ascii="Arial (Body)" w:hAnsi="Arial (Body)" w:cs="Arial"/>
        </w:rPr>
        <w:t>dispossession</w:t>
      </w:r>
      <w:r w:rsidR="00CE781A" w:rsidRPr="00216127">
        <w:rPr>
          <w:rFonts w:ascii="Arial (Body)" w:hAnsi="Arial (Body)" w:cs="Arial"/>
        </w:rPr>
        <w:t xml:space="preserve"> and cultural dislocation</w:t>
      </w:r>
      <w:r w:rsidR="0010054F" w:rsidRPr="00216127">
        <w:rPr>
          <w:rFonts w:ascii="Arial (Body)" w:hAnsi="Arial (Body)" w:cs="Arial"/>
        </w:rPr>
        <w:t xml:space="preserve"> </w:t>
      </w:r>
      <w:r w:rsidR="00E74C2E" w:rsidRPr="00216127">
        <w:rPr>
          <w:rFonts w:ascii="Arial (Body)" w:hAnsi="Arial (Body)" w:cs="Arial"/>
        </w:rPr>
        <w:t>(SNAICC 2017)</w:t>
      </w:r>
      <w:r w:rsidRPr="00216127">
        <w:rPr>
          <w:rFonts w:ascii="Arial (Body)" w:hAnsi="Arial (Body)" w:cs="Arial"/>
        </w:rPr>
        <w:t>.</w:t>
      </w:r>
      <w:r w:rsidR="008F26EC" w:rsidRPr="00216127">
        <w:rPr>
          <w:rFonts w:ascii="Arial (Body)" w:hAnsi="Arial (Body)" w:cs="Arial"/>
        </w:rPr>
        <w:t xml:space="preserve"> The child protection system today reflects the same grief, trauma and harm associated with government legislation and policies of assimilation and can be detrimental for Aboriginal and Torres Strait Islander child, family and community wellbeing (Menzies 2019). Fear that their children will be removed is a key reason why some Aboriginal and Torres Strait Islander females do not report family violence </w:t>
      </w:r>
      <w:r w:rsidR="00E95E79" w:rsidRPr="00216127">
        <w:rPr>
          <w:rFonts w:ascii="Arial (Body)" w:hAnsi="Arial (Body)" w:cs="Arial"/>
        </w:rPr>
        <w:t>(AIHW 2024b)</w:t>
      </w:r>
      <w:r w:rsidR="008F26EC" w:rsidRPr="00216127">
        <w:rPr>
          <w:rFonts w:ascii="Arial (Body)" w:hAnsi="Arial (Body)" w:cs="Arial"/>
        </w:rPr>
        <w:t xml:space="preserve">. </w:t>
      </w:r>
    </w:p>
    <w:p w14:paraId="26756E00" w14:textId="03E9E31E" w:rsidR="008F26EC" w:rsidRPr="009A0D9F" w:rsidRDefault="008F26EC" w:rsidP="008F26EC">
      <w:pPr>
        <w:rPr>
          <w:rFonts w:ascii="Arial (Body)" w:hAnsi="Arial (Body)" w:cs="Arial"/>
          <w:spacing w:val="2"/>
        </w:rPr>
      </w:pPr>
      <w:r w:rsidRPr="009A0D9F">
        <w:rPr>
          <w:rFonts w:ascii="Arial (Body)" w:hAnsi="Arial (Body)" w:cs="Arial"/>
          <w:spacing w:val="2"/>
        </w:rPr>
        <w:t xml:space="preserve">The child protection system is tied closely with entrances into juvenile justice and adult incarceration </w:t>
      </w:r>
      <w:r w:rsidR="00D901EC" w:rsidRPr="009A0D9F">
        <w:rPr>
          <w:rFonts w:ascii="Arial (Body)" w:hAnsi="Arial (Body)" w:cs="Arial"/>
          <w:spacing w:val="2"/>
        </w:rPr>
        <w:t>(ALRC 2017b; Healing Foundation 2013)</w:t>
      </w:r>
      <w:r w:rsidRPr="009A0D9F">
        <w:rPr>
          <w:rFonts w:ascii="Arial (Body)" w:hAnsi="Arial (Body)" w:cs="Arial"/>
          <w:spacing w:val="2"/>
        </w:rPr>
        <w:t xml:space="preserve">. </w:t>
      </w:r>
      <w:r w:rsidR="00EC422E" w:rsidRPr="009A0D9F">
        <w:rPr>
          <w:rFonts w:ascii="Arial (Body)" w:hAnsi="Arial (Body)" w:cs="Arial"/>
          <w:spacing w:val="2"/>
        </w:rPr>
        <w:t xml:space="preserve">The history of forced </w:t>
      </w:r>
      <w:r w:rsidRPr="009A0D9F">
        <w:rPr>
          <w:rFonts w:ascii="Arial (Body)" w:hAnsi="Arial (Body)" w:cs="Arial"/>
          <w:spacing w:val="2"/>
        </w:rPr>
        <w:t xml:space="preserve">displacement, disenfranchisement and </w:t>
      </w:r>
      <w:r w:rsidR="00EC422E" w:rsidRPr="009A0D9F">
        <w:rPr>
          <w:rFonts w:ascii="Arial (Body)" w:hAnsi="Arial (Body)" w:cs="Arial"/>
          <w:spacing w:val="2"/>
        </w:rPr>
        <w:t>stealing of</w:t>
      </w:r>
      <w:r w:rsidRPr="009A0D9F">
        <w:rPr>
          <w:rFonts w:ascii="Arial (Body)" w:hAnsi="Arial (Body)" w:cs="Arial"/>
          <w:spacing w:val="2"/>
        </w:rPr>
        <w:t xml:space="preserve"> wages have also entrenched disadvantage in housing, employment and health outcomes, contributing to the vulnerability of Aboriginal and Torres Strait Islander families and children today (SNAICC et al. 2023).</w:t>
      </w:r>
    </w:p>
    <w:p w14:paraId="0209BC70" w14:textId="3E74DAC7" w:rsidR="00031EE1" w:rsidRPr="00216127" w:rsidRDefault="008F26EC" w:rsidP="006D4D7C">
      <w:pPr>
        <w:rPr>
          <w:rFonts w:ascii="Arial (Body)" w:hAnsi="Arial (Body)" w:cs="Arial"/>
        </w:rPr>
      </w:pPr>
      <w:r w:rsidRPr="00216127">
        <w:rPr>
          <w:rFonts w:ascii="Arial (Body)" w:hAnsi="Arial (Body)" w:cs="Arial"/>
        </w:rPr>
        <w:t xml:space="preserve">Cultural healing and the restoration of self-determination can assist both individuals and communities to strengthen protective factors and connect to culture, kin and Country (Salmon et al. 2019). This connection, in turn, can build resilience and mitigate further harm </w:t>
      </w:r>
      <w:r w:rsidR="007D1BEF" w:rsidRPr="00216127">
        <w:rPr>
          <w:rFonts w:ascii="Arial (Body)" w:hAnsi="Arial (Body)" w:cs="Arial"/>
        </w:rPr>
        <w:t>(Clark 2000; Walker and Shepherd 2008)</w:t>
      </w:r>
      <w:r w:rsidR="0025768C" w:rsidRPr="00216127">
        <w:rPr>
          <w:rFonts w:ascii="Arial (Body)" w:hAnsi="Arial (Body)" w:cs="Arial"/>
        </w:rPr>
        <w:t>.</w:t>
      </w:r>
    </w:p>
    <w:p w14:paraId="3526B22E" w14:textId="53649A62" w:rsidR="003D5354" w:rsidRPr="007B3DCE" w:rsidRDefault="002B50F7">
      <w:pPr>
        <w:pStyle w:val="NoSpacing"/>
        <w:rPr>
          <w:color w:val="FF00FF"/>
        </w:rPr>
      </w:pPr>
      <w:r w:rsidRPr="007B3DCE">
        <w:rPr>
          <w:color w:val="FF00FF"/>
        </w:rPr>
        <w:br w:type="page"/>
      </w:r>
    </w:p>
    <w:tbl>
      <w:tblPr>
        <w:tblStyle w:val="Boxtable"/>
        <w:tblW w:w="5000" w:type="pct"/>
        <w:tblLook w:val="04A0" w:firstRow="1" w:lastRow="0" w:firstColumn="1" w:lastColumn="0" w:noHBand="0" w:noVBand="1"/>
      </w:tblPr>
      <w:tblGrid>
        <w:gridCol w:w="9638"/>
      </w:tblGrid>
      <w:tr w:rsidR="003D5354" w:rsidRPr="007B3DCE" w14:paraId="781D341C" w14:textId="77777777" w:rsidTr="000C26F0">
        <w:trPr>
          <w:trHeight w:val="476"/>
          <w:tblHeader/>
        </w:trPr>
        <w:tc>
          <w:tcPr>
            <w:tcW w:w="9638" w:type="dxa"/>
            <w:shd w:val="clear" w:color="auto" w:fill="854B1F"/>
            <w:tcMar>
              <w:top w:w="170" w:type="dxa"/>
              <w:left w:w="170" w:type="dxa"/>
              <w:bottom w:w="113" w:type="dxa"/>
              <w:right w:w="170" w:type="dxa"/>
            </w:tcMar>
            <w:vAlign w:val="center"/>
            <w:hideMark/>
          </w:tcPr>
          <w:p w14:paraId="288E59F1" w14:textId="5B746D4C" w:rsidR="003D5354" w:rsidRPr="007B3DCE" w:rsidRDefault="003D5354" w:rsidP="000C26F0">
            <w:pPr>
              <w:pStyle w:val="BoxHeading1"/>
              <w:spacing w:before="0"/>
            </w:pPr>
            <w:bookmarkStart w:id="25" w:name="_Ref78902111"/>
            <w:r w:rsidRPr="007B3DCE">
              <w:rPr>
                <w:color w:val="FFFFFF"/>
              </w:rPr>
              <w:lastRenderedPageBreak/>
              <w:t>Box 2.</w:t>
            </w:r>
            <w:r w:rsidR="008A2457">
              <w:rPr>
                <w:color w:val="FFFFFF"/>
              </w:rPr>
              <w:t>6</w:t>
            </w:r>
            <w:bookmarkEnd w:id="25"/>
            <w:r w:rsidR="00157F02">
              <w:rPr>
                <w:color w:val="FFFFFF"/>
              </w:rPr>
              <w:t xml:space="preserve"> </w:t>
            </w:r>
            <w:r w:rsidRPr="007B3DCE">
              <w:rPr>
                <w:color w:val="FFFFFF"/>
              </w:rPr>
              <w:t>– What data will you find in this section?</w:t>
            </w:r>
          </w:p>
        </w:tc>
      </w:tr>
      <w:tr w:rsidR="003D5354" w:rsidRPr="007B3DCE" w14:paraId="7C46D920" w14:textId="77777777" w:rsidTr="002B50F7">
        <w:tc>
          <w:tcPr>
            <w:tcW w:w="9638" w:type="dxa"/>
            <w:shd w:val="clear" w:color="auto" w:fill="F4DFD0"/>
            <w:tcMar>
              <w:top w:w="28" w:type="dxa"/>
              <w:left w:w="170" w:type="dxa"/>
              <w:bottom w:w="170" w:type="dxa"/>
              <w:right w:w="170" w:type="dxa"/>
            </w:tcMar>
            <w:hideMark/>
          </w:tcPr>
          <w:p w14:paraId="598D9E72" w14:textId="10ADAC9D" w:rsidR="003D5354" w:rsidRPr="00E94CFF" w:rsidRDefault="003D5354" w:rsidP="00A5659E">
            <w:pPr>
              <w:pStyle w:val="ListBullet"/>
              <w:rPr>
                <w:spacing w:val="-4"/>
              </w:rPr>
            </w:pPr>
            <w:r w:rsidRPr="00E94CFF">
              <w:rPr>
                <w:spacing w:val="-4"/>
              </w:rPr>
              <w:t>This section provides a snapshot of the latest data available in 2024 for socio-economic outcomes</w:t>
            </w:r>
            <w:r w:rsidR="003235A7" w:rsidRPr="00E94CFF">
              <w:rPr>
                <w:spacing w:val="-4"/>
              </w:rPr>
              <w:t xml:space="preserve"> </w:t>
            </w:r>
            <w:r w:rsidR="003A55F8" w:rsidRPr="00E94CFF">
              <w:rPr>
                <w:spacing w:val="-4"/>
              </w:rPr>
              <w:t>12</w:t>
            </w:r>
            <w:r w:rsidRPr="00E94CFF">
              <w:rPr>
                <w:spacing w:val="-4"/>
              </w:rPr>
              <w:t xml:space="preserve"> and </w:t>
            </w:r>
            <w:r w:rsidR="003A55F8" w:rsidRPr="00E94CFF">
              <w:rPr>
                <w:spacing w:val="-4"/>
              </w:rPr>
              <w:t>13</w:t>
            </w:r>
            <w:r w:rsidRPr="00E94CFF">
              <w:rPr>
                <w:spacing w:val="-4"/>
              </w:rPr>
              <w:t xml:space="preserve">. </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4DFD0"/>
              <w:tblLook w:val="04A0" w:firstRow="1" w:lastRow="0" w:firstColumn="1" w:lastColumn="0" w:noHBand="0" w:noVBand="1"/>
            </w:tblPr>
            <w:tblGrid>
              <w:gridCol w:w="7058"/>
              <w:gridCol w:w="2013"/>
            </w:tblGrid>
            <w:tr w:rsidR="003D5354" w:rsidRPr="007B3DCE" w14:paraId="6066B2E5" w14:textId="77777777" w:rsidTr="002B50F7">
              <w:trPr>
                <w:trHeight w:val="420"/>
              </w:trPr>
              <w:tc>
                <w:tcPr>
                  <w:tcW w:w="7058" w:type="dxa"/>
                  <w:shd w:val="clear" w:color="auto" w:fill="F4DFD0"/>
                  <w:vAlign w:val="center"/>
                </w:tcPr>
                <w:p w14:paraId="29045E2C" w14:textId="77777777" w:rsidR="003D5354" w:rsidRPr="007B3DCE" w:rsidRDefault="003D5354" w:rsidP="003D5354">
                  <w:pPr>
                    <w:rPr>
                      <w:b/>
                      <w:bCs/>
                    </w:rPr>
                  </w:pPr>
                  <w:r w:rsidRPr="007B3DCE">
                    <w:rPr>
                      <w:b/>
                      <w:bCs/>
                    </w:rPr>
                    <w:t>Outcome</w:t>
                  </w:r>
                </w:p>
              </w:tc>
              <w:tc>
                <w:tcPr>
                  <w:tcW w:w="2013" w:type="dxa"/>
                  <w:shd w:val="clear" w:color="auto" w:fill="F4DFD0"/>
                </w:tcPr>
                <w:p w14:paraId="279D80E6" w14:textId="77777777" w:rsidR="003D5354" w:rsidRPr="007B3DCE" w:rsidRDefault="003D5354" w:rsidP="00397715">
                  <w:pPr>
                    <w:jc w:val="right"/>
                    <w:rPr>
                      <w:b/>
                    </w:rPr>
                  </w:pPr>
                  <w:r w:rsidRPr="007B3DCE">
                    <w:rPr>
                      <w:b/>
                      <w:bCs/>
                    </w:rPr>
                    <w:t>Latest data</w:t>
                  </w:r>
                </w:p>
              </w:tc>
            </w:tr>
            <w:tr w:rsidR="003D5354" w:rsidRPr="007B3DCE" w14:paraId="069479F0" w14:textId="77777777" w:rsidTr="00946D85">
              <w:trPr>
                <w:trHeight w:val="2210"/>
              </w:trPr>
              <w:tc>
                <w:tcPr>
                  <w:tcW w:w="7058" w:type="dxa"/>
                  <w:shd w:val="clear" w:color="auto" w:fill="F4DFD0"/>
                </w:tcPr>
                <w:p w14:paraId="5EE9F5FF" w14:textId="1FDD5596" w:rsidR="003D5354" w:rsidRPr="007B3DCE" w:rsidRDefault="003D5354" w:rsidP="00E86B1C">
                  <w:pPr>
                    <w:spacing w:line="259" w:lineRule="auto"/>
                    <w:jc w:val="both"/>
                  </w:pPr>
                  <w:r w:rsidRPr="007B3DCE">
                    <w:rPr>
                      <w:b/>
                      <w:bCs/>
                    </w:rPr>
                    <w:t xml:space="preserve">Outcome 12: </w:t>
                  </w:r>
                  <w:r w:rsidRPr="007B3DCE">
                    <w:t>Aboriginal and Torres Strait Islander children are not overrepresented in the child protection system</w:t>
                  </w:r>
                </w:p>
                <w:p w14:paraId="508F2CAD" w14:textId="77777777" w:rsidR="003D5354" w:rsidRPr="007B3DCE" w:rsidRDefault="003D5354" w:rsidP="00655495">
                  <w:pPr>
                    <w:pStyle w:val="ListBullet"/>
                    <w:numPr>
                      <w:ilvl w:val="0"/>
                      <w:numId w:val="17"/>
                    </w:numPr>
                    <w:ind w:left="227" w:hanging="227"/>
                  </w:pPr>
                  <w:r w:rsidRPr="007B3DCE">
                    <w:t>Child protection (Target 12)*</w:t>
                  </w:r>
                </w:p>
                <w:p w14:paraId="2A48AA1E" w14:textId="2044BABD" w:rsidR="00B5335B" w:rsidRPr="007B3DCE" w:rsidRDefault="00892320" w:rsidP="00655495">
                  <w:pPr>
                    <w:pStyle w:val="ListBullet"/>
                    <w:numPr>
                      <w:ilvl w:val="0"/>
                      <w:numId w:val="17"/>
                    </w:numPr>
                    <w:ind w:left="227" w:hanging="227"/>
                  </w:pPr>
                  <w:r>
                    <w:t>O</w:t>
                  </w:r>
                  <w:r w:rsidR="00B5335B">
                    <w:t>ut-of-home care</w:t>
                  </w:r>
                  <w:r>
                    <w:t xml:space="preserve"> (12b)*</w:t>
                  </w:r>
                  <w:r w:rsidR="001B3386">
                    <w:t>**</w:t>
                  </w:r>
                </w:p>
                <w:p w14:paraId="1FB1B80D" w14:textId="77777777" w:rsidR="003D5354" w:rsidRPr="007B3DCE" w:rsidRDefault="003D5354" w:rsidP="00655495">
                  <w:pPr>
                    <w:pStyle w:val="ListBullet"/>
                    <w:numPr>
                      <w:ilvl w:val="0"/>
                      <w:numId w:val="17"/>
                    </w:numPr>
                    <w:ind w:left="227" w:hanging="227"/>
                  </w:pPr>
                  <w:r w:rsidRPr="007B3DCE">
                    <w:t>Application of the Aboriginal and Torres Strait Islander Child Placement Principle (12e)**</w:t>
                  </w:r>
                </w:p>
                <w:p w14:paraId="7B639C95" w14:textId="2B33D095" w:rsidR="003D5354" w:rsidRPr="007B3DCE" w:rsidRDefault="003D5354" w:rsidP="00655495">
                  <w:pPr>
                    <w:pStyle w:val="ListBullet"/>
                    <w:numPr>
                      <w:ilvl w:val="0"/>
                      <w:numId w:val="17"/>
                    </w:numPr>
                    <w:ind w:left="227" w:hanging="227"/>
                  </w:pPr>
                  <w:r w:rsidRPr="007B3DCE">
                    <w:t>Rates of substantiation by type of abuse (12m)*</w:t>
                  </w:r>
                </w:p>
              </w:tc>
              <w:tc>
                <w:tcPr>
                  <w:tcW w:w="2013" w:type="dxa"/>
                  <w:shd w:val="clear" w:color="auto" w:fill="F4DFD0"/>
                </w:tcPr>
                <w:p w14:paraId="164F7253" w14:textId="77777777" w:rsidR="0033303D" w:rsidRDefault="0033303D" w:rsidP="00946D85">
                  <w:pPr>
                    <w:spacing w:after="240" w:line="240" w:lineRule="auto"/>
                    <w:jc w:val="right"/>
                  </w:pPr>
                </w:p>
                <w:p w14:paraId="2F166FFC" w14:textId="77777777" w:rsidR="00F84593" w:rsidRPr="00F84593" w:rsidRDefault="00F84593" w:rsidP="00397715">
                  <w:pPr>
                    <w:spacing w:line="240" w:lineRule="auto"/>
                    <w:jc w:val="right"/>
                    <w:rPr>
                      <w:sz w:val="4"/>
                      <w:szCs w:val="4"/>
                    </w:rPr>
                  </w:pPr>
                </w:p>
                <w:p w14:paraId="43DE1F9D" w14:textId="77777777" w:rsidR="003D5354" w:rsidRDefault="003D5354" w:rsidP="00FE03E1">
                  <w:pPr>
                    <w:spacing w:after="0" w:line="288" w:lineRule="auto"/>
                    <w:contextualSpacing/>
                    <w:jc w:val="right"/>
                  </w:pPr>
                  <w:r w:rsidRPr="007B3DCE">
                    <w:t>2023</w:t>
                  </w:r>
                </w:p>
                <w:p w14:paraId="789F9E3A" w14:textId="490FE17E" w:rsidR="002F0428" w:rsidRDefault="00CE7142" w:rsidP="00FE03E1">
                  <w:pPr>
                    <w:spacing w:after="0" w:line="288" w:lineRule="auto"/>
                    <w:contextualSpacing/>
                    <w:jc w:val="right"/>
                  </w:pPr>
                  <w:r>
                    <w:t>2023</w:t>
                  </w:r>
                </w:p>
                <w:p w14:paraId="212D0EC5" w14:textId="159FC240" w:rsidR="00CE7142" w:rsidRDefault="00CE7142" w:rsidP="00FE03E1">
                  <w:pPr>
                    <w:spacing w:after="0" w:line="288" w:lineRule="auto"/>
                    <w:contextualSpacing/>
                    <w:jc w:val="right"/>
                  </w:pPr>
                  <w:r>
                    <w:t>2023</w:t>
                  </w:r>
                </w:p>
                <w:p w14:paraId="40878A89" w14:textId="77777777" w:rsidR="00946D85" w:rsidRDefault="00946D85" w:rsidP="00FE03E1">
                  <w:pPr>
                    <w:spacing w:after="0" w:line="288" w:lineRule="auto"/>
                    <w:contextualSpacing/>
                  </w:pPr>
                </w:p>
                <w:p w14:paraId="377B0C52" w14:textId="3610E0A9" w:rsidR="003D5354" w:rsidRPr="007B3DCE" w:rsidRDefault="001715A0" w:rsidP="00BC1FC7">
                  <w:pPr>
                    <w:spacing w:before="240" w:after="0" w:line="360" w:lineRule="auto"/>
                    <w:contextualSpacing/>
                    <w:jc w:val="right"/>
                  </w:pPr>
                  <w:r>
                    <w:t>2022-23</w:t>
                  </w:r>
                </w:p>
              </w:tc>
            </w:tr>
            <w:tr w:rsidR="003D5354" w:rsidRPr="007B3DCE" w14:paraId="78D28A28" w14:textId="77777777" w:rsidTr="002B50F7">
              <w:trPr>
                <w:trHeight w:val="300"/>
              </w:trPr>
              <w:tc>
                <w:tcPr>
                  <w:tcW w:w="7058" w:type="dxa"/>
                  <w:shd w:val="clear" w:color="auto" w:fill="F4DFD0"/>
                </w:tcPr>
                <w:p w14:paraId="09169EFE" w14:textId="0E37783D" w:rsidR="003D5354" w:rsidRPr="007B3DCE" w:rsidRDefault="003D5354" w:rsidP="00E86B1C">
                  <w:pPr>
                    <w:jc w:val="both"/>
                  </w:pPr>
                  <w:r w:rsidRPr="007B3DCE">
                    <w:rPr>
                      <w:b/>
                      <w:bCs/>
                    </w:rPr>
                    <w:t>Outcome 13:</w:t>
                  </w:r>
                  <w:r w:rsidRPr="007B3DCE">
                    <w:t xml:space="preserve"> Aboriginal and Torres Strait Islander families and households are safe</w:t>
                  </w:r>
                </w:p>
                <w:p w14:paraId="43DE2F98" w14:textId="77777777" w:rsidR="003D5354" w:rsidRPr="007B3DCE" w:rsidRDefault="003D5354" w:rsidP="00655495">
                  <w:pPr>
                    <w:pStyle w:val="ListBullet"/>
                    <w:numPr>
                      <w:ilvl w:val="0"/>
                      <w:numId w:val="17"/>
                    </w:numPr>
                    <w:ind w:left="227" w:hanging="227"/>
                  </w:pPr>
                  <w:r w:rsidRPr="007B3DCE">
                    <w:t>Family safety (Target 13)</w:t>
                  </w:r>
                </w:p>
                <w:p w14:paraId="0859FE76" w14:textId="2CCBAD63" w:rsidR="003D5354" w:rsidRPr="007B3DCE" w:rsidRDefault="003D5354" w:rsidP="00655495">
                  <w:pPr>
                    <w:pStyle w:val="ListBullet"/>
                    <w:numPr>
                      <w:ilvl w:val="0"/>
                      <w:numId w:val="17"/>
                    </w:numPr>
                    <w:ind w:left="227" w:hanging="227"/>
                  </w:pPr>
                  <w:r w:rsidRPr="007B3DCE">
                    <w:t>Hospitalisations for family violence (13h)</w:t>
                  </w:r>
                  <w:r w:rsidR="003235A7">
                    <w:t>*</w:t>
                  </w:r>
                  <w:r w:rsidRPr="007B3DCE">
                    <w:t>*</w:t>
                  </w:r>
                </w:p>
              </w:tc>
              <w:tc>
                <w:tcPr>
                  <w:tcW w:w="2013" w:type="dxa"/>
                  <w:shd w:val="clear" w:color="auto" w:fill="F4DFD0"/>
                </w:tcPr>
                <w:p w14:paraId="6214CBA9" w14:textId="77777777" w:rsidR="00D873CB" w:rsidRDefault="00D873CB" w:rsidP="00BC1FC7">
                  <w:pPr>
                    <w:spacing w:before="0" w:after="0" w:line="20" w:lineRule="atLeast"/>
                    <w:contextualSpacing/>
                    <w:jc w:val="right"/>
                  </w:pPr>
                </w:p>
                <w:p w14:paraId="77AE7F1B" w14:textId="77777777" w:rsidR="00D873CB" w:rsidRDefault="00D873CB" w:rsidP="00BC1FC7">
                  <w:pPr>
                    <w:spacing w:before="0" w:after="0" w:line="20" w:lineRule="atLeast"/>
                    <w:contextualSpacing/>
                    <w:jc w:val="right"/>
                  </w:pPr>
                </w:p>
                <w:p w14:paraId="059D2E53" w14:textId="77777777" w:rsidR="00D873CB" w:rsidRDefault="00D873CB" w:rsidP="00BC1FC7">
                  <w:pPr>
                    <w:spacing w:before="0" w:after="360" w:line="20" w:lineRule="atLeast"/>
                    <w:contextualSpacing/>
                    <w:jc w:val="right"/>
                  </w:pPr>
                </w:p>
                <w:p w14:paraId="01F75CAB" w14:textId="77777777" w:rsidR="001A6346" w:rsidRDefault="001A6346" w:rsidP="00BC1FC7">
                  <w:pPr>
                    <w:spacing w:before="0" w:after="0" w:line="20" w:lineRule="atLeast"/>
                    <w:contextualSpacing/>
                    <w:jc w:val="right"/>
                  </w:pPr>
                </w:p>
                <w:p w14:paraId="5AE4DF1F" w14:textId="02A7FF3C" w:rsidR="0099168F" w:rsidRDefault="003D5354" w:rsidP="00BC1FC7">
                  <w:pPr>
                    <w:spacing w:before="240" w:after="0" w:line="240" w:lineRule="auto"/>
                    <w:contextualSpacing/>
                    <w:jc w:val="right"/>
                  </w:pPr>
                  <w:r w:rsidRPr="007B3DCE">
                    <w:t>2018-</w:t>
                  </w:r>
                  <w:r w:rsidR="0099168F">
                    <w:t>19</w:t>
                  </w:r>
                </w:p>
                <w:p w14:paraId="7F83A80A" w14:textId="77E4012C" w:rsidR="003D5354" w:rsidRPr="007B3DCE" w:rsidRDefault="00301057" w:rsidP="00397715">
                  <w:pPr>
                    <w:spacing w:before="0" w:after="0" w:line="240" w:lineRule="auto"/>
                    <w:contextualSpacing/>
                    <w:jc w:val="right"/>
                  </w:pPr>
                  <w:r>
                    <w:t>2021-</w:t>
                  </w:r>
                  <w:r w:rsidR="003D5354" w:rsidRPr="007B3DCE">
                    <w:t>22</w:t>
                  </w:r>
                </w:p>
              </w:tc>
            </w:tr>
          </w:tbl>
          <w:p w14:paraId="05DFF857" w14:textId="396C08FF" w:rsidR="003D5354" w:rsidRPr="007B3DCE" w:rsidRDefault="003D5354">
            <w:pPr>
              <w:pStyle w:val="Source"/>
            </w:pPr>
          </w:p>
        </w:tc>
      </w:tr>
      <w:tr w:rsidR="00F813F1" w:rsidRPr="007B3DCE" w14:paraId="1B02FEA4" w14:textId="77777777" w:rsidTr="002B50F7">
        <w:tc>
          <w:tcPr>
            <w:tcW w:w="9638" w:type="dxa"/>
            <w:shd w:val="clear" w:color="auto" w:fill="F4DFD0"/>
            <w:tcMar>
              <w:top w:w="28" w:type="dxa"/>
              <w:left w:w="170" w:type="dxa"/>
              <w:bottom w:w="170" w:type="dxa"/>
              <w:right w:w="170" w:type="dxa"/>
            </w:tcMar>
          </w:tcPr>
          <w:p w14:paraId="1B3352FA" w14:textId="03890D82" w:rsidR="00F813F1" w:rsidRPr="007B3DCE" w:rsidRDefault="00F813F1" w:rsidP="00F813F1">
            <w:pPr>
              <w:pStyle w:val="Note"/>
            </w:pPr>
            <w:r w:rsidRPr="007B3DCE">
              <w:t>Note</w:t>
            </w:r>
            <w:r>
              <w:t>s</w:t>
            </w:r>
            <w:r w:rsidRPr="007B3DCE">
              <w:t>:</w:t>
            </w:r>
            <w:r>
              <w:t xml:space="preserve"> </w:t>
            </w:r>
            <w:r w:rsidRPr="007B3DCE">
              <w:t xml:space="preserve">* </w:t>
            </w:r>
            <w:r w:rsidR="002C0066">
              <w:t>I</w:t>
            </w:r>
            <w:r w:rsidR="002C0066" w:rsidRPr="002C0066">
              <w:t>ndicates where a new year of data has been published since the 2023 ADCR</w:t>
            </w:r>
            <w:r>
              <w:rPr>
                <w:rFonts w:cs="Open Sans"/>
                <w:color w:val="000000"/>
              </w:rPr>
              <w:t xml:space="preserve">. </w:t>
            </w:r>
            <w:r w:rsidRPr="007B3DCE">
              <w:t>**</w:t>
            </w:r>
            <w:r w:rsidR="002C0066">
              <w:t xml:space="preserve"> I</w:t>
            </w:r>
            <w:r w:rsidR="002C0066" w:rsidRPr="002C0066">
              <w:t>ndicates a new supporting indicator since the 2023 ADCR</w:t>
            </w:r>
            <w:r w:rsidR="002C0066">
              <w:t xml:space="preserve">. </w:t>
            </w:r>
            <w:r w:rsidR="001B3386">
              <w:rPr>
                <w:rFonts w:cs="Open Sans"/>
                <w:color w:val="000000"/>
              </w:rPr>
              <w:t xml:space="preserve">*** </w:t>
            </w:r>
            <w:r w:rsidR="00495E7E" w:rsidRPr="00495E7E">
              <w:rPr>
                <w:rFonts w:cs="Open Sans"/>
                <w:color w:val="000000"/>
              </w:rPr>
              <w:t>Indicates a new year of data but see dashboard for further details</w:t>
            </w:r>
            <w:r w:rsidR="001B3386">
              <w:rPr>
                <w:rFonts w:cs="Open Sans"/>
                <w:color w:val="000000"/>
              </w:rPr>
              <w:t>.</w:t>
            </w:r>
            <w:r w:rsidR="00495E7E">
              <w:rPr>
                <w:rFonts w:cs="Open Sans"/>
                <w:color w:val="000000"/>
              </w:rPr>
              <w:t xml:space="preserve"> Data considerations are provided in box 2.8 in this section.</w:t>
            </w:r>
          </w:p>
        </w:tc>
      </w:tr>
      <w:tr w:rsidR="003D5354" w:rsidRPr="007B3DCE" w14:paraId="5B47B175" w14:textId="77777777">
        <w:trPr>
          <w:hidden/>
        </w:trPr>
        <w:tc>
          <w:tcPr>
            <w:tcW w:w="9638" w:type="dxa"/>
            <w:shd w:val="clear" w:color="auto" w:fill="auto"/>
            <w:tcMar>
              <w:top w:w="0" w:type="dxa"/>
              <w:left w:w="170" w:type="dxa"/>
              <w:bottom w:w="0" w:type="dxa"/>
              <w:right w:w="170" w:type="dxa"/>
            </w:tcMar>
          </w:tcPr>
          <w:p w14:paraId="45049151" w14:textId="77777777" w:rsidR="003D5354" w:rsidRPr="007B3DCE" w:rsidRDefault="003D5354">
            <w:pPr>
              <w:pStyle w:val="BodyText"/>
              <w:spacing w:before="0" w:after="0" w:line="80" w:lineRule="atLeast"/>
              <w:rPr>
                <w:smallCaps/>
                <w:vanish/>
              </w:rPr>
            </w:pPr>
            <w:r w:rsidRPr="007B3DCE">
              <w:rPr>
                <w:smallCaps/>
                <w:vanish/>
                <w:color w:val="FF00FF"/>
              </w:rPr>
              <w:t>Used for spacing, do not delete</w:t>
            </w:r>
          </w:p>
        </w:tc>
      </w:tr>
    </w:tbl>
    <w:p w14:paraId="20E03BF3" w14:textId="6EDCA78E" w:rsidR="00EE5A7B" w:rsidRPr="007B3DCE" w:rsidRDefault="00EE5A7B" w:rsidP="003C30C1">
      <w:pPr>
        <w:pStyle w:val="Heading3"/>
        <w:rPr>
          <w:color w:val="854B1F"/>
        </w:rPr>
      </w:pPr>
      <w:bookmarkStart w:id="26" w:name="_Toc167878548"/>
      <w:r w:rsidRPr="007B3DCE">
        <w:rPr>
          <w:color w:val="854B1F"/>
        </w:rPr>
        <w:t>Outcome 12</w:t>
      </w:r>
      <w:r w:rsidR="002F3D7A" w:rsidRPr="007B3DCE">
        <w:rPr>
          <w:color w:val="854B1F"/>
        </w:rPr>
        <w:t xml:space="preserve">: </w:t>
      </w:r>
      <w:r w:rsidRPr="007B3DCE">
        <w:rPr>
          <w:color w:val="854B1F"/>
        </w:rPr>
        <w:t>Aboriginal and Torres Strait Islander children are not overrepresented in the child protection system</w:t>
      </w:r>
      <w:bookmarkEnd w:id="26"/>
    </w:p>
    <w:p w14:paraId="3917F265" w14:textId="30499AE6" w:rsidR="006C664F" w:rsidRPr="00422E04" w:rsidRDefault="00EE5A7B" w:rsidP="00422E04">
      <w:pPr>
        <w:pStyle w:val="Heading4"/>
        <w:rPr>
          <w:color w:val="AC411A" w:themeColor="accent4" w:themeShade="BF"/>
        </w:rPr>
      </w:pPr>
      <w:r w:rsidRPr="007B3DCE">
        <w:rPr>
          <w:color w:val="AC411A" w:themeColor="accent4" w:themeShade="BF"/>
        </w:rPr>
        <w:t>The rate of Aboriginal and Torres Strait Islander children in out-of-home care is increasing and the target is not on track to be met</w:t>
      </w:r>
      <w:r w:rsidR="00B7204D">
        <w:rPr>
          <w:color w:val="AC411A" w:themeColor="accent4" w:themeShade="BF"/>
        </w:rPr>
        <w:t xml:space="preserve"> by 2031</w:t>
      </w:r>
    </w:p>
    <w:p w14:paraId="071BF742" w14:textId="7B23CEF2" w:rsidR="00BD5589" w:rsidRPr="00B960D8" w:rsidRDefault="00602747" w:rsidP="00F71D9B">
      <w:pPr>
        <w:pStyle w:val="BodyText"/>
        <w:rPr>
          <w:rStyle w:val="DraftingNoteChar"/>
        </w:rPr>
      </w:pPr>
      <w:r>
        <w:t xml:space="preserve">The target of </w:t>
      </w:r>
      <w:r w:rsidR="00F57CD0">
        <w:t xml:space="preserve">reducing the rate of </w:t>
      </w:r>
      <w:r w:rsidR="00E8398E">
        <w:t xml:space="preserve">overrepresentation of Aboriginal and Torres Strait Islander </w:t>
      </w:r>
      <w:r>
        <w:t xml:space="preserve">children in </w:t>
      </w:r>
      <w:r w:rsidR="00A0597D">
        <w:br/>
      </w:r>
      <w:r>
        <w:t xml:space="preserve">out-of-home care </w:t>
      </w:r>
      <w:r w:rsidR="00541960">
        <w:t>by 45% by 2031</w:t>
      </w:r>
      <w:r>
        <w:t xml:space="preserve"> is not on track to be met. </w:t>
      </w:r>
      <w:r w:rsidR="00BD5589" w:rsidRPr="00216127">
        <w:rPr>
          <w:rFonts w:ascii="Arial (Body)" w:eastAsia="Arial" w:hAnsi="Arial (Body)" w:cs="Arial"/>
        </w:rPr>
        <w:t>Aboriginal and Torres Strait Islander children remain overrepresented in the child protection system. In 2023, 57.2 per 1,000 Aboriginal and Torres Strait Islander children aged 0</w:t>
      </w:r>
      <w:r w:rsidR="00BD5589" w:rsidRPr="00A976DC">
        <w:rPr>
          <w:lang w:eastAsia="en-AU"/>
        </w:rPr>
        <w:t>–</w:t>
      </w:r>
      <w:r w:rsidR="00BD5589" w:rsidRPr="00216127">
        <w:rPr>
          <w:rFonts w:ascii="Arial (Body)" w:eastAsia="Arial" w:hAnsi="Arial (Body)" w:cs="Arial"/>
        </w:rPr>
        <w:t xml:space="preserve">17 years were placed in out-of-home care (figure 2.10). While this shows an improvement for Aboriginal and Torres Strait Islander children since 2021 </w:t>
      </w:r>
      <w:r w:rsidR="00BD5589" w:rsidRPr="183AAD4F">
        <w:rPr>
          <w:rFonts w:eastAsia="Arial"/>
        </w:rPr>
        <w:t>(</w:t>
      </w:r>
      <w:r w:rsidR="00BD5589" w:rsidRPr="183AAD4F">
        <w:t>57.6 per 1,000 children)</w:t>
      </w:r>
      <w:r w:rsidR="00BD5589" w:rsidRPr="183AAD4F">
        <w:rPr>
          <w:rFonts w:eastAsia="Arial"/>
        </w:rPr>
        <w:t>,</w:t>
      </w:r>
      <w:r w:rsidR="00BD5589" w:rsidRPr="00216127">
        <w:rPr>
          <w:rFonts w:ascii="Arial (Body)" w:eastAsia="Arial" w:hAnsi="Arial (Body)" w:cs="Arial"/>
        </w:rPr>
        <w:t xml:space="preserve"> the rate of Aboriginal and Torres Strait Islander children in out</w:t>
      </w:r>
      <w:r w:rsidR="00BD5589" w:rsidRPr="00216127">
        <w:rPr>
          <w:rFonts w:ascii="Arial (Body)" w:eastAsia="Arial" w:hAnsi="Arial (Body)" w:cs="Arial"/>
        </w:rPr>
        <w:noBreakHyphen/>
        <w:t>of</w:t>
      </w:r>
      <w:r w:rsidR="00BD5589" w:rsidRPr="00216127">
        <w:rPr>
          <w:rFonts w:ascii="Arial (Body)" w:eastAsia="Arial" w:hAnsi="Arial (Body)" w:cs="Arial"/>
        </w:rPr>
        <w:noBreakHyphen/>
        <w:t>home care has worsened since the baseline year</w:t>
      </w:r>
      <w:r w:rsidR="00BD5589" w:rsidRPr="183AAD4F">
        <w:t xml:space="preserve"> </w:t>
      </w:r>
      <w:r w:rsidR="00BD5589">
        <w:t>(</w:t>
      </w:r>
      <w:r w:rsidR="00BD5589" w:rsidRPr="183AAD4F">
        <w:t>2019</w:t>
      </w:r>
      <w:r w:rsidR="00BD5589">
        <w:t>)</w:t>
      </w:r>
      <w:r w:rsidR="00BD5589" w:rsidRPr="183AAD4F">
        <w:t xml:space="preserve"> (54.2 per 1,000</w:t>
      </w:r>
      <w:r w:rsidR="00BD5589">
        <w:t xml:space="preserve"> children</w:t>
      </w:r>
      <w:r w:rsidR="00BD5589" w:rsidRPr="183AAD4F">
        <w:t>)</w:t>
      </w:r>
      <w:r w:rsidR="003C59DA">
        <w:t>.</w:t>
      </w:r>
    </w:p>
    <w:p w14:paraId="184B059A" w14:textId="429555E4" w:rsidR="003D5354" w:rsidRPr="007B3DCE" w:rsidRDefault="003D5354">
      <w:pPr>
        <w:pStyle w:val="FigureTableHeading"/>
        <w:rPr>
          <w:color w:val="854B1F"/>
        </w:rPr>
      </w:pPr>
      <w:r w:rsidRPr="007B3DCE">
        <w:rPr>
          <w:color w:val="854B1F"/>
        </w:rPr>
        <w:lastRenderedPageBreak/>
        <w:t>Figure 2.</w:t>
      </w:r>
      <w:r w:rsidR="0036545D" w:rsidRPr="000C26F0">
        <w:rPr>
          <w:color w:val="854B1F"/>
        </w:rPr>
        <w:t>10</w:t>
      </w:r>
      <w:r w:rsidRPr="007B3DCE">
        <w:rPr>
          <w:color w:val="854B1F"/>
        </w:rPr>
        <w:t xml:space="preserve"> – Children in out-of-home care, nationally</w:t>
      </w:r>
      <w:r w:rsidRPr="007B3DCE">
        <w:rPr>
          <w:color w:val="854B1F"/>
          <w:vertAlign w:val="superscript"/>
        </w:rPr>
        <w:t xml:space="preserve">a </w:t>
      </w:r>
    </w:p>
    <w:p w14:paraId="6BF02890" w14:textId="2F0B6555" w:rsidR="1E30CC77" w:rsidRDefault="1E30CC77" w:rsidP="003C30C1">
      <w:pPr>
        <w:pStyle w:val="FigureTableSubheading"/>
        <w:rPr>
          <w:color w:val="AC411A" w:themeColor="accent4" w:themeShade="BF"/>
        </w:rPr>
      </w:pPr>
      <w:r w:rsidRPr="007B3DCE">
        <w:rPr>
          <w:color w:val="AC411A" w:themeColor="accent4" w:themeShade="BF"/>
        </w:rPr>
        <w:t>Rate of Aboriginal and Torres Strait Islander children aged 0</w:t>
      </w:r>
      <w:r w:rsidR="00C61BBC" w:rsidRPr="007B3DCE">
        <w:rPr>
          <w:color w:val="AC411A" w:themeColor="accent4" w:themeShade="BF"/>
        </w:rPr>
        <w:t>–</w:t>
      </w:r>
      <w:r w:rsidRPr="007B3DCE">
        <w:rPr>
          <w:color w:val="AC411A" w:themeColor="accent4" w:themeShade="BF"/>
        </w:rPr>
        <w:t xml:space="preserve">17 </w:t>
      </w:r>
      <w:r w:rsidR="00DB6787">
        <w:rPr>
          <w:color w:val="AC411A" w:themeColor="accent4" w:themeShade="BF"/>
        </w:rPr>
        <w:t xml:space="preserve">years </w:t>
      </w:r>
      <w:r w:rsidRPr="007B3DCE">
        <w:rPr>
          <w:color w:val="AC411A" w:themeColor="accent4" w:themeShade="BF"/>
        </w:rPr>
        <w:t>in out</w:t>
      </w:r>
      <w:r w:rsidR="00A0597D">
        <w:rPr>
          <w:color w:val="AC411A" w:themeColor="accent4" w:themeShade="BF"/>
        </w:rPr>
        <w:t>-</w:t>
      </w:r>
      <w:r w:rsidRPr="007B3DCE">
        <w:rPr>
          <w:color w:val="AC411A" w:themeColor="accent4" w:themeShade="BF"/>
        </w:rPr>
        <w:t>of</w:t>
      </w:r>
      <w:r w:rsidR="00A0597D">
        <w:rPr>
          <w:color w:val="AC411A" w:themeColor="accent4" w:themeShade="BF"/>
        </w:rPr>
        <w:t>-</w:t>
      </w:r>
      <w:r w:rsidRPr="007B3DCE">
        <w:rPr>
          <w:color w:val="AC411A" w:themeColor="accent4" w:themeShade="BF"/>
        </w:rPr>
        <w:t>home care</w:t>
      </w:r>
      <w:r w:rsidR="4CDF27BF" w:rsidRPr="007B3DCE">
        <w:rPr>
          <w:color w:val="AC411A" w:themeColor="accent4" w:themeShade="BF"/>
        </w:rPr>
        <w:t xml:space="preserve"> per 1,000 children</w:t>
      </w:r>
    </w:p>
    <w:p w14:paraId="20D1D978" w14:textId="69747C31" w:rsidR="00F81E9E" w:rsidRPr="00162A6A" w:rsidRDefault="009E75C4" w:rsidP="00162A6A">
      <w:pPr>
        <w:pStyle w:val="FigureTableSubheading"/>
        <w:rPr>
          <w:color w:val="AC411A" w:themeColor="accent4" w:themeShade="BF"/>
        </w:rPr>
      </w:pPr>
      <w:r w:rsidRPr="009E75C4">
        <w:rPr>
          <w:noProof/>
        </w:rPr>
        <w:drawing>
          <wp:inline distT="0" distB="0" distL="0" distR="0" wp14:anchorId="52BA61A5" wp14:editId="4A889294">
            <wp:extent cx="6120130" cy="2670048"/>
            <wp:effectExtent l="0" t="0" r="0" b="0"/>
            <wp:docPr id="1676167800" name="Picture 188" descr="Figure 2.10 is a line chart that shows the rate of Aboriginal and Torres Strait Islander children aged 0-17 in out-of-home care per 1,000 children from 2019 to 2023, with projections to 2031. The chart includes actual rates, linear regression estimates, and a target line. The actual rates remain relatively stable with a slight decrease over time, while the projections indicate a potential decline if current trends continue. The shaded area represents 95% confidence intervals for the linear regression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67800" name="Picture 188" descr="Figure 2.10 is a line chart that shows the rate of Aboriginal and Torres Strait Islander children aged 0-17 in out-of-home care per 1,000 children from 2019 to 2023, with projections to 2031. The chart includes actual rates, linear regression estimates, and a target line. The actual rates remain relatively stable with a slight decrease over time, while the projections indicate a potential decline if current trends continue. The shaded area represents 95% confidence intervals for the linear regression estimates."/>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5870"/>
                    <a:stretch/>
                  </pic:blipFill>
                  <pic:spPr bwMode="auto">
                    <a:xfrm>
                      <a:off x="0" y="0"/>
                      <a:ext cx="6120130" cy="2670048"/>
                    </a:xfrm>
                    <a:prstGeom prst="rect">
                      <a:avLst/>
                    </a:prstGeom>
                    <a:noFill/>
                    <a:ln>
                      <a:noFill/>
                    </a:ln>
                    <a:extLst>
                      <a:ext uri="{53640926-AAD7-44D8-BBD7-CCE9431645EC}">
                        <a14:shadowObscured xmlns:a14="http://schemas.microsoft.com/office/drawing/2010/main"/>
                      </a:ext>
                    </a:extLst>
                  </pic:spPr>
                </pic:pic>
              </a:graphicData>
            </a:graphic>
          </wp:inline>
        </w:drawing>
      </w:r>
    </w:p>
    <w:p w14:paraId="2826ED22" w14:textId="1F97F3B4" w:rsidR="005B6B54" w:rsidRPr="007B3DCE" w:rsidRDefault="00E53D27" w:rsidP="00F81E9E">
      <w:pPr>
        <w:pStyle w:val="Note"/>
      </w:pPr>
      <w:r w:rsidRPr="007B3DCE">
        <w:rPr>
          <w:b/>
          <w:bCs/>
        </w:rPr>
        <w:t>a.</w:t>
      </w:r>
      <w:r w:rsidR="005B6B54" w:rsidRPr="007B3DCE">
        <w:rPr>
          <w:b/>
          <w:bCs/>
        </w:rPr>
        <w:t xml:space="preserve"> </w:t>
      </w:r>
      <w:r w:rsidR="00101271" w:rsidRPr="007B3DCE">
        <w:t>T</w:t>
      </w:r>
      <w:r w:rsidR="005B6B54" w:rsidRPr="007B3DCE">
        <w:t>he shaded area represents 95% confidence intervals for the linear regression estimates.</w:t>
      </w:r>
    </w:p>
    <w:p w14:paraId="6AFB280D" w14:textId="7433D0D8" w:rsidR="00E53D27" w:rsidRPr="006E44FF" w:rsidRDefault="006E44FF" w:rsidP="006E44FF">
      <w:pPr>
        <w:pStyle w:val="Source"/>
      </w:pPr>
      <w:r>
        <w:t>Source: Derived from state and territory governments (unpublished); ABS Estimates and Projections Aboriginal and Torres Strait Islander Australians</w:t>
      </w:r>
    </w:p>
    <w:p w14:paraId="0508BC37" w14:textId="1B24567E" w:rsidR="008E2463" w:rsidRPr="000C26F0" w:rsidRDefault="001F7F13" w:rsidP="00E51A51">
      <w:pPr>
        <w:pStyle w:val="Heading5"/>
        <w:rPr>
          <w:bCs/>
          <w:color w:val="732B11" w:themeColor="accent4" w:themeShade="80"/>
          <w:lang w:eastAsia="en-AU"/>
        </w:rPr>
      </w:pPr>
      <w:r w:rsidRPr="000C26F0">
        <w:rPr>
          <w:color w:val="732B11" w:themeColor="accent4" w:themeShade="80"/>
          <w:lang w:eastAsia="en-AU"/>
        </w:rPr>
        <w:t>Increase</w:t>
      </w:r>
      <w:r w:rsidR="0022561F" w:rsidRPr="000C26F0">
        <w:rPr>
          <w:color w:val="732B11" w:themeColor="accent4" w:themeShade="80"/>
          <w:lang w:eastAsia="en-AU"/>
        </w:rPr>
        <w:t>d out-of-home care rates for children aged 5 to 17</w:t>
      </w:r>
    </w:p>
    <w:p w14:paraId="61C50E20" w14:textId="45CC9758" w:rsidR="00A14FD3" w:rsidRPr="00E22491" w:rsidRDefault="0081137F" w:rsidP="419BA54F">
      <w:pPr>
        <w:pStyle w:val="BodyText"/>
        <w:rPr>
          <w:lang w:eastAsia="en-AU"/>
        </w:rPr>
      </w:pPr>
      <w:r w:rsidRPr="00E22491">
        <w:rPr>
          <w:lang w:eastAsia="en-AU"/>
        </w:rPr>
        <w:t>T</w:t>
      </w:r>
      <w:r w:rsidR="00EE5A7B" w:rsidRPr="00E22491">
        <w:rPr>
          <w:lang w:eastAsia="en-AU"/>
        </w:rPr>
        <w:t>he</w:t>
      </w:r>
      <w:r w:rsidR="00C46335" w:rsidRPr="00E22491">
        <w:rPr>
          <w:lang w:eastAsia="en-AU"/>
        </w:rPr>
        <w:t xml:space="preserve"> </w:t>
      </w:r>
      <w:r w:rsidR="00EE5A7B" w:rsidRPr="00E22491">
        <w:rPr>
          <w:lang w:eastAsia="en-AU"/>
        </w:rPr>
        <w:t>rate</w:t>
      </w:r>
      <w:r w:rsidR="00DB3A7E">
        <w:rPr>
          <w:lang w:eastAsia="en-AU"/>
        </w:rPr>
        <w:t>s</w:t>
      </w:r>
      <w:r w:rsidR="00EE5A7B" w:rsidRPr="00E22491">
        <w:rPr>
          <w:lang w:eastAsia="en-AU"/>
        </w:rPr>
        <w:t xml:space="preserve"> of Aboriginal and Torres Strait Islander children aged 0</w:t>
      </w:r>
      <w:bookmarkStart w:id="27" w:name="_Hlk171170199"/>
      <w:r w:rsidR="00A976DC" w:rsidRPr="00E22491">
        <w:rPr>
          <w:lang w:eastAsia="en-AU"/>
        </w:rPr>
        <w:t>–</w:t>
      </w:r>
      <w:bookmarkEnd w:id="27"/>
      <w:r w:rsidR="00EE5A7B" w:rsidRPr="00E22491">
        <w:rPr>
          <w:lang w:eastAsia="en-AU"/>
        </w:rPr>
        <w:t xml:space="preserve">17 years in out-of-home care </w:t>
      </w:r>
      <w:r w:rsidR="00FD2FA6">
        <w:rPr>
          <w:lang w:eastAsia="en-AU"/>
        </w:rPr>
        <w:t xml:space="preserve">have </w:t>
      </w:r>
      <w:r w:rsidR="0017705A" w:rsidRPr="00E22491">
        <w:rPr>
          <w:lang w:eastAsia="en-AU"/>
        </w:rPr>
        <w:t>increased</w:t>
      </w:r>
      <w:r w:rsidR="0082585D" w:rsidRPr="00E22491">
        <w:rPr>
          <w:lang w:eastAsia="en-AU"/>
        </w:rPr>
        <w:t xml:space="preserve"> </w:t>
      </w:r>
      <w:r w:rsidR="00EE5A7B" w:rsidRPr="00E22491">
        <w:rPr>
          <w:lang w:eastAsia="en-AU"/>
        </w:rPr>
        <w:t xml:space="preserve">for </w:t>
      </w:r>
      <w:r w:rsidR="0082585D" w:rsidRPr="00E22491">
        <w:rPr>
          <w:lang w:eastAsia="en-AU"/>
        </w:rPr>
        <w:t xml:space="preserve">both </w:t>
      </w:r>
      <w:r w:rsidR="00EE5A7B" w:rsidRPr="00E22491">
        <w:rPr>
          <w:lang w:eastAsia="en-AU"/>
        </w:rPr>
        <w:t>males and females</w:t>
      </w:r>
      <w:r w:rsidR="001F762C" w:rsidRPr="00E22491">
        <w:rPr>
          <w:lang w:eastAsia="en-AU"/>
        </w:rPr>
        <w:t xml:space="preserve"> since the baseline year of 2019</w:t>
      </w:r>
      <w:r w:rsidR="006E44FF">
        <w:rPr>
          <w:lang w:eastAsia="en-AU"/>
        </w:rPr>
        <w:t>.</w:t>
      </w:r>
      <w:r w:rsidR="00F4722C" w:rsidRPr="00E22491">
        <w:rPr>
          <w:lang w:eastAsia="en-AU"/>
        </w:rPr>
        <w:t xml:space="preserve"> </w:t>
      </w:r>
      <w:r w:rsidR="006E44FF">
        <w:rPr>
          <w:lang w:eastAsia="en-AU"/>
        </w:rPr>
        <w:t>B</w:t>
      </w:r>
      <w:r w:rsidR="00F4722C" w:rsidRPr="00E22491">
        <w:rPr>
          <w:lang w:eastAsia="en-AU"/>
        </w:rPr>
        <w:t>y 202</w:t>
      </w:r>
      <w:r w:rsidR="00802F8B">
        <w:rPr>
          <w:lang w:eastAsia="en-AU"/>
        </w:rPr>
        <w:t>3</w:t>
      </w:r>
      <w:r w:rsidR="00F4722C" w:rsidRPr="00E22491">
        <w:rPr>
          <w:lang w:eastAsia="en-AU"/>
        </w:rPr>
        <w:t xml:space="preserve">, these rates were </w:t>
      </w:r>
      <w:r w:rsidR="00060D91">
        <w:rPr>
          <w:lang w:eastAsia="en-AU"/>
        </w:rPr>
        <w:br/>
      </w:r>
      <w:r w:rsidR="00EE5A7B" w:rsidRPr="00E22491">
        <w:rPr>
          <w:lang w:eastAsia="en-AU"/>
        </w:rPr>
        <w:t>5</w:t>
      </w:r>
      <w:r w:rsidR="0085146B">
        <w:rPr>
          <w:lang w:eastAsia="en-AU"/>
        </w:rPr>
        <w:t>7</w:t>
      </w:r>
      <w:r w:rsidR="00EE5A7B" w:rsidRPr="00E22491">
        <w:rPr>
          <w:lang w:eastAsia="en-AU"/>
        </w:rPr>
        <w:t>.</w:t>
      </w:r>
      <w:r w:rsidR="00060D91">
        <w:rPr>
          <w:lang w:eastAsia="en-AU"/>
        </w:rPr>
        <w:t>7 and</w:t>
      </w:r>
      <w:r w:rsidR="00EE5A7B" w:rsidRPr="00E22491">
        <w:rPr>
          <w:lang w:eastAsia="en-AU"/>
        </w:rPr>
        <w:t xml:space="preserve"> 56.</w:t>
      </w:r>
      <w:r w:rsidR="0085146B">
        <w:rPr>
          <w:lang w:eastAsia="en-AU"/>
        </w:rPr>
        <w:t>0</w:t>
      </w:r>
      <w:r w:rsidR="00EE5A7B" w:rsidRPr="00E22491">
        <w:rPr>
          <w:lang w:eastAsia="en-AU"/>
        </w:rPr>
        <w:t xml:space="preserve"> per 1,000 </w:t>
      </w:r>
      <w:r w:rsidR="005F227E">
        <w:rPr>
          <w:lang w:eastAsia="en-AU"/>
        </w:rPr>
        <w:t xml:space="preserve">male and female </w:t>
      </w:r>
      <w:r w:rsidR="00EE5A7B" w:rsidRPr="00E22491">
        <w:rPr>
          <w:lang w:eastAsia="en-AU"/>
        </w:rPr>
        <w:t>children respectively</w:t>
      </w:r>
      <w:r w:rsidR="00FC4BA7" w:rsidRPr="00E22491">
        <w:rPr>
          <w:lang w:eastAsia="en-AU"/>
        </w:rPr>
        <w:t xml:space="preserve">. </w:t>
      </w:r>
    </w:p>
    <w:p w14:paraId="06CAB83B" w14:textId="3E48862C" w:rsidR="000E4E75" w:rsidRPr="00E22491" w:rsidRDefault="000E4E75" w:rsidP="419BA54F">
      <w:pPr>
        <w:pStyle w:val="BodyText"/>
        <w:rPr>
          <w:rFonts w:ascii="Aptos" w:eastAsia="Aptos" w:hAnsi="Aptos" w:cs="Aptos"/>
          <w:sz w:val="22"/>
          <w:szCs w:val="22"/>
        </w:rPr>
      </w:pPr>
      <w:r w:rsidRPr="00E22491">
        <w:rPr>
          <w:lang w:eastAsia="en-AU"/>
        </w:rPr>
        <w:t xml:space="preserve">Aboriginal and Torres Strait Islander children </w:t>
      </w:r>
      <w:r w:rsidR="009C24B0" w:rsidRPr="00E22491">
        <w:rPr>
          <w:lang w:eastAsia="en-AU"/>
        </w:rPr>
        <w:t xml:space="preserve">aged </w:t>
      </w:r>
      <w:r w:rsidR="00E34777" w:rsidRPr="00E22491">
        <w:rPr>
          <w:lang w:eastAsia="en-AU"/>
        </w:rPr>
        <w:t>5</w:t>
      </w:r>
      <w:r w:rsidR="00006B83" w:rsidRPr="00216127">
        <w:rPr>
          <w:rStyle w:val="normaltextrun"/>
          <w:rFonts w:ascii="Arial (Body)" w:hAnsi="Arial (Body)" w:cs="Arial"/>
          <w:color w:val="000000"/>
          <w:bdr w:val="none" w:sz="0" w:space="0" w:color="auto" w:frame="1"/>
        </w:rPr>
        <w:t>–</w:t>
      </w:r>
      <w:r w:rsidR="00E34777" w:rsidRPr="00E22491">
        <w:rPr>
          <w:lang w:eastAsia="en-AU"/>
        </w:rPr>
        <w:t xml:space="preserve">17 </w:t>
      </w:r>
      <w:r w:rsidR="00DB6787">
        <w:rPr>
          <w:lang w:eastAsia="en-AU"/>
        </w:rPr>
        <w:t xml:space="preserve">years </w:t>
      </w:r>
      <w:r w:rsidR="00E34777" w:rsidRPr="00E22491">
        <w:rPr>
          <w:lang w:eastAsia="en-AU"/>
        </w:rPr>
        <w:t xml:space="preserve">are experiencing </w:t>
      </w:r>
      <w:r w:rsidR="0080628B" w:rsidRPr="00E22491">
        <w:rPr>
          <w:lang w:eastAsia="en-AU"/>
        </w:rPr>
        <w:t xml:space="preserve">rising rates </w:t>
      </w:r>
      <w:r w:rsidR="00B13B01" w:rsidRPr="00E22491">
        <w:rPr>
          <w:lang w:eastAsia="en-AU"/>
        </w:rPr>
        <w:t>of out-of-home care</w:t>
      </w:r>
      <w:r w:rsidR="00C420A8" w:rsidRPr="00E22491">
        <w:rPr>
          <w:lang w:eastAsia="en-AU"/>
        </w:rPr>
        <w:t xml:space="preserve">, especially children aged </w:t>
      </w:r>
      <w:r w:rsidR="00297C97" w:rsidRPr="00E22491">
        <w:rPr>
          <w:lang w:eastAsia="en-AU"/>
        </w:rPr>
        <w:t>15</w:t>
      </w:r>
      <w:r w:rsidR="00C420A8" w:rsidRPr="00E22491">
        <w:rPr>
          <w:lang w:eastAsia="en-AU"/>
        </w:rPr>
        <w:t>–</w:t>
      </w:r>
      <w:r w:rsidR="00297C97" w:rsidRPr="00E22491">
        <w:rPr>
          <w:lang w:eastAsia="en-AU"/>
        </w:rPr>
        <w:t>17</w:t>
      </w:r>
      <w:r w:rsidR="00C420A8" w:rsidRPr="00E22491">
        <w:rPr>
          <w:lang w:eastAsia="en-AU"/>
        </w:rPr>
        <w:t xml:space="preserve"> </w:t>
      </w:r>
      <w:r w:rsidR="00297C97" w:rsidRPr="00E22491">
        <w:rPr>
          <w:lang w:eastAsia="en-AU"/>
        </w:rPr>
        <w:t xml:space="preserve">(figure 2.11). </w:t>
      </w:r>
      <w:r w:rsidR="00B13B01" w:rsidRPr="00E22491">
        <w:rPr>
          <w:lang w:eastAsia="en-AU"/>
        </w:rPr>
        <w:t xml:space="preserve">Children </w:t>
      </w:r>
      <w:r w:rsidRPr="00E22491">
        <w:rPr>
          <w:lang w:eastAsia="en-AU"/>
        </w:rPr>
        <w:t>aged 5</w:t>
      </w:r>
      <w:r w:rsidR="003D57FB" w:rsidRPr="00E22491">
        <w:rPr>
          <w:lang w:eastAsia="en-AU"/>
        </w:rPr>
        <w:t>–</w:t>
      </w:r>
      <w:r w:rsidRPr="00E22491">
        <w:rPr>
          <w:lang w:eastAsia="en-AU"/>
        </w:rPr>
        <w:t xml:space="preserve">9 years </w:t>
      </w:r>
      <w:r w:rsidR="00727EE6" w:rsidRPr="00E22491">
        <w:rPr>
          <w:lang w:eastAsia="en-AU"/>
        </w:rPr>
        <w:t>and 10</w:t>
      </w:r>
      <w:r w:rsidR="003D57FB" w:rsidRPr="00E22491">
        <w:rPr>
          <w:lang w:eastAsia="en-AU"/>
        </w:rPr>
        <w:t>–</w:t>
      </w:r>
      <w:r w:rsidR="00727EE6" w:rsidRPr="00E22491">
        <w:rPr>
          <w:lang w:eastAsia="en-AU"/>
        </w:rPr>
        <w:t xml:space="preserve">14 years </w:t>
      </w:r>
      <w:r w:rsidR="00B13B01" w:rsidRPr="00E22491">
        <w:rPr>
          <w:lang w:eastAsia="en-AU"/>
        </w:rPr>
        <w:t xml:space="preserve">have consistently </w:t>
      </w:r>
      <w:r w:rsidR="00352189" w:rsidRPr="00E22491">
        <w:rPr>
          <w:lang w:eastAsia="en-AU"/>
        </w:rPr>
        <w:t xml:space="preserve">experienced </w:t>
      </w:r>
      <w:r w:rsidRPr="00E22491">
        <w:rPr>
          <w:lang w:eastAsia="en-AU"/>
        </w:rPr>
        <w:t xml:space="preserve">the highest rates </w:t>
      </w:r>
      <w:r w:rsidR="00795540" w:rsidRPr="00E22491">
        <w:rPr>
          <w:lang w:eastAsia="en-AU"/>
        </w:rPr>
        <w:t xml:space="preserve">since </w:t>
      </w:r>
      <w:r w:rsidR="348D68B5" w:rsidRPr="00E22491">
        <w:rPr>
          <w:lang w:eastAsia="en-AU"/>
        </w:rPr>
        <w:t>2019 (</w:t>
      </w:r>
      <w:r w:rsidR="00452751" w:rsidRPr="00E22491">
        <w:rPr>
          <w:lang w:eastAsia="en-AU"/>
        </w:rPr>
        <w:t>the baseline</w:t>
      </w:r>
      <w:r w:rsidR="00E271BC" w:rsidRPr="00E22491">
        <w:rPr>
          <w:lang w:eastAsia="en-AU"/>
        </w:rPr>
        <w:t xml:space="preserve"> </w:t>
      </w:r>
      <w:r w:rsidR="179CD67B" w:rsidRPr="00E22491">
        <w:rPr>
          <w:lang w:eastAsia="en-AU"/>
        </w:rPr>
        <w:t>year)</w:t>
      </w:r>
      <w:r w:rsidR="00724C15" w:rsidRPr="00E22491">
        <w:rPr>
          <w:lang w:eastAsia="en-AU"/>
        </w:rPr>
        <w:t>.</w:t>
      </w:r>
      <w:r w:rsidR="00452751" w:rsidRPr="00E22491">
        <w:rPr>
          <w:lang w:eastAsia="en-AU"/>
        </w:rPr>
        <w:t xml:space="preserve"> </w:t>
      </w:r>
      <w:r w:rsidR="00A47C68" w:rsidRPr="00E22491">
        <w:rPr>
          <w:lang w:eastAsia="en-AU"/>
        </w:rPr>
        <w:t>C</w:t>
      </w:r>
      <w:r w:rsidR="4A133EA8" w:rsidRPr="00E22491">
        <w:rPr>
          <w:lang w:eastAsia="en-AU"/>
        </w:rPr>
        <w:t xml:space="preserve">hildren </w:t>
      </w:r>
      <w:r w:rsidRPr="00E22491">
        <w:rPr>
          <w:lang w:eastAsia="en-AU"/>
        </w:rPr>
        <w:t xml:space="preserve">aged under </w:t>
      </w:r>
      <w:r w:rsidR="009D32AF" w:rsidRPr="00E22491">
        <w:rPr>
          <w:lang w:eastAsia="en-AU"/>
        </w:rPr>
        <w:t xml:space="preserve">5 </w:t>
      </w:r>
      <w:r w:rsidR="00006B83">
        <w:rPr>
          <w:lang w:eastAsia="en-AU"/>
        </w:rPr>
        <w:t xml:space="preserve">years </w:t>
      </w:r>
      <w:r w:rsidR="009D32AF" w:rsidRPr="00E22491">
        <w:rPr>
          <w:lang w:eastAsia="en-AU"/>
        </w:rPr>
        <w:t xml:space="preserve">are seeing a decline in out-of-home care, with infants </w:t>
      </w:r>
      <w:r w:rsidR="00D81774" w:rsidRPr="00E22491">
        <w:rPr>
          <w:lang w:eastAsia="en-AU"/>
        </w:rPr>
        <w:t xml:space="preserve">under </w:t>
      </w:r>
      <w:r w:rsidRPr="00E22491">
        <w:rPr>
          <w:lang w:eastAsia="en-AU"/>
        </w:rPr>
        <w:t>1 year ha</w:t>
      </w:r>
      <w:r w:rsidR="00D81774" w:rsidRPr="00E22491">
        <w:rPr>
          <w:lang w:eastAsia="en-AU"/>
        </w:rPr>
        <w:t>ving</w:t>
      </w:r>
      <w:r w:rsidRPr="00E22491">
        <w:rPr>
          <w:lang w:eastAsia="en-AU"/>
        </w:rPr>
        <w:t xml:space="preserve"> the lowest rate</w:t>
      </w:r>
      <w:r w:rsidR="00452751" w:rsidRPr="00E22491">
        <w:rPr>
          <w:lang w:eastAsia="en-AU"/>
        </w:rPr>
        <w:t>s</w:t>
      </w:r>
      <w:r w:rsidR="009154D2" w:rsidRPr="00E22491">
        <w:rPr>
          <w:lang w:eastAsia="en-AU"/>
        </w:rPr>
        <w:t>.</w:t>
      </w:r>
    </w:p>
    <w:p w14:paraId="00E25BC1" w14:textId="4EB34A5A" w:rsidR="000E4E75" w:rsidRPr="007B3DCE" w:rsidRDefault="1DBF3B0C" w:rsidP="0026155E">
      <w:pPr>
        <w:pStyle w:val="BodyText"/>
        <w:rPr>
          <w:rFonts w:eastAsia="Arial"/>
          <w:color w:val="8C5E44" w:themeColor="text1"/>
        </w:rPr>
      </w:pPr>
      <w:r w:rsidRPr="00E22491">
        <w:rPr>
          <w:rFonts w:eastAsia="Arial"/>
        </w:rPr>
        <w:t>Just over one in five (21.6%) Aboriginal and Torres Strait Islander children in out-of-home care</w:t>
      </w:r>
      <w:r w:rsidRPr="007B3DCE">
        <w:rPr>
          <w:rFonts w:eastAsia="Arial"/>
        </w:rPr>
        <w:t xml:space="preserve"> had a reported disability</w:t>
      </w:r>
      <w:r w:rsidRPr="007B3DCE">
        <w:t xml:space="preserve"> in 202</w:t>
      </w:r>
      <w:r w:rsidR="00B21D57">
        <w:t>3</w:t>
      </w:r>
      <w:r w:rsidR="00D46B54" w:rsidRPr="007B3DCE">
        <w:t xml:space="preserve">, a slight increase from </w:t>
      </w:r>
      <w:r w:rsidR="00FB66D7" w:rsidRPr="007B3DCE">
        <w:t>2021.</w:t>
      </w:r>
      <w:r w:rsidRPr="007B3DCE">
        <w:t xml:space="preserve"> The disability status for a large proportion of Aboriginal and Torres Strait Islander children in out-of-home care is unknown (30.2%).</w:t>
      </w:r>
      <w:r w:rsidRPr="007B3DCE">
        <w:rPr>
          <w:rFonts w:eastAsia="Arial"/>
          <w:color w:val="8C5E44" w:themeColor="text1"/>
        </w:rPr>
        <w:t xml:space="preserve"> </w:t>
      </w:r>
    </w:p>
    <w:p w14:paraId="14F6D840" w14:textId="73ABE6F8" w:rsidR="003D5354" w:rsidRPr="007B3DCE" w:rsidRDefault="003D5354">
      <w:pPr>
        <w:pStyle w:val="FigureTableHeading"/>
        <w:rPr>
          <w:color w:val="854B1F"/>
        </w:rPr>
      </w:pPr>
      <w:r w:rsidRPr="007B3DCE">
        <w:rPr>
          <w:color w:val="854B1F"/>
        </w:rPr>
        <w:lastRenderedPageBreak/>
        <w:t>Figure 2.</w:t>
      </w:r>
      <w:r w:rsidR="0036545D" w:rsidRPr="007B3DCE">
        <w:rPr>
          <w:color w:val="854B1F"/>
        </w:rPr>
        <w:t>11</w:t>
      </w:r>
      <w:r w:rsidRPr="007B3DCE">
        <w:rPr>
          <w:color w:val="854B1F"/>
        </w:rPr>
        <w:t xml:space="preserve"> – Children in out-of-home care by age group</w:t>
      </w:r>
    </w:p>
    <w:p w14:paraId="5D4176CF" w14:textId="57130565" w:rsidR="009E5061" w:rsidRDefault="70766786" w:rsidP="005669BD">
      <w:pPr>
        <w:pStyle w:val="FigureTableSubheading"/>
        <w:rPr>
          <w:color w:val="AC411A" w:themeColor="accent4" w:themeShade="BF"/>
        </w:rPr>
      </w:pPr>
      <w:r w:rsidRPr="007B3DCE">
        <w:rPr>
          <w:color w:val="AC411A" w:themeColor="accent4" w:themeShade="BF"/>
        </w:rPr>
        <w:t>Rate of</w:t>
      </w:r>
      <w:r w:rsidR="009E5061" w:rsidRPr="007B3DCE">
        <w:rPr>
          <w:color w:val="AC411A" w:themeColor="accent4" w:themeShade="BF"/>
        </w:rPr>
        <w:t xml:space="preserve"> Aboriginal and Torres Strait Islander children aged 0</w:t>
      </w:r>
      <w:r w:rsidR="008D20F3" w:rsidRPr="00E55D43">
        <w:rPr>
          <w:color w:val="AC411A" w:themeColor="accent4" w:themeShade="BF"/>
        </w:rPr>
        <w:t>–</w:t>
      </w:r>
      <w:r w:rsidR="009E5061" w:rsidRPr="007B3DCE">
        <w:rPr>
          <w:color w:val="AC411A" w:themeColor="accent4" w:themeShade="BF"/>
        </w:rPr>
        <w:t>17 years in out-of-home care</w:t>
      </w:r>
      <w:r w:rsidR="008361CB" w:rsidRPr="007B3DCE">
        <w:rPr>
          <w:color w:val="AC411A" w:themeColor="accent4" w:themeShade="BF"/>
        </w:rPr>
        <w:t xml:space="preserve"> </w:t>
      </w:r>
      <w:r w:rsidR="009E5061" w:rsidRPr="007B3DCE">
        <w:rPr>
          <w:color w:val="AC411A" w:themeColor="accent4" w:themeShade="BF"/>
        </w:rPr>
        <w:t>per 1,000 children</w:t>
      </w:r>
      <w:r w:rsidR="50BE0CA1" w:rsidRPr="007B3DCE">
        <w:rPr>
          <w:color w:val="AC411A" w:themeColor="accent4" w:themeShade="BF"/>
        </w:rPr>
        <w:t>, comparing recent years to the baseline</w:t>
      </w:r>
      <w:r w:rsidR="00976A0E" w:rsidRPr="007B3DCE">
        <w:rPr>
          <w:color w:val="AC411A" w:themeColor="accent4" w:themeShade="BF"/>
        </w:rPr>
        <w:t xml:space="preserve"> (2019)</w:t>
      </w:r>
    </w:p>
    <w:p w14:paraId="0876EC3C" w14:textId="3341D2C2" w:rsidR="00B44CDC" w:rsidRPr="00E83412" w:rsidRDefault="000E67C8" w:rsidP="00E83412">
      <w:pPr>
        <w:pStyle w:val="FigureTableSubheading"/>
        <w:rPr>
          <w:color w:val="AC411A" w:themeColor="accent4" w:themeShade="BF"/>
        </w:rPr>
      </w:pPr>
      <w:r w:rsidRPr="000E67C8">
        <w:rPr>
          <w:noProof/>
        </w:rPr>
        <w:drawing>
          <wp:inline distT="0" distB="0" distL="0" distR="0" wp14:anchorId="5F67240A" wp14:editId="259B8518">
            <wp:extent cx="6120130" cy="2572512"/>
            <wp:effectExtent l="0" t="0" r="0" b="0"/>
            <wp:docPr id="2019688294" name="Picture 205" descr="Figure 2.11 is a column chart that shows the rate of Aboriginal and Torres Strait Islander children aged 0-17 in out-of-home care per 1,000 children by age groups from 2019 to 2023. The chart shows that the rates for children aged 5-9 and 10-14 years are consistently higher compared to other age groups, with a noticeable increase in the most recent years. The rates for children under 1 year old and those aged 15-17 years show more variability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88294" name="Picture 205" descr="Figure 2.11 is a column chart that shows the rate of Aboriginal and Torres Strait Islander children aged 0-17 in out-of-home care per 1,000 children by age groups from 2019 to 2023. The chart shows that the rates for children aged 5-9 and 10-14 years are consistently higher compared to other age groups, with a noticeable increase in the most recent years. The rates for children under 1 year old and those aged 15-17 years show more variability over tim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0609"/>
                    <a:stretch/>
                  </pic:blipFill>
                  <pic:spPr bwMode="auto">
                    <a:xfrm>
                      <a:off x="0" y="0"/>
                      <a:ext cx="6120130" cy="2572512"/>
                    </a:xfrm>
                    <a:prstGeom prst="rect">
                      <a:avLst/>
                    </a:prstGeom>
                    <a:noFill/>
                    <a:ln>
                      <a:noFill/>
                    </a:ln>
                    <a:extLst>
                      <a:ext uri="{53640926-AAD7-44D8-BBD7-CCE9431645EC}">
                        <a14:shadowObscured xmlns:a14="http://schemas.microsoft.com/office/drawing/2010/main"/>
                      </a:ext>
                    </a:extLst>
                  </pic:spPr>
                </pic:pic>
              </a:graphicData>
            </a:graphic>
          </wp:inline>
        </w:drawing>
      </w:r>
    </w:p>
    <w:p w14:paraId="4C6CBBD4" w14:textId="071D7ABD" w:rsidR="002E4C91" w:rsidRPr="007F674F" w:rsidRDefault="002259CA" w:rsidP="007F674F">
      <w:pPr>
        <w:pStyle w:val="Source"/>
      </w:pPr>
      <w:r w:rsidRPr="007F674F">
        <w:t xml:space="preserve">Source: </w:t>
      </w:r>
      <w:r w:rsidR="007F674F" w:rsidRPr="007F674F">
        <w:t>AIHW (unpublished) Child Protection Australia; ABS Estimates and Projections Aboriginal and Torres Strait Islander Australians.</w:t>
      </w:r>
    </w:p>
    <w:p w14:paraId="762AF06C" w14:textId="28225982" w:rsidR="00EE5A7B" w:rsidRPr="000C26F0" w:rsidRDefault="004065FD" w:rsidP="005669BD">
      <w:pPr>
        <w:pStyle w:val="Heading5"/>
        <w:rPr>
          <w:color w:val="732B11" w:themeColor="accent4" w:themeShade="80"/>
        </w:rPr>
      </w:pPr>
      <w:r w:rsidRPr="000C26F0">
        <w:rPr>
          <w:color w:val="732B11" w:themeColor="accent4" w:themeShade="80"/>
        </w:rPr>
        <w:t>Little change in</w:t>
      </w:r>
      <w:r w:rsidR="003750EE" w:rsidRPr="000C26F0">
        <w:rPr>
          <w:color w:val="732B11" w:themeColor="accent4" w:themeShade="80"/>
        </w:rPr>
        <w:t xml:space="preserve"> the</w:t>
      </w:r>
      <w:r w:rsidR="00E901EE">
        <w:rPr>
          <w:color w:val="732B11" w:themeColor="accent4" w:themeShade="80"/>
        </w:rPr>
        <w:t xml:space="preserve"> </w:t>
      </w:r>
      <w:r w:rsidR="00057CD9" w:rsidRPr="000C26F0">
        <w:rPr>
          <w:color w:val="732B11" w:themeColor="accent4" w:themeShade="80"/>
        </w:rPr>
        <w:t xml:space="preserve">rates of children </w:t>
      </w:r>
      <w:r w:rsidR="00D22F8E" w:rsidRPr="000C26F0">
        <w:rPr>
          <w:color w:val="732B11" w:themeColor="accent4" w:themeShade="80"/>
        </w:rPr>
        <w:t xml:space="preserve">placed </w:t>
      </w:r>
      <w:r w:rsidR="00702CAE" w:rsidRPr="000C26F0">
        <w:rPr>
          <w:color w:val="732B11" w:themeColor="accent4" w:themeShade="80"/>
        </w:rPr>
        <w:t xml:space="preserve">according to the </w:t>
      </w:r>
      <w:r w:rsidR="00EE5A7B" w:rsidRPr="000C26F0">
        <w:rPr>
          <w:color w:val="732B11" w:themeColor="accent4" w:themeShade="80"/>
        </w:rPr>
        <w:t>Aboriginal and Torres Strait Islander Child Placement Principle</w:t>
      </w:r>
    </w:p>
    <w:p w14:paraId="2ADB4AEF" w14:textId="3328B5C0" w:rsidR="00825FAF" w:rsidRPr="00216127" w:rsidRDefault="00A0768B" w:rsidP="00D934E8">
      <w:pPr>
        <w:pStyle w:val="BodyText"/>
        <w:rPr>
          <w:lang w:eastAsia="en-AU"/>
        </w:rPr>
      </w:pPr>
      <w:r w:rsidRPr="00216127">
        <w:rPr>
          <w:lang w:eastAsia="en-AU"/>
        </w:rPr>
        <w:t xml:space="preserve">Data is now available for </w:t>
      </w:r>
      <w:r w:rsidR="0055419A" w:rsidRPr="00216127">
        <w:rPr>
          <w:lang w:eastAsia="en-AU"/>
        </w:rPr>
        <w:t xml:space="preserve">a </w:t>
      </w:r>
      <w:r w:rsidRPr="00216127">
        <w:rPr>
          <w:lang w:eastAsia="en-AU"/>
        </w:rPr>
        <w:t xml:space="preserve">supporting indicator on </w:t>
      </w:r>
      <w:r w:rsidR="00F3206A" w:rsidRPr="00216127">
        <w:rPr>
          <w:lang w:eastAsia="en-AU"/>
        </w:rPr>
        <w:t xml:space="preserve">the </w:t>
      </w:r>
      <w:r w:rsidR="00825FAF" w:rsidRPr="00216127">
        <w:rPr>
          <w:lang w:eastAsia="en-AU"/>
        </w:rPr>
        <w:t>a</w:t>
      </w:r>
      <w:r w:rsidR="00F3206A" w:rsidRPr="00216127">
        <w:rPr>
          <w:lang w:eastAsia="en-AU"/>
        </w:rPr>
        <w:t>pplication of the Aboriginal and Torres Strait Islander Child Placement Principle (ATSICPP)</w:t>
      </w:r>
      <w:r w:rsidR="00825FAF" w:rsidRPr="00216127">
        <w:rPr>
          <w:lang w:eastAsia="en-AU"/>
        </w:rPr>
        <w:t xml:space="preserve">, </w:t>
      </w:r>
      <w:r w:rsidR="00FA0751" w:rsidRPr="00216127">
        <w:rPr>
          <w:lang w:eastAsia="en-AU"/>
        </w:rPr>
        <w:t>covering</w:t>
      </w:r>
      <w:r w:rsidR="00EE0283" w:rsidRPr="00216127">
        <w:rPr>
          <w:lang w:eastAsia="en-AU"/>
        </w:rPr>
        <w:t xml:space="preserve"> placement and connection</w:t>
      </w:r>
      <w:r w:rsidR="003654D0" w:rsidRPr="00216127">
        <w:rPr>
          <w:lang w:eastAsia="en-AU"/>
        </w:rPr>
        <w:t xml:space="preserve"> (Indicator 12e)</w:t>
      </w:r>
      <w:r w:rsidR="00EE0283" w:rsidRPr="00216127">
        <w:rPr>
          <w:lang w:eastAsia="en-AU"/>
        </w:rPr>
        <w:t xml:space="preserve">. </w:t>
      </w:r>
      <w:r w:rsidR="00F3206A" w:rsidRPr="00216127">
        <w:rPr>
          <w:lang w:eastAsia="en-AU"/>
        </w:rPr>
        <w:t>The ATSICPP consists of guiding principles for decision-making within the child protection system (box 2.7).</w:t>
      </w:r>
      <w:r w:rsidR="00422CC4" w:rsidRPr="00216127">
        <w:rPr>
          <w:lang w:eastAsia="en-AU"/>
        </w:rPr>
        <w:t xml:space="preserve"> </w:t>
      </w:r>
    </w:p>
    <w:p w14:paraId="52565781" w14:textId="730A382D" w:rsidR="00846F69" w:rsidRPr="00216127" w:rsidRDefault="00357F77" w:rsidP="00D934E8">
      <w:pPr>
        <w:pStyle w:val="BodyText"/>
        <w:rPr>
          <w:lang w:eastAsia="en-AU"/>
        </w:rPr>
      </w:pPr>
      <w:r w:rsidRPr="00216127">
        <w:rPr>
          <w:lang w:eastAsia="en-AU"/>
        </w:rPr>
        <w:t>I</w:t>
      </w:r>
      <w:r w:rsidR="00EE5A7B" w:rsidRPr="00216127">
        <w:rPr>
          <w:lang w:eastAsia="en-AU"/>
        </w:rPr>
        <w:t xml:space="preserve">n 2023, around </w:t>
      </w:r>
      <w:r w:rsidR="0021314F" w:rsidRPr="00216127">
        <w:rPr>
          <w:lang w:eastAsia="en-AU"/>
        </w:rPr>
        <w:t>three</w:t>
      </w:r>
      <w:r w:rsidR="00EE5A7B" w:rsidRPr="00216127">
        <w:rPr>
          <w:lang w:eastAsia="en-AU"/>
        </w:rPr>
        <w:t xml:space="preserve"> in </w:t>
      </w:r>
      <w:r w:rsidR="0021314F" w:rsidRPr="00216127">
        <w:rPr>
          <w:lang w:eastAsia="en-AU"/>
        </w:rPr>
        <w:t>five</w:t>
      </w:r>
      <w:r w:rsidR="00EE5A7B" w:rsidRPr="00216127">
        <w:rPr>
          <w:lang w:eastAsia="en-AU"/>
        </w:rPr>
        <w:t xml:space="preserve"> (63.2%) Aboriginal and Torres Strait Islander children in out-of-home care were living with Aboriginal and Torres Strait Islander or non-Indigenous relatives or kin, or Aboriginal and Torres Strait Islander carers</w:t>
      </w:r>
      <w:r w:rsidR="00D7413E" w:rsidRPr="00216127">
        <w:rPr>
          <w:lang w:eastAsia="en-AU"/>
        </w:rPr>
        <w:t xml:space="preserve"> (</w:t>
      </w:r>
      <w:r w:rsidR="00AC3ABF">
        <w:rPr>
          <w:lang w:eastAsia="en-AU"/>
        </w:rPr>
        <w:t xml:space="preserve">the placement element, </w:t>
      </w:r>
      <w:r w:rsidR="00D7413E" w:rsidRPr="00216127">
        <w:rPr>
          <w:lang w:eastAsia="en-AU"/>
        </w:rPr>
        <w:t>figure 2.1</w:t>
      </w:r>
      <w:r w:rsidR="00B20B13" w:rsidRPr="00216127">
        <w:rPr>
          <w:lang w:eastAsia="en-AU"/>
        </w:rPr>
        <w:t>2</w:t>
      </w:r>
      <w:r w:rsidR="00D7413E" w:rsidRPr="00216127">
        <w:rPr>
          <w:lang w:eastAsia="en-AU"/>
        </w:rPr>
        <w:t>)</w:t>
      </w:r>
      <w:r w:rsidR="00EE5A7B" w:rsidRPr="00216127">
        <w:rPr>
          <w:lang w:eastAsia="en-AU"/>
        </w:rPr>
        <w:t xml:space="preserve">. This </w:t>
      </w:r>
      <w:r w:rsidR="00735856" w:rsidRPr="00216127">
        <w:rPr>
          <w:lang w:eastAsia="en-AU"/>
        </w:rPr>
        <w:t>was</w:t>
      </w:r>
      <w:r w:rsidR="00EE438E" w:rsidRPr="00216127">
        <w:rPr>
          <w:lang w:eastAsia="en-AU"/>
        </w:rPr>
        <w:t xml:space="preserve"> </w:t>
      </w:r>
      <w:r w:rsidR="00EE5A7B" w:rsidRPr="00216127">
        <w:rPr>
          <w:lang w:eastAsia="en-AU"/>
        </w:rPr>
        <w:t>similar to the proportion in 2019 (the baseline year)</w:t>
      </w:r>
      <w:r w:rsidR="00080DBA" w:rsidRPr="00216127">
        <w:rPr>
          <w:lang w:eastAsia="en-AU"/>
        </w:rPr>
        <w:t>,</w:t>
      </w:r>
      <w:r w:rsidR="00EE5A7B" w:rsidRPr="00216127">
        <w:rPr>
          <w:lang w:eastAsia="en-AU"/>
        </w:rPr>
        <w:t xml:space="preserve"> at 63.1%</w:t>
      </w:r>
      <w:r w:rsidR="00AC3ABF">
        <w:rPr>
          <w:lang w:eastAsia="en-AU"/>
        </w:rPr>
        <w:t>.</w:t>
      </w:r>
    </w:p>
    <w:p w14:paraId="78A7CFF8" w14:textId="77777777" w:rsidR="00A33B0C" w:rsidRDefault="00A33B0C" w:rsidP="00846F69">
      <w:pPr>
        <w:spacing w:before="0" w:after="160" w:line="259" w:lineRule="auto"/>
        <w:rPr>
          <w:vanish/>
          <w:color w:val="FF00FF"/>
        </w:rPr>
        <w:sectPr w:rsidR="00A33B0C" w:rsidSect="00B21CDC">
          <w:headerReference w:type="default" r:id="rId57"/>
          <w:footerReference w:type="even" r:id="rId58"/>
          <w:footerReference w:type="default" r:id="rId59"/>
          <w:pgSz w:w="11906" w:h="16838" w:code="9"/>
          <w:pgMar w:top="1134" w:right="1134" w:bottom="1134" w:left="1134" w:header="794" w:footer="510" w:gutter="0"/>
          <w:cols w:space="708"/>
          <w:docGrid w:linePitch="360"/>
        </w:sectPr>
      </w:pPr>
    </w:p>
    <w:tbl>
      <w:tblPr>
        <w:tblStyle w:val="Boxtable"/>
        <w:tblW w:w="5000" w:type="pct"/>
        <w:tblLook w:val="04A0" w:firstRow="1" w:lastRow="0" w:firstColumn="1" w:lastColumn="0" w:noHBand="0" w:noVBand="1"/>
      </w:tblPr>
      <w:tblGrid>
        <w:gridCol w:w="9638"/>
      </w:tblGrid>
      <w:tr w:rsidR="003D5354" w:rsidRPr="007B3DCE" w14:paraId="4B8C505F" w14:textId="77777777" w:rsidTr="00EE745E">
        <w:trPr>
          <w:trHeight w:val="476"/>
          <w:tblHeader/>
        </w:trPr>
        <w:tc>
          <w:tcPr>
            <w:tcW w:w="9638" w:type="dxa"/>
            <w:shd w:val="clear" w:color="auto" w:fill="854B1F"/>
            <w:tcMar>
              <w:top w:w="170" w:type="dxa"/>
              <w:left w:w="170" w:type="dxa"/>
              <w:bottom w:w="113" w:type="dxa"/>
              <w:right w:w="170" w:type="dxa"/>
            </w:tcMar>
            <w:vAlign w:val="center"/>
            <w:hideMark/>
          </w:tcPr>
          <w:p w14:paraId="46F1F68D" w14:textId="1B8DC7D1" w:rsidR="003D5354" w:rsidRPr="007B3DCE" w:rsidRDefault="003D5354" w:rsidP="00EE745E">
            <w:pPr>
              <w:pStyle w:val="BoxHeading1"/>
              <w:spacing w:before="0"/>
            </w:pPr>
            <w:r w:rsidRPr="007B3DCE">
              <w:rPr>
                <w:color w:val="FFFFFF"/>
              </w:rPr>
              <w:lastRenderedPageBreak/>
              <w:t>Box 2.</w:t>
            </w:r>
            <w:r w:rsidR="008A2457">
              <w:rPr>
                <w:color w:val="FFFFFF"/>
              </w:rPr>
              <w:t>7</w:t>
            </w:r>
            <w:r w:rsidRPr="007B3DCE">
              <w:rPr>
                <w:color w:val="FFFFFF"/>
              </w:rPr>
              <w:t xml:space="preserve"> – </w:t>
            </w:r>
            <w:r w:rsidR="00080DBA">
              <w:rPr>
                <w:color w:val="FFFFFF"/>
              </w:rPr>
              <w:t xml:space="preserve">The </w:t>
            </w:r>
            <w:r w:rsidRPr="007B3DCE">
              <w:rPr>
                <w:color w:val="FFFFFF"/>
              </w:rPr>
              <w:t>Aboriginal and Torres Strait Islander Child Placement Principle</w:t>
            </w:r>
          </w:p>
        </w:tc>
      </w:tr>
      <w:tr w:rsidR="003D5354" w:rsidRPr="007B3DCE" w14:paraId="1578FAB9" w14:textId="77777777" w:rsidTr="005B5DE4">
        <w:tc>
          <w:tcPr>
            <w:tcW w:w="9638" w:type="dxa"/>
            <w:shd w:val="clear" w:color="auto" w:fill="F4DFD0"/>
            <w:tcMar>
              <w:top w:w="28" w:type="dxa"/>
              <w:left w:w="170" w:type="dxa"/>
              <w:bottom w:w="170" w:type="dxa"/>
              <w:right w:w="170" w:type="dxa"/>
            </w:tcMar>
            <w:hideMark/>
          </w:tcPr>
          <w:p w14:paraId="05A5FBA4" w14:textId="551E19D5" w:rsidR="003D5354" w:rsidRPr="007B3DCE" w:rsidRDefault="00D9258C" w:rsidP="00F41C80">
            <w:pPr>
              <w:pStyle w:val="BodyText"/>
            </w:pPr>
            <w:r>
              <w:t xml:space="preserve">The </w:t>
            </w:r>
            <w:r w:rsidR="003D5354" w:rsidRPr="007B3DCE">
              <w:t>ATSICPP, originating from a community-led movement three decades ago, consists of guiding principles for decision-making within the child protection system. The five interconnected elements recognise the importance of safe, family</w:t>
            </w:r>
            <w:r w:rsidR="003D5354" w:rsidRPr="007B3DCE">
              <w:noBreakHyphen/>
              <w:t>based care to support the wellbeing of Aboriginal and Torres Strait Islander children and prevent actions like those that resulted in the Stolen Generations</w:t>
            </w:r>
            <w:r w:rsidR="003D5354">
              <w:t>.</w:t>
            </w:r>
          </w:p>
          <w:p w14:paraId="4BB368CB" w14:textId="77777777" w:rsidR="003D5354" w:rsidRPr="007B3DCE" w:rsidRDefault="003D5354" w:rsidP="003D5354">
            <w:pPr>
              <w:pStyle w:val="ListBullet"/>
            </w:pPr>
            <w:r w:rsidRPr="007B3DCE">
              <w:t>The ATSICPP’s components are:</w:t>
            </w:r>
          </w:p>
          <w:p w14:paraId="3CC7FFA6" w14:textId="77777777" w:rsidR="003D5354" w:rsidRPr="007B3DCE" w:rsidRDefault="003D5354" w:rsidP="00846C7D">
            <w:pPr>
              <w:pStyle w:val="ListBullet"/>
              <w:numPr>
                <w:ilvl w:val="0"/>
                <w:numId w:val="17"/>
              </w:numPr>
              <w:ind w:left="227" w:hanging="227"/>
            </w:pPr>
            <w:r w:rsidRPr="007B3DCE">
              <w:t>Prevention of entry into out-of-home care.</w:t>
            </w:r>
          </w:p>
          <w:p w14:paraId="76EB1876" w14:textId="70BE4F8E" w:rsidR="003D5354" w:rsidRPr="007B3DCE" w:rsidRDefault="003D5354" w:rsidP="00846C7D">
            <w:pPr>
              <w:pStyle w:val="ListBullet"/>
              <w:numPr>
                <w:ilvl w:val="0"/>
                <w:numId w:val="17"/>
              </w:numPr>
              <w:ind w:left="227" w:hanging="227"/>
            </w:pPr>
            <w:r w:rsidRPr="007B3DCE">
              <w:t>Partnership with community in service design, delivery and individual case decisions.</w:t>
            </w:r>
          </w:p>
          <w:p w14:paraId="32B005FC" w14:textId="0DAE687C" w:rsidR="003D5354" w:rsidRPr="007B3DCE" w:rsidRDefault="003D5354" w:rsidP="00846C7D">
            <w:pPr>
              <w:pStyle w:val="ListBullet"/>
              <w:numPr>
                <w:ilvl w:val="0"/>
                <w:numId w:val="17"/>
              </w:numPr>
              <w:ind w:left="227" w:hanging="227"/>
            </w:pPr>
            <w:r w:rsidRPr="007B3DCE">
              <w:t>Participation of family members in decisions regarding the care and protection of children.</w:t>
            </w:r>
          </w:p>
          <w:p w14:paraId="25E269D1" w14:textId="33844CD5" w:rsidR="003D5354" w:rsidRPr="007B3DCE" w:rsidRDefault="003D5354" w:rsidP="00846C7D">
            <w:pPr>
              <w:pStyle w:val="ListBullet"/>
              <w:numPr>
                <w:ilvl w:val="0"/>
                <w:numId w:val="17"/>
              </w:numPr>
              <w:ind w:left="227" w:hanging="227"/>
            </w:pPr>
            <w:r w:rsidRPr="007B3DCE">
              <w:t xml:space="preserve">Placement in out-of-home care in line with </w:t>
            </w:r>
            <w:r w:rsidR="00701542">
              <w:t>a</w:t>
            </w:r>
            <w:r w:rsidRPr="007B3DCE">
              <w:t xml:space="preserve"> placement hierarchy to ensure cultural connection (i.e. with family and kin first).</w:t>
            </w:r>
          </w:p>
          <w:p w14:paraId="44321446" w14:textId="6B92B043" w:rsidR="003D5354" w:rsidRPr="007B3DCE" w:rsidRDefault="003D5354" w:rsidP="00846C7D">
            <w:pPr>
              <w:pStyle w:val="ListBullet"/>
              <w:numPr>
                <w:ilvl w:val="0"/>
                <w:numId w:val="17"/>
              </w:numPr>
              <w:ind w:left="227" w:hanging="227"/>
            </w:pPr>
            <w:r w:rsidRPr="007B3DCE">
              <w:t>Connection to family, community, culture and Country for children in out-of-home care.</w:t>
            </w:r>
          </w:p>
          <w:p w14:paraId="01982627" w14:textId="7580E290" w:rsidR="003D5354" w:rsidRDefault="003D5354" w:rsidP="00A94018">
            <w:pPr>
              <w:pStyle w:val="BodyText"/>
            </w:pPr>
            <w:r w:rsidRPr="007B3DCE">
              <w:t>The full implementation of the ATSICPP requires embedding all Priority Reforms in the design, implementation and evaluation of legislation, policy and practice within the child protection system such as joint decision-making with Aboriginal and Torres Strait Islander people and organisations.</w:t>
            </w:r>
          </w:p>
          <w:p w14:paraId="70DAD061" w14:textId="4E403DAE" w:rsidR="003D5354" w:rsidRPr="007B3DCE" w:rsidRDefault="0050175D" w:rsidP="00C7742F">
            <w:pPr>
              <w:pStyle w:val="Source"/>
            </w:pPr>
            <w:r w:rsidRPr="0050175D">
              <w:t>Source:</w:t>
            </w:r>
            <w:r w:rsidR="00982113">
              <w:t xml:space="preserve"> </w:t>
            </w:r>
            <w:r w:rsidR="001906A5">
              <w:t>Department of Social Services</w:t>
            </w:r>
            <w:r w:rsidR="009D7C54">
              <w:t xml:space="preserve"> </w:t>
            </w:r>
            <w:r w:rsidR="00B72DA7" w:rsidRPr="00216127">
              <w:rPr>
                <w:rFonts w:ascii="Arial (Body)" w:hAnsi="Arial (Body)" w:cs="Arial"/>
              </w:rPr>
              <w:t>(2015)</w:t>
            </w:r>
            <w:r w:rsidR="000B11BE">
              <w:t>;</w:t>
            </w:r>
            <w:r w:rsidR="001906A5">
              <w:t xml:space="preserve"> S</w:t>
            </w:r>
            <w:r w:rsidR="00330847">
              <w:t>NAICC</w:t>
            </w:r>
            <w:r w:rsidR="001906A5">
              <w:t xml:space="preserve"> </w:t>
            </w:r>
            <w:r w:rsidR="00E95E79" w:rsidRPr="00216127">
              <w:rPr>
                <w:rFonts w:ascii="Arial (Body)" w:hAnsi="Arial (Body)" w:cs="Arial"/>
              </w:rPr>
              <w:t>(2018</w:t>
            </w:r>
            <w:r w:rsidR="00244986">
              <w:rPr>
                <w:rFonts w:ascii="Arial (Body)" w:hAnsi="Arial (Body)" w:cs="Arial"/>
              </w:rPr>
              <w:t>)</w:t>
            </w:r>
            <w:r w:rsidR="00E95E79" w:rsidRPr="00216127">
              <w:rPr>
                <w:rFonts w:ascii="Arial (Body)" w:hAnsi="Arial (Body)" w:cs="Arial"/>
              </w:rPr>
              <w:t>; SNAICC et al.</w:t>
            </w:r>
            <w:r w:rsidR="004F68A8">
              <w:rPr>
                <w:rFonts w:ascii="Arial (Body)" w:hAnsi="Arial (Body)" w:cs="Arial"/>
              </w:rPr>
              <w:t xml:space="preserve"> </w:t>
            </w:r>
            <w:r w:rsidR="00643B9E">
              <w:rPr>
                <w:rFonts w:ascii="Arial (Body)" w:hAnsi="Arial (Body)" w:cs="Arial"/>
              </w:rPr>
              <w:t>(</w:t>
            </w:r>
            <w:r w:rsidR="00E95E79" w:rsidRPr="00216127">
              <w:rPr>
                <w:rFonts w:ascii="Arial (Body)" w:hAnsi="Arial (Body)" w:cs="Arial"/>
              </w:rPr>
              <w:t>2023)</w:t>
            </w:r>
            <w:r w:rsidR="00330847">
              <w:t>.</w:t>
            </w:r>
          </w:p>
        </w:tc>
      </w:tr>
      <w:tr w:rsidR="003D5354" w:rsidRPr="007B3DCE" w14:paraId="2D3E3C4C" w14:textId="77777777">
        <w:trPr>
          <w:hidden/>
        </w:trPr>
        <w:tc>
          <w:tcPr>
            <w:tcW w:w="9638" w:type="dxa"/>
            <w:shd w:val="clear" w:color="auto" w:fill="auto"/>
            <w:tcMar>
              <w:top w:w="0" w:type="dxa"/>
              <w:left w:w="170" w:type="dxa"/>
              <w:bottom w:w="0" w:type="dxa"/>
              <w:right w:w="170" w:type="dxa"/>
            </w:tcMar>
          </w:tcPr>
          <w:p w14:paraId="5D374AD2" w14:textId="77777777" w:rsidR="003D5354" w:rsidRPr="007B3DCE" w:rsidRDefault="003D5354">
            <w:pPr>
              <w:pStyle w:val="BodyText"/>
              <w:spacing w:before="0" w:after="0" w:line="80" w:lineRule="atLeast"/>
              <w:rPr>
                <w:smallCaps/>
                <w:vanish/>
              </w:rPr>
            </w:pPr>
            <w:r w:rsidRPr="007B3DCE">
              <w:rPr>
                <w:smallCaps/>
                <w:vanish/>
                <w:color w:val="FF00FF"/>
              </w:rPr>
              <w:t>Used for spacing, do not delete</w:t>
            </w:r>
          </w:p>
        </w:tc>
      </w:tr>
    </w:tbl>
    <w:p w14:paraId="6BD4C7BA" w14:textId="007F1B52" w:rsidR="001E79C1" w:rsidRPr="007B3DCE" w:rsidRDefault="001E79C1">
      <w:pPr>
        <w:pStyle w:val="FigureTableHeading"/>
        <w:rPr>
          <w:color w:val="854B1F"/>
        </w:rPr>
      </w:pPr>
      <w:r w:rsidRPr="007B3DCE">
        <w:rPr>
          <w:color w:val="854B1F"/>
        </w:rPr>
        <w:t>Figure 2.</w:t>
      </w:r>
      <w:r w:rsidR="0036545D" w:rsidRPr="007B3DCE">
        <w:rPr>
          <w:color w:val="854B1F"/>
        </w:rPr>
        <w:t>12</w:t>
      </w:r>
      <w:r w:rsidRPr="007B3DCE">
        <w:rPr>
          <w:color w:val="854B1F"/>
        </w:rPr>
        <w:t xml:space="preserve"> – </w:t>
      </w:r>
      <w:r w:rsidR="00092E5D">
        <w:rPr>
          <w:color w:val="854B1F"/>
        </w:rPr>
        <w:t xml:space="preserve">Placement of children </w:t>
      </w:r>
      <w:r w:rsidR="00BD0FE1">
        <w:rPr>
          <w:color w:val="854B1F"/>
        </w:rPr>
        <w:t xml:space="preserve">in out-of-home care according to the </w:t>
      </w:r>
      <w:r w:rsidR="00C06854">
        <w:rPr>
          <w:color w:val="854B1F"/>
        </w:rPr>
        <w:t>Aboriginal and Torres Strait Islander Child Placement Principle</w:t>
      </w:r>
      <w:r w:rsidR="00572512" w:rsidRPr="007B3DCE">
        <w:rPr>
          <w:color w:val="854B1F"/>
          <w:vertAlign w:val="superscript"/>
        </w:rPr>
        <w:t>a</w:t>
      </w:r>
      <w:r w:rsidR="00453A19">
        <w:rPr>
          <w:color w:val="854B1F"/>
        </w:rPr>
        <w:t xml:space="preserve"> </w:t>
      </w:r>
    </w:p>
    <w:p w14:paraId="5304C3E0" w14:textId="4F2812E2" w:rsidR="00354F07" w:rsidRPr="009233CA" w:rsidRDefault="00FA3617" w:rsidP="00690110">
      <w:pPr>
        <w:pStyle w:val="Note"/>
        <w:rPr>
          <w:rFonts w:asciiTheme="majorHAnsi" w:hAnsiTheme="majorHAnsi"/>
          <w:iCs/>
          <w:color w:val="AC411A" w:themeColor="accent4" w:themeShade="BF"/>
          <w:sz w:val="20"/>
          <w:szCs w:val="18"/>
        </w:rPr>
      </w:pPr>
      <w:r w:rsidRPr="009233CA">
        <w:rPr>
          <w:rFonts w:asciiTheme="majorHAnsi" w:hAnsiTheme="majorHAnsi"/>
          <w:iCs/>
          <w:color w:val="AC411A" w:themeColor="accent4" w:themeShade="BF"/>
          <w:sz w:val="20"/>
          <w:szCs w:val="18"/>
        </w:rPr>
        <w:t>Proportion</w:t>
      </w:r>
      <w:r w:rsidR="1698FC6C" w:rsidRPr="009233CA">
        <w:rPr>
          <w:rFonts w:asciiTheme="majorHAnsi" w:hAnsiTheme="majorHAnsi"/>
          <w:iCs/>
          <w:color w:val="AC411A" w:themeColor="accent4" w:themeShade="BF"/>
          <w:sz w:val="20"/>
          <w:szCs w:val="18"/>
        </w:rPr>
        <w:t xml:space="preserve"> of </w:t>
      </w:r>
      <w:r w:rsidR="459CBB7B" w:rsidRPr="009233CA">
        <w:rPr>
          <w:rFonts w:asciiTheme="majorHAnsi" w:hAnsiTheme="majorHAnsi"/>
          <w:iCs/>
          <w:color w:val="AC411A" w:themeColor="accent4" w:themeShade="BF"/>
          <w:sz w:val="20"/>
          <w:szCs w:val="18"/>
        </w:rPr>
        <w:t xml:space="preserve">Aboriginal and Torres Strait Islander </w:t>
      </w:r>
      <w:r w:rsidR="019E6DD4" w:rsidRPr="009233CA">
        <w:rPr>
          <w:rFonts w:asciiTheme="majorHAnsi" w:hAnsiTheme="majorHAnsi"/>
          <w:iCs/>
          <w:color w:val="AC411A" w:themeColor="accent4" w:themeShade="BF"/>
          <w:sz w:val="20"/>
          <w:szCs w:val="18"/>
        </w:rPr>
        <w:t>c</w:t>
      </w:r>
      <w:r w:rsidR="459CBB7B" w:rsidRPr="009233CA">
        <w:rPr>
          <w:rFonts w:asciiTheme="majorHAnsi" w:hAnsiTheme="majorHAnsi"/>
          <w:iCs/>
          <w:color w:val="AC411A" w:themeColor="accent4" w:themeShade="BF"/>
          <w:sz w:val="20"/>
          <w:szCs w:val="18"/>
        </w:rPr>
        <w:t>hildren</w:t>
      </w:r>
      <w:r w:rsidR="65EDADC3" w:rsidRPr="009233CA">
        <w:rPr>
          <w:rFonts w:asciiTheme="majorHAnsi" w:hAnsiTheme="majorHAnsi"/>
          <w:iCs/>
          <w:color w:val="AC411A" w:themeColor="accent4" w:themeShade="BF"/>
          <w:sz w:val="20"/>
          <w:szCs w:val="18"/>
        </w:rPr>
        <w:t xml:space="preserve"> </w:t>
      </w:r>
      <w:r w:rsidR="459CBB7B" w:rsidRPr="009233CA">
        <w:rPr>
          <w:rFonts w:asciiTheme="majorHAnsi" w:hAnsiTheme="majorHAnsi"/>
          <w:iCs/>
          <w:color w:val="AC411A" w:themeColor="accent4" w:themeShade="BF"/>
          <w:sz w:val="20"/>
          <w:szCs w:val="18"/>
        </w:rPr>
        <w:t>aged 0</w:t>
      </w:r>
      <w:r w:rsidR="00FD16F8" w:rsidRPr="009233CA">
        <w:rPr>
          <w:rFonts w:asciiTheme="majorHAnsi" w:hAnsiTheme="majorHAnsi"/>
          <w:iCs/>
          <w:color w:val="AC411A" w:themeColor="accent4" w:themeShade="BF"/>
          <w:sz w:val="20"/>
          <w:szCs w:val="18"/>
        </w:rPr>
        <w:t>–</w:t>
      </w:r>
      <w:r w:rsidR="459CBB7B" w:rsidRPr="009233CA">
        <w:rPr>
          <w:rFonts w:asciiTheme="majorHAnsi" w:hAnsiTheme="majorHAnsi"/>
          <w:iCs/>
          <w:color w:val="AC411A" w:themeColor="accent4" w:themeShade="BF"/>
          <w:sz w:val="20"/>
          <w:szCs w:val="18"/>
        </w:rPr>
        <w:t>17 years in out-of-home care</w:t>
      </w:r>
      <w:r w:rsidR="00D9C8DA" w:rsidRPr="009233CA">
        <w:rPr>
          <w:rFonts w:asciiTheme="majorHAnsi" w:hAnsiTheme="majorHAnsi"/>
          <w:iCs/>
          <w:color w:val="AC411A" w:themeColor="accent4" w:themeShade="BF"/>
          <w:sz w:val="20"/>
          <w:szCs w:val="18"/>
        </w:rPr>
        <w:t>,</w:t>
      </w:r>
      <w:r w:rsidR="3E0E0080" w:rsidRPr="009233CA">
        <w:rPr>
          <w:rFonts w:asciiTheme="majorHAnsi" w:hAnsiTheme="majorHAnsi"/>
          <w:iCs/>
          <w:color w:val="AC411A" w:themeColor="accent4" w:themeShade="BF"/>
          <w:sz w:val="20"/>
          <w:szCs w:val="18"/>
        </w:rPr>
        <w:t xml:space="preserve"> </w:t>
      </w:r>
      <w:r w:rsidR="006A196E" w:rsidRPr="009233CA">
        <w:rPr>
          <w:rFonts w:asciiTheme="majorHAnsi" w:hAnsiTheme="majorHAnsi"/>
          <w:iCs/>
          <w:color w:val="AC411A" w:themeColor="accent4" w:themeShade="BF"/>
          <w:sz w:val="20"/>
          <w:szCs w:val="18"/>
        </w:rPr>
        <w:t xml:space="preserve">who are placed according to the ATSICPP, </w:t>
      </w:r>
      <w:r w:rsidR="3E0E0080" w:rsidRPr="009233CA">
        <w:rPr>
          <w:rFonts w:asciiTheme="majorHAnsi" w:hAnsiTheme="majorHAnsi"/>
          <w:iCs/>
          <w:color w:val="AC411A" w:themeColor="accent4" w:themeShade="BF"/>
          <w:sz w:val="20"/>
          <w:szCs w:val="18"/>
        </w:rPr>
        <w:t>2019</w:t>
      </w:r>
      <w:r w:rsidR="00645409" w:rsidRPr="009233CA">
        <w:rPr>
          <w:rFonts w:asciiTheme="majorHAnsi" w:hAnsiTheme="majorHAnsi"/>
          <w:iCs/>
          <w:color w:val="AC411A" w:themeColor="accent4" w:themeShade="BF"/>
          <w:sz w:val="20"/>
          <w:szCs w:val="18"/>
        </w:rPr>
        <w:t xml:space="preserve"> to</w:t>
      </w:r>
      <w:r w:rsidR="00E874E0" w:rsidRPr="009233CA">
        <w:rPr>
          <w:rFonts w:asciiTheme="majorHAnsi" w:hAnsiTheme="majorHAnsi"/>
          <w:iCs/>
          <w:color w:val="AC411A" w:themeColor="accent4" w:themeShade="BF"/>
          <w:sz w:val="20"/>
          <w:szCs w:val="18"/>
        </w:rPr>
        <w:t xml:space="preserve"> </w:t>
      </w:r>
      <w:r w:rsidR="3E0E0080" w:rsidRPr="009233CA">
        <w:rPr>
          <w:rFonts w:asciiTheme="majorHAnsi" w:hAnsiTheme="majorHAnsi"/>
          <w:iCs/>
          <w:color w:val="AC411A" w:themeColor="accent4" w:themeShade="BF"/>
          <w:sz w:val="20"/>
          <w:szCs w:val="18"/>
        </w:rPr>
        <w:t>2023</w:t>
      </w:r>
      <w:r w:rsidR="009C0583" w:rsidRPr="009233CA">
        <w:rPr>
          <w:rFonts w:asciiTheme="majorHAnsi" w:hAnsiTheme="majorHAnsi"/>
          <w:iCs/>
          <w:color w:val="AC411A" w:themeColor="accent4" w:themeShade="BF"/>
          <w:sz w:val="20"/>
          <w:szCs w:val="18"/>
        </w:rPr>
        <w:t xml:space="preserve"> (12e</w:t>
      </w:r>
      <w:r w:rsidR="005E7493" w:rsidRPr="009233CA">
        <w:rPr>
          <w:rFonts w:asciiTheme="majorHAnsi" w:hAnsiTheme="majorHAnsi"/>
          <w:iCs/>
          <w:color w:val="AC411A" w:themeColor="accent4" w:themeShade="BF"/>
          <w:sz w:val="20"/>
          <w:szCs w:val="18"/>
        </w:rPr>
        <w:t>)</w:t>
      </w:r>
      <w:r w:rsidR="00354F07" w:rsidRPr="009233CA">
        <w:rPr>
          <w:rFonts w:asciiTheme="majorHAnsi" w:hAnsiTheme="majorHAnsi"/>
          <w:iCs/>
          <w:color w:val="AC411A" w:themeColor="accent4" w:themeShade="BF"/>
          <w:sz w:val="20"/>
          <w:szCs w:val="18"/>
        </w:rPr>
        <w:t xml:space="preserve"> </w:t>
      </w:r>
    </w:p>
    <w:p w14:paraId="5199F4D5" w14:textId="16EA08E5" w:rsidR="0021609D" w:rsidRDefault="009233CA" w:rsidP="00690110">
      <w:pPr>
        <w:pStyle w:val="Note"/>
      </w:pPr>
      <w:r w:rsidRPr="009233CA">
        <w:rPr>
          <w:noProof/>
        </w:rPr>
        <w:drawing>
          <wp:inline distT="0" distB="0" distL="0" distR="0" wp14:anchorId="6209348C" wp14:editId="674F278A">
            <wp:extent cx="5796915" cy="3157220"/>
            <wp:effectExtent l="0" t="0" r="0" b="0"/>
            <wp:docPr id="12278829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96915" cy="3157220"/>
                    </a:xfrm>
                    <a:prstGeom prst="rect">
                      <a:avLst/>
                    </a:prstGeom>
                    <a:noFill/>
                    <a:ln>
                      <a:noFill/>
                    </a:ln>
                  </pic:spPr>
                </pic:pic>
              </a:graphicData>
            </a:graphic>
          </wp:inline>
        </w:drawing>
      </w:r>
    </w:p>
    <w:p w14:paraId="25E2D570" w14:textId="65B0FAFF" w:rsidR="00CB3EF5" w:rsidRDefault="00CB3EF5" w:rsidP="00690110">
      <w:pPr>
        <w:pStyle w:val="Note"/>
      </w:pPr>
      <w:r w:rsidRPr="007F31E5">
        <w:rPr>
          <w:b/>
        </w:rPr>
        <w:t>a.</w:t>
      </w:r>
      <w:r>
        <w:t xml:space="preserve"> </w:t>
      </w:r>
      <w:r w:rsidR="00690110">
        <w:t xml:space="preserve">Data is for the </w:t>
      </w:r>
      <w:r w:rsidR="0007778A">
        <w:t>p</w:t>
      </w:r>
      <w:r w:rsidR="00690110">
        <w:t xml:space="preserve">lacement element of the </w:t>
      </w:r>
      <w:r w:rsidR="00C94387" w:rsidRPr="00C94387">
        <w:t>ATSICPP</w:t>
      </w:r>
      <w:r w:rsidR="00BA09D5">
        <w:t xml:space="preserve">, </w:t>
      </w:r>
      <w:r w:rsidR="00C94387" w:rsidRPr="00C94387">
        <w:t xml:space="preserve">children </w:t>
      </w:r>
      <w:r w:rsidR="000375BA">
        <w:t xml:space="preserve">placed to ensure the highest possible </w:t>
      </w:r>
      <w:r w:rsidR="006514B1">
        <w:t>level of connection to family, community</w:t>
      </w:r>
      <w:r w:rsidR="00F46CD8">
        <w:t xml:space="preserve">, culture and Country. </w:t>
      </w:r>
    </w:p>
    <w:p w14:paraId="3B5830EC" w14:textId="4B9B74F6" w:rsidR="00617A8A" w:rsidRPr="00F82968" w:rsidRDefault="00617A8A" w:rsidP="00F82968">
      <w:pPr>
        <w:pStyle w:val="Source"/>
        <w:rPr>
          <w:rFonts w:asciiTheme="majorHAnsi" w:hAnsiTheme="majorHAnsi"/>
          <w:color w:val="AC411A" w:themeColor="accent4" w:themeShade="BF"/>
        </w:rPr>
      </w:pPr>
      <w:r>
        <w:rPr>
          <w:lang w:eastAsia="en-AU"/>
        </w:rPr>
        <w:t xml:space="preserve">Source: </w:t>
      </w:r>
      <w:r w:rsidR="00EF0E67">
        <w:rPr>
          <w:lang w:eastAsia="en-AU"/>
        </w:rPr>
        <w:t>Derived from AIHW (unpublished) Child protection Australia</w:t>
      </w:r>
    </w:p>
    <w:p w14:paraId="078DD060" w14:textId="5B5DDF9B" w:rsidR="00EE5A7B" w:rsidRPr="00216127" w:rsidRDefault="00EE5A7B" w:rsidP="00FE515B">
      <w:pPr>
        <w:pStyle w:val="BodyText"/>
        <w:rPr>
          <w:lang w:eastAsia="en-AU"/>
        </w:rPr>
      </w:pPr>
      <w:r w:rsidRPr="00216127">
        <w:rPr>
          <w:lang w:eastAsia="en-AU"/>
        </w:rPr>
        <w:lastRenderedPageBreak/>
        <w:t>In 2023, around two in five (41.1%) Aboriginal and Torres Strait Islander children in out-of-home care were living with Aboriginal and Torres Strait Islander relatives, kin or carers</w:t>
      </w:r>
      <w:r w:rsidR="67A857BB" w:rsidRPr="00216127">
        <w:rPr>
          <w:lang w:eastAsia="en-AU"/>
        </w:rPr>
        <w:t xml:space="preserve"> (figure</w:t>
      </w:r>
      <w:r w:rsidR="26890E0B" w:rsidRPr="00216127">
        <w:rPr>
          <w:lang w:eastAsia="en-AU"/>
        </w:rPr>
        <w:t xml:space="preserve"> 2.1</w:t>
      </w:r>
      <w:r w:rsidR="001E79C1" w:rsidRPr="00216127">
        <w:rPr>
          <w:lang w:eastAsia="en-AU"/>
        </w:rPr>
        <w:t>2</w:t>
      </w:r>
      <w:r w:rsidR="26890E0B" w:rsidRPr="00216127">
        <w:rPr>
          <w:lang w:eastAsia="en-AU"/>
        </w:rPr>
        <w:t>)</w:t>
      </w:r>
      <w:r w:rsidRPr="00216127">
        <w:rPr>
          <w:lang w:eastAsia="en-AU"/>
        </w:rPr>
        <w:t xml:space="preserve">. This proportion – </w:t>
      </w:r>
      <w:r w:rsidR="174D58E5" w:rsidRPr="00216127">
        <w:rPr>
          <w:lang w:eastAsia="en-AU"/>
        </w:rPr>
        <w:t xml:space="preserve">which is related to </w:t>
      </w:r>
      <w:r w:rsidR="009A2F94" w:rsidRPr="00216127">
        <w:rPr>
          <w:lang w:eastAsia="en-AU"/>
        </w:rPr>
        <w:t>t</w:t>
      </w:r>
      <w:r w:rsidRPr="00216127">
        <w:rPr>
          <w:lang w:eastAsia="en-AU"/>
        </w:rPr>
        <w:t>he connection element of the ATSICPP – has declined since 2019</w:t>
      </w:r>
      <w:r w:rsidR="00837621" w:rsidRPr="00216127">
        <w:rPr>
          <w:lang w:eastAsia="en-AU"/>
        </w:rPr>
        <w:t>, when it was</w:t>
      </w:r>
      <w:r w:rsidRPr="00216127">
        <w:rPr>
          <w:lang w:eastAsia="en-AU"/>
        </w:rPr>
        <w:t xml:space="preserve"> 43.4%.</w:t>
      </w:r>
    </w:p>
    <w:p w14:paraId="667FB63C" w14:textId="006AFD6B" w:rsidR="00EE5A7B" w:rsidRPr="00173782" w:rsidRDefault="00701353" w:rsidP="009B7E3E">
      <w:pPr>
        <w:pStyle w:val="Heading5"/>
        <w:rPr>
          <w:color w:val="732B11" w:themeColor="accent4" w:themeShade="80"/>
        </w:rPr>
      </w:pPr>
      <w:r w:rsidRPr="00173782">
        <w:rPr>
          <w:color w:val="732B11" w:themeColor="accent4" w:themeShade="80"/>
        </w:rPr>
        <w:t>Mixed outcomes</w:t>
      </w:r>
      <w:r w:rsidR="00EE5A7B" w:rsidRPr="00173782" w:rsidDel="00701353">
        <w:rPr>
          <w:color w:val="732B11" w:themeColor="accent4" w:themeShade="80"/>
        </w:rPr>
        <w:t xml:space="preserve"> </w:t>
      </w:r>
      <w:r w:rsidR="00EE5A7B" w:rsidRPr="00173782">
        <w:rPr>
          <w:color w:val="732B11" w:themeColor="accent4" w:themeShade="80"/>
        </w:rPr>
        <w:t>for rates of substantiation of a child protection notification</w:t>
      </w:r>
    </w:p>
    <w:p w14:paraId="20023659" w14:textId="01B8ECB8" w:rsidR="00EE5A7B" w:rsidRPr="00216127" w:rsidRDefault="628172E1" w:rsidP="00FE515B">
      <w:pPr>
        <w:pStyle w:val="BodyText"/>
      </w:pPr>
      <w:r w:rsidRPr="00216127">
        <w:t>T</w:t>
      </w:r>
      <w:r w:rsidR="00FF474D" w:rsidRPr="00216127">
        <w:t>he rate of Aboriginal and Torres Strait Islander children</w:t>
      </w:r>
      <w:r w:rsidR="00714DD7" w:rsidRPr="00216127" w:rsidDel="00FF474D">
        <w:t xml:space="preserve"> </w:t>
      </w:r>
      <w:r w:rsidR="00FF474D" w:rsidRPr="00216127">
        <w:t xml:space="preserve">that were the subject of a substantiated child protection notification </w:t>
      </w:r>
      <w:r w:rsidR="00D9232D" w:rsidRPr="00216127">
        <w:t xml:space="preserve">– </w:t>
      </w:r>
      <w:r w:rsidR="3058C13C" w:rsidRPr="00216127">
        <w:t xml:space="preserve">Indicator 12m – </w:t>
      </w:r>
      <w:r w:rsidR="00D9232D" w:rsidRPr="00216127">
        <w:t xml:space="preserve">can provide additional context for this outcome area. </w:t>
      </w:r>
      <w:r w:rsidR="00EE5A7B" w:rsidRPr="00216127">
        <w:t>In 2022</w:t>
      </w:r>
      <w:r w:rsidR="00EE5A7B" w:rsidRPr="00216127" w:rsidDel="00070A90">
        <w:t>-</w:t>
      </w:r>
      <w:r w:rsidR="00EE5A7B" w:rsidRPr="00216127">
        <w:t>23, 40.5</w:t>
      </w:r>
      <w:r w:rsidR="008961A1" w:rsidRPr="00216127">
        <w:t> </w:t>
      </w:r>
      <w:r w:rsidR="00EE5A7B" w:rsidRPr="00216127">
        <w:t>per 1,000 Aboriginal and Torres Strait Islander children aged 0</w:t>
      </w:r>
      <w:r w:rsidR="00070A90" w:rsidRPr="00216127">
        <w:rPr>
          <w:rStyle w:val="normaltextrun"/>
          <w:rFonts w:ascii="Arial (Body)" w:hAnsi="Arial (Body)" w:cs="Arial"/>
          <w:color w:val="000000"/>
          <w:bdr w:val="none" w:sz="0" w:space="0" w:color="auto" w:frame="1"/>
        </w:rPr>
        <w:t>–</w:t>
      </w:r>
      <w:r w:rsidR="00EE5A7B" w:rsidRPr="00216127">
        <w:t xml:space="preserve">17 years were </w:t>
      </w:r>
      <w:r w:rsidR="00C774EF" w:rsidRPr="00216127">
        <w:t>the</w:t>
      </w:r>
      <w:r w:rsidR="00EE5A7B" w:rsidRPr="00216127">
        <w:t xml:space="preserve"> subject </w:t>
      </w:r>
      <w:r w:rsidR="00AE3140" w:rsidRPr="00216127">
        <w:t>of</w:t>
      </w:r>
      <w:r w:rsidR="00EE5A7B" w:rsidRPr="00216127">
        <w:t xml:space="preserve"> a substantiated child protection notification. The most common type of abuse leading to a substantiation was emotional abuse (20.8 per 1,000 children) followed by neglect (11.4 per 1,000 children), physical abuse (4.6</w:t>
      </w:r>
      <w:r w:rsidR="008F4539" w:rsidRPr="00216127">
        <w:t> </w:t>
      </w:r>
      <w:r w:rsidR="00EE5A7B" w:rsidRPr="00216127">
        <w:t>per 1,000 children) and sexual abuse (2.8 per 1,000 children).</w:t>
      </w:r>
    </w:p>
    <w:p w14:paraId="5072EC2B" w14:textId="2CFB4AA9" w:rsidR="0075503A" w:rsidRPr="007B3DCE" w:rsidRDefault="00EE5A7B" w:rsidP="00FE515B">
      <w:pPr>
        <w:pStyle w:val="BodyText"/>
        <w:rPr>
          <w:color w:val="FF00FF"/>
        </w:rPr>
      </w:pPr>
      <w:r w:rsidRPr="00216127">
        <w:t>Nationally, rates have decreased from the previous year (2021</w:t>
      </w:r>
      <w:r w:rsidR="00093796" w:rsidRPr="00216127">
        <w:rPr>
          <w:rStyle w:val="normaltextrun"/>
          <w:rFonts w:ascii="Arial (Body)" w:hAnsi="Arial (Body)" w:cs="Arial"/>
          <w:color w:val="000000"/>
          <w:bdr w:val="none" w:sz="0" w:space="0" w:color="auto" w:frame="1"/>
        </w:rPr>
        <w:t>-</w:t>
      </w:r>
      <w:r w:rsidRPr="00216127">
        <w:t xml:space="preserve">22) for neglect and physical abuse, however they have increased for emotional abuse and sexual abuse. Since </w:t>
      </w:r>
      <w:r w:rsidR="00701E66" w:rsidRPr="00216127">
        <w:t>the baseline</w:t>
      </w:r>
      <w:r w:rsidR="00002571" w:rsidRPr="00216127">
        <w:t xml:space="preserve"> (2018</w:t>
      </w:r>
      <w:r w:rsidR="00093796" w:rsidRPr="00216127">
        <w:rPr>
          <w:rStyle w:val="normaltextrun"/>
          <w:rFonts w:ascii="Arial (Body)" w:hAnsi="Arial (Body)" w:cs="Arial"/>
          <w:color w:val="000000"/>
          <w:bdr w:val="none" w:sz="0" w:space="0" w:color="auto" w:frame="1"/>
        </w:rPr>
        <w:t>-</w:t>
      </w:r>
      <w:r w:rsidR="00002571" w:rsidRPr="00216127">
        <w:t>19)</w:t>
      </w:r>
      <w:r w:rsidR="001A6619" w:rsidRPr="00216127">
        <w:t>,</w:t>
      </w:r>
      <w:r w:rsidR="00701E66" w:rsidRPr="00216127">
        <w:t xml:space="preserve"> </w:t>
      </w:r>
      <w:r w:rsidRPr="00216127">
        <w:t>the rate for emotional abuse has increased</w:t>
      </w:r>
      <w:r w:rsidR="0024708F" w:rsidRPr="00216127">
        <w:t>,</w:t>
      </w:r>
      <w:r w:rsidRPr="00216127">
        <w:t xml:space="preserve"> however rates for the other </w:t>
      </w:r>
      <w:r w:rsidR="00074845" w:rsidRPr="00216127">
        <w:t xml:space="preserve">types of </w:t>
      </w:r>
      <w:r w:rsidRPr="00216127">
        <w:t xml:space="preserve">abuse </w:t>
      </w:r>
      <w:r w:rsidR="001B2BF3" w:rsidRPr="00216127">
        <w:t>remained constant</w:t>
      </w:r>
      <w:r w:rsidR="005623C8" w:rsidRPr="00216127">
        <w:t xml:space="preserve"> </w:t>
      </w:r>
      <w:r w:rsidR="0024708F" w:rsidRPr="00216127">
        <w:t xml:space="preserve">or </w:t>
      </w:r>
      <w:r w:rsidRPr="00216127">
        <w:t>declined</w:t>
      </w:r>
      <w:r w:rsidR="00BA43D5" w:rsidRPr="00216127">
        <w:t xml:space="preserve"> over the same period</w:t>
      </w:r>
      <w:r w:rsidRPr="00216127">
        <w:t>.</w:t>
      </w:r>
    </w:p>
    <w:p w14:paraId="6C0ABFA4" w14:textId="77777777" w:rsidR="00150C16" w:rsidRPr="007B3DCE" w:rsidRDefault="00150C16" w:rsidP="009B7E3E">
      <w:pPr>
        <w:pStyle w:val="Heading3"/>
        <w:rPr>
          <w:color w:val="854B1F"/>
        </w:rPr>
      </w:pPr>
      <w:bookmarkStart w:id="28" w:name="_Toc167878549"/>
      <w:r w:rsidRPr="007B3DCE">
        <w:rPr>
          <w:color w:val="854B1F"/>
        </w:rPr>
        <w:t>Outcome 13: Aboriginal and Torres Strait Islander families and households are safe</w:t>
      </w:r>
      <w:bookmarkEnd w:id="28"/>
    </w:p>
    <w:p w14:paraId="556807C3" w14:textId="127476EA" w:rsidR="00B93B9B" w:rsidRPr="007B3DCE" w:rsidRDefault="009E1C68" w:rsidP="00AD2049">
      <w:pPr>
        <w:pStyle w:val="Heading4"/>
        <w:rPr>
          <w:color w:val="AC411A" w:themeColor="accent4" w:themeShade="BF"/>
        </w:rPr>
      </w:pPr>
      <w:r w:rsidRPr="007B3DCE">
        <w:rPr>
          <w:color w:val="AC411A" w:themeColor="accent4" w:themeShade="BF"/>
        </w:rPr>
        <w:t>N</w:t>
      </w:r>
      <w:r w:rsidR="00150C16" w:rsidRPr="007B3DCE">
        <w:rPr>
          <w:color w:val="AC411A" w:themeColor="accent4" w:themeShade="BF"/>
        </w:rPr>
        <w:t xml:space="preserve">o data </w:t>
      </w:r>
      <w:r w:rsidR="00C86FE2" w:rsidRPr="007B3DCE">
        <w:rPr>
          <w:color w:val="AC411A" w:themeColor="accent4" w:themeShade="BF"/>
        </w:rPr>
        <w:t xml:space="preserve">is </w:t>
      </w:r>
      <w:r w:rsidR="00150C16" w:rsidRPr="007B3DCE">
        <w:rPr>
          <w:color w:val="AC411A" w:themeColor="accent4" w:themeShade="BF"/>
        </w:rPr>
        <w:t xml:space="preserve">available </w:t>
      </w:r>
      <w:r w:rsidR="00150C16" w:rsidRPr="001B6573">
        <w:rPr>
          <w:color w:val="AC411A"/>
        </w:rPr>
        <w:t xml:space="preserve">to track </w:t>
      </w:r>
      <w:r w:rsidR="72141AC6" w:rsidRPr="001B6573">
        <w:rPr>
          <w:color w:val="AC411A"/>
        </w:rPr>
        <w:t>all forms</w:t>
      </w:r>
      <w:r w:rsidR="72141AC6" w:rsidRPr="007B3DCE">
        <w:rPr>
          <w:color w:val="AC411A" w:themeColor="accent4" w:themeShade="BF"/>
        </w:rPr>
        <w:t xml:space="preserve"> of family violence and abuse against </w:t>
      </w:r>
      <w:r w:rsidR="00150C16" w:rsidRPr="007B3DCE">
        <w:rPr>
          <w:color w:val="AC411A" w:themeColor="accent4" w:themeShade="BF"/>
        </w:rPr>
        <w:t>Aboriginal</w:t>
      </w:r>
      <w:r w:rsidR="00150C16" w:rsidRPr="007B3DCE">
        <w:rPr>
          <w:rFonts w:eastAsia="Times New Roman"/>
          <w:color w:val="AC411A" w:themeColor="accent4" w:themeShade="BF"/>
          <w:sz w:val="28"/>
          <w:szCs w:val="28"/>
        </w:rPr>
        <w:t xml:space="preserve"> </w:t>
      </w:r>
      <w:r w:rsidR="00150C16" w:rsidRPr="007B3DCE">
        <w:rPr>
          <w:color w:val="AC411A" w:themeColor="accent4" w:themeShade="BF"/>
        </w:rPr>
        <w:t xml:space="preserve">and Torres Strait Islander females </w:t>
      </w:r>
      <w:r w:rsidR="2487C857" w:rsidRPr="007B3DCE">
        <w:rPr>
          <w:color w:val="AC411A" w:themeColor="accent4" w:themeShade="BF"/>
        </w:rPr>
        <w:t xml:space="preserve">and children </w:t>
      </w:r>
    </w:p>
    <w:p w14:paraId="241EE3A3" w14:textId="42589E7B" w:rsidR="0020736E" w:rsidRPr="007B3DCE" w:rsidRDefault="007708A1" w:rsidP="00FE515B">
      <w:pPr>
        <w:pStyle w:val="BodyText"/>
      </w:pPr>
      <w:r w:rsidRPr="00216127">
        <w:t>No new data is available</w:t>
      </w:r>
      <w:r w:rsidR="000A7A63" w:rsidRPr="00216127">
        <w:t xml:space="preserve"> since the baseline year</w:t>
      </w:r>
      <w:r w:rsidR="004A081C" w:rsidRPr="00216127">
        <w:t xml:space="preserve"> </w:t>
      </w:r>
      <w:r w:rsidR="003C7939" w:rsidRPr="00216127">
        <w:t>(</w:t>
      </w:r>
      <w:r w:rsidR="004A081C" w:rsidRPr="00216127">
        <w:t>2018</w:t>
      </w:r>
      <w:r w:rsidR="000A7A63" w:rsidRPr="00216127">
        <w:t>)</w:t>
      </w:r>
      <w:r w:rsidRPr="00216127">
        <w:t xml:space="preserve"> on the </w:t>
      </w:r>
      <w:r w:rsidR="00E979A0" w:rsidRPr="00216127">
        <w:t xml:space="preserve">proportion of Aboriginal and Torres Strait Islander </w:t>
      </w:r>
      <w:r w:rsidR="00390117" w:rsidRPr="00216127">
        <w:t xml:space="preserve">females </w:t>
      </w:r>
      <w:r w:rsidR="54A45914" w:rsidRPr="00216127">
        <w:t>or children</w:t>
      </w:r>
      <w:r w:rsidR="00390117" w:rsidRPr="00216127">
        <w:t xml:space="preserve"> who have experienced family violence</w:t>
      </w:r>
      <w:r w:rsidR="00A22744" w:rsidRPr="00216127">
        <w:t xml:space="preserve">. </w:t>
      </w:r>
      <w:r w:rsidR="004A081C" w:rsidRPr="00216127">
        <w:t>This is</w:t>
      </w:r>
      <w:r w:rsidR="00CB3D90" w:rsidRPr="00216127">
        <w:t xml:space="preserve"> </w:t>
      </w:r>
      <w:r w:rsidR="00CB3D90" w:rsidRPr="007B3DCE">
        <w:t xml:space="preserve">due to concerns with how the data was collected and </w:t>
      </w:r>
      <w:r w:rsidR="00851067" w:rsidRPr="007B3DCE">
        <w:t xml:space="preserve">the potential risk of harm </w:t>
      </w:r>
      <w:r w:rsidR="5C4590FE" w:rsidRPr="007B3DCE">
        <w:t>this</w:t>
      </w:r>
      <w:r w:rsidR="00851067" w:rsidRPr="007B3DCE">
        <w:t xml:space="preserve"> </w:t>
      </w:r>
      <w:r w:rsidR="7D624BBF" w:rsidRPr="007B3DCE">
        <w:t xml:space="preserve">data collection </w:t>
      </w:r>
      <w:r w:rsidR="4A2CA1C4" w:rsidRPr="007B3DCE">
        <w:t xml:space="preserve">caused for </w:t>
      </w:r>
      <w:r w:rsidR="00851067" w:rsidRPr="007B3DCE">
        <w:t>participants.</w:t>
      </w:r>
      <w:r w:rsidR="00CB3D90" w:rsidRPr="007B3DCE">
        <w:t xml:space="preserve"> There is a need for ethical, fit</w:t>
      </w:r>
      <w:r w:rsidR="00085566">
        <w:t>-</w:t>
      </w:r>
      <w:r w:rsidR="00CB3D90" w:rsidRPr="007B3DCE">
        <w:t>for</w:t>
      </w:r>
      <w:r w:rsidR="00085566">
        <w:t>-</w:t>
      </w:r>
      <w:r w:rsidR="00CB3D90" w:rsidRPr="007B3DCE">
        <w:t xml:space="preserve">purpose data but no </w:t>
      </w:r>
      <w:r w:rsidR="00085566">
        <w:t>such</w:t>
      </w:r>
      <w:r w:rsidR="00CB3D90" w:rsidRPr="007B3DCE">
        <w:t xml:space="preserve"> future data source has been identified </w:t>
      </w:r>
      <w:r w:rsidR="00E95E79" w:rsidRPr="00216127">
        <w:t>(ABS 2022b)</w:t>
      </w:r>
      <w:r w:rsidR="00CB3D90" w:rsidRPr="007B3DCE">
        <w:t>. While the lack of new data makes assessing progress difficult, evidence from research and multiple inquiries</w:t>
      </w:r>
      <w:r w:rsidR="00E06F05" w:rsidRPr="007B3DCE">
        <w:t xml:space="preserve"> </w:t>
      </w:r>
      <w:r w:rsidR="00CB3D90" w:rsidRPr="007B3DCE">
        <w:t>makes it clear that family violence is a complex and significant issue in Australia</w:t>
      </w:r>
      <w:r w:rsidR="211F68D1" w:rsidRPr="007B3DCE">
        <w:t>, particularly for Aboriginal and Torres Strait Islander women</w:t>
      </w:r>
      <w:r w:rsidR="0020469E">
        <w:t xml:space="preserve"> and children</w:t>
      </w:r>
      <w:r w:rsidR="00CB3D90" w:rsidRPr="007B3DCE">
        <w:t xml:space="preserve">. </w:t>
      </w:r>
    </w:p>
    <w:p w14:paraId="37B50C82" w14:textId="56E4D727" w:rsidR="00150C16" w:rsidRPr="007B3DCE" w:rsidRDefault="6D700156" w:rsidP="009B7E3E">
      <w:pPr>
        <w:pStyle w:val="Heading5"/>
        <w:rPr>
          <w:color w:val="854B1F"/>
        </w:rPr>
      </w:pPr>
      <w:r w:rsidRPr="007B3DCE">
        <w:rPr>
          <w:color w:val="854B1F"/>
        </w:rPr>
        <w:t>H</w:t>
      </w:r>
      <w:r w:rsidR="00150C16" w:rsidRPr="007B3DCE">
        <w:rPr>
          <w:color w:val="854B1F"/>
        </w:rPr>
        <w:t xml:space="preserve">ospitalisations for family violence </w:t>
      </w:r>
      <w:r w:rsidR="4A9AFED5" w:rsidRPr="007B3DCE">
        <w:rPr>
          <w:color w:val="854B1F"/>
        </w:rPr>
        <w:t>are declining</w:t>
      </w:r>
    </w:p>
    <w:p w14:paraId="2DF436C2" w14:textId="4FE98FF4" w:rsidR="00BE00F5" w:rsidRDefault="0036320F" w:rsidP="00FE515B">
      <w:pPr>
        <w:pStyle w:val="BodyText"/>
      </w:pPr>
      <w:r w:rsidRPr="00216127">
        <w:t>From 2018</w:t>
      </w:r>
      <w:r w:rsidR="00EB1F68" w:rsidRPr="00216127">
        <w:rPr>
          <w:rStyle w:val="normaltextrun"/>
          <w:rFonts w:ascii="Arial (Body)" w:hAnsi="Arial (Body)" w:cs="Arial"/>
          <w:color w:val="000000"/>
          <w:bdr w:val="none" w:sz="0" w:space="0" w:color="auto" w:frame="1"/>
        </w:rPr>
        <w:t>-</w:t>
      </w:r>
      <w:r w:rsidRPr="00216127">
        <w:t>19 to 2020</w:t>
      </w:r>
      <w:r w:rsidR="00EB1F68" w:rsidRPr="00216127">
        <w:rPr>
          <w:rStyle w:val="normaltextrun"/>
          <w:rFonts w:ascii="Arial (Body)" w:hAnsi="Arial (Body)" w:cs="Arial"/>
          <w:color w:val="000000"/>
          <w:bdr w:val="none" w:sz="0" w:space="0" w:color="auto" w:frame="1"/>
        </w:rPr>
        <w:t>-</w:t>
      </w:r>
      <w:r w:rsidRPr="00216127">
        <w:t>21</w:t>
      </w:r>
      <w:r w:rsidR="002A323A" w:rsidRPr="00216127">
        <w:t xml:space="preserve">, there </w:t>
      </w:r>
      <w:r w:rsidRPr="00216127">
        <w:t>was</w:t>
      </w:r>
      <w:r w:rsidR="002A323A" w:rsidRPr="00216127">
        <w:t xml:space="preserve"> an </w:t>
      </w:r>
      <w:r w:rsidR="000B659A" w:rsidRPr="00216127">
        <w:t>increasing trend</w:t>
      </w:r>
      <w:r w:rsidR="002A323A" w:rsidRPr="00216127">
        <w:t xml:space="preserve"> in </w:t>
      </w:r>
      <w:r w:rsidR="000A4B2F" w:rsidRPr="00216127">
        <w:t xml:space="preserve">the rate of </w:t>
      </w:r>
      <w:r w:rsidR="002A323A" w:rsidRPr="00216127">
        <w:t>hospitalisations for family violence</w:t>
      </w:r>
      <w:r w:rsidR="00BE4C1E" w:rsidRPr="00216127">
        <w:t xml:space="preserve"> (Indicator 13h</w:t>
      </w:r>
      <w:r w:rsidR="000F100C" w:rsidRPr="00216127">
        <w:t>).</w:t>
      </w:r>
      <w:r w:rsidR="000B659A" w:rsidRPr="00216127">
        <w:t xml:space="preserve"> </w:t>
      </w:r>
      <w:r w:rsidR="002A323A" w:rsidRPr="00216127">
        <w:t>However, n</w:t>
      </w:r>
      <w:r w:rsidR="00C73460" w:rsidRPr="00216127">
        <w:t xml:space="preserve">ew data on hospitalisations for family violence shows </w:t>
      </w:r>
      <w:r w:rsidR="00845D99" w:rsidRPr="00216127">
        <w:t>a</w:t>
      </w:r>
      <w:r w:rsidR="00A955D6" w:rsidRPr="00216127">
        <w:t xml:space="preserve"> decrease</w:t>
      </w:r>
      <w:r w:rsidR="00DE241F" w:rsidRPr="00216127">
        <w:t xml:space="preserve"> in 2021</w:t>
      </w:r>
      <w:r w:rsidR="007D2D72" w:rsidRPr="00216127">
        <w:rPr>
          <w:rStyle w:val="normaltextrun"/>
          <w:rFonts w:ascii="Arial (Body)" w:hAnsi="Arial (Body)" w:cs="Arial"/>
          <w:color w:val="000000"/>
          <w:bdr w:val="none" w:sz="0" w:space="0" w:color="auto" w:frame="1"/>
        </w:rPr>
        <w:t>-</w:t>
      </w:r>
      <w:r w:rsidR="00DE241F" w:rsidRPr="00216127">
        <w:t>22</w:t>
      </w:r>
      <w:r w:rsidR="009B69E1" w:rsidRPr="00216127">
        <w:t>, w</w:t>
      </w:r>
      <w:r w:rsidR="002A323A" w:rsidRPr="00216127">
        <w:t>ith</w:t>
      </w:r>
      <w:r w:rsidR="009B69E1" w:rsidRPr="00216127">
        <w:t xml:space="preserve"> rates </w:t>
      </w:r>
      <w:r w:rsidR="002A323A" w:rsidRPr="00216127">
        <w:t xml:space="preserve">falling </w:t>
      </w:r>
      <w:r w:rsidR="009B69E1" w:rsidRPr="00216127">
        <w:t>below 2018</w:t>
      </w:r>
      <w:r w:rsidR="007D2D72" w:rsidRPr="00216127">
        <w:rPr>
          <w:rStyle w:val="normaltextrun"/>
          <w:rFonts w:ascii="Arial (Body)" w:hAnsi="Arial (Body)" w:cs="Arial"/>
          <w:color w:val="000000"/>
          <w:bdr w:val="none" w:sz="0" w:space="0" w:color="auto" w:frame="1"/>
        </w:rPr>
        <w:t>-</w:t>
      </w:r>
      <w:r w:rsidR="009B69E1" w:rsidRPr="00216127">
        <w:t>19 levels</w:t>
      </w:r>
      <w:r w:rsidR="005A3750" w:rsidRPr="00216127">
        <w:t xml:space="preserve"> </w:t>
      </w:r>
      <w:r w:rsidR="303F0145" w:rsidRPr="00216127">
        <w:t xml:space="preserve">(figure </w:t>
      </w:r>
      <w:r w:rsidR="00F90983" w:rsidRPr="00216127">
        <w:t>2</w:t>
      </w:r>
      <w:r w:rsidR="303F0145" w:rsidRPr="00216127">
        <w:t>.</w:t>
      </w:r>
      <w:r w:rsidR="00F90983" w:rsidRPr="00216127">
        <w:t>1</w:t>
      </w:r>
      <w:r w:rsidR="00F833BD" w:rsidRPr="00216127">
        <w:t>3</w:t>
      </w:r>
      <w:r w:rsidR="303F0145" w:rsidRPr="00216127">
        <w:t xml:space="preserve">). </w:t>
      </w:r>
      <w:r w:rsidR="00150C16" w:rsidRPr="00216127">
        <w:rPr>
          <w:color w:val="212529"/>
          <w:shd w:val="clear" w:color="auto" w:fill="FFFFFF"/>
        </w:rPr>
        <w:t>Nationally in 2021</w:t>
      </w:r>
      <w:r w:rsidR="007D2D72" w:rsidRPr="00216127">
        <w:rPr>
          <w:rStyle w:val="normaltextrun"/>
          <w:rFonts w:ascii="Arial (Body)" w:hAnsi="Arial (Body)" w:cs="Arial"/>
          <w:color w:val="000000"/>
          <w:bdr w:val="none" w:sz="0" w:space="0" w:color="auto" w:frame="1"/>
        </w:rPr>
        <w:t>-</w:t>
      </w:r>
      <w:r w:rsidR="00150C16" w:rsidRPr="00216127">
        <w:rPr>
          <w:color w:val="212529"/>
          <w:shd w:val="clear" w:color="auto" w:fill="FFFFFF"/>
        </w:rPr>
        <w:t>22,</w:t>
      </w:r>
      <w:r w:rsidR="00150C16" w:rsidRPr="00216127">
        <w:rPr>
          <w:color w:val="212529"/>
        </w:rPr>
        <w:t xml:space="preserve"> </w:t>
      </w:r>
      <w:r w:rsidR="70B47B9A" w:rsidRPr="00216127">
        <w:rPr>
          <w:color w:val="212529"/>
        </w:rPr>
        <w:t xml:space="preserve">hospitalisation </w:t>
      </w:r>
      <w:r w:rsidR="28069534" w:rsidRPr="00216127">
        <w:rPr>
          <w:color w:val="212529"/>
        </w:rPr>
        <w:t>rate</w:t>
      </w:r>
      <w:r w:rsidR="5D4F8AF7" w:rsidRPr="00216127">
        <w:rPr>
          <w:color w:val="212529"/>
        </w:rPr>
        <w:t>s</w:t>
      </w:r>
      <w:r w:rsidR="28069534" w:rsidRPr="00216127">
        <w:rPr>
          <w:color w:val="212529"/>
        </w:rPr>
        <w:t xml:space="preserve"> </w:t>
      </w:r>
      <w:r w:rsidR="4A785052" w:rsidRPr="00216127">
        <w:rPr>
          <w:color w:val="212529"/>
        </w:rPr>
        <w:t>for family violence among</w:t>
      </w:r>
      <w:r w:rsidR="28069534" w:rsidRPr="00216127">
        <w:rPr>
          <w:color w:val="212529"/>
        </w:rPr>
        <w:t xml:space="preserve"> </w:t>
      </w:r>
      <w:r w:rsidR="123278DA" w:rsidRPr="00216127">
        <w:rPr>
          <w:color w:val="212529"/>
        </w:rPr>
        <w:t>Aboriginal and Torres Strait Islander people</w:t>
      </w:r>
      <w:r w:rsidR="28069534" w:rsidRPr="00216127">
        <w:rPr>
          <w:color w:val="212529"/>
        </w:rPr>
        <w:t xml:space="preserve"> </w:t>
      </w:r>
      <w:r w:rsidR="68734E34" w:rsidRPr="00216127">
        <w:rPr>
          <w:color w:val="212529"/>
        </w:rPr>
        <w:t>were</w:t>
      </w:r>
      <w:r w:rsidR="00150C16" w:rsidRPr="00216127">
        <w:rPr>
          <w:color w:val="212529"/>
        </w:rPr>
        <w:t xml:space="preserve"> 778.0 per 100,000 </w:t>
      </w:r>
      <w:r w:rsidR="46F6F8FC" w:rsidRPr="00216127">
        <w:rPr>
          <w:color w:val="212529"/>
        </w:rPr>
        <w:t xml:space="preserve">females </w:t>
      </w:r>
      <w:r w:rsidR="00150C16" w:rsidRPr="00216127">
        <w:rPr>
          <w:color w:val="212529"/>
        </w:rPr>
        <w:t>aged</w:t>
      </w:r>
      <w:r w:rsidR="002C6CA0" w:rsidRPr="00216127">
        <w:rPr>
          <w:color w:val="212529"/>
        </w:rPr>
        <w:t xml:space="preserve"> </w:t>
      </w:r>
      <w:r w:rsidR="00150C16" w:rsidRPr="00216127">
        <w:rPr>
          <w:color w:val="212529"/>
        </w:rPr>
        <w:t xml:space="preserve">15 </w:t>
      </w:r>
      <w:r w:rsidR="4C93796D" w:rsidRPr="00216127">
        <w:rPr>
          <w:color w:val="212529"/>
        </w:rPr>
        <w:t xml:space="preserve">years </w:t>
      </w:r>
      <w:r w:rsidR="00150C16" w:rsidRPr="00216127">
        <w:rPr>
          <w:color w:val="212529"/>
        </w:rPr>
        <w:t>or over</w:t>
      </w:r>
      <w:r w:rsidR="4FCA0C3C" w:rsidRPr="00216127">
        <w:rPr>
          <w:color w:val="212529"/>
        </w:rPr>
        <w:t>, 233.5 per 100,00</w:t>
      </w:r>
      <w:r w:rsidR="3040242B" w:rsidRPr="00216127">
        <w:rPr>
          <w:rFonts w:eastAsia="Arial"/>
          <w:color w:val="212529"/>
          <w:sz w:val="19"/>
          <w:szCs w:val="19"/>
        </w:rPr>
        <w:t>0</w:t>
      </w:r>
      <w:r w:rsidR="3040242B" w:rsidRPr="00216127">
        <w:rPr>
          <w:rFonts w:eastAsia="Arial"/>
        </w:rPr>
        <w:t xml:space="preserve"> males aged 15 years or over and </w:t>
      </w:r>
      <w:r w:rsidR="718B3D6B" w:rsidRPr="00216127">
        <w:rPr>
          <w:color w:val="212529"/>
        </w:rPr>
        <w:t xml:space="preserve">31.4 per 100,000 </w:t>
      </w:r>
      <w:r w:rsidR="1EB5AD85" w:rsidRPr="00216127">
        <w:rPr>
          <w:color w:val="212529"/>
        </w:rPr>
        <w:t>children</w:t>
      </w:r>
      <w:r w:rsidR="00150C16" w:rsidRPr="00216127">
        <w:rPr>
          <w:color w:val="212529"/>
        </w:rPr>
        <w:t xml:space="preserve"> under 15 </w:t>
      </w:r>
      <w:r w:rsidR="6C406891" w:rsidRPr="00216127">
        <w:rPr>
          <w:color w:val="212529"/>
        </w:rPr>
        <w:t>years</w:t>
      </w:r>
      <w:r w:rsidR="00150C16" w:rsidRPr="00216127">
        <w:rPr>
          <w:color w:val="212529"/>
        </w:rPr>
        <w:t xml:space="preserve">. </w:t>
      </w:r>
      <w:r w:rsidR="00DC2866" w:rsidRPr="00216127">
        <w:t xml:space="preserve">Care should be exercised when interpreting family violence data (box 2.8 </w:t>
      </w:r>
      <w:r w:rsidR="00D75ED1" w:rsidRPr="00216127">
        <w:t xml:space="preserve">outlines </w:t>
      </w:r>
      <w:r w:rsidR="00DC2866" w:rsidRPr="00216127">
        <w:t>data considerations</w:t>
      </w:r>
      <w:r w:rsidR="00CE5FCA" w:rsidRPr="00216127">
        <w:t>).</w:t>
      </w:r>
    </w:p>
    <w:p w14:paraId="31E45FCE" w14:textId="77777777" w:rsidR="00BE00F5" w:rsidRDefault="00BE00F5">
      <w:pPr>
        <w:spacing w:before="0" w:after="160" w:line="259" w:lineRule="auto"/>
      </w:pPr>
      <w:r>
        <w:br w:type="page"/>
      </w:r>
    </w:p>
    <w:tbl>
      <w:tblPr>
        <w:tblStyle w:val="Boxtable"/>
        <w:tblpPr w:leftFromText="180" w:rightFromText="180" w:vertAnchor="text" w:horzAnchor="margin" w:tblpY="165"/>
        <w:tblW w:w="5000" w:type="pct"/>
        <w:tblLook w:val="04A0" w:firstRow="1" w:lastRow="0" w:firstColumn="1" w:lastColumn="0" w:noHBand="0" w:noVBand="1"/>
      </w:tblPr>
      <w:tblGrid>
        <w:gridCol w:w="9638"/>
      </w:tblGrid>
      <w:tr w:rsidR="00101B3C" w:rsidRPr="007B3DCE" w14:paraId="126421AB" w14:textId="77777777" w:rsidTr="00101B3C">
        <w:trPr>
          <w:trHeight w:val="476"/>
          <w:tblHeader/>
        </w:trPr>
        <w:tc>
          <w:tcPr>
            <w:tcW w:w="9638" w:type="dxa"/>
            <w:shd w:val="clear" w:color="auto" w:fill="854B1F"/>
            <w:tcMar>
              <w:top w:w="170" w:type="dxa"/>
              <w:left w:w="170" w:type="dxa"/>
              <w:bottom w:w="113" w:type="dxa"/>
              <w:right w:w="170" w:type="dxa"/>
            </w:tcMar>
            <w:vAlign w:val="center"/>
            <w:hideMark/>
          </w:tcPr>
          <w:p w14:paraId="7B269662" w14:textId="77777777" w:rsidR="00101B3C" w:rsidRPr="007B3DCE" w:rsidRDefault="00101B3C" w:rsidP="00101B3C">
            <w:pPr>
              <w:pStyle w:val="BoxHeading1"/>
              <w:spacing w:before="0"/>
            </w:pPr>
            <w:r w:rsidRPr="007B3DCE">
              <w:rPr>
                <w:color w:val="FFFFFF"/>
              </w:rPr>
              <w:lastRenderedPageBreak/>
              <w:t>Box 2</w:t>
            </w:r>
            <w:r w:rsidRPr="00DC0941">
              <w:rPr>
                <w:color w:val="FFFFFF"/>
              </w:rPr>
              <w:t>.</w:t>
            </w:r>
            <w:r>
              <w:rPr>
                <w:color w:val="FFFFFF"/>
              </w:rPr>
              <w:t>8</w:t>
            </w:r>
            <w:r w:rsidRPr="007B3DCE">
              <w:rPr>
                <w:color w:val="FFFFFF"/>
              </w:rPr>
              <w:t xml:space="preserve"> – Data considerations: family violence may be underreported </w:t>
            </w:r>
          </w:p>
        </w:tc>
      </w:tr>
      <w:tr w:rsidR="00101B3C" w:rsidRPr="007B3DCE" w14:paraId="34CF9C4E" w14:textId="77777777" w:rsidTr="00101B3C">
        <w:tc>
          <w:tcPr>
            <w:tcW w:w="9638" w:type="dxa"/>
            <w:shd w:val="clear" w:color="auto" w:fill="F4DFD0"/>
            <w:tcMar>
              <w:top w:w="28" w:type="dxa"/>
              <w:left w:w="170" w:type="dxa"/>
              <w:bottom w:w="170" w:type="dxa"/>
              <w:right w:w="170" w:type="dxa"/>
            </w:tcMar>
            <w:hideMark/>
          </w:tcPr>
          <w:p w14:paraId="266C5E89" w14:textId="77777777" w:rsidR="00101B3C" w:rsidRDefault="00101B3C" w:rsidP="006F03F2">
            <w:pPr>
              <w:pStyle w:val="BodyText"/>
              <w:spacing w:line="260" w:lineRule="atLeast"/>
            </w:pPr>
            <w:r w:rsidRPr="007B3DCE">
              <w:t>Care should be taken in interpreting th</w:t>
            </w:r>
            <w:r>
              <w:t xml:space="preserve">e </w:t>
            </w:r>
            <w:r w:rsidRPr="007B3DCE">
              <w:t xml:space="preserve">data </w:t>
            </w:r>
            <w:r>
              <w:t>on hospitalisations for family violence. N</w:t>
            </w:r>
            <w:r w:rsidRPr="007B3DCE">
              <w:t xml:space="preserve">ot all people who sustain injuries or conditions from family violence may seek or receive treatment in a hospital or report that the injuries sustained are a result of family violence. It is estimated that more than 90% of violence against Aboriginal and Torres Strait Islander females goes unreported. Low and decreasing rates for family violence </w:t>
            </w:r>
            <w:r>
              <w:t>are</w:t>
            </w:r>
            <w:r w:rsidRPr="007B3DCE">
              <w:t xml:space="preserve"> desirable. However, an increase in the rate may indicate that more people who sustain injuries or conditions from family violence have felt safe to receive medical treatment and to report the perpetrator.</w:t>
            </w:r>
          </w:p>
          <w:p w14:paraId="36B0B9AB" w14:textId="29164BF2" w:rsidR="00101B3C" w:rsidRPr="007B3DCE" w:rsidRDefault="00101B3C" w:rsidP="00BE00F5">
            <w:pPr>
              <w:pStyle w:val="Source"/>
              <w:spacing w:after="0"/>
            </w:pPr>
            <w:r>
              <w:t xml:space="preserve">Source: PC </w:t>
            </w:r>
            <w:r w:rsidRPr="00216127">
              <w:rPr>
                <w:rFonts w:ascii="Arial (Body)" w:hAnsi="Arial (Body)" w:cs="Arial"/>
                <w:sz w:val="20"/>
              </w:rPr>
              <w:t>(2024)</w:t>
            </w:r>
          </w:p>
        </w:tc>
      </w:tr>
      <w:tr w:rsidR="00101B3C" w:rsidRPr="007B3DCE" w14:paraId="361D8B40" w14:textId="77777777" w:rsidTr="00101B3C">
        <w:trPr>
          <w:hidden/>
        </w:trPr>
        <w:tc>
          <w:tcPr>
            <w:tcW w:w="9638" w:type="dxa"/>
            <w:shd w:val="clear" w:color="auto" w:fill="auto"/>
            <w:tcMar>
              <w:top w:w="0" w:type="dxa"/>
              <w:left w:w="170" w:type="dxa"/>
              <w:bottom w:w="0" w:type="dxa"/>
              <w:right w:w="170" w:type="dxa"/>
            </w:tcMar>
          </w:tcPr>
          <w:p w14:paraId="1BAC253E" w14:textId="77777777" w:rsidR="00101B3C" w:rsidRPr="007B3DCE" w:rsidRDefault="00101B3C" w:rsidP="00101B3C">
            <w:pPr>
              <w:pStyle w:val="BodyText"/>
              <w:spacing w:before="0" w:after="0" w:line="80" w:lineRule="atLeast"/>
              <w:rPr>
                <w:smallCaps/>
                <w:vanish/>
              </w:rPr>
            </w:pPr>
            <w:r w:rsidRPr="007B3DCE">
              <w:rPr>
                <w:smallCaps/>
                <w:vanish/>
                <w:color w:val="FF00FF"/>
              </w:rPr>
              <w:t>Used for spacing, do not delete</w:t>
            </w:r>
          </w:p>
        </w:tc>
      </w:tr>
    </w:tbl>
    <w:p w14:paraId="0898FC2B" w14:textId="644B4D62" w:rsidR="0041779F" w:rsidRPr="007B3DCE" w:rsidRDefault="00150C16" w:rsidP="00E4463B">
      <w:pPr>
        <w:pStyle w:val="FigureTableHeading"/>
        <w:rPr>
          <w:color w:val="854B1F"/>
        </w:rPr>
      </w:pPr>
      <w:r w:rsidRPr="00A02138">
        <w:rPr>
          <w:color w:val="854B1F"/>
        </w:rPr>
        <w:t xml:space="preserve">Figure </w:t>
      </w:r>
      <w:r w:rsidR="009B42D7" w:rsidRPr="00A02138">
        <w:rPr>
          <w:color w:val="854B1F"/>
        </w:rPr>
        <w:t>2</w:t>
      </w:r>
      <w:r w:rsidR="00E8490A" w:rsidRPr="00A02138">
        <w:rPr>
          <w:color w:val="854B1F"/>
        </w:rPr>
        <w:t>.</w:t>
      </w:r>
      <w:r w:rsidR="0036545D" w:rsidRPr="00A02138">
        <w:rPr>
          <w:color w:val="854B1F"/>
        </w:rPr>
        <w:t>13</w:t>
      </w:r>
      <w:r w:rsidRPr="00A02138">
        <w:rPr>
          <w:color w:val="854B1F"/>
        </w:rPr>
        <w:t xml:space="preserve"> </w:t>
      </w:r>
      <w:r w:rsidR="000C20D3" w:rsidRPr="00A02138">
        <w:rPr>
          <w:color w:val="854B1F"/>
        </w:rPr>
        <w:t>–</w:t>
      </w:r>
      <w:r w:rsidRPr="00A02138">
        <w:rPr>
          <w:color w:val="854B1F"/>
        </w:rPr>
        <w:t xml:space="preserve"> </w:t>
      </w:r>
      <w:r w:rsidR="37EA0EDF" w:rsidRPr="00A02138">
        <w:rPr>
          <w:color w:val="854B1F"/>
        </w:rPr>
        <w:t>National h</w:t>
      </w:r>
      <w:r w:rsidR="29EB8AED" w:rsidRPr="00A02138">
        <w:rPr>
          <w:color w:val="854B1F"/>
        </w:rPr>
        <w:t>ospitalisation r</w:t>
      </w:r>
      <w:r w:rsidRPr="00A02138">
        <w:rPr>
          <w:color w:val="854B1F"/>
        </w:rPr>
        <w:t>ates for family violence</w:t>
      </w:r>
    </w:p>
    <w:p w14:paraId="17662EA8" w14:textId="4608F892" w:rsidR="00E8490A" w:rsidRPr="00055F4E" w:rsidRDefault="0041779F" w:rsidP="00055F4E">
      <w:pPr>
        <w:pStyle w:val="FigureTableSubheading"/>
        <w:rPr>
          <w:color w:val="AC411A" w:themeColor="accent4" w:themeShade="BF"/>
        </w:rPr>
      </w:pPr>
      <w:r w:rsidRPr="001B6573">
        <w:rPr>
          <w:color w:val="AC411A"/>
        </w:rPr>
        <w:t xml:space="preserve">Rate </w:t>
      </w:r>
      <w:r w:rsidR="455AD0A0" w:rsidRPr="001B6573">
        <w:rPr>
          <w:color w:val="AC411A"/>
        </w:rPr>
        <w:t xml:space="preserve">of Aboriginal and Torres Strait Islander females, males and children hospitalised for family violence </w:t>
      </w:r>
      <w:r w:rsidRPr="001B6573">
        <w:rPr>
          <w:color w:val="AC411A"/>
        </w:rPr>
        <w:t>per 1</w:t>
      </w:r>
      <w:r w:rsidR="000E0E54" w:rsidRPr="001B6573">
        <w:rPr>
          <w:color w:val="AC411A"/>
        </w:rPr>
        <w:t>00</w:t>
      </w:r>
      <w:r w:rsidRPr="001B6573">
        <w:rPr>
          <w:color w:val="AC411A"/>
        </w:rPr>
        <w:t>,000</w:t>
      </w:r>
      <w:r w:rsidR="00150C16" w:rsidRPr="001B6573">
        <w:rPr>
          <w:color w:val="AC411A"/>
        </w:rPr>
        <w:t xml:space="preserve"> </w:t>
      </w:r>
      <w:r w:rsidR="73EA23CD" w:rsidRPr="001B6573">
        <w:rPr>
          <w:color w:val="AC411A"/>
        </w:rPr>
        <w:t>people</w:t>
      </w:r>
      <w:r w:rsidR="00F8552F" w:rsidRPr="001B6573">
        <w:rPr>
          <w:color w:val="AC411A"/>
        </w:rPr>
        <w:t xml:space="preserve"> (13h</w:t>
      </w:r>
      <w:r w:rsidR="00F8552F" w:rsidRPr="007B3DCE">
        <w:rPr>
          <w:color w:val="AC411A" w:themeColor="accent4" w:themeShade="BF"/>
        </w:rPr>
        <w:t>)</w:t>
      </w:r>
      <w:r w:rsidR="00055F4E" w:rsidRPr="00055F4E">
        <w:rPr>
          <w:noProof/>
        </w:rPr>
        <w:drawing>
          <wp:inline distT="0" distB="0" distL="0" distR="0" wp14:anchorId="0229F0C0" wp14:editId="133769D3">
            <wp:extent cx="6120130" cy="2377440"/>
            <wp:effectExtent l="0" t="0" r="0" b="0"/>
            <wp:docPr id="1490019027" name="Picture 192" descr="Figure 2.13 is a line chart that depicts the national hospitalisation rates for family violence among Aboriginal and Torres Strait Islander females, males, and children per 100,000 people from 2018-19 to 2021-22. The rates are highest for females aged 15 and over, followed by males aged 15 and over, with children aged 0-14 having the lowest r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19027" name="Picture 192" descr="Figure 2.13 is a line chart that depicts the national hospitalisation rates for family violence among Aboriginal and Torres Strait Islander females, males, and children per 100,000 people from 2018-19 to 2021-22. The rates are highest for females aged 15 and over, followed by males aged 15 and over, with children aged 0-14 having the lowest rates. "/>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0644"/>
                    <a:stretch/>
                  </pic:blipFill>
                  <pic:spPr bwMode="auto">
                    <a:xfrm>
                      <a:off x="0" y="0"/>
                      <a:ext cx="6120130" cy="2377440"/>
                    </a:xfrm>
                    <a:prstGeom prst="rect">
                      <a:avLst/>
                    </a:prstGeom>
                    <a:noFill/>
                    <a:ln>
                      <a:noFill/>
                    </a:ln>
                    <a:extLst>
                      <a:ext uri="{53640926-AAD7-44D8-BBD7-CCE9431645EC}">
                        <a14:shadowObscured xmlns:a14="http://schemas.microsoft.com/office/drawing/2010/main"/>
                      </a:ext>
                    </a:extLst>
                  </pic:spPr>
                </pic:pic>
              </a:graphicData>
            </a:graphic>
          </wp:inline>
        </w:drawing>
      </w:r>
      <w:r w:rsidR="00055F4E" w:rsidRPr="00055F4E">
        <w:t xml:space="preserve"> </w:t>
      </w:r>
      <w:r w:rsidR="00E8490A" w:rsidRPr="007B3DCE">
        <w:rPr>
          <w:vanish/>
          <w:color w:val="FF00FF"/>
        </w:rPr>
        <w:t>[</w:t>
      </w:r>
      <w:r w:rsidR="00E8490A" w:rsidRPr="007B3DCE">
        <w:rPr>
          <w:smallCaps/>
          <w:vanish/>
          <w:color w:val="FF00FF"/>
        </w:rPr>
        <w:t>Used for spacing, do not delete</w:t>
      </w:r>
      <w:r w:rsidR="00E8490A" w:rsidRPr="007B3DCE">
        <w:rPr>
          <w:vanish/>
          <w:color w:val="FF00FF"/>
        </w:rPr>
        <w:t xml:space="preserve"> | Style: No Spacing]</w:t>
      </w:r>
    </w:p>
    <w:p w14:paraId="5DCFA95C" w14:textId="46FFE1F1" w:rsidR="00130B25" w:rsidRDefault="00130B25" w:rsidP="003340DD">
      <w:pPr>
        <w:pStyle w:val="Source"/>
      </w:pPr>
      <w:r>
        <w:t xml:space="preserve">Source: Derived from AIHW (unpublished) National Hospital </w:t>
      </w:r>
      <w:r w:rsidR="003340DD">
        <w:t xml:space="preserve">Morbidity Database; ABS Estimates and Projections Aboriginal and Torres Strait Islander Australians </w:t>
      </w:r>
    </w:p>
    <w:p w14:paraId="79F83803" w14:textId="25F5E33D" w:rsidR="005F4C51" w:rsidRPr="00E1785D" w:rsidRDefault="00150C16" w:rsidP="00B30409">
      <w:pPr>
        <w:pStyle w:val="BodyText"/>
        <w:rPr>
          <w:color w:val="212529"/>
          <w:spacing w:val="-4"/>
        </w:rPr>
      </w:pPr>
      <w:r w:rsidRPr="00E1785D">
        <w:rPr>
          <w:spacing w:val="-4"/>
        </w:rPr>
        <w:t>In 2021</w:t>
      </w:r>
      <w:r w:rsidR="00A01E1E" w:rsidRPr="00E1785D">
        <w:rPr>
          <w:spacing w:val="-4"/>
        </w:rPr>
        <w:t>-</w:t>
      </w:r>
      <w:r w:rsidRPr="00E1785D">
        <w:rPr>
          <w:spacing w:val="-4"/>
        </w:rPr>
        <w:t xml:space="preserve">22, </w:t>
      </w:r>
      <w:r w:rsidR="00BA7EBB" w:rsidRPr="00E1785D">
        <w:rPr>
          <w:spacing w:val="-4"/>
        </w:rPr>
        <w:t xml:space="preserve">73% of Aboriginal and Torres Strait Islander </w:t>
      </w:r>
      <w:r w:rsidR="57AC19EF" w:rsidRPr="00E1785D">
        <w:rPr>
          <w:spacing w:val="-4"/>
        </w:rPr>
        <w:t>females</w:t>
      </w:r>
      <w:r w:rsidR="00BA7EBB" w:rsidRPr="00E1785D">
        <w:rPr>
          <w:spacing w:val="-4"/>
        </w:rPr>
        <w:t xml:space="preserve"> </w:t>
      </w:r>
      <w:r w:rsidR="30CFBC59" w:rsidRPr="00E1785D">
        <w:rPr>
          <w:spacing w:val="-4"/>
        </w:rPr>
        <w:t>hospitalised for family violence</w:t>
      </w:r>
      <w:r w:rsidR="14109EDD" w:rsidRPr="00E1785D">
        <w:rPr>
          <w:spacing w:val="-4"/>
        </w:rPr>
        <w:t xml:space="preserve"> sustained injuries where</w:t>
      </w:r>
      <w:r w:rsidR="31068330" w:rsidRPr="00E1785D">
        <w:rPr>
          <w:spacing w:val="-4"/>
        </w:rPr>
        <w:t xml:space="preserve"> </w:t>
      </w:r>
      <w:r w:rsidR="7878F904" w:rsidRPr="00E1785D">
        <w:rPr>
          <w:spacing w:val="-4"/>
        </w:rPr>
        <w:t>the perpetrator was</w:t>
      </w:r>
      <w:r w:rsidR="008B4ADF" w:rsidRPr="00E1785D">
        <w:rPr>
          <w:spacing w:val="-4"/>
        </w:rPr>
        <w:t xml:space="preserve"> an intimate partner (</w:t>
      </w:r>
      <w:r w:rsidR="00BC5FBA" w:rsidRPr="00E1785D">
        <w:rPr>
          <w:spacing w:val="-4"/>
        </w:rPr>
        <w:t>567</w:t>
      </w:r>
      <w:r w:rsidR="00BD460E" w:rsidRPr="00E1785D">
        <w:rPr>
          <w:spacing w:val="-4"/>
        </w:rPr>
        <w:t xml:space="preserve">.7 per 100,000 </w:t>
      </w:r>
      <w:r w:rsidR="008B4ADF" w:rsidRPr="00E1785D">
        <w:rPr>
          <w:spacing w:val="-4"/>
        </w:rPr>
        <w:t>o</w:t>
      </w:r>
      <w:r w:rsidRPr="00E1785D">
        <w:rPr>
          <w:spacing w:val="-4"/>
        </w:rPr>
        <w:t>ut of a total of 778.0 per 100,000</w:t>
      </w:r>
      <w:r w:rsidR="008B4ADF" w:rsidRPr="00E1785D">
        <w:rPr>
          <w:spacing w:val="-4"/>
        </w:rPr>
        <w:t>)</w:t>
      </w:r>
      <w:r w:rsidR="571E94E2" w:rsidRPr="00E1785D">
        <w:rPr>
          <w:spacing w:val="-4"/>
        </w:rPr>
        <w:t xml:space="preserve"> and </w:t>
      </w:r>
      <w:r w:rsidR="009D4E44" w:rsidRPr="00E1785D">
        <w:rPr>
          <w:spacing w:val="-4"/>
        </w:rPr>
        <w:t xml:space="preserve">27% </w:t>
      </w:r>
      <w:r w:rsidR="4DD0A9E8" w:rsidRPr="00E1785D">
        <w:rPr>
          <w:spacing w:val="-4"/>
        </w:rPr>
        <w:t>where the perpetrator</w:t>
      </w:r>
      <w:r w:rsidR="5919148E" w:rsidRPr="00E1785D">
        <w:rPr>
          <w:spacing w:val="-4"/>
        </w:rPr>
        <w:t xml:space="preserve"> was</w:t>
      </w:r>
      <w:r w:rsidR="00A76DE9" w:rsidRPr="00E1785D">
        <w:rPr>
          <w:spacing w:val="-4"/>
        </w:rPr>
        <w:t xml:space="preserve"> a parent or family member (210.3 per 100,000)</w:t>
      </w:r>
      <w:r w:rsidR="20233180" w:rsidRPr="00E1785D">
        <w:rPr>
          <w:spacing w:val="-4"/>
        </w:rPr>
        <w:t xml:space="preserve"> (</w:t>
      </w:r>
      <w:r w:rsidR="00931EF0" w:rsidRPr="00E1785D">
        <w:rPr>
          <w:spacing w:val="-4"/>
        </w:rPr>
        <w:t>f</w:t>
      </w:r>
      <w:r w:rsidR="006D5278" w:rsidRPr="00E1785D">
        <w:rPr>
          <w:spacing w:val="-4"/>
        </w:rPr>
        <w:t>igure</w:t>
      </w:r>
      <w:r w:rsidR="0036545D" w:rsidRPr="00E1785D">
        <w:rPr>
          <w:spacing w:val="-4"/>
        </w:rPr>
        <w:t xml:space="preserve"> 2.14</w:t>
      </w:r>
      <w:r w:rsidR="20233180" w:rsidRPr="00E1785D">
        <w:rPr>
          <w:spacing w:val="-4"/>
        </w:rPr>
        <w:t>)</w:t>
      </w:r>
      <w:r w:rsidR="00A76DE9" w:rsidRPr="00E1785D">
        <w:rPr>
          <w:spacing w:val="-4"/>
        </w:rPr>
        <w:t>.</w:t>
      </w:r>
      <w:r w:rsidR="00832364" w:rsidRPr="00E1785D">
        <w:rPr>
          <w:spacing w:val="-4"/>
        </w:rPr>
        <w:t xml:space="preserve"> </w:t>
      </w:r>
      <w:r w:rsidRPr="00E1785D">
        <w:rPr>
          <w:color w:val="212529"/>
          <w:spacing w:val="-4"/>
          <w:shd w:val="clear" w:color="auto" w:fill="FFFFFF"/>
        </w:rPr>
        <w:t>For m</w:t>
      </w:r>
      <w:r w:rsidR="00EF96A2" w:rsidRPr="00E1785D">
        <w:rPr>
          <w:color w:val="212529"/>
          <w:spacing w:val="-4"/>
        </w:rPr>
        <w:t>ales</w:t>
      </w:r>
      <w:r w:rsidRPr="00E1785D">
        <w:rPr>
          <w:color w:val="212529"/>
          <w:spacing w:val="-4"/>
        </w:rPr>
        <w:t xml:space="preserve"> </w:t>
      </w:r>
      <w:r w:rsidRPr="00E1785D">
        <w:rPr>
          <w:color w:val="212529"/>
          <w:spacing w:val="-4"/>
          <w:shd w:val="clear" w:color="auto" w:fill="FFFFFF"/>
        </w:rPr>
        <w:t>hospitalis</w:t>
      </w:r>
      <w:r w:rsidR="7E64E5EF" w:rsidRPr="00E1785D">
        <w:rPr>
          <w:color w:val="212529"/>
          <w:spacing w:val="-4"/>
        </w:rPr>
        <w:t xml:space="preserve">ed due to family violence, </w:t>
      </w:r>
      <w:r w:rsidRPr="00E1785D">
        <w:rPr>
          <w:color w:val="212529"/>
          <w:spacing w:val="-4"/>
          <w:shd w:val="clear" w:color="auto" w:fill="FFFFFF"/>
        </w:rPr>
        <w:t>parents or other family members</w:t>
      </w:r>
      <w:r w:rsidR="21C11956" w:rsidRPr="00E1785D">
        <w:rPr>
          <w:color w:val="212529"/>
          <w:spacing w:val="-4"/>
        </w:rPr>
        <w:t xml:space="preserve"> were more </w:t>
      </w:r>
      <w:r w:rsidR="009C2B28" w:rsidRPr="00E1785D">
        <w:rPr>
          <w:color w:val="212529"/>
          <w:spacing w:val="-4"/>
        </w:rPr>
        <w:t>often reported as</w:t>
      </w:r>
      <w:r w:rsidR="21C11956" w:rsidRPr="00E1785D">
        <w:rPr>
          <w:color w:val="212529"/>
          <w:spacing w:val="-4"/>
        </w:rPr>
        <w:t xml:space="preserve"> the perpetrators</w:t>
      </w:r>
      <w:r w:rsidR="6B9403F7" w:rsidRPr="00E1785D">
        <w:rPr>
          <w:color w:val="212529"/>
          <w:spacing w:val="-4"/>
        </w:rPr>
        <w:t xml:space="preserve"> than intimate partners</w:t>
      </w:r>
      <w:r w:rsidRPr="00E1785D">
        <w:rPr>
          <w:color w:val="212529"/>
          <w:spacing w:val="-4"/>
          <w:shd w:val="clear" w:color="auto" w:fill="FFFFFF"/>
        </w:rPr>
        <w:t xml:space="preserve">. </w:t>
      </w:r>
      <w:r w:rsidR="001D6EAB" w:rsidRPr="00E1785D">
        <w:rPr>
          <w:color w:val="212529"/>
          <w:spacing w:val="-4"/>
          <w:shd w:val="clear" w:color="auto" w:fill="FFFFFF"/>
        </w:rPr>
        <w:t xml:space="preserve">In 2021-22, </w:t>
      </w:r>
      <w:r w:rsidR="001D6EAB" w:rsidRPr="00E1785D">
        <w:rPr>
          <w:color w:val="212529"/>
          <w:spacing w:val="-4"/>
        </w:rPr>
        <w:t>t</w:t>
      </w:r>
      <w:r w:rsidR="4347B28D" w:rsidRPr="00E1785D">
        <w:rPr>
          <w:color w:val="212529"/>
          <w:spacing w:val="-4"/>
        </w:rPr>
        <w:t xml:space="preserve">he </w:t>
      </w:r>
      <w:r w:rsidR="091DF5EE" w:rsidRPr="00E1785D">
        <w:rPr>
          <w:color w:val="212529"/>
          <w:spacing w:val="-4"/>
        </w:rPr>
        <w:t>number of</w:t>
      </w:r>
      <w:r w:rsidR="4347B28D" w:rsidRPr="00E1785D">
        <w:rPr>
          <w:color w:val="212529"/>
          <w:spacing w:val="-4"/>
        </w:rPr>
        <w:t xml:space="preserve"> </w:t>
      </w:r>
      <w:r w:rsidR="7999AC8C" w:rsidRPr="00E1785D">
        <w:rPr>
          <w:color w:val="212529"/>
          <w:spacing w:val="-4"/>
        </w:rPr>
        <w:t>Aboriginal and Torres Strait Islander</w:t>
      </w:r>
      <w:r w:rsidR="4347B28D" w:rsidRPr="00E1785D">
        <w:rPr>
          <w:color w:val="212529"/>
          <w:spacing w:val="-4"/>
        </w:rPr>
        <w:t xml:space="preserve"> children </w:t>
      </w:r>
      <w:r w:rsidR="4C8B18B2" w:rsidRPr="00E1785D">
        <w:rPr>
          <w:color w:val="212529"/>
          <w:spacing w:val="-4"/>
        </w:rPr>
        <w:t>hospitalised for</w:t>
      </w:r>
      <w:r w:rsidR="14236C5B" w:rsidRPr="00E1785D">
        <w:rPr>
          <w:color w:val="212529"/>
          <w:spacing w:val="-4"/>
        </w:rPr>
        <w:t xml:space="preserve"> </w:t>
      </w:r>
      <w:r w:rsidR="4C8B18B2" w:rsidRPr="00E1785D">
        <w:rPr>
          <w:color w:val="212529"/>
          <w:spacing w:val="-4"/>
        </w:rPr>
        <w:t xml:space="preserve">family </w:t>
      </w:r>
      <w:r w:rsidR="6955DE35" w:rsidRPr="00E1785D">
        <w:rPr>
          <w:color w:val="212529"/>
          <w:spacing w:val="-4"/>
        </w:rPr>
        <w:t xml:space="preserve">violence </w:t>
      </w:r>
      <w:r w:rsidR="001D6EAB" w:rsidRPr="00E1785D">
        <w:rPr>
          <w:color w:val="212529"/>
          <w:spacing w:val="-4"/>
        </w:rPr>
        <w:t>was</w:t>
      </w:r>
      <w:r w:rsidR="4C8B18B2" w:rsidRPr="00E1785D">
        <w:rPr>
          <w:color w:val="212529"/>
          <w:spacing w:val="-4"/>
        </w:rPr>
        <w:t xml:space="preserve"> small </w:t>
      </w:r>
      <w:r w:rsidR="1F2F3BBC" w:rsidRPr="00E1785D">
        <w:rPr>
          <w:color w:val="212529"/>
          <w:spacing w:val="-4"/>
        </w:rPr>
        <w:t>and</w:t>
      </w:r>
      <w:r w:rsidR="4347B28D" w:rsidRPr="00E1785D">
        <w:rPr>
          <w:color w:val="212529"/>
          <w:spacing w:val="-4"/>
        </w:rPr>
        <w:t xml:space="preserve"> not disaggregated by the relationship of the victim to the perpetrator</w:t>
      </w:r>
      <w:r w:rsidR="28460A01" w:rsidRPr="00E1785D">
        <w:rPr>
          <w:color w:val="212529"/>
          <w:spacing w:val="-4"/>
        </w:rPr>
        <w:t>.</w:t>
      </w:r>
    </w:p>
    <w:p w14:paraId="55132FDE" w14:textId="73FDD676" w:rsidR="00150C16" w:rsidRPr="007B3DCE" w:rsidRDefault="00150C16" w:rsidP="00A13ECB">
      <w:pPr>
        <w:pStyle w:val="FigureTableHeading"/>
        <w:rPr>
          <w:color w:val="854B1F"/>
        </w:rPr>
      </w:pPr>
      <w:bookmarkStart w:id="29" w:name="_Ref170461572"/>
      <w:r w:rsidRPr="007B3DCE">
        <w:rPr>
          <w:color w:val="854B1F"/>
        </w:rPr>
        <w:lastRenderedPageBreak/>
        <w:t>Figure 2</w:t>
      </w:r>
      <w:bookmarkEnd w:id="29"/>
      <w:r w:rsidR="00DE375D" w:rsidRPr="007B3DCE">
        <w:rPr>
          <w:color w:val="854B1F"/>
        </w:rPr>
        <w:t>.</w:t>
      </w:r>
      <w:r w:rsidR="0036545D" w:rsidRPr="007B3DCE">
        <w:rPr>
          <w:color w:val="854B1F"/>
        </w:rPr>
        <w:t>14</w:t>
      </w:r>
      <w:r w:rsidRPr="007B3DCE">
        <w:rPr>
          <w:color w:val="854B1F"/>
        </w:rPr>
        <w:t xml:space="preserve"> </w:t>
      </w:r>
      <w:r w:rsidR="000C20D3" w:rsidRPr="007B3DCE">
        <w:rPr>
          <w:color w:val="854B1F"/>
        </w:rPr>
        <w:t>–</w:t>
      </w:r>
      <w:r w:rsidRPr="007B3DCE">
        <w:rPr>
          <w:color w:val="854B1F"/>
        </w:rPr>
        <w:t xml:space="preserve"> </w:t>
      </w:r>
      <w:r w:rsidR="665608EB" w:rsidRPr="007B3DCE">
        <w:rPr>
          <w:color w:val="854B1F"/>
        </w:rPr>
        <w:t>Rate of hospitalisation</w:t>
      </w:r>
      <w:r w:rsidR="18DF1F38" w:rsidRPr="007B3DCE">
        <w:rPr>
          <w:color w:val="854B1F"/>
        </w:rPr>
        <w:t xml:space="preserve"> for</w:t>
      </w:r>
      <w:r w:rsidR="665608EB" w:rsidRPr="007B3DCE">
        <w:rPr>
          <w:color w:val="854B1F"/>
        </w:rPr>
        <w:t xml:space="preserve"> family violence</w:t>
      </w:r>
      <w:r w:rsidR="00DE71E8">
        <w:rPr>
          <w:color w:val="854B1F"/>
        </w:rPr>
        <w:t xml:space="preserve"> </w:t>
      </w:r>
      <w:r w:rsidR="665608EB" w:rsidRPr="007B3DCE">
        <w:rPr>
          <w:color w:val="854B1F"/>
        </w:rPr>
        <w:t>related</w:t>
      </w:r>
      <w:r w:rsidRPr="007B3DCE">
        <w:rPr>
          <w:color w:val="854B1F"/>
        </w:rPr>
        <w:t xml:space="preserve"> assaults by relationship of the perpetrator to </w:t>
      </w:r>
      <w:r w:rsidR="22413D60" w:rsidRPr="007B3DCE">
        <w:rPr>
          <w:color w:val="854B1F"/>
        </w:rPr>
        <w:t>the victim</w:t>
      </w:r>
    </w:p>
    <w:p w14:paraId="357B7245" w14:textId="1C1D821D" w:rsidR="002A71B6" w:rsidRDefault="002A71B6" w:rsidP="001A56B4">
      <w:pPr>
        <w:pStyle w:val="FigureTableSubheading"/>
        <w:rPr>
          <w:color w:val="AC411A" w:themeColor="accent4" w:themeShade="BF"/>
        </w:rPr>
      </w:pPr>
      <w:r w:rsidRPr="007B3DCE">
        <w:rPr>
          <w:color w:val="AC411A" w:themeColor="accent4" w:themeShade="BF"/>
        </w:rPr>
        <w:t xml:space="preserve">Rate per </w:t>
      </w:r>
      <w:r w:rsidR="003C5F37" w:rsidRPr="007B3DCE">
        <w:rPr>
          <w:color w:val="AC411A" w:themeColor="accent4" w:themeShade="BF"/>
        </w:rPr>
        <w:t>100,000</w:t>
      </w:r>
      <w:r w:rsidR="51245B64" w:rsidRPr="007B3DCE">
        <w:rPr>
          <w:color w:val="AC411A" w:themeColor="accent4" w:themeShade="BF"/>
        </w:rPr>
        <w:t>, people aged 15 or over, by sex</w:t>
      </w:r>
      <w:r w:rsidR="00991F8A" w:rsidRPr="007B3DCE">
        <w:rPr>
          <w:color w:val="AC411A" w:themeColor="accent4" w:themeShade="BF"/>
        </w:rPr>
        <w:t xml:space="preserve"> (13h)</w:t>
      </w:r>
    </w:p>
    <w:p w14:paraId="349C94D7" w14:textId="170E3EDB" w:rsidR="00DE375D" w:rsidRPr="002934B8" w:rsidRDefault="002934B8" w:rsidP="002934B8">
      <w:pPr>
        <w:pStyle w:val="FigureTableSubheading"/>
        <w:rPr>
          <w:color w:val="AC411A" w:themeColor="accent4" w:themeShade="BF"/>
          <w:shd w:val="clear" w:color="auto" w:fill="FFFFFF"/>
        </w:rPr>
      </w:pPr>
      <w:r w:rsidRPr="002934B8">
        <w:rPr>
          <w:noProof/>
        </w:rPr>
        <w:drawing>
          <wp:inline distT="0" distB="0" distL="0" distR="0" wp14:anchorId="688D112E" wp14:editId="61D2E78C">
            <wp:extent cx="6120130" cy="2340864"/>
            <wp:effectExtent l="0" t="0" r="0" b="0"/>
            <wp:docPr id="1961459473" name="Picture 191" descr="Figure 2.14 is a stacked column chart that shows the rate of hospitalisations for family violence-related assaults per 100,000 people aged 15 or over, by the relationship of the perpetrator to the victim from 2018-19 to 2021-22. The Y axis shows the rate per 100,000. The X axis shows males and females by year. The chart shows that hospitalisation rates for assaults by partners are significantly higher for females compared to males across all years. Hospitalisations due to assaults by parents or other family members are also shown but at lower rates compared to partner-related assa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59473" name="Picture 191" descr="Figure 2.14 is a stacked column chart that shows the rate of hospitalisations for family violence-related assaults per 100,000 people aged 15 or over, by the relationship of the perpetrator to the victim from 2018-19 to 2021-22. The Y axis shows the rate per 100,000. The X axis shows males and females by year. The chart shows that hospitalisation rates for assaults by partners are significantly higher for females compared to males across all years. Hospitalisations due to assaults by parents or other family members are also shown but at lower rates compared to partner-related assault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2291"/>
                    <a:stretch/>
                  </pic:blipFill>
                  <pic:spPr bwMode="auto">
                    <a:xfrm>
                      <a:off x="0" y="0"/>
                      <a:ext cx="6120130" cy="2340864"/>
                    </a:xfrm>
                    <a:prstGeom prst="rect">
                      <a:avLst/>
                    </a:prstGeom>
                    <a:noFill/>
                    <a:ln>
                      <a:noFill/>
                    </a:ln>
                    <a:extLst>
                      <a:ext uri="{53640926-AAD7-44D8-BBD7-CCE9431645EC}">
                        <a14:shadowObscured xmlns:a14="http://schemas.microsoft.com/office/drawing/2010/main"/>
                      </a:ext>
                    </a:extLst>
                  </pic:spPr>
                </pic:pic>
              </a:graphicData>
            </a:graphic>
          </wp:inline>
        </w:drawing>
      </w:r>
      <w:r w:rsidR="00DE375D" w:rsidRPr="007B3DCE">
        <w:rPr>
          <w:vanish/>
          <w:color w:val="FF00FF"/>
        </w:rPr>
        <w:t>[</w:t>
      </w:r>
      <w:r w:rsidR="00DE375D" w:rsidRPr="007B3DCE">
        <w:rPr>
          <w:smallCaps/>
          <w:vanish/>
          <w:color w:val="FF00FF"/>
        </w:rPr>
        <w:t>Used for spacing, do not delete</w:t>
      </w:r>
      <w:r w:rsidR="00DE375D" w:rsidRPr="007B3DCE">
        <w:rPr>
          <w:vanish/>
          <w:color w:val="FF00FF"/>
        </w:rPr>
        <w:t xml:space="preserve"> | Style: No Spacing]</w:t>
      </w:r>
    </w:p>
    <w:p w14:paraId="122910FF" w14:textId="29EDEE25" w:rsidR="00F82968" w:rsidRPr="007B3DCE" w:rsidRDefault="000B7B2E" w:rsidP="000B7B2E">
      <w:pPr>
        <w:pStyle w:val="Source"/>
      </w:pPr>
      <w:r>
        <w:t xml:space="preserve">Source: Derived from AIHW (unpublished) National Hospital Morbidity Database; ABS Estimates and Projections Aboriginal and Torres Strait Islander Australians </w:t>
      </w:r>
    </w:p>
    <w:tbl>
      <w:tblPr>
        <w:tblStyle w:val="Boxtable"/>
        <w:tblW w:w="5000" w:type="pct"/>
        <w:tblLook w:val="04A0" w:firstRow="1" w:lastRow="0" w:firstColumn="1" w:lastColumn="0" w:noHBand="0" w:noVBand="1"/>
      </w:tblPr>
      <w:tblGrid>
        <w:gridCol w:w="9638"/>
      </w:tblGrid>
      <w:tr w:rsidR="00DE375D" w:rsidRPr="007B3DCE" w14:paraId="7F33779E" w14:textId="77777777" w:rsidTr="004902CA">
        <w:trPr>
          <w:tblHeader/>
        </w:trPr>
        <w:tc>
          <w:tcPr>
            <w:tcW w:w="9638" w:type="dxa"/>
            <w:shd w:val="clear" w:color="auto" w:fill="854B1F"/>
            <w:tcMar>
              <w:top w:w="170" w:type="dxa"/>
              <w:left w:w="170" w:type="dxa"/>
              <w:bottom w:w="113" w:type="dxa"/>
              <w:right w:w="170" w:type="dxa"/>
            </w:tcMar>
            <w:hideMark/>
          </w:tcPr>
          <w:p w14:paraId="7606D558" w14:textId="0E1437B7" w:rsidR="00DE375D" w:rsidRPr="007B3DCE" w:rsidRDefault="00DE375D">
            <w:pPr>
              <w:pStyle w:val="BoxHeading1"/>
            </w:pPr>
            <w:r w:rsidRPr="4B883157">
              <w:rPr>
                <w:color w:val="FFFFFF" w:themeColor="accent6"/>
              </w:rPr>
              <w:t>Box 2</w:t>
            </w:r>
            <w:r w:rsidR="00264830">
              <w:rPr>
                <w:color w:val="FFFFFF" w:themeColor="accent6"/>
              </w:rPr>
              <w:t>.</w:t>
            </w:r>
            <w:r w:rsidR="00D92CF2">
              <w:rPr>
                <w:color w:val="FFFFFF" w:themeColor="accent6"/>
              </w:rPr>
              <w:t>9</w:t>
            </w:r>
            <w:r w:rsidRPr="4B883157">
              <w:rPr>
                <w:color w:val="FFFFFF" w:themeColor="accent6"/>
              </w:rPr>
              <w:t xml:space="preserve"> – Improving family safety for Aboriginal and Torres Strait Islander people</w:t>
            </w:r>
          </w:p>
        </w:tc>
      </w:tr>
      <w:tr w:rsidR="00DE375D" w:rsidRPr="007B3DCE" w14:paraId="221E74F2" w14:textId="77777777" w:rsidTr="004902CA">
        <w:tc>
          <w:tcPr>
            <w:tcW w:w="9638" w:type="dxa"/>
            <w:shd w:val="clear" w:color="auto" w:fill="F4DFD0"/>
            <w:tcMar>
              <w:top w:w="28" w:type="dxa"/>
              <w:left w:w="170" w:type="dxa"/>
              <w:bottom w:w="170" w:type="dxa"/>
              <w:right w:w="170" w:type="dxa"/>
            </w:tcMar>
            <w:hideMark/>
          </w:tcPr>
          <w:p w14:paraId="39BA5A9E" w14:textId="662F7ECC" w:rsidR="00DE375D" w:rsidRPr="007B3DCE" w:rsidRDefault="00DE375D" w:rsidP="00DE375D">
            <w:r w:rsidRPr="007B3DCE">
              <w:t>Aboriginal and Torres Strait Islander people and communities are strong, resilient and have been active in identifying the drivers of family violence and culturally responsive solutions. Aboriginal and Torres Strait Islander women have been particularly active in leading and advocating for strengths-based and community</w:t>
            </w:r>
            <w:r w:rsidR="00D215F9">
              <w:t>–</w:t>
            </w:r>
            <w:r w:rsidRPr="007B3DCE">
              <w:t xml:space="preserve">driven responses to family violence for decades. </w:t>
            </w:r>
          </w:p>
          <w:p w14:paraId="3D332B3A" w14:textId="46DA3F46" w:rsidR="00DE375D" w:rsidRPr="007B3DCE" w:rsidRDefault="00DE375D" w:rsidP="00DE375D">
            <w:pPr>
              <w:rPr>
                <w:rStyle w:val="BodyTextChar"/>
              </w:rPr>
            </w:pPr>
            <w:r w:rsidRPr="007B3DCE">
              <w:t xml:space="preserve">In 2020, </w:t>
            </w:r>
            <w:r w:rsidRPr="007B3DCE">
              <w:rPr>
                <w:rStyle w:val="BodyTextChar"/>
              </w:rPr>
              <w:t>Aboriginal and Torres Strait Islander women</w:t>
            </w:r>
            <w:r w:rsidRPr="007B3DCE">
              <w:t xml:space="preserve"> </w:t>
            </w:r>
            <w:r w:rsidRPr="007B3DCE">
              <w:rPr>
                <w:rStyle w:val="BodyTextChar"/>
              </w:rPr>
              <w:t xml:space="preserve">provided their voices, perspectives and priorities to the Australian Human Right’s Commission’s Wiyi Yani U Thangani </w:t>
            </w:r>
            <w:r w:rsidR="004329F9" w:rsidRPr="007B3DCE">
              <w:rPr>
                <w:rStyle w:val="BodyTextChar"/>
              </w:rPr>
              <w:t>R</w:t>
            </w:r>
            <w:r w:rsidRPr="007B3DCE">
              <w:rPr>
                <w:rStyle w:val="BodyTextChar"/>
              </w:rPr>
              <w:t xml:space="preserve">eport. The report highlighted the need for holistic systems of support and responses to family violence. </w:t>
            </w:r>
            <w:r w:rsidR="002E2419">
              <w:rPr>
                <w:rStyle w:val="BodyTextChar"/>
              </w:rPr>
              <w:t>It notes that t</w:t>
            </w:r>
            <w:r w:rsidRPr="007B3DCE">
              <w:rPr>
                <w:rStyle w:val="BodyTextChar"/>
              </w:rPr>
              <w:t>o improve family safety, greater investment and change i</w:t>
            </w:r>
            <w:r w:rsidR="00B01D3E">
              <w:rPr>
                <w:rStyle w:val="BodyTextChar"/>
              </w:rPr>
              <w:t>s</w:t>
            </w:r>
            <w:r w:rsidR="00653B12">
              <w:rPr>
                <w:rStyle w:val="BodyTextChar"/>
              </w:rPr>
              <w:t xml:space="preserve"> required </w:t>
            </w:r>
            <w:r w:rsidR="00895247">
              <w:rPr>
                <w:rStyle w:val="BodyTextChar"/>
              </w:rPr>
              <w:t>to</w:t>
            </w:r>
            <w:r w:rsidRPr="007B3DCE">
              <w:rPr>
                <w:rStyle w:val="BodyTextChar"/>
              </w:rPr>
              <w:t>:</w:t>
            </w:r>
          </w:p>
          <w:p w14:paraId="6F0E2303" w14:textId="0AA3380C" w:rsidR="00DE375D" w:rsidRPr="007B3DCE" w:rsidRDefault="00DF0086" w:rsidP="00846C7D">
            <w:pPr>
              <w:pStyle w:val="ListBullet"/>
              <w:numPr>
                <w:ilvl w:val="0"/>
                <w:numId w:val="17"/>
              </w:numPr>
              <w:ind w:left="227" w:hanging="227"/>
            </w:pPr>
            <w:r>
              <w:t>t</w:t>
            </w:r>
            <w:r w:rsidR="00906F79">
              <w:t>ak</w:t>
            </w:r>
            <w:r>
              <w:t>e</w:t>
            </w:r>
            <w:r w:rsidR="00906F79">
              <w:t xml:space="preserve"> a</w:t>
            </w:r>
            <w:r w:rsidR="00DE375D" w:rsidRPr="007B3DCE">
              <w:t xml:space="preserve"> holistic approach that addresses the specific needs of Aboriginal and Torres Strait Islander females and children while also understanding the complexity of family violence and its interconnectedness with other sectors and socio-economic outcome areas</w:t>
            </w:r>
          </w:p>
          <w:p w14:paraId="7B277236" w14:textId="62B070F4" w:rsidR="00DE375D" w:rsidRPr="00846C7D" w:rsidRDefault="00DF0086" w:rsidP="00846C7D">
            <w:pPr>
              <w:pStyle w:val="ListBullet"/>
              <w:numPr>
                <w:ilvl w:val="0"/>
                <w:numId w:val="17"/>
              </w:numPr>
              <w:ind w:left="227" w:hanging="227"/>
              <w:rPr>
                <w:spacing w:val="-2"/>
              </w:rPr>
            </w:pPr>
            <w:r w:rsidRPr="00846C7D">
              <w:rPr>
                <w:spacing w:val="-2"/>
              </w:rPr>
              <w:t>p</w:t>
            </w:r>
            <w:r w:rsidR="00DE375D" w:rsidRPr="00846C7D">
              <w:rPr>
                <w:spacing w:val="-2"/>
              </w:rPr>
              <w:t>lac</w:t>
            </w:r>
            <w:r w:rsidRPr="00846C7D">
              <w:rPr>
                <w:spacing w:val="-2"/>
              </w:rPr>
              <w:t>e</w:t>
            </w:r>
            <w:r w:rsidR="00DE375D" w:rsidRPr="00846C7D">
              <w:rPr>
                <w:spacing w:val="-2"/>
              </w:rPr>
              <w:t xml:space="preserve"> a greater emphasis on resourcing prevention and holistic supports, including but not limited to male behavioural and healing programs, holistic wrap around services and supports, increasing the number of safe houses available, and community led alcohol and drug detox and rehabilitation programs</w:t>
            </w:r>
          </w:p>
          <w:p w14:paraId="23565EB0" w14:textId="3558F3A0" w:rsidR="00DE375D" w:rsidRPr="00846C7D" w:rsidRDefault="00DF0086" w:rsidP="00846C7D">
            <w:pPr>
              <w:pStyle w:val="ListBullet"/>
              <w:numPr>
                <w:ilvl w:val="0"/>
                <w:numId w:val="17"/>
              </w:numPr>
              <w:ind w:left="227" w:hanging="227"/>
            </w:pPr>
            <w:r>
              <w:t>a</w:t>
            </w:r>
            <w:r w:rsidR="00DE375D" w:rsidRPr="007B3DCE">
              <w:t>ddress shortcomings in existing policies and programs. Aboriginal and Torres Strait Islander females and children have raised concerns with current police response rates to family violence reports and callouts. Addressing institutional racism within police and family courts would reduce barriers to reporting family violence.</w:t>
            </w:r>
          </w:p>
          <w:p w14:paraId="1E46EDD3" w14:textId="182A4587" w:rsidR="000556B7" w:rsidRPr="00295ABF" w:rsidRDefault="00D00BD3" w:rsidP="00295ABF">
            <w:pPr>
              <w:pStyle w:val="Source"/>
            </w:pPr>
            <w:r>
              <w:t xml:space="preserve">Source: </w:t>
            </w:r>
            <w:r w:rsidR="00330847">
              <w:t xml:space="preserve">AHRC </w:t>
            </w:r>
            <w:r w:rsidR="00424A35" w:rsidRPr="00216127">
              <w:rPr>
                <w:rFonts w:ascii="Arial (Body)" w:hAnsi="Arial (Body)" w:cs="Arial"/>
              </w:rPr>
              <w:t>(2020)</w:t>
            </w:r>
            <w:r w:rsidR="009F4249">
              <w:t>;</w:t>
            </w:r>
            <w:r w:rsidR="00330847">
              <w:t xml:space="preserve"> PC </w:t>
            </w:r>
            <w:r w:rsidR="009F4249" w:rsidRPr="00216127">
              <w:rPr>
                <w:rFonts w:ascii="Arial (Body)" w:hAnsi="Arial (Body)" w:cs="Arial"/>
              </w:rPr>
              <w:t>(2024)</w:t>
            </w:r>
            <w:r w:rsidR="009F4249">
              <w:t>.</w:t>
            </w:r>
          </w:p>
        </w:tc>
      </w:tr>
      <w:tr w:rsidR="00DE375D" w:rsidRPr="007B3DCE" w14:paraId="15753677" w14:textId="77777777">
        <w:trPr>
          <w:hidden/>
        </w:trPr>
        <w:tc>
          <w:tcPr>
            <w:tcW w:w="9638" w:type="dxa"/>
            <w:shd w:val="clear" w:color="auto" w:fill="auto"/>
            <w:tcMar>
              <w:top w:w="0" w:type="dxa"/>
              <w:left w:w="170" w:type="dxa"/>
              <w:bottom w:w="0" w:type="dxa"/>
              <w:right w:w="170" w:type="dxa"/>
            </w:tcMar>
          </w:tcPr>
          <w:p w14:paraId="057931B9" w14:textId="77777777" w:rsidR="00DE375D" w:rsidRPr="007B3DCE" w:rsidRDefault="00DE375D">
            <w:pPr>
              <w:pStyle w:val="BodyText"/>
              <w:spacing w:before="0" w:after="0" w:line="80" w:lineRule="atLeast"/>
              <w:rPr>
                <w:smallCaps/>
                <w:vanish/>
              </w:rPr>
            </w:pPr>
            <w:r w:rsidRPr="007B3DCE">
              <w:rPr>
                <w:smallCaps/>
                <w:vanish/>
                <w:color w:val="FF00FF"/>
              </w:rPr>
              <w:t>Used for spacing, do not delete</w:t>
            </w:r>
          </w:p>
        </w:tc>
      </w:tr>
    </w:tbl>
    <w:p w14:paraId="27A664EA" w14:textId="66A35F20" w:rsidR="00AC5682" w:rsidRPr="007B3DCE" w:rsidRDefault="00AC5682" w:rsidP="00AC5682">
      <w:pPr>
        <w:pStyle w:val="BodyText"/>
      </w:pPr>
      <w:bookmarkStart w:id="30" w:name="_Toc167878550"/>
    </w:p>
    <w:p w14:paraId="42C0CB02" w14:textId="2BCD51A5" w:rsidR="007158F3" w:rsidRPr="007158F3" w:rsidRDefault="00632048" w:rsidP="00101B3C">
      <w:pPr>
        <w:spacing w:before="0" w:after="160" w:line="259" w:lineRule="auto"/>
      </w:pPr>
      <w:r>
        <w:rPr>
          <w:noProof/>
        </w:rPr>
        <w:lastRenderedPageBreak/>
        <w:drawing>
          <wp:anchor distT="0" distB="0" distL="114300" distR="114300" simplePos="0" relativeHeight="251658252" behindDoc="1" locked="0" layoutInCell="1" allowOverlap="1" wp14:anchorId="0287A8D1" wp14:editId="4972FD96">
            <wp:simplePos x="0" y="0"/>
            <wp:positionH relativeFrom="margin">
              <wp:align>center</wp:align>
            </wp:positionH>
            <wp:positionV relativeFrom="paragraph">
              <wp:posOffset>3171092</wp:posOffset>
            </wp:positionV>
            <wp:extent cx="7643531" cy="5886716"/>
            <wp:effectExtent l="0" t="0" r="0" b="0"/>
            <wp:wrapNone/>
            <wp:docPr id="1401262308"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62308" name="Picture 213">
                      <a:extLst>
                        <a:ext uri="{C183D7F6-B498-43B3-948B-1728B52AA6E4}">
                          <adec:decorative xmlns:adec="http://schemas.microsoft.com/office/drawing/2017/decorative" val="1"/>
                        </a:ext>
                      </a:extLst>
                    </pic:cNvPr>
                    <pic:cNvPicPr>
                      <a:picLocks noChangeAspect="1" noChangeArrowheads="1"/>
                    </pic:cNvPicPr>
                  </pic:nvPicPr>
                  <pic:blipFill>
                    <a:blip r:embed="rId63" cstate="print">
                      <a:duotone>
                        <a:prstClr val="black"/>
                        <a:srgbClr val="F15A2B">
                          <a:tint val="45000"/>
                          <a:satMod val="400000"/>
                        </a:srgbClr>
                      </a:duotone>
                      <a:extLst>
                        <a:ext uri="{BEBA8EAE-BF5A-486C-A8C5-ECC9F3942E4B}">
                          <a14:imgProps xmlns:a14="http://schemas.microsoft.com/office/drawing/2010/main">
                            <a14:imgLayer r:embed="rId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643531" cy="5886716"/>
                    </a:xfrm>
                    <a:prstGeom prst="rect">
                      <a:avLst/>
                    </a:prstGeom>
                    <a:noFill/>
                    <a:ln>
                      <a:noFill/>
                    </a:ln>
                  </pic:spPr>
                </pic:pic>
              </a:graphicData>
            </a:graphic>
            <wp14:sizeRelH relativeFrom="page">
              <wp14:pctWidth>0</wp14:pctWidth>
            </wp14:sizeRelH>
            <wp14:sizeRelV relativeFrom="page">
              <wp14:pctHeight>0</wp14:pctHeight>
            </wp14:sizeRelV>
          </wp:anchor>
        </w:drawing>
      </w:r>
      <w:r w:rsidR="000E32B2" w:rsidRPr="000E32B2">
        <w:rPr>
          <w:noProof/>
        </w:rPr>
        <w:t xml:space="preserve"> </w:t>
      </w:r>
      <w:r w:rsidR="000E32B2" w:rsidRPr="000E32B2">
        <w:rPr>
          <w:noProof/>
        </w:rPr>
        <w:drawing>
          <wp:inline distT="0" distB="0" distL="0" distR="0" wp14:anchorId="2368EF5B" wp14:editId="68BBC0CE">
            <wp:extent cx="6113313" cy="3521710"/>
            <wp:effectExtent l="0" t="0" r="1905" b="2540"/>
            <wp:docPr id="690606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06088" name="Picture 10"/>
                    <pic:cNvPicPr>
                      <a:picLocks noChangeAspect="1" noChangeArrowheads="1"/>
                    </pic:cNvPicPr>
                  </pic:nvPicPr>
                  <pic:blipFill>
                    <a:blip r:embed="rId65"/>
                    <a:stretch>
                      <a:fillRect/>
                    </a:stretch>
                  </pic:blipFill>
                  <pic:spPr bwMode="auto">
                    <a:xfrm>
                      <a:off x="0" y="0"/>
                      <a:ext cx="6113313" cy="3521710"/>
                    </a:xfrm>
                    <a:prstGeom prst="rect">
                      <a:avLst/>
                    </a:prstGeom>
                    <a:noFill/>
                    <a:ln>
                      <a:noFill/>
                    </a:ln>
                  </pic:spPr>
                </pic:pic>
              </a:graphicData>
            </a:graphic>
          </wp:inline>
        </w:drawing>
      </w:r>
    </w:p>
    <w:p w14:paraId="162F5B7F" w14:textId="77777777" w:rsidR="007158F3" w:rsidRDefault="007158F3" w:rsidP="007158F3">
      <w:pPr>
        <w:sectPr w:rsidR="007158F3" w:rsidSect="00C1454D">
          <w:footerReference w:type="even" r:id="rId66"/>
          <w:pgSz w:w="11906" w:h="16838" w:code="9"/>
          <w:pgMar w:top="1134" w:right="1134" w:bottom="1134" w:left="1134" w:header="794" w:footer="510" w:gutter="0"/>
          <w:cols w:space="708"/>
          <w:docGrid w:linePitch="360"/>
        </w:sectPr>
      </w:pPr>
    </w:p>
    <w:p w14:paraId="0793A2C9" w14:textId="2FF5EA4F" w:rsidR="00875D58" w:rsidRPr="00216127" w:rsidRDefault="00F047F6" w:rsidP="004902CA">
      <w:pPr>
        <w:pStyle w:val="Heading1-nonumber"/>
        <w:pBdr>
          <w:top w:val="single" w:sz="4" w:space="31" w:color="DBDCDE"/>
          <w:left w:val="single" w:sz="4" w:space="26" w:color="DBDCDE"/>
          <w:bottom w:val="single" w:sz="4" w:space="26" w:color="DBDCDE"/>
          <w:right w:val="single" w:sz="4" w:space="26" w:color="DBDCDE"/>
        </w:pBdr>
        <w:shd w:val="clear" w:color="auto" w:fill="732B11" w:themeFill="accent4" w:themeFillShade="80"/>
        <w:rPr>
          <w:rFonts w:ascii="Arial (Body)" w:hAnsi="Arial (Body)" w:cs="Arial"/>
          <w:color w:val="F8DED4" w:themeColor="accent4" w:themeTint="33"/>
          <w:sz w:val="20"/>
        </w:rPr>
      </w:pPr>
      <w:bookmarkStart w:id="31" w:name="_Toc170466649"/>
      <w:r w:rsidRPr="007B3DCE">
        <w:rPr>
          <w:color w:val="F8DED4" w:themeColor="accent4" w:themeTint="33"/>
        </w:rPr>
        <w:lastRenderedPageBreak/>
        <w:t xml:space="preserve">2.3 </w:t>
      </w:r>
      <w:r w:rsidRPr="007B3DCE">
        <w:rPr>
          <w:color w:val="F8DED4" w:themeColor="accent4" w:themeTint="33"/>
        </w:rPr>
        <w:tab/>
      </w:r>
      <w:r w:rsidR="00875D58" w:rsidRPr="007B3DCE">
        <w:rPr>
          <w:color w:val="F8DED4" w:themeColor="accent4" w:themeTint="33"/>
        </w:rPr>
        <w:t>Language</w:t>
      </w:r>
      <w:bookmarkEnd w:id="30"/>
      <w:bookmarkEnd w:id="31"/>
      <w:r w:rsidR="00875D58" w:rsidRPr="00216127">
        <w:rPr>
          <w:rFonts w:ascii="Arial (Body)" w:hAnsi="Arial (Body)" w:cs="Arial"/>
          <w:color w:val="F8DED4" w:themeColor="accent4" w:themeTint="33"/>
          <w:sz w:val="20"/>
        </w:rPr>
        <w:t xml:space="preserve"> </w:t>
      </w:r>
    </w:p>
    <w:p w14:paraId="561223F1" w14:textId="0190B480" w:rsidR="0039009C" w:rsidRPr="00885592" w:rsidRDefault="0039009C" w:rsidP="00BB192F">
      <w:pPr>
        <w:pStyle w:val="BodyText"/>
      </w:pPr>
      <w:r w:rsidRPr="00885592">
        <w:t>There are mutually reinforcing links between culture, people, knowledges and language (First Languages Australia nd; Nakata 2024; O’Brien and Bobongie-Harris 2023). Language plays a central role in cultural identity, facilitating the intergenerational transmission of culture and complex, local and valuable knowledges</w:t>
      </w:r>
      <w:r w:rsidR="008C013D" w:rsidRPr="00885592">
        <w:t>,</w:t>
      </w:r>
      <w:r w:rsidRPr="00885592">
        <w:t xml:space="preserve"> and providing a sense of belonging and empowerment (AIATSIS 2023; First Languages Australia nd). </w:t>
      </w:r>
    </w:p>
    <w:p w14:paraId="10F9B3F0" w14:textId="1E518CBC" w:rsidR="0039009C" w:rsidRPr="00216127" w:rsidRDefault="0039009C" w:rsidP="00BB192F">
      <w:pPr>
        <w:pStyle w:val="BodyText"/>
      </w:pPr>
      <w:r w:rsidRPr="00216127">
        <w:t>Prior to colonisation, there were over 250 Aboriginal and Torres Strait Islander languages and 800 dialects (AIATSIS 2023). Historical government policies such as moving people onto missions and the forced removal of children from families deliberately su</w:t>
      </w:r>
      <w:r w:rsidR="001B582D" w:rsidRPr="00216127">
        <w:t>p</w:t>
      </w:r>
      <w:r w:rsidRPr="00216127">
        <w:t xml:space="preserve">pressed the speaking of Aboriginal and Torres Strait Islander languages and their intergenerational transmission (AIATSIS 2023). Colonisation and its ongoing impacts have led to over half of the previously spoken Aboriginal and Torres Strait Islander languages being lost, with many of the remaining languages now endangered (McKay 2011). </w:t>
      </w:r>
    </w:p>
    <w:p w14:paraId="5678BA6E" w14:textId="13A262F0" w:rsidR="0039009C" w:rsidRPr="007B3DCE" w:rsidRDefault="0039009C" w:rsidP="00BB192F">
      <w:pPr>
        <w:pStyle w:val="BodyText"/>
      </w:pPr>
      <w:r w:rsidRPr="00216127">
        <w:t xml:space="preserve">Recently there have been efforts to revitalise and reclaim languages that were taken away from Aboriginal and Torres Strait Islander people (Sivak et al. 2019). Preservation of language enables connection and is essential to maintaining wellbeing, which encompasses the physical, social, emotional, cultural, spiritual and ecological wellbeing of individuals and communities </w:t>
      </w:r>
      <w:r w:rsidR="00B96EEE" w:rsidRPr="00216127">
        <w:t>(Dudgeon et al. 2014; Sivak et al. 2019)</w:t>
      </w:r>
      <w:r w:rsidRPr="00216127">
        <w:t>.</w:t>
      </w:r>
    </w:p>
    <w:p w14:paraId="7A5512D3" w14:textId="2831FEE8" w:rsidR="00DE375D" w:rsidRPr="007B3DCE" w:rsidRDefault="00DE375D">
      <w:pPr>
        <w:pStyle w:val="NoSpacing"/>
      </w:pPr>
      <w:r w:rsidRPr="007B3DCE">
        <w:rPr>
          <w:vanish/>
          <w:color w:val="FF00FF"/>
        </w:rPr>
        <w:t>[</w:t>
      </w:r>
      <w:r w:rsidRPr="007B3DCE">
        <w:rPr>
          <w:smallCaps/>
          <w:vanish/>
          <w:color w:val="FF00FF"/>
        </w:rPr>
        <w:t>Used for spacing, do not delete</w:t>
      </w:r>
      <w:r w:rsidRPr="007B3DCE">
        <w:rPr>
          <w:vanish/>
          <w:color w:val="FF00FF"/>
        </w:rPr>
        <w:t xml:space="preserve"> | Style: No Spacing]</w:t>
      </w:r>
    </w:p>
    <w:tbl>
      <w:tblPr>
        <w:tblStyle w:val="Boxtable"/>
        <w:tblW w:w="5000" w:type="pct"/>
        <w:tblLook w:val="04A0" w:firstRow="1" w:lastRow="0" w:firstColumn="1" w:lastColumn="0" w:noHBand="0" w:noVBand="1"/>
      </w:tblPr>
      <w:tblGrid>
        <w:gridCol w:w="9638"/>
      </w:tblGrid>
      <w:tr w:rsidR="00DE375D" w:rsidRPr="007B3DCE" w14:paraId="648CF87A" w14:textId="77777777" w:rsidTr="001752AD">
        <w:trPr>
          <w:trHeight w:val="476"/>
          <w:tblHeader/>
        </w:trPr>
        <w:tc>
          <w:tcPr>
            <w:tcW w:w="9638" w:type="dxa"/>
            <w:shd w:val="clear" w:color="auto" w:fill="732B11" w:themeFill="accent4" w:themeFillShade="80"/>
            <w:tcMar>
              <w:top w:w="170" w:type="dxa"/>
              <w:left w:w="170" w:type="dxa"/>
              <w:bottom w:w="113" w:type="dxa"/>
              <w:right w:w="170" w:type="dxa"/>
            </w:tcMar>
            <w:vAlign w:val="center"/>
            <w:hideMark/>
          </w:tcPr>
          <w:p w14:paraId="2CC033B9" w14:textId="23BBAD5A" w:rsidR="00DE375D" w:rsidRPr="007B3DCE" w:rsidRDefault="00DE375D" w:rsidP="001752AD">
            <w:pPr>
              <w:pStyle w:val="BoxHeading1"/>
              <w:spacing w:before="0"/>
            </w:pPr>
            <w:r w:rsidRPr="007B3DCE">
              <w:rPr>
                <w:color w:val="FFFFFF"/>
              </w:rPr>
              <w:t>Box 2.</w:t>
            </w:r>
            <w:r w:rsidR="0036545D" w:rsidRPr="007B3DCE">
              <w:rPr>
                <w:color w:val="FFFFFF"/>
              </w:rPr>
              <w:t>10</w:t>
            </w:r>
            <w:r w:rsidRPr="007B3DCE">
              <w:rPr>
                <w:color w:val="FFFFFF"/>
              </w:rPr>
              <w:t xml:space="preserve"> – What data will you find in this section?</w:t>
            </w:r>
          </w:p>
        </w:tc>
      </w:tr>
      <w:tr w:rsidR="00DE375D" w:rsidRPr="007B3DCE" w14:paraId="185C208C" w14:textId="77777777" w:rsidTr="004902CA">
        <w:tc>
          <w:tcPr>
            <w:tcW w:w="9638" w:type="dxa"/>
            <w:shd w:val="clear" w:color="auto" w:fill="F8DED4" w:themeFill="accent4" w:themeFillTint="33"/>
            <w:tcMar>
              <w:top w:w="28" w:type="dxa"/>
              <w:left w:w="170" w:type="dxa"/>
              <w:bottom w:w="170" w:type="dxa"/>
              <w:right w:w="170" w:type="dxa"/>
            </w:tcMar>
            <w:hideMark/>
          </w:tcPr>
          <w:p w14:paraId="392EB241" w14:textId="48965F63" w:rsidR="00DE375D" w:rsidRPr="00216127" w:rsidRDefault="00DE375D" w:rsidP="00DE375D">
            <w:pPr>
              <w:rPr>
                <w:rFonts w:ascii="Arial (Body)" w:hAnsi="Arial (Body)" w:cs="Arial"/>
              </w:rPr>
            </w:pPr>
            <w:r w:rsidRPr="00216127">
              <w:rPr>
                <w:rFonts w:ascii="Arial (Body)" w:hAnsi="Arial (Body)" w:cs="Arial"/>
              </w:rPr>
              <w:t xml:space="preserve">This section provides a snapshot of the latest data available in 2024 for socio-economic outcome </w:t>
            </w:r>
            <w:r w:rsidR="009861D3" w:rsidRPr="00216127">
              <w:rPr>
                <w:rFonts w:ascii="Arial (Body)" w:hAnsi="Arial (Body)" w:cs="Arial"/>
              </w:rPr>
              <w:t>16</w:t>
            </w:r>
            <w:r w:rsidRPr="00216127">
              <w:rPr>
                <w:rFonts w:ascii="Arial (Body)" w:hAnsi="Arial (Body)" w:cs="Arial"/>
              </w:rPr>
              <w:t xml:space="preserve">.  </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8"/>
              <w:gridCol w:w="2013"/>
            </w:tblGrid>
            <w:tr w:rsidR="00DE375D" w:rsidRPr="007B3DCE" w14:paraId="10337464" w14:textId="77777777">
              <w:trPr>
                <w:trHeight w:val="420"/>
              </w:trPr>
              <w:tc>
                <w:tcPr>
                  <w:tcW w:w="7058" w:type="dxa"/>
                  <w:vAlign w:val="center"/>
                </w:tcPr>
                <w:p w14:paraId="4F793C5B" w14:textId="36B7359F" w:rsidR="00DE375D" w:rsidRPr="007B3DCE" w:rsidRDefault="00DE375D" w:rsidP="00DE375D">
                  <w:pPr>
                    <w:rPr>
                      <w:b/>
                      <w:bCs/>
                    </w:rPr>
                  </w:pPr>
                  <w:r w:rsidRPr="007B3DCE">
                    <w:rPr>
                      <w:b/>
                      <w:bCs/>
                    </w:rPr>
                    <w:t>Outcome</w:t>
                  </w:r>
                </w:p>
              </w:tc>
              <w:tc>
                <w:tcPr>
                  <w:tcW w:w="2013" w:type="dxa"/>
                </w:tcPr>
                <w:p w14:paraId="790D599A" w14:textId="77777777" w:rsidR="00DE375D" w:rsidRPr="007B3DCE" w:rsidRDefault="00DE375D" w:rsidP="002F2E42">
                  <w:pPr>
                    <w:jc w:val="right"/>
                    <w:rPr>
                      <w:b/>
                    </w:rPr>
                  </w:pPr>
                  <w:r w:rsidRPr="007B3DCE">
                    <w:rPr>
                      <w:b/>
                      <w:bCs/>
                    </w:rPr>
                    <w:t>Latest data</w:t>
                  </w:r>
                </w:p>
              </w:tc>
            </w:tr>
            <w:tr w:rsidR="00C15209" w:rsidRPr="007B3DCE" w14:paraId="2A9ED6BF" w14:textId="77777777" w:rsidTr="00910ACA">
              <w:trPr>
                <w:trHeight w:val="300"/>
              </w:trPr>
              <w:tc>
                <w:tcPr>
                  <w:tcW w:w="7058" w:type="dxa"/>
                </w:tcPr>
                <w:p w14:paraId="73CC0743" w14:textId="77777777" w:rsidR="00C15209" w:rsidRDefault="00C15209" w:rsidP="008159C8">
                  <w:pPr>
                    <w:spacing w:before="0" w:after="0" w:line="259" w:lineRule="auto"/>
                  </w:pPr>
                  <w:r w:rsidRPr="007B3DCE">
                    <w:rPr>
                      <w:b/>
                      <w:bCs/>
                    </w:rPr>
                    <w:t xml:space="preserve">Outcome 16: </w:t>
                  </w:r>
                  <w:r w:rsidRPr="007B3DCE">
                    <w:t>Aboriginal and Torres Strait Islander cultures and languages are strong, supported and flourishing</w:t>
                  </w:r>
                </w:p>
                <w:p w14:paraId="3D796547" w14:textId="29290D4D" w:rsidR="00752848" w:rsidRPr="00C15209" w:rsidRDefault="00752848" w:rsidP="008159C8">
                  <w:pPr>
                    <w:spacing w:before="0" w:after="0" w:line="259" w:lineRule="auto"/>
                  </w:pPr>
                </w:p>
              </w:tc>
              <w:tc>
                <w:tcPr>
                  <w:tcW w:w="2013" w:type="dxa"/>
                </w:tcPr>
                <w:p w14:paraId="752F1754" w14:textId="77777777" w:rsidR="00C15209" w:rsidRPr="00B31657" w:rsidRDefault="00C15209" w:rsidP="002F2E42">
                  <w:pPr>
                    <w:contextualSpacing/>
                    <w:jc w:val="right"/>
                    <w:rPr>
                      <w:sz w:val="8"/>
                      <w:szCs w:val="8"/>
                    </w:rPr>
                  </w:pPr>
                </w:p>
              </w:tc>
            </w:tr>
            <w:tr w:rsidR="00DE375D" w:rsidRPr="007B3DCE" w14:paraId="2E8C4085" w14:textId="77777777">
              <w:trPr>
                <w:trHeight w:val="300"/>
              </w:trPr>
              <w:tc>
                <w:tcPr>
                  <w:tcW w:w="7058" w:type="dxa"/>
                </w:tcPr>
                <w:p w14:paraId="5172152E" w14:textId="0CA63457" w:rsidR="00DE375D" w:rsidRPr="007B3DCE" w:rsidRDefault="0085011F" w:rsidP="00974ADB">
                  <w:pPr>
                    <w:pStyle w:val="ListBullet"/>
                    <w:numPr>
                      <w:ilvl w:val="0"/>
                      <w:numId w:val="17"/>
                    </w:numPr>
                    <w:ind w:left="227" w:hanging="227"/>
                  </w:pPr>
                  <w:r w:rsidRPr="007B3DCE">
                    <w:t>L</w:t>
                  </w:r>
                  <w:r w:rsidR="00DE375D" w:rsidRPr="007B3DCE">
                    <w:t>anguages (Target 16)</w:t>
                  </w:r>
                </w:p>
                <w:p w14:paraId="20A361A6" w14:textId="123AE497" w:rsidR="00DE375D" w:rsidRPr="007B3DCE" w:rsidRDefault="00DE375D" w:rsidP="00974ADB">
                  <w:pPr>
                    <w:pStyle w:val="ListBullet"/>
                    <w:numPr>
                      <w:ilvl w:val="0"/>
                      <w:numId w:val="17"/>
                    </w:numPr>
                    <w:ind w:left="227" w:hanging="227"/>
                  </w:pPr>
                  <w:r w:rsidRPr="007B3DCE">
                    <w:t>Accessing Commonwealth</w:t>
                  </w:r>
                  <w:r w:rsidR="00433C04" w:rsidRPr="007B3DCE">
                    <w:t>-</w:t>
                  </w:r>
                  <w:r w:rsidRPr="007B3DCE">
                    <w:t>funded language centres (16e)*</w:t>
                  </w:r>
                </w:p>
              </w:tc>
              <w:tc>
                <w:tcPr>
                  <w:tcW w:w="2013" w:type="dxa"/>
                </w:tcPr>
                <w:p w14:paraId="230AB355" w14:textId="7F83160D" w:rsidR="00C15209" w:rsidRPr="00216127" w:rsidRDefault="00DE375D" w:rsidP="002F2E42">
                  <w:pPr>
                    <w:contextualSpacing/>
                    <w:jc w:val="right"/>
                    <w:rPr>
                      <w:rStyle w:val="normaltextrun"/>
                      <w:rFonts w:ascii="Arial (Body)" w:hAnsi="Arial (Body)" w:cs="Arial"/>
                      <w:color w:val="000000"/>
                      <w:bdr w:val="none" w:sz="0" w:space="0" w:color="auto" w:frame="1"/>
                    </w:rPr>
                  </w:pPr>
                  <w:r w:rsidRPr="007B3DCE">
                    <w:t>201</w:t>
                  </w:r>
                  <w:r w:rsidR="00752848">
                    <w:t>8-19</w:t>
                  </w:r>
                </w:p>
                <w:p w14:paraId="36E5F246" w14:textId="4E171F0A" w:rsidR="00DE375D" w:rsidRPr="007B3DCE" w:rsidRDefault="00DE375D" w:rsidP="002F2E42">
                  <w:pPr>
                    <w:contextualSpacing/>
                    <w:jc w:val="right"/>
                  </w:pPr>
                  <w:r w:rsidRPr="007B3DCE">
                    <w:t>202</w:t>
                  </w:r>
                  <w:r w:rsidR="00EF0F35">
                    <w:t>2-2</w:t>
                  </w:r>
                  <w:r w:rsidRPr="007B3DCE">
                    <w:t>3</w:t>
                  </w:r>
                </w:p>
              </w:tc>
            </w:tr>
            <w:tr w:rsidR="00DE375D" w:rsidRPr="007B3DCE" w14:paraId="0FEFF158" w14:textId="77777777">
              <w:trPr>
                <w:trHeight w:val="300"/>
              </w:trPr>
              <w:tc>
                <w:tcPr>
                  <w:tcW w:w="7058" w:type="dxa"/>
                </w:tcPr>
                <w:p w14:paraId="2ADE9A25" w14:textId="49898790" w:rsidR="00DE375D" w:rsidRPr="00885592" w:rsidRDefault="00DE375D" w:rsidP="008159C8">
                  <w:pPr>
                    <w:pStyle w:val="Note"/>
                    <w:spacing w:before="0" w:after="0"/>
                    <w:rPr>
                      <w:rFonts w:cs="Open Sans"/>
                      <w:color w:val="000000"/>
                    </w:rPr>
                  </w:pPr>
                  <w:r w:rsidRPr="007B3DCE">
                    <w:t>Note:</w:t>
                  </w:r>
                  <w:r w:rsidR="00F401C1">
                    <w:t xml:space="preserve"> </w:t>
                  </w:r>
                  <w:r w:rsidRPr="007B3DCE">
                    <w:t xml:space="preserve">* Indicates where </w:t>
                  </w:r>
                  <w:r w:rsidR="00040456">
                    <w:t xml:space="preserve">a </w:t>
                  </w:r>
                  <w:r w:rsidRPr="007B3DCE">
                    <w:t>new</w:t>
                  </w:r>
                  <w:r w:rsidR="00040456">
                    <w:t xml:space="preserve"> year of</w:t>
                  </w:r>
                  <w:r w:rsidRPr="007B3DCE">
                    <w:t xml:space="preserve"> data has been published </w:t>
                  </w:r>
                  <w:r w:rsidRPr="007B3DCE">
                    <w:rPr>
                      <w:rFonts w:cs="Open Sans"/>
                      <w:color w:val="000000"/>
                    </w:rPr>
                    <w:t>since the 2023 ADCR</w:t>
                  </w:r>
                  <w:r w:rsidR="003B546C">
                    <w:rPr>
                      <w:rFonts w:cs="Open Sans"/>
                      <w:color w:val="000000"/>
                    </w:rPr>
                    <w:t xml:space="preserve">. </w:t>
                  </w:r>
                </w:p>
              </w:tc>
              <w:tc>
                <w:tcPr>
                  <w:tcW w:w="2013" w:type="dxa"/>
                </w:tcPr>
                <w:p w14:paraId="38CC47EC" w14:textId="5EA09445" w:rsidR="00DE375D" w:rsidRPr="007B3DCE" w:rsidRDefault="00DE375D" w:rsidP="00B31657">
                  <w:pPr>
                    <w:contextualSpacing/>
                  </w:pPr>
                </w:p>
              </w:tc>
            </w:tr>
          </w:tbl>
          <w:p w14:paraId="3B1E66D7" w14:textId="566B1283" w:rsidR="00DE375D" w:rsidRPr="007B3DCE" w:rsidRDefault="00DE375D" w:rsidP="00652A8A">
            <w:pPr>
              <w:pStyle w:val="BodyText"/>
            </w:pPr>
            <w:r w:rsidRPr="007B3DCE">
              <w:t xml:space="preserve">Collecting data on languages faces challenges such as differing methodologies across National Indigenous Language Surveys (NILS), complexities in defining and measuring language proficiency and vitality, and potential undercounting or lack of data for certain language varieties. The data reported is insufficient to determine whether the target is on track to be met. </w:t>
            </w:r>
          </w:p>
        </w:tc>
      </w:tr>
      <w:tr w:rsidR="00DE375D" w:rsidRPr="007B3DCE" w14:paraId="7B809B01" w14:textId="77777777">
        <w:trPr>
          <w:hidden/>
        </w:trPr>
        <w:tc>
          <w:tcPr>
            <w:tcW w:w="9638" w:type="dxa"/>
            <w:shd w:val="clear" w:color="auto" w:fill="auto"/>
            <w:tcMar>
              <w:top w:w="0" w:type="dxa"/>
              <w:left w:w="170" w:type="dxa"/>
              <w:bottom w:w="0" w:type="dxa"/>
              <w:right w:w="170" w:type="dxa"/>
            </w:tcMar>
          </w:tcPr>
          <w:p w14:paraId="2159578E" w14:textId="77777777" w:rsidR="00DE375D" w:rsidRPr="007B3DCE" w:rsidRDefault="00DE375D">
            <w:pPr>
              <w:pStyle w:val="BodyText"/>
              <w:spacing w:before="0" w:after="0" w:line="80" w:lineRule="atLeast"/>
              <w:rPr>
                <w:smallCaps/>
                <w:vanish/>
              </w:rPr>
            </w:pPr>
            <w:r w:rsidRPr="007B3DCE">
              <w:rPr>
                <w:smallCaps/>
                <w:vanish/>
                <w:color w:val="FF00FF"/>
              </w:rPr>
              <w:t>Used for spacing, do not delete</w:t>
            </w:r>
          </w:p>
        </w:tc>
      </w:tr>
    </w:tbl>
    <w:p w14:paraId="3843AB9A" w14:textId="4BD9CA85" w:rsidR="00045092" w:rsidRPr="007B3DCE" w:rsidRDefault="00045092" w:rsidP="00EF54F7">
      <w:pPr>
        <w:pStyle w:val="Heading3"/>
        <w:rPr>
          <w:color w:val="732B11" w:themeColor="accent4" w:themeShade="80"/>
        </w:rPr>
      </w:pPr>
      <w:bookmarkStart w:id="32" w:name="_Toc167878551"/>
      <w:r w:rsidRPr="007B3DCE">
        <w:rPr>
          <w:color w:val="732B11" w:themeColor="accent4" w:themeShade="80"/>
        </w:rPr>
        <w:lastRenderedPageBreak/>
        <w:t>Outcome 16</w:t>
      </w:r>
      <w:r w:rsidR="002D15A0" w:rsidRPr="007B3DCE">
        <w:rPr>
          <w:color w:val="732B11" w:themeColor="accent4" w:themeShade="80"/>
        </w:rPr>
        <w:t>:</w:t>
      </w:r>
      <w:r w:rsidRPr="007B3DCE">
        <w:rPr>
          <w:color w:val="732B11" w:themeColor="accent4" w:themeShade="80"/>
        </w:rPr>
        <w:t xml:space="preserve"> Aboriginal and Torres Strait Islander cultures and languages are strong, supported and flourishing</w:t>
      </w:r>
      <w:bookmarkEnd w:id="32"/>
    </w:p>
    <w:p w14:paraId="11C9A796" w14:textId="14F79656" w:rsidR="0001708D" w:rsidRPr="00B329E7" w:rsidRDefault="00E40765" w:rsidP="00EF54F7">
      <w:pPr>
        <w:pStyle w:val="Heading4"/>
        <w:rPr>
          <w:color w:val="B8563B" w:themeColor="accent5" w:themeShade="BF"/>
          <w:spacing w:val="-2"/>
        </w:rPr>
      </w:pPr>
      <w:r w:rsidRPr="00B329E7">
        <w:rPr>
          <w:color w:val="B8563B" w:themeColor="accent5" w:themeShade="BF"/>
          <w:spacing w:val="-2"/>
        </w:rPr>
        <w:t>There is no new data available to report</w:t>
      </w:r>
      <w:r w:rsidR="00BE0264" w:rsidRPr="00B329E7">
        <w:rPr>
          <w:color w:val="B8563B" w:themeColor="accent5" w:themeShade="BF"/>
          <w:spacing w:val="-2"/>
        </w:rPr>
        <w:t xml:space="preserve"> on the</w:t>
      </w:r>
      <w:r w:rsidRPr="00B329E7">
        <w:rPr>
          <w:color w:val="B8563B" w:themeColor="accent5" w:themeShade="BF"/>
          <w:spacing w:val="-2"/>
        </w:rPr>
        <w:t xml:space="preserve"> progress</w:t>
      </w:r>
      <w:r w:rsidR="0001708D" w:rsidRPr="00B329E7">
        <w:rPr>
          <w:color w:val="B8563B" w:themeColor="accent5" w:themeShade="BF"/>
          <w:spacing w:val="-2"/>
        </w:rPr>
        <w:t xml:space="preserve"> for a sustained increase in the number and strength of Aboriginal and Torres Strait Islander languages </w:t>
      </w:r>
    </w:p>
    <w:p w14:paraId="13FB1D80" w14:textId="0A81B5EC" w:rsidR="00E77E6C" w:rsidRPr="00216127" w:rsidRDefault="00A62B8A" w:rsidP="00045092">
      <w:pPr>
        <w:rPr>
          <w:rFonts w:ascii="Arial (Body)" w:hAnsi="Arial (Body)" w:cs="Arial"/>
        </w:rPr>
      </w:pPr>
      <w:r w:rsidRPr="00216127">
        <w:rPr>
          <w:rFonts w:ascii="Arial (Body)" w:hAnsi="Arial (Body)" w:cs="Arial"/>
        </w:rPr>
        <w:t xml:space="preserve">There is no new data available to report progress for this target </w:t>
      </w:r>
      <w:r w:rsidR="00A36F9E" w:rsidRPr="00216127">
        <w:rPr>
          <w:rFonts w:ascii="Arial (Body)" w:hAnsi="Arial (Body)" w:cs="Arial"/>
        </w:rPr>
        <w:t xml:space="preserve">since the baseline </w:t>
      </w:r>
      <w:r w:rsidR="004125E5" w:rsidRPr="00216127">
        <w:rPr>
          <w:rFonts w:ascii="Arial (Body)" w:hAnsi="Arial (Body)" w:cs="Arial"/>
        </w:rPr>
        <w:t>data</w:t>
      </w:r>
      <w:r w:rsidR="00A36F9E" w:rsidRPr="00216127">
        <w:rPr>
          <w:rFonts w:ascii="Arial (Body)" w:hAnsi="Arial (Body)" w:cs="Arial"/>
        </w:rPr>
        <w:t xml:space="preserve"> </w:t>
      </w:r>
      <w:r w:rsidR="004125E5" w:rsidRPr="00216127">
        <w:rPr>
          <w:rFonts w:ascii="Arial (Body)" w:hAnsi="Arial (Body)" w:cs="Arial"/>
        </w:rPr>
        <w:t xml:space="preserve">(2018-19) </w:t>
      </w:r>
      <w:r w:rsidR="00A36F9E" w:rsidRPr="00216127">
        <w:rPr>
          <w:rFonts w:ascii="Arial (Body)" w:hAnsi="Arial (Body)" w:cs="Arial"/>
        </w:rPr>
        <w:t>was established</w:t>
      </w:r>
      <w:r w:rsidRPr="00216127">
        <w:rPr>
          <w:rFonts w:ascii="Arial (Body)" w:hAnsi="Arial (Body)" w:cs="Arial"/>
        </w:rPr>
        <w:t>.</w:t>
      </w:r>
      <w:r w:rsidR="004E2827" w:rsidRPr="00E1300F">
        <w:rPr>
          <w:rStyle w:val="FootnoteReference"/>
        </w:rPr>
        <w:footnoteReference w:id="13"/>
      </w:r>
      <w:r w:rsidRPr="00216127">
        <w:rPr>
          <w:rFonts w:ascii="Arial (Body)" w:hAnsi="Arial (Body)" w:cs="Arial"/>
        </w:rPr>
        <w:t xml:space="preserve"> </w:t>
      </w:r>
      <w:r w:rsidR="006A3673" w:rsidRPr="00216127">
        <w:rPr>
          <w:rFonts w:ascii="Arial (Body)" w:hAnsi="Arial (Body)" w:cs="Arial"/>
        </w:rPr>
        <w:t>State</w:t>
      </w:r>
      <w:r w:rsidR="003639C7" w:rsidRPr="00216127">
        <w:rPr>
          <w:rFonts w:ascii="Arial (Body)" w:hAnsi="Arial (Body)" w:cs="Arial"/>
        </w:rPr>
        <w:t xml:space="preserve"> and territory </w:t>
      </w:r>
      <w:r w:rsidR="009A2B44" w:rsidRPr="00216127">
        <w:rPr>
          <w:rFonts w:ascii="Arial (Body)" w:hAnsi="Arial (Body)" w:cs="Arial"/>
        </w:rPr>
        <w:t xml:space="preserve">baseline </w:t>
      </w:r>
      <w:r w:rsidR="003639C7" w:rsidRPr="00216127">
        <w:rPr>
          <w:rFonts w:ascii="Arial (Body)" w:hAnsi="Arial (Body)" w:cs="Arial"/>
        </w:rPr>
        <w:t xml:space="preserve">data has been revised since the </w:t>
      </w:r>
      <w:r w:rsidR="00BF48AC" w:rsidRPr="00216127">
        <w:rPr>
          <w:rFonts w:ascii="Arial (Body)" w:hAnsi="Arial (Body)" w:cs="Arial"/>
        </w:rPr>
        <w:t>2023 ADCR</w:t>
      </w:r>
      <w:r w:rsidR="009A2B44" w:rsidRPr="00216127">
        <w:rPr>
          <w:rFonts w:ascii="Arial (Body)" w:hAnsi="Arial (Body)" w:cs="Arial"/>
        </w:rPr>
        <w:t>, but this</w:t>
      </w:r>
      <w:r w:rsidRPr="00216127">
        <w:rPr>
          <w:rFonts w:ascii="Arial (Body)" w:hAnsi="Arial (Body)" w:cs="Arial"/>
        </w:rPr>
        <w:t xml:space="preserve"> </w:t>
      </w:r>
      <w:r w:rsidR="000C57A4" w:rsidRPr="00216127">
        <w:rPr>
          <w:rFonts w:ascii="Arial (Body)" w:hAnsi="Arial (Body)" w:cs="Arial"/>
        </w:rPr>
        <w:t>revision</w:t>
      </w:r>
      <w:r w:rsidR="00A715FD" w:rsidRPr="00216127">
        <w:rPr>
          <w:rFonts w:ascii="Arial (Body)" w:hAnsi="Arial (Body)" w:cs="Arial"/>
        </w:rPr>
        <w:t xml:space="preserve"> </w:t>
      </w:r>
      <w:r w:rsidR="00D21E29" w:rsidRPr="00216127">
        <w:rPr>
          <w:rFonts w:ascii="Arial (Body)" w:hAnsi="Arial (Body)" w:cs="Arial"/>
        </w:rPr>
        <w:t>ha</w:t>
      </w:r>
      <w:r w:rsidR="00A715FD" w:rsidRPr="00216127">
        <w:rPr>
          <w:rFonts w:ascii="Arial (Body)" w:hAnsi="Arial (Body)" w:cs="Arial"/>
        </w:rPr>
        <w:t>s</w:t>
      </w:r>
      <w:r w:rsidR="00D21E29" w:rsidRPr="00216127">
        <w:rPr>
          <w:rFonts w:ascii="Arial (Body)" w:hAnsi="Arial (Body)" w:cs="Arial"/>
        </w:rPr>
        <w:t xml:space="preserve"> no</w:t>
      </w:r>
      <w:r w:rsidR="2E744A73" w:rsidRPr="00216127">
        <w:rPr>
          <w:rFonts w:ascii="Arial (Body)" w:hAnsi="Arial (Body)" w:cs="Arial"/>
        </w:rPr>
        <w:t>t</w:t>
      </w:r>
      <w:r w:rsidR="00D21E29" w:rsidRPr="00216127">
        <w:rPr>
          <w:rFonts w:ascii="Arial (Body)" w:hAnsi="Arial (Body)" w:cs="Arial"/>
        </w:rPr>
        <w:t xml:space="preserve"> impact</w:t>
      </w:r>
      <w:r w:rsidR="363F3163" w:rsidRPr="00216127">
        <w:rPr>
          <w:rFonts w:ascii="Arial (Body)" w:hAnsi="Arial (Body)" w:cs="Arial"/>
        </w:rPr>
        <w:t>ed</w:t>
      </w:r>
      <w:r w:rsidR="00D21E29" w:rsidRPr="00216127">
        <w:rPr>
          <w:rFonts w:ascii="Arial (Body)" w:hAnsi="Arial (Body)" w:cs="Arial"/>
        </w:rPr>
        <w:t xml:space="preserve"> </w:t>
      </w:r>
      <w:r w:rsidR="000C57A4" w:rsidRPr="00216127">
        <w:rPr>
          <w:rFonts w:ascii="Arial (Body)" w:hAnsi="Arial (Body)" w:cs="Arial"/>
        </w:rPr>
        <w:t xml:space="preserve">the </w:t>
      </w:r>
      <w:r w:rsidR="00D21E29" w:rsidRPr="00216127">
        <w:rPr>
          <w:rFonts w:ascii="Arial (Body)" w:hAnsi="Arial (Body)" w:cs="Arial"/>
        </w:rPr>
        <w:t>national results.</w:t>
      </w:r>
    </w:p>
    <w:p w14:paraId="75F5C4D0" w14:textId="00F19EC7" w:rsidR="00E77E6C" w:rsidRPr="005F1176" w:rsidRDefault="00393F50" w:rsidP="005F1176">
      <w:pPr>
        <w:pStyle w:val="Heading5"/>
        <w:rPr>
          <w:color w:val="854B1F"/>
        </w:rPr>
      </w:pPr>
      <w:r w:rsidRPr="005F1176">
        <w:rPr>
          <w:color w:val="854B1F"/>
        </w:rPr>
        <w:t>Increased activity at language centres</w:t>
      </w:r>
    </w:p>
    <w:p w14:paraId="1070349C" w14:textId="309C62DB" w:rsidR="00045092" w:rsidRPr="007B3DCE" w:rsidRDefault="024705B6" w:rsidP="00A93734">
      <w:pPr>
        <w:pStyle w:val="BodyText"/>
      </w:pPr>
      <w:r w:rsidRPr="007B3DCE">
        <w:t>A</w:t>
      </w:r>
      <w:r w:rsidR="00045092" w:rsidRPr="007B3DCE">
        <w:t xml:space="preserve">ccess </w:t>
      </w:r>
      <w:r w:rsidR="4E942F38" w:rsidRPr="007B3DCE">
        <w:t>to</w:t>
      </w:r>
      <w:r w:rsidR="00045092" w:rsidRPr="007B3DCE">
        <w:t xml:space="preserve"> Commonwealth</w:t>
      </w:r>
      <w:r w:rsidR="004F69A8" w:rsidRPr="007B3DCE">
        <w:t>–</w:t>
      </w:r>
      <w:r w:rsidR="00045092" w:rsidRPr="007B3DCE">
        <w:t>funded language centres to maintain and preserve languages</w:t>
      </w:r>
      <w:r w:rsidR="00A62B8A" w:rsidRPr="007B3DCE">
        <w:t xml:space="preserve"> </w:t>
      </w:r>
      <w:r w:rsidR="00830346" w:rsidRPr="007B3DCE">
        <w:t xml:space="preserve">– Indicator 16e </w:t>
      </w:r>
      <w:r w:rsidR="00394AAA" w:rsidRPr="007B3DCE">
        <w:t>–</w:t>
      </w:r>
      <w:r w:rsidR="00830346" w:rsidRPr="007B3DCE">
        <w:t xml:space="preserve"> </w:t>
      </w:r>
      <w:r w:rsidR="00A62B8A" w:rsidRPr="007B3DCE">
        <w:t>is increasing</w:t>
      </w:r>
      <w:r w:rsidR="00C56E9C" w:rsidRPr="007B3DCE">
        <w:t xml:space="preserve">. </w:t>
      </w:r>
      <w:r w:rsidR="77F39DC0" w:rsidRPr="007B3DCE">
        <w:t>T</w:t>
      </w:r>
      <w:r w:rsidR="00045092" w:rsidRPr="007B3DCE">
        <w:t>here has</w:t>
      </w:r>
      <w:r w:rsidR="004D36CE">
        <w:t xml:space="preserve"> also</w:t>
      </w:r>
      <w:r w:rsidR="00045092" w:rsidRPr="007B3DCE">
        <w:t xml:space="preserve"> been an upward trend in the number of </w:t>
      </w:r>
      <w:r w:rsidR="003F0C2D" w:rsidRPr="007B3DCE">
        <w:t xml:space="preserve">activities </w:t>
      </w:r>
      <w:r w:rsidR="00045092" w:rsidRPr="007B3DCE">
        <w:t>accessed at Commonwealth</w:t>
      </w:r>
      <w:r w:rsidR="2B3EDCCD" w:rsidRPr="007B3DCE">
        <w:t xml:space="preserve"> </w:t>
      </w:r>
      <w:r w:rsidR="00045092" w:rsidRPr="007B3DCE">
        <w:t>funded Indigenous Language Centres across Australia</w:t>
      </w:r>
      <w:r w:rsidR="3C8480EA" w:rsidRPr="007B3DCE">
        <w:t>, with</w:t>
      </w:r>
      <w:r w:rsidR="00045092" w:rsidRPr="007B3DCE">
        <w:t xml:space="preserve"> total accesses increas</w:t>
      </w:r>
      <w:r w:rsidR="07D1E4EB" w:rsidRPr="007B3DCE">
        <w:t>ing</w:t>
      </w:r>
      <w:r w:rsidR="00045092" w:rsidRPr="007B3DCE">
        <w:t xml:space="preserve"> from 19,723 in </w:t>
      </w:r>
      <w:r w:rsidR="00D215F9">
        <w:br/>
      </w:r>
      <w:r w:rsidR="00045092" w:rsidRPr="007B3DCE">
        <w:t>2018</w:t>
      </w:r>
      <w:r w:rsidR="004F69A8">
        <w:t>-</w:t>
      </w:r>
      <w:r w:rsidR="00045092" w:rsidRPr="007B3DCE">
        <w:t>19 to 73,798 in 2022</w:t>
      </w:r>
      <w:r w:rsidR="00803BA6" w:rsidRPr="007B3DCE">
        <w:t>–</w:t>
      </w:r>
      <w:r w:rsidR="00045092" w:rsidRPr="007B3DCE">
        <w:t>23</w:t>
      </w:r>
      <w:r w:rsidR="4811C53F" w:rsidRPr="007B3DCE">
        <w:t>.</w:t>
      </w:r>
    </w:p>
    <w:p w14:paraId="3A3DCE76" w14:textId="2ADAB2F3" w:rsidR="00A62B8A" w:rsidRPr="007B3DCE" w:rsidRDefault="003566CC" w:rsidP="00A93734">
      <w:pPr>
        <w:pStyle w:val="BodyText"/>
      </w:pPr>
      <w:r w:rsidRPr="007B3DCE">
        <w:t>The increase</w:t>
      </w:r>
      <w:r w:rsidR="002D72E8" w:rsidRPr="007B3DCE">
        <w:t xml:space="preserve"> in</w:t>
      </w:r>
      <w:r w:rsidRPr="007B3DCE">
        <w:t xml:space="preserve"> </w:t>
      </w:r>
      <w:r w:rsidR="00587E4D" w:rsidRPr="007B3DCE">
        <w:t xml:space="preserve">activities </w:t>
      </w:r>
      <w:r w:rsidRPr="007B3DCE">
        <w:t>in Q</w:t>
      </w:r>
      <w:r w:rsidR="00587E4D" w:rsidRPr="007B3DCE">
        <w:t>ueensland ha</w:t>
      </w:r>
      <w:r w:rsidR="002D72E8" w:rsidRPr="007B3DCE">
        <w:t>s</w:t>
      </w:r>
      <w:r w:rsidR="00587E4D" w:rsidRPr="007B3DCE">
        <w:t xml:space="preserve"> been particularly significant: </w:t>
      </w:r>
      <w:r w:rsidR="00045092" w:rsidRPr="007B3DCE">
        <w:t>an increase from 4,417 accesses in 2018-19 to 42,399 in 2022</w:t>
      </w:r>
      <w:r w:rsidR="00D215F9">
        <w:t>–</w:t>
      </w:r>
      <w:r w:rsidR="00045092" w:rsidRPr="007B3DCE">
        <w:t>23. However, in 2022</w:t>
      </w:r>
      <w:r w:rsidR="00D215F9">
        <w:t>–</w:t>
      </w:r>
      <w:r w:rsidR="00045092" w:rsidRPr="007B3DCE">
        <w:t xml:space="preserve">23 the reporting included data for online learning for the first time, which may explain the increase. Similarly, </w:t>
      </w:r>
      <w:r w:rsidR="00FB6231">
        <w:t>there was an increase in</w:t>
      </w:r>
      <w:r w:rsidR="00045092">
        <w:t xml:space="preserve"> </w:t>
      </w:r>
      <w:r w:rsidR="00045092" w:rsidRPr="007B3DCE">
        <w:t>New South Wales from 7,689 in 2018</w:t>
      </w:r>
      <w:r w:rsidR="004F69A8">
        <w:t>-</w:t>
      </w:r>
      <w:r w:rsidR="00045092" w:rsidRPr="007B3DCE">
        <w:t>19 to 13,470 in 2022</w:t>
      </w:r>
      <w:r w:rsidR="000A735F">
        <w:noBreakHyphen/>
      </w:r>
      <w:r w:rsidR="00045092" w:rsidRPr="007B3DCE">
        <w:t>23.</w:t>
      </w:r>
      <w:r w:rsidR="00045092" w:rsidRPr="007B3DCE" w:rsidDel="00071135">
        <w:t xml:space="preserve"> </w:t>
      </w:r>
    </w:p>
    <w:p w14:paraId="523A3F39" w14:textId="77777777" w:rsidR="00DE375D" w:rsidRPr="007B3DCE" w:rsidRDefault="00DE375D">
      <w:pPr>
        <w:pStyle w:val="NoSpacing"/>
      </w:pPr>
      <w:r w:rsidRPr="007B3DCE">
        <w:rPr>
          <w:vanish/>
          <w:color w:val="FF00FF"/>
        </w:rPr>
        <w:t>[</w:t>
      </w:r>
      <w:r w:rsidRPr="007B3DCE">
        <w:rPr>
          <w:smallCaps/>
          <w:vanish/>
          <w:color w:val="FF00FF"/>
        </w:rPr>
        <w:t>Used for spacing, do not delete</w:t>
      </w:r>
      <w:r w:rsidRPr="007B3DCE">
        <w:rPr>
          <w:vanish/>
          <w:color w:val="FF00FF"/>
        </w:rPr>
        <w:t xml:space="preserve"> | Style: No Spacing]</w:t>
      </w:r>
    </w:p>
    <w:tbl>
      <w:tblPr>
        <w:tblStyle w:val="Boxtable"/>
        <w:tblW w:w="5000" w:type="pct"/>
        <w:tblLook w:val="04A0" w:firstRow="1" w:lastRow="0" w:firstColumn="1" w:lastColumn="0" w:noHBand="0" w:noVBand="1"/>
      </w:tblPr>
      <w:tblGrid>
        <w:gridCol w:w="9638"/>
      </w:tblGrid>
      <w:tr w:rsidR="00DE375D" w:rsidRPr="007B3DCE" w14:paraId="2F87BCD6" w14:textId="77777777" w:rsidTr="007C110A">
        <w:trPr>
          <w:tblHeader/>
        </w:trPr>
        <w:tc>
          <w:tcPr>
            <w:tcW w:w="9638" w:type="dxa"/>
            <w:shd w:val="clear" w:color="auto" w:fill="732B11" w:themeFill="accent4" w:themeFillShade="80"/>
            <w:tcMar>
              <w:top w:w="170" w:type="dxa"/>
              <w:left w:w="170" w:type="dxa"/>
              <w:bottom w:w="113" w:type="dxa"/>
              <w:right w:w="170" w:type="dxa"/>
            </w:tcMar>
            <w:hideMark/>
          </w:tcPr>
          <w:p w14:paraId="1F98447A" w14:textId="75BE317F" w:rsidR="00DE375D" w:rsidRPr="007B3DCE" w:rsidRDefault="00DE375D" w:rsidP="001752AD">
            <w:pPr>
              <w:pStyle w:val="BoxHeading1"/>
              <w:spacing w:before="0"/>
            </w:pPr>
            <w:r w:rsidRPr="007B3DCE">
              <w:rPr>
                <w:color w:val="FFFFFF"/>
              </w:rPr>
              <w:t>Box 2.</w:t>
            </w:r>
            <w:r w:rsidR="0036545D" w:rsidRPr="007B3DCE">
              <w:rPr>
                <w:color w:val="FFFFFF"/>
              </w:rPr>
              <w:t>11</w:t>
            </w:r>
            <w:r w:rsidRPr="007B3DCE">
              <w:rPr>
                <w:color w:val="FFFFFF"/>
              </w:rPr>
              <w:t xml:space="preserve"> – </w:t>
            </w:r>
            <w:r w:rsidRPr="007B3DCE">
              <w:rPr>
                <w:rFonts w:ascii="Arial Black" w:hAnsi="Arial Black"/>
                <w:color w:val="FFFFFF"/>
              </w:rPr>
              <w:t>What factors</w:t>
            </w:r>
            <w:r w:rsidRPr="007B3DCE" w:rsidDel="00935C1F">
              <w:rPr>
                <w:rFonts w:ascii="Arial Black" w:hAnsi="Arial Black"/>
                <w:color w:val="FFFFFF"/>
              </w:rPr>
              <w:t xml:space="preserve"> </w:t>
            </w:r>
            <w:r w:rsidRPr="007B3DCE">
              <w:rPr>
                <w:rFonts w:ascii="Arial Black" w:hAnsi="Arial Black"/>
                <w:color w:val="FFFFFF"/>
              </w:rPr>
              <w:t xml:space="preserve">can affect </w:t>
            </w:r>
            <w:r w:rsidRPr="001B2079">
              <w:rPr>
                <w:rFonts w:ascii="Arial Black" w:hAnsi="Arial Black"/>
                <w:color w:val="FFFFFF"/>
              </w:rPr>
              <w:t xml:space="preserve">the </w:t>
            </w:r>
            <w:r w:rsidR="004623B8">
              <w:rPr>
                <w:rFonts w:ascii="Arial Black" w:hAnsi="Arial Black"/>
                <w:color w:val="FFFFFF"/>
              </w:rPr>
              <w:t>flourishing</w:t>
            </w:r>
            <w:r w:rsidR="006500DE" w:rsidRPr="005C4994">
              <w:rPr>
                <w:rFonts w:ascii="Arial Black" w:hAnsi="Arial Black"/>
                <w:color w:val="FFFFFF"/>
              </w:rPr>
              <w:t xml:space="preserve"> </w:t>
            </w:r>
            <w:r w:rsidRPr="007B3DCE">
              <w:rPr>
                <w:rFonts w:ascii="Arial Black" w:hAnsi="Arial Black"/>
                <w:color w:val="FFFFFF"/>
              </w:rPr>
              <w:t>of Aboriginal and Torres Strait Islander languages and cultures?</w:t>
            </w:r>
          </w:p>
        </w:tc>
      </w:tr>
      <w:tr w:rsidR="00DE375D" w:rsidRPr="007B3DCE" w14:paraId="4052AF19" w14:textId="77777777" w:rsidTr="007C110A">
        <w:tc>
          <w:tcPr>
            <w:tcW w:w="9638" w:type="dxa"/>
            <w:shd w:val="clear" w:color="auto" w:fill="F8DED4" w:themeFill="accent4" w:themeFillTint="33"/>
            <w:tcMar>
              <w:top w:w="28" w:type="dxa"/>
              <w:left w:w="170" w:type="dxa"/>
              <w:bottom w:w="170" w:type="dxa"/>
              <w:right w:w="170" w:type="dxa"/>
            </w:tcMar>
            <w:hideMark/>
          </w:tcPr>
          <w:p w14:paraId="4A74849F" w14:textId="77777777" w:rsidR="00DE375D" w:rsidRPr="007B3DCE" w:rsidRDefault="00DE375D" w:rsidP="00DE375D">
            <w:pPr>
              <w:pStyle w:val="BodyText"/>
            </w:pPr>
            <w:r w:rsidRPr="007B3DCE">
              <w:t>The literature outlines a range of factors that support Aboriginal and Torres Strait Islander languages to be strong and flourishing. These include:</w:t>
            </w:r>
          </w:p>
          <w:p w14:paraId="7310B65A" w14:textId="7A9C43BF" w:rsidR="00DE375D" w:rsidRPr="00974ADB" w:rsidRDefault="008C26DE" w:rsidP="00974ADB">
            <w:pPr>
              <w:pStyle w:val="ListBullet"/>
              <w:numPr>
                <w:ilvl w:val="0"/>
                <w:numId w:val="17"/>
              </w:numPr>
              <w:ind w:left="227" w:hanging="227"/>
            </w:pPr>
            <w:r w:rsidRPr="00974ADB">
              <w:t>c</w:t>
            </w:r>
            <w:r w:rsidR="00DE375D" w:rsidRPr="00974ADB">
              <w:t xml:space="preserve">ommunity-controlled language centres, which play a crucial role in maintaining, preserving, and promoting Aboriginal and Torres Strait Islander languages and lead the efforts in language revitalisation </w:t>
            </w:r>
          </w:p>
          <w:p w14:paraId="72A91AC2" w14:textId="0C05F7DC" w:rsidR="00DE375D" w:rsidRPr="007B3DCE" w:rsidRDefault="008C26DE" w:rsidP="00974ADB">
            <w:pPr>
              <w:pStyle w:val="ListBullet"/>
              <w:numPr>
                <w:ilvl w:val="0"/>
                <w:numId w:val="17"/>
              </w:numPr>
              <w:ind w:left="227" w:hanging="227"/>
            </w:pPr>
            <w:r>
              <w:t>a</w:t>
            </w:r>
            <w:r w:rsidR="00DE375D" w:rsidRPr="007B3DCE">
              <w:t xml:space="preserve">ccess to education – supporting younger Aboriginal and Torres </w:t>
            </w:r>
            <w:r w:rsidR="00CD21BD">
              <w:t>Strait</w:t>
            </w:r>
            <w:r w:rsidR="00DE375D" w:rsidRPr="007B3DCE">
              <w:t xml:space="preserve"> Islander people with culturally and linguistically appropriate approaches enhances literacy and is shown to improve attendance and involvement in schools</w:t>
            </w:r>
          </w:p>
          <w:p w14:paraId="15B1AFB5" w14:textId="6570B7E4" w:rsidR="000D6763" w:rsidRDefault="008C26DE" w:rsidP="00974ADB">
            <w:pPr>
              <w:pStyle w:val="ListBullet"/>
              <w:numPr>
                <w:ilvl w:val="0"/>
                <w:numId w:val="17"/>
              </w:numPr>
              <w:ind w:left="227" w:hanging="227"/>
            </w:pPr>
            <w:r>
              <w:t>c</w:t>
            </w:r>
            <w:r w:rsidR="00DE375D" w:rsidRPr="007B3DCE">
              <w:t>ultural healing – learning language is a source of strength and acts as a protective factor supporting individuals to survive and thrive</w:t>
            </w:r>
            <w:r w:rsidR="005C54F8">
              <w:t>.</w:t>
            </w:r>
          </w:p>
          <w:p w14:paraId="2AD8200F" w14:textId="6D27248E" w:rsidR="00DE375D" w:rsidRPr="007B3DCE" w:rsidRDefault="00F00DE1">
            <w:pPr>
              <w:pStyle w:val="Source"/>
            </w:pPr>
            <w:r>
              <w:t>Source:</w:t>
            </w:r>
            <w:r w:rsidR="002F1E2F">
              <w:t xml:space="preserve"> </w:t>
            </w:r>
            <w:r w:rsidR="009F4249">
              <w:t>First Languages Australia</w:t>
            </w:r>
            <w:r w:rsidR="00A04B48">
              <w:t xml:space="preserve"> </w:t>
            </w:r>
            <w:r w:rsidR="00C4097F" w:rsidRPr="00216127">
              <w:rPr>
                <w:rFonts w:ascii="Arial (Body)" w:hAnsi="Arial (Body)" w:cs="Arial"/>
              </w:rPr>
              <w:t>(nd)</w:t>
            </w:r>
            <w:r w:rsidR="003C2E64">
              <w:t>;</w:t>
            </w:r>
            <w:r w:rsidR="009F4249">
              <w:t xml:space="preserve"> First Nations Media</w:t>
            </w:r>
            <w:r w:rsidR="003C2E64">
              <w:t xml:space="preserve"> </w:t>
            </w:r>
            <w:r w:rsidR="003C2E64" w:rsidRPr="00216127">
              <w:rPr>
                <w:rFonts w:ascii="Arial (Body)" w:hAnsi="Arial (Body)" w:cs="Arial"/>
              </w:rPr>
              <w:t>(nd)</w:t>
            </w:r>
            <w:r w:rsidR="003C2E64">
              <w:t>;</w:t>
            </w:r>
            <w:r w:rsidR="009F4249">
              <w:t xml:space="preserve"> O’Brien and Bobongie-Harris</w:t>
            </w:r>
            <w:r w:rsidR="00A04B48">
              <w:t xml:space="preserve"> </w:t>
            </w:r>
            <w:r w:rsidR="007036C7" w:rsidRPr="00216127">
              <w:rPr>
                <w:rFonts w:ascii="Arial (Body)" w:hAnsi="Arial (Body)" w:cs="Arial"/>
              </w:rPr>
              <w:t>(2023)</w:t>
            </w:r>
            <w:r w:rsidR="007036C7">
              <w:t>;</w:t>
            </w:r>
            <w:r w:rsidR="00A04B48">
              <w:t xml:space="preserve"> Purdie</w:t>
            </w:r>
            <w:r w:rsidR="00A55C1D">
              <w:t xml:space="preserve"> </w:t>
            </w:r>
            <w:r w:rsidR="00A55C1D" w:rsidRPr="00216127">
              <w:rPr>
                <w:rFonts w:ascii="Arial (Body)" w:hAnsi="Arial (Body)" w:cs="Arial"/>
              </w:rPr>
              <w:t>(2009)</w:t>
            </w:r>
            <w:r w:rsidR="00A55C1D">
              <w:t>;</w:t>
            </w:r>
            <w:r w:rsidR="00A04B48">
              <w:t xml:space="preserve"> Sivak et al. </w:t>
            </w:r>
            <w:r w:rsidR="00A55C1D" w:rsidRPr="00216127">
              <w:rPr>
                <w:rFonts w:ascii="Arial (Body)" w:hAnsi="Arial (Body)" w:cs="Arial"/>
              </w:rPr>
              <w:t>(2019)</w:t>
            </w:r>
            <w:r w:rsidR="00A04B48">
              <w:t>.</w:t>
            </w:r>
            <w:r w:rsidR="009F4249">
              <w:t xml:space="preserve"> </w:t>
            </w:r>
          </w:p>
        </w:tc>
      </w:tr>
      <w:tr w:rsidR="00DE375D" w:rsidRPr="007B3DCE" w14:paraId="046168D9" w14:textId="77777777">
        <w:trPr>
          <w:hidden/>
        </w:trPr>
        <w:tc>
          <w:tcPr>
            <w:tcW w:w="9638" w:type="dxa"/>
            <w:shd w:val="clear" w:color="auto" w:fill="auto"/>
            <w:tcMar>
              <w:top w:w="0" w:type="dxa"/>
              <w:left w:w="170" w:type="dxa"/>
              <w:bottom w:w="0" w:type="dxa"/>
              <w:right w:w="170" w:type="dxa"/>
            </w:tcMar>
          </w:tcPr>
          <w:p w14:paraId="3F142F25" w14:textId="77777777" w:rsidR="00DE375D" w:rsidRPr="007B3DCE" w:rsidRDefault="00DE375D">
            <w:pPr>
              <w:pStyle w:val="BodyText"/>
              <w:spacing w:before="0" w:after="0" w:line="80" w:lineRule="atLeast"/>
              <w:rPr>
                <w:smallCaps/>
                <w:vanish/>
              </w:rPr>
            </w:pPr>
            <w:r w:rsidRPr="007B3DCE">
              <w:rPr>
                <w:smallCaps/>
                <w:vanish/>
                <w:color w:val="FF00FF"/>
              </w:rPr>
              <w:t>Used for spacing, do not delete</w:t>
            </w:r>
          </w:p>
        </w:tc>
      </w:tr>
    </w:tbl>
    <w:p w14:paraId="2C47B822" w14:textId="61C2F5FF" w:rsidR="001752AD" w:rsidRDefault="001752AD">
      <w:pPr>
        <w:spacing w:before="0" w:after="160" w:line="259" w:lineRule="auto"/>
        <w:rPr>
          <w:color w:val="FF0000"/>
          <w:sz w:val="18"/>
          <w:szCs w:val="18"/>
        </w:rPr>
      </w:pPr>
      <w:bookmarkStart w:id="33" w:name="_Toc167812021"/>
      <w:bookmarkStart w:id="34" w:name="_Toc167812298"/>
      <w:bookmarkStart w:id="35" w:name="_Toc167812367"/>
      <w:bookmarkStart w:id="36" w:name="_Toc167812459"/>
      <w:bookmarkStart w:id="37" w:name="_Toc167812534"/>
      <w:bookmarkStart w:id="38" w:name="_Toc167878552"/>
      <w:bookmarkEnd w:id="33"/>
      <w:bookmarkEnd w:id="34"/>
      <w:bookmarkEnd w:id="35"/>
      <w:bookmarkEnd w:id="36"/>
      <w:bookmarkEnd w:id="37"/>
      <w:r>
        <w:rPr>
          <w:color w:val="FF0000"/>
          <w:sz w:val="18"/>
          <w:szCs w:val="18"/>
        </w:rPr>
        <w:br w:type="page"/>
      </w:r>
    </w:p>
    <w:p w14:paraId="65351C51" w14:textId="062EECDA" w:rsidR="00232B21" w:rsidRDefault="002002D3">
      <w:pPr>
        <w:spacing w:before="0" w:after="160" w:line="259" w:lineRule="auto"/>
      </w:pPr>
      <w:r>
        <w:rPr>
          <w:noProof/>
        </w:rPr>
        <w:lastRenderedPageBreak/>
        <w:drawing>
          <wp:anchor distT="0" distB="0" distL="114300" distR="114300" simplePos="0" relativeHeight="251658255" behindDoc="1" locked="0" layoutInCell="1" allowOverlap="1" wp14:anchorId="043B6D35" wp14:editId="759E1053">
            <wp:simplePos x="0" y="0"/>
            <wp:positionH relativeFrom="margin">
              <wp:posOffset>-647370</wp:posOffset>
            </wp:positionH>
            <wp:positionV relativeFrom="paragraph">
              <wp:posOffset>2812214</wp:posOffset>
            </wp:positionV>
            <wp:extent cx="7416000" cy="5711480"/>
            <wp:effectExtent l="0" t="0" r="0" b="3810"/>
            <wp:wrapNone/>
            <wp:docPr id="1815571700"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71700" name="Picture 213">
                      <a:extLst>
                        <a:ext uri="{C183D7F6-B498-43B3-948B-1728B52AA6E4}">
                          <adec:decorative xmlns:adec="http://schemas.microsoft.com/office/drawing/2017/decorative" val="1"/>
                        </a:ext>
                      </a:extLst>
                    </pic:cNvPr>
                    <pic:cNvPicPr>
                      <a:picLocks noChangeAspect="1" noChangeArrowheads="1"/>
                    </pic:cNvPicPr>
                  </pic:nvPicPr>
                  <pic:blipFill>
                    <a:blip r:embed="rId67" cstate="print">
                      <a:duotone>
                        <a:prstClr val="black"/>
                        <a:srgbClr val="FF0000">
                          <a:tint val="45000"/>
                          <a:satMod val="400000"/>
                        </a:srgbClr>
                      </a:duotone>
                      <a:extLst>
                        <a:ext uri="{BEBA8EAE-BF5A-486C-A8C5-ECC9F3942E4B}">
                          <a14:imgProps xmlns:a14="http://schemas.microsoft.com/office/drawing/2010/main">
                            <a14:imgLayer r:embed="rId68">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16000" cy="571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543" w:rsidRPr="00C11543">
        <w:t xml:space="preserve"> </w:t>
      </w:r>
      <w:r w:rsidR="00BD06B4" w:rsidRPr="00BD06B4">
        <w:rPr>
          <w:noProof/>
        </w:rPr>
        <w:drawing>
          <wp:inline distT="0" distB="0" distL="0" distR="0" wp14:anchorId="1A8316C8" wp14:editId="76433EE3">
            <wp:extent cx="6120130" cy="3268980"/>
            <wp:effectExtent l="0" t="0" r="0" b="7620"/>
            <wp:docPr id="821534913" name="Picture 3" descr="The summary box states that there is insufficient data to assess whether this target is on track to be met. There is no assessment of progress for culture and language (Targe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34913" name="Picture 3" descr="The summary box states that there is insufficient data to assess whether this target is on track to be met. There is no assessment of progress for culture and language (Target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3268980"/>
                    </a:xfrm>
                    <a:prstGeom prst="rect">
                      <a:avLst/>
                    </a:prstGeom>
                    <a:noFill/>
                    <a:ln>
                      <a:noFill/>
                    </a:ln>
                  </pic:spPr>
                </pic:pic>
              </a:graphicData>
            </a:graphic>
          </wp:inline>
        </w:drawing>
      </w:r>
      <w:r w:rsidR="00AD73F1" w:rsidRPr="00AD73F1">
        <w:t xml:space="preserve"> </w:t>
      </w:r>
      <w:r w:rsidR="00232B21">
        <w:br w:type="page"/>
      </w:r>
    </w:p>
    <w:p w14:paraId="7627F004" w14:textId="7B90B408" w:rsidR="005E0D3C" w:rsidRDefault="005E0D3C" w:rsidP="00043981">
      <w:pPr>
        <w:spacing w:before="0" w:after="160" w:line="259" w:lineRule="auto"/>
        <w:rPr>
          <w:color w:val="FF0000"/>
          <w:sz w:val="18"/>
          <w:szCs w:val="18"/>
        </w:rPr>
        <w:sectPr w:rsidR="005E0D3C" w:rsidSect="00C1454D">
          <w:headerReference w:type="default" r:id="rId70"/>
          <w:footerReference w:type="even" r:id="rId71"/>
          <w:footerReference w:type="default" r:id="rId72"/>
          <w:pgSz w:w="11906" w:h="16838" w:code="9"/>
          <w:pgMar w:top="1134" w:right="1134" w:bottom="1134" w:left="1134" w:header="794" w:footer="510" w:gutter="0"/>
          <w:cols w:space="708"/>
          <w:docGrid w:linePitch="360"/>
        </w:sectPr>
      </w:pPr>
    </w:p>
    <w:p w14:paraId="2FC84D1B" w14:textId="62B92C12" w:rsidR="002F3D7A" w:rsidRPr="007B3DCE" w:rsidRDefault="00F047F6" w:rsidP="007C110A">
      <w:pPr>
        <w:pStyle w:val="Heading1-nonumber"/>
        <w:pBdr>
          <w:top w:val="single" w:sz="4" w:space="31" w:color="DBDCDE"/>
          <w:left w:val="single" w:sz="4" w:space="26" w:color="DBDCDE"/>
          <w:bottom w:val="single" w:sz="4" w:space="26" w:color="DBDCDE"/>
          <w:right w:val="single" w:sz="4" w:space="26" w:color="DBDCDE"/>
        </w:pBdr>
        <w:shd w:val="clear" w:color="auto" w:fill="102B44"/>
        <w:rPr>
          <w:color w:val="D2E4F4" w:themeColor="accent2" w:themeTint="33"/>
        </w:rPr>
      </w:pPr>
      <w:bookmarkStart w:id="39" w:name="_Toc170466650"/>
      <w:r w:rsidRPr="007B3DCE">
        <w:rPr>
          <w:color w:val="D2E4F4" w:themeColor="accent2" w:themeTint="33"/>
        </w:rPr>
        <w:lastRenderedPageBreak/>
        <w:t xml:space="preserve">2.4 </w:t>
      </w:r>
      <w:r w:rsidRPr="007B3DCE">
        <w:rPr>
          <w:color w:val="D2E4F4" w:themeColor="accent2" w:themeTint="33"/>
        </w:rPr>
        <w:tab/>
      </w:r>
      <w:r w:rsidR="002F3D7A" w:rsidRPr="007B3DCE">
        <w:rPr>
          <w:color w:val="D2E4F4" w:themeColor="accent2" w:themeTint="33"/>
        </w:rPr>
        <w:t xml:space="preserve">Education and </w:t>
      </w:r>
      <w:bookmarkEnd w:id="38"/>
      <w:r w:rsidR="44B12B73" w:rsidRPr="007B3DCE">
        <w:rPr>
          <w:color w:val="D2E4F4" w:themeColor="accent2" w:themeTint="33"/>
        </w:rPr>
        <w:t>t</w:t>
      </w:r>
      <w:r w:rsidR="002F3D7A" w:rsidRPr="007B3DCE">
        <w:rPr>
          <w:color w:val="D2E4F4" w:themeColor="accent2" w:themeTint="33"/>
        </w:rPr>
        <w:t>raining</w:t>
      </w:r>
      <w:bookmarkEnd w:id="39"/>
      <w:r w:rsidR="002F3D7A" w:rsidRPr="007B3DCE">
        <w:rPr>
          <w:color w:val="D2E4F4" w:themeColor="accent2" w:themeTint="33"/>
        </w:rPr>
        <w:t xml:space="preserve"> </w:t>
      </w:r>
    </w:p>
    <w:p w14:paraId="456653B4" w14:textId="77CFD5D4" w:rsidR="008805DA" w:rsidRPr="0054041D" w:rsidRDefault="008805DA" w:rsidP="0054041D">
      <w:pPr>
        <w:pStyle w:val="BodyText"/>
      </w:pPr>
      <w:r w:rsidRPr="0054041D">
        <w:t xml:space="preserve">For thousands of years, Aboriginal and Torres Strait Islander people have sustained and developed intricate systems of learning and education, deeply rooted in cultural wisdom and oral tradition, and refined through experience and observation across generations (Burridge and Chodkiewicz 2012). Government policies of assimilation sought to replace Aboriginal and Torres Strait Islander knowledges with a Eurocentric model of education and values (Morrison et al. 2019). As a result, </w:t>
      </w:r>
      <w:r w:rsidR="00FD7E68" w:rsidRPr="0054041D">
        <w:t>the</w:t>
      </w:r>
      <w:r w:rsidRPr="0054041D">
        <w:t xml:space="preserve"> epistemological foundations</w:t>
      </w:r>
      <w:r w:rsidR="00A31A86" w:rsidRPr="0054041D">
        <w:t xml:space="preserve">, or ways of </w:t>
      </w:r>
      <w:r w:rsidR="008A0E76" w:rsidRPr="0054041D">
        <w:t>knowing, in</w:t>
      </w:r>
      <w:r w:rsidR="00644B2C" w:rsidRPr="0054041D">
        <w:t xml:space="preserve"> the Australian education system</w:t>
      </w:r>
      <w:r w:rsidR="00A31A86" w:rsidRPr="0054041D">
        <w:t xml:space="preserve"> </w:t>
      </w:r>
      <w:r w:rsidR="00CB1202" w:rsidRPr="0054041D">
        <w:t>value</w:t>
      </w:r>
      <w:r w:rsidR="00E95060" w:rsidRPr="0054041D">
        <w:t xml:space="preserve"> </w:t>
      </w:r>
      <w:r w:rsidRPr="0054041D">
        <w:t>Western knowledges above</w:t>
      </w:r>
      <w:r w:rsidRPr="0054041D" w:rsidDel="00D94A95">
        <w:t xml:space="preserve"> </w:t>
      </w:r>
      <w:r w:rsidRPr="0054041D">
        <w:t xml:space="preserve">Aboriginal and Torres Strait Islander knowledges (Bodkin-Andrews and Carlson 2016). </w:t>
      </w:r>
    </w:p>
    <w:p w14:paraId="01A5ED7F" w14:textId="4326554A" w:rsidR="008805DA" w:rsidRPr="0054041D" w:rsidRDefault="008805DA" w:rsidP="0054041D">
      <w:pPr>
        <w:pStyle w:val="BodyText"/>
      </w:pPr>
      <w:r w:rsidRPr="0054041D">
        <w:t>Culturally responsive schooling supports academic attainment through enacting cultural competency and tailoring education to a student’s cultural frame of reference, including knowledges, values and skills (Perso and Hayward 2020). It involves a fundamental shift in the educational system towards understanding the links between education, power and cultural hierarchies (Bishop and Vass 2021).</w:t>
      </w:r>
    </w:p>
    <w:p w14:paraId="5594D117" w14:textId="24621D3A" w:rsidR="008805DA" w:rsidRPr="0054041D" w:rsidRDefault="008805DA" w:rsidP="0054041D">
      <w:pPr>
        <w:pStyle w:val="BodyText"/>
      </w:pPr>
      <w:r w:rsidRPr="0054041D">
        <w:t>Aboriginal and Torres Strait Islander children</w:t>
      </w:r>
      <w:r w:rsidRPr="0054041D" w:rsidDel="00314DCB">
        <w:t xml:space="preserve"> </w:t>
      </w:r>
      <w:r w:rsidRPr="0054041D">
        <w:t>engaged in early childhood education and care</w:t>
      </w:r>
      <w:r w:rsidRPr="0054041D" w:rsidDel="00D0096B">
        <w:t xml:space="preserve"> </w:t>
      </w:r>
      <w:r w:rsidRPr="0054041D">
        <w:t>can experience benefits such as improved</w:t>
      </w:r>
      <w:r w:rsidRPr="0054041D" w:rsidDel="006635DF">
        <w:t xml:space="preserve"> </w:t>
      </w:r>
      <w:r w:rsidRPr="0054041D">
        <w:t xml:space="preserve">school readiness and cognitive development (Biddle and Bath 2013; Sims et al. 2011). Beyond enrolment, ensuring access to </w:t>
      </w:r>
      <w:r w:rsidR="005D2B1D" w:rsidRPr="0054041D">
        <w:t xml:space="preserve">holistic, </w:t>
      </w:r>
      <w:r w:rsidRPr="0054041D">
        <w:t>culturally safe and responsive early childhood education is essential for</w:t>
      </w:r>
      <w:r w:rsidR="00FD2C92" w:rsidRPr="0054041D">
        <w:t xml:space="preserve"> supporting</w:t>
      </w:r>
      <w:r w:rsidRPr="0054041D">
        <w:t xml:space="preserve"> the development and identity of Aboriginal and Torres Strait Islander children, helping </w:t>
      </w:r>
      <w:r w:rsidR="00535A26">
        <w:t>them</w:t>
      </w:r>
      <w:r w:rsidRPr="0054041D">
        <w:t xml:space="preserve"> to be strong members of their families and communities (SNAICC 2022, 2024; SNAICC et al. 2023). </w:t>
      </w:r>
    </w:p>
    <w:p w14:paraId="492642C9" w14:textId="3AAD3BCF" w:rsidR="008805DA" w:rsidRDefault="008805DA" w:rsidP="00E9563C">
      <w:pPr>
        <w:pStyle w:val="BodyText"/>
      </w:pPr>
      <w:r>
        <w:t>Primary and secondary school education that recognises the</w:t>
      </w:r>
      <w:r w:rsidRPr="005E474E">
        <w:t xml:space="preserve"> strengths and potential </w:t>
      </w:r>
      <w:r>
        <w:t>of Aboriginal and Torres Strait Islander students is vital. This includes a</w:t>
      </w:r>
      <w:r w:rsidRPr="005E474E">
        <w:t xml:space="preserve"> focus on high expectations, strong teacher-student relationships</w:t>
      </w:r>
      <w:r>
        <w:t xml:space="preserve"> where teachers connect with students’ life-worlds, socio-political awareness and placing value in diversity as an asset </w:t>
      </w:r>
      <w:r w:rsidRPr="00C03D32">
        <w:t>(Morrison et al. 2019)</w:t>
      </w:r>
      <w:r w:rsidR="00535A26">
        <w:t>.</w:t>
      </w:r>
    </w:p>
    <w:p w14:paraId="5BDCFFBF" w14:textId="13029B6B" w:rsidR="008805DA" w:rsidRPr="001062C1" w:rsidRDefault="007A0013" w:rsidP="00E9563C">
      <w:pPr>
        <w:pStyle w:val="BodyText"/>
      </w:pPr>
      <w:r>
        <w:t>E</w:t>
      </w:r>
      <w:r w:rsidR="008805DA" w:rsidRPr="005E474E">
        <w:t xml:space="preserve">ngagement in education and training is intertwined with many social and economic factors that </w:t>
      </w:r>
      <w:r w:rsidR="008805DA">
        <w:t xml:space="preserve">support </w:t>
      </w:r>
      <w:r w:rsidR="008805DA" w:rsidRPr="005E474E">
        <w:t>young</w:t>
      </w:r>
      <w:r w:rsidR="008805DA">
        <w:t xml:space="preserve"> people to thrive</w:t>
      </w:r>
      <w:r w:rsidR="006977BB">
        <w:t xml:space="preserve">. </w:t>
      </w:r>
      <w:r w:rsidR="008805DA" w:rsidRPr="45355C12">
        <w:t>I</w:t>
      </w:r>
      <w:r w:rsidR="00C53DD1">
        <w:t>n particular, higher education</w:t>
      </w:r>
      <w:r w:rsidR="008805DA" w:rsidRPr="45355C12">
        <w:t xml:space="preserve"> can play a crucial role for Aboriginal and Torres Strait Islander people, supporting </w:t>
      </w:r>
      <w:r w:rsidR="00C53DD1">
        <w:t xml:space="preserve">improved </w:t>
      </w:r>
      <w:r w:rsidR="008805DA" w:rsidRPr="45355C12">
        <w:t xml:space="preserve">health and wellbeing, increased access to housing as well as future employment and earning opportunities </w:t>
      </w:r>
      <w:r w:rsidR="00881E51" w:rsidRPr="00881E51">
        <w:t>(AIHW 2022a; Department of Education 2012; Venn and Biddle 2018)</w:t>
      </w:r>
      <w:r w:rsidR="008805DA" w:rsidRPr="45355C12">
        <w:t>.</w:t>
      </w:r>
    </w:p>
    <w:p w14:paraId="2F501CE6" w14:textId="73A31CCD" w:rsidR="00DE375D" w:rsidRPr="007B3DCE" w:rsidRDefault="00DE375D" w:rsidP="00E9563C">
      <w:pPr>
        <w:pStyle w:val="BodyText"/>
        <w:rPr>
          <w:color w:val="FF00FF"/>
        </w:rPr>
      </w:pPr>
      <w:r w:rsidRPr="007B3DCE">
        <w:rPr>
          <w:vanish/>
          <w:color w:val="FF00FF"/>
        </w:rPr>
        <w:t>[</w:t>
      </w:r>
      <w:r w:rsidRPr="007B3DCE">
        <w:rPr>
          <w:smallCaps/>
          <w:vanish/>
          <w:color w:val="FF00FF"/>
        </w:rPr>
        <w:t>Used for spacing, do not delete</w:t>
      </w:r>
      <w:r w:rsidRPr="007B3DCE">
        <w:rPr>
          <w:vanish/>
          <w:color w:val="FF00FF"/>
        </w:rPr>
        <w:t xml:space="preserve"> | Style: No Spacing]</w:t>
      </w:r>
    </w:p>
    <w:tbl>
      <w:tblPr>
        <w:tblStyle w:val="Boxtable"/>
        <w:tblW w:w="5000" w:type="pct"/>
        <w:shd w:val="clear" w:color="auto" w:fill="EBEBEB"/>
        <w:tblLook w:val="04A0" w:firstRow="1" w:lastRow="0" w:firstColumn="1" w:lastColumn="0" w:noHBand="0" w:noVBand="1"/>
      </w:tblPr>
      <w:tblGrid>
        <w:gridCol w:w="9638"/>
      </w:tblGrid>
      <w:tr w:rsidR="002A715C" w:rsidRPr="007B3DCE" w14:paraId="256BA244" w14:textId="77777777" w:rsidTr="004E2E87">
        <w:trPr>
          <w:trHeight w:val="476"/>
          <w:tblHeader/>
        </w:trPr>
        <w:tc>
          <w:tcPr>
            <w:tcW w:w="9638" w:type="dxa"/>
            <w:shd w:val="clear" w:color="auto" w:fill="102B44"/>
            <w:tcMar>
              <w:top w:w="170" w:type="dxa"/>
              <w:left w:w="170" w:type="dxa"/>
              <w:bottom w:w="113" w:type="dxa"/>
              <w:right w:w="170" w:type="dxa"/>
            </w:tcMar>
            <w:vAlign w:val="center"/>
          </w:tcPr>
          <w:p w14:paraId="49ED087E" w14:textId="7ACBCFAD" w:rsidR="002A715C" w:rsidRPr="007B3DCE" w:rsidRDefault="002A715C" w:rsidP="004E2E87">
            <w:pPr>
              <w:pStyle w:val="BoxHeading1"/>
              <w:spacing w:before="0"/>
              <w:rPr>
                <w:color w:val="D2E4F4" w:themeColor="accent2" w:themeTint="33"/>
              </w:rPr>
            </w:pPr>
            <w:r w:rsidRPr="7C5A3FCE">
              <w:rPr>
                <w:color w:val="FFFFFF" w:themeColor="accent6"/>
              </w:rPr>
              <w:lastRenderedPageBreak/>
              <w:t xml:space="preserve">Box </w:t>
            </w:r>
            <w:r w:rsidR="007C7EB6" w:rsidRPr="7C5A3FCE">
              <w:rPr>
                <w:color w:val="FFFFFF" w:themeColor="accent6"/>
              </w:rPr>
              <w:t>2</w:t>
            </w:r>
            <w:r w:rsidR="00DE375D" w:rsidRPr="1A7387A4">
              <w:rPr>
                <w:color w:val="FFFFFF" w:themeColor="accent6"/>
              </w:rPr>
              <w:t>.</w:t>
            </w:r>
            <w:r w:rsidR="2287B5F1" w:rsidRPr="1A7387A4">
              <w:rPr>
                <w:color w:val="FFFFFF" w:themeColor="accent6"/>
              </w:rPr>
              <w:t>12</w:t>
            </w:r>
            <w:r w:rsidRPr="7C5A3FCE">
              <w:rPr>
                <w:color w:val="FFFFFF" w:themeColor="accent6"/>
              </w:rPr>
              <w:t xml:space="preserve"> – What data will you find in this section</w:t>
            </w:r>
            <w:r w:rsidR="00114E92">
              <w:rPr>
                <w:color w:val="FFFFFF" w:themeColor="accent6"/>
              </w:rPr>
              <w:t>?</w:t>
            </w:r>
          </w:p>
        </w:tc>
      </w:tr>
      <w:tr w:rsidR="002A715C" w:rsidRPr="007B3DCE" w14:paraId="76D5F9CC" w14:textId="77777777" w:rsidTr="00DC0941">
        <w:trPr>
          <w:trHeight w:val="8416"/>
        </w:trPr>
        <w:tc>
          <w:tcPr>
            <w:tcW w:w="9638" w:type="dxa"/>
            <w:shd w:val="clear" w:color="auto" w:fill="D2E4F4" w:themeFill="accent2" w:themeFillTint="33"/>
            <w:tcMar>
              <w:top w:w="28" w:type="dxa"/>
              <w:left w:w="170" w:type="dxa"/>
              <w:bottom w:w="170" w:type="dxa"/>
              <w:right w:w="170" w:type="dxa"/>
            </w:tcMar>
          </w:tcPr>
          <w:p w14:paraId="71E04973" w14:textId="5E353DED" w:rsidR="00F172E4" w:rsidRPr="007B3DCE" w:rsidRDefault="000F7C60" w:rsidP="00D70535">
            <w:pPr>
              <w:pStyle w:val="ListBullet"/>
            </w:pPr>
            <w:r w:rsidRPr="007B3DCE">
              <w:t xml:space="preserve">This section provides </w:t>
            </w:r>
            <w:r w:rsidR="00EA280A" w:rsidRPr="007B3DCE">
              <w:t>a</w:t>
            </w:r>
            <w:r w:rsidRPr="007B3DCE">
              <w:t xml:space="preserve"> snapshot of the latest data available for socio-economic outcomes </w:t>
            </w:r>
            <w:r w:rsidR="00C614B4">
              <w:t>3</w:t>
            </w:r>
            <w:r w:rsidRPr="007B3DCE">
              <w:t xml:space="preserve">, </w:t>
            </w:r>
            <w:r w:rsidR="00C614B4">
              <w:t>5</w:t>
            </w:r>
            <w:r w:rsidR="006018D9" w:rsidRPr="007B3DCE">
              <w:t xml:space="preserve">, </w:t>
            </w:r>
            <w:r w:rsidR="00C614B4">
              <w:t>6</w:t>
            </w:r>
            <w:r w:rsidR="00C614B4" w:rsidRPr="007B3DCE">
              <w:t xml:space="preserve"> </w:t>
            </w:r>
            <w:r w:rsidR="006018D9" w:rsidRPr="007B3DCE">
              <w:t xml:space="preserve">and </w:t>
            </w:r>
            <w:r w:rsidR="00C614B4">
              <w:t>7</w:t>
            </w:r>
            <w:r w:rsidRPr="007B3DCE">
              <w:t>.</w:t>
            </w:r>
          </w:p>
          <w:tbl>
            <w:tblPr>
              <w:tblStyle w:val="TableGrid"/>
              <w:tblW w:w="9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1"/>
              <w:gridCol w:w="2034"/>
            </w:tblGrid>
            <w:tr w:rsidR="00F172E4" w:rsidRPr="007B3DCE" w14:paraId="0BDF4D46" w14:textId="77777777" w:rsidTr="002B0375">
              <w:trPr>
                <w:trHeight w:val="407"/>
              </w:trPr>
              <w:tc>
                <w:tcPr>
                  <w:tcW w:w="7131" w:type="dxa"/>
                  <w:vAlign w:val="center"/>
                </w:tcPr>
                <w:p w14:paraId="46254D06" w14:textId="77777777" w:rsidR="00F172E4" w:rsidRPr="007B3DCE" w:rsidRDefault="00F172E4" w:rsidP="00AD6FC4">
                  <w:pPr>
                    <w:pStyle w:val="BoxHeading2"/>
                  </w:pPr>
                  <w:r w:rsidRPr="007B3DCE">
                    <w:t>Outcome</w:t>
                  </w:r>
                </w:p>
              </w:tc>
              <w:tc>
                <w:tcPr>
                  <w:tcW w:w="2034" w:type="dxa"/>
                </w:tcPr>
                <w:p w14:paraId="2008C7A2" w14:textId="77777777" w:rsidR="00F172E4" w:rsidRPr="007B3DCE" w:rsidRDefault="00F172E4" w:rsidP="00AD6FC4">
                  <w:pPr>
                    <w:pStyle w:val="BoxHeading2"/>
                  </w:pPr>
                  <w:r w:rsidRPr="007B3DCE">
                    <w:t>Latest data</w:t>
                  </w:r>
                </w:p>
              </w:tc>
            </w:tr>
            <w:tr w:rsidR="00CE440F" w:rsidRPr="007B3DCE" w14:paraId="498E2D44" w14:textId="77777777" w:rsidTr="002B0375">
              <w:trPr>
                <w:trHeight w:val="291"/>
              </w:trPr>
              <w:tc>
                <w:tcPr>
                  <w:tcW w:w="7131" w:type="dxa"/>
                </w:tcPr>
                <w:p w14:paraId="6E6A6604" w14:textId="2471BA77" w:rsidR="00CE440F" w:rsidRPr="003D4BC3" w:rsidRDefault="00CE440F" w:rsidP="00F172E4">
                  <w:pPr>
                    <w:rPr>
                      <w:spacing w:val="-4"/>
                    </w:rPr>
                  </w:pPr>
                  <w:r w:rsidRPr="003D4BC3">
                    <w:rPr>
                      <w:b/>
                      <w:bCs/>
                      <w:spacing w:val="-4"/>
                    </w:rPr>
                    <w:t xml:space="preserve">Outcome 3: </w:t>
                  </w:r>
                  <w:r w:rsidRPr="003D4BC3">
                    <w:rPr>
                      <w:spacing w:val="-4"/>
                    </w:rPr>
                    <w:t>Aboriginal and Torres Strait Islander children are engaged in high quality, culturally appropriate early childhood education in their early years</w:t>
                  </w:r>
                </w:p>
              </w:tc>
              <w:tc>
                <w:tcPr>
                  <w:tcW w:w="2034" w:type="dxa"/>
                </w:tcPr>
                <w:p w14:paraId="02D8930E" w14:textId="77777777" w:rsidR="00CE440F" w:rsidRPr="007B3DCE" w:rsidRDefault="00CE440F" w:rsidP="002B0375"/>
              </w:tc>
            </w:tr>
            <w:tr w:rsidR="00F172E4" w:rsidRPr="007B3DCE" w14:paraId="5A69CD09" w14:textId="77777777" w:rsidTr="002B0375">
              <w:trPr>
                <w:trHeight w:val="291"/>
              </w:trPr>
              <w:tc>
                <w:tcPr>
                  <w:tcW w:w="7131" w:type="dxa"/>
                </w:tcPr>
                <w:p w14:paraId="0524D83E" w14:textId="29E55F11" w:rsidR="00F172E4" w:rsidRPr="007B3DCE" w:rsidRDefault="00482C31" w:rsidP="00974ADB">
                  <w:pPr>
                    <w:pStyle w:val="ListBullet"/>
                    <w:numPr>
                      <w:ilvl w:val="0"/>
                      <w:numId w:val="17"/>
                    </w:numPr>
                    <w:ind w:left="227" w:hanging="227"/>
                  </w:pPr>
                  <w:r w:rsidRPr="007B3DCE">
                    <w:t xml:space="preserve">Early childhood education </w:t>
                  </w:r>
                  <w:r w:rsidR="00F172E4" w:rsidRPr="007B3DCE">
                    <w:t xml:space="preserve">(Target </w:t>
                  </w:r>
                  <w:r w:rsidRPr="007B3DCE">
                    <w:t>3</w:t>
                  </w:r>
                  <w:r w:rsidR="00F172E4" w:rsidRPr="007B3DCE">
                    <w:t>)*</w:t>
                  </w:r>
                </w:p>
                <w:p w14:paraId="3F6887EE" w14:textId="1D6C08DE" w:rsidR="00F172E4" w:rsidRPr="007B3DCE" w:rsidRDefault="003E2ABB" w:rsidP="00974ADB">
                  <w:pPr>
                    <w:pStyle w:val="ListBullet"/>
                    <w:numPr>
                      <w:ilvl w:val="0"/>
                      <w:numId w:val="17"/>
                    </w:numPr>
                    <w:ind w:left="227" w:hanging="227"/>
                  </w:pPr>
                  <w:r w:rsidRPr="007B3DCE">
                    <w:t>Aboriginal and Torres Strait Islander early childhood education and care service providers</w:t>
                  </w:r>
                  <w:r w:rsidR="00F172E4" w:rsidRPr="007B3DCE">
                    <w:t xml:space="preserve"> (</w:t>
                  </w:r>
                  <w:r w:rsidRPr="007B3DCE">
                    <w:t>3</w:t>
                  </w:r>
                  <w:r w:rsidR="00F172E4" w:rsidRPr="007B3DCE">
                    <w:t>b)*</w:t>
                  </w:r>
                </w:p>
              </w:tc>
              <w:tc>
                <w:tcPr>
                  <w:tcW w:w="2034" w:type="dxa"/>
                </w:tcPr>
                <w:p w14:paraId="593CEA35" w14:textId="77777777" w:rsidR="00F172E4" w:rsidRDefault="00F172E4" w:rsidP="00BB4287">
                  <w:pPr>
                    <w:spacing w:after="0"/>
                    <w:contextualSpacing/>
                  </w:pPr>
                  <w:r w:rsidRPr="007B3DCE">
                    <w:t>2023</w:t>
                  </w:r>
                </w:p>
                <w:p w14:paraId="28337DB2" w14:textId="4AA17035" w:rsidR="00F172E4" w:rsidRPr="007B3DCE" w:rsidRDefault="00F172E4" w:rsidP="00BB4287">
                  <w:pPr>
                    <w:spacing w:after="0"/>
                    <w:contextualSpacing/>
                  </w:pPr>
                  <w:r w:rsidRPr="007B3DCE">
                    <w:t>2023</w:t>
                  </w:r>
                </w:p>
              </w:tc>
            </w:tr>
            <w:tr w:rsidR="00F172E4" w:rsidRPr="007B3DCE" w14:paraId="237FF4F2" w14:textId="77777777" w:rsidTr="002B0375">
              <w:trPr>
                <w:trHeight w:val="291"/>
              </w:trPr>
              <w:tc>
                <w:tcPr>
                  <w:tcW w:w="7131" w:type="dxa"/>
                </w:tcPr>
                <w:p w14:paraId="59A6854C" w14:textId="77777777" w:rsidR="00CB04D9" w:rsidRPr="007B3DCE" w:rsidRDefault="00F172E4" w:rsidP="00CB04D9">
                  <w:pPr>
                    <w:spacing w:line="259" w:lineRule="auto"/>
                  </w:pPr>
                  <w:r w:rsidRPr="00D92EA8">
                    <w:rPr>
                      <w:b/>
                    </w:rPr>
                    <w:t>Outcome 5:</w:t>
                  </w:r>
                  <w:r w:rsidRPr="00D92EA8">
                    <w:t xml:space="preserve"> </w:t>
                  </w:r>
                  <w:r w:rsidR="00CB04D9" w:rsidRPr="007B3DCE">
                    <w:t>Aboriginal and Torres Strait Islander students achieve their full learning potential</w:t>
                  </w:r>
                </w:p>
                <w:p w14:paraId="39E4F59C" w14:textId="22703D2A" w:rsidR="006F583B" w:rsidRPr="007B3DCE" w:rsidRDefault="00AA5A48" w:rsidP="00974ADB">
                  <w:pPr>
                    <w:pStyle w:val="ListBullet"/>
                    <w:numPr>
                      <w:ilvl w:val="0"/>
                      <w:numId w:val="17"/>
                    </w:numPr>
                    <w:ind w:left="227" w:hanging="227"/>
                  </w:pPr>
                  <w:r w:rsidRPr="007B3DCE">
                    <w:t>Attainment of Year 12 or equivalent qualification</w:t>
                  </w:r>
                  <w:r w:rsidR="006F583B" w:rsidRPr="007B3DCE">
                    <w:t xml:space="preserve"> (Target </w:t>
                  </w:r>
                  <w:r w:rsidR="00253C15" w:rsidRPr="007B3DCE">
                    <w:t>5)</w:t>
                  </w:r>
                </w:p>
                <w:p w14:paraId="6FCAC046" w14:textId="23AEE8E9" w:rsidR="00F172E4" w:rsidRPr="007B3DCE" w:rsidRDefault="00341AE9" w:rsidP="00974ADB">
                  <w:pPr>
                    <w:pStyle w:val="ListBullet"/>
                    <w:numPr>
                      <w:ilvl w:val="0"/>
                      <w:numId w:val="17"/>
                    </w:numPr>
                    <w:ind w:left="227" w:hanging="227"/>
                  </w:pPr>
                  <w:r w:rsidRPr="007B3DCE">
                    <w:t xml:space="preserve">NAPLAN </w:t>
                  </w:r>
                  <w:r w:rsidR="003C2CCF">
                    <w:t>levels</w:t>
                  </w:r>
                  <w:r w:rsidR="00F172E4" w:rsidRPr="007B3DCE">
                    <w:t xml:space="preserve"> (</w:t>
                  </w:r>
                  <w:r w:rsidR="002D008B" w:rsidRPr="007B3DCE">
                    <w:t>5c</w:t>
                  </w:r>
                  <w:r w:rsidR="00F172E4" w:rsidRPr="007B3DCE">
                    <w:t>)*</w:t>
                  </w:r>
                  <w:r w:rsidR="00BC6204">
                    <w:t>*</w:t>
                  </w:r>
                </w:p>
              </w:tc>
              <w:tc>
                <w:tcPr>
                  <w:tcW w:w="2034" w:type="dxa"/>
                </w:tcPr>
                <w:p w14:paraId="4A922FDA" w14:textId="77777777" w:rsidR="00673D41" w:rsidRDefault="00673D41" w:rsidP="00BB4287">
                  <w:pPr>
                    <w:spacing w:after="360"/>
                  </w:pPr>
                </w:p>
                <w:p w14:paraId="07C018E6" w14:textId="08335908" w:rsidR="00BB4287" w:rsidRDefault="00F172E4" w:rsidP="00BB4287">
                  <w:pPr>
                    <w:spacing w:after="0"/>
                  </w:pPr>
                  <w:r w:rsidRPr="007B3DCE">
                    <w:t>2021</w:t>
                  </w:r>
                </w:p>
                <w:p w14:paraId="503F3278" w14:textId="31F7BAA5" w:rsidR="00F172E4" w:rsidRPr="007B3DCE" w:rsidRDefault="00E17C2C" w:rsidP="00BB4287">
                  <w:pPr>
                    <w:spacing w:before="0" w:after="0"/>
                  </w:pPr>
                  <w:r>
                    <w:t>2023</w:t>
                  </w:r>
                </w:p>
              </w:tc>
            </w:tr>
            <w:tr w:rsidR="00F172E4" w:rsidRPr="007B3DCE" w14:paraId="09069989" w14:textId="77777777" w:rsidTr="002B0375">
              <w:trPr>
                <w:trHeight w:val="291"/>
              </w:trPr>
              <w:tc>
                <w:tcPr>
                  <w:tcW w:w="7131" w:type="dxa"/>
                </w:tcPr>
                <w:p w14:paraId="4C0DF907" w14:textId="2657C554" w:rsidR="00620AE0" w:rsidRPr="007B3DCE" w:rsidRDefault="00F172E4" w:rsidP="00620AE0">
                  <w:pPr>
                    <w:spacing w:line="259" w:lineRule="auto"/>
                  </w:pPr>
                  <w:r w:rsidRPr="00D92EA8">
                    <w:rPr>
                      <w:b/>
                    </w:rPr>
                    <w:t>Outcome 6:</w:t>
                  </w:r>
                  <w:r w:rsidRPr="007B3DCE">
                    <w:rPr>
                      <w:color w:val="102B44"/>
                    </w:rPr>
                    <w:t xml:space="preserve"> </w:t>
                  </w:r>
                  <w:r w:rsidR="00135A71" w:rsidRPr="007B3DCE">
                    <w:t>Aboriginal and Torres Strait Islander students reach their full potential through further education pathways</w:t>
                  </w:r>
                </w:p>
                <w:p w14:paraId="4E3ED1FB" w14:textId="7CE15CAF" w:rsidR="00F172E4" w:rsidRPr="007B3DCE" w:rsidRDefault="00AC6003" w:rsidP="00974ADB">
                  <w:pPr>
                    <w:pStyle w:val="ListBullet"/>
                    <w:numPr>
                      <w:ilvl w:val="0"/>
                      <w:numId w:val="17"/>
                    </w:numPr>
                    <w:ind w:left="227" w:hanging="227"/>
                  </w:pPr>
                  <w:r w:rsidRPr="007B3DCE">
                    <w:t>C</w:t>
                  </w:r>
                  <w:r w:rsidR="00E55926" w:rsidRPr="007B3DCE">
                    <w:t>omplet</w:t>
                  </w:r>
                  <w:r w:rsidR="00BB6E06" w:rsidRPr="007B3DCE">
                    <w:t>i</w:t>
                  </w:r>
                  <w:r w:rsidRPr="007B3DCE">
                    <w:t>on of</w:t>
                  </w:r>
                  <w:r w:rsidR="00E55926" w:rsidRPr="007B3DCE">
                    <w:t xml:space="preserve"> a tertiary qualificatio</w:t>
                  </w:r>
                  <w:r w:rsidR="00BB6E06" w:rsidRPr="007B3DCE">
                    <w:t>n</w:t>
                  </w:r>
                  <w:r w:rsidR="00E55926" w:rsidRPr="007B3DCE">
                    <w:t xml:space="preserve"> </w:t>
                  </w:r>
                  <w:r w:rsidR="00F172E4" w:rsidRPr="007B3DCE">
                    <w:t xml:space="preserve">(Target </w:t>
                  </w:r>
                  <w:r w:rsidR="00AB0556" w:rsidRPr="007B3DCE">
                    <w:t>6</w:t>
                  </w:r>
                  <w:r w:rsidR="00F172E4" w:rsidRPr="007B3DCE">
                    <w:t>)</w:t>
                  </w:r>
                </w:p>
                <w:p w14:paraId="3279A2B9" w14:textId="26B02502" w:rsidR="00655E9E" w:rsidRPr="004E6D5B" w:rsidRDefault="00567E54" w:rsidP="00974ADB">
                  <w:pPr>
                    <w:pStyle w:val="ListBullet"/>
                    <w:numPr>
                      <w:ilvl w:val="0"/>
                      <w:numId w:val="17"/>
                    </w:numPr>
                    <w:ind w:left="227" w:hanging="227"/>
                  </w:pPr>
                  <w:r w:rsidRPr="004E6D5B">
                    <w:t>Higher education commencement, attrition, and completion rates (6a)</w:t>
                  </w:r>
                  <w:r w:rsidR="00AE6FCF" w:rsidRPr="004E6D5B">
                    <w:t>*</w:t>
                  </w:r>
                </w:p>
                <w:p w14:paraId="25382556" w14:textId="33B9E5E2" w:rsidR="00C819DF" w:rsidRPr="004E6D5B" w:rsidRDefault="00004390" w:rsidP="00974ADB">
                  <w:pPr>
                    <w:pStyle w:val="ListBullet"/>
                    <w:numPr>
                      <w:ilvl w:val="0"/>
                      <w:numId w:val="17"/>
                    </w:numPr>
                    <w:ind w:left="227" w:hanging="227"/>
                    <w:rPr>
                      <w:spacing w:val="-4"/>
                    </w:rPr>
                  </w:pPr>
                  <w:r w:rsidRPr="00974ADB">
                    <w:t>Cert III and above VET commencements, attrition and completion rates</w:t>
                  </w:r>
                  <w:r w:rsidR="004061EB" w:rsidRPr="00974ADB">
                    <w:t xml:space="preserve"> (6c)</w:t>
                  </w:r>
                  <w:r w:rsidR="00AE6FCF" w:rsidRPr="00974ADB">
                    <w:t>*</w:t>
                  </w:r>
                </w:p>
              </w:tc>
              <w:tc>
                <w:tcPr>
                  <w:tcW w:w="2034" w:type="dxa"/>
                </w:tcPr>
                <w:p w14:paraId="753BAEE7" w14:textId="77777777" w:rsidR="00673D41" w:rsidRDefault="00673D41" w:rsidP="002B0375"/>
                <w:p w14:paraId="06B1E128" w14:textId="77777777" w:rsidR="004E6D5B" w:rsidRDefault="004E6D5B" w:rsidP="002B0375">
                  <w:pPr>
                    <w:spacing w:after="0"/>
                    <w:contextualSpacing/>
                  </w:pPr>
                </w:p>
                <w:p w14:paraId="7729BD5A" w14:textId="111C533C" w:rsidR="00673D41" w:rsidRDefault="00F172E4" w:rsidP="002B0375">
                  <w:pPr>
                    <w:spacing w:after="0"/>
                    <w:contextualSpacing/>
                  </w:pPr>
                  <w:r w:rsidRPr="007B3DCE">
                    <w:t>202</w:t>
                  </w:r>
                  <w:r w:rsidR="00673D41">
                    <w:t>1</w:t>
                  </w:r>
                </w:p>
                <w:p w14:paraId="2D895C5E" w14:textId="6E684F1A" w:rsidR="00F172E4" w:rsidRDefault="00144948" w:rsidP="002B0375">
                  <w:pPr>
                    <w:spacing w:after="0"/>
                    <w:contextualSpacing/>
                  </w:pPr>
                  <w:r>
                    <w:t>2022</w:t>
                  </w:r>
                </w:p>
                <w:p w14:paraId="75FD1474" w14:textId="19D3824C" w:rsidR="00F172E4" w:rsidRPr="007B3DCE" w:rsidRDefault="00144948" w:rsidP="002B0375">
                  <w:pPr>
                    <w:spacing w:after="0"/>
                    <w:contextualSpacing/>
                  </w:pPr>
                  <w:r>
                    <w:t>2022</w:t>
                  </w:r>
                </w:p>
              </w:tc>
            </w:tr>
            <w:tr w:rsidR="00F172E4" w:rsidRPr="007B3DCE" w14:paraId="2630C358" w14:textId="77777777" w:rsidTr="002B0375">
              <w:trPr>
                <w:trHeight w:val="1507"/>
              </w:trPr>
              <w:tc>
                <w:tcPr>
                  <w:tcW w:w="7131" w:type="dxa"/>
                </w:tcPr>
                <w:p w14:paraId="06E5D03D" w14:textId="77777777" w:rsidR="007119BE" w:rsidRPr="007B3DCE" w:rsidRDefault="00F172E4" w:rsidP="007119BE">
                  <w:pPr>
                    <w:spacing w:line="259" w:lineRule="auto"/>
                  </w:pPr>
                  <w:r w:rsidRPr="00D92EA8">
                    <w:rPr>
                      <w:b/>
                    </w:rPr>
                    <w:t>Outcome 7</w:t>
                  </w:r>
                  <w:r w:rsidRPr="00D92EA8">
                    <w:rPr>
                      <w:b/>
                      <w:bCs/>
                    </w:rPr>
                    <w:t>:</w:t>
                  </w:r>
                  <w:r w:rsidRPr="00D92EA8">
                    <w:t xml:space="preserve"> </w:t>
                  </w:r>
                  <w:r w:rsidR="007119BE" w:rsidRPr="007B3DCE">
                    <w:t>Aboriginal and Torres Strait Islander youth are engaged in employment or education</w:t>
                  </w:r>
                </w:p>
                <w:p w14:paraId="665E9B3A" w14:textId="492584B1" w:rsidR="009377C3" w:rsidRPr="00974ADB" w:rsidRDefault="00295A49" w:rsidP="00974ADB">
                  <w:pPr>
                    <w:pStyle w:val="ListBullet"/>
                    <w:numPr>
                      <w:ilvl w:val="0"/>
                      <w:numId w:val="17"/>
                    </w:numPr>
                    <w:ind w:left="227" w:hanging="227"/>
                  </w:pPr>
                  <w:r w:rsidRPr="00974ADB">
                    <w:t xml:space="preserve">Youth </w:t>
                  </w:r>
                  <w:r w:rsidR="00721A9E" w:rsidRPr="00974ADB">
                    <w:t>fully</w:t>
                  </w:r>
                  <w:r w:rsidRPr="00974ADB">
                    <w:t xml:space="preserve"> engaged in </w:t>
                  </w:r>
                  <w:r w:rsidR="003359D7" w:rsidRPr="00974ADB">
                    <w:t>e</w:t>
                  </w:r>
                  <w:r w:rsidR="00840F4C" w:rsidRPr="00974ADB">
                    <w:t>mployment, education of training (Target 7)</w:t>
                  </w:r>
                  <w:r w:rsidR="00F172E4" w:rsidRPr="00974ADB">
                    <w:t xml:space="preserve"> </w:t>
                  </w:r>
                </w:p>
                <w:p w14:paraId="3BD1A8A5" w14:textId="0DA330A5" w:rsidR="00F172E4" w:rsidRPr="007B3DCE" w:rsidRDefault="0012699D" w:rsidP="00974ADB">
                  <w:pPr>
                    <w:pStyle w:val="ListBullet"/>
                    <w:numPr>
                      <w:ilvl w:val="0"/>
                      <w:numId w:val="17"/>
                    </w:numPr>
                    <w:ind w:left="227" w:hanging="227"/>
                  </w:pPr>
                  <w:r w:rsidRPr="00974ADB">
                    <w:t>Young people who are not fully engaged in employment, education or training, by need for assistance (7a)</w:t>
                  </w:r>
                  <w:r w:rsidRPr="0012699D">
                    <w:t> </w:t>
                  </w:r>
                </w:p>
              </w:tc>
              <w:tc>
                <w:tcPr>
                  <w:tcW w:w="2034" w:type="dxa"/>
                </w:tcPr>
                <w:p w14:paraId="2B886C9F" w14:textId="77777777" w:rsidR="00BA45CE" w:rsidRDefault="00BA45CE" w:rsidP="002B0375">
                  <w:pPr>
                    <w:contextualSpacing/>
                  </w:pPr>
                </w:p>
                <w:p w14:paraId="62904F88" w14:textId="77777777" w:rsidR="00BA45CE" w:rsidRDefault="00BA45CE" w:rsidP="002B0375">
                  <w:pPr>
                    <w:contextualSpacing/>
                  </w:pPr>
                </w:p>
                <w:p w14:paraId="43F333E7" w14:textId="77777777" w:rsidR="00F172E4" w:rsidRDefault="00F172E4" w:rsidP="002B0375">
                  <w:pPr>
                    <w:contextualSpacing/>
                  </w:pPr>
                  <w:r w:rsidRPr="007B3DCE">
                    <w:t>202</w:t>
                  </w:r>
                  <w:r w:rsidR="005A298F" w:rsidRPr="007B3DCE">
                    <w:t>1</w:t>
                  </w:r>
                </w:p>
                <w:p w14:paraId="753FA884" w14:textId="2653FC82" w:rsidR="00F172E4" w:rsidRPr="007B3DCE" w:rsidRDefault="00F172E4" w:rsidP="002B0375">
                  <w:pPr>
                    <w:contextualSpacing/>
                  </w:pPr>
                  <w:r w:rsidRPr="007B3DCE">
                    <w:t>202</w:t>
                  </w:r>
                  <w:r w:rsidR="005A298F" w:rsidRPr="007B3DCE">
                    <w:t>1</w:t>
                  </w:r>
                </w:p>
              </w:tc>
            </w:tr>
          </w:tbl>
          <w:p w14:paraId="4FA7E3AB" w14:textId="5F5B0146" w:rsidR="00116D98" w:rsidRPr="007B3DCE" w:rsidRDefault="002B0375" w:rsidP="002B0375">
            <w:pPr>
              <w:pStyle w:val="BodyText"/>
              <w:spacing w:after="0"/>
            </w:pPr>
            <w:r w:rsidRPr="002B0375">
              <w:rPr>
                <w:sz w:val="18"/>
                <w:szCs w:val="18"/>
              </w:rPr>
              <w:t xml:space="preserve">Notes: * Indicates where a new year of data has been published since the 2023 ADCR. ** Indicates a new supporting indicator since the 20023 ADCR. Data considerations are </w:t>
            </w:r>
            <w:r w:rsidRPr="002B0375">
              <w:rPr>
                <w:bCs/>
                <w:sz w:val="18"/>
                <w:szCs w:val="18"/>
              </w:rPr>
              <w:t>provided</w:t>
            </w:r>
            <w:r w:rsidRPr="002B0375">
              <w:rPr>
                <w:sz w:val="18"/>
                <w:szCs w:val="18"/>
              </w:rPr>
              <w:t xml:space="preserve"> in boxes 2.13 and 2.15 in this section.</w:t>
            </w:r>
          </w:p>
        </w:tc>
      </w:tr>
    </w:tbl>
    <w:p w14:paraId="1FEB4A49" w14:textId="77777777" w:rsidR="0036126A" w:rsidRPr="007B3DCE" w:rsidRDefault="0036126A">
      <w:pPr>
        <w:spacing w:before="0" w:after="160" w:line="259" w:lineRule="auto"/>
        <w:rPr>
          <w:rFonts w:asciiTheme="majorHAnsi" w:eastAsiaTheme="majorEastAsia" w:hAnsiTheme="majorHAnsi" w:cstheme="majorBidi"/>
          <w:color w:val="88401D" w:themeColor="text2" w:themeShade="BF"/>
          <w:sz w:val="26"/>
          <w:szCs w:val="37"/>
        </w:rPr>
      </w:pPr>
      <w:bookmarkStart w:id="40" w:name="_Toc167878553"/>
      <w:r w:rsidRPr="007B3DCE">
        <w:br w:type="page"/>
      </w:r>
    </w:p>
    <w:p w14:paraId="2517EEE9" w14:textId="4BF56332" w:rsidR="00A2081E" w:rsidRPr="007B3DCE" w:rsidRDefault="00A2081E" w:rsidP="00A67A90">
      <w:pPr>
        <w:pStyle w:val="Heading3"/>
        <w:rPr>
          <w:color w:val="102B44"/>
        </w:rPr>
      </w:pPr>
      <w:r w:rsidRPr="007B3DCE">
        <w:rPr>
          <w:color w:val="102B44"/>
        </w:rPr>
        <w:lastRenderedPageBreak/>
        <w:t>Outcome 3</w:t>
      </w:r>
      <w:r w:rsidR="002F3D7A" w:rsidRPr="007B3DCE">
        <w:rPr>
          <w:color w:val="102B44"/>
        </w:rPr>
        <w:t>:</w:t>
      </w:r>
      <w:r w:rsidRPr="007B3DCE">
        <w:rPr>
          <w:color w:val="102B44"/>
        </w:rPr>
        <w:t xml:space="preserve"> Aboriginal and Torres Strait Islander children are engaged in high quality</w:t>
      </w:r>
      <w:r w:rsidRPr="004E312F">
        <w:rPr>
          <w:color w:val="auto"/>
        </w:rPr>
        <w:t xml:space="preserve">, culturally </w:t>
      </w:r>
      <w:r w:rsidRPr="007B3DCE">
        <w:rPr>
          <w:color w:val="102B44"/>
        </w:rPr>
        <w:t>appropriate early childhood education in their early years</w:t>
      </w:r>
      <w:bookmarkEnd w:id="40"/>
    </w:p>
    <w:p w14:paraId="6AECC870" w14:textId="635FBE3A" w:rsidR="00A2081E" w:rsidRPr="007B3DCE" w:rsidRDefault="00A2081E" w:rsidP="00A67A90">
      <w:pPr>
        <w:pStyle w:val="Heading4"/>
        <w:rPr>
          <w:color w:val="215B8E" w:themeColor="accent2" w:themeShade="BF"/>
        </w:rPr>
      </w:pPr>
      <w:r w:rsidRPr="007B3DCE">
        <w:rPr>
          <w:color w:val="215B8E" w:themeColor="accent2" w:themeShade="BF"/>
        </w:rPr>
        <w:t>The proportion of Aboriginal and Torres Strait Islander children enrolled in Year Before Fulltime Schooling</w:t>
      </w:r>
      <w:r w:rsidR="00E26DB0">
        <w:rPr>
          <w:color w:val="215B8E" w:themeColor="accent2" w:themeShade="BF"/>
        </w:rPr>
        <w:t xml:space="preserve"> </w:t>
      </w:r>
      <w:r w:rsidRPr="007B3DCE">
        <w:rPr>
          <w:color w:val="215B8E" w:themeColor="accent2" w:themeShade="BF"/>
        </w:rPr>
        <w:t xml:space="preserve">early childhood education is increasing and </w:t>
      </w:r>
      <w:r w:rsidR="0066574E">
        <w:rPr>
          <w:color w:val="215B8E" w:themeColor="accent2" w:themeShade="BF"/>
        </w:rPr>
        <w:t xml:space="preserve">the target is </w:t>
      </w:r>
      <w:r w:rsidRPr="007B3DCE">
        <w:rPr>
          <w:color w:val="215B8E" w:themeColor="accent2" w:themeShade="BF"/>
        </w:rPr>
        <w:t>on track</w:t>
      </w:r>
      <w:r w:rsidR="0066574E">
        <w:rPr>
          <w:color w:val="215B8E" w:themeColor="accent2" w:themeShade="BF"/>
        </w:rPr>
        <w:t xml:space="preserve"> </w:t>
      </w:r>
      <w:r w:rsidRPr="007B3DCE">
        <w:rPr>
          <w:color w:val="215B8E" w:themeColor="accent2" w:themeShade="BF"/>
        </w:rPr>
        <w:t xml:space="preserve">to be </w:t>
      </w:r>
      <w:r w:rsidR="0066574E">
        <w:rPr>
          <w:color w:val="215B8E" w:themeColor="accent2" w:themeShade="BF"/>
        </w:rPr>
        <w:t>met by 202</w:t>
      </w:r>
      <w:r w:rsidR="00806611">
        <w:rPr>
          <w:color w:val="215B8E" w:themeColor="accent2" w:themeShade="BF"/>
        </w:rPr>
        <w:t>5</w:t>
      </w:r>
    </w:p>
    <w:p w14:paraId="1C29308F" w14:textId="34B3A6B8" w:rsidR="005C4994" w:rsidRPr="007B3DCE" w:rsidRDefault="002154F1" w:rsidP="00A2081E">
      <w:pPr>
        <w:pStyle w:val="BodyText"/>
      </w:pPr>
      <w:r w:rsidRPr="007B3DCE">
        <w:t>The</w:t>
      </w:r>
      <w:r w:rsidR="001E393E" w:rsidRPr="007B3DCE">
        <w:t xml:space="preserve"> latest available data (2023) </w:t>
      </w:r>
      <w:r w:rsidRPr="007B3DCE">
        <w:t>shows that</w:t>
      </w:r>
      <w:r w:rsidR="001E393E" w:rsidRPr="007B3DCE">
        <w:t xml:space="preserve"> the number and proportion of Aboriginal and Torres Strait Islander children enrolled in </w:t>
      </w:r>
      <w:r w:rsidR="318B3E8D" w:rsidRPr="007B3DCE">
        <w:t xml:space="preserve">the </w:t>
      </w:r>
      <w:r w:rsidR="001E393E" w:rsidRPr="007B3DCE">
        <w:t>Year Before Full</w:t>
      </w:r>
      <w:r w:rsidR="008A0E76">
        <w:t>-</w:t>
      </w:r>
      <w:r w:rsidR="001E393E" w:rsidRPr="007B3DCE">
        <w:t xml:space="preserve">time Schooling </w:t>
      </w:r>
      <w:r w:rsidR="006444F5" w:rsidRPr="007B3DCE">
        <w:t>(YBFS)</w:t>
      </w:r>
      <w:r w:rsidR="001E393E" w:rsidRPr="007B3DCE">
        <w:t xml:space="preserve"> for early childhood education is increasing and is on track</w:t>
      </w:r>
      <w:r w:rsidR="0020661A" w:rsidRPr="007B3DCE">
        <w:t xml:space="preserve"> to meet the target</w:t>
      </w:r>
      <w:r w:rsidR="00FE09EC" w:rsidRPr="007B3DCE">
        <w:t xml:space="preserve"> </w:t>
      </w:r>
      <w:r w:rsidR="00302E5E">
        <w:t xml:space="preserve">of </w:t>
      </w:r>
      <w:r w:rsidR="00D263FC">
        <w:t>95% by 20</w:t>
      </w:r>
      <w:r w:rsidR="00166A1B">
        <w:t xml:space="preserve">25 </w:t>
      </w:r>
      <w:r w:rsidR="00FE09EC" w:rsidRPr="007B3DCE">
        <w:t>(figure 2.1</w:t>
      </w:r>
      <w:r w:rsidR="003C6141" w:rsidRPr="007B3DCE">
        <w:t>5</w:t>
      </w:r>
      <w:r w:rsidR="00FE09EC" w:rsidRPr="007B3DCE">
        <w:t>)</w:t>
      </w:r>
      <w:r w:rsidR="001E393E" w:rsidRPr="007B3DCE">
        <w:t>.</w:t>
      </w:r>
      <w:r w:rsidR="00B41D48" w:rsidRPr="007B3DCE">
        <w:t xml:space="preserve"> </w:t>
      </w:r>
      <w:r w:rsidR="003D7479" w:rsidRPr="007B3DCE">
        <w:t>In 2023, the proportion of Aboriginal and Torres Strait Islander children enrolled in YBF</w:t>
      </w:r>
      <w:r w:rsidR="00433739" w:rsidRPr="007B3DCE">
        <w:t>S</w:t>
      </w:r>
      <w:r w:rsidR="003D7479" w:rsidRPr="007B3DCE">
        <w:t xml:space="preserve"> early childhood education was 101.8%</w:t>
      </w:r>
      <w:r w:rsidR="3A9377EB" w:rsidRPr="007B3DCE">
        <w:t xml:space="preserve"> (</w:t>
      </w:r>
      <w:r w:rsidR="00AE2CA3" w:rsidRPr="007B3DCE">
        <w:t>b</w:t>
      </w:r>
      <w:r w:rsidR="3A9377EB" w:rsidRPr="007B3DCE">
        <w:t xml:space="preserve">ox </w:t>
      </w:r>
      <w:r w:rsidR="00A85CB5" w:rsidRPr="007B3DCE">
        <w:t>2</w:t>
      </w:r>
      <w:r w:rsidR="3A9377EB" w:rsidRPr="007B3DCE">
        <w:t>.</w:t>
      </w:r>
      <w:r w:rsidR="00A85CB5" w:rsidRPr="007B3DCE">
        <w:t>1</w:t>
      </w:r>
      <w:r w:rsidR="00157CF4" w:rsidRPr="007B3DCE">
        <w:t>3</w:t>
      </w:r>
      <w:r w:rsidR="004C1279">
        <w:t xml:space="preserve"> </w:t>
      </w:r>
      <w:r w:rsidR="005872E7">
        <w:t xml:space="preserve">outlines </w:t>
      </w:r>
      <w:r w:rsidR="00191EE9">
        <w:t>data considerations</w:t>
      </w:r>
      <w:r w:rsidR="3A9377EB" w:rsidRPr="007B3DCE">
        <w:t>)</w:t>
      </w:r>
      <w:r w:rsidR="003D7479" w:rsidRPr="007B3DCE">
        <w:t xml:space="preserve">. </w:t>
      </w:r>
      <w:r w:rsidR="00A2081E" w:rsidRPr="007B3DCE">
        <w:t xml:space="preserve">This is an increase from 99.2% in 2022, and a significant increase from </w:t>
      </w:r>
      <w:r w:rsidR="00D0136D" w:rsidRPr="007B3DCE">
        <w:t>the baseline (</w:t>
      </w:r>
      <w:r w:rsidR="00A2081E" w:rsidRPr="007B3DCE">
        <w:t>2016</w:t>
      </w:r>
      <w:r w:rsidR="00D0136D" w:rsidRPr="007B3DCE">
        <w:t>)</w:t>
      </w:r>
      <w:r w:rsidR="00A2081E" w:rsidRPr="007B3DCE">
        <w:t xml:space="preserve">, when 76.7% </w:t>
      </w:r>
      <w:r w:rsidR="007D67B4" w:rsidRPr="007B3DCE">
        <w:t xml:space="preserve">of </w:t>
      </w:r>
      <w:r w:rsidR="00A2081E" w:rsidRPr="007B3DCE">
        <w:t xml:space="preserve">Aboriginal and Torres Strait Islander students were enrolled in a preschool program. </w:t>
      </w:r>
    </w:p>
    <w:p w14:paraId="37994CE3" w14:textId="44DFD049" w:rsidR="00A2081E" w:rsidRPr="004E312F" w:rsidRDefault="00A2081E" w:rsidP="003D4BC3">
      <w:pPr>
        <w:pStyle w:val="FigureTableHeading"/>
        <w:rPr>
          <w:color w:val="auto"/>
          <w:vertAlign w:val="superscript"/>
        </w:rPr>
      </w:pPr>
      <w:r w:rsidRPr="004E312F">
        <w:rPr>
          <w:color w:val="auto"/>
        </w:rPr>
        <w:t xml:space="preserve">Figure </w:t>
      </w:r>
      <w:r w:rsidR="009B42D7" w:rsidRPr="004E312F">
        <w:rPr>
          <w:color w:val="auto"/>
        </w:rPr>
        <w:t>2</w:t>
      </w:r>
      <w:r w:rsidRPr="004E312F">
        <w:rPr>
          <w:color w:val="auto"/>
        </w:rPr>
        <w:t>.</w:t>
      </w:r>
      <w:r w:rsidR="0036545D" w:rsidRPr="004E312F">
        <w:rPr>
          <w:color w:val="auto"/>
        </w:rPr>
        <w:t>15</w:t>
      </w:r>
      <w:r w:rsidRPr="004E312F">
        <w:rPr>
          <w:color w:val="auto"/>
        </w:rPr>
        <w:t xml:space="preserve"> – </w:t>
      </w:r>
      <w:r w:rsidR="007B6AA6" w:rsidRPr="004E312F">
        <w:rPr>
          <w:color w:val="auto"/>
        </w:rPr>
        <w:t xml:space="preserve">Year </w:t>
      </w:r>
      <w:r w:rsidR="00C02589" w:rsidRPr="004E312F">
        <w:rPr>
          <w:color w:val="auto"/>
        </w:rPr>
        <w:t>Before Full Time Schooling</w:t>
      </w:r>
      <w:r w:rsidR="15D93196" w:rsidRPr="004E312F">
        <w:rPr>
          <w:color w:val="auto"/>
        </w:rPr>
        <w:t xml:space="preserve"> </w:t>
      </w:r>
      <w:r w:rsidR="00F75DBB" w:rsidRPr="004E312F">
        <w:rPr>
          <w:color w:val="auto"/>
        </w:rPr>
        <w:t>early childhood education</w:t>
      </w:r>
      <w:r w:rsidR="002C2D76" w:rsidRPr="004E312F">
        <w:rPr>
          <w:color w:val="auto"/>
          <w:vertAlign w:val="superscript"/>
        </w:rPr>
        <w:t>a</w:t>
      </w:r>
    </w:p>
    <w:p w14:paraId="0AFE8AA1" w14:textId="47B03E30" w:rsidR="00F418F1" w:rsidRPr="002F4053" w:rsidRDefault="50FECEC2" w:rsidP="002F4053">
      <w:pPr>
        <w:pStyle w:val="FigureTableSubheading"/>
        <w:rPr>
          <w:noProof/>
          <w:color w:val="265999"/>
        </w:rPr>
      </w:pPr>
      <w:r w:rsidRPr="002F4053">
        <w:rPr>
          <w:color w:val="265999"/>
        </w:rPr>
        <w:t xml:space="preserve">Proportion of Aboriginal and Torres Strait Islander children enrolled in </w:t>
      </w:r>
      <w:r w:rsidR="00D807ED" w:rsidRPr="002F4053">
        <w:rPr>
          <w:color w:val="265999"/>
        </w:rPr>
        <w:t xml:space="preserve">YBFS </w:t>
      </w:r>
      <w:r w:rsidRPr="002F4053">
        <w:rPr>
          <w:color w:val="265999"/>
        </w:rPr>
        <w:t>early childhood education</w:t>
      </w:r>
    </w:p>
    <w:p w14:paraId="54474361" w14:textId="712D2BDC" w:rsidR="009F0980" w:rsidRDefault="001F2EA5" w:rsidP="00F418F1">
      <w:pPr>
        <w:pStyle w:val="NoSpacing"/>
        <w:rPr>
          <w:rFonts w:asciiTheme="majorHAnsi" w:hAnsiTheme="majorHAnsi"/>
          <w:color w:val="215B8E" w:themeColor="accent2" w:themeShade="BF"/>
        </w:rPr>
      </w:pPr>
      <w:r w:rsidRPr="001F2EA5">
        <w:rPr>
          <w:noProof/>
        </w:rPr>
        <w:drawing>
          <wp:inline distT="0" distB="0" distL="0" distR="0" wp14:anchorId="6808754D" wp14:editId="7636685C">
            <wp:extent cx="5935345" cy="2887345"/>
            <wp:effectExtent l="0" t="0" r="0" b="0"/>
            <wp:docPr id="138663475" name="Picture 199" descr="Figure 2.15 is a line chart that presents the proportion of Aboriginal and Torres Strait Islander children enrolled in Year Before Full Time Schooling (YBFS) early childhood education from 2016 to 2025. The actual enrolment rates show a steady increase over the years, with projections indicating continued growth towards the target. The shaded area represents the 95% confidence intervals for the linear regression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3475" name="Picture 199" descr="Figure 2.15 is a line chart that presents the proportion of Aboriginal and Torres Strait Islander children enrolled in Year Before Full Time Schooling (YBFS) early childhood education from 2016 to 2025. The actual enrolment rates show a steady increase over the years, with projections indicating continued growth towards the target. The shaded area represents the 95% confidence intervals for the linear regression estimate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345" cy="2887345"/>
                    </a:xfrm>
                    <a:prstGeom prst="rect">
                      <a:avLst/>
                    </a:prstGeom>
                    <a:noFill/>
                    <a:ln>
                      <a:noFill/>
                    </a:ln>
                  </pic:spPr>
                </pic:pic>
              </a:graphicData>
            </a:graphic>
          </wp:inline>
        </w:drawing>
      </w:r>
    </w:p>
    <w:p w14:paraId="0E192FA6" w14:textId="0C8F0832" w:rsidR="7587B0B9" w:rsidRPr="00B7367D" w:rsidRDefault="00101271" w:rsidP="00B7367D">
      <w:pPr>
        <w:pStyle w:val="Note"/>
      </w:pPr>
      <w:r w:rsidRPr="00B7367D">
        <w:t>a.</w:t>
      </w:r>
      <w:r w:rsidR="00617E25" w:rsidRPr="00B7367D">
        <w:t xml:space="preserve"> </w:t>
      </w:r>
      <w:r w:rsidRPr="00B7367D">
        <w:t>T</w:t>
      </w:r>
      <w:r w:rsidR="00617E25" w:rsidRPr="00B7367D">
        <w:t>he shaded area represents 95% confidence intervals for the linear regression estimates.</w:t>
      </w:r>
    </w:p>
    <w:p w14:paraId="63FEB90F" w14:textId="41BA14D2" w:rsidR="00566777" w:rsidRDefault="00E27F9B" w:rsidP="00B45E8E">
      <w:pPr>
        <w:pStyle w:val="Source"/>
        <w:spacing w:before="0" w:after="0"/>
      </w:pPr>
      <w:r>
        <w:t>Source: Derived from ABS (unpublished) Preschool Education Australia</w:t>
      </w:r>
      <w:r w:rsidR="00B45E8E">
        <w:t>.</w:t>
      </w:r>
    </w:p>
    <w:tbl>
      <w:tblPr>
        <w:tblStyle w:val="Boxtable"/>
        <w:tblpPr w:leftFromText="180" w:rightFromText="180" w:vertAnchor="page" w:horzAnchor="margin" w:tblpY="2370"/>
        <w:tblW w:w="5000" w:type="pct"/>
        <w:tblLook w:val="04A0" w:firstRow="1" w:lastRow="0" w:firstColumn="1" w:lastColumn="0" w:noHBand="0" w:noVBand="1"/>
      </w:tblPr>
      <w:tblGrid>
        <w:gridCol w:w="9638"/>
      </w:tblGrid>
      <w:tr w:rsidR="0042067E" w:rsidRPr="007B3DCE" w14:paraId="43BE6D3F" w14:textId="77777777" w:rsidTr="00985AA5">
        <w:trPr>
          <w:trHeight w:val="397"/>
          <w:tblHeader/>
        </w:trPr>
        <w:tc>
          <w:tcPr>
            <w:tcW w:w="9638" w:type="dxa"/>
            <w:shd w:val="clear" w:color="auto" w:fill="102B44"/>
            <w:tcMar>
              <w:top w:w="170" w:type="dxa"/>
              <w:left w:w="170" w:type="dxa"/>
              <w:bottom w:w="113" w:type="dxa"/>
              <w:right w:w="170" w:type="dxa"/>
            </w:tcMar>
            <w:vAlign w:val="center"/>
            <w:hideMark/>
          </w:tcPr>
          <w:p w14:paraId="0043CA8F" w14:textId="77777777" w:rsidR="0042067E" w:rsidRPr="007B3DCE" w:rsidRDefault="0042067E" w:rsidP="003C6CCF">
            <w:pPr>
              <w:pStyle w:val="BoxHeading1"/>
              <w:spacing w:before="0"/>
              <w:rPr>
                <w:rFonts w:ascii="Arial Black" w:hAnsi="Arial Black"/>
              </w:rPr>
            </w:pPr>
            <w:r w:rsidRPr="007B3DCE">
              <w:rPr>
                <w:color w:val="FFFFFF"/>
              </w:rPr>
              <w:lastRenderedPageBreak/>
              <w:t>Box 2.</w:t>
            </w:r>
            <w:r>
              <w:rPr>
                <w:color w:val="FFFFFF"/>
              </w:rPr>
              <w:t xml:space="preserve">13 </w:t>
            </w:r>
            <w:r w:rsidRPr="007B3DCE">
              <w:rPr>
                <w:rFonts w:ascii="Arial Black" w:hAnsi="Arial Black"/>
                <w:color w:val="FFFFFF"/>
              </w:rPr>
              <w:t>– Data considerations: why enrolment rates may exceed 100%</w:t>
            </w:r>
          </w:p>
        </w:tc>
      </w:tr>
      <w:tr w:rsidR="0042067E" w:rsidRPr="007B3DCE" w14:paraId="3A61E9A7" w14:textId="77777777" w:rsidTr="00985AA5">
        <w:trPr>
          <w:trHeight w:val="300"/>
        </w:trPr>
        <w:tc>
          <w:tcPr>
            <w:tcW w:w="9638" w:type="dxa"/>
            <w:shd w:val="clear" w:color="auto" w:fill="D2E4F4" w:themeFill="accent2" w:themeFillTint="33"/>
            <w:tcMar>
              <w:top w:w="28" w:type="dxa"/>
              <w:left w:w="170" w:type="dxa"/>
              <w:bottom w:w="170" w:type="dxa"/>
              <w:right w:w="170" w:type="dxa"/>
            </w:tcMar>
            <w:hideMark/>
          </w:tcPr>
          <w:p w14:paraId="7B71F00C" w14:textId="77777777" w:rsidR="0042067E" w:rsidRPr="009D1801" w:rsidRDefault="0042067E" w:rsidP="009D1801">
            <w:pPr>
              <w:pStyle w:val="BodyText"/>
            </w:pPr>
            <w:r w:rsidRPr="009D1801">
              <w:t xml:space="preserve">Enrolment rates exceed 100% for the national figure and some jurisdictions because the numerator and denominator come from different data sources and are based on different assumptions. The numerator is administrative data for pre-school enrolment reported annually. The denominator, the potential population of children aged in the state-specific YBFS cohort, is based on Aboriginal and Torres Strait Islander population projections. These projections are the best available data, however they underestimate the number of Aboriginal and Torres Strait Islander people in the years after the 2016 Census. Over time, identification of Aboriginal and Torres Strait Islander people has been increasing and this is not accounted for in current population projections. </w:t>
            </w:r>
          </w:p>
          <w:p w14:paraId="5D12EED9" w14:textId="77777777" w:rsidR="0042067E" w:rsidRPr="007B3DCE" w:rsidRDefault="0042067E" w:rsidP="009D1801">
            <w:pPr>
              <w:pStyle w:val="BodyText"/>
            </w:pPr>
            <w:r w:rsidRPr="009D1801">
              <w:t>The population data will be revised in future dashboard updates, once the 2021 Census-based Aboriginal and Torres Strait Islander population estimates and projections are available.</w:t>
            </w:r>
          </w:p>
        </w:tc>
      </w:tr>
    </w:tbl>
    <w:p w14:paraId="1B925CDA" w14:textId="77777777" w:rsidR="007A5489" w:rsidRDefault="007A5489" w:rsidP="0067607F">
      <w:pPr>
        <w:pStyle w:val="BodyText"/>
        <w:spacing w:line="276" w:lineRule="auto"/>
        <w:rPr>
          <w:vanish/>
          <w:color w:val="FF00FF"/>
        </w:rPr>
      </w:pPr>
      <w:r w:rsidRPr="007B3DCE">
        <w:rPr>
          <w:vanish/>
          <w:color w:val="FF00FF"/>
        </w:rPr>
        <w:t>[</w:t>
      </w:r>
      <w:r w:rsidRPr="007B3DCE">
        <w:rPr>
          <w:smallCaps/>
          <w:vanish/>
          <w:color w:val="FF00FF"/>
        </w:rPr>
        <w:t>Used for spacing, do not delete</w:t>
      </w:r>
      <w:r w:rsidRPr="007B3DCE">
        <w:rPr>
          <w:vanish/>
          <w:color w:val="FF00FF"/>
        </w:rPr>
        <w:t xml:space="preserve"> | Style: No Spacing]</w:t>
      </w:r>
    </w:p>
    <w:p w14:paraId="0A7668AA" w14:textId="7E299051" w:rsidR="00F63738" w:rsidRDefault="00F63738" w:rsidP="0067607F">
      <w:pPr>
        <w:pStyle w:val="BodyText"/>
        <w:spacing w:line="276" w:lineRule="auto"/>
      </w:pPr>
      <w:r w:rsidRPr="007B3DCE">
        <w:t xml:space="preserve">Since 2016, the enrolment rate of Aboriginal and Torres Strait Islander children in a YBFS preschool program increased in all socio-economic areas other than the least disadvantaged where it remained stable. There were also increases in the rate of enrolment for Aboriginal and Torres Strait Islander children in major cities and inner and outer regional areas, while rates stagnated for remote </w:t>
      </w:r>
      <w:r>
        <w:rPr>
          <w:lang w:val="en-US"/>
        </w:rPr>
        <w:t>areas</w:t>
      </w:r>
      <w:r w:rsidRPr="007B3DCE">
        <w:t xml:space="preserve">. </w:t>
      </w:r>
    </w:p>
    <w:p w14:paraId="134E1098" w14:textId="6696D133" w:rsidR="00DA4D34" w:rsidRPr="007B3DCE" w:rsidRDefault="03B45F7F" w:rsidP="62A2168B">
      <w:pPr>
        <w:pStyle w:val="Heading5"/>
        <w:rPr>
          <w:rStyle w:val="cf01"/>
          <w:rFonts w:asciiTheme="majorHAnsi" w:eastAsiaTheme="minorEastAsia" w:hAnsiTheme="majorHAnsi" w:cstheme="majorBidi"/>
          <w:color w:val="102B44"/>
          <w:sz w:val="26"/>
          <w:szCs w:val="26"/>
        </w:rPr>
      </w:pPr>
      <w:r w:rsidRPr="007B3DCE">
        <w:rPr>
          <w:color w:val="102B44"/>
        </w:rPr>
        <w:t>More</w:t>
      </w:r>
      <w:r w:rsidR="00A2081E" w:rsidRPr="007B3DCE">
        <w:rPr>
          <w:color w:val="102B44"/>
        </w:rPr>
        <w:t xml:space="preserve"> Aboriginal and Torres Strait Islander-focused integrated early years services </w:t>
      </w:r>
    </w:p>
    <w:p w14:paraId="3A81FE9A" w14:textId="64FA2F49" w:rsidR="00062FD4" w:rsidRPr="007B3DCE" w:rsidRDefault="00DA4D34" w:rsidP="0067607F">
      <w:pPr>
        <w:spacing w:line="276" w:lineRule="auto"/>
        <w:rPr>
          <w:rStyle w:val="BodyTextChar"/>
        </w:rPr>
      </w:pPr>
      <w:r w:rsidRPr="007B3DCE">
        <w:rPr>
          <w:rStyle w:val="BodyTextChar"/>
        </w:rPr>
        <w:t>New data in 2024 shows there was a</w:t>
      </w:r>
      <w:r w:rsidR="00F216DE" w:rsidRPr="007B3DCE">
        <w:rPr>
          <w:rStyle w:val="BodyTextChar"/>
        </w:rPr>
        <w:t>n increase</w:t>
      </w:r>
      <w:r w:rsidRPr="007B3DCE">
        <w:rPr>
          <w:rStyle w:val="BodyTextChar"/>
          <w:color w:val="FF0000"/>
        </w:rPr>
        <w:t xml:space="preserve"> </w:t>
      </w:r>
      <w:r w:rsidRPr="007B3DCE">
        <w:rPr>
          <w:rStyle w:val="BodyTextChar"/>
        </w:rPr>
        <w:t>in the overall number of Aboriginal and Torres Strait Islander-focused integrated early years services</w:t>
      </w:r>
      <w:r w:rsidR="009D1A0D" w:rsidRPr="007B3DCE">
        <w:rPr>
          <w:rStyle w:val="BodyTextChar"/>
        </w:rPr>
        <w:t xml:space="preserve"> – Indicator </w:t>
      </w:r>
      <w:r w:rsidR="009D1A0D" w:rsidRPr="00450DFC">
        <w:rPr>
          <w:rStyle w:val="BodyTextChar"/>
        </w:rPr>
        <w:t>3b</w:t>
      </w:r>
      <w:r w:rsidR="00F4772A" w:rsidRPr="00450DFC">
        <w:rPr>
          <w:rStyle w:val="BodyTextChar"/>
        </w:rPr>
        <w:t xml:space="preserve"> –</w:t>
      </w:r>
      <w:r w:rsidRPr="00450DFC">
        <w:rPr>
          <w:rStyle w:val="BodyTextChar"/>
        </w:rPr>
        <w:t xml:space="preserve"> from </w:t>
      </w:r>
      <w:r w:rsidR="00F216DE" w:rsidRPr="00450DFC">
        <w:rPr>
          <w:rStyle w:val="BodyTextChar"/>
        </w:rPr>
        <w:t>151 services</w:t>
      </w:r>
      <w:r w:rsidRPr="00450DFC">
        <w:rPr>
          <w:rStyle w:val="BodyTextChar"/>
        </w:rPr>
        <w:t xml:space="preserve"> </w:t>
      </w:r>
      <w:r w:rsidR="00A02CCD" w:rsidRPr="00450DFC">
        <w:rPr>
          <w:rStyle w:val="BodyTextChar"/>
        </w:rPr>
        <w:t xml:space="preserve">in 2022 </w:t>
      </w:r>
      <w:r w:rsidRPr="00450DFC">
        <w:rPr>
          <w:rStyle w:val="BodyTextChar"/>
        </w:rPr>
        <w:t>to 1</w:t>
      </w:r>
      <w:r w:rsidR="00F216DE" w:rsidRPr="00450DFC">
        <w:rPr>
          <w:rStyle w:val="BodyTextChar"/>
        </w:rPr>
        <w:t>55 in 2023</w:t>
      </w:r>
      <w:r w:rsidR="00F4772A" w:rsidRPr="007B3DCE">
        <w:rPr>
          <w:rStyle w:val="BodyTextChar"/>
        </w:rPr>
        <w:t xml:space="preserve"> (figure 2.1</w:t>
      </w:r>
      <w:r w:rsidR="00632BFF" w:rsidRPr="007B3DCE">
        <w:rPr>
          <w:rStyle w:val="BodyTextChar"/>
        </w:rPr>
        <w:t>6</w:t>
      </w:r>
      <w:r w:rsidR="00F4772A" w:rsidRPr="007B3DCE">
        <w:rPr>
          <w:rStyle w:val="BodyTextChar"/>
        </w:rPr>
        <w:t>)</w:t>
      </w:r>
      <w:r w:rsidRPr="007B3DCE">
        <w:rPr>
          <w:rStyle w:val="BodyTextChar"/>
        </w:rPr>
        <w:t>.</w:t>
      </w:r>
      <w:r w:rsidR="000442C0" w:rsidRPr="009D07D6">
        <w:rPr>
          <w:rStyle w:val="FootnoteReference"/>
        </w:rPr>
        <w:footnoteReference w:id="14"/>
      </w:r>
      <w:r w:rsidR="000442C0" w:rsidRPr="007B3DCE">
        <w:rPr>
          <w:rStyle w:val="BodyTextChar"/>
        </w:rPr>
        <w:t xml:space="preserve"> </w:t>
      </w:r>
      <w:r w:rsidRPr="007B3DCE">
        <w:rPr>
          <w:rStyle w:val="BodyTextChar"/>
        </w:rPr>
        <w:t xml:space="preserve"> </w:t>
      </w:r>
      <w:r w:rsidR="00FF3FCC" w:rsidRPr="007B3DCE">
        <w:rPr>
          <w:rStyle w:val="BodyTextChar"/>
        </w:rPr>
        <w:t>Aboriginal and Torres Strait Islander-focused integrated early years services can be provided by both community</w:t>
      </w:r>
      <w:r w:rsidR="00CA439D" w:rsidRPr="007B3DCE">
        <w:rPr>
          <w:rStyle w:val="BodyTextChar"/>
        </w:rPr>
        <w:t>-</w:t>
      </w:r>
      <w:r w:rsidR="00FF3FCC" w:rsidRPr="007B3DCE">
        <w:rPr>
          <w:rStyle w:val="BodyTextChar"/>
        </w:rPr>
        <w:t xml:space="preserve">controlled and government and/or non-Indigenous controlled services. </w:t>
      </w:r>
    </w:p>
    <w:p w14:paraId="2B50DA1C" w14:textId="6AB74589" w:rsidR="001752AD" w:rsidRDefault="00062FD4" w:rsidP="0067607F">
      <w:pPr>
        <w:spacing w:line="276" w:lineRule="auto"/>
        <w:rPr>
          <w:rStyle w:val="BodyTextChar"/>
        </w:rPr>
      </w:pPr>
      <w:r w:rsidRPr="007B3DCE">
        <w:rPr>
          <w:rStyle w:val="BodyTextChar"/>
        </w:rPr>
        <w:t xml:space="preserve">The overall </w:t>
      </w:r>
      <w:r w:rsidR="5A8682CE" w:rsidRPr="007B3DCE">
        <w:rPr>
          <w:rStyle w:val="BodyTextChar"/>
        </w:rPr>
        <w:t xml:space="preserve">increase in </w:t>
      </w:r>
      <w:r w:rsidRPr="007B3DCE">
        <w:rPr>
          <w:rStyle w:val="BodyTextChar"/>
        </w:rPr>
        <w:t>Aboriginal and Torres Strait Islander</w:t>
      </w:r>
      <w:r w:rsidR="02C6F0BB" w:rsidRPr="007B3DCE">
        <w:rPr>
          <w:rStyle w:val="BodyTextChar"/>
        </w:rPr>
        <w:t xml:space="preserve">-focused </w:t>
      </w:r>
      <w:r w:rsidR="103804F0" w:rsidRPr="007B3DCE">
        <w:rPr>
          <w:rStyle w:val="BodyTextChar"/>
        </w:rPr>
        <w:t>services</w:t>
      </w:r>
      <w:r w:rsidRPr="007B3DCE">
        <w:rPr>
          <w:rStyle w:val="BodyTextChar"/>
        </w:rPr>
        <w:t xml:space="preserve"> was predominantly </w:t>
      </w:r>
      <w:r w:rsidR="079ACA62" w:rsidRPr="007B3DCE">
        <w:rPr>
          <w:rStyle w:val="BodyTextChar"/>
        </w:rPr>
        <w:t xml:space="preserve">due to </w:t>
      </w:r>
      <w:r w:rsidRPr="007B3DCE">
        <w:rPr>
          <w:rStyle w:val="BodyTextChar"/>
        </w:rPr>
        <w:t>a</w:t>
      </w:r>
      <w:r w:rsidR="00A6208E" w:rsidRPr="007B3DCE">
        <w:rPr>
          <w:rStyle w:val="BodyTextChar"/>
        </w:rPr>
        <w:t xml:space="preserve"> </w:t>
      </w:r>
      <w:r w:rsidR="0C4F2F90" w:rsidRPr="007B3DCE">
        <w:rPr>
          <w:rStyle w:val="BodyTextChar"/>
        </w:rPr>
        <w:t>rise</w:t>
      </w:r>
      <w:r w:rsidRPr="007B3DCE">
        <w:rPr>
          <w:rStyle w:val="BodyTextChar"/>
        </w:rPr>
        <w:t xml:space="preserve"> in government and/or non-Indigenous controlled services. </w:t>
      </w:r>
      <w:r w:rsidR="00434B28" w:rsidRPr="007B3DCE">
        <w:t xml:space="preserve">There </w:t>
      </w:r>
      <w:r w:rsidR="00434B28" w:rsidRPr="007B3DCE">
        <w:rPr>
          <w:rStyle w:val="BodyTextChar"/>
        </w:rPr>
        <w:t>was</w:t>
      </w:r>
      <w:r w:rsidR="00A6208E" w:rsidRPr="007B3DCE">
        <w:rPr>
          <w:rStyle w:val="BodyTextChar"/>
        </w:rPr>
        <w:t xml:space="preserve"> </w:t>
      </w:r>
      <w:r w:rsidR="00434B28" w:rsidRPr="007B3DCE">
        <w:rPr>
          <w:rStyle w:val="BodyTextChar"/>
        </w:rPr>
        <w:t xml:space="preserve">one </w:t>
      </w:r>
      <w:r w:rsidR="00A6208E" w:rsidRPr="007B3DCE">
        <w:rPr>
          <w:rStyle w:val="BodyTextChar"/>
        </w:rPr>
        <w:t xml:space="preserve">fewer </w:t>
      </w:r>
      <w:r w:rsidR="00434B28" w:rsidRPr="007B3DCE">
        <w:rPr>
          <w:rStyle w:val="BodyTextChar"/>
        </w:rPr>
        <w:t xml:space="preserve">Aboriginal </w:t>
      </w:r>
      <w:r w:rsidR="00CA439D" w:rsidRPr="007B3DCE">
        <w:rPr>
          <w:rStyle w:val="BodyTextChar"/>
        </w:rPr>
        <w:t xml:space="preserve">and Torres Strait Islander </w:t>
      </w:r>
      <w:r w:rsidR="00434B28" w:rsidRPr="007B3DCE">
        <w:rPr>
          <w:rStyle w:val="BodyTextChar"/>
        </w:rPr>
        <w:t xml:space="preserve">community-controlled provider </w:t>
      </w:r>
      <w:r w:rsidR="2696D754" w:rsidRPr="007B3DCE">
        <w:rPr>
          <w:rStyle w:val="BodyTextChar"/>
        </w:rPr>
        <w:t>in</w:t>
      </w:r>
      <w:r w:rsidR="00434B28" w:rsidRPr="007B3DCE">
        <w:rPr>
          <w:rStyle w:val="BodyTextChar"/>
        </w:rPr>
        <w:t xml:space="preserve"> 2023, </w:t>
      </w:r>
      <w:r w:rsidR="00A4011B" w:rsidRPr="007B3DCE">
        <w:rPr>
          <w:rStyle w:val="BodyTextChar"/>
        </w:rPr>
        <w:t>disrupt</w:t>
      </w:r>
      <w:r w:rsidR="00AA1C23" w:rsidRPr="007B3DCE">
        <w:rPr>
          <w:rStyle w:val="BodyTextChar"/>
        </w:rPr>
        <w:t>ing</w:t>
      </w:r>
      <w:r w:rsidR="00A4011B" w:rsidRPr="007B3DCE">
        <w:rPr>
          <w:rStyle w:val="BodyTextChar"/>
        </w:rPr>
        <w:t xml:space="preserve"> the up</w:t>
      </w:r>
      <w:r w:rsidR="00AA1C23" w:rsidRPr="007B3DCE">
        <w:rPr>
          <w:rStyle w:val="BodyTextChar"/>
        </w:rPr>
        <w:t xml:space="preserve">wards </w:t>
      </w:r>
      <w:r w:rsidR="00434B28" w:rsidRPr="007B3DCE">
        <w:rPr>
          <w:rStyle w:val="BodyTextChar"/>
        </w:rPr>
        <w:t>trend since 2016</w:t>
      </w:r>
      <w:r w:rsidR="00AA1C23" w:rsidRPr="007B3DCE">
        <w:rPr>
          <w:rStyle w:val="BodyTextChar"/>
        </w:rPr>
        <w:t>.</w:t>
      </w:r>
    </w:p>
    <w:p w14:paraId="61DEB3A8" w14:textId="32A141FB" w:rsidR="0048083D" w:rsidRPr="00837475" w:rsidRDefault="00A2081E" w:rsidP="00837475">
      <w:pPr>
        <w:pStyle w:val="FigureTableHeading"/>
        <w:rPr>
          <w:color w:val="002060"/>
        </w:rPr>
      </w:pPr>
      <w:r w:rsidRPr="00837475">
        <w:rPr>
          <w:color w:val="002060"/>
        </w:rPr>
        <w:lastRenderedPageBreak/>
        <w:t xml:space="preserve">Figure </w:t>
      </w:r>
      <w:r w:rsidR="00216F25" w:rsidRPr="00837475">
        <w:rPr>
          <w:color w:val="002060"/>
        </w:rPr>
        <w:t>2</w:t>
      </w:r>
      <w:r w:rsidR="00A17070" w:rsidRPr="00837475">
        <w:rPr>
          <w:color w:val="002060"/>
        </w:rPr>
        <w:t>.</w:t>
      </w:r>
      <w:r w:rsidR="0036545D" w:rsidRPr="00837475">
        <w:rPr>
          <w:color w:val="002060"/>
        </w:rPr>
        <w:t>16</w:t>
      </w:r>
      <w:r w:rsidR="00863CAA" w:rsidRPr="00837475">
        <w:rPr>
          <w:color w:val="002060"/>
        </w:rPr>
        <w:t xml:space="preserve"> </w:t>
      </w:r>
      <w:r w:rsidRPr="00837475">
        <w:rPr>
          <w:color w:val="002060"/>
        </w:rPr>
        <w:t xml:space="preserve">– Aboriginal and Torres Strait Islander early </w:t>
      </w:r>
      <w:r w:rsidR="1712B9ED" w:rsidRPr="00837475">
        <w:rPr>
          <w:color w:val="002060"/>
        </w:rPr>
        <w:t>chil</w:t>
      </w:r>
      <w:r w:rsidR="000171A5" w:rsidRPr="00837475">
        <w:rPr>
          <w:color w:val="002060"/>
        </w:rPr>
        <w:t>d</w:t>
      </w:r>
      <w:r w:rsidR="1712B9ED" w:rsidRPr="00837475">
        <w:rPr>
          <w:color w:val="002060"/>
        </w:rPr>
        <w:t>hood educat</w:t>
      </w:r>
      <w:r w:rsidR="000171A5" w:rsidRPr="00837475">
        <w:rPr>
          <w:color w:val="002060"/>
        </w:rPr>
        <w:t>i</w:t>
      </w:r>
      <w:r w:rsidR="1712B9ED" w:rsidRPr="00837475">
        <w:rPr>
          <w:color w:val="002060"/>
        </w:rPr>
        <w:t>on and care service providers</w:t>
      </w:r>
      <w:r w:rsidR="0048083D" w:rsidRPr="00837475">
        <w:rPr>
          <w:color w:val="002060"/>
          <w:vertAlign w:val="superscript"/>
        </w:rPr>
        <w:t>a</w:t>
      </w:r>
      <w:r w:rsidRPr="00837475">
        <w:rPr>
          <w:color w:val="002060"/>
        </w:rPr>
        <w:t xml:space="preserve"> </w:t>
      </w:r>
    </w:p>
    <w:p w14:paraId="15D7A68F" w14:textId="1CC10509" w:rsidR="001F2EA5" w:rsidRPr="00860445" w:rsidRDefault="5261A1A5" w:rsidP="00837475">
      <w:pPr>
        <w:pStyle w:val="FigureTableSubheading"/>
      </w:pPr>
      <w:r w:rsidRPr="000619F9">
        <w:rPr>
          <w:color w:val="265999"/>
        </w:rPr>
        <w:t>N</w:t>
      </w:r>
      <w:r w:rsidR="000C64E1" w:rsidRPr="000619F9">
        <w:rPr>
          <w:color w:val="265999"/>
        </w:rPr>
        <w:t>ational number</w:t>
      </w:r>
      <w:r w:rsidRPr="000619F9">
        <w:rPr>
          <w:color w:val="265999"/>
        </w:rPr>
        <w:t xml:space="preserve"> of Aboriginal and Torres Strait </w:t>
      </w:r>
      <w:r w:rsidR="27E654DC" w:rsidRPr="000619F9">
        <w:rPr>
          <w:color w:val="265999"/>
        </w:rPr>
        <w:t>Islander-focused integrated early years services from 2016 to 2023</w:t>
      </w:r>
      <w:r w:rsidR="00F4772A" w:rsidRPr="000619F9">
        <w:rPr>
          <w:color w:val="265999"/>
        </w:rPr>
        <w:t xml:space="preserve"> (3b)</w:t>
      </w:r>
      <w:r w:rsidR="00F874C9" w:rsidRPr="000619F9">
        <w:rPr>
          <w:color w:val="265999"/>
        </w:rPr>
        <w:t xml:space="preserve"> </w:t>
      </w:r>
      <w:r w:rsidR="001752AD" w:rsidRPr="0049647D">
        <w:rPr>
          <w:noProof/>
        </w:rPr>
        <w:drawing>
          <wp:inline distT="0" distB="0" distL="0" distR="0" wp14:anchorId="731671C9" wp14:editId="76C913EA">
            <wp:extent cx="6119821" cy="2432649"/>
            <wp:effectExtent l="0" t="0" r="0" b="0"/>
            <wp:docPr id="1711154086" name="Picture 200" descr="Figure 2.16 is a column chart that shows the national number of Aboriginal and Torres Strait Islander-focused integrated early years services from 2016 to 2023. The chart is divided into government and/or non-Indigenous controlled services and Aboriginal and Torres Strait Islander community-controlled services. The number of community-controlled services remains stable until 2022, after which there is a noticeable increase. Data for government and non-Indigenous controlled services is only available for 2022 and 2023, showing a smaller but significan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54086" name="Picture 200" descr="Figure 2.16 is a column chart that shows the national number of Aboriginal and Torres Strait Islander-focused integrated early years services from 2016 to 2023. The chart is divided into government and/or non-Indigenous controlled services and Aboriginal and Torres Strait Islander community-controlled services. The number of community-controlled services remains stable until 2022, after which there is a noticeable increase. Data for government and non-Indigenous controlled services is only available for 2022 and 2023, showing a smaller but significant numbe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 b="11069"/>
                    <a:stretch/>
                  </pic:blipFill>
                  <pic:spPr bwMode="auto">
                    <a:xfrm>
                      <a:off x="0" y="0"/>
                      <a:ext cx="6120130" cy="2432772"/>
                    </a:xfrm>
                    <a:prstGeom prst="rect">
                      <a:avLst/>
                    </a:prstGeom>
                    <a:noFill/>
                    <a:ln>
                      <a:noFill/>
                    </a:ln>
                    <a:extLst>
                      <a:ext uri="{53640926-AAD7-44D8-BBD7-CCE9431645EC}">
                        <a14:shadowObscured xmlns:a14="http://schemas.microsoft.com/office/drawing/2010/main"/>
                      </a:ext>
                    </a:extLst>
                  </pic:spPr>
                </pic:pic>
              </a:graphicData>
            </a:graphic>
          </wp:inline>
        </w:drawing>
      </w:r>
    </w:p>
    <w:p w14:paraId="10398AAE" w14:textId="63E6EA54" w:rsidR="002B743A" w:rsidRPr="006C6AB8" w:rsidRDefault="00A2081E" w:rsidP="0067607F">
      <w:pPr>
        <w:pStyle w:val="Note"/>
        <w:spacing w:before="0"/>
      </w:pPr>
      <w:r w:rsidRPr="006C6AB8">
        <w:rPr>
          <w:b/>
          <w:bCs/>
        </w:rPr>
        <w:t>a</w:t>
      </w:r>
      <w:r w:rsidR="00C92B42" w:rsidRPr="006C6AB8">
        <w:rPr>
          <w:b/>
          <w:bCs/>
        </w:rPr>
        <w:t>.</w:t>
      </w:r>
      <w:r w:rsidRPr="006C6AB8">
        <w:t xml:space="preserve"> </w:t>
      </w:r>
      <w:r w:rsidR="009A398D" w:rsidRPr="006C6AB8">
        <w:t>The d</w:t>
      </w:r>
      <w:r w:rsidRPr="006C6AB8">
        <w:t>ata for government and/or non-Indigenous controlled services is not available prior to 2022</w:t>
      </w:r>
    </w:p>
    <w:p w14:paraId="0CFD4ABF" w14:textId="306ACC87" w:rsidR="00AE0F5E" w:rsidRPr="002F4053" w:rsidRDefault="00613F25" w:rsidP="00E628A0">
      <w:pPr>
        <w:pStyle w:val="Source"/>
        <w:rPr>
          <w:rStyle w:val="cf01"/>
          <w:rFonts w:asciiTheme="minorHAnsi" w:hAnsiTheme="minorHAnsi" w:cstheme="minorBidi"/>
          <w:szCs w:val="20"/>
        </w:rPr>
      </w:pPr>
      <w:r w:rsidRPr="002F4053">
        <w:t>Source: SNAICC (unpublished) Register of Aboriginal and Torres Strait Islander-focused integrated early years services</w:t>
      </w:r>
    </w:p>
    <w:tbl>
      <w:tblPr>
        <w:tblStyle w:val="Boxtable"/>
        <w:tblpPr w:leftFromText="180" w:rightFromText="180" w:vertAnchor="text" w:horzAnchor="margin" w:tblpY="127"/>
        <w:tblW w:w="5000" w:type="pct"/>
        <w:tblLook w:val="04A0" w:firstRow="1" w:lastRow="0" w:firstColumn="1" w:lastColumn="0" w:noHBand="0" w:noVBand="1"/>
      </w:tblPr>
      <w:tblGrid>
        <w:gridCol w:w="9638"/>
      </w:tblGrid>
      <w:tr w:rsidR="00A952BD" w:rsidRPr="007B3DCE" w14:paraId="55C6D828" w14:textId="77777777" w:rsidTr="00B10E5A">
        <w:trPr>
          <w:trHeight w:val="476"/>
          <w:tblHeader/>
        </w:trPr>
        <w:tc>
          <w:tcPr>
            <w:tcW w:w="9638" w:type="dxa"/>
            <w:shd w:val="clear" w:color="auto" w:fill="102B44"/>
            <w:tcMar>
              <w:top w:w="170" w:type="dxa"/>
              <w:left w:w="170" w:type="dxa"/>
              <w:bottom w:w="113" w:type="dxa"/>
              <w:right w:w="170" w:type="dxa"/>
            </w:tcMar>
            <w:vAlign w:val="center"/>
            <w:hideMark/>
          </w:tcPr>
          <w:p w14:paraId="384F5042" w14:textId="77777777" w:rsidR="00A952BD" w:rsidRPr="007B3DCE" w:rsidRDefault="00A952BD" w:rsidP="00B10E5A">
            <w:pPr>
              <w:pStyle w:val="BoxHeading1"/>
              <w:spacing w:before="0"/>
              <w:rPr>
                <w:rFonts w:ascii="Arial Black" w:hAnsi="Arial Black"/>
                <w:color w:val="FFFFFF"/>
              </w:rPr>
            </w:pPr>
            <w:bookmarkStart w:id="41" w:name="_Toc167878554"/>
            <w:r w:rsidRPr="007B3DCE">
              <w:rPr>
                <w:color w:val="FFFFFF"/>
              </w:rPr>
              <w:t xml:space="preserve">Box 2.14 </w:t>
            </w:r>
            <w:r w:rsidRPr="007B3DCE">
              <w:rPr>
                <w:rFonts w:ascii="Arial Black" w:hAnsi="Arial Black"/>
                <w:color w:val="FFFFFF"/>
              </w:rPr>
              <w:t>– Embedding culture and community in early childhood education</w:t>
            </w:r>
          </w:p>
        </w:tc>
      </w:tr>
      <w:tr w:rsidR="00A952BD" w:rsidRPr="007B3DCE" w14:paraId="71C5863F" w14:textId="77777777" w:rsidTr="00B10E5A">
        <w:trPr>
          <w:trHeight w:val="3136"/>
        </w:trPr>
        <w:tc>
          <w:tcPr>
            <w:tcW w:w="9638" w:type="dxa"/>
            <w:shd w:val="clear" w:color="auto" w:fill="D2E4F4" w:themeFill="accent2" w:themeFillTint="33"/>
            <w:tcMar>
              <w:top w:w="28" w:type="dxa"/>
              <w:left w:w="170" w:type="dxa"/>
              <w:bottom w:w="170" w:type="dxa"/>
              <w:right w:w="170" w:type="dxa"/>
            </w:tcMar>
            <w:hideMark/>
          </w:tcPr>
          <w:p w14:paraId="485F4AC0" w14:textId="63A1AA96" w:rsidR="00A952BD" w:rsidRPr="007B3DCE" w:rsidRDefault="0052511B" w:rsidP="00B10E5A">
            <w:pPr>
              <w:pStyle w:val="BodyText"/>
            </w:pPr>
            <w:r>
              <w:t>Outcome 3</w:t>
            </w:r>
            <w:r w:rsidR="00A952BD" w:rsidRPr="007B3DCE">
              <w:t xml:space="preserve"> recognises the strengths of promoting Aboriginal and Torres Strait Islander connection to family, culture and identity in early childhood education. Opportunities to increase access, availability and affordability of high quality, culturally responsive education include:</w:t>
            </w:r>
          </w:p>
          <w:p w14:paraId="60561F16" w14:textId="1D0B5C51" w:rsidR="0098401C" w:rsidRPr="00974ADB" w:rsidRDefault="0034078E" w:rsidP="00974ADB">
            <w:pPr>
              <w:pStyle w:val="ListBullet"/>
              <w:numPr>
                <w:ilvl w:val="0"/>
                <w:numId w:val="17"/>
              </w:numPr>
              <w:ind w:left="227" w:hanging="227"/>
            </w:pPr>
            <w:r w:rsidRPr="00974ADB">
              <w:t>e</w:t>
            </w:r>
            <w:r w:rsidR="0098401C" w:rsidRPr="00974ADB">
              <w:t xml:space="preserve">mbedding Aboriginal and Torres Strait Islander cultures and identity into all education services through connecting with community, Elders and nature, sharing knowledges, incorporating traditional child-rearing methods and preserving language skills </w:t>
            </w:r>
          </w:p>
          <w:p w14:paraId="0880D8E3" w14:textId="6604FF01" w:rsidR="00A952BD" w:rsidRPr="00974ADB" w:rsidRDefault="008D2F8E" w:rsidP="00974ADB">
            <w:pPr>
              <w:pStyle w:val="ListBullet"/>
              <w:numPr>
                <w:ilvl w:val="0"/>
                <w:numId w:val="17"/>
              </w:numPr>
              <w:ind w:left="227" w:hanging="227"/>
            </w:pPr>
            <w:r w:rsidRPr="00974ADB">
              <w:t>p</w:t>
            </w:r>
            <w:r w:rsidR="0098401C" w:rsidRPr="00974ADB">
              <w:t>rioritising investment in Aboriginal and Torres Strait Islander community-controlled organisations and support for the Aboriginal and Torres Strait Islander workforce to use their knowledges and expertise to deliver nurturing and culturally safe environments and education services</w:t>
            </w:r>
            <w:r w:rsidRPr="00974ADB">
              <w:t>.</w:t>
            </w:r>
            <w:r w:rsidR="0098401C" w:rsidRPr="00974ADB">
              <w:t xml:space="preserve"> </w:t>
            </w:r>
          </w:p>
          <w:p w14:paraId="0A40C4AB" w14:textId="2C49D560" w:rsidR="00A952BD" w:rsidRPr="00D2714A" w:rsidRDefault="00E80C45" w:rsidP="00527DC8">
            <w:pPr>
              <w:pStyle w:val="Source"/>
              <w:rPr>
                <w:spacing w:val="2"/>
                <w:szCs w:val="18"/>
              </w:rPr>
            </w:pPr>
            <w:r w:rsidRPr="00D2714A">
              <w:rPr>
                <w:spacing w:val="2"/>
              </w:rPr>
              <w:t xml:space="preserve">Source: </w:t>
            </w:r>
            <w:r w:rsidR="001312A8" w:rsidRPr="00D2714A">
              <w:rPr>
                <w:spacing w:val="2"/>
                <w:szCs w:val="18"/>
              </w:rPr>
              <w:t xml:space="preserve">PC </w:t>
            </w:r>
            <w:r w:rsidR="001312A8" w:rsidRPr="00D2714A">
              <w:rPr>
                <w:rFonts w:ascii="Arial (Body)" w:hAnsi="Arial (Body)" w:cs="Arial"/>
                <w:spacing w:val="2"/>
                <w:szCs w:val="18"/>
              </w:rPr>
              <w:t>(2022b)</w:t>
            </w:r>
            <w:r w:rsidR="001312A8" w:rsidRPr="00D2714A">
              <w:rPr>
                <w:spacing w:val="2"/>
                <w:szCs w:val="18"/>
              </w:rPr>
              <w:t xml:space="preserve">; SNAICC </w:t>
            </w:r>
            <w:r w:rsidR="00E95E79" w:rsidRPr="00D2714A">
              <w:rPr>
                <w:rFonts w:ascii="Arial (Body)" w:hAnsi="Arial (Body)" w:cs="Arial"/>
                <w:spacing w:val="2"/>
              </w:rPr>
              <w:t>(2023)</w:t>
            </w:r>
            <w:r w:rsidR="001312A8" w:rsidRPr="00D2714A">
              <w:rPr>
                <w:spacing w:val="2"/>
                <w:szCs w:val="18"/>
              </w:rPr>
              <w:t xml:space="preserve">; SNAICC et al. </w:t>
            </w:r>
            <w:r w:rsidR="00E95E79" w:rsidRPr="00D2714A">
              <w:rPr>
                <w:rFonts w:ascii="Arial (Body)" w:hAnsi="Arial (Body)" w:cs="Arial"/>
                <w:spacing w:val="2"/>
              </w:rPr>
              <w:t>(2023)</w:t>
            </w:r>
            <w:r w:rsidR="001312A8" w:rsidRPr="00D2714A">
              <w:rPr>
                <w:spacing w:val="2"/>
                <w:szCs w:val="18"/>
              </w:rPr>
              <w:t xml:space="preserve">; SNAICC and Mason-White </w:t>
            </w:r>
            <w:r w:rsidR="00033967" w:rsidRPr="00D2714A">
              <w:rPr>
                <w:rFonts w:ascii="Arial (Body)" w:hAnsi="Arial (Body)" w:cs="Arial"/>
                <w:spacing w:val="2"/>
                <w:szCs w:val="18"/>
              </w:rPr>
              <w:t>(2012)</w:t>
            </w:r>
            <w:r w:rsidR="001312A8" w:rsidRPr="00D2714A">
              <w:rPr>
                <w:spacing w:val="2"/>
                <w:szCs w:val="18"/>
              </w:rPr>
              <w:t xml:space="preserve">; VACCA </w:t>
            </w:r>
            <w:r w:rsidR="00C77FF6" w:rsidRPr="00D2714A">
              <w:rPr>
                <w:rFonts w:ascii="Arial (Body)" w:hAnsi="Arial (Body)" w:cs="Arial"/>
                <w:spacing w:val="2"/>
                <w:szCs w:val="18"/>
              </w:rPr>
              <w:t>(2023)</w:t>
            </w:r>
            <w:r w:rsidR="001312A8" w:rsidRPr="00D2714A">
              <w:rPr>
                <w:spacing w:val="2"/>
                <w:szCs w:val="18"/>
              </w:rPr>
              <w:t xml:space="preserve">; VAEAI </w:t>
            </w:r>
            <w:r w:rsidR="00C77FF6" w:rsidRPr="00D2714A">
              <w:rPr>
                <w:rFonts w:ascii="Arial (Body)" w:hAnsi="Arial (Body)" w:cs="Arial"/>
                <w:spacing w:val="2"/>
                <w:szCs w:val="18"/>
              </w:rPr>
              <w:t>(2020)</w:t>
            </w:r>
            <w:r w:rsidR="001312A8" w:rsidRPr="00D2714A">
              <w:rPr>
                <w:spacing w:val="2"/>
                <w:szCs w:val="18"/>
              </w:rPr>
              <w:t xml:space="preserve">. </w:t>
            </w:r>
          </w:p>
        </w:tc>
      </w:tr>
    </w:tbl>
    <w:p w14:paraId="34C25D1A" w14:textId="77777777" w:rsidR="00B45E8E" w:rsidRDefault="00B45E8E">
      <w:pPr>
        <w:spacing w:before="0" w:after="160" w:line="259" w:lineRule="auto"/>
        <w:rPr>
          <w:rFonts w:asciiTheme="majorHAnsi" w:eastAsiaTheme="majorEastAsia" w:hAnsiTheme="majorHAnsi" w:cstheme="majorBidi"/>
          <w:color w:val="102B44"/>
          <w:sz w:val="26"/>
          <w:szCs w:val="37"/>
          <w:lang w:eastAsia="en-AU"/>
        </w:rPr>
      </w:pPr>
      <w:r>
        <w:rPr>
          <w:color w:val="102B44"/>
          <w:lang w:eastAsia="en-AU"/>
        </w:rPr>
        <w:br w:type="page"/>
      </w:r>
    </w:p>
    <w:p w14:paraId="6DF8FB26" w14:textId="382EB3FA" w:rsidR="002B743A" w:rsidRPr="007B3DCE" w:rsidRDefault="002B743A" w:rsidP="008F281B">
      <w:pPr>
        <w:pStyle w:val="Heading3"/>
        <w:rPr>
          <w:color w:val="102B44"/>
          <w:lang w:eastAsia="en-AU"/>
        </w:rPr>
      </w:pPr>
      <w:r w:rsidRPr="007B3DCE">
        <w:rPr>
          <w:color w:val="102B44"/>
          <w:lang w:eastAsia="en-AU"/>
        </w:rPr>
        <w:lastRenderedPageBreak/>
        <w:t>Outcome 5</w:t>
      </w:r>
      <w:r w:rsidR="00700FED" w:rsidRPr="007B3DCE">
        <w:rPr>
          <w:color w:val="102B44"/>
          <w:lang w:eastAsia="en-AU"/>
        </w:rPr>
        <w:t>:</w:t>
      </w:r>
      <w:r w:rsidRPr="007B3DCE">
        <w:rPr>
          <w:color w:val="102B44"/>
          <w:lang w:eastAsia="en-AU"/>
        </w:rPr>
        <w:t xml:space="preserve"> Aboriginal and Torres Strait Islander students achieve their full learning potential</w:t>
      </w:r>
      <w:bookmarkEnd w:id="41"/>
    </w:p>
    <w:p w14:paraId="5C848D75" w14:textId="28200E99" w:rsidR="002B743A" w:rsidRPr="007B3DCE" w:rsidRDefault="002B743A" w:rsidP="008F281B">
      <w:pPr>
        <w:pStyle w:val="Heading4"/>
        <w:rPr>
          <w:color w:val="215B8E" w:themeColor="accent2" w:themeShade="BF"/>
          <w:lang w:eastAsia="en-AU"/>
        </w:rPr>
      </w:pPr>
      <w:r w:rsidRPr="007B3DCE">
        <w:rPr>
          <w:color w:val="215B8E" w:themeColor="accent2" w:themeShade="BF"/>
          <w:lang w:eastAsia="en-AU"/>
        </w:rPr>
        <w:t>The proportion of Aboriginal and Torres Strait Islander people attaining Year 12 or equivalent is increasing, but the target is not on track to be met</w:t>
      </w:r>
      <w:r w:rsidR="0096231D">
        <w:rPr>
          <w:color w:val="215B8E" w:themeColor="accent2" w:themeShade="BF"/>
          <w:lang w:eastAsia="en-AU"/>
        </w:rPr>
        <w:t xml:space="preserve"> by 2031</w:t>
      </w:r>
    </w:p>
    <w:p w14:paraId="00D68580" w14:textId="239352CC" w:rsidR="00C96637" w:rsidRPr="000E3547" w:rsidRDefault="00581544" w:rsidP="00FD5F9F">
      <w:pPr>
        <w:rPr>
          <w:spacing w:val="-2"/>
        </w:rPr>
      </w:pPr>
      <w:r w:rsidRPr="000E3547">
        <w:rPr>
          <w:rStyle w:val="BodyTextChar"/>
          <w:spacing w:val="-2"/>
        </w:rPr>
        <w:t xml:space="preserve">The latest data (2021) indicates that the target </w:t>
      </w:r>
      <w:r w:rsidR="00EC5977" w:rsidRPr="000E3547">
        <w:rPr>
          <w:rStyle w:val="BodyTextChar"/>
          <w:spacing w:val="-2"/>
        </w:rPr>
        <w:t>of 9</w:t>
      </w:r>
      <w:r w:rsidR="00862959" w:rsidRPr="000E3547">
        <w:rPr>
          <w:rStyle w:val="BodyTextChar"/>
          <w:spacing w:val="-2"/>
        </w:rPr>
        <w:t>5</w:t>
      </w:r>
      <w:r w:rsidR="00EC5977" w:rsidRPr="000E3547">
        <w:rPr>
          <w:rStyle w:val="BodyTextChar"/>
          <w:spacing w:val="-2"/>
        </w:rPr>
        <w:t xml:space="preserve">% </w:t>
      </w:r>
      <w:r w:rsidR="003C61C8" w:rsidRPr="000E3547">
        <w:rPr>
          <w:rStyle w:val="BodyTextChar"/>
          <w:spacing w:val="-2"/>
        </w:rPr>
        <w:t>Year 12 attainment</w:t>
      </w:r>
      <w:r w:rsidRPr="000E3547">
        <w:rPr>
          <w:rStyle w:val="BodyTextChar"/>
          <w:spacing w:val="-2"/>
        </w:rPr>
        <w:t xml:space="preserve"> </w:t>
      </w:r>
      <w:r w:rsidR="00EC5977" w:rsidRPr="000E3547">
        <w:rPr>
          <w:rStyle w:val="BodyTextChar"/>
          <w:spacing w:val="-2"/>
        </w:rPr>
        <w:t xml:space="preserve">by 2031 </w:t>
      </w:r>
      <w:r w:rsidRPr="000E3547">
        <w:rPr>
          <w:rStyle w:val="BodyTextChar"/>
          <w:spacing w:val="-2"/>
        </w:rPr>
        <w:t xml:space="preserve">is not on track to be met. </w:t>
      </w:r>
      <w:r w:rsidR="00CA796A" w:rsidRPr="000E3547">
        <w:rPr>
          <w:rStyle w:val="BodyTextChar"/>
          <w:spacing w:val="-2"/>
        </w:rPr>
        <w:t>At a national level, i</w:t>
      </w:r>
      <w:r w:rsidR="00E1493B" w:rsidRPr="000E3547">
        <w:rPr>
          <w:rStyle w:val="BodyTextChar"/>
          <w:spacing w:val="-2"/>
        </w:rPr>
        <w:t>n 2021, 68.1% of Aboriginal and Torres Strait Islander people aged 20–24 years had attained Year 12 or equivalent qualification</w:t>
      </w:r>
      <w:r w:rsidR="00DB4B27" w:rsidRPr="000E3547">
        <w:rPr>
          <w:rStyle w:val="BodyTextChar"/>
          <w:spacing w:val="-2"/>
        </w:rPr>
        <w:t xml:space="preserve">. </w:t>
      </w:r>
      <w:r w:rsidRPr="000E3547">
        <w:rPr>
          <w:rStyle w:val="BodyTextChar"/>
          <w:spacing w:val="-2"/>
        </w:rPr>
        <w:t xml:space="preserve">There </w:t>
      </w:r>
      <w:r w:rsidR="00AE5075" w:rsidRPr="000E3547">
        <w:rPr>
          <w:rStyle w:val="BodyTextChar"/>
          <w:spacing w:val="-2"/>
        </w:rPr>
        <w:t>is</w:t>
      </w:r>
      <w:r w:rsidRPr="000E3547">
        <w:rPr>
          <w:rStyle w:val="BodyTextChar"/>
          <w:spacing w:val="-2"/>
        </w:rPr>
        <w:t xml:space="preserve"> no new data available to report progress for this target in 2024</w:t>
      </w:r>
      <w:r w:rsidRPr="000E3547">
        <w:rPr>
          <w:spacing w:val="-2"/>
        </w:rPr>
        <w:t>.</w:t>
      </w:r>
      <w:r w:rsidR="002A1BE6" w:rsidRPr="000E3547">
        <w:rPr>
          <w:rStyle w:val="FootnoteReference"/>
          <w:spacing w:val="-2"/>
        </w:rPr>
        <w:footnoteReference w:id="15"/>
      </w:r>
      <w:r w:rsidRPr="000E3547">
        <w:rPr>
          <w:spacing w:val="-2"/>
        </w:rPr>
        <w:t xml:space="preserve"> </w:t>
      </w:r>
      <w:r w:rsidR="00C96637" w:rsidRPr="000E3547">
        <w:rPr>
          <w:vanish/>
          <w:color w:val="FF00FF"/>
          <w:spacing w:val="-2"/>
        </w:rPr>
        <w:t>[</w:t>
      </w:r>
      <w:r w:rsidR="00C96637" w:rsidRPr="000E3547">
        <w:rPr>
          <w:smallCaps/>
          <w:vanish/>
          <w:color w:val="FF00FF"/>
          <w:spacing w:val="-2"/>
        </w:rPr>
        <w:t>Used for spacing, do not delete</w:t>
      </w:r>
      <w:r w:rsidR="00C96637" w:rsidRPr="000E3547">
        <w:rPr>
          <w:vanish/>
          <w:color w:val="FF00FF"/>
          <w:spacing w:val="-2"/>
        </w:rPr>
        <w:t xml:space="preserve"> | Style: No Spacing]</w:t>
      </w:r>
    </w:p>
    <w:p w14:paraId="3BA06A46" w14:textId="2A30F315" w:rsidR="002B743A" w:rsidRPr="007B3DCE" w:rsidRDefault="002B743A" w:rsidP="00AD73A2">
      <w:pPr>
        <w:pStyle w:val="Heading5"/>
        <w:spacing w:before="240"/>
        <w:rPr>
          <w:rFonts w:cstheme="minorBidi"/>
          <w:color w:val="102B44"/>
        </w:rPr>
      </w:pPr>
      <w:r w:rsidRPr="007B3DCE">
        <w:rPr>
          <w:color w:val="102B44"/>
        </w:rPr>
        <w:t>N</w:t>
      </w:r>
      <w:r w:rsidRPr="007B3DCE">
        <w:rPr>
          <w:rStyle w:val="Heading4Char"/>
          <w:rFonts w:asciiTheme="minorHAnsi" w:hAnsiTheme="minorHAnsi"/>
          <w:color w:val="102B44"/>
          <w:szCs w:val="29"/>
        </w:rPr>
        <w:t xml:space="preserve">ew </w:t>
      </w:r>
      <w:r w:rsidR="00CE1A39">
        <w:rPr>
          <w:rStyle w:val="Heading4Char"/>
          <w:rFonts w:asciiTheme="minorHAnsi" w:hAnsiTheme="minorHAnsi"/>
          <w:color w:val="102B44"/>
          <w:szCs w:val="29"/>
        </w:rPr>
        <w:t xml:space="preserve">NAPLAN </w:t>
      </w:r>
      <w:r w:rsidRPr="007B3DCE">
        <w:rPr>
          <w:rStyle w:val="Heading4Char"/>
          <w:rFonts w:asciiTheme="minorHAnsi" w:hAnsiTheme="minorHAnsi"/>
          <w:color w:val="102B44"/>
          <w:szCs w:val="29"/>
        </w:rPr>
        <w:t>data is available</w:t>
      </w:r>
    </w:p>
    <w:p w14:paraId="6B6B3045" w14:textId="722FB270" w:rsidR="00C96637" w:rsidRPr="007B3DCE" w:rsidRDefault="003D5B8E" w:rsidP="00985AA5">
      <w:pPr>
        <w:pStyle w:val="BodyText"/>
      </w:pPr>
      <w:r>
        <w:t>New</w:t>
      </w:r>
      <w:r w:rsidR="006D54FA" w:rsidRPr="007B3DCE">
        <w:t xml:space="preserve"> NAPLAN </w:t>
      </w:r>
      <w:r w:rsidR="00862959">
        <w:t xml:space="preserve">data </w:t>
      </w:r>
      <w:r w:rsidR="00490F49" w:rsidRPr="007B3DCE">
        <w:t xml:space="preserve">– </w:t>
      </w:r>
      <w:r w:rsidR="006D54FA" w:rsidRPr="007B3DCE">
        <w:t>Indicator 5c</w:t>
      </w:r>
      <w:r w:rsidR="00490F49" w:rsidRPr="007B3DCE">
        <w:t xml:space="preserve"> –</w:t>
      </w:r>
      <w:r w:rsidR="006D54FA" w:rsidRPr="007B3DCE">
        <w:t xml:space="preserve"> </w:t>
      </w:r>
      <w:r w:rsidR="00B274EA">
        <w:t xml:space="preserve">is available </w:t>
      </w:r>
      <w:r w:rsidR="00B274EA" w:rsidRPr="001411C4">
        <w:t>(box 2.15</w:t>
      </w:r>
      <w:r w:rsidR="00983B70" w:rsidRPr="001411C4">
        <w:t xml:space="preserve"> </w:t>
      </w:r>
      <w:r w:rsidR="00BD1F52">
        <w:t>outlines</w:t>
      </w:r>
      <w:r w:rsidR="00BD1F52" w:rsidRPr="001411C4">
        <w:t xml:space="preserve"> </w:t>
      </w:r>
      <w:r w:rsidR="00983B70" w:rsidRPr="001411C4">
        <w:t>data considerations</w:t>
      </w:r>
      <w:r w:rsidR="00B274EA" w:rsidRPr="001411C4">
        <w:t>).</w:t>
      </w:r>
      <w:r w:rsidR="00B274EA">
        <w:t xml:space="preserve"> It </w:t>
      </w:r>
      <w:r w:rsidR="006D54FA" w:rsidRPr="007B3DCE">
        <w:t>shows that</w:t>
      </w:r>
      <w:r w:rsidR="21F07468" w:rsidRPr="007B3DCE">
        <w:t>, in 2023,</w:t>
      </w:r>
      <w:r w:rsidR="006D54FA" w:rsidRPr="007B3DCE">
        <w:t xml:space="preserve"> </w:t>
      </w:r>
      <w:r w:rsidR="704E8F9F" w:rsidRPr="007B3DCE">
        <w:t>most</w:t>
      </w:r>
      <w:r w:rsidR="006D54FA" w:rsidRPr="007B3DCE">
        <w:t xml:space="preserve"> Aboriginal and Torres Strait Islander students across reading, writing and numeracy </w:t>
      </w:r>
      <w:r w:rsidR="00583922" w:rsidRPr="007B3DCE">
        <w:t>were</w:t>
      </w:r>
      <w:r w:rsidR="006D54FA" w:rsidRPr="007B3DCE">
        <w:t xml:space="preserve"> assessed as having developing, strong or exceeding proficiency</w:t>
      </w:r>
      <w:r w:rsidR="00795A8C" w:rsidRPr="007B3DCE">
        <w:t xml:space="preserve"> </w:t>
      </w:r>
      <w:r w:rsidR="004C1109">
        <w:t xml:space="preserve">levels </w:t>
      </w:r>
      <w:r w:rsidR="009A4E01" w:rsidRPr="007B3DCE">
        <w:t>(figure 2.1</w:t>
      </w:r>
      <w:r w:rsidR="00463272" w:rsidRPr="007B3DCE">
        <w:t>7</w:t>
      </w:r>
      <w:r w:rsidR="009A4E01" w:rsidRPr="007B3DCE">
        <w:t>).</w:t>
      </w:r>
    </w:p>
    <w:tbl>
      <w:tblPr>
        <w:tblStyle w:val="Boxtable"/>
        <w:tblpPr w:leftFromText="180" w:rightFromText="180" w:vertAnchor="text" w:tblpY="94"/>
        <w:tblW w:w="5000" w:type="pct"/>
        <w:tblLook w:val="04A0" w:firstRow="1" w:lastRow="0" w:firstColumn="1" w:lastColumn="0" w:noHBand="0" w:noVBand="1"/>
      </w:tblPr>
      <w:tblGrid>
        <w:gridCol w:w="9638"/>
      </w:tblGrid>
      <w:tr w:rsidR="003B29E6" w:rsidRPr="007B3DCE" w14:paraId="14C3B34D" w14:textId="77777777" w:rsidTr="00B10E5A">
        <w:trPr>
          <w:trHeight w:val="476"/>
          <w:tblHeader/>
        </w:trPr>
        <w:tc>
          <w:tcPr>
            <w:tcW w:w="9638" w:type="dxa"/>
            <w:shd w:val="clear" w:color="auto" w:fill="102B44"/>
            <w:tcMar>
              <w:top w:w="170" w:type="dxa"/>
              <w:left w:w="170" w:type="dxa"/>
              <w:bottom w:w="113" w:type="dxa"/>
              <w:right w:w="170" w:type="dxa"/>
            </w:tcMar>
            <w:vAlign w:val="center"/>
            <w:hideMark/>
          </w:tcPr>
          <w:p w14:paraId="0FC1B183" w14:textId="6A7A2198" w:rsidR="003B29E6" w:rsidRPr="007B3DCE" w:rsidRDefault="003B29E6" w:rsidP="00B10E5A">
            <w:pPr>
              <w:pStyle w:val="BoxHeading1"/>
              <w:spacing w:before="0"/>
            </w:pPr>
            <w:r w:rsidRPr="007B3DCE">
              <w:rPr>
                <w:color w:val="FFFFFF"/>
              </w:rPr>
              <w:t xml:space="preserve">Box 2.15 – </w:t>
            </w:r>
            <w:r w:rsidR="008874DF">
              <w:rPr>
                <w:color w:val="FFFFFF"/>
              </w:rPr>
              <w:t>Data considerations</w:t>
            </w:r>
            <w:r w:rsidR="00004A36">
              <w:rPr>
                <w:color w:val="FFFFFF"/>
              </w:rPr>
              <w:t xml:space="preserve">: </w:t>
            </w:r>
            <w:r w:rsidRPr="007B3DCE">
              <w:rPr>
                <w:color w:val="FFFFFF"/>
              </w:rPr>
              <w:t xml:space="preserve">A new </w:t>
            </w:r>
            <w:r w:rsidR="00CC40C1" w:rsidRPr="007B3DCE">
              <w:rPr>
                <w:color w:val="FFFFFF"/>
              </w:rPr>
              <w:t xml:space="preserve">NAPLAN </w:t>
            </w:r>
            <w:r w:rsidRPr="007B3DCE">
              <w:rPr>
                <w:color w:val="FFFFFF"/>
              </w:rPr>
              <w:t>time</w:t>
            </w:r>
            <w:r w:rsidR="00004A36">
              <w:rPr>
                <w:color w:val="FFFFFF"/>
              </w:rPr>
              <w:t xml:space="preserve"> </w:t>
            </w:r>
            <w:r w:rsidRPr="007B3DCE">
              <w:rPr>
                <w:color w:val="FFFFFF"/>
              </w:rPr>
              <w:t xml:space="preserve">series has begun </w:t>
            </w:r>
          </w:p>
        </w:tc>
      </w:tr>
      <w:tr w:rsidR="003B29E6" w:rsidRPr="007B3DCE" w14:paraId="7A182F4C" w14:textId="77777777" w:rsidTr="00B10E5A">
        <w:tc>
          <w:tcPr>
            <w:tcW w:w="9638" w:type="dxa"/>
            <w:shd w:val="clear" w:color="auto" w:fill="D2E4F4" w:themeFill="accent2" w:themeFillTint="33"/>
            <w:tcMar>
              <w:top w:w="28" w:type="dxa"/>
              <w:left w:w="170" w:type="dxa"/>
              <w:bottom w:w="170" w:type="dxa"/>
              <w:right w:w="170" w:type="dxa"/>
            </w:tcMar>
            <w:hideMark/>
          </w:tcPr>
          <w:p w14:paraId="32C25A1B" w14:textId="0B63699C" w:rsidR="003B29E6" w:rsidRPr="007B3DCE" w:rsidRDefault="003B29E6" w:rsidP="00B10E5A">
            <w:pPr>
              <w:pStyle w:val="BodyText"/>
            </w:pPr>
            <w:r w:rsidRPr="007B3DCE">
              <w:t>A new NAPLAN time series began</w:t>
            </w:r>
            <w:r w:rsidRPr="007B3DCE" w:rsidDel="00516701">
              <w:t xml:space="preserve"> </w:t>
            </w:r>
            <w:r w:rsidRPr="007B3DCE">
              <w:t>in 2023.</w:t>
            </w:r>
            <w:r w:rsidR="00895EA8">
              <w:t xml:space="preserve"> </w:t>
            </w:r>
            <w:r w:rsidR="00F67CAE">
              <w:t>The r</w:t>
            </w:r>
            <w:r w:rsidR="00895EA8" w:rsidRPr="007B3DCE">
              <w:t>esults from</w:t>
            </w:r>
            <w:r w:rsidR="00677237">
              <w:t xml:space="preserve"> th</w:t>
            </w:r>
            <w:r w:rsidR="00415E9D">
              <w:t>is</w:t>
            </w:r>
            <w:r w:rsidR="00677237">
              <w:t xml:space="preserve"> new time series </w:t>
            </w:r>
            <w:r w:rsidR="00895EA8" w:rsidRPr="007B3DCE">
              <w:t>cannot be directly compared to results from 2008 to 2022.</w:t>
            </w:r>
          </w:p>
          <w:p w14:paraId="2161F473" w14:textId="6B566244" w:rsidR="003B29E6" w:rsidRPr="007B3DCE" w:rsidRDefault="003B29E6" w:rsidP="00B10E5A">
            <w:pPr>
              <w:pStyle w:val="BodyText"/>
            </w:pPr>
            <w:r w:rsidRPr="007B3DCE">
              <w:t xml:space="preserve">The </w:t>
            </w:r>
            <w:r w:rsidR="000A3539">
              <w:t>NAPLAN</w:t>
            </w:r>
            <w:r w:rsidRPr="007B3DCE">
              <w:t xml:space="preserve"> proficiency </w:t>
            </w:r>
            <w:r w:rsidR="00983B70">
              <w:t>levels</w:t>
            </w:r>
            <w:r w:rsidRPr="007B3DCE">
              <w:t xml:space="preserve"> are </w:t>
            </w:r>
            <w:r w:rsidR="00152729">
              <w:t>expectations of students</w:t>
            </w:r>
            <w:r w:rsidR="00084CD2">
              <w:t xml:space="preserve">’ </w:t>
            </w:r>
            <w:r w:rsidR="00226516">
              <w:t>knowledge</w:t>
            </w:r>
            <w:r w:rsidR="00B63E58">
              <w:t>,</w:t>
            </w:r>
            <w:r w:rsidR="00152729">
              <w:t xml:space="preserve"> </w:t>
            </w:r>
            <w:r w:rsidR="006D4E53">
              <w:t>with</w:t>
            </w:r>
            <w:r w:rsidR="00152729">
              <w:t xml:space="preserve"> each level represent</w:t>
            </w:r>
            <w:r w:rsidR="006D4E53">
              <w:t>ing</w:t>
            </w:r>
            <w:r w:rsidR="00152729">
              <w:t xml:space="preserve"> increasingly challenging skills and understandings.</w:t>
            </w:r>
            <w:r w:rsidR="00981204">
              <w:t xml:space="preserve"> </w:t>
            </w:r>
            <w:r w:rsidRPr="007B3DCE">
              <w:t>The four proficiency</w:t>
            </w:r>
            <w:r w:rsidRPr="007B3DCE" w:rsidDel="000A3539">
              <w:t xml:space="preserve"> </w:t>
            </w:r>
            <w:r w:rsidR="000A3539">
              <w:t>levels</w:t>
            </w:r>
            <w:r w:rsidRPr="007B3DCE">
              <w:t xml:space="preserve"> are exceeding, strong, developing and needs additional support. The needs additional support proficiency level is intended to identify students who are at risk of not progressing satisfactorily at school. Students with results in other levels may also need support in particular areas. Those in the</w:t>
            </w:r>
            <w:r w:rsidR="00026251">
              <w:t xml:space="preserve"> </w:t>
            </w:r>
            <w:r w:rsidRPr="007B3DCE">
              <w:t>developing level are likely to need more support than those in the exceeding and strong levels.</w:t>
            </w:r>
          </w:p>
          <w:p w14:paraId="1A5990F9" w14:textId="37862FD5" w:rsidR="00C5193D" w:rsidRDefault="003B29E6" w:rsidP="00B10E5A">
            <w:pPr>
              <w:pStyle w:val="BodyText"/>
            </w:pPr>
            <w:r w:rsidRPr="007B3DCE">
              <w:t xml:space="preserve">Students who were exempt from the NAPLAN proficiency ratings were not assessed but are considered as participating in NAPLAN by the Australian Curriculum Assessment and Reporting Authority (ACARA). Absent and withdrawn students are considered </w:t>
            </w:r>
            <w:r w:rsidR="001E0F88">
              <w:t>non-</w:t>
            </w:r>
            <w:r w:rsidRPr="007B3DCE">
              <w:t xml:space="preserve">participating. To calculate the proficiency level data in national reports, ACARA replaces the missing values for non-participating students with plausible values (based on the results of similar participating students – a process known as imputation). </w:t>
            </w:r>
          </w:p>
          <w:p w14:paraId="45EB974D" w14:textId="316FFA8A" w:rsidR="003B29E6" w:rsidRPr="007B3DCE" w:rsidRDefault="003B29E6" w:rsidP="00B10E5A">
            <w:pPr>
              <w:pStyle w:val="BodyText"/>
            </w:pPr>
            <w:r w:rsidRPr="007B3DCE">
              <w:t>The proportion of participating students varies across jurisdictions. Student participation in NAPLAN testing in reading, writing and numeracy for years 3, 5, 7 and 9, by Indigenous status, is presented in table SE5c.4 on the dashboard.</w:t>
            </w:r>
          </w:p>
        </w:tc>
      </w:tr>
      <w:tr w:rsidR="003B29E6" w:rsidRPr="007B3DCE" w14:paraId="5B7DCEE5" w14:textId="77777777" w:rsidTr="00B10E5A">
        <w:trPr>
          <w:hidden/>
        </w:trPr>
        <w:tc>
          <w:tcPr>
            <w:tcW w:w="9638" w:type="dxa"/>
            <w:shd w:val="clear" w:color="auto" w:fill="auto"/>
            <w:tcMar>
              <w:top w:w="0" w:type="dxa"/>
              <w:left w:w="170" w:type="dxa"/>
              <w:bottom w:w="0" w:type="dxa"/>
              <w:right w:w="170" w:type="dxa"/>
            </w:tcMar>
          </w:tcPr>
          <w:p w14:paraId="0CDB7E02" w14:textId="77777777" w:rsidR="003B29E6" w:rsidRPr="007B3DCE" w:rsidRDefault="003B29E6" w:rsidP="00B10E5A">
            <w:pPr>
              <w:pStyle w:val="BodyText"/>
              <w:spacing w:before="0" w:after="0" w:line="80" w:lineRule="atLeast"/>
              <w:rPr>
                <w:smallCaps/>
                <w:vanish/>
              </w:rPr>
            </w:pPr>
            <w:r w:rsidRPr="007B3DCE">
              <w:rPr>
                <w:smallCaps/>
                <w:vanish/>
                <w:color w:val="FF00FF"/>
              </w:rPr>
              <w:t>Used for spacing, do not delete</w:t>
            </w:r>
          </w:p>
        </w:tc>
      </w:tr>
    </w:tbl>
    <w:p w14:paraId="7763402A" w14:textId="48BA34A9" w:rsidR="1ECCD20B" w:rsidRPr="007B3DCE" w:rsidRDefault="1938A196" w:rsidP="0D8F3195">
      <w:pPr>
        <w:pStyle w:val="FigureTableHeading"/>
        <w:rPr>
          <w:color w:val="102B44"/>
        </w:rPr>
      </w:pPr>
      <w:r w:rsidRPr="007B3DCE">
        <w:rPr>
          <w:color w:val="102B44"/>
        </w:rPr>
        <w:lastRenderedPageBreak/>
        <w:t xml:space="preserve">Figure </w:t>
      </w:r>
      <w:r w:rsidR="00216F25" w:rsidRPr="007B3DCE">
        <w:rPr>
          <w:color w:val="102B44"/>
        </w:rPr>
        <w:t>2</w:t>
      </w:r>
      <w:r w:rsidR="0055577F" w:rsidRPr="007B3DCE">
        <w:rPr>
          <w:color w:val="102B44"/>
        </w:rPr>
        <w:t>.</w:t>
      </w:r>
      <w:r w:rsidR="0036545D" w:rsidRPr="007B3DCE">
        <w:rPr>
          <w:color w:val="102B44"/>
        </w:rPr>
        <w:t>17</w:t>
      </w:r>
      <w:r w:rsidRPr="007B3DCE">
        <w:rPr>
          <w:color w:val="102B44"/>
        </w:rPr>
        <w:t xml:space="preserve"> – </w:t>
      </w:r>
      <w:r w:rsidR="4B67C645" w:rsidRPr="00E91AFF">
        <w:rPr>
          <w:color w:val="102B44"/>
        </w:rPr>
        <w:t xml:space="preserve">National student proficiency </w:t>
      </w:r>
      <w:r w:rsidR="13880E93" w:rsidRPr="00E91AFF">
        <w:rPr>
          <w:color w:val="102B44"/>
        </w:rPr>
        <w:t>in NAPLAN</w:t>
      </w:r>
      <w:r w:rsidR="13880E93" w:rsidRPr="007B3DCE">
        <w:rPr>
          <w:color w:val="102B44"/>
        </w:rPr>
        <w:t xml:space="preserve"> </w:t>
      </w:r>
    </w:p>
    <w:p w14:paraId="4B2C00A4" w14:textId="5F2751C8" w:rsidR="00D0432C" w:rsidRPr="007B3DCE" w:rsidRDefault="1938A196" w:rsidP="008F281B">
      <w:pPr>
        <w:pStyle w:val="FigureTableSubheading"/>
        <w:rPr>
          <w:color w:val="215B8E" w:themeColor="accent2" w:themeShade="BF"/>
        </w:rPr>
      </w:pPr>
      <w:r w:rsidRPr="007B3DCE">
        <w:rPr>
          <w:color w:val="215B8E" w:themeColor="accent2" w:themeShade="BF"/>
        </w:rPr>
        <w:t>Reading, writing</w:t>
      </w:r>
      <w:r w:rsidR="5BCBA34D" w:rsidRPr="007B3DCE">
        <w:rPr>
          <w:color w:val="215B8E" w:themeColor="accent2" w:themeShade="BF"/>
        </w:rPr>
        <w:t xml:space="preserve"> and </w:t>
      </w:r>
      <w:r w:rsidRPr="007B3DCE">
        <w:rPr>
          <w:color w:val="215B8E" w:themeColor="accent2" w:themeShade="BF"/>
        </w:rPr>
        <w:t>numeracy</w:t>
      </w:r>
      <w:r w:rsidR="7EF287B6" w:rsidRPr="007B3DCE">
        <w:rPr>
          <w:color w:val="215B8E" w:themeColor="accent2" w:themeShade="BF"/>
        </w:rPr>
        <w:t xml:space="preserve"> </w:t>
      </w:r>
      <w:r w:rsidRPr="007B3DCE">
        <w:rPr>
          <w:color w:val="215B8E" w:themeColor="accent2" w:themeShade="BF"/>
        </w:rPr>
        <w:t>proficiency of Aboriginal and Torres Strait Islander students</w:t>
      </w:r>
      <w:r w:rsidR="796DAD47" w:rsidRPr="007B3DCE">
        <w:rPr>
          <w:color w:val="215B8E" w:themeColor="accent2" w:themeShade="BF"/>
        </w:rPr>
        <w:t xml:space="preserve"> </w:t>
      </w:r>
      <w:r w:rsidR="106F57AA" w:rsidRPr="007B3DCE">
        <w:rPr>
          <w:color w:val="215B8E" w:themeColor="accent2" w:themeShade="BF"/>
        </w:rPr>
        <w:t>in 2023</w:t>
      </w:r>
      <w:r w:rsidR="4DE18B3B" w:rsidRPr="007B3DCE">
        <w:rPr>
          <w:color w:val="215B8E" w:themeColor="accent2" w:themeShade="BF"/>
        </w:rPr>
        <w:t>,</w:t>
      </w:r>
      <w:r w:rsidR="106F57AA" w:rsidRPr="007B3DCE">
        <w:rPr>
          <w:color w:val="215B8E" w:themeColor="accent2" w:themeShade="BF"/>
        </w:rPr>
        <w:t xml:space="preserve"> </w:t>
      </w:r>
      <w:r w:rsidR="6EA6EA62" w:rsidRPr="007B3DCE">
        <w:rPr>
          <w:color w:val="215B8E" w:themeColor="accent2" w:themeShade="BF"/>
        </w:rPr>
        <w:t>for</w:t>
      </w:r>
      <w:r w:rsidRPr="007B3DCE">
        <w:rPr>
          <w:color w:val="215B8E" w:themeColor="accent2" w:themeShade="BF"/>
        </w:rPr>
        <w:t xml:space="preserve"> year </w:t>
      </w:r>
      <w:r w:rsidR="17864612" w:rsidRPr="007B3DCE">
        <w:rPr>
          <w:color w:val="215B8E" w:themeColor="accent2" w:themeShade="BF"/>
        </w:rPr>
        <w:t>levels</w:t>
      </w:r>
      <w:r w:rsidRPr="007B3DCE">
        <w:rPr>
          <w:color w:val="215B8E" w:themeColor="accent2" w:themeShade="BF"/>
        </w:rPr>
        <w:t xml:space="preserve"> 3,</w:t>
      </w:r>
      <w:r w:rsidR="009076A5">
        <w:rPr>
          <w:color w:val="215B8E" w:themeColor="accent2" w:themeShade="BF"/>
        </w:rPr>
        <w:t xml:space="preserve"> </w:t>
      </w:r>
      <w:r w:rsidRPr="007B3DCE">
        <w:rPr>
          <w:color w:val="215B8E" w:themeColor="accent2" w:themeShade="BF"/>
        </w:rPr>
        <w:t>5,</w:t>
      </w:r>
      <w:r w:rsidR="009076A5">
        <w:rPr>
          <w:color w:val="215B8E" w:themeColor="accent2" w:themeShade="BF"/>
        </w:rPr>
        <w:t xml:space="preserve"> </w:t>
      </w:r>
      <w:r w:rsidRPr="007B3DCE">
        <w:rPr>
          <w:color w:val="215B8E" w:themeColor="accent2" w:themeShade="BF"/>
        </w:rPr>
        <w:t>7 and 9</w:t>
      </w:r>
      <w:r w:rsidR="2054B391" w:rsidRPr="007B3DCE">
        <w:rPr>
          <w:color w:val="215B8E" w:themeColor="accent2" w:themeShade="BF"/>
        </w:rPr>
        <w:t xml:space="preserve"> </w:t>
      </w:r>
    </w:p>
    <w:p w14:paraId="7D085DA3" w14:textId="482D7C58" w:rsidR="0019420F" w:rsidRPr="007B3DCE" w:rsidRDefault="003122ED" w:rsidP="00700FED">
      <w:pPr>
        <w:pStyle w:val="BodyText"/>
      </w:pPr>
      <w:r w:rsidRPr="003122ED">
        <w:rPr>
          <w:noProof/>
        </w:rPr>
        <w:drawing>
          <wp:inline distT="0" distB="0" distL="0" distR="0" wp14:anchorId="5FE46508" wp14:editId="4D3DCEF0">
            <wp:extent cx="6120130" cy="2645664"/>
            <wp:effectExtent l="0" t="0" r="0" b="0"/>
            <wp:docPr id="110812121" name="Picture 202" descr="Figure 2.17 is a stacked bar chart that depicts the reading, writing, and numeracy proficiency of Aboriginal and Torres Strait Islander students in 2023 for year levels 3, 5, 7, and 9, according to NAPLAN levels. The chart shows the proportion of students in each category, including exempt, needs additional support, developing, strong, and excee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2121" name="Picture 202" descr="Figure 2.17 is a stacked bar chart that depicts the reading, writing, and numeracy proficiency of Aboriginal and Torres Strait Islander students in 2023 for year levels 3, 5, 7, and 9, according to NAPLAN levels. The chart shows the proportion of students in each category, including exempt, needs additional support, developing, strong, and exceeding. "/>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00"/>
                    <a:stretch/>
                  </pic:blipFill>
                  <pic:spPr bwMode="auto">
                    <a:xfrm>
                      <a:off x="0" y="0"/>
                      <a:ext cx="6120130" cy="2645664"/>
                    </a:xfrm>
                    <a:prstGeom prst="rect">
                      <a:avLst/>
                    </a:prstGeom>
                    <a:noFill/>
                    <a:ln>
                      <a:noFill/>
                    </a:ln>
                    <a:extLst>
                      <a:ext uri="{53640926-AAD7-44D8-BBD7-CCE9431645EC}">
                        <a14:shadowObscured xmlns:a14="http://schemas.microsoft.com/office/drawing/2010/main"/>
                      </a:ext>
                    </a:extLst>
                  </pic:spPr>
                </pic:pic>
              </a:graphicData>
            </a:graphic>
          </wp:inline>
        </w:drawing>
      </w:r>
    </w:p>
    <w:p w14:paraId="1AA4F71E" w14:textId="049BD417" w:rsidR="00CC6C62" w:rsidRDefault="00CC6C62" w:rsidP="003122ED">
      <w:pPr>
        <w:pStyle w:val="Source"/>
      </w:pPr>
      <w:r>
        <w:t xml:space="preserve">Source: ACARA National Assessment Program </w:t>
      </w:r>
      <w:r w:rsidR="003122ED">
        <w:t>-</w:t>
      </w:r>
      <w:r>
        <w:t xml:space="preserve"> Literacy and Numeracy national results </w:t>
      </w:r>
    </w:p>
    <w:p w14:paraId="65F33962" w14:textId="55780DBE" w:rsidR="00FD5F9F" w:rsidRDefault="002B743A" w:rsidP="00A64E98">
      <w:pPr>
        <w:pStyle w:val="BodyText"/>
      </w:pPr>
      <w:r w:rsidRPr="007B3DCE">
        <w:t xml:space="preserve">About two-thirds of Aboriginal and Torres Strait Islander students in years 3, 5, 7 and 9 had a reading proficiency assessed as </w:t>
      </w:r>
      <w:r w:rsidR="00B63AA5" w:rsidRPr="007B3DCE">
        <w:t>‘</w:t>
      </w:r>
      <w:r w:rsidRPr="007B3DCE">
        <w:t>developing</w:t>
      </w:r>
      <w:r w:rsidR="00B63AA5" w:rsidRPr="007B3DCE">
        <w:t>’</w:t>
      </w:r>
      <w:r w:rsidRPr="007B3DCE">
        <w:t xml:space="preserve">, </w:t>
      </w:r>
      <w:r w:rsidR="00B63AA5" w:rsidRPr="007B3DCE">
        <w:t>‘</w:t>
      </w:r>
      <w:r w:rsidRPr="007B3DCE">
        <w:t>strong</w:t>
      </w:r>
      <w:r w:rsidR="00B63AA5" w:rsidRPr="007B3DCE">
        <w:t>’</w:t>
      </w:r>
      <w:r w:rsidRPr="007B3DCE">
        <w:t xml:space="preserve"> or </w:t>
      </w:r>
      <w:r w:rsidR="00B63AA5" w:rsidRPr="007B3DCE">
        <w:t>‘</w:t>
      </w:r>
      <w:r w:rsidRPr="007B3DCE">
        <w:t>exceeding</w:t>
      </w:r>
      <w:r w:rsidR="00B63AA5" w:rsidRPr="007B3DCE">
        <w:t>’</w:t>
      </w:r>
      <w:r w:rsidR="008F061C" w:rsidRPr="00F8717B">
        <w:t>.</w:t>
      </w:r>
      <w:r w:rsidR="00386CD4" w:rsidRPr="00F8717B">
        <w:t xml:space="preserve"> </w:t>
      </w:r>
      <w:r w:rsidR="00053089" w:rsidRPr="007B3DCE">
        <w:t>This proportion was highest for students in year 5 (69.6%), and lowest for students in year 9 (63.7%)</w:t>
      </w:r>
      <w:r w:rsidR="00B877D6" w:rsidRPr="007B3DCE">
        <w:t>.</w:t>
      </w:r>
      <w:r w:rsidR="00386CD4" w:rsidRPr="007B3DCE">
        <w:t xml:space="preserve"> </w:t>
      </w:r>
      <w:r w:rsidR="00C23D7A" w:rsidRPr="007B3DCE">
        <w:t xml:space="preserve">The </w:t>
      </w:r>
      <w:r w:rsidR="00B8541B" w:rsidRPr="007B3DCE">
        <w:t>jurisdictions</w:t>
      </w:r>
      <w:r w:rsidR="00C23D7A" w:rsidRPr="007B3DCE">
        <w:t xml:space="preserve"> with the highest proportion of children </w:t>
      </w:r>
      <w:r w:rsidR="00A51D71">
        <w:t xml:space="preserve">in the </w:t>
      </w:r>
      <w:r w:rsidR="00C23D7A" w:rsidRPr="00AB6045">
        <w:t xml:space="preserve">exceeding </w:t>
      </w:r>
      <w:r w:rsidR="00645F9F" w:rsidRPr="00AB6045">
        <w:t xml:space="preserve">reading </w:t>
      </w:r>
      <w:r w:rsidR="00C22F6E" w:rsidRPr="00AB6045">
        <w:t>proficiency levels</w:t>
      </w:r>
      <w:r w:rsidR="00E27621" w:rsidRPr="00AB6045">
        <w:t xml:space="preserve"> </w:t>
      </w:r>
      <w:r w:rsidR="00B8541B" w:rsidRPr="00AB6045">
        <w:t>are</w:t>
      </w:r>
      <w:r w:rsidR="00B8541B" w:rsidRPr="007B3DCE">
        <w:t xml:space="preserve"> Victoria, Tasmania and </w:t>
      </w:r>
      <w:r w:rsidR="00B877D6" w:rsidRPr="007B3DCE">
        <w:t xml:space="preserve">the </w:t>
      </w:r>
      <w:r w:rsidR="00B8541B" w:rsidRPr="007B3DCE">
        <w:t>A</w:t>
      </w:r>
      <w:r w:rsidR="00302274" w:rsidRPr="007B3DCE">
        <w:t xml:space="preserve">ustralian </w:t>
      </w:r>
      <w:r w:rsidR="00B8541B" w:rsidRPr="007B3DCE">
        <w:t>C</w:t>
      </w:r>
      <w:r w:rsidR="00302274" w:rsidRPr="007B3DCE">
        <w:t xml:space="preserve">apital </w:t>
      </w:r>
      <w:r w:rsidR="00B8541B" w:rsidRPr="007B3DCE">
        <w:t>T</w:t>
      </w:r>
      <w:r w:rsidR="00302274" w:rsidRPr="007B3DCE">
        <w:t>erritory</w:t>
      </w:r>
      <w:r w:rsidR="00B8541B" w:rsidRPr="007B3DCE">
        <w:t xml:space="preserve">. </w:t>
      </w:r>
      <w:r w:rsidR="00386CD4" w:rsidRPr="007B3DCE">
        <w:t xml:space="preserve">Across all year levels, </w:t>
      </w:r>
      <w:r w:rsidR="0095156F">
        <w:t xml:space="preserve">the </w:t>
      </w:r>
      <w:r w:rsidR="00386CD4" w:rsidRPr="007B3DCE">
        <w:t xml:space="preserve">Northern Territory </w:t>
      </w:r>
      <w:r w:rsidR="00581E8E" w:rsidRPr="007B3DCE">
        <w:t xml:space="preserve">had </w:t>
      </w:r>
      <w:r w:rsidR="005D7C68" w:rsidRPr="007B3DCE">
        <w:t>the</w:t>
      </w:r>
      <w:r w:rsidR="00D97C2E" w:rsidRPr="007B3DCE">
        <w:t xml:space="preserve"> highest proportion of</w:t>
      </w:r>
      <w:r w:rsidR="00386CD4" w:rsidRPr="007B3DCE">
        <w:t xml:space="preserve"> students requir</w:t>
      </w:r>
      <w:r w:rsidR="00581E8E" w:rsidRPr="007B3DCE">
        <w:t>ing</w:t>
      </w:r>
      <w:r w:rsidR="00386CD4" w:rsidRPr="007B3DCE">
        <w:t xml:space="preserve"> additional support for reading.   </w:t>
      </w:r>
    </w:p>
    <w:p w14:paraId="13096679" w14:textId="743DA9E8" w:rsidR="00E73619" w:rsidRPr="007B3DCE" w:rsidRDefault="002B743A" w:rsidP="000E3547">
      <w:pPr>
        <w:pStyle w:val="BodyText"/>
      </w:pPr>
      <w:r w:rsidRPr="007B3DCE">
        <w:t xml:space="preserve">The proportion of Aboriginal and Torres Strait Islander students with a writing proficiency assessed as developing, strong or exceeding declined </w:t>
      </w:r>
      <w:r w:rsidR="00BB54FA" w:rsidRPr="007B3DCE">
        <w:t>across the</w:t>
      </w:r>
      <w:r w:rsidRPr="007B3DCE">
        <w:t xml:space="preserve"> </w:t>
      </w:r>
      <w:r w:rsidR="00DA44F5" w:rsidRPr="007B3DCE">
        <w:t xml:space="preserve">schooling </w:t>
      </w:r>
      <w:r w:rsidRPr="007B3DCE">
        <w:t xml:space="preserve">years – from 71.3% for students in </w:t>
      </w:r>
      <w:r>
        <w:t>year 3</w:t>
      </w:r>
      <w:r w:rsidRPr="007B3DCE">
        <w:t xml:space="preserve"> to 59.4%</w:t>
      </w:r>
      <w:r w:rsidR="00BB54FA" w:rsidRPr="007B3DCE">
        <w:t xml:space="preserve"> in year 9</w:t>
      </w:r>
      <w:r w:rsidR="009A4DB0" w:rsidRPr="007B3DCE">
        <w:t>.</w:t>
      </w:r>
      <w:r w:rsidR="00C34078" w:rsidRPr="007B3DCE">
        <w:t xml:space="preserve"> </w:t>
      </w:r>
      <w:r w:rsidR="00F651D6" w:rsidRPr="007B3DCE">
        <w:t>In</w:t>
      </w:r>
      <w:r w:rsidR="00F651D6">
        <w:t xml:space="preserve"> year 3 and year 5</w:t>
      </w:r>
      <w:r w:rsidR="008A58AE" w:rsidRPr="007B3DCE">
        <w:t>,</w:t>
      </w:r>
      <w:r w:rsidR="00D86E87" w:rsidRPr="007B3DCE">
        <w:t xml:space="preserve"> jurisdictions with the highest proportion of children </w:t>
      </w:r>
      <w:r w:rsidR="00424AF6">
        <w:t>in the</w:t>
      </w:r>
      <w:r w:rsidR="00D86E87" w:rsidRPr="007B3DCE">
        <w:t xml:space="preserve"> exceeding </w:t>
      </w:r>
      <w:r w:rsidR="004E3E56">
        <w:t>proficiency levels</w:t>
      </w:r>
      <w:r w:rsidR="007B637C" w:rsidRPr="007B3DCE">
        <w:t xml:space="preserve"> </w:t>
      </w:r>
      <w:r w:rsidR="00D86E87" w:rsidRPr="007B3DCE">
        <w:t>are Victoria, N</w:t>
      </w:r>
      <w:r w:rsidR="003F37EB" w:rsidRPr="007B3DCE">
        <w:t xml:space="preserve">ew </w:t>
      </w:r>
      <w:r w:rsidR="00D86E87" w:rsidRPr="007B3DCE">
        <w:t>S</w:t>
      </w:r>
      <w:r w:rsidR="003F37EB" w:rsidRPr="007B3DCE">
        <w:t xml:space="preserve">outh </w:t>
      </w:r>
      <w:r w:rsidR="00D86E87" w:rsidRPr="007B3DCE">
        <w:t>W</w:t>
      </w:r>
      <w:r w:rsidR="003F37EB" w:rsidRPr="007B3DCE">
        <w:t>ales</w:t>
      </w:r>
      <w:r w:rsidR="00D86E87" w:rsidRPr="007B3DCE">
        <w:t>, Tasmania and Queensland</w:t>
      </w:r>
      <w:r w:rsidR="005745CF" w:rsidRPr="007B3DCE">
        <w:t xml:space="preserve">. </w:t>
      </w:r>
      <w:r w:rsidR="007C6BC5">
        <w:t>A higher proportion</w:t>
      </w:r>
      <w:r w:rsidR="005E489D">
        <w:t xml:space="preserve"> of</w:t>
      </w:r>
      <w:r w:rsidR="00EA3B5A" w:rsidRPr="007B3DCE">
        <w:t xml:space="preserve"> students in the N</w:t>
      </w:r>
      <w:r w:rsidR="003F37EB" w:rsidRPr="007B3DCE">
        <w:t xml:space="preserve">orthern </w:t>
      </w:r>
      <w:r w:rsidR="00EA3B5A" w:rsidRPr="007B3DCE">
        <w:t>T</w:t>
      </w:r>
      <w:r w:rsidR="003F37EB" w:rsidRPr="007B3DCE">
        <w:t>erritory</w:t>
      </w:r>
      <w:r w:rsidR="00EA3B5A" w:rsidRPr="007B3DCE">
        <w:t xml:space="preserve"> and W</w:t>
      </w:r>
      <w:r w:rsidR="003F37EB" w:rsidRPr="007B3DCE">
        <w:t xml:space="preserve">estern </w:t>
      </w:r>
      <w:r w:rsidR="00EA3B5A" w:rsidRPr="007B3DCE">
        <w:t>A</w:t>
      </w:r>
      <w:r w:rsidR="003F37EB" w:rsidRPr="007B3DCE">
        <w:t>ustralia</w:t>
      </w:r>
      <w:r w:rsidR="00EA3B5A" w:rsidRPr="007B3DCE">
        <w:t xml:space="preserve"> are identified as needing additional support</w:t>
      </w:r>
      <w:r w:rsidR="00B737FF" w:rsidRPr="007B3DCE">
        <w:t xml:space="preserve"> in writing across schooling</w:t>
      </w:r>
      <w:r w:rsidR="00DA44F5" w:rsidRPr="007B3DCE">
        <w:t xml:space="preserve"> years</w:t>
      </w:r>
      <w:r w:rsidR="00EA3B5A" w:rsidRPr="007B3DCE">
        <w:t xml:space="preserve">. </w:t>
      </w:r>
    </w:p>
    <w:p w14:paraId="17FCEBA6" w14:textId="77777777" w:rsidR="00ED79E7" w:rsidRDefault="00761392" w:rsidP="00527DC8">
      <w:pPr>
        <w:pStyle w:val="BodyText"/>
      </w:pPr>
      <w:r>
        <w:t>More than</w:t>
      </w:r>
      <w:r w:rsidR="002B743A" w:rsidRPr="007B3DCE">
        <w:t xml:space="preserve"> three in five Aboriginal and Torres Strait Islander students in year</w:t>
      </w:r>
      <w:r w:rsidR="32CFDF68" w:rsidRPr="007B3DCE">
        <w:t xml:space="preserve"> levels</w:t>
      </w:r>
      <w:r w:rsidR="00104653" w:rsidRPr="007B3DCE">
        <w:t xml:space="preserve"> </w:t>
      </w:r>
      <w:r w:rsidR="002B743A" w:rsidRPr="007B3DCE">
        <w:t>3, 5, 7 and 9 had a numeracy proficiency assessed as developing, strong or exceeding.</w:t>
      </w:r>
      <w:r w:rsidR="00DC46A2" w:rsidRPr="007B3DCE">
        <w:t xml:space="preserve"> </w:t>
      </w:r>
      <w:r w:rsidR="0017730F" w:rsidRPr="007B3DCE">
        <w:t xml:space="preserve">Throughout </w:t>
      </w:r>
      <w:r w:rsidR="000E31E0" w:rsidRPr="007B3DCE">
        <w:t xml:space="preserve">most </w:t>
      </w:r>
      <w:r w:rsidR="00BA23FB" w:rsidRPr="007B3DCE">
        <w:t xml:space="preserve">of the assessed years, </w:t>
      </w:r>
      <w:r w:rsidR="0017730F" w:rsidRPr="007B3DCE">
        <w:t>the A</w:t>
      </w:r>
      <w:r w:rsidR="001A4DB8" w:rsidRPr="007B3DCE">
        <w:t xml:space="preserve">ustralian </w:t>
      </w:r>
      <w:r w:rsidR="0017730F" w:rsidRPr="007B3DCE">
        <w:t>C</w:t>
      </w:r>
      <w:r w:rsidR="001A4DB8" w:rsidRPr="007B3DCE">
        <w:t xml:space="preserve">apital </w:t>
      </w:r>
      <w:r w:rsidR="0017730F" w:rsidRPr="007B3DCE">
        <w:t>T</w:t>
      </w:r>
      <w:r w:rsidR="001A4DB8" w:rsidRPr="007B3DCE">
        <w:t>erritor</w:t>
      </w:r>
      <w:r w:rsidR="00512218" w:rsidRPr="007B3DCE">
        <w:t>y</w:t>
      </w:r>
      <w:r w:rsidR="0017730F" w:rsidRPr="007B3DCE">
        <w:t xml:space="preserve"> ha</w:t>
      </w:r>
      <w:r w:rsidR="00BA23FB" w:rsidRPr="007B3DCE">
        <w:t>d</w:t>
      </w:r>
      <w:r w:rsidR="0017730F" w:rsidRPr="007B3DCE">
        <w:t xml:space="preserve"> the largest proportion of students </w:t>
      </w:r>
      <w:r w:rsidR="00E73619" w:rsidRPr="007B3DCE">
        <w:t>assessed as</w:t>
      </w:r>
      <w:r w:rsidR="0017730F" w:rsidRPr="007B3DCE">
        <w:t xml:space="preserve"> exceeding in numeracy. </w:t>
      </w:r>
    </w:p>
    <w:p w14:paraId="7C6CFCAB" w14:textId="050E7968" w:rsidR="00AB33FF" w:rsidRPr="00ED79E7" w:rsidRDefault="00ED79E7" w:rsidP="00ED79E7">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2B743A" w:rsidRPr="007B3DCE" w14:paraId="14AD4BC2" w14:textId="77777777" w:rsidTr="008C6EF1">
        <w:trPr>
          <w:trHeight w:val="476"/>
          <w:tblHeader/>
        </w:trPr>
        <w:tc>
          <w:tcPr>
            <w:tcW w:w="9638" w:type="dxa"/>
            <w:shd w:val="clear" w:color="auto" w:fill="102B44"/>
            <w:tcMar>
              <w:top w:w="170" w:type="dxa"/>
              <w:left w:w="170" w:type="dxa"/>
              <w:bottom w:w="113" w:type="dxa"/>
              <w:right w:w="170" w:type="dxa"/>
            </w:tcMar>
            <w:vAlign w:val="center"/>
            <w:hideMark/>
          </w:tcPr>
          <w:p w14:paraId="371751E3" w14:textId="2AC7419E" w:rsidR="002B743A" w:rsidRPr="007B3DCE" w:rsidRDefault="002B743A" w:rsidP="008C6EF1">
            <w:pPr>
              <w:pStyle w:val="BoxHeading1"/>
              <w:spacing w:before="0"/>
              <w:rPr>
                <w:lang w:eastAsia="en-AU"/>
              </w:rPr>
            </w:pPr>
            <w:r w:rsidRPr="007B3DCE">
              <w:rPr>
                <w:color w:val="FFFFFF"/>
              </w:rPr>
              <w:lastRenderedPageBreak/>
              <w:t xml:space="preserve">Box </w:t>
            </w:r>
            <w:r w:rsidR="007C7EB6" w:rsidRPr="007B3DCE">
              <w:rPr>
                <w:color w:val="FFFFFF"/>
              </w:rPr>
              <w:t>2</w:t>
            </w:r>
            <w:r w:rsidR="00AB33FF" w:rsidRPr="007B3DCE">
              <w:rPr>
                <w:color w:val="FFFFFF"/>
              </w:rPr>
              <w:t>.</w:t>
            </w:r>
            <w:r w:rsidR="00EF7969" w:rsidRPr="007B3DCE">
              <w:rPr>
                <w:color w:val="FFFFFF"/>
              </w:rPr>
              <w:t>16</w:t>
            </w:r>
            <w:r w:rsidRPr="007B3DCE">
              <w:rPr>
                <w:color w:val="FFFFFF"/>
              </w:rPr>
              <w:t xml:space="preserve"> – S</w:t>
            </w:r>
            <w:r w:rsidRPr="007B3DCE">
              <w:rPr>
                <w:color w:val="FFFFFF"/>
                <w:lang w:eastAsia="en-AU"/>
              </w:rPr>
              <w:t xml:space="preserve">upporting Aboriginal and Torres Strait Islander students to reach their potential </w:t>
            </w:r>
          </w:p>
        </w:tc>
      </w:tr>
      <w:tr w:rsidR="002B743A" w:rsidRPr="007B3DCE" w14:paraId="748185BA" w14:textId="77777777" w:rsidTr="002D6352">
        <w:tc>
          <w:tcPr>
            <w:tcW w:w="9638" w:type="dxa"/>
            <w:shd w:val="clear" w:color="auto" w:fill="D2E4F4" w:themeFill="accent2" w:themeFillTint="33"/>
            <w:tcMar>
              <w:top w:w="28" w:type="dxa"/>
              <w:left w:w="170" w:type="dxa"/>
              <w:bottom w:w="170" w:type="dxa"/>
              <w:right w:w="170" w:type="dxa"/>
            </w:tcMar>
            <w:hideMark/>
          </w:tcPr>
          <w:p w14:paraId="5AE37CA9" w14:textId="5B54EC55" w:rsidR="00A15DF7" w:rsidRPr="007B3DCE" w:rsidRDefault="005F733D" w:rsidP="00104653">
            <w:pPr>
              <w:pStyle w:val="BodyText"/>
            </w:pPr>
            <w:r w:rsidRPr="007B3DCE">
              <w:t xml:space="preserve">Throughout its </w:t>
            </w:r>
            <w:r w:rsidR="00F81432">
              <w:t>r</w:t>
            </w:r>
            <w:r w:rsidRPr="007B3DCE">
              <w:t>eview of the National School Reform Agreement</w:t>
            </w:r>
            <w:r w:rsidR="00DA699A">
              <w:t xml:space="preserve"> (2022)</w:t>
            </w:r>
            <w:r w:rsidRPr="007B3DCE">
              <w:t>, t</w:t>
            </w:r>
            <w:r w:rsidR="00D10056" w:rsidRPr="007B3DCE">
              <w:t xml:space="preserve">he Productivity Commission heard from </w:t>
            </w:r>
            <w:r w:rsidRPr="007B3DCE">
              <w:t xml:space="preserve">organisations, </w:t>
            </w:r>
            <w:r w:rsidR="00292FDD" w:rsidRPr="007B3DCE">
              <w:t xml:space="preserve">children and </w:t>
            </w:r>
            <w:r w:rsidRPr="007B3DCE">
              <w:t>young people</w:t>
            </w:r>
            <w:r w:rsidR="00292FDD" w:rsidRPr="007B3DCE">
              <w:t xml:space="preserve"> about the barriers faced by Aboriginal and Torres Strait Islander students. These barriers included that </w:t>
            </w:r>
            <w:r w:rsidR="005A1C6B" w:rsidRPr="007B3DCE">
              <w:t xml:space="preserve">schools are not always culturally safe spaces, that the curriculum does not reflect </w:t>
            </w:r>
            <w:r w:rsidR="00ED2508" w:rsidRPr="007B3DCE">
              <w:t>aspects of learning valued by Aboriginal and Torres Strait Islander people</w:t>
            </w:r>
            <w:r w:rsidR="00CF3529" w:rsidRPr="007B3DCE">
              <w:t>, a</w:t>
            </w:r>
            <w:r w:rsidR="00ED2508" w:rsidRPr="007B3DCE">
              <w:t xml:space="preserve">nd </w:t>
            </w:r>
            <w:r w:rsidR="00DA28D1" w:rsidRPr="007B3DCE">
              <w:t xml:space="preserve">that </w:t>
            </w:r>
            <w:r w:rsidR="3E0C677D" w:rsidRPr="007B3DCE">
              <w:t xml:space="preserve">non-Indigenous </w:t>
            </w:r>
            <w:r w:rsidR="00DA28D1" w:rsidRPr="007B3DCE">
              <w:t>teachers and school leaders</w:t>
            </w:r>
            <w:r w:rsidR="009D5043" w:rsidRPr="007B3DCE">
              <w:t xml:space="preserve"> may have a</w:t>
            </w:r>
            <w:r w:rsidR="00F81BD5" w:rsidRPr="007B3DCE">
              <w:t xml:space="preserve"> limited</w:t>
            </w:r>
            <w:r w:rsidR="00DA28D1" w:rsidRPr="007B3DCE">
              <w:t xml:space="preserve"> </w:t>
            </w:r>
            <w:r w:rsidR="00A15DF7" w:rsidRPr="007B3DCE">
              <w:t xml:space="preserve">understanding of </w:t>
            </w:r>
            <w:r w:rsidR="46E19271" w:rsidRPr="007B3DCE">
              <w:t xml:space="preserve">Aboriginal and Torres Strait Islander </w:t>
            </w:r>
            <w:r w:rsidR="00A15DF7" w:rsidRPr="007B3DCE">
              <w:t>knowledges and cultures.</w:t>
            </w:r>
          </w:p>
          <w:p w14:paraId="00686656" w14:textId="74AEA49F" w:rsidR="009E6290" w:rsidRPr="007B3DCE" w:rsidRDefault="009E6290" w:rsidP="00104653">
            <w:pPr>
              <w:pStyle w:val="BodyText"/>
            </w:pPr>
            <w:r w:rsidRPr="007B3DCE">
              <w:t>A culturally responsive approac</w:t>
            </w:r>
            <w:r w:rsidR="008301A0" w:rsidRPr="007B3DCE">
              <w:t>h</w:t>
            </w:r>
            <w:r w:rsidR="00B907A4" w:rsidRPr="007B3DCE">
              <w:t xml:space="preserve"> to the </w:t>
            </w:r>
            <w:r w:rsidR="00467B0E" w:rsidRPr="007B3DCE">
              <w:t>curric</w:t>
            </w:r>
            <w:r w:rsidR="007D56B0" w:rsidRPr="007B3DCE">
              <w:t xml:space="preserve">ulum and </w:t>
            </w:r>
            <w:r w:rsidR="00817A74" w:rsidRPr="007B3DCE">
              <w:t>pedagogies</w:t>
            </w:r>
            <w:r w:rsidR="007D56B0" w:rsidRPr="007B3DCE">
              <w:t xml:space="preserve"> enable</w:t>
            </w:r>
            <w:r w:rsidR="007A7D9B" w:rsidRPr="007B3DCE">
              <w:t>s</w:t>
            </w:r>
            <w:r w:rsidR="007D56B0" w:rsidRPr="007B3DCE">
              <w:t xml:space="preserve"> students to see </w:t>
            </w:r>
            <w:r w:rsidR="00817A74" w:rsidRPr="007B3DCE">
              <w:t>their</w:t>
            </w:r>
            <w:r w:rsidR="002E7633" w:rsidRPr="007B3DCE">
              <w:t xml:space="preserve"> identities, cultures and </w:t>
            </w:r>
            <w:r w:rsidR="003F6219" w:rsidRPr="007B3DCE">
              <w:t>knowledge</w:t>
            </w:r>
            <w:r w:rsidR="002E7633" w:rsidRPr="007B3DCE">
              <w:t xml:space="preserve"> reflected in what and how they learn</w:t>
            </w:r>
            <w:r w:rsidR="00881ED6" w:rsidRPr="007B3DCE">
              <w:t xml:space="preserve">. </w:t>
            </w:r>
            <w:r w:rsidR="00A63791" w:rsidRPr="007B3DCE">
              <w:t xml:space="preserve">It supports </w:t>
            </w:r>
            <w:r w:rsidR="007522D5" w:rsidRPr="007B3DCE">
              <w:t>a student’s perception of their potential and supports educational outcomes</w:t>
            </w:r>
            <w:r w:rsidR="00B21E70">
              <w:t>.</w:t>
            </w:r>
            <w:r w:rsidR="002A03D2" w:rsidRPr="007B3DCE">
              <w:t xml:space="preserve"> </w:t>
            </w:r>
            <w:r w:rsidR="007522D5" w:rsidRPr="007B3DCE">
              <w:t xml:space="preserve"> </w:t>
            </w:r>
          </w:p>
          <w:p w14:paraId="14816ECD" w14:textId="42B9F9DE" w:rsidR="002D07B9" w:rsidRPr="007B3DCE" w:rsidRDefault="002D07B9" w:rsidP="009A26CB">
            <w:pPr>
              <w:pStyle w:val="BodyText"/>
              <w:rPr>
                <w:rFonts w:eastAsia="Times New Roman"/>
                <w:lang w:eastAsia="en-AU"/>
              </w:rPr>
            </w:pPr>
            <w:r w:rsidRPr="007B3DCE">
              <w:t>Opportunities to support Aboriginal and Torres Strait Islander students in school engagement, achievement and completion</w:t>
            </w:r>
            <w:r w:rsidR="00F75C63" w:rsidRPr="007B3DCE">
              <w:t xml:space="preserve"> include</w:t>
            </w:r>
            <w:r w:rsidRPr="007B3DCE">
              <w:rPr>
                <w:rFonts w:eastAsia="Times New Roman"/>
                <w:lang w:eastAsia="en-AU"/>
              </w:rPr>
              <w:t>:</w:t>
            </w:r>
          </w:p>
          <w:p w14:paraId="12ECEDE1" w14:textId="6987604A" w:rsidR="0083777C" w:rsidRPr="00974ADB" w:rsidRDefault="0083777C" w:rsidP="00974ADB">
            <w:pPr>
              <w:pStyle w:val="ListBullet"/>
              <w:numPr>
                <w:ilvl w:val="0"/>
                <w:numId w:val="17"/>
              </w:numPr>
              <w:ind w:left="227" w:hanging="227"/>
            </w:pPr>
            <w:r w:rsidRPr="00974ADB">
              <w:t>fostering a school culture and encouraging school leadership that actively acknowledges, supports and involves Aboriginal and Torres Strait Islander families, students and community in school activities, improvements and decisions</w:t>
            </w:r>
            <w:r w:rsidR="008D7470" w:rsidRPr="00974ADB">
              <w:t xml:space="preserve"> </w:t>
            </w:r>
          </w:p>
          <w:p w14:paraId="266E8EEE" w14:textId="55C5E276" w:rsidR="0083777C" w:rsidRPr="00974ADB" w:rsidRDefault="0083777C" w:rsidP="00974ADB">
            <w:pPr>
              <w:pStyle w:val="ListBullet"/>
              <w:numPr>
                <w:ilvl w:val="0"/>
                <w:numId w:val="17"/>
              </w:numPr>
              <w:ind w:left="227" w:hanging="227"/>
            </w:pPr>
            <w:r w:rsidRPr="00974ADB">
              <w:t xml:space="preserve">improving representation of Aboriginal and Torres Strait Islander teachers, who </w:t>
            </w:r>
            <w:r w:rsidR="00DC5238" w:rsidRPr="00974ADB">
              <w:t>can</w:t>
            </w:r>
            <w:r w:rsidRPr="00974ADB">
              <w:t xml:space="preserve"> play an important role within their schools and broader communities</w:t>
            </w:r>
            <w:r w:rsidR="0019020D" w:rsidRPr="00974ADB">
              <w:t xml:space="preserve"> </w:t>
            </w:r>
          </w:p>
          <w:p w14:paraId="5D733CC6" w14:textId="663CB5CA" w:rsidR="00881B0E" w:rsidRPr="00974ADB" w:rsidRDefault="0083777C" w:rsidP="00974ADB">
            <w:pPr>
              <w:pStyle w:val="ListBullet"/>
              <w:numPr>
                <w:ilvl w:val="0"/>
                <w:numId w:val="17"/>
              </w:numPr>
              <w:ind w:left="227" w:hanging="227"/>
            </w:pPr>
            <w:r w:rsidRPr="00974ADB">
              <w:t>implementing school-wide strategies that maintain engagement, such as vocational education and training (VET) options and career education</w:t>
            </w:r>
          </w:p>
          <w:p w14:paraId="6B951D6B" w14:textId="1B4FAD43" w:rsidR="0083777C" w:rsidRPr="00974ADB" w:rsidRDefault="0083777C" w:rsidP="00974ADB">
            <w:pPr>
              <w:pStyle w:val="ListBullet"/>
              <w:numPr>
                <w:ilvl w:val="0"/>
                <w:numId w:val="17"/>
              </w:numPr>
              <w:ind w:left="227" w:hanging="227"/>
            </w:pPr>
            <w:r w:rsidRPr="00974ADB">
              <w:t xml:space="preserve">shifting away from deficit narratives, which can play into a culture of low expectations </w:t>
            </w:r>
            <w:r w:rsidR="00FF5895" w:rsidRPr="00974ADB">
              <w:t>and</w:t>
            </w:r>
            <w:r w:rsidRPr="00974ADB">
              <w:t xml:space="preserve"> can impact an Aboriginal and Torres Strait Islander student’s ability to thrive</w:t>
            </w:r>
          </w:p>
          <w:p w14:paraId="3AA5814E" w14:textId="0BB6824D" w:rsidR="00ED0B5E" w:rsidRPr="00974ADB" w:rsidRDefault="0083777C" w:rsidP="00974ADB">
            <w:pPr>
              <w:pStyle w:val="ListBullet"/>
              <w:numPr>
                <w:ilvl w:val="0"/>
                <w:numId w:val="17"/>
              </w:numPr>
              <w:ind w:left="227" w:hanging="227"/>
            </w:pPr>
            <w:r w:rsidRPr="00974ADB">
              <w:t>meeting the needs of individual students through targeted skill development and mentoring</w:t>
            </w:r>
            <w:r w:rsidR="00387E7F" w:rsidRPr="00974ADB">
              <w:t>.</w:t>
            </w:r>
          </w:p>
          <w:p w14:paraId="79FC1C72" w14:textId="77777777" w:rsidR="00D14A4A" w:rsidRDefault="00D14A4A" w:rsidP="009076A5">
            <w:pPr>
              <w:pStyle w:val="ListBullet"/>
              <w:ind w:hanging="851"/>
              <w:rPr>
                <w:lang w:eastAsia="en-AU"/>
              </w:rPr>
            </w:pPr>
          </w:p>
          <w:p w14:paraId="43A03797" w14:textId="17790CFE" w:rsidR="003C18A1" w:rsidRPr="00D14A4A" w:rsidRDefault="00E80C45" w:rsidP="00E80C45">
            <w:pPr>
              <w:pStyle w:val="ListBullet"/>
              <w:rPr>
                <w:sz w:val="18"/>
                <w:szCs w:val="18"/>
                <w:lang w:eastAsia="en-AU"/>
              </w:rPr>
            </w:pPr>
            <w:r w:rsidRPr="00D14A4A">
              <w:rPr>
                <w:sz w:val="18"/>
                <w:szCs w:val="18"/>
                <w:lang w:eastAsia="en-AU"/>
              </w:rPr>
              <w:t xml:space="preserve">Source: </w:t>
            </w:r>
            <w:r w:rsidR="00D0401D" w:rsidRPr="00D14A4A">
              <w:rPr>
                <w:sz w:val="18"/>
                <w:szCs w:val="18"/>
                <w:lang w:eastAsia="en-AU"/>
              </w:rPr>
              <w:t xml:space="preserve">Helme and Lamb </w:t>
            </w:r>
            <w:r w:rsidR="00980FF1" w:rsidRPr="00216127">
              <w:rPr>
                <w:rFonts w:ascii="Arial (Body)" w:hAnsi="Arial (Body)" w:cs="Arial"/>
                <w:sz w:val="18"/>
                <w:szCs w:val="18"/>
              </w:rPr>
              <w:t>(2011)</w:t>
            </w:r>
            <w:r w:rsidR="00D0401D" w:rsidRPr="00D14A4A">
              <w:rPr>
                <w:sz w:val="18"/>
                <w:szCs w:val="18"/>
                <w:lang w:eastAsia="en-AU"/>
              </w:rPr>
              <w:t xml:space="preserve">; Krakouer </w:t>
            </w:r>
            <w:r w:rsidR="00D0401D" w:rsidRPr="00216127">
              <w:rPr>
                <w:rFonts w:ascii="Arial (Body)" w:hAnsi="Arial (Body)" w:cs="Arial"/>
                <w:sz w:val="18"/>
                <w:szCs w:val="18"/>
              </w:rPr>
              <w:t>(2015)</w:t>
            </w:r>
            <w:r w:rsidR="00D0401D" w:rsidRPr="00D14A4A">
              <w:rPr>
                <w:sz w:val="18"/>
                <w:szCs w:val="18"/>
                <w:lang w:eastAsia="en-AU"/>
              </w:rPr>
              <w:t xml:space="preserve">; Morrison et al. </w:t>
            </w:r>
            <w:r w:rsidR="00712BA4" w:rsidRPr="00216127">
              <w:rPr>
                <w:rFonts w:ascii="Arial (Body)" w:hAnsi="Arial (Body)" w:cs="Arial"/>
                <w:sz w:val="18"/>
                <w:szCs w:val="18"/>
              </w:rPr>
              <w:t>(2019)</w:t>
            </w:r>
            <w:r w:rsidR="00D0401D" w:rsidRPr="00D14A4A">
              <w:rPr>
                <w:sz w:val="18"/>
                <w:szCs w:val="18"/>
                <w:lang w:eastAsia="en-AU"/>
              </w:rPr>
              <w:t xml:space="preserve">; PC </w:t>
            </w:r>
            <w:r w:rsidR="00AB26DB" w:rsidRPr="00216127">
              <w:rPr>
                <w:rFonts w:ascii="Arial (Body)" w:hAnsi="Arial (Body)" w:cs="Arial"/>
                <w:sz w:val="18"/>
                <w:szCs w:val="18"/>
              </w:rPr>
              <w:t>(2022b)</w:t>
            </w:r>
            <w:r w:rsidR="00D0401D" w:rsidRPr="00D14A4A">
              <w:rPr>
                <w:sz w:val="18"/>
                <w:szCs w:val="18"/>
                <w:lang w:eastAsia="en-AU"/>
              </w:rPr>
              <w:t>.</w:t>
            </w:r>
          </w:p>
        </w:tc>
      </w:tr>
    </w:tbl>
    <w:p w14:paraId="7B2E772A" w14:textId="475CDC5B" w:rsidR="00DE278E" w:rsidRPr="007B3DCE" w:rsidRDefault="00DE278E" w:rsidP="00281BE7">
      <w:pPr>
        <w:pStyle w:val="Heading3"/>
        <w:rPr>
          <w:color w:val="102B44"/>
          <w:lang w:eastAsia="en-AU"/>
        </w:rPr>
      </w:pPr>
      <w:bookmarkStart w:id="42" w:name="_Toc167878555"/>
      <w:r w:rsidRPr="007B3DCE">
        <w:rPr>
          <w:color w:val="102B44"/>
          <w:lang w:eastAsia="en-AU"/>
        </w:rPr>
        <w:t>Outcome 6</w:t>
      </w:r>
      <w:r w:rsidR="00700FED" w:rsidRPr="007B3DCE">
        <w:rPr>
          <w:color w:val="102B44"/>
          <w:lang w:eastAsia="en-AU"/>
        </w:rPr>
        <w:t>:</w:t>
      </w:r>
      <w:r w:rsidRPr="007B3DCE">
        <w:rPr>
          <w:color w:val="102B44"/>
          <w:lang w:eastAsia="en-AU"/>
        </w:rPr>
        <w:t xml:space="preserve"> Aboriginal and Torres Strait Islander students reach their full potential through further education pathways</w:t>
      </w:r>
      <w:bookmarkEnd w:id="42"/>
    </w:p>
    <w:p w14:paraId="2C07CC5A" w14:textId="264A5183" w:rsidR="00DE278E" w:rsidRPr="007B3DCE" w:rsidRDefault="00DE278E" w:rsidP="00281BE7">
      <w:pPr>
        <w:pStyle w:val="Heading4"/>
        <w:rPr>
          <w:b/>
          <w:color w:val="215B8E" w:themeColor="accent2" w:themeShade="BF"/>
        </w:rPr>
      </w:pPr>
      <w:r w:rsidRPr="007B3DCE">
        <w:rPr>
          <w:color w:val="215B8E" w:themeColor="accent2" w:themeShade="BF"/>
        </w:rPr>
        <w:t xml:space="preserve">The proportion of Aboriginal and Torres Strait Islander people aged 25–34 years who have completed a tertiary qualification is increasing, but the </w:t>
      </w:r>
      <w:r w:rsidRPr="00623C2C">
        <w:rPr>
          <w:color w:val="215B8E" w:themeColor="accent2" w:themeShade="BF"/>
        </w:rPr>
        <w:t>target is not on track to be met by 2031</w:t>
      </w:r>
    </w:p>
    <w:p w14:paraId="4237668C" w14:textId="35CA0023" w:rsidR="00DE278E" w:rsidRPr="00216127" w:rsidRDefault="00DE278E" w:rsidP="000C20DC">
      <w:pPr>
        <w:rPr>
          <w:rFonts w:ascii="Arial (Body)" w:hAnsi="Arial (Body)" w:cs="Arial"/>
          <w:lang w:eastAsia="en-AU"/>
        </w:rPr>
      </w:pPr>
      <w:r w:rsidRPr="00216127">
        <w:rPr>
          <w:rFonts w:ascii="Arial (Body)" w:hAnsi="Arial (Body)" w:cs="Arial"/>
          <w:lang w:eastAsia="en-AU"/>
        </w:rPr>
        <w:t>Nationally in 2021,</w:t>
      </w:r>
      <w:r w:rsidR="000E11C5" w:rsidRPr="00216127">
        <w:rPr>
          <w:rFonts w:ascii="Arial (Body)" w:hAnsi="Arial (Body)" w:cs="Arial"/>
          <w:lang w:eastAsia="en-AU"/>
        </w:rPr>
        <w:t xml:space="preserve"> </w:t>
      </w:r>
      <w:r w:rsidRPr="00216127">
        <w:rPr>
          <w:rFonts w:ascii="Arial (Body)" w:hAnsi="Arial (Body)" w:cs="Arial"/>
          <w:lang w:eastAsia="en-AU"/>
        </w:rPr>
        <w:t>47.0% of Aboriginal and Torres Strait Islander people aged 25</w:t>
      </w:r>
      <w:r w:rsidR="00D66FE1" w:rsidRPr="00216127">
        <w:rPr>
          <w:rFonts w:ascii="Arial (Body)" w:hAnsi="Arial (Body)" w:cs="Arial"/>
          <w:lang w:eastAsia="en-AU"/>
        </w:rPr>
        <w:t>–</w:t>
      </w:r>
      <w:r w:rsidRPr="00216127">
        <w:rPr>
          <w:rFonts w:ascii="Arial (Body)" w:hAnsi="Arial (Body)" w:cs="Arial"/>
          <w:lang w:eastAsia="en-AU"/>
        </w:rPr>
        <w:t>34 years had completed non</w:t>
      </w:r>
      <w:r w:rsidR="29492DE8" w:rsidRPr="00216127">
        <w:rPr>
          <w:rFonts w:ascii="Arial (Body)" w:hAnsi="Arial (Body)" w:cs="Arial"/>
          <w:lang w:eastAsia="en-AU"/>
        </w:rPr>
        <w:t>-</w:t>
      </w:r>
      <w:r w:rsidRPr="00216127">
        <w:rPr>
          <w:rFonts w:ascii="Arial (Body)" w:hAnsi="Arial (Body)" w:cs="Arial"/>
          <w:lang w:eastAsia="en-AU"/>
        </w:rPr>
        <w:t>school qualifications of Certificate III or above</w:t>
      </w:r>
      <w:r w:rsidR="000E11C5" w:rsidRPr="00216127">
        <w:rPr>
          <w:rFonts w:ascii="Arial (Body)" w:hAnsi="Arial (Body)" w:cs="Arial"/>
          <w:lang w:eastAsia="en-AU"/>
        </w:rPr>
        <w:t>.</w:t>
      </w:r>
      <w:r w:rsidR="000C20DC" w:rsidRPr="00216127">
        <w:rPr>
          <w:rFonts w:ascii="Arial (Body)" w:hAnsi="Arial (Body)" w:cs="Arial"/>
          <w:lang w:eastAsia="en-AU"/>
        </w:rPr>
        <w:t xml:space="preserve"> </w:t>
      </w:r>
      <w:r w:rsidRPr="00216127">
        <w:rPr>
          <w:rFonts w:ascii="Arial (Body)" w:hAnsi="Arial (Body)" w:cs="Arial"/>
          <w:lang w:eastAsia="en-AU"/>
        </w:rPr>
        <w:t xml:space="preserve">The target of 70% </w:t>
      </w:r>
      <w:r w:rsidR="004B2375" w:rsidRPr="00216127">
        <w:rPr>
          <w:rFonts w:ascii="Arial (Body)" w:hAnsi="Arial (Body)" w:cs="Arial"/>
          <w:lang w:eastAsia="en-AU"/>
        </w:rPr>
        <w:t xml:space="preserve">by 2031 </w:t>
      </w:r>
      <w:r w:rsidRPr="00216127">
        <w:rPr>
          <w:rFonts w:ascii="Arial (Body)" w:hAnsi="Arial (Body)" w:cs="Arial"/>
          <w:lang w:eastAsia="en-AU"/>
        </w:rPr>
        <w:t>is not on track to be met.</w:t>
      </w:r>
      <w:r w:rsidR="005633E9" w:rsidRPr="00216127">
        <w:rPr>
          <w:rFonts w:ascii="Arial (Body)" w:hAnsi="Arial (Body)" w:cs="Arial"/>
          <w:lang w:eastAsia="en-AU"/>
        </w:rPr>
        <w:t xml:space="preserve"> </w:t>
      </w:r>
      <w:r w:rsidR="002A1BE6" w:rsidRPr="00216127">
        <w:rPr>
          <w:rFonts w:ascii="Arial (Body)" w:hAnsi="Arial (Body)" w:cs="Arial"/>
          <w:lang w:eastAsia="en-AU"/>
        </w:rPr>
        <w:t xml:space="preserve">There is no new data </w:t>
      </w:r>
      <w:r w:rsidR="000E11C5" w:rsidRPr="00216127">
        <w:rPr>
          <w:rFonts w:ascii="Arial (Body)" w:hAnsi="Arial (Body)" w:cs="Arial"/>
          <w:lang w:eastAsia="en-AU"/>
        </w:rPr>
        <w:t xml:space="preserve">to report progress </w:t>
      </w:r>
      <w:r w:rsidR="002A1BE6" w:rsidRPr="00216127">
        <w:rPr>
          <w:rFonts w:ascii="Arial (Body)" w:hAnsi="Arial (Body)" w:cs="Arial"/>
          <w:lang w:eastAsia="en-AU"/>
        </w:rPr>
        <w:t>for this target in 2024.</w:t>
      </w:r>
      <w:r w:rsidR="000E11C5" w:rsidRPr="009D07D6">
        <w:rPr>
          <w:rStyle w:val="FootnoteReference"/>
        </w:rPr>
        <w:footnoteReference w:id="16"/>
      </w:r>
    </w:p>
    <w:p w14:paraId="41037B70" w14:textId="4B3D68E2" w:rsidR="00DE278E" w:rsidRPr="007B3DCE" w:rsidRDefault="00DE278E" w:rsidP="00281BE7">
      <w:pPr>
        <w:pStyle w:val="Heading5"/>
        <w:rPr>
          <w:color w:val="102B44"/>
          <w:lang w:eastAsia="en-AU"/>
        </w:rPr>
      </w:pPr>
      <w:r w:rsidRPr="007B3DCE">
        <w:rPr>
          <w:color w:val="102B44"/>
        </w:rPr>
        <w:lastRenderedPageBreak/>
        <w:t xml:space="preserve">New </w:t>
      </w:r>
      <w:r w:rsidR="00197E12" w:rsidRPr="007B3DCE">
        <w:rPr>
          <w:color w:val="102B44"/>
        </w:rPr>
        <w:t>data on</w:t>
      </w:r>
      <w:r w:rsidRPr="007B3DCE">
        <w:rPr>
          <w:color w:val="102B44"/>
        </w:rPr>
        <w:t xml:space="preserve"> higher education </w:t>
      </w:r>
      <w:r w:rsidR="0027508E" w:rsidRPr="007B3DCE">
        <w:rPr>
          <w:color w:val="102B44"/>
        </w:rPr>
        <w:t xml:space="preserve">shows </w:t>
      </w:r>
      <w:r w:rsidR="00480982" w:rsidRPr="007B3DCE">
        <w:rPr>
          <w:color w:val="102B44"/>
        </w:rPr>
        <w:t xml:space="preserve">recent </w:t>
      </w:r>
      <w:r w:rsidR="0027508E" w:rsidRPr="007B3DCE">
        <w:rPr>
          <w:color w:val="102B44"/>
        </w:rPr>
        <w:t>decline</w:t>
      </w:r>
      <w:r w:rsidR="00573C9E" w:rsidRPr="007B3DCE">
        <w:rPr>
          <w:color w:val="102B44"/>
        </w:rPr>
        <w:t>s</w:t>
      </w:r>
      <w:r w:rsidR="0027508E" w:rsidRPr="007B3DCE">
        <w:rPr>
          <w:color w:val="102B44"/>
        </w:rPr>
        <w:t xml:space="preserve"> in </w:t>
      </w:r>
      <w:r w:rsidRPr="007B3DCE">
        <w:rPr>
          <w:color w:val="102B44"/>
        </w:rPr>
        <w:t>commenc</w:t>
      </w:r>
      <w:r w:rsidR="00480982" w:rsidRPr="007B3DCE">
        <w:rPr>
          <w:color w:val="102B44"/>
        </w:rPr>
        <w:t xml:space="preserve">ing bachelor students </w:t>
      </w:r>
    </w:p>
    <w:p w14:paraId="3DA34FBB" w14:textId="0D7362E1" w:rsidR="00DE278E" w:rsidRPr="00216127" w:rsidRDefault="00DE278E" w:rsidP="002001AE">
      <w:pPr>
        <w:pStyle w:val="BodyText"/>
        <w:spacing w:line="260" w:lineRule="atLeast"/>
        <w:rPr>
          <w:lang w:eastAsia="en-AU"/>
        </w:rPr>
      </w:pPr>
      <w:r w:rsidRPr="00216127">
        <w:rPr>
          <w:lang w:eastAsia="en-AU"/>
        </w:rPr>
        <w:t xml:space="preserve">In 2022, 5,016 Aboriginal and Torres Strait Islander people commenced a bachelor’s degree at an Australian university. Though this number </w:t>
      </w:r>
      <w:r w:rsidR="007071A1" w:rsidRPr="00216127">
        <w:rPr>
          <w:lang w:eastAsia="en-AU"/>
        </w:rPr>
        <w:t xml:space="preserve">is higher than the </w:t>
      </w:r>
      <w:r w:rsidR="00A43CCB" w:rsidRPr="00216127">
        <w:rPr>
          <w:lang w:eastAsia="en-AU"/>
        </w:rPr>
        <w:t xml:space="preserve">4,862 people who </w:t>
      </w:r>
      <w:r w:rsidR="00D11307" w:rsidRPr="00216127">
        <w:rPr>
          <w:lang w:eastAsia="en-AU"/>
        </w:rPr>
        <w:t>commenced in the</w:t>
      </w:r>
      <w:r w:rsidR="00A43CCB" w:rsidRPr="00216127">
        <w:rPr>
          <w:lang w:eastAsia="en-AU"/>
        </w:rPr>
        <w:t xml:space="preserve"> </w:t>
      </w:r>
      <w:r w:rsidR="007071A1" w:rsidRPr="00216127">
        <w:rPr>
          <w:lang w:eastAsia="en-AU"/>
        </w:rPr>
        <w:t xml:space="preserve">baseline </w:t>
      </w:r>
      <w:r w:rsidR="00D11307" w:rsidRPr="00216127">
        <w:rPr>
          <w:lang w:eastAsia="en-AU"/>
        </w:rPr>
        <w:t>year (2016)</w:t>
      </w:r>
      <w:r w:rsidRPr="00216127">
        <w:rPr>
          <w:lang w:eastAsia="en-AU"/>
        </w:rPr>
        <w:t xml:space="preserve">, it is lower than the previous three years, ranging from 5,200 people in 2019 to 5,460 people in 2021. </w:t>
      </w:r>
    </w:p>
    <w:p w14:paraId="66C4672D" w14:textId="1DF59C7B" w:rsidR="00DE278E" w:rsidRPr="007B3DCE" w:rsidRDefault="00DE278E" w:rsidP="002001AE">
      <w:pPr>
        <w:pStyle w:val="BodyText"/>
        <w:spacing w:line="260" w:lineRule="atLeast"/>
      </w:pPr>
      <w:r w:rsidRPr="00216127">
        <w:rPr>
          <w:lang w:eastAsia="en-AU"/>
        </w:rPr>
        <w:t xml:space="preserve">Of </w:t>
      </w:r>
      <w:r w:rsidR="5A42AEA2" w:rsidRPr="00216127">
        <w:rPr>
          <w:lang w:eastAsia="en-AU"/>
        </w:rPr>
        <w:t xml:space="preserve">the </w:t>
      </w:r>
      <w:r w:rsidR="21EEF7B9" w:rsidRPr="00216127">
        <w:rPr>
          <w:lang w:eastAsia="en-AU"/>
        </w:rPr>
        <w:t>people</w:t>
      </w:r>
      <w:r w:rsidRPr="00216127">
        <w:rPr>
          <w:lang w:eastAsia="en-AU"/>
        </w:rPr>
        <w:t xml:space="preserve"> who commenced a bachelor</w:t>
      </w:r>
      <w:r w:rsidR="000C20D3" w:rsidRPr="00216127">
        <w:rPr>
          <w:lang w:eastAsia="en-AU"/>
        </w:rPr>
        <w:t>’</w:t>
      </w:r>
      <w:r w:rsidRPr="00216127">
        <w:rPr>
          <w:lang w:eastAsia="en-AU"/>
        </w:rPr>
        <w:t xml:space="preserve">s degree in 2021, 23.4% did not return to </w:t>
      </w:r>
      <w:r w:rsidR="00B877D6" w:rsidRPr="00216127">
        <w:rPr>
          <w:lang w:eastAsia="en-AU"/>
        </w:rPr>
        <w:t xml:space="preserve">study </w:t>
      </w:r>
      <w:r w:rsidRPr="00216127">
        <w:rPr>
          <w:lang w:eastAsia="en-AU"/>
        </w:rPr>
        <w:t xml:space="preserve">the following year, representing an increase in the first-year attrition rate from 22.5% in 2020. This remains below the baseline </w:t>
      </w:r>
      <w:r w:rsidR="00127236" w:rsidRPr="00216127">
        <w:rPr>
          <w:lang w:eastAsia="en-AU"/>
        </w:rPr>
        <w:t xml:space="preserve">year (2016) </w:t>
      </w:r>
      <w:r w:rsidRPr="00216127">
        <w:rPr>
          <w:lang w:eastAsia="en-AU"/>
        </w:rPr>
        <w:t>of 24.2%.</w:t>
      </w:r>
      <w:r w:rsidR="000E0741" w:rsidRPr="00216127">
        <w:rPr>
          <w:lang w:eastAsia="en-AU"/>
        </w:rPr>
        <w:t xml:space="preserve"> </w:t>
      </w:r>
      <w:r w:rsidR="00AD01B1" w:rsidRPr="00216127">
        <w:rPr>
          <w:lang w:eastAsia="en-AU"/>
        </w:rPr>
        <w:t xml:space="preserve">There </w:t>
      </w:r>
      <w:r w:rsidR="000E0741" w:rsidRPr="00216127">
        <w:rPr>
          <w:lang w:eastAsia="en-AU"/>
        </w:rPr>
        <w:t xml:space="preserve">were mixed </w:t>
      </w:r>
      <w:r w:rsidR="00712E7C" w:rsidRPr="00216127">
        <w:rPr>
          <w:lang w:eastAsia="en-AU"/>
        </w:rPr>
        <w:t xml:space="preserve">trends </w:t>
      </w:r>
      <w:r w:rsidR="000E0741" w:rsidRPr="00216127">
        <w:rPr>
          <w:lang w:eastAsia="en-AU"/>
        </w:rPr>
        <w:t>across the jurisdiction</w:t>
      </w:r>
      <w:r w:rsidR="00AD01B1" w:rsidRPr="00216127">
        <w:rPr>
          <w:lang w:eastAsia="en-AU"/>
        </w:rPr>
        <w:t>s</w:t>
      </w:r>
      <w:r w:rsidR="000E0741" w:rsidRPr="00216127">
        <w:rPr>
          <w:lang w:eastAsia="en-AU"/>
        </w:rPr>
        <w:t>.</w:t>
      </w:r>
    </w:p>
    <w:p w14:paraId="14C8A109" w14:textId="0D0DCC8E" w:rsidR="008620DF" w:rsidRPr="00BC79E3" w:rsidRDefault="00AC3660" w:rsidP="002001AE">
      <w:pPr>
        <w:pStyle w:val="BodyText"/>
        <w:spacing w:line="260" w:lineRule="atLeast"/>
        <w:rPr>
          <w:lang w:eastAsia="en-AU"/>
        </w:rPr>
      </w:pPr>
      <w:r w:rsidRPr="00216127">
        <w:rPr>
          <w:lang w:eastAsia="en-AU"/>
        </w:rPr>
        <w:t xml:space="preserve">University completion is measured over four years, six years and nine years, as while some students may study continuously full-time and complete a degree within four years, others may study part-time and/or </w:t>
      </w:r>
      <w:r w:rsidR="00CB1334" w:rsidRPr="00216127">
        <w:rPr>
          <w:lang w:eastAsia="en-AU"/>
        </w:rPr>
        <w:t xml:space="preserve">take </w:t>
      </w:r>
      <w:r w:rsidRPr="00216127">
        <w:rPr>
          <w:lang w:eastAsia="en-AU"/>
        </w:rPr>
        <w:t xml:space="preserve">breaks. </w:t>
      </w:r>
      <w:r w:rsidR="159E3887" w:rsidRPr="00216127">
        <w:rPr>
          <w:lang w:eastAsia="en-AU"/>
        </w:rPr>
        <w:t xml:space="preserve">Observing students for extended durations increases the likelihood of them completing their education. For example, </w:t>
      </w:r>
      <w:r w:rsidR="52825B65" w:rsidRPr="00216127">
        <w:rPr>
          <w:lang w:eastAsia="en-AU"/>
        </w:rPr>
        <w:t>by</w:t>
      </w:r>
      <w:r w:rsidRPr="00216127">
        <w:rPr>
          <w:lang w:eastAsia="en-AU"/>
        </w:rPr>
        <w:t xml:space="preserve"> 2022, </w:t>
      </w:r>
      <w:r w:rsidR="40500F4D" w:rsidRPr="00216127">
        <w:rPr>
          <w:lang w:eastAsia="en-AU"/>
        </w:rPr>
        <w:t>26.0% of</w:t>
      </w:r>
      <w:r w:rsidRPr="00216127">
        <w:rPr>
          <w:lang w:eastAsia="en-AU"/>
        </w:rPr>
        <w:t xml:space="preserve"> students who commenced in 2019 had completed their degree – this increased to 39.6% and 48.6% for those who commenced in 2017 and 2014 respectively</w:t>
      </w:r>
      <w:r w:rsidR="00BE13E2">
        <w:rPr>
          <w:lang w:eastAsia="en-AU"/>
        </w:rPr>
        <w:t xml:space="preserve"> (figure 2.18)</w:t>
      </w:r>
      <w:r w:rsidRPr="00216127">
        <w:rPr>
          <w:lang w:eastAsia="en-AU"/>
        </w:rPr>
        <w:t>.</w:t>
      </w:r>
    </w:p>
    <w:p w14:paraId="08B916D7" w14:textId="4767AD65" w:rsidR="008620DF" w:rsidRPr="000E3547" w:rsidRDefault="005D270C" w:rsidP="000E3547">
      <w:pPr>
        <w:pStyle w:val="FigureTableHeading"/>
        <w:rPr>
          <w:color w:val="002060"/>
          <w:lang w:eastAsia="en-AU"/>
        </w:rPr>
      </w:pPr>
      <w:r w:rsidRPr="000E3547">
        <w:rPr>
          <w:color w:val="002060"/>
        </w:rPr>
        <w:t>Figure</w:t>
      </w:r>
      <w:r w:rsidR="00181D07" w:rsidRPr="000E3547">
        <w:rPr>
          <w:color w:val="002060"/>
        </w:rPr>
        <w:t xml:space="preserve"> </w:t>
      </w:r>
      <w:r w:rsidR="000B032B" w:rsidRPr="000E3547">
        <w:rPr>
          <w:color w:val="002060"/>
        </w:rPr>
        <w:t>2</w:t>
      </w:r>
      <w:r w:rsidR="00E62CBD" w:rsidRPr="000E3547">
        <w:rPr>
          <w:color w:val="002060"/>
        </w:rPr>
        <w:t>.</w:t>
      </w:r>
      <w:r w:rsidR="0036545D" w:rsidRPr="000E3547">
        <w:rPr>
          <w:color w:val="002060"/>
        </w:rPr>
        <w:t>18</w:t>
      </w:r>
      <w:r w:rsidR="00181D07" w:rsidRPr="000E3547">
        <w:rPr>
          <w:color w:val="002060"/>
        </w:rPr>
        <w:t xml:space="preserve"> </w:t>
      </w:r>
      <w:r w:rsidR="00181D07" w:rsidRPr="000E3547">
        <w:rPr>
          <w:color w:val="002060"/>
          <w:lang w:eastAsia="en-AU"/>
        </w:rPr>
        <w:t xml:space="preserve">– </w:t>
      </w:r>
      <w:r w:rsidR="57B1FDEA" w:rsidRPr="000E3547">
        <w:rPr>
          <w:color w:val="002060"/>
          <w:lang w:eastAsia="en-AU"/>
        </w:rPr>
        <w:t>Higher education completion, by jurisdiction</w:t>
      </w:r>
    </w:p>
    <w:p w14:paraId="2AE729CF" w14:textId="2F31EABB" w:rsidR="00427090" w:rsidRPr="00BC79E3" w:rsidRDefault="00361CA9" w:rsidP="002001AE">
      <w:pPr>
        <w:pStyle w:val="Source"/>
        <w:spacing w:after="0" w:line="200" w:lineRule="atLeast"/>
      </w:pPr>
      <w:r>
        <w:rPr>
          <w:rFonts w:asciiTheme="majorHAnsi" w:hAnsiTheme="majorHAnsi"/>
          <w:color w:val="215B8E" w:themeColor="accent2" w:themeShade="BF"/>
        </w:rPr>
        <w:t>Nine-year completion rates</w:t>
      </w:r>
      <w:r w:rsidR="07F417BC">
        <w:rPr>
          <w:rFonts w:asciiTheme="majorHAnsi" w:hAnsiTheme="majorHAnsi"/>
          <w:color w:val="215B8E" w:themeColor="accent2" w:themeShade="BF"/>
        </w:rPr>
        <w:t xml:space="preserve"> </w:t>
      </w:r>
      <w:r w:rsidR="00F144B8">
        <w:rPr>
          <w:rFonts w:asciiTheme="majorHAnsi" w:hAnsiTheme="majorHAnsi"/>
          <w:color w:val="215B8E" w:themeColor="accent2" w:themeShade="BF"/>
        </w:rPr>
        <w:t>for the</w:t>
      </w:r>
      <w:r w:rsidR="07F417BC" w:rsidRPr="00ED79E7">
        <w:rPr>
          <w:rFonts w:asciiTheme="majorHAnsi" w:hAnsiTheme="majorHAnsi"/>
          <w:color w:val="215B8E" w:themeColor="accent2" w:themeShade="BF"/>
        </w:rPr>
        <w:t xml:space="preserve"> students </w:t>
      </w:r>
      <w:r w:rsidR="00F144B8">
        <w:rPr>
          <w:rFonts w:asciiTheme="majorHAnsi" w:hAnsiTheme="majorHAnsi"/>
          <w:color w:val="215B8E" w:themeColor="accent2" w:themeShade="BF"/>
        </w:rPr>
        <w:t>who commenced study in 2014</w:t>
      </w:r>
      <w:r w:rsidR="07F417BC" w:rsidRPr="00FF25F1">
        <w:rPr>
          <w:color w:val="215B8E" w:themeColor="accent2" w:themeShade="BF"/>
        </w:rPr>
        <w:t xml:space="preserve"> </w:t>
      </w:r>
      <w:r w:rsidR="00BC79E3" w:rsidRPr="00A4008D">
        <w:rPr>
          <w:noProof/>
        </w:rPr>
        <w:drawing>
          <wp:inline distT="0" distB="0" distL="0" distR="0" wp14:anchorId="119B199D" wp14:editId="0E8F2AE5">
            <wp:extent cx="6120130" cy="2710815"/>
            <wp:effectExtent l="0" t="0" r="0" b="0"/>
            <wp:docPr id="273811555" name="Picture 204" descr="Figure 2.18 is a column chart that shows the rates of Aboriginal and Torres Strait Islander students completing, leaving, or continuing domestic bachelor studies from 2014 to 2022, broken down by jurisdiction. The chart shows the proportions of students who completed their studies, never returned after the first year, re-enrolled but dropped out, and those still enrolled at the end of the nine-year cohort period. Completion rates are highest in New South Wales and the Australian Capital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11555" name="Picture 204" descr="Figure 2.18 is a column chart that shows the rates of Aboriginal and Torres Strait Islander students completing, leaving, or continuing domestic bachelor studies from 2014 to 2022, broken down by jurisdiction. The chart shows the proportions of students who completed their studies, never returned after the first year, re-enrolled but dropped out, and those still enrolled at the end of the nine-year cohort period. Completion rates are highest in New South Wales and the Australian Capital Territor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2710815"/>
                    </a:xfrm>
                    <a:prstGeom prst="rect">
                      <a:avLst/>
                    </a:prstGeom>
                    <a:noFill/>
                    <a:ln>
                      <a:noFill/>
                    </a:ln>
                  </pic:spPr>
                </pic:pic>
              </a:graphicData>
            </a:graphic>
          </wp:inline>
        </w:drawing>
      </w:r>
      <w:r w:rsidR="00427090" w:rsidRPr="00BC79E3">
        <w:t>Source: Australian G</w:t>
      </w:r>
      <w:r w:rsidR="00324F2E" w:rsidRPr="00BC79E3">
        <w:t>overnment Department of Education Skills and Employment (unpublished) Higher Education Statistics Collection</w:t>
      </w:r>
    </w:p>
    <w:p w14:paraId="233A460F" w14:textId="7D76F96F" w:rsidR="00DE278E" w:rsidRPr="007B3DCE" w:rsidRDefault="00DE278E" w:rsidP="00A045F1">
      <w:pPr>
        <w:pStyle w:val="Heading5"/>
        <w:spacing w:before="240"/>
        <w:rPr>
          <w:color w:val="102B44"/>
          <w:lang w:eastAsia="en-AU"/>
        </w:rPr>
      </w:pPr>
      <w:r w:rsidRPr="007B3DCE">
        <w:rPr>
          <w:color w:val="102B44"/>
        </w:rPr>
        <w:t xml:space="preserve">New </w:t>
      </w:r>
      <w:r w:rsidR="00197E12" w:rsidRPr="007B3DCE">
        <w:rPr>
          <w:color w:val="102B44"/>
        </w:rPr>
        <w:t xml:space="preserve">data </w:t>
      </w:r>
      <w:r w:rsidR="005B4C9A" w:rsidRPr="007B3DCE">
        <w:rPr>
          <w:color w:val="102B44"/>
        </w:rPr>
        <w:t>shows</w:t>
      </w:r>
      <w:r w:rsidRPr="007B3DCE">
        <w:rPr>
          <w:color w:val="102B44"/>
        </w:rPr>
        <w:t xml:space="preserve"> </w:t>
      </w:r>
      <w:r w:rsidR="00B0053F" w:rsidRPr="007B3DCE">
        <w:rPr>
          <w:color w:val="102B44"/>
        </w:rPr>
        <w:t xml:space="preserve">recent increases in </w:t>
      </w:r>
      <w:r w:rsidRPr="007B3DCE">
        <w:rPr>
          <w:color w:val="102B44"/>
        </w:rPr>
        <w:t>commencement</w:t>
      </w:r>
      <w:r w:rsidR="005B4C9A" w:rsidRPr="007B3DCE">
        <w:rPr>
          <w:color w:val="102B44"/>
        </w:rPr>
        <w:t xml:space="preserve">s of </w:t>
      </w:r>
      <w:r w:rsidR="00264C26" w:rsidRPr="007B3DCE">
        <w:rPr>
          <w:color w:val="102B44"/>
        </w:rPr>
        <w:t>vocational education and training qualifications</w:t>
      </w:r>
    </w:p>
    <w:p w14:paraId="0D9E7EE6" w14:textId="0B3198C5" w:rsidR="00DE278E" w:rsidRPr="00216127" w:rsidRDefault="00DE278E" w:rsidP="00BA4671">
      <w:pPr>
        <w:rPr>
          <w:rFonts w:ascii="Arial (Body)" w:hAnsi="Arial (Body)" w:cs="Arial"/>
          <w:lang w:eastAsia="en-AU"/>
        </w:rPr>
      </w:pPr>
      <w:r w:rsidRPr="00216127">
        <w:rPr>
          <w:rFonts w:ascii="Arial (Body)" w:hAnsi="Arial (Body)" w:cs="Arial"/>
          <w:lang w:eastAsia="en-AU"/>
        </w:rPr>
        <w:t xml:space="preserve">In 2022, 39,495 </w:t>
      </w:r>
      <w:r w:rsidR="00B57550" w:rsidRPr="00216127">
        <w:rPr>
          <w:rFonts w:ascii="Arial (Body)" w:hAnsi="Arial (Body)" w:cs="Arial"/>
          <w:lang w:eastAsia="en-AU"/>
        </w:rPr>
        <w:t>vocational education and training (</w:t>
      </w:r>
      <w:r w:rsidRPr="00216127">
        <w:rPr>
          <w:rFonts w:ascii="Arial (Body)" w:hAnsi="Arial (Body)" w:cs="Arial"/>
          <w:lang w:eastAsia="en-AU"/>
        </w:rPr>
        <w:t>VET</w:t>
      </w:r>
      <w:r w:rsidR="00B57550" w:rsidRPr="00216127">
        <w:rPr>
          <w:rFonts w:ascii="Arial (Body)" w:hAnsi="Arial (Body)" w:cs="Arial"/>
          <w:lang w:eastAsia="en-AU"/>
        </w:rPr>
        <w:t>)</w:t>
      </w:r>
      <w:r w:rsidRPr="00216127">
        <w:rPr>
          <w:rFonts w:ascii="Arial (Body)" w:hAnsi="Arial (Body)" w:cs="Arial"/>
          <w:lang w:eastAsia="en-AU"/>
        </w:rPr>
        <w:t xml:space="preserve"> qualifications (Certificate level III or above) were commenced by Aboriginal and Torres Strait Islander students aged 34 years or under. This is an increase from the previous year (36,976 commencements) but remains below the baseline </w:t>
      </w:r>
      <w:r w:rsidR="00734313" w:rsidRPr="00216127">
        <w:rPr>
          <w:rFonts w:ascii="Arial (Body)" w:hAnsi="Arial (Body)" w:cs="Arial"/>
          <w:lang w:eastAsia="en-AU"/>
        </w:rPr>
        <w:t xml:space="preserve">year (2016) </w:t>
      </w:r>
      <w:r w:rsidRPr="00216127">
        <w:rPr>
          <w:rFonts w:ascii="Arial (Body)" w:hAnsi="Arial (Body)" w:cs="Arial"/>
          <w:lang w:eastAsia="en-AU"/>
        </w:rPr>
        <w:t>(39,749</w:t>
      </w:r>
      <w:r w:rsidR="006464C2" w:rsidRPr="00216127">
        <w:rPr>
          <w:rFonts w:ascii="Arial (Body)" w:hAnsi="Arial (Body)" w:cs="Arial"/>
          <w:lang w:eastAsia="en-AU"/>
        </w:rPr>
        <w:t> </w:t>
      </w:r>
      <w:r w:rsidRPr="00216127">
        <w:rPr>
          <w:rFonts w:ascii="Arial (Body)" w:hAnsi="Arial (Body)" w:cs="Arial"/>
          <w:lang w:eastAsia="en-AU"/>
        </w:rPr>
        <w:t>commencements).</w:t>
      </w:r>
    </w:p>
    <w:p w14:paraId="63E6DD41" w14:textId="1449D39C" w:rsidR="00042124" w:rsidRDefault="00DE278E" w:rsidP="00ED79E7">
      <w:pPr>
        <w:rPr>
          <w:rFonts w:ascii="Arial (Body)" w:hAnsi="Arial (Body)" w:cs="Arial"/>
          <w:lang w:eastAsia="en-AU"/>
        </w:rPr>
      </w:pPr>
      <w:r w:rsidRPr="00216127">
        <w:rPr>
          <w:rFonts w:ascii="Arial (Body)" w:hAnsi="Arial (Body)" w:cs="Arial"/>
          <w:lang w:eastAsia="en-AU"/>
        </w:rPr>
        <w:t xml:space="preserve">The expected completion rate in 2024 of qualifications (Certificate level III or above) commenced by Aboriginal and Torres Strait Islander students aged 34 years or under in 2020 </w:t>
      </w:r>
      <w:r w:rsidR="004A181F" w:rsidRPr="00216127">
        <w:rPr>
          <w:rFonts w:ascii="Arial (Body)" w:hAnsi="Arial (Body)" w:cs="Arial"/>
          <w:lang w:eastAsia="en-AU"/>
        </w:rPr>
        <w:t>was</w:t>
      </w:r>
      <w:r w:rsidRPr="00216127">
        <w:rPr>
          <w:rFonts w:ascii="Arial (Body)" w:hAnsi="Arial (Body)" w:cs="Arial"/>
          <w:lang w:eastAsia="en-AU"/>
        </w:rPr>
        <w:t xml:space="preserve"> 35.4%. This is higher than the completion rate in 2020 of qualifications that were commenced in 2016 (34.1%).</w:t>
      </w:r>
      <w:r w:rsidR="00DA5278" w:rsidRPr="00216127">
        <w:rPr>
          <w:rFonts w:ascii="Arial (Body)" w:hAnsi="Arial (Body)" w:cs="Arial"/>
          <w:lang w:eastAsia="en-AU"/>
        </w:rPr>
        <w:t xml:space="preserve"> </w:t>
      </w:r>
      <w:r w:rsidR="00756D63" w:rsidRPr="00216127">
        <w:rPr>
          <w:rFonts w:ascii="Arial (Body)" w:hAnsi="Arial (Body)" w:cs="Arial"/>
          <w:lang w:eastAsia="en-AU"/>
        </w:rPr>
        <w:t xml:space="preserve">Box </w:t>
      </w:r>
      <w:r w:rsidR="00A26E71" w:rsidRPr="00216127">
        <w:rPr>
          <w:rFonts w:ascii="Arial (Body)" w:hAnsi="Arial (Body)" w:cs="Arial"/>
          <w:lang w:eastAsia="en-AU"/>
        </w:rPr>
        <w:t>2.1</w:t>
      </w:r>
      <w:r w:rsidR="002C5706">
        <w:rPr>
          <w:rFonts w:ascii="Arial (Body)" w:hAnsi="Arial (Body)" w:cs="Arial"/>
          <w:lang w:eastAsia="en-AU"/>
        </w:rPr>
        <w:t>7</w:t>
      </w:r>
      <w:r w:rsidR="00A26E71" w:rsidRPr="00216127">
        <w:rPr>
          <w:rFonts w:ascii="Arial (Body)" w:hAnsi="Arial (Body)" w:cs="Arial"/>
          <w:lang w:eastAsia="en-AU"/>
        </w:rPr>
        <w:t xml:space="preserve"> outlines</w:t>
      </w:r>
      <w:r w:rsidR="00C70872" w:rsidRPr="00216127">
        <w:rPr>
          <w:rFonts w:ascii="Arial (Body)" w:hAnsi="Arial (Body)" w:cs="Arial"/>
          <w:lang w:eastAsia="en-AU"/>
        </w:rPr>
        <w:t xml:space="preserve"> </w:t>
      </w:r>
      <w:r w:rsidR="00D403BB" w:rsidRPr="00216127">
        <w:rPr>
          <w:rFonts w:ascii="Arial (Body)" w:hAnsi="Arial (Body)" w:cs="Arial"/>
          <w:lang w:eastAsia="en-AU"/>
        </w:rPr>
        <w:t xml:space="preserve">potential barriers </w:t>
      </w:r>
      <w:r w:rsidR="001D5A8A" w:rsidRPr="00216127">
        <w:rPr>
          <w:rFonts w:ascii="Arial (Body)" w:hAnsi="Arial (Body)" w:cs="Arial"/>
          <w:lang w:eastAsia="en-AU"/>
        </w:rPr>
        <w:t xml:space="preserve">to access </w:t>
      </w:r>
      <w:r w:rsidR="00D403BB" w:rsidRPr="00216127">
        <w:rPr>
          <w:rFonts w:ascii="Arial (Body)" w:hAnsi="Arial (Body)" w:cs="Arial"/>
          <w:lang w:eastAsia="en-AU"/>
        </w:rPr>
        <w:t>a</w:t>
      </w:r>
      <w:r w:rsidR="00442978" w:rsidRPr="00216127">
        <w:rPr>
          <w:rFonts w:ascii="Arial (Body)" w:hAnsi="Arial (Body)" w:cs="Arial"/>
          <w:lang w:eastAsia="en-AU"/>
        </w:rPr>
        <w:t>s well as</w:t>
      </w:r>
      <w:r w:rsidR="00D403BB" w:rsidRPr="00216127">
        <w:rPr>
          <w:rFonts w:ascii="Arial (Body)" w:hAnsi="Arial (Body)" w:cs="Arial"/>
          <w:lang w:eastAsia="en-AU"/>
        </w:rPr>
        <w:t xml:space="preserve"> opportunities</w:t>
      </w:r>
      <w:r w:rsidR="001D5A8A" w:rsidRPr="00216127">
        <w:rPr>
          <w:rFonts w:ascii="Arial (Body)" w:hAnsi="Arial (Body)" w:cs="Arial"/>
          <w:lang w:eastAsia="en-AU"/>
        </w:rPr>
        <w:t xml:space="preserve"> </w:t>
      </w:r>
      <w:r w:rsidR="0015562B" w:rsidRPr="00216127">
        <w:rPr>
          <w:rFonts w:ascii="Arial (Body)" w:hAnsi="Arial (Body)" w:cs="Arial"/>
          <w:lang w:eastAsia="en-AU"/>
        </w:rPr>
        <w:t>to support</w:t>
      </w:r>
      <w:r w:rsidR="001D5A8A" w:rsidRPr="00216127">
        <w:rPr>
          <w:rFonts w:ascii="Arial (Body)" w:hAnsi="Arial (Body)" w:cs="Arial"/>
          <w:lang w:eastAsia="en-AU"/>
        </w:rPr>
        <w:t xml:space="preserve"> retention</w:t>
      </w:r>
      <w:r w:rsidR="0015562B" w:rsidRPr="00216127">
        <w:rPr>
          <w:rFonts w:ascii="Arial (Body)" w:hAnsi="Arial (Body)" w:cs="Arial"/>
          <w:lang w:eastAsia="en-AU"/>
        </w:rPr>
        <w:t xml:space="preserve"> of Aboriginal and Torres Strait Islander students.</w:t>
      </w:r>
      <w:r w:rsidR="00A66957" w:rsidRPr="00216127">
        <w:rPr>
          <w:rFonts w:ascii="Arial (Body)" w:hAnsi="Arial (Body)"/>
          <w:vanish/>
        </w:rPr>
        <w:t>[</w:t>
      </w:r>
      <w:r w:rsidR="00A66957" w:rsidRPr="00216127">
        <w:rPr>
          <w:rFonts w:ascii="Arial (Body)" w:hAnsi="Arial (Body)"/>
          <w:smallCaps/>
          <w:vanish/>
        </w:rPr>
        <w:t>Used for spacing, do not delete</w:t>
      </w:r>
      <w:r w:rsidR="00A66957" w:rsidRPr="00216127">
        <w:rPr>
          <w:rFonts w:ascii="Arial (Body)" w:hAnsi="Arial (Body)"/>
          <w:vanish/>
        </w:rPr>
        <w:t xml:space="preserve"> | Style: No Spacing]</w:t>
      </w:r>
    </w:p>
    <w:tbl>
      <w:tblPr>
        <w:tblStyle w:val="Boxtable"/>
        <w:tblpPr w:leftFromText="180" w:rightFromText="180" w:vertAnchor="text" w:horzAnchor="margin" w:tblpY="40"/>
        <w:tblW w:w="5000" w:type="pct"/>
        <w:tblLook w:val="04A0" w:firstRow="1" w:lastRow="0" w:firstColumn="1" w:lastColumn="0" w:noHBand="0" w:noVBand="1"/>
      </w:tblPr>
      <w:tblGrid>
        <w:gridCol w:w="9638"/>
      </w:tblGrid>
      <w:tr w:rsidR="009F6FC2" w:rsidRPr="007B3DCE" w14:paraId="094EA039" w14:textId="77777777" w:rsidTr="009F6FC2">
        <w:trPr>
          <w:trHeight w:val="476"/>
          <w:tblHeader/>
        </w:trPr>
        <w:tc>
          <w:tcPr>
            <w:tcW w:w="9638" w:type="dxa"/>
            <w:shd w:val="clear" w:color="auto" w:fill="102B44"/>
            <w:tcMar>
              <w:top w:w="170" w:type="dxa"/>
              <w:left w:w="170" w:type="dxa"/>
              <w:bottom w:w="113" w:type="dxa"/>
              <w:right w:w="170" w:type="dxa"/>
            </w:tcMar>
            <w:vAlign w:val="center"/>
            <w:hideMark/>
          </w:tcPr>
          <w:p w14:paraId="567CB593" w14:textId="77777777" w:rsidR="009F6FC2" w:rsidRPr="007B3DCE" w:rsidRDefault="009F6FC2" w:rsidP="009F6FC2">
            <w:pPr>
              <w:pStyle w:val="BoxHeading1"/>
              <w:spacing w:before="0"/>
            </w:pPr>
            <w:r w:rsidRPr="007B3DCE">
              <w:rPr>
                <w:color w:val="FFFFFF"/>
              </w:rPr>
              <w:lastRenderedPageBreak/>
              <w:t>Box 2.1</w:t>
            </w:r>
            <w:r>
              <w:rPr>
                <w:color w:val="FFFFFF"/>
              </w:rPr>
              <w:t>7</w:t>
            </w:r>
            <w:r w:rsidRPr="007B3DCE">
              <w:rPr>
                <w:color w:val="FFFFFF"/>
              </w:rPr>
              <w:t xml:space="preserve"> – Supporting Aboriginal and Torres Strait Islander people to pursue further education </w:t>
            </w:r>
          </w:p>
        </w:tc>
      </w:tr>
      <w:tr w:rsidR="009F6FC2" w:rsidRPr="007B3DCE" w14:paraId="7736C04E" w14:textId="77777777" w:rsidTr="009F6FC2">
        <w:tc>
          <w:tcPr>
            <w:tcW w:w="9638" w:type="dxa"/>
            <w:shd w:val="clear" w:color="auto" w:fill="D2E4F4" w:themeFill="accent2" w:themeFillTint="33"/>
            <w:tcMar>
              <w:top w:w="28" w:type="dxa"/>
              <w:left w:w="170" w:type="dxa"/>
              <w:bottom w:w="170" w:type="dxa"/>
              <w:right w:w="170" w:type="dxa"/>
            </w:tcMar>
            <w:hideMark/>
          </w:tcPr>
          <w:p w14:paraId="286559B0" w14:textId="77777777" w:rsidR="009F6FC2" w:rsidRPr="00216127" w:rsidRDefault="009F6FC2" w:rsidP="00FD32B0">
            <w:pPr>
              <w:pStyle w:val="BodyText"/>
              <w:rPr>
                <w:lang w:eastAsia="en-AU"/>
              </w:rPr>
            </w:pPr>
            <w:r w:rsidRPr="00216127">
              <w:rPr>
                <w:lang w:eastAsia="en-AU"/>
              </w:rPr>
              <w:t xml:space="preserve">Structural factors can create barriers to accessing further education for Aboriginal and Torres Strait Islander people. These include:  </w:t>
            </w:r>
          </w:p>
          <w:p w14:paraId="532E8A81" w14:textId="77777777" w:rsidR="009F6FC2" w:rsidRPr="00974ADB" w:rsidRDefault="009F6FC2" w:rsidP="00974ADB">
            <w:pPr>
              <w:pStyle w:val="ListBullet"/>
              <w:numPr>
                <w:ilvl w:val="0"/>
                <w:numId w:val="17"/>
              </w:numPr>
              <w:ind w:left="227" w:hanging="227"/>
            </w:pPr>
            <w:r w:rsidRPr="00974ADB">
              <w:t xml:space="preserve">socio-economic challenges, such as higher rates of unemployment, financial distress and competing priorities with family and community </w:t>
            </w:r>
          </w:p>
          <w:p w14:paraId="3B846156" w14:textId="77777777" w:rsidR="009F6FC2" w:rsidRPr="00974ADB" w:rsidRDefault="009F6FC2" w:rsidP="00974ADB">
            <w:pPr>
              <w:pStyle w:val="ListBullet"/>
              <w:numPr>
                <w:ilvl w:val="0"/>
                <w:numId w:val="17"/>
              </w:numPr>
              <w:ind w:left="227" w:hanging="227"/>
            </w:pPr>
            <w:r w:rsidRPr="00974ADB">
              <w:t xml:space="preserve">geographical barriers, with many Aboriginal and Torres Strait Islander communities residing in remote and regional areas with limited access to universities, support services and digital infrastructure </w:t>
            </w:r>
          </w:p>
          <w:p w14:paraId="6096FE5A" w14:textId="77777777" w:rsidR="009F6FC2" w:rsidRPr="00974ADB" w:rsidRDefault="009F6FC2" w:rsidP="00974ADB">
            <w:pPr>
              <w:pStyle w:val="ListBullet"/>
              <w:numPr>
                <w:ilvl w:val="0"/>
                <w:numId w:val="17"/>
              </w:numPr>
              <w:ind w:left="227" w:hanging="227"/>
            </w:pPr>
            <w:r w:rsidRPr="00974ADB">
              <w:t xml:space="preserve">a disconnect from the mainstream curriculum that does not acknowledge or incorporate Aboriginal and Torres Strait Islander cultural identities, languages or histories </w:t>
            </w:r>
          </w:p>
          <w:p w14:paraId="1BA8A1EF" w14:textId="77777777" w:rsidR="009F6FC2" w:rsidRPr="00974ADB" w:rsidRDefault="009F6FC2" w:rsidP="00974ADB">
            <w:pPr>
              <w:pStyle w:val="ListBullet"/>
              <w:numPr>
                <w:ilvl w:val="0"/>
                <w:numId w:val="17"/>
              </w:numPr>
              <w:ind w:left="227" w:hanging="227"/>
            </w:pPr>
            <w:r w:rsidRPr="00974ADB">
              <w:t xml:space="preserve">racism and discrimination within educational institutions, which may create hostile learning environments. </w:t>
            </w:r>
          </w:p>
          <w:p w14:paraId="2F58FC22" w14:textId="77777777" w:rsidR="009F6FC2" w:rsidRPr="00E94039" w:rsidRDefault="009F6FC2" w:rsidP="00FD32B0">
            <w:pPr>
              <w:pStyle w:val="BodyText"/>
              <w:rPr>
                <w:spacing w:val="-4"/>
                <w:lang w:eastAsia="en-AU"/>
              </w:rPr>
            </w:pPr>
            <w:r w:rsidRPr="00E94039">
              <w:rPr>
                <w:spacing w:val="-4"/>
                <w:lang w:eastAsia="en-AU"/>
              </w:rPr>
              <w:t>Opportunities to support retention of Aboriginal and Torres Strait Islander students in further study include:</w:t>
            </w:r>
          </w:p>
          <w:p w14:paraId="03CD6192" w14:textId="77777777" w:rsidR="009F6FC2" w:rsidRPr="00974ADB" w:rsidRDefault="009F6FC2" w:rsidP="00974ADB">
            <w:pPr>
              <w:pStyle w:val="ListBullet"/>
              <w:numPr>
                <w:ilvl w:val="0"/>
                <w:numId w:val="17"/>
              </w:numPr>
              <w:ind w:left="227" w:hanging="227"/>
            </w:pPr>
            <w:r w:rsidRPr="00974ADB">
              <w:t xml:space="preserve">developing culturally appropriate mentoring and tutoring programs to support Aboriginal and Torres Strait Islander students navigating academic challenges, building confidence and a sense of belonging with the higher education system </w:t>
            </w:r>
          </w:p>
          <w:p w14:paraId="7924E0DF" w14:textId="77777777" w:rsidR="009F6FC2" w:rsidRPr="00974ADB" w:rsidRDefault="009F6FC2" w:rsidP="00974ADB">
            <w:pPr>
              <w:pStyle w:val="ListBullet"/>
              <w:numPr>
                <w:ilvl w:val="0"/>
                <w:numId w:val="17"/>
              </w:numPr>
              <w:ind w:left="227" w:hanging="227"/>
            </w:pPr>
            <w:r w:rsidRPr="00974ADB">
              <w:t xml:space="preserve">offering flexible delivery of course content, including online courses, blended learning, or part-time study options. This can give Aboriginal and Torres Strait Islander students more options to balance studies with other responsibilities and cultural commitments </w:t>
            </w:r>
          </w:p>
          <w:p w14:paraId="16D3CC1E" w14:textId="77777777" w:rsidR="009F6FC2" w:rsidRPr="00974ADB" w:rsidRDefault="009F6FC2" w:rsidP="00974ADB">
            <w:pPr>
              <w:pStyle w:val="ListBullet"/>
              <w:numPr>
                <w:ilvl w:val="0"/>
                <w:numId w:val="17"/>
              </w:numPr>
              <w:ind w:left="227" w:hanging="227"/>
            </w:pPr>
            <w:r w:rsidRPr="00974ADB">
              <w:t>having an open-door policy for students for whom life circumstances lead them to discontinue their studies before graduating but who later wish to return.</w:t>
            </w:r>
          </w:p>
          <w:p w14:paraId="674257FF" w14:textId="4317431D" w:rsidR="009F6FC2" w:rsidRPr="007B3DCE" w:rsidRDefault="009F6FC2" w:rsidP="00D00257">
            <w:pPr>
              <w:pStyle w:val="Source"/>
              <w:rPr>
                <w:lang w:eastAsia="en-AU"/>
              </w:rPr>
            </w:pPr>
            <w:r w:rsidRPr="00D14A4A">
              <w:rPr>
                <w:lang w:eastAsia="en-AU"/>
              </w:rPr>
              <w:t xml:space="preserve">Source: Aird et al. </w:t>
            </w:r>
            <w:r w:rsidRPr="00216127">
              <w:rPr>
                <w:rFonts w:ascii="Arial (Body)" w:hAnsi="Arial (Body)" w:cs="Arial"/>
              </w:rPr>
              <w:t>(2010)</w:t>
            </w:r>
            <w:r w:rsidRPr="00D14A4A">
              <w:rPr>
                <w:lang w:eastAsia="en-AU"/>
              </w:rPr>
              <w:t xml:space="preserve">; Dreamson et al. </w:t>
            </w:r>
            <w:r w:rsidRPr="00216127">
              <w:rPr>
                <w:rFonts w:ascii="Arial (Body)" w:hAnsi="Arial (Body)" w:cs="Arial"/>
              </w:rPr>
              <w:t>(2016)</w:t>
            </w:r>
            <w:r w:rsidRPr="00D14A4A">
              <w:rPr>
                <w:lang w:eastAsia="en-AU"/>
              </w:rPr>
              <w:t xml:space="preserve">; Guenther and Bat </w:t>
            </w:r>
            <w:r w:rsidRPr="00216127">
              <w:rPr>
                <w:rFonts w:ascii="Arial (Body)" w:hAnsi="Arial (Body)" w:cs="Arial"/>
              </w:rPr>
              <w:t>(2013)</w:t>
            </w:r>
            <w:r w:rsidRPr="00D14A4A">
              <w:rPr>
                <w:lang w:eastAsia="en-AU"/>
              </w:rPr>
              <w:t xml:space="preserve">; Hollinsworth et al. </w:t>
            </w:r>
            <w:r w:rsidRPr="00216127">
              <w:rPr>
                <w:rFonts w:ascii="Arial (Body)" w:hAnsi="Arial (Body)" w:cs="Arial"/>
              </w:rPr>
              <w:t>(2020)</w:t>
            </w:r>
            <w:r w:rsidRPr="00D14A4A">
              <w:rPr>
                <w:lang w:eastAsia="en-AU"/>
              </w:rPr>
              <w:t xml:space="preserve">; Keating </w:t>
            </w:r>
            <w:r w:rsidRPr="00216127">
              <w:rPr>
                <w:rFonts w:ascii="Arial (Body)" w:hAnsi="Arial (Body)" w:cs="Arial"/>
              </w:rPr>
              <w:t>(2023)</w:t>
            </w:r>
            <w:r w:rsidRPr="00D14A4A">
              <w:rPr>
                <w:lang w:eastAsia="en-AU"/>
              </w:rPr>
              <w:t xml:space="preserve">; Slatyer et al. </w:t>
            </w:r>
            <w:r w:rsidRPr="00216127">
              <w:rPr>
                <w:rFonts w:ascii="Arial (Body)" w:hAnsi="Arial (Body)" w:cs="Arial"/>
              </w:rPr>
              <w:t>(2016)</w:t>
            </w:r>
            <w:r w:rsidRPr="00D14A4A">
              <w:rPr>
                <w:lang w:eastAsia="en-AU"/>
              </w:rPr>
              <w:t xml:space="preserve">; Taylor et al. </w:t>
            </w:r>
            <w:r w:rsidRPr="00216127">
              <w:rPr>
                <w:rFonts w:ascii="Arial (Body)" w:hAnsi="Arial (Body)" w:cs="Arial"/>
              </w:rPr>
              <w:t>(2019)</w:t>
            </w:r>
            <w:r w:rsidRPr="00D14A4A">
              <w:rPr>
                <w:lang w:eastAsia="en-AU"/>
              </w:rPr>
              <w:t xml:space="preserve">. </w:t>
            </w:r>
          </w:p>
        </w:tc>
      </w:tr>
      <w:tr w:rsidR="009F6FC2" w:rsidRPr="007B3DCE" w14:paraId="5ED73F44" w14:textId="77777777" w:rsidTr="009F6FC2">
        <w:trPr>
          <w:hidden/>
        </w:trPr>
        <w:tc>
          <w:tcPr>
            <w:tcW w:w="9638" w:type="dxa"/>
            <w:shd w:val="clear" w:color="auto" w:fill="auto"/>
            <w:tcMar>
              <w:top w:w="0" w:type="dxa"/>
              <w:left w:w="170" w:type="dxa"/>
              <w:bottom w:w="0" w:type="dxa"/>
              <w:right w:w="170" w:type="dxa"/>
            </w:tcMar>
          </w:tcPr>
          <w:p w14:paraId="0A7C550B" w14:textId="77777777" w:rsidR="009F6FC2" w:rsidRPr="007B3DCE" w:rsidRDefault="009F6FC2" w:rsidP="009F6FC2">
            <w:pPr>
              <w:pStyle w:val="BodyText"/>
              <w:spacing w:before="0" w:after="0" w:line="80" w:lineRule="atLeast"/>
              <w:rPr>
                <w:smallCaps/>
                <w:vanish/>
              </w:rPr>
            </w:pPr>
          </w:p>
        </w:tc>
      </w:tr>
    </w:tbl>
    <w:p w14:paraId="7FCE9F5D" w14:textId="77777777" w:rsidR="004C16BC" w:rsidRPr="007B3DCE" w:rsidRDefault="004C16BC" w:rsidP="004A2967">
      <w:pPr>
        <w:pStyle w:val="Heading3"/>
        <w:rPr>
          <w:color w:val="102B44"/>
        </w:rPr>
      </w:pPr>
      <w:bookmarkStart w:id="43" w:name="_Toc167878556"/>
      <w:r w:rsidRPr="007B3DCE">
        <w:rPr>
          <w:color w:val="102B44"/>
        </w:rPr>
        <w:t>Outcome 7: Aboriginal and Torres Strait Islander youth are engaged in employment or education</w:t>
      </w:r>
      <w:bookmarkEnd w:id="43"/>
    </w:p>
    <w:p w14:paraId="1C277B5F" w14:textId="4F68B344" w:rsidR="004C16BC" w:rsidRPr="007B3DCE" w:rsidRDefault="004C16BC" w:rsidP="00201850">
      <w:pPr>
        <w:pStyle w:val="Heading4"/>
        <w:rPr>
          <w:rFonts w:ascii="Arial Black" w:hAnsi="Arial Black"/>
          <w:color w:val="215B8E" w:themeColor="accent2" w:themeShade="BF"/>
          <w:sz w:val="24"/>
          <w:szCs w:val="24"/>
        </w:rPr>
      </w:pPr>
      <w:r w:rsidRPr="007B3DCE">
        <w:rPr>
          <w:color w:val="215B8E" w:themeColor="accent2" w:themeShade="BF"/>
          <w:lang w:eastAsia="en-AU"/>
        </w:rPr>
        <w:t>The proportion of Aboriginal and Torres Strait Islander young people fully engaged in employment, education or training</w:t>
      </w:r>
      <w:r w:rsidRPr="007B3DCE" w:rsidDel="00E262BC">
        <w:rPr>
          <w:color w:val="215B8E" w:themeColor="accent2" w:themeShade="BF"/>
          <w:lang w:eastAsia="en-AU"/>
        </w:rPr>
        <w:t xml:space="preserve"> </w:t>
      </w:r>
      <w:r w:rsidR="00551E2A">
        <w:rPr>
          <w:color w:val="215B8E" w:themeColor="accent2" w:themeShade="BF"/>
          <w:lang w:eastAsia="en-AU"/>
        </w:rPr>
        <w:t xml:space="preserve">has </w:t>
      </w:r>
      <w:r w:rsidRPr="007B3DCE">
        <w:rPr>
          <w:color w:val="215B8E" w:themeColor="accent2" w:themeShade="BF"/>
          <w:lang w:eastAsia="en-AU"/>
        </w:rPr>
        <w:t>increased but the target is not on track to be met</w:t>
      </w:r>
      <w:r w:rsidR="0096231D">
        <w:rPr>
          <w:color w:val="215B8E" w:themeColor="accent2" w:themeShade="BF"/>
          <w:lang w:eastAsia="en-AU"/>
        </w:rPr>
        <w:t xml:space="preserve"> by 2031</w:t>
      </w:r>
    </w:p>
    <w:p w14:paraId="270C2AE1" w14:textId="77777777" w:rsidR="009F6FC2" w:rsidRDefault="004C16BC" w:rsidP="00B50BAE">
      <w:pPr>
        <w:pStyle w:val="BodyText"/>
        <w:spacing w:after="240"/>
      </w:pPr>
      <w:r w:rsidRPr="007B3DCE">
        <w:t xml:space="preserve">The latest data </w:t>
      </w:r>
      <w:r w:rsidR="30ABF1F7" w:rsidRPr="007B3DCE">
        <w:t>from 2021</w:t>
      </w:r>
      <w:r w:rsidRPr="007B3DCE">
        <w:t xml:space="preserve"> indicate</w:t>
      </w:r>
      <w:r w:rsidR="00C44B29" w:rsidRPr="007B3DCE">
        <w:t>d</w:t>
      </w:r>
      <w:r w:rsidRPr="007B3DCE">
        <w:t xml:space="preserve"> that the target of 67% </w:t>
      </w:r>
      <w:r w:rsidR="000C5BB3" w:rsidRPr="007B3DCE">
        <w:t>of Aboriginal and Torres Strait Islander young people engaged in employment, education or training</w:t>
      </w:r>
      <w:r w:rsidRPr="007B3DCE">
        <w:t xml:space="preserve"> is not on track to be met.</w:t>
      </w:r>
      <w:r w:rsidR="00677DAA" w:rsidRPr="009D07D6">
        <w:rPr>
          <w:rStyle w:val="FootnoteReference"/>
        </w:rPr>
        <w:footnoteReference w:id="17"/>
      </w:r>
      <w:r w:rsidRPr="007B3DCE">
        <w:t xml:space="preserve"> Nationally in 2021, 58.0% of Aboriginal and Torres Strait Islander people aged 15</w:t>
      </w:r>
      <w:r w:rsidR="1F95BFBE" w:rsidRPr="007B3DCE">
        <w:t xml:space="preserve"> to </w:t>
      </w:r>
      <w:r w:rsidRPr="007B3DCE">
        <w:t xml:space="preserve">24 years were fully engaged in employment, education or </w:t>
      </w:r>
      <w:r w:rsidR="006D42D1" w:rsidRPr="007B3DCE">
        <w:t>training</w:t>
      </w:r>
      <w:r w:rsidR="00E97474" w:rsidRPr="007B3DCE">
        <w:t>, up from 57.2% in the baseline year</w:t>
      </w:r>
      <w:r w:rsidR="00881E6A" w:rsidRPr="007B3DCE">
        <w:t xml:space="preserve"> (2016)</w:t>
      </w:r>
      <w:r w:rsidR="006D42D1" w:rsidRPr="007B3DCE">
        <w:t>.</w:t>
      </w:r>
      <w:r w:rsidRPr="007B3DCE">
        <w:t xml:space="preserve"> </w:t>
      </w:r>
      <w:r w:rsidR="00600CF5" w:rsidRPr="007B3DCE">
        <w:t>H</w:t>
      </w:r>
      <w:r w:rsidR="000243B4" w:rsidRPr="007B3DCE">
        <w:t>istorically</w:t>
      </w:r>
      <w:r w:rsidR="00600CF5" w:rsidRPr="007B3DCE">
        <w:t>, t</w:t>
      </w:r>
      <w:r w:rsidRPr="007B3DCE">
        <w:t>he proportion of Aboriginal and Torres Strait Islander people and non-Indigenous people engaged in employment, education or training declined with age.</w:t>
      </w:r>
    </w:p>
    <w:p w14:paraId="3AED08FB" w14:textId="77777777" w:rsidR="00192CA6" w:rsidRDefault="00192CA6" w:rsidP="009F6FC2">
      <w:pPr>
        <w:pStyle w:val="BodyText"/>
        <w:spacing w:after="240"/>
      </w:pPr>
    </w:p>
    <w:p w14:paraId="53F14C7F" w14:textId="5944E571" w:rsidR="00192CA6" w:rsidRDefault="00E90B10" w:rsidP="00192CA6">
      <w:pPr>
        <w:pStyle w:val="BodyText"/>
        <w:spacing w:after="240"/>
        <w:rPr>
          <w:noProof/>
        </w:rPr>
      </w:pPr>
      <w:r>
        <w:rPr>
          <w:noProof/>
        </w:rPr>
        <w:lastRenderedPageBreak/>
        <w:drawing>
          <wp:anchor distT="0" distB="0" distL="114300" distR="114300" simplePos="0" relativeHeight="251658256" behindDoc="1" locked="0" layoutInCell="1" allowOverlap="1" wp14:anchorId="47914295" wp14:editId="60ECC501">
            <wp:simplePos x="0" y="0"/>
            <wp:positionH relativeFrom="margin">
              <wp:posOffset>-729615</wp:posOffset>
            </wp:positionH>
            <wp:positionV relativeFrom="paragraph">
              <wp:posOffset>2850273</wp:posOffset>
            </wp:positionV>
            <wp:extent cx="7580505" cy="5838176"/>
            <wp:effectExtent l="0" t="0" r="0" b="0"/>
            <wp:wrapNone/>
            <wp:docPr id="1188591584"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91584" name="Picture 213">
                      <a:extLst>
                        <a:ext uri="{C183D7F6-B498-43B3-948B-1728B52AA6E4}">
                          <adec:decorative xmlns:adec="http://schemas.microsoft.com/office/drawing/2017/decorative" val="1"/>
                        </a:ext>
                      </a:extLst>
                    </pic:cNvPr>
                    <pic:cNvPicPr>
                      <a:picLocks noChangeAspect="1" noChangeArrowheads="1"/>
                    </pic:cNvPicPr>
                  </pic:nvPicPr>
                  <pic:blipFill>
                    <a:blip r:embed="rId77" cstate="print">
                      <a:duotone>
                        <a:prstClr val="black"/>
                        <a:srgbClr val="0070C0">
                          <a:tint val="45000"/>
                          <a:satMod val="400000"/>
                        </a:srgbClr>
                      </a:duotone>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580505" cy="5838176"/>
                    </a:xfrm>
                    <a:prstGeom prst="rect">
                      <a:avLst/>
                    </a:prstGeom>
                    <a:noFill/>
                    <a:ln>
                      <a:noFill/>
                    </a:ln>
                  </pic:spPr>
                </pic:pic>
              </a:graphicData>
            </a:graphic>
            <wp14:sizeRelH relativeFrom="page">
              <wp14:pctWidth>0</wp14:pctWidth>
            </wp14:sizeRelH>
            <wp14:sizeRelV relativeFrom="page">
              <wp14:pctHeight>0</wp14:pctHeight>
            </wp14:sizeRelV>
          </wp:anchor>
        </w:drawing>
      </w:r>
      <w:r w:rsidR="00192CA6" w:rsidRPr="00192CA6">
        <w:rPr>
          <w:noProof/>
        </w:rPr>
        <w:drawing>
          <wp:inline distT="0" distB="0" distL="0" distR="0" wp14:anchorId="5B3DD7D2" wp14:editId="547DDE43">
            <wp:extent cx="6120130" cy="4919345"/>
            <wp:effectExtent l="0" t="0" r="0" b="0"/>
            <wp:docPr id="1234496650" name="Picture 2" descr="There is clear progress towards targets, but they are not on track to be met. Early childhood education is increasing and on track (Target 3). Student learning potential is improving but not on track (Target 5). Further education pathways are improving but not on track (Target 6). Youth engagement is improving but not on track (Targe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96650" name="Picture 2" descr="There is clear progress towards targets, but they are not on track to be met. Early childhood education is increasing and on track (Target 3). Student learning potential is improving but not on track (Target 5). Further education pathways are improving but not on track (Target 6). Youth engagement is improving but not on track (Target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4919345"/>
                    </a:xfrm>
                    <a:prstGeom prst="rect">
                      <a:avLst/>
                    </a:prstGeom>
                    <a:noFill/>
                    <a:ln>
                      <a:noFill/>
                    </a:ln>
                  </pic:spPr>
                </pic:pic>
              </a:graphicData>
            </a:graphic>
          </wp:inline>
        </w:drawing>
      </w:r>
      <w:r w:rsidR="00CC35E2" w:rsidRPr="00CC35E2">
        <w:rPr>
          <w:noProof/>
        </w:rPr>
        <w:t xml:space="preserve"> </w:t>
      </w:r>
      <w:r w:rsidR="00192CA6">
        <w:rPr>
          <w:noProof/>
        </w:rPr>
        <w:br w:type="page"/>
      </w:r>
    </w:p>
    <w:p w14:paraId="162435EC" w14:textId="1BBCDA33" w:rsidR="004521EC" w:rsidRPr="007B3DCE" w:rsidRDefault="00E62CDB" w:rsidP="00A25ED8">
      <w:pPr>
        <w:pStyle w:val="Heading1-nonumber"/>
        <w:pBdr>
          <w:top w:val="single" w:sz="4" w:space="31" w:color="DBDCDE"/>
          <w:left w:val="single" w:sz="4" w:space="26" w:color="DBDCDE"/>
          <w:bottom w:val="single" w:sz="4" w:space="26" w:color="DBDCDE"/>
          <w:right w:val="single" w:sz="4" w:space="26" w:color="DBDCDE"/>
        </w:pBdr>
        <w:shd w:val="clear" w:color="auto" w:fill="1C557E" w:themeFill="background2" w:themeFillShade="80"/>
        <w:rPr>
          <w:rStyle w:val="cf01"/>
          <w:rFonts w:asciiTheme="majorHAnsi" w:hAnsiTheme="majorHAnsi" w:cstheme="majorBidi"/>
          <w:color w:val="DAF1FC"/>
          <w:sz w:val="42"/>
          <w:szCs w:val="42"/>
        </w:rPr>
      </w:pPr>
      <w:bookmarkStart w:id="44" w:name="_Toc167812029"/>
      <w:bookmarkStart w:id="45" w:name="_Toc167812305"/>
      <w:bookmarkStart w:id="46" w:name="_Toc167812374"/>
      <w:bookmarkStart w:id="47" w:name="_Toc167812466"/>
      <w:bookmarkStart w:id="48" w:name="_Toc167812540"/>
      <w:bookmarkStart w:id="49" w:name="_Toc167878557"/>
      <w:bookmarkStart w:id="50" w:name="_Toc170466651"/>
      <w:bookmarkEnd w:id="44"/>
      <w:bookmarkEnd w:id="45"/>
      <w:bookmarkEnd w:id="46"/>
      <w:bookmarkEnd w:id="47"/>
      <w:bookmarkEnd w:id="48"/>
      <w:r w:rsidRPr="007B3DCE">
        <w:rPr>
          <w:rStyle w:val="cf01"/>
          <w:rFonts w:asciiTheme="majorHAnsi" w:hAnsiTheme="majorHAnsi" w:cstheme="majorBidi"/>
          <w:color w:val="DAF1FC"/>
          <w:sz w:val="42"/>
          <w:szCs w:val="42"/>
        </w:rPr>
        <w:lastRenderedPageBreak/>
        <w:t xml:space="preserve">2.5 </w:t>
      </w:r>
      <w:r w:rsidRPr="007B3DCE">
        <w:rPr>
          <w:rStyle w:val="cf01"/>
          <w:rFonts w:asciiTheme="majorHAnsi" w:hAnsiTheme="majorHAnsi" w:cstheme="majorBidi"/>
          <w:color w:val="DAF1FC"/>
          <w:sz w:val="42"/>
          <w:szCs w:val="42"/>
        </w:rPr>
        <w:tab/>
      </w:r>
      <w:r w:rsidR="0018780E" w:rsidRPr="007B3DCE">
        <w:rPr>
          <w:rStyle w:val="cf01"/>
          <w:rFonts w:asciiTheme="majorHAnsi" w:hAnsiTheme="majorHAnsi" w:cstheme="majorBidi"/>
          <w:color w:val="DAF1FC"/>
          <w:sz w:val="42"/>
          <w:szCs w:val="42"/>
        </w:rPr>
        <w:t>Employment</w:t>
      </w:r>
      <w:bookmarkEnd w:id="49"/>
      <w:bookmarkEnd w:id="50"/>
      <w:r w:rsidR="0018780E" w:rsidRPr="007B3DCE">
        <w:rPr>
          <w:rStyle w:val="cf01"/>
          <w:rFonts w:asciiTheme="majorHAnsi" w:hAnsiTheme="majorHAnsi" w:cstheme="majorBidi"/>
          <w:color w:val="DAF1FC"/>
          <w:sz w:val="42"/>
          <w:szCs w:val="42"/>
        </w:rPr>
        <w:t xml:space="preserve"> </w:t>
      </w:r>
    </w:p>
    <w:p w14:paraId="1B978B5D" w14:textId="3A6B87B4" w:rsidR="00291702" w:rsidRPr="007B3DCE" w:rsidRDefault="009670C1" w:rsidP="00D00257">
      <w:pPr>
        <w:pStyle w:val="Bibliography"/>
        <w:spacing w:line="260" w:lineRule="atLeast"/>
      </w:pPr>
      <w:r w:rsidRPr="009670C1">
        <w:t xml:space="preserve">Employment </w:t>
      </w:r>
      <w:r w:rsidR="008759F2">
        <w:t xml:space="preserve">plays a pivotal role in </w:t>
      </w:r>
      <w:r w:rsidR="00B232A3">
        <w:t xml:space="preserve">enhancing </w:t>
      </w:r>
      <w:r w:rsidRPr="009670C1">
        <w:t xml:space="preserve">social, economic and health </w:t>
      </w:r>
      <w:r w:rsidR="00B232A3">
        <w:t xml:space="preserve">outcomes </w:t>
      </w:r>
      <w:r w:rsidRPr="009670C1">
        <w:t xml:space="preserve">for </w:t>
      </w:r>
      <w:r w:rsidR="00F253C1">
        <w:t>individuals</w:t>
      </w:r>
      <w:r w:rsidR="00C84645">
        <w:t xml:space="preserve">, as well as providing benefits to </w:t>
      </w:r>
      <w:r w:rsidRPr="009670C1">
        <w:t xml:space="preserve">their family and community. </w:t>
      </w:r>
      <w:r w:rsidR="004F4A67">
        <w:t>E</w:t>
      </w:r>
      <w:r w:rsidR="00291702" w:rsidRPr="007B3DCE">
        <w:t>mployment can support wellbeing</w:t>
      </w:r>
      <w:r w:rsidR="00AD50AA">
        <w:t xml:space="preserve">, </w:t>
      </w:r>
      <w:r w:rsidR="00291702" w:rsidRPr="007B3DCE">
        <w:t>improve access to health services through increased incomes</w:t>
      </w:r>
      <w:r w:rsidR="00AD50AA">
        <w:t xml:space="preserve"> and </w:t>
      </w:r>
      <w:r w:rsidR="004F4A67">
        <w:t>break cycles of poverty that may impact Aboriginal and Torres Strait Islander people</w:t>
      </w:r>
      <w:r w:rsidR="00291702" w:rsidRPr="007B3DCE">
        <w:t xml:space="preserve"> </w:t>
      </w:r>
      <w:r w:rsidR="00E95E79" w:rsidRPr="00216127">
        <w:rPr>
          <w:rFonts w:ascii="Arial (Body)" w:hAnsi="Arial (Body)" w:cs="Arial"/>
        </w:rPr>
        <w:t>(AIHW nd)</w:t>
      </w:r>
      <w:r w:rsidR="00291702" w:rsidRPr="007B3DCE">
        <w:t xml:space="preserve">. Employment and financial security are also linked to better outcomes for Aboriginal and Torres Strait Islander mental health, including a lower likelihood of mental distress and suicidal behaviour </w:t>
      </w:r>
      <w:r w:rsidR="00291702" w:rsidRPr="00216127">
        <w:rPr>
          <w:rFonts w:ascii="Arial (Body)" w:hAnsi="Arial (Body)" w:cs="Arial"/>
        </w:rPr>
        <w:t>(Dudg</w:t>
      </w:r>
      <w:r w:rsidR="00D772C8">
        <w:rPr>
          <w:rFonts w:ascii="Arial (Body)" w:hAnsi="Arial (Body)" w:cs="Arial"/>
        </w:rPr>
        <w:t>.</w:t>
      </w:r>
      <w:r w:rsidR="00291702" w:rsidRPr="00216127">
        <w:rPr>
          <w:rFonts w:ascii="Arial (Body)" w:hAnsi="Arial (Body)" w:cs="Arial"/>
        </w:rPr>
        <w:t>eon et al. 2016; Hunter et al. 2022)</w:t>
      </w:r>
      <w:r w:rsidR="00141FF2">
        <w:t>.</w:t>
      </w:r>
    </w:p>
    <w:p w14:paraId="1FCA1F1E" w14:textId="7BCBFC82" w:rsidR="00291702" w:rsidRPr="007B3DCE" w:rsidRDefault="00291702" w:rsidP="00D00257">
      <w:pPr>
        <w:spacing w:line="260" w:lineRule="atLeast"/>
        <w:rPr>
          <w:rFonts w:eastAsiaTheme="minorEastAsia"/>
        </w:rPr>
      </w:pPr>
      <w:r w:rsidRPr="007B3DCE">
        <w:rPr>
          <w:rFonts w:eastAsiaTheme="minorEastAsia"/>
        </w:rPr>
        <w:t xml:space="preserve">Aboriginal and Torres Strait Islander people face structural barriers to employment, including institutionalised racism and entrenched inequalities resulting from colonisation </w:t>
      </w:r>
      <w:r w:rsidRPr="00216127">
        <w:rPr>
          <w:rFonts w:ascii="Arial (Body)" w:hAnsi="Arial (Body)" w:cs="Arial"/>
        </w:rPr>
        <w:t>(Liddle 2018)</w:t>
      </w:r>
      <w:r w:rsidRPr="007B3DCE">
        <w:rPr>
          <w:rFonts w:eastAsiaTheme="minorEastAsia"/>
        </w:rPr>
        <w:t xml:space="preserve">. People living in remote and regional areas also face geographic constraints which limit access to employment options and infrastructure </w:t>
      </w:r>
      <w:r w:rsidRPr="00216127">
        <w:rPr>
          <w:rFonts w:ascii="Arial (Body)" w:hAnsi="Arial (Body)" w:cs="Arial"/>
        </w:rPr>
        <w:t>(Jordan 2018)</w:t>
      </w:r>
      <w:r w:rsidRPr="007B3DCE">
        <w:rPr>
          <w:rFonts w:eastAsiaTheme="minorEastAsia"/>
        </w:rPr>
        <w:t xml:space="preserve">. Other barriers may include a lack of access to high-quality and relevant training, limited access to safe or supportive workplaces, inconsistent mentoring for young Aboriginal and Torres Strait Islander job seekers and few secure, long-term job opportunities </w:t>
      </w:r>
      <w:r w:rsidR="00E95E79" w:rsidRPr="00216127">
        <w:rPr>
          <w:rFonts w:ascii="Arial (Body)" w:hAnsi="Arial (Body)" w:cs="Arial"/>
        </w:rPr>
        <w:t>(AIHW nd; House of Representatives Standing Committee on Indigenous Affairs 2021)</w:t>
      </w:r>
      <w:r w:rsidR="00237A97">
        <w:rPr>
          <w:rFonts w:eastAsiaTheme="minorEastAsia"/>
        </w:rPr>
        <w:t>.</w:t>
      </w:r>
    </w:p>
    <w:p w14:paraId="28187B72" w14:textId="0D286014" w:rsidR="00291702" w:rsidRPr="007B3DCE" w:rsidRDefault="00291702" w:rsidP="00D00257">
      <w:pPr>
        <w:spacing w:line="260" w:lineRule="atLeast"/>
        <w:rPr>
          <w:rFonts w:eastAsiaTheme="minorEastAsia"/>
        </w:rPr>
      </w:pPr>
      <w:r w:rsidRPr="007B3DCE">
        <w:rPr>
          <w:rFonts w:eastAsiaTheme="minorEastAsia"/>
        </w:rPr>
        <w:t xml:space="preserve">Addressing structural barriers to employment, for example by working collaboratively with Aboriginal and Torres Strait Islander communities and building a more inclusive education system, can support workforce participation </w:t>
      </w:r>
      <w:r w:rsidRPr="00216127">
        <w:rPr>
          <w:rFonts w:ascii="Arial (Body)" w:hAnsi="Arial (Body)" w:cs="Arial"/>
        </w:rPr>
        <w:t>(Liddle 2018)</w:t>
      </w:r>
      <w:r w:rsidRPr="007B3DCE">
        <w:rPr>
          <w:rFonts w:eastAsiaTheme="minorEastAsia"/>
        </w:rPr>
        <w:t>.</w:t>
      </w:r>
    </w:p>
    <w:p w14:paraId="59E08B91" w14:textId="101F5423" w:rsidR="00EB00A9" w:rsidRPr="007B3DCE" w:rsidRDefault="00EB00A9" w:rsidP="003E2554">
      <w:pPr>
        <w:pStyle w:val="NoSpacing"/>
      </w:pPr>
      <w:r w:rsidRPr="007B3DCE">
        <w:rPr>
          <w:vanish/>
          <w:color w:val="FF00FF"/>
        </w:rPr>
        <w:t>[</w:t>
      </w:r>
      <w:r w:rsidRPr="007B3DCE">
        <w:rPr>
          <w:smallCaps/>
          <w:vanish/>
          <w:color w:val="FF00FF"/>
        </w:rPr>
        <w:t>Used for spacing, do not delete</w:t>
      </w:r>
      <w:r w:rsidRPr="007B3DCE">
        <w:rPr>
          <w:vanish/>
          <w:color w:val="FF00FF"/>
        </w:rPr>
        <w:t xml:space="preserve"> | Style: No Spacing]</w:t>
      </w:r>
    </w:p>
    <w:tbl>
      <w:tblPr>
        <w:tblStyle w:val="Boxtable"/>
        <w:tblW w:w="5000" w:type="pct"/>
        <w:tblLook w:val="04A0" w:firstRow="1" w:lastRow="0" w:firstColumn="1" w:lastColumn="0" w:noHBand="0" w:noVBand="1"/>
      </w:tblPr>
      <w:tblGrid>
        <w:gridCol w:w="9638"/>
      </w:tblGrid>
      <w:tr w:rsidR="00B84FBA" w:rsidRPr="007B3DCE" w14:paraId="1A3FC680" w14:textId="77777777" w:rsidTr="0034559B">
        <w:trPr>
          <w:trHeight w:val="476"/>
          <w:tblHeader/>
        </w:trPr>
        <w:tc>
          <w:tcPr>
            <w:tcW w:w="9638" w:type="dxa"/>
            <w:shd w:val="clear" w:color="auto" w:fill="1C557E" w:themeFill="background2" w:themeFillShade="80"/>
            <w:tcMar>
              <w:top w:w="170" w:type="dxa"/>
              <w:left w:w="170" w:type="dxa"/>
              <w:bottom w:w="113" w:type="dxa"/>
              <w:right w:w="170" w:type="dxa"/>
            </w:tcMar>
            <w:vAlign w:val="center"/>
            <w:hideMark/>
          </w:tcPr>
          <w:p w14:paraId="6D095647" w14:textId="40D01ED6" w:rsidR="00B84FBA" w:rsidRPr="007B3DCE" w:rsidRDefault="00B84FBA" w:rsidP="0034559B">
            <w:pPr>
              <w:pStyle w:val="BoxHeading1"/>
              <w:spacing w:before="0"/>
            </w:pPr>
            <w:r w:rsidRPr="007B3DCE">
              <w:rPr>
                <w:color w:val="FFFFFF"/>
              </w:rPr>
              <w:t xml:space="preserve">Box </w:t>
            </w:r>
            <w:r w:rsidR="007C7EB6" w:rsidRPr="007B3DCE">
              <w:rPr>
                <w:color w:val="FFFFFF"/>
              </w:rPr>
              <w:t>2</w:t>
            </w:r>
            <w:r w:rsidR="00EB00A9" w:rsidRPr="007B3DCE">
              <w:rPr>
                <w:color w:val="FFFFFF"/>
              </w:rPr>
              <w:t>.</w:t>
            </w:r>
            <w:r w:rsidR="00EF7969" w:rsidRPr="007B3DCE">
              <w:rPr>
                <w:color w:val="FFFFFF"/>
              </w:rPr>
              <w:t>18</w:t>
            </w:r>
            <w:r w:rsidRPr="007B3DCE">
              <w:rPr>
                <w:color w:val="FFFFFF"/>
              </w:rPr>
              <w:t xml:space="preserve"> – What data will you find in this section?</w:t>
            </w:r>
          </w:p>
        </w:tc>
      </w:tr>
      <w:tr w:rsidR="00B84FBA" w:rsidRPr="007B3DCE" w14:paraId="28224F3B" w14:textId="77777777" w:rsidTr="00EB2E55">
        <w:trPr>
          <w:trHeight w:val="909"/>
        </w:trPr>
        <w:tc>
          <w:tcPr>
            <w:tcW w:w="9638" w:type="dxa"/>
            <w:shd w:val="clear" w:color="auto" w:fill="DAF1FC"/>
            <w:tcMar>
              <w:top w:w="28" w:type="dxa"/>
              <w:left w:w="170" w:type="dxa"/>
              <w:bottom w:w="170" w:type="dxa"/>
              <w:right w:w="170" w:type="dxa"/>
            </w:tcMar>
            <w:hideMark/>
          </w:tcPr>
          <w:p w14:paraId="42829F33" w14:textId="7E83BBB5" w:rsidR="00B84FBA" w:rsidRPr="007B3DCE" w:rsidRDefault="00165541" w:rsidP="00D00257">
            <w:pPr>
              <w:pStyle w:val="BodyText"/>
              <w:spacing w:after="0" w:line="260" w:lineRule="atLeast"/>
            </w:pPr>
            <w:r>
              <w:t>Th</w:t>
            </w:r>
            <w:r w:rsidR="005B6A15">
              <w:t>is s</w:t>
            </w:r>
            <w:r w:rsidR="00570093">
              <w:t>ection provides a snapshot of the latest data available for socio-economic outcome 8</w:t>
            </w:r>
            <w:r w:rsidR="00397EE6">
              <w:t>, strong economic participation and development of Aboriginal and Torres Strait Islander people and comminates. The latest year of data for Target 8 was 2021.</w:t>
            </w:r>
          </w:p>
        </w:tc>
      </w:tr>
    </w:tbl>
    <w:p w14:paraId="6833FE7C" w14:textId="1A102DBE" w:rsidR="00D40BE4" w:rsidRPr="007B3DCE" w:rsidRDefault="002D15A0" w:rsidP="00CD1D9B">
      <w:pPr>
        <w:pStyle w:val="Heading3"/>
        <w:rPr>
          <w:color w:val="1C557E" w:themeColor="background2" w:themeShade="80"/>
        </w:rPr>
      </w:pPr>
      <w:bookmarkStart w:id="51" w:name="_Toc167878558"/>
      <w:r w:rsidRPr="007B3DCE">
        <w:rPr>
          <w:color w:val="1C557E" w:themeColor="background2" w:themeShade="80"/>
        </w:rPr>
        <w:t>Outcome</w:t>
      </w:r>
      <w:r w:rsidR="00D40BE4" w:rsidRPr="007B3DCE">
        <w:rPr>
          <w:color w:val="1C557E" w:themeColor="background2" w:themeShade="80"/>
        </w:rPr>
        <w:t xml:space="preserve"> 8</w:t>
      </w:r>
      <w:r w:rsidRPr="007B3DCE">
        <w:rPr>
          <w:color w:val="1C557E" w:themeColor="background2" w:themeShade="80"/>
        </w:rPr>
        <w:t>:</w:t>
      </w:r>
      <w:r w:rsidR="00D40BE4" w:rsidRPr="007B3DCE">
        <w:rPr>
          <w:color w:val="1C557E" w:themeColor="background2" w:themeShade="80"/>
        </w:rPr>
        <w:t xml:space="preserve"> Strong economic participation and development of Aboriginal and Torres Strait Islander people and communities</w:t>
      </w:r>
      <w:bookmarkEnd w:id="51"/>
    </w:p>
    <w:p w14:paraId="71079F50" w14:textId="5EC71934" w:rsidR="00D40BE4" w:rsidRPr="007B3DCE" w:rsidRDefault="00257A1E" w:rsidP="00CD1D9B">
      <w:pPr>
        <w:pStyle w:val="Heading4"/>
        <w:rPr>
          <w:color w:val="2979B5"/>
        </w:rPr>
      </w:pPr>
      <w:r w:rsidRPr="007B3DCE">
        <w:rPr>
          <w:color w:val="2979B5"/>
        </w:rPr>
        <w:t>T</w:t>
      </w:r>
      <w:r w:rsidR="00D40BE4" w:rsidRPr="007B3DCE">
        <w:rPr>
          <w:color w:val="2979B5"/>
        </w:rPr>
        <w:t>here</w:t>
      </w:r>
      <w:r w:rsidR="00D40BE4" w:rsidRPr="007B3DCE" w:rsidDel="005A44CD">
        <w:rPr>
          <w:color w:val="2979B5"/>
        </w:rPr>
        <w:t xml:space="preserve"> </w:t>
      </w:r>
      <w:r w:rsidR="005A44CD">
        <w:rPr>
          <w:color w:val="2979B5"/>
        </w:rPr>
        <w:t>has been</w:t>
      </w:r>
      <w:r w:rsidR="00D40BE4" w:rsidRPr="007B3DCE">
        <w:rPr>
          <w:color w:val="2979B5"/>
        </w:rPr>
        <w:t xml:space="preserve"> improvement in the proportion of Aboriginal and Torres Strait Islander people </w:t>
      </w:r>
      <w:r w:rsidR="009E561B" w:rsidRPr="007B3DCE">
        <w:rPr>
          <w:color w:val="2979B5"/>
        </w:rPr>
        <w:t>employed</w:t>
      </w:r>
      <w:r w:rsidR="00DF37C9" w:rsidRPr="007B3DCE">
        <w:rPr>
          <w:color w:val="2979B5"/>
        </w:rPr>
        <w:t xml:space="preserve"> </w:t>
      </w:r>
      <w:r w:rsidR="00D40BE4" w:rsidRPr="007B3DCE">
        <w:rPr>
          <w:color w:val="2979B5"/>
        </w:rPr>
        <w:t>and the target is on track to be met by 2031</w:t>
      </w:r>
    </w:p>
    <w:p w14:paraId="7F796136" w14:textId="7CE0EF7E" w:rsidR="007C50B8" w:rsidRPr="007B3DCE" w:rsidRDefault="00D40BE4" w:rsidP="00D00257">
      <w:pPr>
        <w:pStyle w:val="BodyText"/>
        <w:spacing w:line="260" w:lineRule="atLeast"/>
      </w:pPr>
      <w:r w:rsidRPr="007B3DCE">
        <w:t xml:space="preserve">There is no new data available for </w:t>
      </w:r>
      <w:r w:rsidR="00E938E3">
        <w:t>T</w:t>
      </w:r>
      <w:r w:rsidRPr="007B3DCE">
        <w:t xml:space="preserve">arget </w:t>
      </w:r>
      <w:r w:rsidR="00B52AC9">
        <w:t>8</w:t>
      </w:r>
      <w:r w:rsidRPr="007B3DCE">
        <w:t xml:space="preserve"> in the 2024 ADCR. The last time it was updated was in 2023, using 2021 data.</w:t>
      </w:r>
      <w:r w:rsidR="00F46536" w:rsidRPr="009D07D6">
        <w:rPr>
          <w:rStyle w:val="FootnoteReference"/>
        </w:rPr>
        <w:footnoteReference w:id="18"/>
      </w:r>
      <w:r w:rsidRPr="007B3DCE">
        <w:t xml:space="preserve"> </w:t>
      </w:r>
      <w:r w:rsidR="008C154E" w:rsidRPr="007B3DCE">
        <w:t>In 2021</w:t>
      </w:r>
      <w:r w:rsidRPr="007B3DCE">
        <w:t>, nationally, 55.7% of Aboriginal and Torres Strait Islander people aged 25</w:t>
      </w:r>
      <w:r w:rsidR="00A053CA" w:rsidRPr="00216127">
        <w:rPr>
          <w:rStyle w:val="normaltextrun"/>
          <w:rFonts w:ascii="Arial (Body)" w:hAnsi="Arial (Body)" w:cs="Arial"/>
          <w:color w:val="000000"/>
          <w:bdr w:val="none" w:sz="0" w:space="0" w:color="auto" w:frame="1"/>
        </w:rPr>
        <w:t>–</w:t>
      </w:r>
      <w:r w:rsidR="156A1F01" w:rsidRPr="007B3DCE" w:rsidDel="007E741F">
        <w:t xml:space="preserve"> </w:t>
      </w:r>
      <w:r w:rsidRPr="007B3DCE">
        <w:t>64 years were employed, an increase from 51.0% in the baseline year</w:t>
      </w:r>
      <w:r w:rsidR="00427316" w:rsidRPr="007B3DCE">
        <w:t xml:space="preserve"> (</w:t>
      </w:r>
      <w:r w:rsidRPr="007B3DCE">
        <w:t>2016</w:t>
      </w:r>
      <w:r w:rsidR="00427316" w:rsidRPr="007B3DCE">
        <w:t>)</w:t>
      </w:r>
      <w:r w:rsidRPr="007B3DCE">
        <w:t xml:space="preserve">. That update indicated that nationally, based on progress from the baseline, the target </w:t>
      </w:r>
      <w:r w:rsidR="1613AA3F" w:rsidRPr="007B3DCE">
        <w:t>of 62% by 2031</w:t>
      </w:r>
      <w:r w:rsidRPr="007B3DCE">
        <w:t xml:space="preserve"> was on track to be </w:t>
      </w:r>
      <w:r w:rsidR="1CF69243" w:rsidRPr="007B3DCE">
        <w:t>met</w:t>
      </w:r>
      <w:r w:rsidRPr="007B3DCE">
        <w:t xml:space="preserve">. </w:t>
      </w:r>
    </w:p>
    <w:p w14:paraId="3D9EBA46" w14:textId="0C6A6161" w:rsidR="00E05B59" w:rsidRDefault="00075999">
      <w:pPr>
        <w:spacing w:before="0" w:after="160" w:line="259" w:lineRule="auto"/>
        <w:rPr>
          <w:highlight w:val="yellow"/>
        </w:rPr>
        <w:sectPr w:rsidR="00E05B59" w:rsidSect="00F63D18">
          <w:footerReference w:type="even" r:id="rId80"/>
          <w:footerReference w:type="default" r:id="rId81"/>
          <w:pgSz w:w="11906" w:h="16838" w:code="9"/>
          <w:pgMar w:top="1134" w:right="1134" w:bottom="1134" w:left="1134" w:header="794" w:footer="510" w:gutter="0"/>
          <w:cols w:space="708"/>
          <w:docGrid w:linePitch="360"/>
        </w:sectPr>
      </w:pPr>
      <w:r w:rsidRPr="007B3DCE">
        <w:rPr>
          <w:highlight w:val="yellow"/>
        </w:rPr>
        <w:br w:type="page"/>
      </w:r>
      <w:r w:rsidR="00FF29DA">
        <w:rPr>
          <w:noProof/>
        </w:rPr>
        <w:lastRenderedPageBreak/>
        <w:drawing>
          <wp:anchor distT="0" distB="0" distL="114300" distR="114300" simplePos="0" relativeHeight="251658257" behindDoc="1" locked="0" layoutInCell="1" allowOverlap="1" wp14:anchorId="6BF34B53" wp14:editId="64029576">
            <wp:simplePos x="0" y="0"/>
            <wp:positionH relativeFrom="page">
              <wp:posOffset>63500</wp:posOffset>
            </wp:positionH>
            <wp:positionV relativeFrom="paragraph">
              <wp:posOffset>3021965</wp:posOffset>
            </wp:positionV>
            <wp:extent cx="7580505" cy="5838176"/>
            <wp:effectExtent l="0" t="0" r="1905" b="0"/>
            <wp:wrapNone/>
            <wp:docPr id="1726783147"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83147" name="Picture 213">
                      <a:extLst>
                        <a:ext uri="{C183D7F6-B498-43B3-948B-1728B52AA6E4}">
                          <adec:decorative xmlns:adec="http://schemas.microsoft.com/office/drawing/2017/decorative" val="1"/>
                        </a:ext>
                      </a:extLst>
                    </pic:cNvPr>
                    <pic:cNvPicPr>
                      <a:picLocks noChangeAspect="1" noChangeArrowheads="1"/>
                    </pic:cNvPicPr>
                  </pic:nvPicPr>
                  <pic:blipFill>
                    <a:blip r:embed="rId77" cstate="print">
                      <a:duotone>
                        <a:prstClr val="black"/>
                        <a:srgbClr val="2C9BC2">
                          <a:tint val="45000"/>
                          <a:satMod val="400000"/>
                        </a:srgbClr>
                      </a:duotone>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80505" cy="5838176"/>
                    </a:xfrm>
                    <a:prstGeom prst="rect">
                      <a:avLst/>
                    </a:prstGeom>
                    <a:noFill/>
                    <a:ln>
                      <a:noFill/>
                    </a:ln>
                  </pic:spPr>
                </pic:pic>
              </a:graphicData>
            </a:graphic>
            <wp14:sizeRelH relativeFrom="page">
              <wp14:pctWidth>0</wp14:pctWidth>
            </wp14:sizeRelH>
            <wp14:sizeRelV relativeFrom="page">
              <wp14:pctHeight>0</wp14:pctHeight>
            </wp14:sizeRelV>
          </wp:anchor>
        </w:drawing>
      </w:r>
      <w:r w:rsidR="00F0773B" w:rsidRPr="00F0773B">
        <w:rPr>
          <w:noProof/>
        </w:rPr>
        <w:drawing>
          <wp:inline distT="0" distB="0" distL="0" distR="0" wp14:anchorId="63750DBC" wp14:editId="4CCF852A">
            <wp:extent cx="6120130" cy="3107055"/>
            <wp:effectExtent l="0" t="0" r="0" b="0"/>
            <wp:docPr id="260356809" name="Picture 7" descr="The summary box states that economic participation is increasing. There is progress and the target is on track to be m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56809" name="Picture 7" descr="The summary box states that economic participation is increasing. There is progress and the target is on track to be met.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3107055"/>
                    </a:xfrm>
                    <a:prstGeom prst="rect">
                      <a:avLst/>
                    </a:prstGeom>
                    <a:noFill/>
                    <a:ln>
                      <a:noFill/>
                    </a:ln>
                  </pic:spPr>
                </pic:pic>
              </a:graphicData>
            </a:graphic>
          </wp:inline>
        </w:drawing>
      </w:r>
    </w:p>
    <w:p w14:paraId="57BE80A8" w14:textId="1E00F3C2" w:rsidR="002D15A0" w:rsidRPr="007B3DCE" w:rsidRDefault="00973F86" w:rsidP="00075999">
      <w:pPr>
        <w:pStyle w:val="Heading1-nonumber"/>
        <w:pBdr>
          <w:top w:val="single" w:sz="4" w:space="31" w:color="DBDCDE"/>
          <w:left w:val="single" w:sz="4" w:space="26" w:color="DBDCDE"/>
          <w:bottom w:val="single" w:sz="4" w:space="26" w:color="DBDCDE"/>
          <w:right w:val="single" w:sz="4" w:space="26" w:color="DBDCDE"/>
        </w:pBdr>
        <w:shd w:val="clear" w:color="auto" w:fill="286647" w:themeFill="accent3" w:themeFillShade="80"/>
        <w:rPr>
          <w:rStyle w:val="cf01"/>
          <w:rFonts w:asciiTheme="majorHAnsi" w:hAnsiTheme="majorHAnsi" w:cstheme="majorBidi"/>
          <w:color w:val="DEF2E8" w:themeColor="accent3" w:themeTint="33"/>
          <w:sz w:val="42"/>
          <w:szCs w:val="42"/>
        </w:rPr>
      </w:pPr>
      <w:bookmarkStart w:id="52" w:name="_Toc167878559"/>
      <w:bookmarkStart w:id="53" w:name="_Toc170466652"/>
      <w:r w:rsidRPr="007B3DCE">
        <w:rPr>
          <w:rStyle w:val="cf01"/>
          <w:rFonts w:asciiTheme="majorHAnsi" w:hAnsiTheme="majorHAnsi" w:cstheme="majorBidi"/>
          <w:color w:val="EEF8FD"/>
          <w:sz w:val="42"/>
          <w:szCs w:val="42"/>
        </w:rPr>
        <w:lastRenderedPageBreak/>
        <w:t>2.6</w:t>
      </w:r>
      <w:r w:rsidRPr="007B3DCE">
        <w:rPr>
          <w:rStyle w:val="cf01"/>
          <w:rFonts w:asciiTheme="majorHAnsi" w:hAnsiTheme="majorHAnsi" w:cstheme="majorBidi"/>
          <w:color w:val="EEF8FD"/>
          <w:sz w:val="42"/>
          <w:szCs w:val="42"/>
        </w:rPr>
        <w:tab/>
      </w:r>
      <w:r w:rsidR="00B56123" w:rsidRPr="007B3DCE">
        <w:rPr>
          <w:rStyle w:val="cf01"/>
          <w:rFonts w:asciiTheme="majorHAnsi" w:hAnsiTheme="majorHAnsi" w:cstheme="majorBidi"/>
          <w:color w:val="EEF8FD"/>
          <w:sz w:val="42"/>
          <w:szCs w:val="42"/>
        </w:rPr>
        <w:t>Housing</w:t>
      </w:r>
      <w:bookmarkEnd w:id="52"/>
      <w:bookmarkEnd w:id="53"/>
      <w:r w:rsidR="00B56123" w:rsidRPr="007B3DCE">
        <w:rPr>
          <w:rStyle w:val="cf01"/>
          <w:rFonts w:asciiTheme="majorHAnsi" w:hAnsiTheme="majorHAnsi" w:cstheme="majorBidi"/>
          <w:color w:val="EEF8FD"/>
          <w:sz w:val="42"/>
          <w:szCs w:val="42"/>
        </w:rPr>
        <w:t xml:space="preserve"> </w:t>
      </w:r>
    </w:p>
    <w:p w14:paraId="28F6064C" w14:textId="299576FD" w:rsidR="00CE13E4" w:rsidRPr="007B3DCE" w:rsidRDefault="00CE13E4">
      <w:pPr>
        <w:pStyle w:val="BodyText"/>
      </w:pPr>
      <w:r w:rsidRPr="007B3DCE">
        <w:t xml:space="preserve">Housing is a basic human need and is central for overall health and wellbeing (AIHW 2019). Living in poor quality housing is a risk factor for physical and mental health and may impact a person’s ability to fully participate in society </w:t>
      </w:r>
      <w:r w:rsidR="002A5304" w:rsidRPr="00216127">
        <w:rPr>
          <w:rFonts w:ascii="Arial (Body)" w:hAnsi="Arial (Body)" w:cs="Arial"/>
        </w:rPr>
        <w:t>(PC 2022a)</w:t>
      </w:r>
      <w:r w:rsidRPr="007B3DCE">
        <w:t xml:space="preserve">. The long-term focus of Australian governments’ efforts </w:t>
      </w:r>
      <w:r w:rsidR="005F68B7">
        <w:t>to</w:t>
      </w:r>
      <w:r w:rsidRPr="007B3DCE">
        <w:t xml:space="preserve"> address the housing needs of Aboriginal and Torres Strait Islander people is generally centred on addressing overcrowding </w:t>
      </w:r>
      <w:r w:rsidR="002A5304" w:rsidRPr="00216127">
        <w:rPr>
          <w:rFonts w:ascii="Arial (Body)" w:hAnsi="Arial (Body)" w:cs="Arial"/>
        </w:rPr>
        <w:t>(PC 2022a)</w:t>
      </w:r>
      <w:r w:rsidRPr="007B3DCE">
        <w:t>.</w:t>
      </w:r>
    </w:p>
    <w:p w14:paraId="015C51FA" w14:textId="227FDC44" w:rsidR="00CE13E4" w:rsidRPr="00E92558" w:rsidRDefault="00CE13E4">
      <w:pPr>
        <w:pStyle w:val="BodyText"/>
        <w:rPr>
          <w:spacing w:val="-2"/>
        </w:rPr>
      </w:pPr>
      <w:r w:rsidRPr="00E92558">
        <w:rPr>
          <w:spacing w:val="-2"/>
        </w:rPr>
        <w:t>Overcrowded housing can impact health, education and social outcomes, and can reduce a person’s sense of safety and security. On average, Aboriginal and Torres Strait Islander household sizes tend to be larger compared to other households.</w:t>
      </w:r>
      <w:r w:rsidRPr="00E92558" w:rsidDel="00B36669">
        <w:rPr>
          <w:spacing w:val="-2"/>
        </w:rPr>
        <w:t xml:space="preserve"> </w:t>
      </w:r>
      <w:r w:rsidRPr="00E92558">
        <w:rPr>
          <w:spacing w:val="-2"/>
        </w:rPr>
        <w:t xml:space="preserve">This is influenced by factors including </w:t>
      </w:r>
      <w:r w:rsidR="005E3B4C" w:rsidRPr="00E92558">
        <w:rPr>
          <w:spacing w:val="-2"/>
        </w:rPr>
        <w:t xml:space="preserve">the </w:t>
      </w:r>
      <w:r w:rsidRPr="00E92558">
        <w:rPr>
          <w:spacing w:val="-2"/>
        </w:rPr>
        <w:t xml:space="preserve">preference </w:t>
      </w:r>
      <w:r w:rsidR="005E3B4C" w:rsidRPr="00E92558">
        <w:rPr>
          <w:spacing w:val="-2"/>
        </w:rPr>
        <w:t>of</w:t>
      </w:r>
      <w:r w:rsidRPr="00E92558">
        <w:rPr>
          <w:spacing w:val="-2"/>
        </w:rPr>
        <w:t xml:space="preserve"> some Aboriginal Strait Islander people to live with more people in a household </w:t>
      </w:r>
      <w:r w:rsidR="00156ECD" w:rsidRPr="00E92558">
        <w:rPr>
          <w:spacing w:val="-2"/>
        </w:rPr>
        <w:t>– enabling a greater</w:t>
      </w:r>
      <w:r w:rsidRPr="00E92558">
        <w:rPr>
          <w:spacing w:val="-2"/>
        </w:rPr>
        <w:t xml:space="preserve"> connection to family and culture</w:t>
      </w:r>
      <w:r w:rsidR="0039783E" w:rsidRPr="00E92558">
        <w:rPr>
          <w:spacing w:val="-2"/>
        </w:rPr>
        <w:t xml:space="preserve"> – and </w:t>
      </w:r>
      <w:r w:rsidRPr="00E92558">
        <w:rPr>
          <w:spacing w:val="-2"/>
        </w:rPr>
        <w:t xml:space="preserve">the limited supply of affordable housing </w:t>
      </w:r>
      <w:r w:rsidR="001B6CD5" w:rsidRPr="00E92558">
        <w:rPr>
          <w:rFonts w:ascii="Arial (Body)" w:hAnsi="Arial (Body)" w:cs="Arial"/>
          <w:spacing w:val="-2"/>
        </w:rPr>
        <w:t>(Brackertz and Wilkinson 2017; SCRGSP 2020)</w:t>
      </w:r>
      <w:r w:rsidRPr="00E92558">
        <w:rPr>
          <w:spacing w:val="-2"/>
        </w:rPr>
        <w:t xml:space="preserve">. The definition of the overcrowding measure in Australia is based on the Canadian National Occupancy Standard, which does not reflect the culture and preferences of all Aboriginal and Torres Strait Islander people </w:t>
      </w:r>
      <w:r w:rsidR="001276F7" w:rsidRPr="00E92558">
        <w:rPr>
          <w:rFonts w:ascii="Arial (Body)" w:hAnsi="Arial (Body)" w:cs="Arial"/>
          <w:spacing w:val="-2"/>
        </w:rPr>
        <w:t>(SCRGSP 2020)</w:t>
      </w:r>
      <w:r w:rsidRPr="00E92558">
        <w:rPr>
          <w:spacing w:val="-2"/>
        </w:rPr>
        <w:t>.</w:t>
      </w:r>
    </w:p>
    <w:p w14:paraId="5A2923F6" w14:textId="2D4F3C6E" w:rsidR="00F7492A" w:rsidRDefault="00B36669" w:rsidP="00CD1D9B">
      <w:pPr>
        <w:pStyle w:val="BodyText"/>
      </w:pPr>
      <w:r w:rsidRPr="007B3DCE">
        <w:t>Meeting the diverse needs of Aboriginal and Torres Strait</w:t>
      </w:r>
      <w:r w:rsidR="002F3E4D">
        <w:t xml:space="preserve"> Islander</w:t>
      </w:r>
      <w:r w:rsidRPr="007B3DCE">
        <w:t xml:space="preserve"> people requires culturally appropriate housing designs and appropriate facilities. Increasing the availability and accessibility of social housing and addressing housing affordability may contribute to reducing overcrowding for Aboriginal and Torres Strait Islander people.</w:t>
      </w:r>
    </w:p>
    <w:p w14:paraId="648B1728" w14:textId="77777777" w:rsidR="006E47F3" w:rsidRPr="007B3DCE" w:rsidRDefault="006E47F3" w:rsidP="00CD1D9B">
      <w:pPr>
        <w:pStyle w:val="BodyText"/>
      </w:pPr>
    </w:p>
    <w:tbl>
      <w:tblPr>
        <w:tblStyle w:val="Boxtable"/>
        <w:tblW w:w="5000" w:type="pct"/>
        <w:tblLook w:val="04A0" w:firstRow="1" w:lastRow="0" w:firstColumn="1" w:lastColumn="0" w:noHBand="0" w:noVBand="1"/>
      </w:tblPr>
      <w:tblGrid>
        <w:gridCol w:w="9638"/>
      </w:tblGrid>
      <w:tr w:rsidR="00B84FBA" w:rsidRPr="007B3DCE" w14:paraId="2B085B83" w14:textId="77777777" w:rsidTr="00AB2774">
        <w:trPr>
          <w:trHeight w:val="476"/>
          <w:tblHeader/>
        </w:trPr>
        <w:tc>
          <w:tcPr>
            <w:tcW w:w="9638" w:type="dxa"/>
            <w:shd w:val="clear" w:color="auto" w:fill="286647" w:themeFill="accent3" w:themeFillShade="80"/>
            <w:tcMar>
              <w:top w:w="170" w:type="dxa"/>
              <w:left w:w="170" w:type="dxa"/>
              <w:bottom w:w="113" w:type="dxa"/>
              <w:right w:w="170" w:type="dxa"/>
            </w:tcMar>
            <w:vAlign w:val="center"/>
            <w:hideMark/>
          </w:tcPr>
          <w:p w14:paraId="5D97FE6C" w14:textId="21085AC3" w:rsidR="00B84FBA" w:rsidRPr="007B3DCE" w:rsidRDefault="00B84FBA" w:rsidP="00AB2774">
            <w:pPr>
              <w:pStyle w:val="BoxHeading1"/>
              <w:spacing w:before="0"/>
            </w:pPr>
            <w:r w:rsidRPr="007B3DCE">
              <w:rPr>
                <w:color w:val="FFFFFF"/>
              </w:rPr>
              <w:t xml:space="preserve">Box </w:t>
            </w:r>
            <w:r w:rsidR="007C7EB6" w:rsidRPr="007B3DCE">
              <w:rPr>
                <w:color w:val="FFFFFF"/>
              </w:rPr>
              <w:t>2</w:t>
            </w:r>
            <w:r w:rsidR="00EB00A9" w:rsidRPr="007B3DCE">
              <w:rPr>
                <w:color w:val="FFFFFF"/>
              </w:rPr>
              <w:t>.</w:t>
            </w:r>
            <w:r w:rsidR="00EF7969" w:rsidRPr="007B3DCE">
              <w:rPr>
                <w:color w:val="FFFFFF"/>
              </w:rPr>
              <w:t>19</w:t>
            </w:r>
            <w:r w:rsidRPr="007B3DCE">
              <w:rPr>
                <w:color w:val="FFFFFF"/>
              </w:rPr>
              <w:t xml:space="preserve"> – What data will you find in this section?</w:t>
            </w:r>
          </w:p>
        </w:tc>
      </w:tr>
      <w:tr w:rsidR="00B84FBA" w:rsidRPr="007B3DCE" w14:paraId="603ACCB8" w14:textId="77777777" w:rsidTr="00075999">
        <w:tc>
          <w:tcPr>
            <w:tcW w:w="9638" w:type="dxa"/>
            <w:shd w:val="clear" w:color="auto" w:fill="DEF2E8" w:themeFill="accent3" w:themeFillTint="33"/>
            <w:tcMar>
              <w:top w:w="28" w:type="dxa"/>
              <w:left w:w="170" w:type="dxa"/>
              <w:bottom w:w="170" w:type="dxa"/>
              <w:right w:w="170" w:type="dxa"/>
            </w:tcMar>
            <w:hideMark/>
          </w:tcPr>
          <w:p w14:paraId="73F7ED64" w14:textId="5FBB4D92" w:rsidR="00B84FBA" w:rsidRDefault="005D5DD2" w:rsidP="002A51D6">
            <w:pPr>
              <w:pStyle w:val="BodyText"/>
            </w:pPr>
            <w:r w:rsidRPr="007B3DCE">
              <w:t xml:space="preserve">This section provides </w:t>
            </w:r>
            <w:r w:rsidR="524AB6F5" w:rsidRPr="007B3DCE">
              <w:t xml:space="preserve">a </w:t>
            </w:r>
            <w:r w:rsidRPr="007B3DCE">
              <w:t xml:space="preserve">snapshot of the latest data available in 2024 for socio-economic outcome </w:t>
            </w:r>
            <w:r w:rsidR="00E938E3">
              <w:t>9</w:t>
            </w:r>
            <w:r w:rsidRPr="007B3DCE">
              <w:t xml:space="preserve">. </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8"/>
              <w:gridCol w:w="2013"/>
            </w:tblGrid>
            <w:tr w:rsidR="005B3F9E" w:rsidRPr="007B3DCE" w14:paraId="2DF2BE30" w14:textId="77777777" w:rsidTr="00672D71">
              <w:trPr>
                <w:trHeight w:val="420"/>
              </w:trPr>
              <w:tc>
                <w:tcPr>
                  <w:tcW w:w="7058" w:type="dxa"/>
                  <w:vAlign w:val="center"/>
                </w:tcPr>
                <w:p w14:paraId="095B07F9" w14:textId="77777777" w:rsidR="005B3F9E" w:rsidRPr="00E92558" w:rsidRDefault="005B3F9E" w:rsidP="00E92558">
                  <w:pPr>
                    <w:pStyle w:val="BodyText"/>
                    <w:rPr>
                      <w:b/>
                      <w:bCs/>
                    </w:rPr>
                  </w:pPr>
                  <w:r w:rsidRPr="00E92558">
                    <w:rPr>
                      <w:b/>
                      <w:bCs/>
                    </w:rPr>
                    <w:t>Outcome</w:t>
                  </w:r>
                </w:p>
              </w:tc>
              <w:tc>
                <w:tcPr>
                  <w:tcW w:w="2013" w:type="dxa"/>
                </w:tcPr>
                <w:p w14:paraId="044D8BA4" w14:textId="77777777" w:rsidR="005B3F9E" w:rsidRPr="00E92558" w:rsidRDefault="005B3F9E" w:rsidP="00E92558">
                  <w:pPr>
                    <w:pStyle w:val="BodyText"/>
                    <w:jc w:val="right"/>
                    <w:rPr>
                      <w:b/>
                      <w:bCs/>
                    </w:rPr>
                  </w:pPr>
                  <w:r w:rsidRPr="00E92558">
                    <w:rPr>
                      <w:b/>
                      <w:bCs/>
                    </w:rPr>
                    <w:t>Latest data</w:t>
                  </w:r>
                </w:p>
              </w:tc>
            </w:tr>
            <w:tr w:rsidR="005B3F9E" w:rsidRPr="007B3DCE" w14:paraId="71E32495" w14:textId="77777777" w:rsidTr="00672D71">
              <w:trPr>
                <w:trHeight w:val="300"/>
              </w:trPr>
              <w:tc>
                <w:tcPr>
                  <w:tcW w:w="7058" w:type="dxa"/>
                </w:tcPr>
                <w:p w14:paraId="54770656" w14:textId="71E55DAE" w:rsidR="005B3F9E" w:rsidRPr="00CE440F" w:rsidRDefault="005B3F9E" w:rsidP="00E92558">
                  <w:pPr>
                    <w:pStyle w:val="BodyText"/>
                  </w:pPr>
                  <w:r w:rsidRPr="00F05C3F">
                    <w:rPr>
                      <w:b/>
                      <w:bCs/>
                    </w:rPr>
                    <w:t xml:space="preserve">Outcome </w:t>
                  </w:r>
                  <w:r w:rsidR="003808D5" w:rsidRPr="00F05C3F">
                    <w:rPr>
                      <w:b/>
                      <w:bCs/>
                    </w:rPr>
                    <w:t>9</w:t>
                  </w:r>
                  <w:r w:rsidRPr="00F05C3F">
                    <w:rPr>
                      <w:b/>
                      <w:bCs/>
                    </w:rPr>
                    <w:t xml:space="preserve">: </w:t>
                  </w:r>
                  <w:r w:rsidRPr="007B3DCE">
                    <w:t xml:space="preserve">Aboriginal and Torres Strait Islander </w:t>
                  </w:r>
                  <w:r w:rsidR="00B43428">
                    <w:t>people living in appropriately sized (not overcrowded) housing</w:t>
                  </w:r>
                </w:p>
              </w:tc>
              <w:tc>
                <w:tcPr>
                  <w:tcW w:w="2013" w:type="dxa"/>
                </w:tcPr>
                <w:p w14:paraId="753AF558" w14:textId="7E5BB677" w:rsidR="005B3F9E" w:rsidRPr="007B3DCE" w:rsidRDefault="005B3F9E" w:rsidP="00E92558">
                  <w:pPr>
                    <w:jc w:val="right"/>
                  </w:pPr>
                </w:p>
              </w:tc>
            </w:tr>
            <w:tr w:rsidR="005B3F9E" w:rsidRPr="007B3DCE" w14:paraId="43860A07" w14:textId="77777777" w:rsidTr="00672D71">
              <w:trPr>
                <w:trHeight w:val="300"/>
              </w:trPr>
              <w:tc>
                <w:tcPr>
                  <w:tcW w:w="7058" w:type="dxa"/>
                </w:tcPr>
                <w:p w14:paraId="6886DB5B" w14:textId="4A518452" w:rsidR="00B43428" w:rsidRPr="00974ADB" w:rsidRDefault="00360C91" w:rsidP="00974ADB">
                  <w:pPr>
                    <w:pStyle w:val="ListBullet"/>
                    <w:numPr>
                      <w:ilvl w:val="0"/>
                      <w:numId w:val="17"/>
                    </w:numPr>
                    <w:ind w:left="227" w:hanging="227"/>
                  </w:pPr>
                  <w:r w:rsidRPr="00974ADB">
                    <w:t xml:space="preserve">People living in appropriately sized </w:t>
                  </w:r>
                  <w:r w:rsidR="008C0244" w:rsidRPr="00974ADB">
                    <w:t>dwellings</w:t>
                  </w:r>
                  <w:r w:rsidR="005241FE" w:rsidRPr="00974ADB">
                    <w:t xml:space="preserve"> (Target 9A)</w:t>
                  </w:r>
                </w:p>
                <w:p w14:paraId="2A2506BD" w14:textId="7B201E12" w:rsidR="005B3F9E" w:rsidRPr="007B3DCE" w:rsidRDefault="005241FE" w:rsidP="00974ADB">
                  <w:pPr>
                    <w:pStyle w:val="ListBullet"/>
                    <w:numPr>
                      <w:ilvl w:val="0"/>
                      <w:numId w:val="17"/>
                    </w:numPr>
                    <w:ind w:left="227" w:hanging="227"/>
                  </w:pPr>
                  <w:r w:rsidRPr="00974ADB">
                    <w:t xml:space="preserve">Social </w:t>
                  </w:r>
                  <w:r w:rsidR="00321E71" w:rsidRPr="00974ADB">
                    <w:t>housing use</w:t>
                  </w:r>
                  <w:r w:rsidR="00BE20F3" w:rsidRPr="00974ADB">
                    <w:t xml:space="preserve"> (9g)</w:t>
                  </w:r>
                  <w:r w:rsidR="005B3F9E" w:rsidRPr="00974ADB">
                    <w:t>*</w:t>
                  </w:r>
                  <w:r w:rsidR="00D04B3B" w:rsidRPr="00974ADB">
                    <w:t>*</w:t>
                  </w:r>
                </w:p>
              </w:tc>
              <w:tc>
                <w:tcPr>
                  <w:tcW w:w="2013" w:type="dxa"/>
                </w:tcPr>
                <w:p w14:paraId="69803927" w14:textId="75FD4C98" w:rsidR="005B3F9E" w:rsidRDefault="005B3F9E" w:rsidP="001769CD">
                  <w:pPr>
                    <w:spacing w:after="0"/>
                    <w:contextualSpacing/>
                    <w:jc w:val="right"/>
                  </w:pPr>
                  <w:r w:rsidRPr="007B3DCE">
                    <w:t>202</w:t>
                  </w:r>
                  <w:r w:rsidR="005241FE">
                    <w:t>1</w:t>
                  </w:r>
                </w:p>
                <w:p w14:paraId="771D8BB8" w14:textId="59B9DF30" w:rsidR="005B3F9E" w:rsidRPr="007B3DCE" w:rsidRDefault="005B3F9E" w:rsidP="001769CD">
                  <w:pPr>
                    <w:spacing w:after="0"/>
                    <w:contextualSpacing/>
                    <w:jc w:val="right"/>
                  </w:pPr>
                  <w:r>
                    <w:t>202</w:t>
                  </w:r>
                  <w:r w:rsidR="00BE20F3">
                    <w:t>3</w:t>
                  </w:r>
                </w:p>
              </w:tc>
            </w:tr>
          </w:tbl>
          <w:p w14:paraId="39507F92" w14:textId="48E3BE6E" w:rsidR="00B84FBA" w:rsidRPr="00E0112C" w:rsidRDefault="00D56E33" w:rsidP="002A51D6">
            <w:pPr>
              <w:pStyle w:val="BodyText"/>
              <w:rPr>
                <w:sz w:val="18"/>
                <w:szCs w:val="18"/>
              </w:rPr>
            </w:pPr>
            <w:r w:rsidRPr="00E0112C">
              <w:rPr>
                <w:sz w:val="18"/>
                <w:szCs w:val="18"/>
              </w:rPr>
              <w:t xml:space="preserve">Note: </w:t>
            </w:r>
            <w:r w:rsidR="003D60E0" w:rsidRPr="00E0112C">
              <w:rPr>
                <w:sz w:val="18"/>
                <w:szCs w:val="18"/>
              </w:rPr>
              <w:t xml:space="preserve">**Indicates a new </w:t>
            </w:r>
            <w:r w:rsidR="002F3E4D">
              <w:rPr>
                <w:sz w:val="18"/>
                <w:szCs w:val="18"/>
              </w:rPr>
              <w:t>supporting indicator</w:t>
            </w:r>
            <w:r w:rsidR="003D60E0" w:rsidRPr="00E0112C">
              <w:rPr>
                <w:sz w:val="18"/>
                <w:szCs w:val="18"/>
              </w:rPr>
              <w:t xml:space="preserve"> </w:t>
            </w:r>
            <w:r w:rsidR="003D60E0" w:rsidRPr="00E0112C">
              <w:rPr>
                <w:rFonts w:cs="Open Sans"/>
                <w:color w:val="000000"/>
                <w:sz w:val="18"/>
                <w:szCs w:val="18"/>
              </w:rPr>
              <w:t>since the 2023 ADCR.</w:t>
            </w:r>
          </w:p>
        </w:tc>
      </w:tr>
    </w:tbl>
    <w:p w14:paraId="288C7EDC" w14:textId="56268E0B" w:rsidR="00742712" w:rsidRPr="00DC16FE" w:rsidRDefault="00742712" w:rsidP="00DC16FE">
      <w:pPr>
        <w:pStyle w:val="Heading3"/>
        <w:rPr>
          <w:color w:val="286647"/>
        </w:rPr>
      </w:pPr>
      <w:bookmarkStart w:id="54" w:name="_Toc167878560"/>
      <w:r w:rsidRPr="00DC16FE">
        <w:rPr>
          <w:rStyle w:val="normaltextrun"/>
          <w:color w:val="286647"/>
        </w:rPr>
        <w:lastRenderedPageBreak/>
        <w:t>Outcome 9: Aboriginal and Torres Strait Islander people secure appropriate, affordable housing aligned with their priorities and need</w:t>
      </w:r>
      <w:bookmarkEnd w:id="54"/>
    </w:p>
    <w:p w14:paraId="1E8840C4" w14:textId="5D08BB0B" w:rsidR="00555E14" w:rsidRPr="007B3DCE" w:rsidRDefault="000065E1" w:rsidP="00BF3988">
      <w:pPr>
        <w:pStyle w:val="Heading4"/>
        <w:rPr>
          <w:color w:val="438153"/>
        </w:rPr>
      </w:pPr>
      <w:r w:rsidRPr="007B3DCE">
        <w:rPr>
          <w:color w:val="438153"/>
        </w:rPr>
        <w:t>The</w:t>
      </w:r>
      <w:r w:rsidR="00555E14" w:rsidRPr="007B3DCE">
        <w:rPr>
          <w:color w:val="438153"/>
        </w:rPr>
        <w:t xml:space="preserve"> proportion of Aboriginal and Torres Strait Islander people living in appropriately sized (not overcrowded) housing is not on track to me</w:t>
      </w:r>
      <w:r w:rsidR="00483D98" w:rsidRPr="007B3DCE">
        <w:rPr>
          <w:color w:val="438153"/>
        </w:rPr>
        <w:t>e</w:t>
      </w:r>
      <w:r w:rsidR="00555E14" w:rsidRPr="007B3DCE">
        <w:rPr>
          <w:color w:val="438153"/>
        </w:rPr>
        <w:t>t</w:t>
      </w:r>
      <w:r w:rsidR="00483D98" w:rsidRPr="007B3DCE">
        <w:rPr>
          <w:color w:val="438153"/>
        </w:rPr>
        <w:t xml:space="preserve"> the target</w:t>
      </w:r>
      <w:r w:rsidR="00B3442A">
        <w:rPr>
          <w:color w:val="438153"/>
        </w:rPr>
        <w:t xml:space="preserve"> by 2031</w:t>
      </w:r>
    </w:p>
    <w:p w14:paraId="2B0469C5" w14:textId="6C748532" w:rsidR="00555E14" w:rsidRPr="003A4415" w:rsidRDefault="00555E14" w:rsidP="003A4415">
      <w:pPr>
        <w:pStyle w:val="BodyText"/>
        <w:rPr>
          <w:spacing w:val="-2"/>
        </w:rPr>
      </w:pPr>
      <w:r w:rsidRPr="003A4415">
        <w:rPr>
          <w:spacing w:val="-2"/>
        </w:rPr>
        <w:t xml:space="preserve">The latest data published for Target 9A is from 2021 and indicates that the target </w:t>
      </w:r>
      <w:r w:rsidR="0084792C" w:rsidRPr="003A4415">
        <w:rPr>
          <w:spacing w:val="-2"/>
        </w:rPr>
        <w:t>of 88%</w:t>
      </w:r>
      <w:r w:rsidRPr="003A4415">
        <w:rPr>
          <w:spacing w:val="-2"/>
        </w:rPr>
        <w:t xml:space="preserve"> </w:t>
      </w:r>
      <w:r w:rsidR="008D2603" w:rsidRPr="003A4415">
        <w:rPr>
          <w:spacing w:val="-2"/>
        </w:rPr>
        <w:t xml:space="preserve">of Aboriginal and Torres Strait Islander people living in appropriately sized (not overcrowded) housing </w:t>
      </w:r>
      <w:r w:rsidRPr="003A4415">
        <w:rPr>
          <w:spacing w:val="-2"/>
        </w:rPr>
        <w:t>is not on track to be met. The latest update for Outcome 9 was published in 2023</w:t>
      </w:r>
      <w:r w:rsidR="00C33F6F" w:rsidRPr="003A4415">
        <w:rPr>
          <w:spacing w:val="-2"/>
        </w:rPr>
        <w:t>.</w:t>
      </w:r>
      <w:r w:rsidR="00F46536" w:rsidRPr="00A817A9">
        <w:rPr>
          <w:rStyle w:val="FootnoteReference"/>
          <w:spacing w:val="-2"/>
        </w:rPr>
        <w:footnoteReference w:id="19"/>
      </w:r>
      <w:r w:rsidRPr="003A4415">
        <w:rPr>
          <w:spacing w:val="-2"/>
        </w:rPr>
        <w:t xml:space="preserve"> </w:t>
      </w:r>
      <w:r w:rsidR="00DD3CB9" w:rsidRPr="003A4415">
        <w:rPr>
          <w:spacing w:val="-2"/>
        </w:rPr>
        <w:t>Data on ‘community infrastruc</w:t>
      </w:r>
      <w:r w:rsidR="0037380B" w:rsidRPr="003A4415">
        <w:rPr>
          <w:spacing w:val="-2"/>
        </w:rPr>
        <w:t>tu</w:t>
      </w:r>
      <w:r w:rsidR="00DD3CB9" w:rsidRPr="003A4415">
        <w:rPr>
          <w:spacing w:val="-2"/>
        </w:rPr>
        <w:t xml:space="preserve">re’, </w:t>
      </w:r>
      <w:r w:rsidR="00AB46EB" w:rsidRPr="003A4415">
        <w:rPr>
          <w:spacing w:val="-2"/>
        </w:rPr>
        <w:t xml:space="preserve">measuring access to and quality of essential services – Target 9B </w:t>
      </w:r>
      <w:r w:rsidR="00F22CF3" w:rsidRPr="003A4415">
        <w:rPr>
          <w:spacing w:val="-2"/>
        </w:rPr>
        <w:t>–</w:t>
      </w:r>
      <w:r w:rsidR="00AB46EB" w:rsidRPr="003A4415">
        <w:rPr>
          <w:spacing w:val="-2"/>
        </w:rPr>
        <w:t xml:space="preserve"> </w:t>
      </w:r>
      <w:r w:rsidR="00F22CF3" w:rsidRPr="003A4415">
        <w:rPr>
          <w:spacing w:val="-2"/>
        </w:rPr>
        <w:t>has not yet been collected to establish a baseline</w:t>
      </w:r>
      <w:r w:rsidR="004C605B" w:rsidRPr="003A4415">
        <w:rPr>
          <w:spacing w:val="-2"/>
        </w:rPr>
        <w:t>.</w:t>
      </w:r>
    </w:p>
    <w:p w14:paraId="6119A23E" w14:textId="673D83DF" w:rsidR="00742712" w:rsidRPr="007B3DCE" w:rsidRDefault="00DC1C93" w:rsidP="00BC4438">
      <w:pPr>
        <w:pStyle w:val="BodyText"/>
      </w:pPr>
      <w:r w:rsidRPr="007B3DCE">
        <w:t>Similarly, no new data</w:t>
      </w:r>
      <w:r w:rsidR="00564D65">
        <w:t xml:space="preserve"> is available</w:t>
      </w:r>
      <w:r w:rsidRPr="007B3DCE">
        <w:t xml:space="preserve"> for the </w:t>
      </w:r>
      <w:r w:rsidR="00742712" w:rsidRPr="007B3DCE">
        <w:t xml:space="preserve">contextual indicator </w:t>
      </w:r>
      <w:r w:rsidR="00250726" w:rsidRPr="007B3DCE">
        <w:t>– Indicato</w:t>
      </w:r>
      <w:r w:rsidR="0032255B" w:rsidRPr="007B3DCE">
        <w:t xml:space="preserve">r 9e </w:t>
      </w:r>
      <w:r w:rsidR="004B7CA2" w:rsidRPr="007B3DCE">
        <w:t>–</w:t>
      </w:r>
      <w:r w:rsidRPr="007B3DCE">
        <w:t xml:space="preserve"> </w:t>
      </w:r>
      <w:r w:rsidR="00742712" w:rsidRPr="007B3DCE">
        <w:rPr>
          <w:rStyle w:val="normaltextrun"/>
        </w:rPr>
        <w:t>Aboriginal and Torres Strait Islander people hav</w:t>
      </w:r>
      <w:r w:rsidR="00F01017" w:rsidRPr="007B3DCE">
        <w:rPr>
          <w:rStyle w:val="normaltextrun"/>
        </w:rPr>
        <w:t>e</w:t>
      </w:r>
      <w:r w:rsidR="00742712" w:rsidRPr="007B3DCE">
        <w:rPr>
          <w:rStyle w:val="normaltextrun"/>
        </w:rPr>
        <w:t xml:space="preserve"> secure appropriate, affordable </w:t>
      </w:r>
      <w:r w:rsidR="00192C5D" w:rsidRPr="007B3DCE">
        <w:rPr>
          <w:rStyle w:val="normaltextrun"/>
        </w:rPr>
        <w:t>housing that is aligned with their priorities and need</w:t>
      </w:r>
      <w:r w:rsidR="29D7C98E" w:rsidRPr="007B3DCE">
        <w:rPr>
          <w:rStyle w:val="normaltextrun"/>
        </w:rPr>
        <w:t>s</w:t>
      </w:r>
      <w:r w:rsidR="00192C5D" w:rsidRPr="007B3DCE">
        <w:t xml:space="preserve"> </w:t>
      </w:r>
      <w:r w:rsidR="00562D3F" w:rsidRPr="007B3DCE">
        <w:t>and is of an acceptable standard</w:t>
      </w:r>
      <w:r w:rsidR="00192C5D" w:rsidRPr="007B3DCE">
        <w:t xml:space="preserve">. </w:t>
      </w:r>
      <w:r w:rsidR="00742712" w:rsidRPr="007B3DCE">
        <w:t xml:space="preserve">The latest data published on the </w:t>
      </w:r>
      <w:r w:rsidR="00CE6424" w:rsidRPr="007B3DCE">
        <w:t>d</w:t>
      </w:r>
      <w:r w:rsidR="00742712" w:rsidRPr="007B3DCE">
        <w:t xml:space="preserve">ashboard for </w:t>
      </w:r>
      <w:r w:rsidR="00DF56AF" w:rsidRPr="007B3DCE">
        <w:t xml:space="preserve">this </w:t>
      </w:r>
      <w:r w:rsidR="00742712" w:rsidRPr="007B3DCE">
        <w:t xml:space="preserve">indicator is from 2021 and was published in 2023. </w:t>
      </w:r>
    </w:p>
    <w:p w14:paraId="2F7221E1" w14:textId="598C89C5" w:rsidR="00742712" w:rsidRPr="007B3DCE" w:rsidRDefault="00A61D33" w:rsidP="00BF3988">
      <w:pPr>
        <w:pStyle w:val="Heading5"/>
        <w:rPr>
          <w:color w:val="286647" w:themeColor="accent3" w:themeShade="80"/>
        </w:rPr>
      </w:pPr>
      <w:r w:rsidRPr="007B3DCE">
        <w:rPr>
          <w:color w:val="286647" w:themeColor="accent3" w:themeShade="80"/>
        </w:rPr>
        <w:t xml:space="preserve">New data </w:t>
      </w:r>
      <w:r w:rsidR="00B515DC" w:rsidRPr="007B3DCE">
        <w:rPr>
          <w:color w:val="286647" w:themeColor="accent3" w:themeShade="80"/>
        </w:rPr>
        <w:t>on the use of s</w:t>
      </w:r>
      <w:r w:rsidR="00742712" w:rsidRPr="007B3DCE">
        <w:rPr>
          <w:color w:val="286647" w:themeColor="accent3" w:themeShade="80"/>
        </w:rPr>
        <w:t>ocial housing</w:t>
      </w:r>
      <w:r w:rsidR="00B515DC" w:rsidRPr="007B3DCE">
        <w:rPr>
          <w:color w:val="286647" w:themeColor="accent3" w:themeShade="80"/>
        </w:rPr>
        <w:t xml:space="preserve"> is available</w:t>
      </w:r>
    </w:p>
    <w:p w14:paraId="5851126E" w14:textId="1BA8BF27" w:rsidR="00742712" w:rsidRPr="007B3DCE" w:rsidRDefault="2970E2A6" w:rsidP="00BC4438">
      <w:pPr>
        <w:pStyle w:val="BodyText"/>
      </w:pPr>
      <w:r w:rsidRPr="007B3DCE">
        <w:t>N</w:t>
      </w:r>
      <w:r w:rsidR="7DA0C201" w:rsidRPr="007B3DCE">
        <w:t xml:space="preserve">ew data on social housing </w:t>
      </w:r>
      <w:r w:rsidR="6640B1CA" w:rsidRPr="007B3DCE">
        <w:t xml:space="preserve">– Indicator 9g – </w:t>
      </w:r>
      <w:r w:rsidR="61CF23EA" w:rsidRPr="007B3DCE">
        <w:t>shows that</w:t>
      </w:r>
      <w:r w:rsidR="00846F6F" w:rsidRPr="007B3DCE">
        <w:t xml:space="preserve"> </w:t>
      </w:r>
      <w:r w:rsidR="29E286D8" w:rsidRPr="007B3DCE">
        <w:t>i</w:t>
      </w:r>
      <w:r w:rsidR="0604765E" w:rsidRPr="007B3DCE">
        <w:t>n 2021, 18.5% of Aboriginal and Torres Strait Islander households</w:t>
      </w:r>
      <w:r w:rsidR="009D53FC">
        <w:rPr>
          <w:rStyle w:val="FootnoteReference"/>
        </w:rPr>
        <w:footnoteReference w:id="20"/>
      </w:r>
      <w:r w:rsidR="0604765E" w:rsidRPr="007B3DCE">
        <w:t xml:space="preserve"> resided in a social housing dwelling, down from 22.</w:t>
      </w:r>
      <w:r w:rsidR="00B7563F">
        <w:t>5</w:t>
      </w:r>
      <w:r w:rsidR="0604765E" w:rsidRPr="007B3DCE">
        <w:t>% in 2016</w:t>
      </w:r>
      <w:r w:rsidR="00505CED" w:rsidRPr="007B3DCE">
        <w:t xml:space="preserve"> (figure 2.1</w:t>
      </w:r>
      <w:r w:rsidR="00A76D1E" w:rsidRPr="007B3DCE">
        <w:t>9</w:t>
      </w:r>
      <w:r w:rsidR="00505CED" w:rsidRPr="007B3DCE">
        <w:t>).</w:t>
      </w:r>
      <w:r w:rsidR="00206DE4" w:rsidRPr="009D07D6">
        <w:rPr>
          <w:rStyle w:val="FootnoteReference"/>
        </w:rPr>
        <w:footnoteReference w:id="21"/>
      </w:r>
      <w:r w:rsidR="0604765E" w:rsidRPr="007B3DCE">
        <w:t xml:space="preserve"> </w:t>
      </w:r>
      <w:r w:rsidR="10BBE32F" w:rsidRPr="007B3DCE">
        <w:t xml:space="preserve">Most households residing in social housing rented through a state </w:t>
      </w:r>
      <w:r w:rsidR="00A90F4B">
        <w:t>or</w:t>
      </w:r>
      <w:r w:rsidR="10BBE32F" w:rsidRPr="007B3DCE">
        <w:t xml:space="preserve"> territory housing authority, compared to a community housing provider. </w:t>
      </w:r>
    </w:p>
    <w:p w14:paraId="38E8895D" w14:textId="084B8ADF" w:rsidR="00EB00A9" w:rsidRPr="007B3DCE" w:rsidRDefault="0604765E" w:rsidP="00F813E4">
      <w:pPr>
        <w:pStyle w:val="BodyText"/>
      </w:pPr>
      <w:r w:rsidRPr="007B3DCE">
        <w:t>Th</w:t>
      </w:r>
      <w:r w:rsidR="4C1B7F08" w:rsidRPr="007B3DCE">
        <w:t>e</w:t>
      </w:r>
      <w:r w:rsidRPr="007B3DCE">
        <w:t xml:space="preserve"> proportion of households resid</w:t>
      </w:r>
      <w:r w:rsidR="4C1B7F08" w:rsidRPr="007B3DCE">
        <w:t>ing</w:t>
      </w:r>
      <w:r w:rsidRPr="007B3DCE">
        <w:t xml:space="preserve"> in a social housing dwelling increased with increasing remoteness, from 14.8% and 13.4% for households in major cities and inner regional areas, respectively, up to 68.7% of households in very remote areas.  </w:t>
      </w:r>
    </w:p>
    <w:p w14:paraId="4A822AA5" w14:textId="1675C543" w:rsidR="00ED5E81" w:rsidRPr="007B3DCE" w:rsidRDefault="00293B8B" w:rsidP="00293B8B">
      <w:pPr>
        <w:pStyle w:val="FigureTableHeading"/>
        <w:rPr>
          <w:color w:val="286647" w:themeColor="accent3" w:themeShade="80"/>
        </w:rPr>
      </w:pPr>
      <w:r w:rsidRPr="007B3DCE">
        <w:rPr>
          <w:color w:val="286647" w:themeColor="accent3" w:themeShade="80"/>
        </w:rPr>
        <w:lastRenderedPageBreak/>
        <w:t xml:space="preserve">Figure </w:t>
      </w:r>
      <w:r w:rsidR="00A23FF2" w:rsidRPr="007B3DCE">
        <w:rPr>
          <w:color w:val="286647" w:themeColor="accent3" w:themeShade="80"/>
        </w:rPr>
        <w:t>2</w:t>
      </w:r>
      <w:r w:rsidR="00F813E4" w:rsidRPr="007B3DCE">
        <w:rPr>
          <w:color w:val="286647" w:themeColor="accent3" w:themeShade="80"/>
        </w:rPr>
        <w:t>.</w:t>
      </w:r>
      <w:r w:rsidR="0036545D" w:rsidRPr="007B3DCE">
        <w:rPr>
          <w:color w:val="286647" w:themeColor="accent3" w:themeShade="80"/>
        </w:rPr>
        <w:t>19</w:t>
      </w:r>
      <w:r w:rsidRPr="007B3DCE">
        <w:rPr>
          <w:color w:val="286647" w:themeColor="accent3" w:themeShade="80"/>
        </w:rPr>
        <w:t xml:space="preserve"> – Social housing dwellings </w:t>
      </w:r>
    </w:p>
    <w:p w14:paraId="55DBF2CD" w14:textId="3C563034" w:rsidR="00293B8B" w:rsidRDefault="388FB4D0" w:rsidP="79FC5C22">
      <w:pPr>
        <w:pStyle w:val="FigureTableSubheading"/>
        <w:rPr>
          <w:color w:val="438153"/>
        </w:rPr>
      </w:pPr>
      <w:r w:rsidRPr="007B3DCE">
        <w:rPr>
          <w:color w:val="438153"/>
        </w:rPr>
        <w:t>Proportion of Aboriginal and Torres Strait Islander</w:t>
      </w:r>
      <w:r w:rsidR="00293B8B" w:rsidRPr="007B3DCE">
        <w:rPr>
          <w:color w:val="438153"/>
        </w:rPr>
        <w:t xml:space="preserve"> households </w:t>
      </w:r>
      <w:r w:rsidR="4818F564" w:rsidRPr="007B3DCE">
        <w:rPr>
          <w:color w:val="438153"/>
        </w:rPr>
        <w:t>residing in a social housing dwelling</w:t>
      </w:r>
      <w:r w:rsidR="00293B8B" w:rsidRPr="007B3DCE">
        <w:rPr>
          <w:color w:val="438153"/>
        </w:rPr>
        <w:t xml:space="preserve"> by location</w:t>
      </w:r>
      <w:r w:rsidR="001954C7" w:rsidRPr="007B3DCE">
        <w:rPr>
          <w:color w:val="438153"/>
        </w:rPr>
        <w:t xml:space="preserve"> (9g.1)</w:t>
      </w:r>
    </w:p>
    <w:p w14:paraId="201CE3B8" w14:textId="538F45D3" w:rsidR="008E2195" w:rsidRPr="009D3DF2" w:rsidRDefault="007F4F86" w:rsidP="009D3DF2">
      <w:pPr>
        <w:pStyle w:val="FigureTableSubheading"/>
        <w:rPr>
          <w:color w:val="438153"/>
        </w:rPr>
      </w:pPr>
      <w:r w:rsidRPr="007F4F86">
        <w:rPr>
          <w:noProof/>
        </w:rPr>
        <w:drawing>
          <wp:inline distT="0" distB="0" distL="0" distR="0" wp14:anchorId="5CFD6278" wp14:editId="51B04C3F">
            <wp:extent cx="6120130" cy="2687320"/>
            <wp:effectExtent l="0" t="0" r="0" b="0"/>
            <wp:docPr id="900502222" name="Picture 188" descr="Figure 2.19 is a stacked column chart that shows the proportion of Aboriginal and Torres Strait Islander households residing in social housing dwellings by location from 2016 to 2021. The chart distinguishes between households renting through state or territory housing authorities and those renting through community housing providers. The data indicates higher proportions of social housing in very remote areas, with a significant increase in community housing in these region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02222" name="Picture 188" descr="Figure 2.19 is a stacked column chart that shows the proportion of Aboriginal and Torres Strait Islander households residing in social housing dwellings by location from 2016 to 2021. The chart distinguishes between households renting through state or territory housing authorities and those renting through community housing providers. The data indicates higher proportions of social housing in very remote areas, with a significant increase in community housing in these regions over time.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2687320"/>
                    </a:xfrm>
                    <a:prstGeom prst="rect">
                      <a:avLst/>
                    </a:prstGeom>
                    <a:noFill/>
                    <a:ln>
                      <a:noFill/>
                    </a:ln>
                  </pic:spPr>
                </pic:pic>
              </a:graphicData>
            </a:graphic>
          </wp:inline>
        </w:drawing>
      </w:r>
      <w:r w:rsidR="00293B8B" w:rsidRPr="007B3DCE">
        <w:rPr>
          <w:rFonts w:asciiTheme="minorHAnsi" w:eastAsiaTheme="minorEastAsia" w:hAnsiTheme="minorHAnsi"/>
          <w:sz w:val="18"/>
        </w:rPr>
        <w:t xml:space="preserve"> </w:t>
      </w:r>
    </w:p>
    <w:p w14:paraId="3BEC1289" w14:textId="19C9C0C2" w:rsidR="00842817" w:rsidRPr="007B3DCE" w:rsidRDefault="00501AC7" w:rsidP="007C69E3">
      <w:pPr>
        <w:pStyle w:val="Note"/>
      </w:pPr>
      <w:r w:rsidRPr="007B3DCE">
        <w:rPr>
          <w:b/>
        </w:rPr>
        <w:t>a.</w:t>
      </w:r>
      <w:r w:rsidR="00842817" w:rsidRPr="007B3DCE">
        <w:t xml:space="preserve"> </w:t>
      </w:r>
      <w:r w:rsidRPr="007B3DCE">
        <w:t>T</w:t>
      </w:r>
      <w:r w:rsidR="00842817" w:rsidRPr="007B3DCE">
        <w:t xml:space="preserve">he shaded </w:t>
      </w:r>
      <w:r w:rsidR="00C54D36" w:rsidRPr="007B3DCE">
        <w:t>b</w:t>
      </w:r>
      <w:r w:rsidR="006D3528">
        <w:t>ox</w:t>
      </w:r>
      <w:r w:rsidR="00C54D36" w:rsidRPr="007B3DCE">
        <w:t xml:space="preserve"> </w:t>
      </w:r>
      <w:r w:rsidR="00E04E27" w:rsidRPr="007B3DCE">
        <w:t>denote</w:t>
      </w:r>
      <w:r w:rsidR="006D3528">
        <w:t>s</w:t>
      </w:r>
      <w:r w:rsidR="00842817" w:rsidRPr="007B3DCE">
        <w:t xml:space="preserve"> the national data for all remoteness areas combined.</w:t>
      </w:r>
    </w:p>
    <w:p w14:paraId="16BA591A" w14:textId="48CA0532" w:rsidR="00501AC7" w:rsidRPr="007B3DCE" w:rsidRDefault="00613F25" w:rsidP="00EB38DB">
      <w:pPr>
        <w:pStyle w:val="Source"/>
      </w:pPr>
      <w:r>
        <w:t>Source: ABS (unpublished) Census of Population and Housing</w:t>
      </w:r>
    </w:p>
    <w:p w14:paraId="78BC8DF4" w14:textId="6561AB68" w:rsidR="00742712" w:rsidRPr="007B3DCE" w:rsidRDefault="00742712" w:rsidP="004E5DEC">
      <w:pPr>
        <w:pStyle w:val="BodyText"/>
        <w:rPr>
          <w:rFonts w:ascii="Aptos Display" w:eastAsia="Aptos Display" w:hAnsi="Aptos Display" w:cs="Aptos Display"/>
          <w:sz w:val="22"/>
          <w:szCs w:val="22"/>
        </w:rPr>
      </w:pPr>
      <w:r w:rsidRPr="007B3DCE">
        <w:rPr>
          <w:rFonts w:eastAsiaTheme="majorEastAsia"/>
        </w:rPr>
        <w:t>Nationally in 2023, 83,040 Aboriginal and Torres Strait Islander households were living in social housing</w:t>
      </w:r>
      <w:r w:rsidR="00BF3511" w:rsidRPr="007B3DCE">
        <w:rPr>
          <w:rFonts w:eastAsiaTheme="majorEastAsia"/>
        </w:rPr>
        <w:t>.</w:t>
      </w:r>
      <w:r w:rsidRPr="007B3DCE">
        <w:rPr>
          <w:rFonts w:eastAsiaTheme="majorEastAsia"/>
        </w:rPr>
        <w:t xml:space="preserve"> </w:t>
      </w:r>
      <w:r w:rsidR="094FA3FF" w:rsidRPr="007B3DCE">
        <w:t xml:space="preserve"> </w:t>
      </w:r>
      <w:r w:rsidR="007074C2" w:rsidRPr="007B3DCE">
        <w:t>Approximately</w:t>
      </w:r>
      <w:r w:rsidR="007905DD" w:rsidRPr="007B3DCE">
        <w:rPr>
          <w:rFonts w:eastAsiaTheme="majorEastAsia"/>
        </w:rPr>
        <w:t xml:space="preserve"> one in five </w:t>
      </w:r>
      <w:r w:rsidR="004C177E" w:rsidRPr="007B3DCE">
        <w:rPr>
          <w:rFonts w:eastAsiaTheme="majorEastAsia"/>
        </w:rPr>
        <w:t xml:space="preserve">of these </w:t>
      </w:r>
      <w:r w:rsidR="007074C2" w:rsidRPr="007B3DCE">
        <w:rPr>
          <w:rFonts w:eastAsiaTheme="majorEastAsia"/>
        </w:rPr>
        <w:t>Aboriginal and Torres Strait Islander</w:t>
      </w:r>
      <w:r w:rsidR="007905DD" w:rsidRPr="007B3DCE">
        <w:rPr>
          <w:rFonts w:eastAsiaTheme="majorEastAsia"/>
        </w:rPr>
        <w:t xml:space="preserve"> </w:t>
      </w:r>
      <w:r w:rsidR="003E6355" w:rsidRPr="007B3DCE">
        <w:rPr>
          <w:rFonts w:eastAsiaTheme="majorEastAsia"/>
        </w:rPr>
        <w:t xml:space="preserve">households </w:t>
      </w:r>
      <w:r w:rsidR="004C177E" w:rsidRPr="007B3DCE">
        <w:rPr>
          <w:rFonts w:eastAsiaTheme="majorEastAsia"/>
        </w:rPr>
        <w:t xml:space="preserve">were living in </w:t>
      </w:r>
      <w:r w:rsidRPr="007B3DCE">
        <w:rPr>
          <w:rFonts w:eastAsiaTheme="majorEastAsia"/>
        </w:rPr>
        <w:t xml:space="preserve">social housing </w:t>
      </w:r>
      <w:r w:rsidR="00361DDD" w:rsidRPr="007B3DCE">
        <w:rPr>
          <w:rFonts w:eastAsiaTheme="majorEastAsia"/>
        </w:rPr>
        <w:t>provided by</w:t>
      </w:r>
      <w:r w:rsidRPr="007B3DCE">
        <w:rPr>
          <w:rFonts w:eastAsiaTheme="majorEastAsia"/>
        </w:rPr>
        <w:t xml:space="preserve"> Indigenous community housing</w:t>
      </w:r>
      <w:r w:rsidR="00456F29" w:rsidRPr="007B3DCE">
        <w:rPr>
          <w:rFonts w:eastAsiaTheme="majorEastAsia"/>
        </w:rPr>
        <w:t xml:space="preserve">, </w:t>
      </w:r>
      <w:r w:rsidR="002643A2" w:rsidRPr="007B3DCE">
        <w:rPr>
          <w:rFonts w:eastAsiaTheme="majorEastAsia"/>
        </w:rPr>
        <w:t xml:space="preserve">compared </w:t>
      </w:r>
      <w:r w:rsidR="00DF16F6" w:rsidRPr="007B3DCE">
        <w:rPr>
          <w:rFonts w:eastAsiaTheme="majorEastAsia"/>
        </w:rPr>
        <w:t>to</w:t>
      </w:r>
      <w:r w:rsidR="002643A2" w:rsidRPr="007B3DCE">
        <w:rPr>
          <w:rFonts w:eastAsiaTheme="majorEastAsia"/>
        </w:rPr>
        <w:t xml:space="preserve"> other</w:t>
      </w:r>
      <w:r w:rsidR="001E13F4" w:rsidRPr="007B3DCE">
        <w:rPr>
          <w:rFonts w:eastAsiaTheme="majorEastAsia"/>
        </w:rPr>
        <w:t xml:space="preserve"> social</w:t>
      </w:r>
      <w:r w:rsidR="00E92174" w:rsidRPr="007B3DCE">
        <w:rPr>
          <w:rFonts w:eastAsiaTheme="majorEastAsia"/>
        </w:rPr>
        <w:t xml:space="preserve"> housing </w:t>
      </w:r>
      <w:r w:rsidR="001E13F4" w:rsidRPr="007B3DCE">
        <w:rPr>
          <w:rFonts w:eastAsiaTheme="majorEastAsia"/>
        </w:rPr>
        <w:t>programs</w:t>
      </w:r>
      <w:r w:rsidR="007074C2" w:rsidRPr="007B3DCE">
        <w:rPr>
          <w:rFonts w:eastAsiaTheme="majorEastAsia"/>
        </w:rPr>
        <w:t xml:space="preserve"> </w:t>
      </w:r>
      <w:r w:rsidR="007074C2" w:rsidRPr="007B3DCE">
        <w:t>(figure</w:t>
      </w:r>
      <w:r w:rsidR="00264889">
        <w:t> </w:t>
      </w:r>
      <w:r w:rsidR="007074C2" w:rsidRPr="007B3DCE">
        <w:t>2.</w:t>
      </w:r>
      <w:r w:rsidR="00A76D1E" w:rsidRPr="007B3DCE">
        <w:t>20</w:t>
      </w:r>
      <w:r w:rsidR="007074C2" w:rsidRPr="007B3DCE">
        <w:t>)</w:t>
      </w:r>
      <w:r w:rsidRPr="007B3DCE">
        <w:rPr>
          <w:rFonts w:eastAsiaTheme="majorEastAsia"/>
        </w:rPr>
        <w:t xml:space="preserve">. </w:t>
      </w:r>
      <w:r w:rsidR="0A496335" w:rsidRPr="007B3DCE">
        <w:rPr>
          <w:rFonts w:eastAsia="Aptos Display"/>
        </w:rPr>
        <w:t>M</w:t>
      </w:r>
      <w:r w:rsidR="0DEAFF19" w:rsidRPr="007B3DCE">
        <w:rPr>
          <w:rFonts w:eastAsia="Aptos Display"/>
        </w:rPr>
        <w:t>o</w:t>
      </w:r>
      <w:r w:rsidR="38D4F7F6" w:rsidRPr="007B3DCE">
        <w:rPr>
          <w:rFonts w:eastAsia="Aptos Display"/>
        </w:rPr>
        <w:t xml:space="preserve">re than half </w:t>
      </w:r>
      <w:r w:rsidR="5F103797" w:rsidRPr="3038F208">
        <w:rPr>
          <w:rFonts w:eastAsia="Aptos Display"/>
        </w:rPr>
        <w:t>(58.3%)</w:t>
      </w:r>
      <w:r w:rsidR="38D4F7F6" w:rsidRPr="007B3DCE">
        <w:rPr>
          <w:rFonts w:eastAsia="Aptos Display"/>
        </w:rPr>
        <w:t xml:space="preserve"> of </w:t>
      </w:r>
      <w:r w:rsidR="3553A318" w:rsidRPr="007B3DCE">
        <w:rPr>
          <w:rFonts w:eastAsia="Aptos Display"/>
        </w:rPr>
        <w:t xml:space="preserve">Aboriginal and Torres Strait Islander </w:t>
      </w:r>
      <w:r w:rsidR="00900161" w:rsidRPr="007B3DCE">
        <w:rPr>
          <w:rFonts w:eastAsia="Aptos Display"/>
        </w:rPr>
        <w:t>households</w:t>
      </w:r>
      <w:r w:rsidR="3553A318" w:rsidRPr="007B3DCE">
        <w:rPr>
          <w:rFonts w:eastAsia="Aptos Display"/>
        </w:rPr>
        <w:t xml:space="preserve"> </w:t>
      </w:r>
      <w:r w:rsidR="0A9AA8E8" w:rsidRPr="6D73A791">
        <w:rPr>
          <w:rFonts w:eastAsia="Aptos Display"/>
        </w:rPr>
        <w:t xml:space="preserve">in very remote areas </w:t>
      </w:r>
      <w:r w:rsidR="3553A318" w:rsidRPr="007B3DCE">
        <w:rPr>
          <w:rFonts w:eastAsia="Aptos Display"/>
        </w:rPr>
        <w:t>were living in</w:t>
      </w:r>
      <w:r w:rsidR="38D4F7F6" w:rsidRPr="007B3DCE">
        <w:rPr>
          <w:rFonts w:eastAsia="Aptos Display"/>
        </w:rPr>
        <w:t xml:space="preserve"> housing dwellings </w:t>
      </w:r>
      <w:r w:rsidR="184CB52F" w:rsidRPr="007B3DCE">
        <w:rPr>
          <w:rFonts w:eastAsia="Aptos Display"/>
        </w:rPr>
        <w:t xml:space="preserve">provided by </w:t>
      </w:r>
      <w:r w:rsidR="58003B2E" w:rsidRPr="007B3DCE">
        <w:rPr>
          <w:rFonts w:eastAsia="Aptos Display"/>
        </w:rPr>
        <w:t>Indigenous community housing.</w:t>
      </w:r>
    </w:p>
    <w:p w14:paraId="52A333B1" w14:textId="2DAFC6AD" w:rsidR="00742712" w:rsidRPr="007B3DCE" w:rsidRDefault="00E74499" w:rsidP="00E74499">
      <w:pPr>
        <w:pStyle w:val="FigureTableHeading"/>
        <w:rPr>
          <w:color w:val="286647" w:themeColor="accent3" w:themeShade="80"/>
        </w:rPr>
      </w:pPr>
      <w:r w:rsidRPr="007B3DCE">
        <w:rPr>
          <w:color w:val="286647" w:themeColor="accent3" w:themeShade="80"/>
        </w:rPr>
        <w:t xml:space="preserve">Figure </w:t>
      </w:r>
      <w:r w:rsidR="00742712" w:rsidRPr="007B3DCE">
        <w:rPr>
          <w:color w:val="286647" w:themeColor="accent3" w:themeShade="80"/>
        </w:rPr>
        <w:t>2</w:t>
      </w:r>
      <w:r w:rsidR="00AE4BBA" w:rsidRPr="007B3DCE">
        <w:rPr>
          <w:color w:val="286647" w:themeColor="accent3" w:themeShade="80"/>
        </w:rPr>
        <w:t>.</w:t>
      </w:r>
      <w:r w:rsidR="0036545D" w:rsidRPr="007B3DCE">
        <w:rPr>
          <w:color w:val="286647" w:themeColor="accent3" w:themeShade="80"/>
        </w:rPr>
        <w:t>20</w:t>
      </w:r>
      <w:r w:rsidR="39F7A655" w:rsidRPr="007B3DCE">
        <w:rPr>
          <w:color w:val="286647" w:themeColor="accent3" w:themeShade="80"/>
        </w:rPr>
        <w:t xml:space="preserve"> </w:t>
      </w:r>
      <w:r w:rsidR="000C20D3" w:rsidRPr="007B3DCE">
        <w:rPr>
          <w:color w:val="286647" w:themeColor="accent3" w:themeShade="80"/>
        </w:rPr>
        <w:t>–</w:t>
      </w:r>
      <w:r w:rsidR="00742712" w:rsidRPr="007B3DCE">
        <w:rPr>
          <w:color w:val="286647" w:themeColor="accent3" w:themeShade="80"/>
        </w:rPr>
        <w:t xml:space="preserve"> </w:t>
      </w:r>
      <w:r w:rsidR="00D82E9C" w:rsidRPr="007B3DCE">
        <w:rPr>
          <w:color w:val="286647" w:themeColor="accent3" w:themeShade="80"/>
        </w:rPr>
        <w:t>H</w:t>
      </w:r>
      <w:r w:rsidR="00742712" w:rsidRPr="007B3DCE">
        <w:rPr>
          <w:color w:val="286647" w:themeColor="accent3" w:themeShade="80"/>
        </w:rPr>
        <w:t>ouseholds renting through a social housing program</w:t>
      </w:r>
    </w:p>
    <w:p w14:paraId="669F782B" w14:textId="1FFD49C8" w:rsidR="08005B5D" w:rsidRDefault="00AB0D3D" w:rsidP="005B6F87">
      <w:pPr>
        <w:pStyle w:val="FigureTableSubheading"/>
        <w:rPr>
          <w:color w:val="438153"/>
        </w:rPr>
      </w:pPr>
      <w:r>
        <w:rPr>
          <w:color w:val="438153"/>
        </w:rPr>
        <w:t>N</w:t>
      </w:r>
      <w:r w:rsidR="08005B5D" w:rsidRPr="007B3DCE">
        <w:rPr>
          <w:color w:val="438153"/>
        </w:rPr>
        <w:t>umber of Aboriginal and Torres Strait Islander households in social housing</w:t>
      </w:r>
      <w:r>
        <w:rPr>
          <w:color w:val="438153"/>
        </w:rPr>
        <w:t xml:space="preserve"> nationally</w:t>
      </w:r>
      <w:r w:rsidR="08005B5D" w:rsidRPr="007B3DCE">
        <w:rPr>
          <w:color w:val="438153"/>
        </w:rPr>
        <w:t>, by housing supplier</w:t>
      </w:r>
      <w:r w:rsidR="00807B28" w:rsidRPr="007B3DCE">
        <w:rPr>
          <w:color w:val="438153"/>
        </w:rPr>
        <w:t xml:space="preserve"> (9g.2)</w:t>
      </w:r>
    </w:p>
    <w:p w14:paraId="41F9408A" w14:textId="211E516F" w:rsidR="594F7CC8" w:rsidRPr="009D3DF2" w:rsidRDefault="000224DE" w:rsidP="009D3DF2">
      <w:pPr>
        <w:pStyle w:val="FigureTableSubheading"/>
        <w:rPr>
          <w:rStyle w:val="cf01"/>
          <w:rFonts w:asciiTheme="majorHAnsi" w:hAnsiTheme="majorHAnsi" w:cstheme="minorBidi"/>
          <w:color w:val="438153"/>
          <w:sz w:val="20"/>
        </w:rPr>
      </w:pPr>
      <w:r w:rsidRPr="000224DE">
        <w:rPr>
          <w:noProof/>
        </w:rPr>
        <w:drawing>
          <wp:inline distT="0" distB="0" distL="0" distR="0" wp14:anchorId="2630F951" wp14:editId="134F40C5">
            <wp:extent cx="6120130" cy="2650490"/>
            <wp:effectExtent l="0" t="0" r="0" b="0"/>
            <wp:docPr id="737367698" name="Picture 191" descr="Figure 2.20 is a stacked area chart that shows the national number of Aboriginal and Torres Strait Islander households in social housing from 2016 to 2023, categorised by housing supplier. &#10;The chart shows a steady increase in the number of households over the years, with public housing, Indigenous community housing, state-owned and managed Indigenous housing, and community housing as the main categories. The overall trend indicates growing numbers across all types of social hou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67698" name="Picture 191" descr="Figure 2.20 is a stacked area chart that shows the national number of Aboriginal and Torres Strait Islander households in social housing from 2016 to 2023, categorised by housing supplier. &#10;The chart shows a steady increase in the number of households over the years, with public housing, Indigenous community housing, state-owned and managed Indigenous housing, and community housing as the main categories. The overall trend indicates growing numbers across all types of social housing.&#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2650490"/>
                    </a:xfrm>
                    <a:prstGeom prst="rect">
                      <a:avLst/>
                    </a:prstGeom>
                    <a:noFill/>
                    <a:ln>
                      <a:noFill/>
                    </a:ln>
                  </pic:spPr>
                </pic:pic>
              </a:graphicData>
            </a:graphic>
          </wp:inline>
        </w:drawing>
      </w:r>
    </w:p>
    <w:p w14:paraId="60E5994B" w14:textId="5CED7D9C" w:rsidR="009F53EF" w:rsidRDefault="00E22F18" w:rsidP="00E22F18">
      <w:pPr>
        <w:pStyle w:val="Source"/>
      </w:pPr>
      <w:r>
        <w:t xml:space="preserve">Source: AIHW (unpublished) National Housing Assistance Data Repository </w:t>
      </w:r>
    </w:p>
    <w:p w14:paraId="65ECFF7A" w14:textId="77777777" w:rsidR="00FF3A34" w:rsidRDefault="00FF29DA" w:rsidP="00453C81">
      <w:pPr>
        <w:pStyle w:val="Source"/>
        <w:rPr>
          <w:color w:val="FF0000"/>
          <w:szCs w:val="18"/>
        </w:rPr>
        <w:sectPr w:rsidR="00FF3A34" w:rsidSect="001E3248">
          <w:footerReference w:type="even" r:id="rId85"/>
          <w:footerReference w:type="default" r:id="rId86"/>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658258" behindDoc="1" locked="0" layoutInCell="1" allowOverlap="1" wp14:anchorId="3455D222" wp14:editId="2B4C2E41">
            <wp:simplePos x="0" y="0"/>
            <wp:positionH relativeFrom="page">
              <wp:posOffset>-64852</wp:posOffset>
            </wp:positionH>
            <wp:positionV relativeFrom="paragraph">
              <wp:posOffset>3097839</wp:posOffset>
            </wp:positionV>
            <wp:extent cx="7671881" cy="5908550"/>
            <wp:effectExtent l="0" t="0" r="5715" b="0"/>
            <wp:wrapNone/>
            <wp:docPr id="1554151698"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51698" name="Picture 213">
                      <a:extLst>
                        <a:ext uri="{C183D7F6-B498-43B3-948B-1728B52AA6E4}">
                          <adec:decorative xmlns:adec="http://schemas.microsoft.com/office/drawing/2017/decorative" val="1"/>
                        </a:ext>
                      </a:extLst>
                    </pic:cNvPr>
                    <pic:cNvPicPr>
                      <a:picLocks noChangeAspect="1" noChangeArrowheads="1"/>
                    </pic:cNvPicPr>
                  </pic:nvPicPr>
                  <pic:blipFill>
                    <a:blip r:embed="rId87" cstate="print">
                      <a:duotone>
                        <a:prstClr val="black"/>
                        <a:srgbClr val="00B050">
                          <a:tint val="45000"/>
                          <a:satMod val="400000"/>
                        </a:srgbClr>
                      </a:duotone>
                      <a:extLst>
                        <a:ext uri="{BEBA8EAE-BF5A-486C-A8C5-ECC9F3942E4B}">
                          <a14:imgProps xmlns:a14="http://schemas.microsoft.com/office/drawing/2010/main">
                            <a14:imgLayer r:embed="rId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80053" cy="5914844"/>
                    </a:xfrm>
                    <a:prstGeom prst="rect">
                      <a:avLst/>
                    </a:prstGeom>
                    <a:noFill/>
                    <a:ln>
                      <a:noFill/>
                    </a:ln>
                  </pic:spPr>
                </pic:pic>
              </a:graphicData>
            </a:graphic>
            <wp14:sizeRelH relativeFrom="page">
              <wp14:pctWidth>0</wp14:pctWidth>
            </wp14:sizeRelH>
            <wp14:sizeRelV relativeFrom="page">
              <wp14:pctHeight>0</wp14:pctHeight>
            </wp14:sizeRelV>
          </wp:anchor>
        </w:drawing>
      </w:r>
      <w:r w:rsidR="0048258C" w:rsidRPr="0048258C">
        <w:rPr>
          <w:noProof/>
        </w:rPr>
        <w:drawing>
          <wp:inline distT="0" distB="0" distL="0" distR="0" wp14:anchorId="049881F0" wp14:editId="64E28446">
            <wp:extent cx="6120130" cy="3916680"/>
            <wp:effectExtent l="0" t="0" r="0" b="7620"/>
            <wp:docPr id="1980833045" name="Picture 6" descr="The summary box states that there is some progress in housing – where assessment of progress is possible – but the target is not on track to be met.  Appropriate housing is improving but is not on track to be met (Target 9A). There is no assessment of progress for access to community infrastructure (Target 9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33045" name="Picture 6" descr="The summary box states that there is some progress in housing – where assessment of progress is possible – but the target is not on track to be met.  Appropriate housing is improving but is not on track to be met (Target 9A). There is no assessment of progress for access to community infrastructure (Target 9B).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3916680"/>
                    </a:xfrm>
                    <a:prstGeom prst="rect">
                      <a:avLst/>
                    </a:prstGeom>
                    <a:noFill/>
                    <a:ln>
                      <a:noFill/>
                    </a:ln>
                  </pic:spPr>
                </pic:pic>
              </a:graphicData>
            </a:graphic>
          </wp:inline>
        </w:drawing>
      </w:r>
      <w:bookmarkStart w:id="55" w:name="_Toc167878561"/>
    </w:p>
    <w:p w14:paraId="3356A348" w14:textId="252AC8B0" w:rsidR="00B56123" w:rsidRPr="007B3DCE" w:rsidRDefault="00973F86" w:rsidP="00C1313E">
      <w:pPr>
        <w:pStyle w:val="Heading1-nonumber"/>
        <w:pBdr>
          <w:top w:val="single" w:sz="4" w:space="31" w:color="DBDCDE"/>
          <w:left w:val="single" w:sz="4" w:space="26" w:color="DBDCDE"/>
          <w:bottom w:val="single" w:sz="4" w:space="26" w:color="DBDCDE"/>
          <w:right w:val="single" w:sz="4" w:space="26" w:color="DBDCDE"/>
        </w:pBdr>
        <w:shd w:val="clear" w:color="auto" w:fill="1D363B" w:themeFill="accent1" w:themeFillShade="80"/>
        <w:rPr>
          <w:rStyle w:val="cf01"/>
          <w:rFonts w:asciiTheme="majorHAnsi" w:hAnsiTheme="majorHAnsi" w:cstheme="majorBidi"/>
          <w:color w:val="D2E5E9" w:themeColor="accent1" w:themeTint="33"/>
          <w:sz w:val="42"/>
          <w:szCs w:val="42"/>
        </w:rPr>
      </w:pPr>
      <w:bookmarkStart w:id="56" w:name="_Toc170466653"/>
      <w:r w:rsidRPr="007B3DCE">
        <w:rPr>
          <w:rStyle w:val="cf01"/>
          <w:rFonts w:asciiTheme="majorHAnsi" w:hAnsiTheme="majorHAnsi" w:cstheme="majorBidi"/>
          <w:color w:val="D2E5E9" w:themeColor="accent1" w:themeTint="33"/>
          <w:sz w:val="42"/>
          <w:szCs w:val="42"/>
        </w:rPr>
        <w:lastRenderedPageBreak/>
        <w:t>2.7</w:t>
      </w:r>
      <w:r w:rsidRPr="007B3DCE">
        <w:rPr>
          <w:rStyle w:val="cf01"/>
          <w:rFonts w:asciiTheme="majorHAnsi" w:hAnsiTheme="majorHAnsi" w:cstheme="majorBidi"/>
          <w:color w:val="D2E5E9" w:themeColor="accent1" w:themeTint="33"/>
          <w:sz w:val="42"/>
          <w:szCs w:val="42"/>
        </w:rPr>
        <w:tab/>
      </w:r>
      <w:r w:rsidR="00B56123" w:rsidRPr="007B3DCE">
        <w:rPr>
          <w:rStyle w:val="cf01"/>
          <w:rFonts w:asciiTheme="majorHAnsi" w:hAnsiTheme="majorHAnsi" w:cstheme="majorBidi"/>
          <w:color w:val="D2E5E9" w:themeColor="accent1" w:themeTint="33"/>
          <w:sz w:val="42"/>
          <w:szCs w:val="42"/>
        </w:rPr>
        <w:t>Country</w:t>
      </w:r>
      <w:bookmarkEnd w:id="55"/>
      <w:bookmarkEnd w:id="56"/>
      <w:r w:rsidR="00B56123" w:rsidRPr="007B3DCE">
        <w:rPr>
          <w:rStyle w:val="cf01"/>
          <w:rFonts w:asciiTheme="majorHAnsi" w:hAnsiTheme="majorHAnsi" w:cstheme="majorBidi"/>
          <w:color w:val="D2E5E9" w:themeColor="accent1" w:themeTint="33"/>
          <w:sz w:val="42"/>
          <w:szCs w:val="42"/>
        </w:rPr>
        <w:t xml:space="preserve"> </w:t>
      </w:r>
    </w:p>
    <w:p w14:paraId="56B6089A" w14:textId="73C826A9" w:rsidR="00E828CC" w:rsidRPr="00216127" w:rsidRDefault="00E828CC" w:rsidP="007C69E3">
      <w:pPr>
        <w:pStyle w:val="BodyText"/>
      </w:pPr>
      <w:r w:rsidRPr="00216127">
        <w:t>The relationship between Aboriginal and Torres Strait Islander people and ancestral lands and waters forms the bedrock of cultures, livelihoods, and social fabric (Hartwig et al. 2021; Lowitja Institute 2020). This connection to Country is profound, transcending mere land ownership and serving as a vital source of resilience and wellbeing (Dudgeon et al. 2020; Zubrick et al. 2014).</w:t>
      </w:r>
    </w:p>
    <w:p w14:paraId="2074D75C" w14:textId="06D11A71" w:rsidR="00E828CC" w:rsidRPr="00216127" w:rsidRDefault="00E828CC" w:rsidP="007C69E3">
      <w:pPr>
        <w:pStyle w:val="BodyText"/>
      </w:pPr>
      <w:r w:rsidRPr="007B3DCE">
        <w:t>Colonisation and subsequent government policies of dispossession and alienation from traditional lands has prevented Aboriginal and Torres Strait Islander communities from practicing culture on Country (</w:t>
      </w:r>
      <w:r w:rsidR="00DD6737">
        <w:t>Butler et al. 2019</w:t>
      </w:r>
      <w:r w:rsidRPr="007B3DCE">
        <w:t xml:space="preserve">). </w:t>
      </w:r>
      <w:r w:rsidRPr="00216127">
        <w:t>In response to colonisation and historical dispossession, Aboriginal and Torres Strait Islander people have campaigned tirelessly for greater land rights (Hartwig et al. 2020). Native title and land claims have emerged as a result of this campaign and reflect a step towards greater recognition and protection of the traditional system of law, ownership and customs over lands and waters of Aboriginal and Torres Strait Islander people</w:t>
      </w:r>
      <w:r w:rsidRPr="00216127" w:rsidDel="00241F6A">
        <w:t xml:space="preserve"> </w:t>
      </w:r>
      <w:r w:rsidR="00741BB1" w:rsidRPr="00216127">
        <w:t>(ANTAR 2022; Central Land Council nd)</w:t>
      </w:r>
      <w:r w:rsidRPr="00216127">
        <w:t>.</w:t>
      </w:r>
    </w:p>
    <w:p w14:paraId="0D237C66" w14:textId="56122410" w:rsidR="00E828CC" w:rsidRDefault="00E828CC" w:rsidP="007C69E3">
      <w:pPr>
        <w:pStyle w:val="BodyText"/>
      </w:pPr>
      <w:r w:rsidRPr="00216127">
        <w:t xml:space="preserve">Native title provides Aboriginal and Torres Strait Islander people with access to land for cultural activities, including ceremonies, camping, hunting and the use of waters </w:t>
      </w:r>
      <w:r w:rsidR="00A96023" w:rsidRPr="00216127">
        <w:t>(Central Land Council nd)</w:t>
      </w:r>
      <w:r w:rsidRPr="00216127">
        <w:t xml:space="preserve">. Land claims result in the transfer of the freehold title, which provides Aboriginal and Torres Strait Islander communities with full ownership of the land that can be sold, leased, mortgaged, or otherwise used (NSWALC 2014). Native title and Indigenous estates form the legal rights and interests over land and sea for Aboriginal and Torres Strait Islander </w:t>
      </w:r>
      <w:r w:rsidR="00FC04DB" w:rsidRPr="00216127">
        <w:t>people.</w:t>
      </w:r>
      <w:r w:rsidRPr="00216127">
        <w:t xml:space="preserve"> Indigenous estates, which include land claims, reflect various levels of ownership depending on the land rights regime in place at the state, territory or national level. </w:t>
      </w:r>
    </w:p>
    <w:p w14:paraId="4B9E3DEF" w14:textId="77777777" w:rsidR="00AA3577" w:rsidRPr="00216127" w:rsidRDefault="00AA3577" w:rsidP="007C69E3">
      <w:pPr>
        <w:pStyle w:val="BodyText"/>
      </w:pPr>
    </w:p>
    <w:tbl>
      <w:tblPr>
        <w:tblStyle w:val="Boxtable"/>
        <w:tblW w:w="5000" w:type="pct"/>
        <w:shd w:val="clear" w:color="auto" w:fill="EBEBEB"/>
        <w:tblLook w:val="04A0" w:firstRow="1" w:lastRow="0" w:firstColumn="1" w:lastColumn="0" w:noHBand="0" w:noVBand="1"/>
      </w:tblPr>
      <w:tblGrid>
        <w:gridCol w:w="9638"/>
      </w:tblGrid>
      <w:tr w:rsidR="00FC635F" w:rsidRPr="007B3DCE" w14:paraId="1155A157" w14:textId="77777777" w:rsidTr="00AB2774">
        <w:trPr>
          <w:trHeight w:val="476"/>
        </w:trPr>
        <w:tc>
          <w:tcPr>
            <w:tcW w:w="9638" w:type="dxa"/>
            <w:shd w:val="clear" w:color="auto" w:fill="1D363B" w:themeFill="accent1" w:themeFillShade="80"/>
            <w:vAlign w:val="center"/>
            <w:hideMark/>
          </w:tcPr>
          <w:p w14:paraId="749EF623" w14:textId="7A38D9F7" w:rsidR="00FC635F" w:rsidRPr="007B3DCE" w:rsidRDefault="00FC635F" w:rsidP="00AB2774">
            <w:pPr>
              <w:pStyle w:val="BoxHeading1"/>
              <w:spacing w:before="0"/>
            </w:pPr>
            <w:r w:rsidRPr="007B3DCE">
              <w:rPr>
                <w:color w:val="FFFFFF"/>
              </w:rPr>
              <w:t xml:space="preserve">Box </w:t>
            </w:r>
            <w:r w:rsidR="007C7EB6" w:rsidRPr="007B3DCE">
              <w:rPr>
                <w:color w:val="FFFFFF"/>
              </w:rPr>
              <w:t>2</w:t>
            </w:r>
            <w:r w:rsidRPr="007B3DCE">
              <w:rPr>
                <w:color w:val="FFFFFF"/>
              </w:rPr>
              <w:t>.</w:t>
            </w:r>
            <w:r w:rsidR="00EF7969" w:rsidRPr="007B3DCE">
              <w:rPr>
                <w:color w:val="FFFFFF"/>
              </w:rPr>
              <w:t>20</w:t>
            </w:r>
            <w:r w:rsidRPr="007B3DCE">
              <w:rPr>
                <w:color w:val="FFFFFF"/>
              </w:rPr>
              <w:t xml:space="preserve"> – What data will you find in this section?</w:t>
            </w:r>
          </w:p>
        </w:tc>
      </w:tr>
      <w:tr w:rsidR="00FC635F" w:rsidRPr="007B3DCE" w14:paraId="61E63ABA" w14:textId="77777777" w:rsidTr="00AD4EAB">
        <w:tc>
          <w:tcPr>
            <w:tcW w:w="9638" w:type="dxa"/>
            <w:shd w:val="clear" w:color="auto" w:fill="D2E5E9" w:themeFill="accent1" w:themeFillTint="33"/>
            <w:hideMark/>
          </w:tcPr>
          <w:p w14:paraId="0CC1A361" w14:textId="356D87DD" w:rsidR="000021FC" w:rsidRPr="007B3DCE" w:rsidRDefault="000021FC" w:rsidP="00AE0076">
            <w:pPr>
              <w:pStyle w:val="BodyText"/>
            </w:pPr>
            <w:r w:rsidRPr="007B3DCE">
              <w:t xml:space="preserve">This section provides </w:t>
            </w:r>
            <w:r w:rsidR="66317569" w:rsidRPr="007B3DCE">
              <w:t xml:space="preserve">a </w:t>
            </w:r>
            <w:r w:rsidRPr="007B3DCE">
              <w:t xml:space="preserve">snapshot of the latest data available in 2024 for socio-economic outcome </w:t>
            </w:r>
            <w:r w:rsidR="00060CC2">
              <w:t>15</w:t>
            </w:r>
            <w:r w:rsidR="00D40788" w:rsidRPr="007B3DCE">
              <w:t>.</w:t>
            </w:r>
          </w:p>
          <w:tbl>
            <w:tblPr>
              <w:tblStyle w:val="TableGrid"/>
              <w:tblW w:w="9195"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5"/>
              <w:gridCol w:w="2040"/>
            </w:tblGrid>
            <w:tr w:rsidR="00E35CDC" w:rsidRPr="007B3DCE" w14:paraId="1F2B892E" w14:textId="77777777" w:rsidTr="00672D71">
              <w:trPr>
                <w:trHeight w:val="287"/>
              </w:trPr>
              <w:tc>
                <w:tcPr>
                  <w:tcW w:w="7155" w:type="dxa"/>
                  <w:vAlign w:val="center"/>
                </w:tcPr>
                <w:p w14:paraId="6C8478BD" w14:textId="77777777" w:rsidR="00E35CDC" w:rsidRPr="007C69E3" w:rsidRDefault="00E35CDC" w:rsidP="007C69E3">
                  <w:pPr>
                    <w:pStyle w:val="BodyText"/>
                    <w:rPr>
                      <w:b/>
                      <w:bCs/>
                    </w:rPr>
                  </w:pPr>
                  <w:r w:rsidRPr="007C69E3">
                    <w:rPr>
                      <w:b/>
                      <w:bCs/>
                    </w:rPr>
                    <w:t>Outcome</w:t>
                  </w:r>
                </w:p>
              </w:tc>
              <w:tc>
                <w:tcPr>
                  <w:tcW w:w="2040" w:type="dxa"/>
                </w:tcPr>
                <w:p w14:paraId="3118CADF" w14:textId="77777777" w:rsidR="00E35CDC" w:rsidRPr="007C69E3" w:rsidRDefault="00E35CDC" w:rsidP="007C69E3">
                  <w:pPr>
                    <w:pStyle w:val="BodyText"/>
                    <w:jc w:val="right"/>
                    <w:rPr>
                      <w:b/>
                      <w:bCs/>
                    </w:rPr>
                  </w:pPr>
                  <w:r w:rsidRPr="007C69E3">
                    <w:rPr>
                      <w:b/>
                      <w:bCs/>
                    </w:rPr>
                    <w:t>Latest data</w:t>
                  </w:r>
                </w:p>
              </w:tc>
            </w:tr>
            <w:tr w:rsidR="00E35CDC" w:rsidRPr="007B3DCE" w14:paraId="31D0365F" w14:textId="77777777" w:rsidTr="00672D71">
              <w:trPr>
                <w:trHeight w:val="205"/>
              </w:trPr>
              <w:tc>
                <w:tcPr>
                  <w:tcW w:w="7155" w:type="dxa"/>
                </w:tcPr>
                <w:p w14:paraId="1A8C168E" w14:textId="10D9C5D4" w:rsidR="00E35CDC" w:rsidRPr="007B3DCE" w:rsidRDefault="00E35CDC" w:rsidP="007C69E3">
                  <w:pPr>
                    <w:pStyle w:val="BodyText"/>
                  </w:pPr>
                  <w:r w:rsidRPr="007B3DCE">
                    <w:rPr>
                      <w:b/>
                      <w:bCs/>
                    </w:rPr>
                    <w:t xml:space="preserve">Outcome </w:t>
                  </w:r>
                  <w:r>
                    <w:rPr>
                      <w:b/>
                      <w:bCs/>
                    </w:rPr>
                    <w:t>15</w:t>
                  </w:r>
                  <w:r w:rsidRPr="007B3DCE">
                    <w:rPr>
                      <w:b/>
                      <w:bCs/>
                    </w:rPr>
                    <w:t xml:space="preserve">: </w:t>
                  </w:r>
                  <w:r w:rsidR="00F50321" w:rsidRPr="000909BE">
                    <w:t>Aboriginal and Torres Strait Islander people</w:t>
                  </w:r>
                  <w:r w:rsidR="003E3EB6" w:rsidRPr="000909BE">
                    <w:t xml:space="preserve"> maintain a distinctive cultural, spiritual</w:t>
                  </w:r>
                  <w:r w:rsidR="00160C00" w:rsidRPr="000909BE">
                    <w:t>, physical and economic relationship with their lands and waters</w:t>
                  </w:r>
                </w:p>
              </w:tc>
              <w:tc>
                <w:tcPr>
                  <w:tcW w:w="2040" w:type="dxa"/>
                </w:tcPr>
                <w:p w14:paraId="0B4A05E1" w14:textId="39C60448" w:rsidR="00E35CDC" w:rsidRPr="007B3DCE" w:rsidRDefault="00E35CDC" w:rsidP="007C69E3">
                  <w:pPr>
                    <w:jc w:val="right"/>
                  </w:pPr>
                </w:p>
              </w:tc>
            </w:tr>
            <w:tr w:rsidR="00E35CDC" w:rsidRPr="007B3DCE" w14:paraId="3E5366EA" w14:textId="77777777" w:rsidTr="00672D71">
              <w:trPr>
                <w:trHeight w:val="205"/>
              </w:trPr>
              <w:tc>
                <w:tcPr>
                  <w:tcW w:w="7155" w:type="dxa"/>
                </w:tcPr>
                <w:p w14:paraId="6C9CD675" w14:textId="25AA9643" w:rsidR="00072351" w:rsidRPr="00974ADB" w:rsidRDefault="00072351" w:rsidP="00974ADB">
                  <w:pPr>
                    <w:pStyle w:val="ListBullet"/>
                    <w:numPr>
                      <w:ilvl w:val="0"/>
                      <w:numId w:val="17"/>
                    </w:numPr>
                    <w:ind w:left="227" w:hanging="227"/>
                  </w:pPr>
                  <w:r w:rsidRPr="00974ADB">
                    <w:t>Land mass subject to Aboriginal and Torres Strait Islander people’s rights or interests (</w:t>
                  </w:r>
                  <w:r w:rsidR="00D06928" w:rsidRPr="00974ADB">
                    <w:t>T</w:t>
                  </w:r>
                  <w:r w:rsidRPr="00974ADB">
                    <w:t>arget 15A)</w:t>
                  </w:r>
                  <w:r w:rsidR="00B40960" w:rsidRPr="00974ADB">
                    <w:t>*</w:t>
                  </w:r>
                </w:p>
                <w:p w14:paraId="479342D2" w14:textId="4B5EF247" w:rsidR="00200A92" w:rsidRPr="00974ADB" w:rsidRDefault="00C87BDE" w:rsidP="00974ADB">
                  <w:pPr>
                    <w:pStyle w:val="ListBullet"/>
                    <w:numPr>
                      <w:ilvl w:val="0"/>
                      <w:numId w:val="17"/>
                    </w:numPr>
                    <w:ind w:left="227" w:hanging="227"/>
                  </w:pPr>
                  <w:r w:rsidRPr="00974ADB">
                    <w:t>Land and water ownership (15a)*</w:t>
                  </w:r>
                </w:p>
                <w:p w14:paraId="3C95B539" w14:textId="1D46FBD6" w:rsidR="00E35CDC" w:rsidRPr="00913828" w:rsidRDefault="007B359A" w:rsidP="00974ADB">
                  <w:pPr>
                    <w:pStyle w:val="ListBullet"/>
                    <w:numPr>
                      <w:ilvl w:val="0"/>
                      <w:numId w:val="17"/>
                    </w:numPr>
                    <w:ind w:left="227" w:hanging="227"/>
                    <w:rPr>
                      <w:spacing w:val="-4"/>
                    </w:rPr>
                  </w:pPr>
                  <w:r w:rsidRPr="00974ADB">
                    <w:t xml:space="preserve">Sea mass subject to </w:t>
                  </w:r>
                  <w:r w:rsidR="00E35CDC" w:rsidRPr="00974ADB">
                    <w:t xml:space="preserve">Aboriginal and Torres Strait Islander </w:t>
                  </w:r>
                  <w:r w:rsidRPr="00974ADB">
                    <w:t>people’s rights or interests</w:t>
                  </w:r>
                  <w:r w:rsidR="00072351" w:rsidRPr="00974ADB">
                    <w:t xml:space="preserve"> (</w:t>
                  </w:r>
                  <w:r w:rsidR="005B1435" w:rsidRPr="00974ADB">
                    <w:t>T</w:t>
                  </w:r>
                  <w:r w:rsidR="00072351" w:rsidRPr="00974ADB">
                    <w:t>arget 15B)</w:t>
                  </w:r>
                  <w:r w:rsidR="00B40960" w:rsidRPr="00974ADB">
                    <w:t>*</w:t>
                  </w:r>
                </w:p>
              </w:tc>
              <w:tc>
                <w:tcPr>
                  <w:tcW w:w="2040" w:type="dxa"/>
                </w:tcPr>
                <w:p w14:paraId="46268896" w14:textId="77777777" w:rsidR="00E35CDC" w:rsidRDefault="00E35CDC" w:rsidP="007C69E3">
                  <w:pPr>
                    <w:jc w:val="right"/>
                  </w:pPr>
                  <w:r w:rsidRPr="007B3DCE">
                    <w:t>2023</w:t>
                  </w:r>
                </w:p>
                <w:p w14:paraId="346FE4C7" w14:textId="77777777" w:rsidR="00E35CDC" w:rsidRDefault="00E35CDC" w:rsidP="00076C1E">
                  <w:pPr>
                    <w:spacing w:before="240" w:after="240"/>
                    <w:jc w:val="right"/>
                  </w:pPr>
                  <w:r w:rsidRPr="007B3DCE">
                    <w:t>2023</w:t>
                  </w:r>
                </w:p>
                <w:p w14:paraId="56560D91" w14:textId="37D70B38" w:rsidR="005C1725" w:rsidRPr="007B3DCE" w:rsidRDefault="005C1725" w:rsidP="00076C1E">
                  <w:pPr>
                    <w:spacing w:before="240" w:after="240"/>
                    <w:jc w:val="right"/>
                  </w:pPr>
                  <w:r w:rsidRPr="007B3DCE">
                    <w:t>2023</w:t>
                  </w:r>
                </w:p>
              </w:tc>
            </w:tr>
          </w:tbl>
          <w:p w14:paraId="084533F0" w14:textId="77777777" w:rsidR="00FC635F" w:rsidRPr="007B3DCE" w:rsidRDefault="005E5F67" w:rsidP="005E5F67">
            <w:pPr>
              <w:pStyle w:val="Note"/>
            </w:pPr>
            <w:r>
              <w:t>Note: * Indicates where a new year of data has been published since the 2023 ADCR.</w:t>
            </w:r>
          </w:p>
        </w:tc>
      </w:tr>
    </w:tbl>
    <w:p w14:paraId="337F0B56" w14:textId="29B9BC80" w:rsidR="00C4299A" w:rsidRPr="00216127" w:rsidRDefault="00C4299A" w:rsidP="00C94D74">
      <w:pPr>
        <w:pStyle w:val="Heading3"/>
        <w:rPr>
          <w:rFonts w:ascii="Arial (Body)" w:hAnsi="Arial (Body)" w:cs="Arial" w:hint="eastAsia"/>
          <w:color w:val="1D363B" w:themeColor="accent1" w:themeShade="80"/>
        </w:rPr>
      </w:pPr>
      <w:bookmarkStart w:id="57" w:name="_Toc167878562"/>
      <w:r w:rsidRPr="007B3DCE">
        <w:rPr>
          <w:color w:val="1D363B" w:themeColor="accent1" w:themeShade="80"/>
        </w:rPr>
        <w:lastRenderedPageBreak/>
        <w:t>Outcome 15</w:t>
      </w:r>
      <w:r w:rsidR="00E31CF6" w:rsidRPr="007B3DCE">
        <w:rPr>
          <w:color w:val="1D363B" w:themeColor="accent1" w:themeShade="80"/>
        </w:rPr>
        <w:t xml:space="preserve">: </w:t>
      </w:r>
      <w:r w:rsidRPr="007B3DCE">
        <w:rPr>
          <w:color w:val="1D363B" w:themeColor="accent1" w:themeShade="80"/>
        </w:rPr>
        <w:t>Aboriginal and Torres Strait Islander people maintain a distinctive cultural, spiritual, physical and economic relationship with their land and waters</w:t>
      </w:r>
      <w:bookmarkEnd w:id="57"/>
      <w:r w:rsidRPr="007B3DCE">
        <w:rPr>
          <w:color w:val="1D363B" w:themeColor="accent1" w:themeShade="80"/>
        </w:rPr>
        <w:t xml:space="preserve"> </w:t>
      </w:r>
    </w:p>
    <w:p w14:paraId="70F57A12" w14:textId="30CB3A4C" w:rsidR="00C90AAF" w:rsidRPr="007B3DCE" w:rsidRDefault="00BC1259" w:rsidP="00C94D74">
      <w:pPr>
        <w:pStyle w:val="Heading4"/>
        <w:rPr>
          <w:color w:val="3A6E77" w:themeColor="accent1"/>
        </w:rPr>
      </w:pPr>
      <w:r w:rsidRPr="007B3DCE">
        <w:rPr>
          <w:color w:val="3A6E77" w:themeColor="accent1"/>
        </w:rPr>
        <w:t xml:space="preserve">The </w:t>
      </w:r>
      <w:r w:rsidR="00200C6D" w:rsidRPr="007B3DCE">
        <w:rPr>
          <w:color w:val="3A6E77" w:themeColor="accent1"/>
        </w:rPr>
        <w:t xml:space="preserve">target </w:t>
      </w:r>
      <w:r w:rsidRPr="007B3DCE">
        <w:rPr>
          <w:color w:val="3A6E77" w:themeColor="accent1"/>
        </w:rPr>
        <w:t xml:space="preserve">to increase land mass subject to Aboriginal and Torres Strait Islander </w:t>
      </w:r>
      <w:r w:rsidR="00200C6D" w:rsidRPr="007B3DCE">
        <w:rPr>
          <w:color w:val="3A6E77" w:themeColor="accent1"/>
        </w:rPr>
        <w:t xml:space="preserve">people’s legal rights or interest </w:t>
      </w:r>
      <w:r w:rsidR="00C4299A" w:rsidRPr="007B3DCE">
        <w:rPr>
          <w:color w:val="3A6E77" w:themeColor="accent1"/>
        </w:rPr>
        <w:t>is on track to be met</w:t>
      </w:r>
      <w:r w:rsidR="0073649F">
        <w:rPr>
          <w:color w:val="3A6E77" w:themeColor="accent1"/>
        </w:rPr>
        <w:t xml:space="preserve"> by 2030</w:t>
      </w:r>
    </w:p>
    <w:p w14:paraId="28F24C17" w14:textId="1FFA4134" w:rsidR="00C4299A" w:rsidRPr="007B7245" w:rsidRDefault="004078B6" w:rsidP="007B7245">
      <w:pPr>
        <w:pStyle w:val="BodyText"/>
      </w:pPr>
      <w:r w:rsidRPr="007B7245">
        <w:t>There was a</w:t>
      </w:r>
      <w:r w:rsidR="00A61D31" w:rsidRPr="007B7245">
        <w:t xml:space="preserve"> 7.8%</w:t>
      </w:r>
      <w:r w:rsidR="00452790" w:rsidRPr="007B7245" w:rsidDel="12626BB5">
        <w:t xml:space="preserve"> </w:t>
      </w:r>
      <w:r w:rsidR="00452790" w:rsidRPr="007B7245">
        <w:t xml:space="preserve">increase in the area </w:t>
      </w:r>
      <w:r w:rsidR="00F93B4E" w:rsidRPr="007B7245">
        <w:t>of land</w:t>
      </w:r>
      <w:r w:rsidR="009C39AA" w:rsidRPr="007B7245">
        <w:t xml:space="preserve"> </w:t>
      </w:r>
      <w:r w:rsidR="003F7144" w:rsidRPr="007B7245">
        <w:t>subject to Aboriginal and Torres Strait Islander people’s legal rights or interests</w:t>
      </w:r>
      <w:r w:rsidR="007F2C8D" w:rsidRPr="007B7245">
        <w:t xml:space="preserve"> </w:t>
      </w:r>
      <w:r w:rsidR="5CCD841B" w:rsidRPr="007B7245">
        <w:t xml:space="preserve">between </w:t>
      </w:r>
      <w:r w:rsidR="007F2C8D" w:rsidRPr="007B7245">
        <w:t xml:space="preserve">the </w:t>
      </w:r>
      <w:r w:rsidR="00617FA5" w:rsidRPr="007B7245">
        <w:t xml:space="preserve">baseline year </w:t>
      </w:r>
      <w:r w:rsidR="0043007A" w:rsidRPr="007B7245">
        <w:t xml:space="preserve">of </w:t>
      </w:r>
      <w:r w:rsidR="00617FA5" w:rsidRPr="007B7245">
        <w:t>2020</w:t>
      </w:r>
      <w:r w:rsidR="621F5D95" w:rsidRPr="007B7245">
        <w:t xml:space="preserve"> and 2023</w:t>
      </w:r>
      <w:r w:rsidR="0043007A" w:rsidRPr="007B7245">
        <w:t xml:space="preserve">. This </w:t>
      </w:r>
      <w:r w:rsidR="00CA26D6" w:rsidRPr="007B7245">
        <w:t>means</w:t>
      </w:r>
      <w:r w:rsidRPr="007B7245">
        <w:t xml:space="preserve"> that </w:t>
      </w:r>
      <w:r w:rsidR="001C138F" w:rsidRPr="007B7245">
        <w:t>the target</w:t>
      </w:r>
      <w:r w:rsidR="0043007A" w:rsidRPr="007B7245">
        <w:t xml:space="preserve">, </w:t>
      </w:r>
      <w:r w:rsidR="006C6C2D" w:rsidRPr="007B7245">
        <w:t xml:space="preserve">which requires a 15% increase </w:t>
      </w:r>
      <w:r w:rsidR="0043007A" w:rsidRPr="007B7245">
        <w:t>by 2030,</w:t>
      </w:r>
      <w:r w:rsidR="006C6C2D" w:rsidRPr="007B7245">
        <w:t xml:space="preserve"> </w:t>
      </w:r>
      <w:r w:rsidR="001C138F" w:rsidRPr="007B7245">
        <w:t>is on track to be met</w:t>
      </w:r>
      <w:r w:rsidR="006C6C2D" w:rsidRPr="007B7245">
        <w:t>.</w:t>
      </w:r>
      <w:r w:rsidR="00B81BE2" w:rsidRPr="007B7245">
        <w:t xml:space="preserve"> </w:t>
      </w:r>
      <w:r w:rsidR="00C4299A" w:rsidRPr="007B7245">
        <w:t>Nationally, the</w:t>
      </w:r>
      <w:r w:rsidR="00550384" w:rsidRPr="007B7245">
        <w:t xml:space="preserve"> progress towards the</w:t>
      </w:r>
      <w:r w:rsidR="00C4299A" w:rsidRPr="007B7245">
        <w:t xml:space="preserve"> </w:t>
      </w:r>
      <w:r w:rsidR="00530FB1" w:rsidRPr="007B7245">
        <w:t xml:space="preserve">target </w:t>
      </w:r>
      <w:r w:rsidR="00C4299A" w:rsidRPr="007B7245">
        <w:t>has been driven by improvements in Western Australia, Queensland and the Northern Territory</w:t>
      </w:r>
      <w:r w:rsidR="69EA4ACE" w:rsidRPr="007B7245">
        <w:t xml:space="preserve"> (figure 2.2</w:t>
      </w:r>
      <w:r w:rsidR="00A76D1E" w:rsidRPr="007B7245">
        <w:t>1</w:t>
      </w:r>
      <w:r w:rsidR="69EA4ACE" w:rsidRPr="007B7245">
        <w:t>)</w:t>
      </w:r>
      <w:r w:rsidR="00C4299A" w:rsidRPr="007B7245">
        <w:t xml:space="preserve">. </w:t>
      </w:r>
      <w:r w:rsidR="007B7245" w:rsidRPr="007B7245">
        <w:t>While the trends for the remaining jurisdictions – South Australia, Victoria, New South Wales, Tasmania and the Australian Capital Territory – are less positive. South Australia, Victoria and New South Wales have shown moderate improvements while Tasmania and the Australian Capital have not reported any improvement.</w:t>
      </w:r>
    </w:p>
    <w:p w14:paraId="60C328E2" w14:textId="014DEB5E" w:rsidR="00263BAC" w:rsidRPr="00216127" w:rsidRDefault="00E8717B" w:rsidP="00C61E62">
      <w:pPr>
        <w:pStyle w:val="BodyText"/>
      </w:pPr>
      <w:r w:rsidRPr="00216127">
        <w:t xml:space="preserve">Aboriginal and Torres Strait Islander people’s </w:t>
      </w:r>
      <w:r w:rsidR="0018437E" w:rsidRPr="00216127">
        <w:t>land ownership</w:t>
      </w:r>
      <w:r w:rsidR="00CC55E3" w:rsidRPr="00216127">
        <w:t xml:space="preserve"> – </w:t>
      </w:r>
      <w:r w:rsidR="0047773A" w:rsidRPr="00216127">
        <w:t>I</w:t>
      </w:r>
      <w:r w:rsidR="00CC55E3" w:rsidRPr="00216127">
        <w:t xml:space="preserve">ndicator </w:t>
      </w:r>
      <w:r w:rsidR="00304B8D" w:rsidRPr="00216127">
        <w:t>15a</w:t>
      </w:r>
      <w:r w:rsidR="004078B6" w:rsidRPr="00216127">
        <w:t xml:space="preserve"> </w:t>
      </w:r>
      <w:r w:rsidR="00CC55E3" w:rsidRPr="00216127">
        <w:t>– has marginally increased</w:t>
      </w:r>
      <w:r w:rsidR="00263BAC" w:rsidRPr="00216127">
        <w:t xml:space="preserve">. </w:t>
      </w:r>
      <w:r w:rsidR="00263BAC" w:rsidRPr="007B3DCE">
        <w:rPr>
          <w:rStyle w:val="BodyTextChar"/>
        </w:rPr>
        <w:t>From 2020</w:t>
      </w:r>
      <w:r w:rsidR="530A0469" w:rsidRPr="007B3DCE">
        <w:rPr>
          <w:rStyle w:val="BodyTextChar"/>
        </w:rPr>
        <w:t xml:space="preserve"> to </w:t>
      </w:r>
      <w:r w:rsidR="223E0539" w:rsidRPr="007B3DCE">
        <w:rPr>
          <w:rStyle w:val="BodyTextChar"/>
        </w:rPr>
        <w:t>20</w:t>
      </w:r>
      <w:r w:rsidR="00263BAC" w:rsidRPr="007B3DCE">
        <w:rPr>
          <w:rStyle w:val="BodyTextChar"/>
        </w:rPr>
        <w:t xml:space="preserve">23, there </w:t>
      </w:r>
      <w:r w:rsidR="003B42BF" w:rsidRPr="007B3DCE">
        <w:rPr>
          <w:rStyle w:val="BodyTextChar"/>
        </w:rPr>
        <w:t>wa</w:t>
      </w:r>
      <w:r w:rsidR="00263BAC" w:rsidRPr="007B3DCE">
        <w:rPr>
          <w:rStyle w:val="BodyTextChar"/>
        </w:rPr>
        <w:t>s an increase of 0.1% in the overall land mass owned or controlled by Aboriginal or Torres Strait Islander people</w:t>
      </w:r>
      <w:r w:rsidR="656D82EC" w:rsidRPr="007B3DCE">
        <w:rPr>
          <w:rStyle w:val="BodyTextChar"/>
        </w:rPr>
        <w:t>, from a baseline of</w:t>
      </w:r>
      <w:r w:rsidR="00263BAC" w:rsidRPr="007B3DCE">
        <w:rPr>
          <w:rStyle w:val="BodyTextChar"/>
        </w:rPr>
        <w:t xml:space="preserve"> 16.1%. For </w:t>
      </w:r>
      <w:r w:rsidR="00617FA5" w:rsidRPr="007B3DCE">
        <w:rPr>
          <w:rStyle w:val="BodyTextChar"/>
        </w:rPr>
        <w:t>the</w:t>
      </w:r>
      <w:r w:rsidR="00263BAC" w:rsidRPr="007B3DCE">
        <w:rPr>
          <w:rStyle w:val="BodyTextChar"/>
        </w:rPr>
        <w:t xml:space="preserve"> 2023 data, no disaggregation is available to understand what types of land titles make up this figure.</w:t>
      </w:r>
      <w:r w:rsidR="00263BAC" w:rsidRPr="00216127">
        <w:t xml:space="preserve"> </w:t>
      </w:r>
    </w:p>
    <w:p w14:paraId="26572825" w14:textId="7D6FD34B" w:rsidR="00C4299A" w:rsidRPr="007B3DCE" w:rsidRDefault="00C4299A" w:rsidP="00030942">
      <w:pPr>
        <w:pStyle w:val="FigureTableHeading"/>
        <w:rPr>
          <w:color w:val="1D363B" w:themeColor="accent1" w:themeShade="80"/>
        </w:rPr>
      </w:pPr>
      <w:r w:rsidRPr="007B3DCE">
        <w:rPr>
          <w:color w:val="1D363B" w:themeColor="accent1" w:themeShade="80"/>
        </w:rPr>
        <w:t xml:space="preserve">Figure </w:t>
      </w:r>
      <w:r w:rsidR="00A23FF2" w:rsidRPr="007B3DCE">
        <w:rPr>
          <w:color w:val="1D363B" w:themeColor="accent1" w:themeShade="80"/>
        </w:rPr>
        <w:t>2</w:t>
      </w:r>
      <w:r w:rsidR="003E2554" w:rsidRPr="007B3DCE">
        <w:rPr>
          <w:color w:val="1D363B" w:themeColor="accent1" w:themeShade="80"/>
        </w:rPr>
        <w:t>.</w:t>
      </w:r>
      <w:r w:rsidR="0036545D" w:rsidRPr="007B3DCE">
        <w:rPr>
          <w:color w:val="1D363B" w:themeColor="accent1" w:themeShade="80"/>
        </w:rPr>
        <w:t>21</w:t>
      </w:r>
      <w:r w:rsidR="00A23FF2" w:rsidRPr="007B3DCE">
        <w:rPr>
          <w:color w:val="1D363B" w:themeColor="accent1" w:themeShade="80"/>
        </w:rPr>
        <w:t xml:space="preserve"> </w:t>
      </w:r>
      <w:r w:rsidRPr="007B3DCE">
        <w:rPr>
          <w:color w:val="1D363B" w:themeColor="accent1" w:themeShade="80"/>
        </w:rPr>
        <w:t xml:space="preserve">– </w:t>
      </w:r>
      <w:r w:rsidR="5F837284" w:rsidRPr="007B3DCE">
        <w:rPr>
          <w:color w:val="1D363B" w:themeColor="accent1" w:themeShade="80"/>
        </w:rPr>
        <w:t>Change in land rights or interest</w:t>
      </w:r>
      <w:r w:rsidR="55663B17" w:rsidRPr="007B3DCE">
        <w:rPr>
          <w:color w:val="1D363B" w:themeColor="accent1" w:themeShade="80"/>
        </w:rPr>
        <w:t>s</w:t>
      </w:r>
      <w:r w:rsidR="5F837284" w:rsidRPr="007B3DCE">
        <w:rPr>
          <w:color w:val="1D363B" w:themeColor="accent1" w:themeShade="80"/>
        </w:rPr>
        <w:t xml:space="preserve"> by jurisdict</w:t>
      </w:r>
      <w:r w:rsidR="000171A5" w:rsidRPr="007B3DCE">
        <w:rPr>
          <w:color w:val="1D363B" w:themeColor="accent1" w:themeShade="80"/>
        </w:rPr>
        <w:t>i</w:t>
      </w:r>
      <w:r w:rsidR="5F837284" w:rsidRPr="007B3DCE">
        <w:rPr>
          <w:color w:val="1D363B" w:themeColor="accent1" w:themeShade="80"/>
        </w:rPr>
        <w:t>on</w:t>
      </w:r>
      <w:r w:rsidR="000171A5" w:rsidRPr="007B3DCE">
        <w:rPr>
          <w:color w:val="1D363B" w:themeColor="accent1" w:themeShade="80"/>
          <w:vertAlign w:val="superscript"/>
        </w:rPr>
        <w:t>a</w:t>
      </w:r>
    </w:p>
    <w:p w14:paraId="725DE306" w14:textId="31926238" w:rsidR="00C4299A" w:rsidRPr="007B3DCE" w:rsidRDefault="00B072D1" w:rsidP="501F74BD">
      <w:pPr>
        <w:pStyle w:val="FigureTableSubheading"/>
        <w:rPr>
          <w:color w:val="3A6E77" w:themeColor="accent1"/>
        </w:rPr>
      </w:pPr>
      <w:r>
        <w:rPr>
          <w:color w:val="3A6E77" w:themeColor="accent1"/>
        </w:rPr>
        <w:t>Average</w:t>
      </w:r>
      <w:r w:rsidR="00C4299A" w:rsidRPr="007B3DCE">
        <w:rPr>
          <w:color w:val="3A6E77" w:themeColor="accent1"/>
        </w:rPr>
        <w:t xml:space="preserve"> annual change in land area subject to legal rights or interests, 2020 to 2023</w:t>
      </w:r>
      <w:r w:rsidR="00030942" w:rsidRPr="007B3DCE">
        <w:rPr>
          <w:color w:val="3A6E77" w:themeColor="accent1"/>
        </w:rPr>
        <w:t xml:space="preserve"> </w:t>
      </w:r>
    </w:p>
    <w:p w14:paraId="0196E253" w14:textId="5CD675F8" w:rsidR="00206EAF" w:rsidRDefault="00DF2055" w:rsidP="00C94D74">
      <w:pPr>
        <w:pStyle w:val="Note"/>
        <w:rPr>
          <w:b/>
          <w:bCs/>
        </w:rPr>
      </w:pPr>
      <w:r w:rsidRPr="00DF2055">
        <w:rPr>
          <w:noProof/>
        </w:rPr>
        <w:drawing>
          <wp:inline distT="0" distB="0" distL="0" distR="0" wp14:anchorId="6A83D21D" wp14:editId="432D70AF">
            <wp:extent cx="6120130" cy="2524715"/>
            <wp:effectExtent l="0" t="0" r="0" b="0"/>
            <wp:docPr id="401434267" name="Picture 196" descr="Figure 2.21 is a column chart that shows the estimated annual change in land area in square kilometres subject to legal rights or interests for Aboriginal and Torres Strait Islander people by jurisdiction from 2020 to 2023. &#10;The chart shows significant variations across different states, with Western Australia and Queensland having the largest increases in land area. The data for New South Wales, Victoria, and other regions show smaller but notable changes in land righ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34267" name="Picture 196" descr="Figure 2.21 is a column chart that shows the estimated annual change in land area in square kilometres subject to legal rights or interests for Aboriginal and Torres Strait Islander people by jurisdiction from 2020 to 2023. &#10;The chart shows significant variations across different states, with Western Australia and Queensland having the largest increases in land area. The data for New South Wales, Victoria, and other regions show smaller but notable changes in land rights.&#1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8955"/>
                    <a:stretch/>
                  </pic:blipFill>
                  <pic:spPr bwMode="auto">
                    <a:xfrm>
                      <a:off x="0" y="0"/>
                      <a:ext cx="6120130" cy="2524715"/>
                    </a:xfrm>
                    <a:prstGeom prst="rect">
                      <a:avLst/>
                    </a:prstGeom>
                    <a:noFill/>
                    <a:ln>
                      <a:noFill/>
                    </a:ln>
                    <a:extLst>
                      <a:ext uri="{53640926-AAD7-44D8-BBD7-CCE9431645EC}">
                        <a14:shadowObscured xmlns:a14="http://schemas.microsoft.com/office/drawing/2010/main"/>
                      </a:ext>
                    </a:extLst>
                  </pic:spPr>
                </pic:pic>
              </a:graphicData>
            </a:graphic>
          </wp:inline>
        </w:drawing>
      </w:r>
    </w:p>
    <w:p w14:paraId="223BC639" w14:textId="6C0D8E98" w:rsidR="00C4299A" w:rsidRPr="00C61E62" w:rsidRDefault="00617FA5" w:rsidP="00C94D74">
      <w:pPr>
        <w:pStyle w:val="Note"/>
        <w:rPr>
          <w:spacing w:val="2"/>
        </w:rPr>
      </w:pPr>
      <w:r w:rsidRPr="00C61E62">
        <w:rPr>
          <w:b/>
          <w:bCs/>
          <w:spacing w:val="2"/>
        </w:rPr>
        <w:t>a.</w:t>
      </w:r>
      <w:r w:rsidRPr="00C61E62">
        <w:rPr>
          <w:spacing w:val="2"/>
        </w:rPr>
        <w:t xml:space="preserve"> </w:t>
      </w:r>
      <w:r w:rsidR="00512218" w:rsidRPr="00C61E62">
        <w:rPr>
          <w:spacing w:val="2"/>
        </w:rPr>
        <w:t xml:space="preserve">The </w:t>
      </w:r>
      <w:r w:rsidR="00C4299A" w:rsidRPr="00C61E62">
        <w:rPr>
          <w:spacing w:val="2"/>
        </w:rPr>
        <w:t>A</w:t>
      </w:r>
      <w:r w:rsidR="00512218" w:rsidRPr="00C61E62">
        <w:rPr>
          <w:spacing w:val="2"/>
        </w:rPr>
        <w:t xml:space="preserve">ustralian </w:t>
      </w:r>
      <w:r w:rsidR="00C4299A" w:rsidRPr="00C61E62">
        <w:rPr>
          <w:spacing w:val="2"/>
        </w:rPr>
        <w:t>C</w:t>
      </w:r>
      <w:r w:rsidR="00512218" w:rsidRPr="00C61E62">
        <w:rPr>
          <w:spacing w:val="2"/>
        </w:rPr>
        <w:t xml:space="preserve">apital </w:t>
      </w:r>
      <w:r w:rsidR="00C4299A" w:rsidRPr="00C61E62">
        <w:rPr>
          <w:spacing w:val="2"/>
        </w:rPr>
        <w:t>T</w:t>
      </w:r>
      <w:r w:rsidR="00512218" w:rsidRPr="00C61E62">
        <w:rPr>
          <w:spacing w:val="2"/>
        </w:rPr>
        <w:t>erritory</w:t>
      </w:r>
      <w:r w:rsidR="00C4299A" w:rsidRPr="00C61E62">
        <w:rPr>
          <w:spacing w:val="2"/>
        </w:rPr>
        <w:t xml:space="preserve"> and Tasmania reported </w:t>
      </w:r>
      <w:r w:rsidR="00DC5FA5" w:rsidRPr="00C61E62">
        <w:rPr>
          <w:spacing w:val="2"/>
        </w:rPr>
        <w:t>no</w:t>
      </w:r>
      <w:r w:rsidR="00C4299A" w:rsidRPr="00C61E62">
        <w:rPr>
          <w:spacing w:val="2"/>
        </w:rPr>
        <w:t xml:space="preserve"> change since the baseline year </w:t>
      </w:r>
      <w:r w:rsidR="009207D9" w:rsidRPr="00C61E62">
        <w:rPr>
          <w:spacing w:val="2"/>
        </w:rPr>
        <w:t xml:space="preserve">(2020) </w:t>
      </w:r>
      <w:r w:rsidR="00C4299A" w:rsidRPr="00C61E62">
        <w:rPr>
          <w:spacing w:val="2"/>
        </w:rPr>
        <w:t>and have not been included</w:t>
      </w:r>
      <w:r w:rsidR="007C2F8A" w:rsidRPr="00C61E62">
        <w:rPr>
          <w:spacing w:val="2"/>
        </w:rPr>
        <w:t>.</w:t>
      </w:r>
    </w:p>
    <w:p w14:paraId="26ECF8B6" w14:textId="6AEB7DFD" w:rsidR="00133FE5" w:rsidRDefault="00EB38DB" w:rsidP="00675A31">
      <w:pPr>
        <w:pStyle w:val="Source"/>
      </w:pPr>
      <w:r>
        <w:t>Source: NNTT (unpublished) Native Title Determinations Outcomes Indigenous estat</w:t>
      </w:r>
      <w:r w:rsidR="00675A31">
        <w:t>e</w:t>
      </w:r>
    </w:p>
    <w:p w14:paraId="2D7F833D" w14:textId="77777777" w:rsidR="00AB564E" w:rsidRDefault="00AB564E">
      <w:pPr>
        <w:spacing w:before="0" w:after="160" w:line="259" w:lineRule="auto"/>
        <w:rPr>
          <w:rFonts w:asciiTheme="majorHAnsi" w:eastAsiaTheme="majorEastAsia" w:hAnsiTheme="majorHAnsi" w:cstheme="majorBidi"/>
          <w:iCs/>
          <w:color w:val="3A6E77" w:themeColor="accent1"/>
          <w:sz w:val="22"/>
          <w:szCs w:val="33"/>
        </w:rPr>
      </w:pPr>
      <w:r>
        <w:rPr>
          <w:rFonts w:asciiTheme="majorHAnsi" w:eastAsiaTheme="majorEastAsia" w:hAnsiTheme="majorHAnsi" w:cstheme="majorBidi"/>
          <w:iCs/>
          <w:color w:val="3A6E77" w:themeColor="accent1"/>
          <w:sz w:val="22"/>
          <w:szCs w:val="33"/>
        </w:rPr>
        <w:br w:type="page"/>
      </w:r>
    </w:p>
    <w:p w14:paraId="74C0C9A4" w14:textId="458C2BF7" w:rsidR="008D6DAE" w:rsidRPr="00047A76" w:rsidRDefault="008D6DAE" w:rsidP="00675A31">
      <w:pPr>
        <w:pStyle w:val="Source"/>
        <w:rPr>
          <w:rFonts w:asciiTheme="majorHAnsi" w:eastAsiaTheme="majorEastAsia" w:hAnsiTheme="majorHAnsi" w:cstheme="majorBidi"/>
          <w:iCs/>
          <w:color w:val="3A6E77" w:themeColor="accent1"/>
          <w:sz w:val="22"/>
          <w:szCs w:val="33"/>
        </w:rPr>
      </w:pPr>
      <w:r w:rsidRPr="00047A76">
        <w:rPr>
          <w:rFonts w:asciiTheme="majorHAnsi" w:eastAsiaTheme="majorEastAsia" w:hAnsiTheme="majorHAnsi" w:cstheme="majorBidi"/>
          <w:iCs/>
          <w:color w:val="3A6E77" w:themeColor="accent1"/>
          <w:sz w:val="22"/>
          <w:szCs w:val="33"/>
        </w:rPr>
        <w:lastRenderedPageBreak/>
        <w:t xml:space="preserve">The </w:t>
      </w:r>
      <w:r w:rsidR="00DE6817" w:rsidRPr="00047A76">
        <w:rPr>
          <w:rFonts w:asciiTheme="majorHAnsi" w:eastAsiaTheme="majorEastAsia" w:hAnsiTheme="majorHAnsi" w:cstheme="majorBidi"/>
          <w:iCs/>
          <w:color w:val="3A6E77" w:themeColor="accent1"/>
          <w:sz w:val="22"/>
          <w:szCs w:val="33"/>
        </w:rPr>
        <w:t xml:space="preserve">target </w:t>
      </w:r>
      <w:r w:rsidR="004078B6" w:rsidRPr="00047A76">
        <w:rPr>
          <w:rFonts w:asciiTheme="majorHAnsi" w:eastAsiaTheme="majorEastAsia" w:hAnsiTheme="majorHAnsi" w:cstheme="majorBidi"/>
          <w:iCs/>
          <w:color w:val="3A6E77" w:themeColor="accent1"/>
          <w:sz w:val="22"/>
          <w:szCs w:val="33"/>
        </w:rPr>
        <w:t xml:space="preserve">of </w:t>
      </w:r>
      <w:r w:rsidRPr="00047A76">
        <w:rPr>
          <w:rFonts w:asciiTheme="majorHAnsi" w:eastAsiaTheme="majorEastAsia" w:hAnsiTheme="majorHAnsi" w:cstheme="majorBidi"/>
          <w:iCs/>
          <w:color w:val="3A6E77" w:themeColor="accent1"/>
          <w:sz w:val="22"/>
          <w:szCs w:val="33"/>
        </w:rPr>
        <w:t xml:space="preserve">a 15% increase in </w:t>
      </w:r>
      <w:r w:rsidR="004078B6" w:rsidRPr="00047A76">
        <w:rPr>
          <w:rFonts w:asciiTheme="majorHAnsi" w:eastAsiaTheme="majorEastAsia" w:hAnsiTheme="majorHAnsi" w:cstheme="majorBidi"/>
          <w:iCs/>
          <w:color w:val="3A6E77" w:themeColor="accent1"/>
          <w:sz w:val="22"/>
          <w:szCs w:val="33"/>
        </w:rPr>
        <w:t xml:space="preserve">sea </w:t>
      </w:r>
      <w:r w:rsidRPr="00047A76">
        <w:rPr>
          <w:rFonts w:asciiTheme="majorHAnsi" w:eastAsiaTheme="majorEastAsia" w:hAnsiTheme="majorHAnsi" w:cstheme="majorBidi"/>
          <w:iCs/>
          <w:color w:val="3A6E77" w:themeColor="accent1"/>
          <w:sz w:val="22"/>
          <w:szCs w:val="33"/>
        </w:rPr>
        <w:t xml:space="preserve">area covered by Aboriginal and Torres Strait Islander people’s legal rights or interests </w:t>
      </w:r>
      <w:r w:rsidR="00DE6817" w:rsidRPr="00047A76">
        <w:rPr>
          <w:rFonts w:asciiTheme="majorHAnsi" w:eastAsiaTheme="majorEastAsia" w:hAnsiTheme="majorHAnsi" w:cstheme="majorBidi"/>
          <w:iCs/>
          <w:color w:val="3A6E77" w:themeColor="accent1"/>
          <w:sz w:val="22"/>
          <w:szCs w:val="33"/>
        </w:rPr>
        <w:t>is on track to be met or potentially exceeded by 2031</w:t>
      </w:r>
    </w:p>
    <w:p w14:paraId="4870CBF9" w14:textId="3C6796AC" w:rsidR="00C4299A" w:rsidRPr="00216127" w:rsidRDefault="008B4E9A" w:rsidP="00DD66DD">
      <w:pPr>
        <w:pStyle w:val="BodyText"/>
      </w:pPr>
      <w:r w:rsidRPr="00216127">
        <w:t xml:space="preserve">The </w:t>
      </w:r>
      <w:r w:rsidR="00DD0546" w:rsidRPr="00216127">
        <w:t xml:space="preserve">target of a </w:t>
      </w:r>
      <w:r w:rsidR="00C4299A" w:rsidRPr="00216127">
        <w:t xml:space="preserve">15% increase in sea area covered by Aboriginal and Torres Strait Islander people’s legal rights or interests is on track to be met. As at June 2023, 113,461 sq km of sea country </w:t>
      </w:r>
      <w:r w:rsidR="00671358" w:rsidRPr="00216127">
        <w:t xml:space="preserve">was </w:t>
      </w:r>
      <w:r w:rsidR="00C4299A" w:rsidRPr="00216127">
        <w:t xml:space="preserve">subject to </w:t>
      </w:r>
      <w:r w:rsidR="004078B6" w:rsidRPr="00216127">
        <w:t xml:space="preserve">Aboriginal and Torres Strait Islander people’s </w:t>
      </w:r>
      <w:r w:rsidR="00C4299A" w:rsidRPr="00216127">
        <w:t xml:space="preserve">rights or interests, </w:t>
      </w:r>
      <w:r w:rsidR="00DD0546" w:rsidRPr="00216127">
        <w:t xml:space="preserve">already </w:t>
      </w:r>
      <w:r w:rsidR="00C4299A" w:rsidRPr="00216127">
        <w:t xml:space="preserve">above the 2030 target of 103,790 sq km of sea country. While progress from </w:t>
      </w:r>
      <w:r w:rsidR="00427316" w:rsidRPr="00216127">
        <w:t>the baseline year (2020)</w:t>
      </w:r>
      <w:r w:rsidR="00C4299A" w:rsidRPr="00216127">
        <w:t xml:space="preserve"> was </w:t>
      </w:r>
      <w:r w:rsidR="00617FA5" w:rsidRPr="00216127">
        <w:t>initially</w:t>
      </w:r>
      <w:r w:rsidR="00C4299A" w:rsidRPr="00216127">
        <w:t xml:space="preserve"> slow, there was a significant increase from 2022 to 2023. </w:t>
      </w:r>
    </w:p>
    <w:p w14:paraId="319D86CF" w14:textId="17F5A565" w:rsidR="00E324EB" w:rsidRPr="00216127" w:rsidRDefault="00E324EB" w:rsidP="00DD66DD">
      <w:pPr>
        <w:pStyle w:val="BodyText"/>
      </w:pPr>
      <w:r w:rsidRPr="00216127">
        <w:t xml:space="preserve">Nationally, the </w:t>
      </w:r>
      <w:r w:rsidR="359DB3B5" w:rsidRPr="00216127">
        <w:t xml:space="preserve">Australian </w:t>
      </w:r>
      <w:r w:rsidRPr="00216127">
        <w:t xml:space="preserve">and Queensland </w:t>
      </w:r>
      <w:r w:rsidR="007B1730" w:rsidRPr="00216127">
        <w:t>Government</w:t>
      </w:r>
      <w:r w:rsidR="30068030" w:rsidRPr="00216127">
        <w:t>s</w:t>
      </w:r>
      <w:r w:rsidR="007B1730" w:rsidRPr="00216127">
        <w:t xml:space="preserve"> </w:t>
      </w:r>
      <w:r w:rsidRPr="00216127">
        <w:t>have driven the increase in sea area subject to legal rights or interests</w:t>
      </w:r>
      <w:r w:rsidR="372F8FAF" w:rsidRPr="00216127">
        <w:t xml:space="preserve"> (figure 2.2</w:t>
      </w:r>
      <w:r w:rsidR="007F77E2" w:rsidRPr="00216127">
        <w:t>2</w:t>
      </w:r>
      <w:r w:rsidR="372F8FAF" w:rsidRPr="00216127">
        <w:t>)</w:t>
      </w:r>
      <w:r w:rsidRPr="00216127">
        <w:t xml:space="preserve">. South Australia reported a high percentage increase, but its overall contribution to the national change was relatively modest. Of the remaining jurisdictions, New South Wales and Tasmania reported no improvements, and the Northern Territory reported only a 1 sq km increase since 2020. While Western Australia’s increase from 2020 to 2023 was modest, it has the highest proportion of total sea area subject to legal rights or interests compared to all other jurisdictions. </w:t>
      </w:r>
    </w:p>
    <w:p w14:paraId="2F35597F" w14:textId="6E825615" w:rsidR="00C4299A" w:rsidRPr="007B3DCE" w:rsidRDefault="00C4299A" w:rsidP="00E324EB">
      <w:pPr>
        <w:pStyle w:val="FigureTableHeading"/>
        <w:rPr>
          <w:vertAlign w:val="superscript"/>
        </w:rPr>
      </w:pPr>
      <w:r w:rsidRPr="007B3DCE">
        <w:rPr>
          <w:color w:val="1D363B" w:themeColor="accent1" w:themeShade="80"/>
        </w:rPr>
        <w:t xml:space="preserve">Figure </w:t>
      </w:r>
      <w:r w:rsidR="00A23FF2" w:rsidRPr="007B3DCE">
        <w:rPr>
          <w:color w:val="1D363B" w:themeColor="accent1" w:themeShade="80"/>
        </w:rPr>
        <w:t>2</w:t>
      </w:r>
      <w:r w:rsidR="003E2554" w:rsidRPr="007B3DCE">
        <w:rPr>
          <w:color w:val="1D363B" w:themeColor="accent1" w:themeShade="80"/>
        </w:rPr>
        <w:t>.</w:t>
      </w:r>
      <w:r w:rsidR="0036545D" w:rsidRPr="007B3DCE">
        <w:rPr>
          <w:color w:val="1D363B" w:themeColor="accent1" w:themeShade="80"/>
        </w:rPr>
        <w:t>22</w:t>
      </w:r>
      <w:r w:rsidRPr="007B3DCE">
        <w:rPr>
          <w:color w:val="1D363B" w:themeColor="accent1" w:themeShade="80"/>
        </w:rPr>
        <w:t xml:space="preserve"> – </w:t>
      </w:r>
      <w:r w:rsidR="0A60F6FE" w:rsidRPr="007B3DCE">
        <w:rPr>
          <w:color w:val="1D363B" w:themeColor="accent1" w:themeShade="80"/>
        </w:rPr>
        <w:t>Area of</w:t>
      </w:r>
      <w:r w:rsidRPr="007B3DCE">
        <w:rPr>
          <w:color w:val="1D363B" w:themeColor="accent1" w:themeShade="80"/>
        </w:rPr>
        <w:t xml:space="preserve"> sea country subject to legal rights and interests</w:t>
      </w:r>
      <w:r w:rsidR="000171A5" w:rsidRPr="007B3DCE">
        <w:rPr>
          <w:color w:val="1D363B" w:themeColor="accent1" w:themeShade="80"/>
          <w:vertAlign w:val="superscript"/>
        </w:rPr>
        <w:t>a</w:t>
      </w:r>
      <w:r w:rsidR="006A48A9" w:rsidRPr="007B3DCE">
        <w:rPr>
          <w:color w:val="1D363B" w:themeColor="accent1" w:themeShade="80"/>
          <w:vertAlign w:val="superscript"/>
        </w:rPr>
        <w:t>,b</w:t>
      </w:r>
    </w:p>
    <w:p w14:paraId="16EF4C42" w14:textId="1A2E278B" w:rsidR="00C4299A" w:rsidRDefault="0A60F6FE" w:rsidP="003E236F">
      <w:pPr>
        <w:pStyle w:val="FigureTableSubheading"/>
        <w:rPr>
          <w:color w:val="3A6E77" w:themeColor="accent1"/>
        </w:rPr>
      </w:pPr>
      <w:r w:rsidRPr="007B3DCE">
        <w:rPr>
          <w:color w:val="3A6E77" w:themeColor="accent1"/>
        </w:rPr>
        <w:t xml:space="preserve">Sea area </w:t>
      </w:r>
      <w:r w:rsidR="00C4299A" w:rsidRPr="007B3DCE">
        <w:rPr>
          <w:color w:val="3A6E77" w:themeColor="accent1"/>
        </w:rPr>
        <w:t xml:space="preserve">subject to </w:t>
      </w:r>
      <w:r w:rsidR="0830E52C" w:rsidRPr="007B3DCE">
        <w:rPr>
          <w:color w:val="3A6E77" w:themeColor="accent1"/>
        </w:rPr>
        <w:t xml:space="preserve">Aboriginal and Torres Strait Islander </w:t>
      </w:r>
      <w:r w:rsidR="00C4299A" w:rsidRPr="007B3DCE">
        <w:rPr>
          <w:color w:val="3A6E77" w:themeColor="accent1"/>
        </w:rPr>
        <w:t>legal rights and interests by jurisdiction and year</w:t>
      </w:r>
      <w:r w:rsidR="0003261A">
        <w:rPr>
          <w:color w:val="3A6E77" w:themeColor="accent1"/>
        </w:rPr>
        <w:t>, as</w:t>
      </w:r>
      <w:r w:rsidR="009A5D0F">
        <w:rPr>
          <w:color w:val="3A6E77" w:themeColor="accent1"/>
        </w:rPr>
        <w:t xml:space="preserve"> </w:t>
      </w:r>
      <w:r w:rsidR="06BB8101" w:rsidRPr="007B3DCE">
        <w:rPr>
          <w:color w:val="3A6E77" w:themeColor="accent1"/>
        </w:rPr>
        <w:t>at 30 June</w:t>
      </w:r>
      <w:r w:rsidR="00B864FF" w:rsidRPr="007B3DCE">
        <w:rPr>
          <w:color w:val="3A6E77" w:themeColor="accent1"/>
        </w:rPr>
        <w:t xml:space="preserve"> </w:t>
      </w:r>
    </w:p>
    <w:p w14:paraId="7C79695E" w14:textId="77777777" w:rsidR="00444162" w:rsidRDefault="00444162" w:rsidP="003E236F">
      <w:pPr>
        <w:pStyle w:val="FigureTableSubheading"/>
        <w:rPr>
          <w:color w:val="3A6E77" w:themeColor="accent1"/>
        </w:rPr>
      </w:pPr>
    </w:p>
    <w:p w14:paraId="6DC428A8" w14:textId="397BBDD2" w:rsidR="00DF2055" w:rsidRPr="00444162" w:rsidRDefault="00444162" w:rsidP="00444162">
      <w:pPr>
        <w:pStyle w:val="Source"/>
        <w:rPr>
          <w:color w:val="3A6E77" w:themeColor="accent1"/>
        </w:rPr>
      </w:pPr>
      <w:r w:rsidRPr="00444162">
        <w:rPr>
          <w:noProof/>
        </w:rPr>
        <w:drawing>
          <wp:inline distT="0" distB="0" distL="0" distR="0" wp14:anchorId="600BEBAE" wp14:editId="21F15DAA">
            <wp:extent cx="6120130" cy="2581359"/>
            <wp:effectExtent l="0" t="0" r="0" b="0"/>
            <wp:docPr id="846850134" name="Picture 197" descr="Figure 2.22 is a column chart that shows the sea area subject to Aboriginal and Torres Strait Islander legal rights and interests by jurisdiction and year as of 30 June, from 2020 to 2023. The chart shows highest sq km coverage in Western Australia and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50134" name="Picture 197" descr="Figure 2.22 is a column chart that shows the sea area subject to Aboriginal and Torres Strait Islander legal rights and interests by jurisdiction and year as of 30 June, from 2020 to 2023. The chart shows highest sq km coverage in Western Australia and Queenslan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10301"/>
                    <a:stretch/>
                  </pic:blipFill>
                  <pic:spPr bwMode="auto">
                    <a:xfrm>
                      <a:off x="0" y="0"/>
                      <a:ext cx="6120130" cy="2581359"/>
                    </a:xfrm>
                    <a:prstGeom prst="rect">
                      <a:avLst/>
                    </a:prstGeom>
                    <a:noFill/>
                    <a:ln>
                      <a:noFill/>
                    </a:ln>
                    <a:extLst>
                      <a:ext uri="{53640926-AAD7-44D8-BBD7-CCE9431645EC}">
                        <a14:shadowObscured xmlns:a14="http://schemas.microsoft.com/office/drawing/2010/main"/>
                      </a:ext>
                    </a:extLst>
                  </pic:spPr>
                </pic:pic>
              </a:graphicData>
            </a:graphic>
          </wp:inline>
        </w:drawing>
      </w:r>
    </w:p>
    <w:p w14:paraId="718B5EFC" w14:textId="77777777" w:rsidR="00586CAA" w:rsidRDefault="00C4299A" w:rsidP="003D7D3D">
      <w:pPr>
        <w:pStyle w:val="Note"/>
      </w:pPr>
      <w:r w:rsidRPr="007B3DCE">
        <w:rPr>
          <w:b/>
          <w:bCs/>
        </w:rPr>
        <w:t>a.</w:t>
      </w:r>
      <w:r w:rsidRPr="007B3DCE">
        <w:t xml:space="preserve"> </w:t>
      </w:r>
      <w:r w:rsidR="00512218" w:rsidRPr="007B3DCE">
        <w:t xml:space="preserve">The </w:t>
      </w:r>
      <w:r w:rsidRPr="007B3DCE">
        <w:t>A</w:t>
      </w:r>
      <w:r w:rsidR="00512218" w:rsidRPr="007B3DCE">
        <w:t xml:space="preserve">ustralian </w:t>
      </w:r>
      <w:r w:rsidRPr="007B3DCE">
        <w:t>C</w:t>
      </w:r>
      <w:r w:rsidR="00512218" w:rsidRPr="007B3DCE">
        <w:t xml:space="preserve">apital </w:t>
      </w:r>
      <w:r w:rsidRPr="007B3DCE">
        <w:t>T</w:t>
      </w:r>
      <w:r w:rsidR="00512218" w:rsidRPr="007B3DCE">
        <w:t>erritory</w:t>
      </w:r>
      <w:r w:rsidRPr="007B3DCE">
        <w:t xml:space="preserve"> and Tasmania reported </w:t>
      </w:r>
      <w:r w:rsidR="00A1077F" w:rsidRPr="007B3DCE">
        <w:t>no</w:t>
      </w:r>
      <w:r w:rsidRPr="007B3DCE">
        <w:t xml:space="preserve"> change since the baseline year </w:t>
      </w:r>
      <w:r w:rsidR="00427316" w:rsidRPr="007B3DCE">
        <w:t xml:space="preserve">(2020) </w:t>
      </w:r>
      <w:r w:rsidRPr="007B3DCE">
        <w:t>and have not been included.</w:t>
      </w:r>
      <w:r w:rsidR="00EB6019">
        <w:t xml:space="preserve"> </w:t>
      </w:r>
      <w:r w:rsidR="005C21F8" w:rsidRPr="007B3DCE">
        <w:rPr>
          <w:b/>
          <w:bCs/>
        </w:rPr>
        <w:t>b.</w:t>
      </w:r>
      <w:r w:rsidR="005C21F8" w:rsidRPr="007B3DCE">
        <w:t xml:space="preserve"> Commonwealth </w:t>
      </w:r>
      <w:r w:rsidR="004F2A6E">
        <w:t xml:space="preserve">(Cth) </w:t>
      </w:r>
      <w:r w:rsidR="005C21F8" w:rsidRPr="007B3DCE">
        <w:t>jurisdiction sea area is distinct from the states and territories</w:t>
      </w:r>
      <w:r w:rsidR="009A2468" w:rsidRPr="007B3DCE">
        <w:t xml:space="preserve"> – its area </w:t>
      </w:r>
      <w:r w:rsidR="005C21F8" w:rsidRPr="007B3DCE">
        <w:t>consists of that from the 3NM Limit out to the Exclusive Economic Zone surrounding the mainland states and territories</w:t>
      </w:r>
      <w:r w:rsidR="00BE1427" w:rsidRPr="007B3DCE">
        <w:t>.</w:t>
      </w:r>
    </w:p>
    <w:p w14:paraId="37A73086" w14:textId="35ACD154" w:rsidR="009A43E3" w:rsidRDefault="009A43E3" w:rsidP="003D7D3D">
      <w:pPr>
        <w:pStyle w:val="Note"/>
      </w:pPr>
      <w:r>
        <w:t>Source: NNTT (unpublished) Native Title Determinations Outcomes Indigenous estate</w:t>
      </w:r>
    </w:p>
    <w:p w14:paraId="71B60A5D" w14:textId="50AC25AB" w:rsidR="00D655A7" w:rsidRDefault="00675A31" w:rsidP="000F5BF5">
      <w:pPr>
        <w:pStyle w:val="Source"/>
        <w:sectPr w:rsidR="00D655A7" w:rsidSect="00222405">
          <w:footerReference w:type="even" r:id="rId92"/>
          <w:footerReference w:type="default" r:id="rId93"/>
          <w:type w:val="oddPage"/>
          <w:pgSz w:w="11906" w:h="16838" w:code="9"/>
          <w:pgMar w:top="1134" w:right="1134" w:bottom="1134" w:left="1134" w:header="794" w:footer="510" w:gutter="0"/>
          <w:pgNumType w:start="56"/>
          <w:cols w:space="708"/>
          <w:docGrid w:linePitch="360"/>
        </w:sectPr>
      </w:pPr>
      <w:r>
        <w:rPr>
          <w:noProof/>
        </w:rPr>
        <w:lastRenderedPageBreak/>
        <w:drawing>
          <wp:anchor distT="0" distB="0" distL="114300" distR="114300" simplePos="0" relativeHeight="251658259" behindDoc="1" locked="0" layoutInCell="1" allowOverlap="1" wp14:anchorId="59E3041A" wp14:editId="2D645C6C">
            <wp:simplePos x="0" y="0"/>
            <wp:positionH relativeFrom="margin">
              <wp:posOffset>-697230</wp:posOffset>
            </wp:positionH>
            <wp:positionV relativeFrom="paragraph">
              <wp:posOffset>2908300</wp:posOffset>
            </wp:positionV>
            <wp:extent cx="7618293" cy="5867278"/>
            <wp:effectExtent l="0" t="0" r="1905" b="635"/>
            <wp:wrapNone/>
            <wp:docPr id="1600321649"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21649" name="Picture 213">
                      <a:extLst>
                        <a:ext uri="{C183D7F6-B498-43B3-948B-1728B52AA6E4}">
                          <adec:decorative xmlns:adec="http://schemas.microsoft.com/office/drawing/2017/decorative" val="1"/>
                        </a:ext>
                      </a:extLst>
                    </pic:cNvPr>
                    <pic:cNvPicPr>
                      <a:picLocks noChangeAspect="1" noChangeArrowheads="1"/>
                    </pic:cNvPicPr>
                  </pic:nvPicPr>
                  <pic:blipFill>
                    <a:blip r:embed="rId94" cstate="print">
                      <a:duotone>
                        <a:prstClr val="black"/>
                        <a:schemeClr val="accent3">
                          <a:tint val="45000"/>
                          <a:satMod val="400000"/>
                        </a:schemeClr>
                      </a:duotone>
                      <a:extLst>
                        <a:ext uri="{BEBA8EAE-BF5A-486C-A8C5-ECC9F3942E4B}">
                          <a14:imgProps xmlns:a14="http://schemas.microsoft.com/office/drawing/2010/main">
                            <a14:imgLayer r:embed="rId9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18293" cy="5867278"/>
                    </a:xfrm>
                    <a:prstGeom prst="rect">
                      <a:avLst/>
                    </a:prstGeom>
                    <a:noFill/>
                    <a:ln>
                      <a:noFill/>
                    </a:ln>
                  </pic:spPr>
                </pic:pic>
              </a:graphicData>
            </a:graphic>
            <wp14:sizeRelH relativeFrom="page">
              <wp14:pctWidth>0</wp14:pctWidth>
            </wp14:sizeRelH>
            <wp14:sizeRelV relativeFrom="page">
              <wp14:pctHeight>0</wp14:pctHeight>
            </wp14:sizeRelV>
          </wp:anchor>
        </w:drawing>
      </w:r>
      <w:r w:rsidR="00061FCD" w:rsidRPr="00475CFB">
        <w:rPr>
          <w:noProof/>
        </w:rPr>
        <w:drawing>
          <wp:inline distT="0" distB="0" distL="0" distR="0" wp14:anchorId="3EE0C48B" wp14:editId="10E47F58">
            <wp:extent cx="6120130" cy="3754120"/>
            <wp:effectExtent l="0" t="0" r="0" b="0"/>
            <wp:docPr id="300012731" name="Picture 5" descr="The summary box states that there is positive progress for Country and targets are on track to be met, or potentially exceeded. Land subject to rights and interests is increasing and is on track to be met (Target 15A). Waters subject to rights and interests is increasing and on track to be met (Target 1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12731" name="Picture 5" descr="The summary box states that there is positive progress for Country and targets are on track to be met, or potentially exceeded. Land subject to rights and interests is increasing and is on track to be met (Target 15A). Waters subject to rights and interests is increasing and on track to be met (Target 15B)."/>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3754120"/>
                    </a:xfrm>
                    <a:prstGeom prst="rect">
                      <a:avLst/>
                    </a:prstGeom>
                    <a:noFill/>
                    <a:ln>
                      <a:noFill/>
                    </a:ln>
                  </pic:spPr>
                </pic:pic>
              </a:graphicData>
            </a:graphic>
          </wp:inline>
        </w:drawing>
      </w:r>
    </w:p>
    <w:p w14:paraId="31999669" w14:textId="4456D8D5" w:rsidR="002B743A" w:rsidRPr="007B3DCE" w:rsidRDefault="006B5160" w:rsidP="00AD4EAB">
      <w:pPr>
        <w:pStyle w:val="Heading1-nonumber"/>
        <w:pBdr>
          <w:top w:val="single" w:sz="4" w:space="31" w:color="DBDCDE"/>
          <w:left w:val="single" w:sz="4" w:space="26" w:color="DBDCDE"/>
          <w:bottom w:val="single" w:sz="4" w:space="26" w:color="DBDCDE"/>
          <w:right w:val="single" w:sz="4" w:space="26" w:color="DBDCDE"/>
        </w:pBdr>
        <w:shd w:val="clear" w:color="auto" w:fill="684633" w:themeFill="text1" w:themeFillShade="BF"/>
        <w:rPr>
          <w:rStyle w:val="cf01"/>
          <w:rFonts w:asciiTheme="majorHAnsi" w:hAnsiTheme="majorHAnsi" w:cstheme="majorBidi"/>
          <w:color w:val="F2E6DE"/>
          <w:sz w:val="42"/>
          <w:szCs w:val="42"/>
        </w:rPr>
      </w:pPr>
      <w:bookmarkStart w:id="58" w:name="_Toc167878563"/>
      <w:bookmarkStart w:id="59" w:name="_Toc170466654"/>
      <w:r w:rsidRPr="007B3DCE">
        <w:rPr>
          <w:rStyle w:val="cf01"/>
          <w:rFonts w:asciiTheme="majorHAnsi" w:hAnsiTheme="majorHAnsi" w:cstheme="majorBidi"/>
          <w:color w:val="F2E6DE"/>
          <w:sz w:val="42"/>
          <w:szCs w:val="42"/>
        </w:rPr>
        <w:lastRenderedPageBreak/>
        <w:t>2.8</w:t>
      </w:r>
      <w:r w:rsidRPr="007B3DCE">
        <w:rPr>
          <w:rStyle w:val="cf01"/>
          <w:rFonts w:asciiTheme="majorHAnsi" w:hAnsiTheme="majorHAnsi" w:cstheme="majorBidi"/>
          <w:color w:val="F2E6DE"/>
          <w:sz w:val="42"/>
          <w:szCs w:val="42"/>
        </w:rPr>
        <w:tab/>
      </w:r>
      <w:r w:rsidR="00AB0B5A" w:rsidRPr="007B3DCE">
        <w:rPr>
          <w:rStyle w:val="cf01"/>
          <w:rFonts w:asciiTheme="majorHAnsi" w:hAnsiTheme="majorHAnsi" w:cstheme="majorBidi"/>
          <w:color w:val="F2E6DE"/>
          <w:sz w:val="42"/>
          <w:szCs w:val="42"/>
        </w:rPr>
        <w:t>Justice</w:t>
      </w:r>
      <w:bookmarkEnd w:id="58"/>
      <w:bookmarkEnd w:id="59"/>
    </w:p>
    <w:p w14:paraId="5A0C29ED" w14:textId="71C98579" w:rsidR="004B6BD4" w:rsidRPr="007B3DCE" w:rsidRDefault="004B6BD4" w:rsidP="00025C00">
      <w:pPr>
        <w:pStyle w:val="BodyText"/>
      </w:pPr>
      <w:r w:rsidRPr="007B3DCE">
        <w:rPr>
          <w:rStyle w:val="normaltextrun"/>
          <w:color w:val="000000"/>
          <w:shd w:val="clear" w:color="auto" w:fill="FFFFFF"/>
        </w:rPr>
        <w:t xml:space="preserve">Aboriginal and Torres Strait Islander people have been governed by their own rich and complex systems of Lore and Law for tens of thousands of years. This was deeply woven into the fabric of Aboriginal and Torres Strait Islander culture, guiding all aspects of community life including decision-making processes, mechanisms of social control, and the moral and ethical codes of </w:t>
      </w:r>
      <w:r w:rsidRPr="007B3DCE">
        <w:rPr>
          <w:rStyle w:val="normaltextrun"/>
          <w:shd w:val="clear" w:color="auto" w:fill="FFFFFF"/>
        </w:rPr>
        <w:t xml:space="preserve">behaviour </w:t>
      </w:r>
      <w:r w:rsidRPr="007B3DCE">
        <w:rPr>
          <w:rStyle w:val="normaltextrun"/>
        </w:rPr>
        <w:t xml:space="preserve">that </w:t>
      </w:r>
      <w:r w:rsidRPr="007B3DCE">
        <w:rPr>
          <w:rStyle w:val="normaltextrun"/>
          <w:shd w:val="clear" w:color="auto" w:fill="FFFFFF"/>
        </w:rPr>
        <w:t xml:space="preserve">dictated </w:t>
      </w:r>
      <w:r w:rsidRPr="007B3DCE">
        <w:rPr>
          <w:rStyle w:val="normaltextrun"/>
          <w:color w:val="000000"/>
          <w:shd w:val="clear" w:color="auto" w:fill="FFFFFF"/>
        </w:rPr>
        <w:t xml:space="preserve">daily interactions and responsibilities </w:t>
      </w:r>
      <w:r w:rsidRPr="007B3DCE">
        <w:t>(Dodson 1995)</w:t>
      </w:r>
      <w:r w:rsidRPr="007B3DCE">
        <w:rPr>
          <w:rStyle w:val="normaltextrun"/>
          <w:color w:val="000000"/>
          <w:shd w:val="clear" w:color="auto" w:fill="FFFFFF"/>
        </w:rPr>
        <w:t>.</w:t>
      </w:r>
    </w:p>
    <w:p w14:paraId="1FB13E38" w14:textId="75158E8F" w:rsidR="004B6BD4" w:rsidRPr="007B3DCE" w:rsidRDefault="004B6BD4" w:rsidP="00025C00">
      <w:pPr>
        <w:pStyle w:val="BodyText"/>
        <w:rPr>
          <w:rFonts w:cstheme="minorHAnsi"/>
        </w:rPr>
      </w:pPr>
      <w:r w:rsidRPr="007B3DCE">
        <w:rPr>
          <w:rStyle w:val="normaltextrun"/>
          <w:rFonts w:cstheme="minorHAnsi"/>
        </w:rPr>
        <w:t>Since colonisation, systems of Aboriginal and Torres Strait Islander Lore</w:t>
      </w:r>
      <w:r w:rsidR="002A04C4">
        <w:rPr>
          <w:rStyle w:val="normaltextrun"/>
          <w:rFonts w:cstheme="minorHAnsi"/>
        </w:rPr>
        <w:t xml:space="preserve"> and </w:t>
      </w:r>
      <w:r w:rsidRPr="007B3DCE">
        <w:rPr>
          <w:rStyle w:val="normaltextrun"/>
          <w:rFonts w:cstheme="minorHAnsi"/>
        </w:rPr>
        <w:t xml:space="preserve">Law have been largely disregarded. In their place, a foreign legal framework has been forcibly imposed. This imposition not only displaced Aboriginal and Torres Strait Islander governance structures but was also responsible for dispossession and the forced removal of Aboriginal and Torres Strait Islander children from their families, causing significant harm </w:t>
      </w:r>
      <w:r w:rsidRPr="00216127">
        <w:rPr>
          <w:rFonts w:ascii="Arial (Body)" w:hAnsi="Arial (Body)" w:cs="Arial"/>
        </w:rPr>
        <w:t>(Walker et al. 2023)</w:t>
      </w:r>
      <w:r w:rsidRPr="007B3DCE">
        <w:rPr>
          <w:rStyle w:val="normaltextrun"/>
          <w:rFonts w:cstheme="minorHAnsi"/>
        </w:rPr>
        <w:t>.</w:t>
      </w:r>
      <w:r w:rsidRPr="007B3DCE">
        <w:rPr>
          <w:rFonts w:cstheme="minorHAnsi"/>
        </w:rPr>
        <w:t xml:space="preserve"> </w:t>
      </w:r>
    </w:p>
    <w:p w14:paraId="6DACAB01" w14:textId="039507C9" w:rsidR="004B6BD4" w:rsidRPr="007B3DCE" w:rsidRDefault="004B6BD4" w:rsidP="00025C00">
      <w:pPr>
        <w:pStyle w:val="BodyText"/>
      </w:pPr>
      <w:r w:rsidRPr="18C9B822">
        <w:t xml:space="preserve">Most Aboriginal and Torres Strait Islander young people grow up in loving and supportive homes and continue to show resilience, developing and maintaining strong connections to their family, community and culture </w:t>
      </w:r>
      <w:r w:rsidR="00ED53FC" w:rsidRPr="00216127">
        <w:rPr>
          <w:rFonts w:ascii="Arial (Body)" w:hAnsi="Arial (Body)" w:cs="Arial"/>
        </w:rPr>
        <w:t>(Hall et al. 2020)</w:t>
      </w:r>
      <w:r w:rsidRPr="18C9B822">
        <w:t xml:space="preserve">. However, due to a range of factors including </w:t>
      </w:r>
      <w:r w:rsidRPr="18C9B822">
        <w:rPr>
          <w:rStyle w:val="normaltextrun"/>
        </w:rPr>
        <w:t>systemic bias and racism</w:t>
      </w:r>
      <w:r w:rsidRPr="18C9B822">
        <w:t xml:space="preserve">, Aboriginal and Torres Strait Islander people are overrepresented in both the </w:t>
      </w:r>
      <w:r w:rsidR="00FE5520" w:rsidRPr="009D4378">
        <w:t>out-of-home care</w:t>
      </w:r>
      <w:r w:rsidRPr="18C9B822">
        <w:rPr>
          <w:rStyle w:val="Hyperlink"/>
          <w:u w:val="none"/>
        </w:rPr>
        <w:t xml:space="preserve"> system and the </w:t>
      </w:r>
      <w:r w:rsidRPr="18C9B822">
        <w:t xml:space="preserve">criminal justice system </w:t>
      </w:r>
      <w:r w:rsidRPr="00216127">
        <w:rPr>
          <w:rFonts w:ascii="Arial (Body)" w:hAnsi="Arial (Body)" w:cs="Arial"/>
        </w:rPr>
        <w:t>(Barber et al. 2016; McFarlane 2018)</w:t>
      </w:r>
      <w:r w:rsidRPr="18C9B822">
        <w:t>.</w:t>
      </w:r>
    </w:p>
    <w:p w14:paraId="14293C34" w14:textId="4149BBD0" w:rsidR="004B6BD4" w:rsidRPr="007B3DCE" w:rsidRDefault="004B6BD4" w:rsidP="00025C00">
      <w:pPr>
        <w:pStyle w:val="BodyText"/>
        <w:rPr>
          <w:rStyle w:val="normaltextrun"/>
        </w:rPr>
      </w:pPr>
      <w:r w:rsidRPr="007B3DCE">
        <w:t xml:space="preserve">The overrepresentation reflects a system of justice and laws that fail to understand and value culture, Lore and Law. Despite this, Aboriginal and Torres Strait Islander people and communities have maintained active resistance and advocacy, including continuing to practice Lore and Law and ensuring community wellbeing and connections are supported through community-led initiatives </w:t>
      </w:r>
      <w:r w:rsidR="002C4CB1" w:rsidRPr="00216127">
        <w:rPr>
          <w:rFonts w:ascii="Arial (Body)" w:hAnsi="Arial (Body)" w:cs="Arial"/>
        </w:rPr>
        <w:t>(Dudgeon et al. 2014)</w:t>
      </w:r>
      <w:r w:rsidRPr="007B3DCE">
        <w:t xml:space="preserve">. </w:t>
      </w:r>
      <w:r w:rsidRPr="007B3DCE">
        <w:rPr>
          <w:rStyle w:val="normaltextrun"/>
        </w:rPr>
        <w:t xml:space="preserve">While </w:t>
      </w:r>
      <w:r w:rsidRPr="007B3DCE">
        <w:t>the practice of Lore and Law remain protective factors for Aboriginal and Torres Strait Islander people, there are many r</w:t>
      </w:r>
      <w:r w:rsidRPr="007B3DCE">
        <w:rPr>
          <w:rStyle w:val="normaltextrun"/>
        </w:rPr>
        <w:t xml:space="preserve">isk factors that can increase the likelihood of contact with, and exposure to, the justice system. </w:t>
      </w:r>
    </w:p>
    <w:p w14:paraId="0CF74DAB" w14:textId="7EA4E780" w:rsidR="004B6BD4" w:rsidRPr="007B3DCE" w:rsidRDefault="004B6BD4" w:rsidP="00025C00">
      <w:pPr>
        <w:pStyle w:val="BodyText"/>
        <w:rPr>
          <w:rStyle w:val="cf01"/>
          <w:rFonts w:asciiTheme="minorHAnsi" w:hAnsiTheme="minorHAnsi" w:cstheme="minorBidi"/>
          <w:sz w:val="20"/>
          <w:szCs w:val="20"/>
        </w:rPr>
      </w:pPr>
      <w:r w:rsidRPr="00216127">
        <w:rPr>
          <w:rFonts w:ascii="Arial (Body)" w:hAnsi="Arial (Body)" w:cs="Arial"/>
        </w:rPr>
        <w:t xml:space="preserve">The child protection system is linked with entrances into the juvenile justice system and adult incarceration </w:t>
      </w:r>
      <w:r w:rsidR="00D901EC" w:rsidRPr="00216127">
        <w:rPr>
          <w:rFonts w:ascii="Arial (Body)" w:hAnsi="Arial (Body)" w:cs="Arial"/>
        </w:rPr>
        <w:t>(ALRC 2017b)</w:t>
      </w:r>
      <w:r w:rsidRPr="007B3DCE">
        <w:rPr>
          <w:rStyle w:val="normaltextrun"/>
        </w:rPr>
        <w:t xml:space="preserve">. </w:t>
      </w:r>
      <w:r w:rsidR="00971D58" w:rsidRPr="3661FDA7">
        <w:rPr>
          <w:rStyle w:val="normaltextrun"/>
        </w:rPr>
        <w:t xml:space="preserve">Evidence shows that children in </w:t>
      </w:r>
      <w:r w:rsidR="00883B5B">
        <w:rPr>
          <w:rStyle w:val="normaltextrun"/>
        </w:rPr>
        <w:t>residential</w:t>
      </w:r>
      <w:r w:rsidR="00971D58" w:rsidRPr="3661FDA7">
        <w:rPr>
          <w:rStyle w:val="normaltextrun"/>
        </w:rPr>
        <w:t xml:space="preserve"> out-of-home care are often criminalised more frequently for behaviour that, </w:t>
      </w:r>
      <w:r w:rsidR="00971D58" w:rsidRPr="0012294D">
        <w:rPr>
          <w:rStyle w:val="normaltextrun"/>
        </w:rPr>
        <w:t xml:space="preserve">within a family </w:t>
      </w:r>
      <w:r w:rsidR="00123E83">
        <w:rPr>
          <w:rStyle w:val="normaltextrun"/>
        </w:rPr>
        <w:t>setting</w:t>
      </w:r>
      <w:r w:rsidR="00971D58" w:rsidRPr="3661FDA7">
        <w:rPr>
          <w:rStyle w:val="normaltextrun"/>
        </w:rPr>
        <w:t>, would go unreported</w:t>
      </w:r>
      <w:r w:rsidR="00971D58">
        <w:rPr>
          <w:rStyle w:val="normaltextrun"/>
        </w:rPr>
        <w:t xml:space="preserve"> </w:t>
      </w:r>
      <w:r w:rsidR="0020691D" w:rsidRPr="00216127">
        <w:rPr>
          <w:rFonts w:ascii="Arial (Body)" w:hAnsi="Arial (Body)" w:cs="Arial"/>
        </w:rPr>
        <w:t>(Yoorrook Justice Commission 2023)</w:t>
      </w:r>
      <w:r w:rsidRPr="007B3DCE">
        <w:rPr>
          <w:rStyle w:val="normaltextrun"/>
        </w:rPr>
        <w:t xml:space="preserve">. </w:t>
      </w:r>
      <w:r w:rsidRPr="0012294D">
        <w:rPr>
          <w:rStyle w:val="normaltextrun"/>
        </w:rPr>
        <w:t>In addition</w:t>
      </w:r>
      <w:r w:rsidRPr="007B3DCE">
        <w:rPr>
          <w:rStyle w:val="normaltextrun"/>
        </w:rPr>
        <w:t xml:space="preserve">, Aboriginal and Torres Strait Islander young people are being </w:t>
      </w:r>
      <w:r w:rsidRPr="007B3DCE">
        <w:rPr>
          <w:rStyle w:val="cf01"/>
          <w:rFonts w:asciiTheme="minorHAnsi" w:hAnsiTheme="minorHAnsi" w:cstheme="minorBidi"/>
          <w:sz w:val="20"/>
          <w:szCs w:val="20"/>
        </w:rPr>
        <w:t>criminalised for minor offences, or ‘crimes of necessity’</w:t>
      </w:r>
      <w:r w:rsidR="00A428A0">
        <w:rPr>
          <w:rStyle w:val="cf01"/>
          <w:rFonts w:asciiTheme="minorHAnsi" w:hAnsiTheme="minorHAnsi" w:cstheme="minorBidi"/>
          <w:sz w:val="20"/>
          <w:szCs w:val="20"/>
        </w:rPr>
        <w:t>.</w:t>
      </w:r>
      <w:r w:rsidRPr="007B3DCE">
        <w:rPr>
          <w:rStyle w:val="cf01"/>
          <w:rFonts w:asciiTheme="minorHAnsi" w:hAnsiTheme="minorHAnsi" w:cstheme="minorBidi"/>
          <w:sz w:val="20"/>
          <w:szCs w:val="20"/>
        </w:rPr>
        <w:t xml:space="preserve"> </w:t>
      </w:r>
    </w:p>
    <w:p w14:paraId="44BA1490" w14:textId="5BA1BD54" w:rsidR="00C242C7" w:rsidRDefault="00D31E40" w:rsidP="00025C00">
      <w:pPr>
        <w:pStyle w:val="BodyText"/>
        <w:rPr>
          <w:rFonts w:cstheme="minorHAnsi"/>
        </w:rPr>
      </w:pPr>
      <w:r w:rsidRPr="007B3DCE">
        <w:rPr>
          <w:rStyle w:val="normaltextrun"/>
          <w:rFonts w:cstheme="minorHAnsi"/>
        </w:rPr>
        <w:t xml:space="preserve">Risk factors for entering the criminal justice system </w:t>
      </w:r>
      <w:r>
        <w:rPr>
          <w:rStyle w:val="normaltextrun"/>
          <w:rFonts w:cstheme="minorHAnsi"/>
        </w:rPr>
        <w:t xml:space="preserve">include intergenerational trauma </w:t>
      </w:r>
      <w:r w:rsidR="00CB6E32" w:rsidRPr="00216127">
        <w:rPr>
          <w:rFonts w:ascii="Arial (Body)" w:hAnsi="Arial (Body)" w:cs="Arial"/>
        </w:rPr>
        <w:t>(AHRC 2020; ALRC 2017b)</w:t>
      </w:r>
      <w:r>
        <w:rPr>
          <w:rStyle w:val="normaltextrun"/>
          <w:rFonts w:cstheme="minorHAnsi"/>
        </w:rPr>
        <w:t xml:space="preserve">, adverse childhood experiences </w:t>
      </w:r>
      <w:r w:rsidR="00B86D62" w:rsidRPr="00216127">
        <w:rPr>
          <w:rFonts w:ascii="Arial (Body)" w:hAnsi="Arial (Body)" w:cs="Arial"/>
        </w:rPr>
        <w:t>(ALRC 2017b; Malvaso et al. 2022)</w:t>
      </w:r>
      <w:r w:rsidR="00406B8F">
        <w:rPr>
          <w:rStyle w:val="cf01"/>
          <w:rFonts w:asciiTheme="minorHAnsi" w:hAnsiTheme="minorHAnsi" w:cstheme="minorBidi"/>
          <w:sz w:val="20"/>
          <w:szCs w:val="20"/>
        </w:rPr>
        <w:t xml:space="preserve"> </w:t>
      </w:r>
      <w:r>
        <w:rPr>
          <w:rStyle w:val="normaltextrun"/>
          <w:rFonts w:cstheme="minorHAnsi"/>
        </w:rPr>
        <w:t>and neurodevelopmental impairment</w:t>
      </w:r>
      <w:r w:rsidR="0091062D">
        <w:rPr>
          <w:rStyle w:val="normaltextrun"/>
          <w:rFonts w:cstheme="minorHAnsi"/>
        </w:rPr>
        <w:t xml:space="preserve"> </w:t>
      </w:r>
      <w:r w:rsidR="00B86D62" w:rsidRPr="00216127">
        <w:rPr>
          <w:rFonts w:ascii="Arial (Body)" w:hAnsi="Arial (Body)" w:cs="Arial"/>
        </w:rPr>
        <w:t>(Bower et al. 2018)</w:t>
      </w:r>
      <w:r w:rsidR="00FC5374">
        <w:rPr>
          <w:rStyle w:val="normaltextrun"/>
          <w:rFonts w:cstheme="minorHAnsi"/>
        </w:rPr>
        <w:t>.</w:t>
      </w:r>
      <w:r>
        <w:rPr>
          <w:rStyle w:val="normaltextrun"/>
          <w:rFonts w:cstheme="minorHAnsi"/>
        </w:rPr>
        <w:t xml:space="preserve"> </w:t>
      </w:r>
      <w:r w:rsidR="00E00A74">
        <w:rPr>
          <w:rFonts w:cstheme="minorHAnsi"/>
        </w:rPr>
        <w:t>Further,</w:t>
      </w:r>
      <w:r w:rsidR="00036420">
        <w:rPr>
          <w:rFonts w:cstheme="minorHAnsi"/>
        </w:rPr>
        <w:t xml:space="preserve"> </w:t>
      </w:r>
      <w:r w:rsidR="004B6BD4" w:rsidRPr="007B3DCE">
        <w:rPr>
          <w:rFonts w:cstheme="minorHAnsi"/>
        </w:rPr>
        <w:t xml:space="preserve">over-policing in Aboriginal and Torres Strait Islander communities, heightened arrests for </w:t>
      </w:r>
      <w:r w:rsidR="00317037">
        <w:rPr>
          <w:rFonts w:cstheme="minorHAnsi"/>
        </w:rPr>
        <w:t>low-level</w:t>
      </w:r>
      <w:r w:rsidR="004B6BD4" w:rsidRPr="007B3DCE">
        <w:rPr>
          <w:rFonts w:cstheme="minorHAnsi"/>
        </w:rPr>
        <w:t xml:space="preserve"> offending </w:t>
      </w:r>
      <w:r w:rsidR="006447F5" w:rsidRPr="00216127">
        <w:rPr>
          <w:rFonts w:ascii="Arial (Body)" w:hAnsi="Arial (Body)" w:cs="Arial"/>
        </w:rPr>
        <w:t>(ALRC 2017a)</w:t>
      </w:r>
      <w:r w:rsidR="004B6BD4" w:rsidRPr="007B3DCE">
        <w:rPr>
          <w:rFonts w:cstheme="minorHAnsi"/>
        </w:rPr>
        <w:t xml:space="preserve"> as well as increased presence of police, targeted surveillance or racial profiling (Cunneen 2020; O’Brien 2021) </w:t>
      </w:r>
      <w:r w:rsidR="004B6BD4" w:rsidRPr="007B3DCE">
        <w:rPr>
          <w:rStyle w:val="normaltextrun"/>
          <w:rFonts w:eastAsiaTheme="majorEastAsia" w:cstheme="minorHAnsi"/>
        </w:rPr>
        <w:t>and m</w:t>
      </w:r>
      <w:r w:rsidR="004B6BD4" w:rsidRPr="007B3DCE">
        <w:rPr>
          <w:rStyle w:val="normaltextrun"/>
          <w:rFonts w:cstheme="minorHAnsi"/>
        </w:rPr>
        <w:t xml:space="preserve">andatory sentencing laws </w:t>
      </w:r>
      <w:r w:rsidR="00D901EC" w:rsidRPr="00216127">
        <w:rPr>
          <w:rFonts w:ascii="Arial (Body)" w:hAnsi="Arial (Body)" w:cs="Arial"/>
        </w:rPr>
        <w:t>(ALRC 2017a)</w:t>
      </w:r>
      <w:r w:rsidR="008B0D45">
        <w:rPr>
          <w:rStyle w:val="normaltextrun"/>
          <w:rFonts w:cstheme="minorHAnsi"/>
        </w:rPr>
        <w:t xml:space="preserve"> all contribute to the over-representation of </w:t>
      </w:r>
      <w:r w:rsidR="00013940">
        <w:rPr>
          <w:rStyle w:val="normaltextrun"/>
          <w:rFonts w:cstheme="minorHAnsi"/>
        </w:rPr>
        <w:t>Aboriginal and Torres Strait Islander people in the criminal justice system</w:t>
      </w:r>
      <w:r w:rsidR="004B6BD4" w:rsidRPr="007B3DCE">
        <w:rPr>
          <w:rFonts w:cstheme="minorHAnsi"/>
        </w:rPr>
        <w:t xml:space="preserve">. </w:t>
      </w:r>
      <w:r w:rsidR="001E4A22">
        <w:rPr>
          <w:rFonts w:cstheme="minorHAnsi"/>
        </w:rPr>
        <w:t>Challenges</w:t>
      </w:r>
      <w:r w:rsidR="004B6BD4" w:rsidRPr="007B3DCE">
        <w:rPr>
          <w:rFonts w:cstheme="minorHAnsi"/>
        </w:rPr>
        <w:t xml:space="preserve"> like accessing secure and adequate housing can mean Aboriginal and Torres Strait Islander people on remand cannot always easily access bail, exposing them to longer periods of incarceration and further harm </w:t>
      </w:r>
      <w:r w:rsidR="00D901EC" w:rsidRPr="00216127">
        <w:rPr>
          <w:rFonts w:ascii="Arial (Body)" w:hAnsi="Arial (Body)" w:cs="Arial"/>
        </w:rPr>
        <w:t>(ALRC 2017b)</w:t>
      </w:r>
      <w:r w:rsidR="004B6BD4" w:rsidRPr="007B3DCE">
        <w:rPr>
          <w:rFonts w:cstheme="minorHAnsi"/>
        </w:rPr>
        <w:t xml:space="preserve">. </w:t>
      </w:r>
    </w:p>
    <w:p w14:paraId="5C2189DE" w14:textId="323F4EA1" w:rsidR="004B6BD4" w:rsidRPr="00DD66DD" w:rsidRDefault="00516164" w:rsidP="00DD66DD">
      <w:pPr>
        <w:pStyle w:val="BodyText"/>
        <w:rPr>
          <w:rStyle w:val="normaltextrun"/>
        </w:rPr>
      </w:pPr>
      <w:r w:rsidRPr="007B3DCE">
        <w:rPr>
          <w:rStyle w:val="normaltextrun"/>
        </w:rPr>
        <w:t>F</w:t>
      </w:r>
      <w:r w:rsidR="00FE5520" w:rsidRPr="007B3DCE">
        <w:rPr>
          <w:rStyle w:val="normaltextrun"/>
        </w:rPr>
        <w:t xml:space="preserve">actors that </w:t>
      </w:r>
      <w:r w:rsidR="160D4C6C" w:rsidRPr="007B3DCE">
        <w:rPr>
          <w:rStyle w:val="normaltextrun"/>
        </w:rPr>
        <w:t>reduce</w:t>
      </w:r>
      <w:r w:rsidR="28A7656E" w:rsidRPr="007B3DCE">
        <w:rPr>
          <w:rStyle w:val="normaltextrun"/>
        </w:rPr>
        <w:t xml:space="preserve"> </w:t>
      </w:r>
      <w:r w:rsidR="00FE5520" w:rsidRPr="007B3DCE">
        <w:rPr>
          <w:rStyle w:val="normaltextrun"/>
        </w:rPr>
        <w:t>the rate</w:t>
      </w:r>
      <w:r w:rsidRPr="007B3DCE">
        <w:rPr>
          <w:rStyle w:val="normaltextrun"/>
        </w:rPr>
        <w:t xml:space="preserve"> </w:t>
      </w:r>
      <w:r w:rsidR="3526921F" w:rsidRPr="007B3DCE">
        <w:rPr>
          <w:rStyle w:val="normaltextrun"/>
        </w:rPr>
        <w:t>or protect agains</w:t>
      </w:r>
      <w:r w:rsidR="00510DB9" w:rsidRPr="007B3DCE">
        <w:rPr>
          <w:rStyle w:val="normaltextrun"/>
        </w:rPr>
        <w:t>t</w:t>
      </w:r>
      <w:r w:rsidR="00FE5520" w:rsidRPr="007B3DCE">
        <w:rPr>
          <w:rStyle w:val="normaltextrun"/>
        </w:rPr>
        <w:t xml:space="preserve"> Aboriginal and Torres Strait Islander adult incarceration include</w:t>
      </w:r>
      <w:r w:rsidR="00FE5520" w:rsidRPr="007B3DCE">
        <w:rPr>
          <w:rStyle w:val="eop"/>
        </w:rPr>
        <w:t xml:space="preserve"> </w:t>
      </w:r>
      <w:r w:rsidR="00FE5520" w:rsidRPr="007B3DCE">
        <w:rPr>
          <w:rStyle w:val="normaltextrun"/>
        </w:rPr>
        <w:t xml:space="preserve">access to culturally safe resources and services (including those for health and wellbeing) as well as </w:t>
      </w:r>
      <w:r w:rsidR="00FE5520" w:rsidRPr="00DD66DD">
        <w:rPr>
          <w:rStyle w:val="normaltextrun"/>
        </w:rPr>
        <w:lastRenderedPageBreak/>
        <w:t xml:space="preserve">improved outcomes in socio-economic areas like education and </w:t>
      </w:r>
      <w:r w:rsidR="28A7656E" w:rsidRPr="00DD66DD">
        <w:rPr>
          <w:rStyle w:val="normaltextrun"/>
        </w:rPr>
        <w:t>employment</w:t>
      </w:r>
      <w:r w:rsidR="004B6BD4" w:rsidRPr="00DD66DD">
        <w:rPr>
          <w:rStyle w:val="normaltextrun"/>
        </w:rPr>
        <w:t xml:space="preserve">, amongst others </w:t>
      </w:r>
      <w:r w:rsidR="004B6BD4" w:rsidRPr="00DD66DD">
        <w:t>(McCausland and Baldry 2023)</w:t>
      </w:r>
      <w:r w:rsidR="004B6BD4" w:rsidRPr="00DD66DD">
        <w:rPr>
          <w:rStyle w:val="normaltextrun"/>
        </w:rPr>
        <w:t xml:space="preserve">. For instance, the provision of culturally appropriate services for Aboriginal and Torres Strait Islander young people leads to increased participation and completion rates of youth diversionary programs, which may help address the cycle of incarceration </w:t>
      </w:r>
      <w:r w:rsidR="004B6BD4" w:rsidRPr="00DD66DD">
        <w:t>(Cunneen et al. 2021)</w:t>
      </w:r>
      <w:r w:rsidR="004B6BD4" w:rsidRPr="00DD66DD">
        <w:rPr>
          <w:rStyle w:val="normaltextrun"/>
        </w:rPr>
        <w:t xml:space="preserve">. </w:t>
      </w:r>
    </w:p>
    <w:p w14:paraId="0DB2E85C" w14:textId="4FEB9F89" w:rsidR="004B6BD4" w:rsidRPr="00DD66DD" w:rsidRDefault="004B6BD4" w:rsidP="00DD66DD">
      <w:pPr>
        <w:pStyle w:val="BodyText"/>
        <w:spacing w:after="240"/>
        <w:rPr>
          <w:rStyle w:val="normaltextrun"/>
        </w:rPr>
      </w:pPr>
      <w:r w:rsidRPr="00DD66DD">
        <w:rPr>
          <w:rStyle w:val="normaltextrun"/>
        </w:rPr>
        <w:t xml:space="preserve">There is widespread evidence highlighting the importance of self-determination in reducing harm while incarcerated </w:t>
      </w:r>
      <w:r w:rsidR="008C4B34" w:rsidRPr="00DD66DD">
        <w:rPr>
          <w:rStyle w:val="normaltextrun"/>
        </w:rPr>
        <w:t>and</w:t>
      </w:r>
      <w:r w:rsidRPr="00DD66DD">
        <w:rPr>
          <w:rStyle w:val="normaltextrun"/>
        </w:rPr>
        <w:t xml:space="preserve"> also addressing the above social and economic causes </w:t>
      </w:r>
      <w:r w:rsidRPr="00DD66DD">
        <w:t>(Cunneen 2019)</w:t>
      </w:r>
      <w:r w:rsidRPr="00DD66DD">
        <w:rPr>
          <w:rStyle w:val="normaltextrun"/>
        </w:rPr>
        <w:t xml:space="preserve">. It is well understood that a shift in power and resources would be required for self-determination to be realised </w:t>
      </w:r>
      <w:r w:rsidRPr="00DD66DD">
        <w:t>(ANTAR </w:t>
      </w:r>
      <w:r w:rsidR="007E2AFF" w:rsidRPr="00DD66DD">
        <w:t>2023</w:t>
      </w:r>
      <w:r w:rsidRPr="00DD66DD">
        <w:t>; Webb 2012)</w:t>
      </w:r>
      <w:r w:rsidRPr="00DD66DD">
        <w:rPr>
          <w:rStyle w:val="normaltextrun"/>
        </w:rPr>
        <w:t xml:space="preserve">.  </w:t>
      </w:r>
    </w:p>
    <w:tbl>
      <w:tblPr>
        <w:tblStyle w:val="Boxtable"/>
        <w:tblW w:w="5068" w:type="pct"/>
        <w:tblBorders>
          <w:top w:val="single" w:sz="4" w:space="0" w:color="DBDCDE"/>
          <w:left w:val="single" w:sz="4" w:space="0" w:color="DBDCDE"/>
          <w:bottom w:val="single" w:sz="4" w:space="0" w:color="DBDCDE"/>
          <w:right w:val="single" w:sz="4" w:space="0" w:color="DBDCDE"/>
          <w:insideH w:val="single" w:sz="4" w:space="0" w:color="DBDCDE"/>
          <w:insideV w:val="single" w:sz="4" w:space="0" w:color="DBDCDE"/>
        </w:tblBorders>
        <w:tblLook w:val="04A0" w:firstRow="1" w:lastRow="0" w:firstColumn="1" w:lastColumn="0" w:noHBand="0" w:noVBand="1"/>
      </w:tblPr>
      <w:tblGrid>
        <w:gridCol w:w="9769"/>
      </w:tblGrid>
      <w:tr w:rsidR="004774FF" w:rsidRPr="007B3DCE" w14:paraId="4D062798" w14:textId="77777777" w:rsidTr="00C43422">
        <w:trPr>
          <w:trHeight w:val="476"/>
          <w:tblHeader/>
        </w:trPr>
        <w:tc>
          <w:tcPr>
            <w:tcW w:w="9770" w:type="dxa"/>
            <w:tcBorders>
              <w:top w:val="nil"/>
              <w:left w:val="nil"/>
              <w:bottom w:val="nil"/>
              <w:right w:val="nil"/>
            </w:tcBorders>
            <w:shd w:val="clear" w:color="auto" w:fill="684633" w:themeFill="text1" w:themeFillShade="BF"/>
            <w:tcMar>
              <w:top w:w="170" w:type="dxa"/>
              <w:left w:w="170" w:type="dxa"/>
              <w:bottom w:w="113" w:type="dxa"/>
              <w:right w:w="170" w:type="dxa"/>
            </w:tcMar>
            <w:vAlign w:val="center"/>
            <w:hideMark/>
          </w:tcPr>
          <w:p w14:paraId="5D637ED9" w14:textId="64F25BA2" w:rsidR="00D42F8B" w:rsidRPr="007B3DCE" w:rsidRDefault="004774FF" w:rsidP="00C43422">
            <w:pPr>
              <w:pStyle w:val="BoxHeading1"/>
              <w:spacing w:before="0" w:line="360" w:lineRule="auto"/>
              <w:rPr>
                <w:color w:val="FFFFFF"/>
              </w:rPr>
            </w:pPr>
            <w:r w:rsidRPr="007B3DCE">
              <w:rPr>
                <w:color w:val="FFFFFF"/>
              </w:rPr>
              <w:t xml:space="preserve">Box </w:t>
            </w:r>
            <w:r w:rsidR="007C7EB6" w:rsidRPr="007B3DCE">
              <w:rPr>
                <w:color w:val="FFFFFF"/>
              </w:rPr>
              <w:t>2</w:t>
            </w:r>
            <w:r w:rsidR="001D6EEF" w:rsidRPr="007B3DCE">
              <w:rPr>
                <w:color w:val="FFFFFF"/>
              </w:rPr>
              <w:t>.</w:t>
            </w:r>
            <w:r w:rsidR="00EF7969" w:rsidRPr="007B3DCE">
              <w:rPr>
                <w:color w:val="FFFFFF"/>
              </w:rPr>
              <w:t>21</w:t>
            </w:r>
            <w:r w:rsidRPr="007B3DCE">
              <w:rPr>
                <w:color w:val="FFFFFF"/>
              </w:rPr>
              <w:t xml:space="preserve"> – What data will you find in this section?</w:t>
            </w:r>
          </w:p>
        </w:tc>
      </w:tr>
      <w:tr w:rsidR="00AD4EAB" w:rsidRPr="007B3DCE" w14:paraId="718EB351" w14:textId="77777777" w:rsidTr="00F30629">
        <w:trPr>
          <w:trHeight w:val="1662"/>
          <w:tblHeader/>
        </w:trPr>
        <w:tc>
          <w:tcPr>
            <w:tcW w:w="9770" w:type="dxa"/>
            <w:tcBorders>
              <w:top w:val="nil"/>
              <w:left w:val="nil"/>
              <w:bottom w:val="nil"/>
              <w:right w:val="nil"/>
            </w:tcBorders>
            <w:shd w:val="clear" w:color="auto" w:fill="EBDDD6" w:themeFill="text1" w:themeFillTint="33"/>
            <w:tcMar>
              <w:top w:w="170" w:type="dxa"/>
              <w:left w:w="170" w:type="dxa"/>
              <w:bottom w:w="113" w:type="dxa"/>
              <w:right w:w="170" w:type="dxa"/>
            </w:tcMar>
          </w:tcPr>
          <w:p w14:paraId="1F151E32" w14:textId="381BB65E" w:rsidR="00AD4EAB" w:rsidRPr="006078F3" w:rsidRDefault="00AD4EAB" w:rsidP="00AD4EAB">
            <w:pPr>
              <w:spacing w:before="0" w:after="160" w:line="259" w:lineRule="auto"/>
              <w:rPr>
                <w:rStyle w:val="BodyTextChar"/>
                <w:spacing w:val="-4"/>
              </w:rPr>
            </w:pPr>
            <w:r w:rsidRPr="006078F3">
              <w:rPr>
                <w:rStyle w:val="BodyTextChar"/>
                <w:spacing w:val="-4"/>
              </w:rPr>
              <w:t xml:space="preserve">This section provides </w:t>
            </w:r>
            <w:r w:rsidR="00C54604" w:rsidRPr="006078F3">
              <w:rPr>
                <w:rStyle w:val="BodyTextChar"/>
                <w:spacing w:val="-4"/>
              </w:rPr>
              <w:t>a</w:t>
            </w:r>
            <w:r w:rsidRPr="006078F3">
              <w:rPr>
                <w:rStyle w:val="BodyTextChar"/>
                <w:spacing w:val="-4"/>
              </w:rPr>
              <w:t xml:space="preserve"> snapshot of the latest data available in 2024 for socio-economic outcomes </w:t>
            </w:r>
            <w:r w:rsidR="00C54604" w:rsidRPr="006078F3">
              <w:rPr>
                <w:rStyle w:val="BodyTextChar"/>
                <w:spacing w:val="-4"/>
              </w:rPr>
              <w:t>10</w:t>
            </w:r>
            <w:r w:rsidRPr="006078F3">
              <w:rPr>
                <w:rStyle w:val="BodyTextChar"/>
                <w:spacing w:val="-4"/>
              </w:rPr>
              <w:t xml:space="preserve"> and </w:t>
            </w:r>
            <w:r w:rsidR="00C54604" w:rsidRPr="006078F3">
              <w:rPr>
                <w:rStyle w:val="BodyTextChar"/>
                <w:spacing w:val="-4"/>
              </w:rPr>
              <w:t>11</w:t>
            </w:r>
            <w:r w:rsidRPr="006078F3">
              <w:rPr>
                <w:rStyle w:val="BodyTextChar"/>
                <w:spacing w:val="-4"/>
              </w:rPr>
              <w:t>.</w:t>
            </w:r>
          </w:p>
          <w:tbl>
            <w:tblPr>
              <w:tblStyle w:val="TableGrid"/>
              <w:tblW w:w="9195"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5"/>
              <w:gridCol w:w="2040"/>
            </w:tblGrid>
            <w:tr w:rsidR="00AD4EAB" w:rsidRPr="007B3DCE" w14:paraId="5DA3BFAB" w14:textId="77777777" w:rsidTr="00F30629">
              <w:trPr>
                <w:trHeight w:val="287"/>
              </w:trPr>
              <w:tc>
                <w:tcPr>
                  <w:tcW w:w="7155" w:type="dxa"/>
                  <w:vAlign w:val="center"/>
                </w:tcPr>
                <w:p w14:paraId="08343517" w14:textId="77777777" w:rsidR="00AD4EAB" w:rsidRPr="00392CF8" w:rsidRDefault="00AD4EAB" w:rsidP="00025C00">
                  <w:pPr>
                    <w:pStyle w:val="BodyText"/>
                    <w:rPr>
                      <w:b/>
                      <w:bCs/>
                    </w:rPr>
                  </w:pPr>
                  <w:r w:rsidRPr="00392CF8">
                    <w:rPr>
                      <w:b/>
                      <w:bCs/>
                    </w:rPr>
                    <w:t>Outcome</w:t>
                  </w:r>
                </w:p>
              </w:tc>
              <w:tc>
                <w:tcPr>
                  <w:tcW w:w="2040" w:type="dxa"/>
                </w:tcPr>
                <w:p w14:paraId="55E56D6D" w14:textId="77777777" w:rsidR="00AD4EAB" w:rsidRPr="00392CF8" w:rsidRDefault="00AD4EAB" w:rsidP="00392CF8">
                  <w:pPr>
                    <w:pStyle w:val="BodyText"/>
                    <w:jc w:val="right"/>
                    <w:rPr>
                      <w:b/>
                      <w:bCs/>
                    </w:rPr>
                  </w:pPr>
                  <w:r w:rsidRPr="00392CF8">
                    <w:rPr>
                      <w:b/>
                      <w:bCs/>
                    </w:rPr>
                    <w:t>Latest data</w:t>
                  </w:r>
                </w:p>
              </w:tc>
            </w:tr>
            <w:tr w:rsidR="00CB54B1" w:rsidRPr="007B3DCE" w14:paraId="58F89371" w14:textId="77777777" w:rsidTr="00F30629">
              <w:trPr>
                <w:trHeight w:val="205"/>
              </w:trPr>
              <w:tc>
                <w:tcPr>
                  <w:tcW w:w="7155" w:type="dxa"/>
                </w:tcPr>
                <w:p w14:paraId="21EA804F" w14:textId="3CF40AFD" w:rsidR="00CB54B1" w:rsidRPr="007B3DCE" w:rsidRDefault="00CB54B1" w:rsidP="00025C00">
                  <w:pPr>
                    <w:pStyle w:val="BodyText"/>
                  </w:pPr>
                  <w:r w:rsidRPr="00392CF8">
                    <w:rPr>
                      <w:b/>
                      <w:bCs/>
                    </w:rPr>
                    <w:t>Outcome 10:</w:t>
                  </w:r>
                  <w:r w:rsidRPr="007B3DCE">
                    <w:t xml:space="preserve"> Aboriginal and Torres Strait Islander adults are not overrepresented in the criminal justice system </w:t>
                  </w:r>
                </w:p>
              </w:tc>
              <w:tc>
                <w:tcPr>
                  <w:tcW w:w="2040" w:type="dxa"/>
                </w:tcPr>
                <w:p w14:paraId="3C49095A" w14:textId="77777777" w:rsidR="00CB54B1" w:rsidRPr="007B3DCE" w:rsidRDefault="00CB54B1" w:rsidP="00392CF8">
                  <w:pPr>
                    <w:jc w:val="right"/>
                  </w:pPr>
                </w:p>
              </w:tc>
            </w:tr>
            <w:tr w:rsidR="00AD4EAB" w:rsidRPr="007B3DCE" w14:paraId="0560C91E" w14:textId="77777777" w:rsidTr="00F30629">
              <w:trPr>
                <w:trHeight w:val="205"/>
              </w:trPr>
              <w:tc>
                <w:tcPr>
                  <w:tcW w:w="7155" w:type="dxa"/>
                </w:tcPr>
                <w:p w14:paraId="1BC9379B" w14:textId="77777777" w:rsidR="00AD4EAB" w:rsidRPr="00974ADB" w:rsidRDefault="00AD4EAB" w:rsidP="00974ADB">
                  <w:pPr>
                    <w:pStyle w:val="ListBullet"/>
                    <w:numPr>
                      <w:ilvl w:val="0"/>
                      <w:numId w:val="17"/>
                    </w:numPr>
                    <w:ind w:left="227" w:hanging="227"/>
                  </w:pPr>
                  <w:r w:rsidRPr="00076C1E">
                    <w:rPr>
                      <w:spacing w:val="-4"/>
                    </w:rPr>
                    <w:t>Ad</w:t>
                  </w:r>
                  <w:r w:rsidRPr="00974ADB">
                    <w:t>ult imprisonment rate (Target 10)*</w:t>
                  </w:r>
                </w:p>
                <w:p w14:paraId="1166FE11" w14:textId="77777777" w:rsidR="00AD4EAB" w:rsidRPr="00974ADB" w:rsidRDefault="00AD4EAB" w:rsidP="00974ADB">
                  <w:pPr>
                    <w:pStyle w:val="ListBullet"/>
                    <w:numPr>
                      <w:ilvl w:val="0"/>
                      <w:numId w:val="17"/>
                    </w:numPr>
                    <w:ind w:left="227" w:hanging="227"/>
                  </w:pPr>
                  <w:r w:rsidRPr="00974ADB">
                    <w:t>People charged by police (10a)*</w:t>
                  </w:r>
                </w:p>
                <w:p w14:paraId="372D93F7" w14:textId="46E804C1" w:rsidR="00AD4EAB" w:rsidRPr="007B3DCE" w:rsidRDefault="00AD4EAB" w:rsidP="00974ADB">
                  <w:pPr>
                    <w:pStyle w:val="ListBullet"/>
                    <w:numPr>
                      <w:ilvl w:val="0"/>
                      <w:numId w:val="17"/>
                    </w:numPr>
                    <w:ind w:left="227" w:hanging="227"/>
                  </w:pPr>
                  <w:r w:rsidRPr="00974ADB">
                    <w:t>Prisoner health (10g)*</w:t>
                  </w:r>
                  <w:r w:rsidR="007E2AFF" w:rsidRPr="00974ADB">
                    <w:t>*</w:t>
                  </w:r>
                </w:p>
              </w:tc>
              <w:tc>
                <w:tcPr>
                  <w:tcW w:w="2040" w:type="dxa"/>
                </w:tcPr>
                <w:p w14:paraId="02115886" w14:textId="77777777" w:rsidR="00235861" w:rsidRDefault="00AD4EAB" w:rsidP="00392CF8">
                  <w:pPr>
                    <w:spacing w:after="0"/>
                    <w:contextualSpacing/>
                    <w:jc w:val="right"/>
                  </w:pPr>
                  <w:r w:rsidRPr="007B3DCE">
                    <w:t>2023</w:t>
                  </w:r>
                </w:p>
                <w:p w14:paraId="0AE9F86D" w14:textId="77777777" w:rsidR="00235861" w:rsidRDefault="00AC4D1B" w:rsidP="00392CF8">
                  <w:pPr>
                    <w:spacing w:after="0"/>
                    <w:contextualSpacing/>
                    <w:jc w:val="right"/>
                  </w:pPr>
                  <w:r>
                    <w:t>2022-23</w:t>
                  </w:r>
                </w:p>
                <w:p w14:paraId="6A9230A3" w14:textId="0086011F" w:rsidR="00AD4EAB" w:rsidRPr="007B3DCE" w:rsidRDefault="00AC4D1B" w:rsidP="00392CF8">
                  <w:pPr>
                    <w:spacing w:after="0"/>
                    <w:contextualSpacing/>
                    <w:jc w:val="right"/>
                  </w:pPr>
                  <w:r>
                    <w:t>2022</w:t>
                  </w:r>
                </w:p>
              </w:tc>
            </w:tr>
            <w:tr w:rsidR="00CB54B1" w:rsidRPr="007B3DCE" w14:paraId="5BDFEDE0" w14:textId="77777777" w:rsidTr="00F30629">
              <w:trPr>
                <w:trHeight w:val="205"/>
              </w:trPr>
              <w:tc>
                <w:tcPr>
                  <w:tcW w:w="7155" w:type="dxa"/>
                </w:tcPr>
                <w:p w14:paraId="584C8009" w14:textId="3D494132" w:rsidR="00CB54B1" w:rsidRPr="00CB54B1" w:rsidRDefault="00CB54B1" w:rsidP="00AD4EAB">
                  <w:pPr>
                    <w:spacing w:line="259" w:lineRule="auto"/>
                  </w:pPr>
                  <w:r w:rsidRPr="007B3DCE">
                    <w:rPr>
                      <w:b/>
                      <w:bCs/>
                    </w:rPr>
                    <w:t>Outcome 11:</w:t>
                  </w:r>
                  <w:r w:rsidRPr="007B3DCE">
                    <w:t xml:space="preserve"> Aboriginal and Torres Strait Islander young people are not overrepresented in the criminal justice system </w:t>
                  </w:r>
                </w:p>
              </w:tc>
              <w:tc>
                <w:tcPr>
                  <w:tcW w:w="2040" w:type="dxa"/>
                </w:tcPr>
                <w:p w14:paraId="09D8C3E5" w14:textId="77777777" w:rsidR="00CB54B1" w:rsidRPr="007B3DCE" w:rsidRDefault="00CB54B1" w:rsidP="00392CF8">
                  <w:pPr>
                    <w:jc w:val="right"/>
                  </w:pPr>
                </w:p>
              </w:tc>
            </w:tr>
            <w:tr w:rsidR="00AD4EAB" w:rsidRPr="007B3DCE" w14:paraId="40708F65" w14:textId="77777777" w:rsidTr="00F30629">
              <w:trPr>
                <w:trHeight w:val="205"/>
              </w:trPr>
              <w:tc>
                <w:tcPr>
                  <w:tcW w:w="7155" w:type="dxa"/>
                </w:tcPr>
                <w:p w14:paraId="1FA54C85" w14:textId="6F2C17BD" w:rsidR="00AD4EAB" w:rsidRPr="00974ADB" w:rsidRDefault="00A863C5" w:rsidP="00974ADB">
                  <w:pPr>
                    <w:pStyle w:val="ListBullet"/>
                    <w:numPr>
                      <w:ilvl w:val="0"/>
                      <w:numId w:val="17"/>
                    </w:numPr>
                    <w:ind w:left="227" w:hanging="227"/>
                  </w:pPr>
                  <w:r w:rsidRPr="00974ADB">
                    <w:t>Y</w:t>
                  </w:r>
                  <w:r w:rsidR="00AD4EAB" w:rsidRPr="00974ADB">
                    <w:t>oung people in detention (Target 11)*</w:t>
                  </w:r>
                </w:p>
                <w:p w14:paraId="23753FE4" w14:textId="7EC64D97" w:rsidR="00AD4EAB" w:rsidRPr="00974ADB" w:rsidRDefault="006A0EF0" w:rsidP="00974ADB">
                  <w:pPr>
                    <w:pStyle w:val="ListBullet"/>
                    <w:numPr>
                      <w:ilvl w:val="0"/>
                      <w:numId w:val="17"/>
                    </w:numPr>
                    <w:ind w:left="227" w:hanging="227"/>
                    <w:rPr>
                      <w:spacing w:val="-2"/>
                    </w:rPr>
                  </w:pPr>
                  <w:r w:rsidRPr="00974ADB">
                    <w:rPr>
                      <w:spacing w:val="-2"/>
                    </w:rPr>
                    <w:t>A</w:t>
                  </w:r>
                  <w:r w:rsidR="00AD4EAB" w:rsidRPr="00974ADB">
                    <w:rPr>
                      <w:spacing w:val="-2"/>
                    </w:rPr>
                    <w:t>lleged young offenders (10–17 years) involved in police proceedings (11c)*</w:t>
                  </w:r>
                </w:p>
                <w:p w14:paraId="6E67CE3D" w14:textId="196044AD" w:rsidR="00AD4EAB" w:rsidRPr="007B3DCE" w:rsidRDefault="006A0EF0" w:rsidP="00974ADB">
                  <w:pPr>
                    <w:pStyle w:val="ListBullet"/>
                    <w:numPr>
                      <w:ilvl w:val="0"/>
                      <w:numId w:val="17"/>
                    </w:numPr>
                    <w:ind w:left="227" w:hanging="227"/>
                  </w:pPr>
                  <w:r w:rsidRPr="00974ADB">
                    <w:t>Y</w:t>
                  </w:r>
                  <w:r w:rsidR="00AD4EAB" w:rsidRPr="00974ADB">
                    <w:t>oung people first coming into youth justice system aged 10-13 (11h)*</w:t>
                  </w:r>
                  <w:r w:rsidR="007E2AFF" w:rsidRPr="00974ADB">
                    <w:t>*</w:t>
                  </w:r>
                </w:p>
              </w:tc>
              <w:tc>
                <w:tcPr>
                  <w:tcW w:w="2040" w:type="dxa"/>
                </w:tcPr>
                <w:p w14:paraId="05383A2A" w14:textId="14083100" w:rsidR="00CB54B1" w:rsidRDefault="00AD4EAB" w:rsidP="000D6D1C">
                  <w:pPr>
                    <w:spacing w:after="0"/>
                    <w:contextualSpacing/>
                    <w:jc w:val="right"/>
                  </w:pPr>
                  <w:r w:rsidRPr="007B3DCE">
                    <w:t>2022</w:t>
                  </w:r>
                  <w:r w:rsidR="001F4B95" w:rsidRPr="00216127">
                    <w:rPr>
                      <w:rStyle w:val="normaltextrun"/>
                      <w:rFonts w:ascii="Arial (Body)" w:hAnsi="Arial (Body)" w:cs="Arial"/>
                      <w:color w:val="000000"/>
                      <w:bdr w:val="none" w:sz="0" w:space="0" w:color="auto" w:frame="1"/>
                    </w:rPr>
                    <w:t>–</w:t>
                  </w:r>
                  <w:r w:rsidRPr="007B3DCE">
                    <w:t>23</w:t>
                  </w:r>
                </w:p>
                <w:p w14:paraId="71E890CA" w14:textId="7EA70EA3" w:rsidR="00CB54B1" w:rsidRDefault="00F616BD" w:rsidP="000D6D1C">
                  <w:pPr>
                    <w:spacing w:after="0"/>
                    <w:contextualSpacing/>
                    <w:jc w:val="right"/>
                  </w:pPr>
                  <w:r w:rsidRPr="007B3DCE">
                    <w:t>2022</w:t>
                  </w:r>
                  <w:r w:rsidRPr="00216127">
                    <w:rPr>
                      <w:rStyle w:val="normaltextrun"/>
                      <w:rFonts w:ascii="Arial (Body)" w:hAnsi="Arial (Body)" w:cs="Arial"/>
                      <w:color w:val="000000"/>
                      <w:bdr w:val="none" w:sz="0" w:space="0" w:color="auto" w:frame="1"/>
                    </w:rPr>
                    <w:t>–</w:t>
                  </w:r>
                  <w:r w:rsidRPr="007B3DCE">
                    <w:t>23</w:t>
                  </w:r>
                </w:p>
                <w:p w14:paraId="6F95F053" w14:textId="77777777" w:rsidR="00235861" w:rsidRDefault="00235861" w:rsidP="000D6D1C">
                  <w:pPr>
                    <w:spacing w:after="0"/>
                    <w:contextualSpacing/>
                    <w:jc w:val="right"/>
                  </w:pPr>
                  <w:r w:rsidRPr="007B3DCE">
                    <w:t>2022</w:t>
                  </w:r>
                  <w:r w:rsidRPr="00216127">
                    <w:rPr>
                      <w:rStyle w:val="normaltextrun"/>
                      <w:rFonts w:ascii="Arial (Body)" w:hAnsi="Arial (Body)" w:cs="Arial"/>
                      <w:color w:val="000000"/>
                      <w:bdr w:val="none" w:sz="0" w:space="0" w:color="auto" w:frame="1"/>
                    </w:rPr>
                    <w:t>–</w:t>
                  </w:r>
                  <w:r w:rsidRPr="007B3DCE">
                    <w:t>23</w:t>
                  </w:r>
                </w:p>
                <w:p w14:paraId="1F5FFCC3" w14:textId="4EF58C82" w:rsidR="00AD4EAB" w:rsidRPr="007B3DCE" w:rsidRDefault="00AD4EAB" w:rsidP="000D6D1C">
                  <w:pPr>
                    <w:spacing w:after="0"/>
                    <w:contextualSpacing/>
                    <w:jc w:val="right"/>
                  </w:pPr>
                </w:p>
              </w:tc>
            </w:tr>
          </w:tbl>
          <w:p w14:paraId="06AE8E1D" w14:textId="77777777" w:rsidR="00AD4EAB" w:rsidRPr="007B3DCE" w:rsidRDefault="00AD4EAB" w:rsidP="000E7DFA">
            <w:pPr>
              <w:pStyle w:val="BoxHeading1"/>
              <w:spacing w:line="360" w:lineRule="auto"/>
              <w:rPr>
                <w:color w:val="FFFFFF"/>
              </w:rPr>
            </w:pPr>
          </w:p>
        </w:tc>
      </w:tr>
      <w:tr w:rsidR="00F30629" w:rsidRPr="007B3DCE" w14:paraId="5D75347B" w14:textId="77777777" w:rsidTr="00F30629">
        <w:trPr>
          <w:trHeight w:val="624"/>
          <w:tblHeader/>
        </w:trPr>
        <w:tc>
          <w:tcPr>
            <w:tcW w:w="9770" w:type="dxa"/>
            <w:tcBorders>
              <w:top w:val="nil"/>
              <w:left w:val="nil"/>
              <w:bottom w:val="nil"/>
              <w:right w:val="nil"/>
            </w:tcBorders>
            <w:shd w:val="clear" w:color="auto" w:fill="EBDDD6" w:themeFill="text1" w:themeFillTint="33"/>
            <w:tcMar>
              <w:top w:w="170" w:type="dxa"/>
              <w:left w:w="170" w:type="dxa"/>
              <w:bottom w:w="113" w:type="dxa"/>
              <w:right w:w="170" w:type="dxa"/>
            </w:tcMar>
          </w:tcPr>
          <w:p w14:paraId="430622E3" w14:textId="7EF31F47" w:rsidR="00F30629" w:rsidRPr="007B3DCE" w:rsidRDefault="00F30629" w:rsidP="00F30629">
            <w:pPr>
              <w:pStyle w:val="Note"/>
              <w:rPr>
                <w:rStyle w:val="BodyTextChar"/>
              </w:rPr>
            </w:pPr>
            <w:r w:rsidRPr="007B3DCE">
              <w:t>Note:</w:t>
            </w:r>
            <w:r>
              <w:t xml:space="preserve"> </w:t>
            </w:r>
            <w:r w:rsidRPr="007B3DCE">
              <w:t xml:space="preserve">* Indicates where </w:t>
            </w:r>
            <w:r w:rsidR="00477A6C">
              <w:t>a</w:t>
            </w:r>
            <w:r w:rsidRPr="007B3DCE">
              <w:t xml:space="preserve"> new</w:t>
            </w:r>
            <w:r w:rsidR="00477A6C">
              <w:t xml:space="preserve"> year of</w:t>
            </w:r>
            <w:r w:rsidRPr="007B3DCE">
              <w:t xml:space="preserve"> data has been published since the 2023 ADCR</w:t>
            </w:r>
            <w:r>
              <w:t xml:space="preserve">. </w:t>
            </w:r>
            <w:r w:rsidR="00457972">
              <w:t xml:space="preserve">** Indicates a new supporting indicator since the 2023 ADCR. </w:t>
            </w:r>
            <w:r>
              <w:t>Data considerations are provided in box 2.22 in this section.</w:t>
            </w:r>
          </w:p>
        </w:tc>
      </w:tr>
      <w:tr w:rsidR="004774FF" w:rsidRPr="007B3DCE" w14:paraId="4192CDD1" w14:textId="77777777" w:rsidTr="00F30629">
        <w:trPr>
          <w:trHeight w:val="98"/>
          <w:hidden/>
        </w:trPr>
        <w:tc>
          <w:tcPr>
            <w:tcW w:w="9770" w:type="dxa"/>
            <w:tcBorders>
              <w:top w:val="nil"/>
            </w:tcBorders>
            <w:shd w:val="clear" w:color="auto" w:fill="auto"/>
            <w:tcMar>
              <w:top w:w="0" w:type="dxa"/>
              <w:left w:w="170" w:type="dxa"/>
              <w:bottom w:w="0" w:type="dxa"/>
              <w:right w:w="170" w:type="dxa"/>
            </w:tcMar>
          </w:tcPr>
          <w:p w14:paraId="519E50E9" w14:textId="2072CBC3" w:rsidR="004774FF" w:rsidRPr="007B3DCE" w:rsidRDefault="004774FF" w:rsidP="009A32EC">
            <w:pPr>
              <w:pStyle w:val="BodyText"/>
              <w:spacing w:before="0" w:after="0" w:line="80" w:lineRule="atLeast"/>
              <w:rPr>
                <w:smallCaps/>
                <w:vanish/>
              </w:rPr>
            </w:pPr>
          </w:p>
        </w:tc>
      </w:tr>
    </w:tbl>
    <w:p w14:paraId="580C5811" w14:textId="77777777" w:rsidR="00ED4784" w:rsidRDefault="00ED4784" w:rsidP="002D3C10">
      <w:pPr>
        <w:pStyle w:val="Heading3"/>
        <w:rPr>
          <w:color w:val="684633" w:themeColor="text1" w:themeShade="BF"/>
          <w:lang w:eastAsia="en-AU"/>
        </w:rPr>
        <w:sectPr w:rsidR="00ED4784" w:rsidSect="005A19E5">
          <w:footerReference w:type="default" r:id="rId97"/>
          <w:type w:val="oddPage"/>
          <w:pgSz w:w="11906" w:h="16838" w:code="9"/>
          <w:pgMar w:top="1134" w:right="1134" w:bottom="1134" w:left="1134" w:header="794" w:footer="510" w:gutter="0"/>
          <w:cols w:space="708"/>
          <w:docGrid w:linePitch="360"/>
        </w:sectPr>
      </w:pPr>
      <w:bookmarkStart w:id="60" w:name="_Toc167878564"/>
    </w:p>
    <w:p w14:paraId="2CDE7851" w14:textId="1B13FF2E" w:rsidR="00E956EF" w:rsidRPr="00C43422" w:rsidRDefault="00E956EF" w:rsidP="002D3C10">
      <w:pPr>
        <w:pStyle w:val="Heading3"/>
        <w:rPr>
          <w:color w:val="684633" w:themeColor="text1" w:themeShade="BF"/>
          <w:lang w:eastAsia="en-AU"/>
        </w:rPr>
      </w:pPr>
      <w:r w:rsidRPr="00C43422">
        <w:rPr>
          <w:color w:val="684633" w:themeColor="text1" w:themeShade="BF"/>
          <w:lang w:eastAsia="en-AU"/>
        </w:rPr>
        <w:lastRenderedPageBreak/>
        <w:t>Outcome 10: Aboriginal and Torres Strait Islander adults are not overrepresented in the criminal justice system</w:t>
      </w:r>
      <w:bookmarkEnd w:id="60"/>
    </w:p>
    <w:p w14:paraId="151977FA" w14:textId="0F210723" w:rsidR="00E956EF" w:rsidRPr="007B3DCE" w:rsidRDefault="00E956EF" w:rsidP="002D3C10">
      <w:pPr>
        <w:pStyle w:val="Heading4"/>
        <w:rPr>
          <w:color w:val="8C5E44" w:themeColor="text1"/>
          <w:lang w:eastAsia="en-AU"/>
        </w:rPr>
      </w:pPr>
      <w:bookmarkStart w:id="61" w:name="_Hlk170257887"/>
      <w:r w:rsidRPr="007B3DCE">
        <w:rPr>
          <w:color w:val="8C5E44" w:themeColor="text1"/>
          <w:lang w:eastAsia="en-AU"/>
        </w:rPr>
        <w:t>Aboriginal and Torres Strait Islander adult</w:t>
      </w:r>
      <w:r w:rsidR="00356726" w:rsidRPr="007B3DCE">
        <w:rPr>
          <w:color w:val="8C5E44" w:themeColor="text1"/>
          <w:lang w:eastAsia="en-AU"/>
        </w:rPr>
        <w:t>s</w:t>
      </w:r>
      <w:r w:rsidRPr="007B3DCE">
        <w:rPr>
          <w:color w:val="8C5E44" w:themeColor="text1"/>
          <w:lang w:eastAsia="en-AU"/>
        </w:rPr>
        <w:t xml:space="preserve"> are being incarcerated at an increased rate and</w:t>
      </w:r>
      <w:r w:rsidR="00B57515" w:rsidRPr="007B3DCE">
        <w:rPr>
          <w:color w:val="8C5E44" w:themeColor="text1"/>
          <w:lang w:eastAsia="en-AU"/>
        </w:rPr>
        <w:t xml:space="preserve"> </w:t>
      </w:r>
      <w:r w:rsidRPr="007B3DCE">
        <w:rPr>
          <w:color w:val="8C5E44" w:themeColor="text1"/>
          <w:lang w:eastAsia="en-AU"/>
        </w:rPr>
        <w:t xml:space="preserve">the target is not on track to be met </w:t>
      </w:r>
      <w:r w:rsidR="00E9692D" w:rsidRPr="007B3DCE">
        <w:rPr>
          <w:color w:val="8C5E44" w:themeColor="text1"/>
          <w:lang w:eastAsia="en-AU"/>
        </w:rPr>
        <w:t>by 2031</w:t>
      </w:r>
    </w:p>
    <w:bookmarkEnd w:id="61"/>
    <w:p w14:paraId="44FE3EF4" w14:textId="328928B1" w:rsidR="00300AAC" w:rsidRPr="00216127" w:rsidRDefault="00E956EF" w:rsidP="00C2231D">
      <w:pPr>
        <w:pStyle w:val="BodyText"/>
      </w:pPr>
      <w:r w:rsidRPr="00216127">
        <w:t xml:space="preserve">Nationally, </w:t>
      </w:r>
      <w:r w:rsidR="00CC1471" w:rsidRPr="00216127">
        <w:t>the rate of Aboriginal and Torres Strait Islander adults being incarcerated is increasing</w:t>
      </w:r>
      <w:r w:rsidR="00E54934" w:rsidRPr="00216127">
        <w:t xml:space="preserve"> and the target, which seeks a 15% reduction by 2031, is not on track to be met</w:t>
      </w:r>
      <w:r w:rsidR="005C7161" w:rsidRPr="00216127">
        <w:t xml:space="preserve"> (figure</w:t>
      </w:r>
      <w:r w:rsidR="00866EEF" w:rsidRPr="00216127">
        <w:t xml:space="preserve"> 2.2</w:t>
      </w:r>
      <w:r w:rsidR="00A75849" w:rsidRPr="00216127">
        <w:t>3</w:t>
      </w:r>
      <w:r w:rsidR="00866EEF" w:rsidRPr="00216127">
        <w:t>)</w:t>
      </w:r>
      <w:r w:rsidR="00E54934" w:rsidRPr="00216127">
        <w:t>. A</w:t>
      </w:r>
      <w:r w:rsidRPr="00216127">
        <w:t xml:space="preserve">s of 30 June 2023, the age-standardised rate of Aboriginal and Torres Strait Islander prisoners was 2,265.8 per 100,000 adult population. This is an increase from the previous year (2,151.1 per 100,000 adult population) </w:t>
      </w:r>
      <w:r w:rsidR="3501905E" w:rsidRPr="00216127">
        <w:t xml:space="preserve">as well as the baseline year </w:t>
      </w:r>
      <w:r w:rsidR="529119DF" w:rsidRPr="00216127">
        <w:t>(</w:t>
      </w:r>
      <w:r w:rsidRPr="00216127">
        <w:t>2,142.9 per 100,000 adult population in 2019</w:t>
      </w:r>
      <w:r w:rsidR="06427DAF" w:rsidRPr="00216127">
        <w:t>)</w:t>
      </w:r>
      <w:r w:rsidRPr="00216127">
        <w:t>.</w:t>
      </w:r>
      <w:r w:rsidR="00157489" w:rsidRPr="00216127" w:rsidDel="00157489">
        <w:t xml:space="preserve"> </w:t>
      </w:r>
      <w:r w:rsidRPr="00216127">
        <w:t>In 2023, the age</w:t>
      </w:r>
      <w:r w:rsidR="0013275D" w:rsidRPr="00216127">
        <w:noBreakHyphen/>
      </w:r>
      <w:r w:rsidRPr="00216127">
        <w:t>standardised rate of imprisonment for Aboriginal and Torres</w:t>
      </w:r>
      <w:r w:rsidR="00E9511A">
        <w:t xml:space="preserve"> Strait</w:t>
      </w:r>
      <w:r w:rsidRPr="00216127">
        <w:t xml:space="preserve"> Islander adults was 15.2 times higher than </w:t>
      </w:r>
      <w:r w:rsidR="7520E539" w:rsidRPr="00216127">
        <w:t xml:space="preserve">for </w:t>
      </w:r>
      <w:r w:rsidRPr="00216127">
        <w:t xml:space="preserve">non-Indigenous adults, compared to 12.5 times higher in 2019. </w:t>
      </w:r>
    </w:p>
    <w:p w14:paraId="183865D3" w14:textId="6EDFE43E" w:rsidR="00E956EF" w:rsidRPr="007B3DCE" w:rsidRDefault="00E956EF" w:rsidP="00E956EF">
      <w:pPr>
        <w:pStyle w:val="FigureTableHeading"/>
        <w:rPr>
          <w:color w:val="684633" w:themeColor="text1" w:themeShade="BF"/>
        </w:rPr>
      </w:pPr>
      <w:r w:rsidRPr="007B3DCE">
        <w:rPr>
          <w:color w:val="684633" w:themeColor="text1" w:themeShade="BF"/>
        </w:rPr>
        <w:t xml:space="preserve">Figure </w:t>
      </w:r>
      <w:r w:rsidR="00A23FF2" w:rsidRPr="007B3DCE">
        <w:rPr>
          <w:color w:val="684633" w:themeColor="text1" w:themeShade="BF"/>
        </w:rPr>
        <w:t>2</w:t>
      </w:r>
      <w:r w:rsidR="001D6EEF" w:rsidRPr="007B3DCE">
        <w:rPr>
          <w:color w:val="684633" w:themeColor="text1" w:themeShade="BF"/>
        </w:rPr>
        <w:t>.</w:t>
      </w:r>
      <w:r w:rsidR="0036545D" w:rsidRPr="007B3DCE">
        <w:rPr>
          <w:color w:val="684633" w:themeColor="text1" w:themeShade="BF"/>
        </w:rPr>
        <w:t>23</w:t>
      </w:r>
      <w:r w:rsidRPr="007B3DCE">
        <w:rPr>
          <w:color w:val="684633" w:themeColor="text1" w:themeShade="BF"/>
        </w:rPr>
        <w:t xml:space="preserve"> – </w:t>
      </w:r>
      <w:r w:rsidR="04666C72" w:rsidRPr="007B3DCE">
        <w:rPr>
          <w:color w:val="684633" w:themeColor="text1" w:themeShade="BF"/>
        </w:rPr>
        <w:t>National a</w:t>
      </w:r>
      <w:r w:rsidRPr="007B3DCE">
        <w:rPr>
          <w:color w:val="684633" w:themeColor="text1" w:themeShade="BF"/>
        </w:rPr>
        <w:t>ge-standardised imprisonment rates</w:t>
      </w:r>
      <w:r w:rsidR="00B864FF" w:rsidRPr="007B3DCE">
        <w:rPr>
          <w:rFonts w:ascii="Arial Black" w:hAnsi="Arial Black"/>
          <w:color w:val="684633" w:themeColor="text1" w:themeShade="BF"/>
          <w:vertAlign w:val="superscript"/>
        </w:rPr>
        <w:t>a</w:t>
      </w:r>
      <w:r w:rsidR="00A1077F" w:rsidRPr="007B3DCE">
        <w:rPr>
          <w:rFonts w:ascii="Arial Black" w:hAnsi="Arial Black"/>
          <w:color w:val="684633" w:themeColor="text1" w:themeShade="BF"/>
          <w:vertAlign w:val="superscript"/>
        </w:rPr>
        <w:t>,b</w:t>
      </w:r>
      <w:r w:rsidR="00B864FF" w:rsidRPr="007B3DCE">
        <w:rPr>
          <w:color w:val="684633" w:themeColor="text1" w:themeShade="BF"/>
        </w:rPr>
        <w:t xml:space="preserve"> </w:t>
      </w:r>
    </w:p>
    <w:p w14:paraId="6CD2D56B" w14:textId="77777777" w:rsidR="00307FD8" w:rsidRDefault="0013275D" w:rsidP="00B864FF">
      <w:pPr>
        <w:pStyle w:val="Note"/>
        <w:rPr>
          <w:rFonts w:asciiTheme="majorHAnsi" w:hAnsiTheme="majorHAnsi"/>
          <w:color w:val="8C5E44" w:themeColor="text1"/>
          <w:sz w:val="20"/>
        </w:rPr>
      </w:pPr>
      <w:r w:rsidRPr="007B3DCE">
        <w:rPr>
          <w:rFonts w:asciiTheme="majorHAnsi" w:hAnsiTheme="majorHAnsi"/>
          <w:color w:val="8C5E44" w:themeColor="text1"/>
          <w:sz w:val="20"/>
        </w:rPr>
        <w:t xml:space="preserve">Age-standardised </w:t>
      </w:r>
      <w:r w:rsidR="204D34A0" w:rsidRPr="007B3DCE">
        <w:rPr>
          <w:rFonts w:asciiTheme="majorHAnsi" w:hAnsiTheme="majorHAnsi"/>
          <w:color w:val="8C5E44" w:themeColor="text1"/>
          <w:sz w:val="20"/>
        </w:rPr>
        <w:t xml:space="preserve">imprisonment </w:t>
      </w:r>
      <w:r w:rsidRPr="007B3DCE">
        <w:rPr>
          <w:rFonts w:asciiTheme="majorHAnsi" w:hAnsiTheme="majorHAnsi"/>
          <w:color w:val="8C5E44" w:themeColor="text1"/>
          <w:sz w:val="20"/>
        </w:rPr>
        <w:t>rate per 100,000</w:t>
      </w:r>
      <w:r w:rsidR="007435EC" w:rsidRPr="007B3DCE">
        <w:rPr>
          <w:rFonts w:asciiTheme="majorHAnsi" w:hAnsiTheme="majorHAnsi"/>
          <w:color w:val="8C5E44" w:themeColor="text1"/>
          <w:sz w:val="20"/>
        </w:rPr>
        <w:t xml:space="preserve"> Aboriginal and </w:t>
      </w:r>
      <w:r w:rsidR="006C2616" w:rsidRPr="007B3DCE">
        <w:rPr>
          <w:rFonts w:asciiTheme="majorHAnsi" w:hAnsiTheme="majorHAnsi"/>
          <w:color w:val="8C5E44" w:themeColor="text1"/>
          <w:sz w:val="20"/>
        </w:rPr>
        <w:t xml:space="preserve">Torres Strait </w:t>
      </w:r>
      <w:r w:rsidR="00E31221" w:rsidRPr="007B3DCE">
        <w:rPr>
          <w:rFonts w:asciiTheme="majorHAnsi" w:hAnsiTheme="majorHAnsi"/>
          <w:color w:val="8C5E44" w:themeColor="text1"/>
          <w:sz w:val="20"/>
        </w:rPr>
        <w:t xml:space="preserve">Islander people </w:t>
      </w:r>
      <w:r w:rsidR="3B00F9F0" w:rsidRPr="007B3DCE">
        <w:rPr>
          <w:rFonts w:asciiTheme="majorHAnsi" w:hAnsiTheme="majorHAnsi"/>
          <w:color w:val="8C5E44" w:themeColor="text1"/>
          <w:sz w:val="20"/>
        </w:rPr>
        <w:t xml:space="preserve">aged 18 years </w:t>
      </w:r>
      <w:r w:rsidR="00351119" w:rsidRPr="007B3DCE">
        <w:rPr>
          <w:rFonts w:asciiTheme="majorHAnsi" w:hAnsiTheme="majorHAnsi"/>
          <w:color w:val="8C5E44" w:themeColor="text1"/>
          <w:sz w:val="20"/>
        </w:rPr>
        <w:t>or over</w:t>
      </w:r>
    </w:p>
    <w:p w14:paraId="648FD7B3" w14:textId="2809E4F1" w:rsidR="00307FD8" w:rsidRDefault="008D4A13" w:rsidP="00B864FF">
      <w:pPr>
        <w:pStyle w:val="Note"/>
        <w:rPr>
          <w:rFonts w:asciiTheme="majorHAnsi" w:hAnsiTheme="majorHAnsi"/>
          <w:color w:val="8C5E44" w:themeColor="text1"/>
          <w:sz w:val="20"/>
        </w:rPr>
      </w:pPr>
      <w:r w:rsidRPr="008D4A13">
        <w:rPr>
          <w:noProof/>
        </w:rPr>
        <w:drawing>
          <wp:inline distT="0" distB="0" distL="0" distR="0" wp14:anchorId="64C6EE3D" wp14:editId="0DC1C698">
            <wp:extent cx="6120130" cy="2667635"/>
            <wp:effectExtent l="0" t="0" r="0" b="0"/>
            <wp:docPr id="233638631" name="Picture 192" descr="Figure 2.23 is a line chart that shows the national age-standardised imprisonment rate per 100,000 Aboriginal and Torres Strait Islander people aged 18 years or over from 2008 to 2022, with projections to 2031. &#10;The chart shows a steady increase in the actual imprisonment rate over the years, with projections indicating a potential further increase if current trends continue. The shaded area represents 95% confidence intervals for the linear regression estimates, highlighting the gap between actual and target r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38631" name="Picture 192" descr="Figure 2.23 is a line chart that shows the national age-standardised imprisonment rate per 100,000 Aboriginal and Torres Strait Islander people aged 18 years or over from 2008 to 2022, with projections to 2031. &#10;The chart shows a steady increase in the actual imprisonment rate over the years, with projections indicating a potential further increase if current trends continue. The shaded area represents 95% confidence intervals for the linear regression estimates, highlighting the gap between actual and target rates.&#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2667635"/>
                    </a:xfrm>
                    <a:prstGeom prst="rect">
                      <a:avLst/>
                    </a:prstGeom>
                    <a:noFill/>
                    <a:ln>
                      <a:noFill/>
                    </a:ln>
                  </pic:spPr>
                </pic:pic>
              </a:graphicData>
            </a:graphic>
          </wp:inline>
        </w:drawing>
      </w:r>
    </w:p>
    <w:p w14:paraId="32E59F51" w14:textId="7CABA55D" w:rsidR="00815790" w:rsidRPr="007B3DCE" w:rsidRDefault="00815790" w:rsidP="00B864FF">
      <w:pPr>
        <w:pStyle w:val="Note"/>
        <w:rPr>
          <w:bCs/>
        </w:rPr>
      </w:pPr>
      <w:r w:rsidRPr="007B3DCE">
        <w:rPr>
          <w:b/>
        </w:rPr>
        <w:t>a</w:t>
      </w:r>
      <w:r w:rsidR="00993396" w:rsidRPr="007B3DCE">
        <w:rPr>
          <w:b/>
        </w:rPr>
        <w:t xml:space="preserve">. </w:t>
      </w:r>
      <w:r w:rsidR="00E956EF" w:rsidRPr="007B3DCE">
        <w:t xml:space="preserve">In Queensland, prior to 2018, </w:t>
      </w:r>
      <w:r w:rsidR="000C20D3" w:rsidRPr="007B3DCE">
        <w:t>‘</w:t>
      </w:r>
      <w:r w:rsidR="00E956EF" w:rsidRPr="007B3DCE">
        <w:t>adult</w:t>
      </w:r>
      <w:r w:rsidR="000C20D3" w:rsidRPr="007B3DCE">
        <w:t>’</w:t>
      </w:r>
      <w:r w:rsidR="00E956EF" w:rsidRPr="007B3DCE">
        <w:t xml:space="preserve"> referred to people aged 17 years or over. From February 2018 onwards, people aged 17 years </w:t>
      </w:r>
      <w:r w:rsidR="00786261">
        <w:t>were</w:t>
      </w:r>
      <w:r w:rsidR="00E956EF" w:rsidRPr="007B3DCE">
        <w:t xml:space="preserve"> being transitioned from adult correctional facilities into the Queensland juvenile justice system over a two-year period. In 2019, there were no 17-year-olds in Queensland adult correctional facilities.</w:t>
      </w:r>
      <w:r w:rsidR="00546B47">
        <w:rPr>
          <w:b/>
          <w:bCs/>
        </w:rPr>
        <w:t xml:space="preserve"> </w:t>
      </w:r>
      <w:r w:rsidR="00A1077F" w:rsidRPr="007B3DCE">
        <w:rPr>
          <w:b/>
          <w:bCs/>
        </w:rPr>
        <w:t>b.</w:t>
      </w:r>
      <w:r w:rsidRPr="007B3DCE">
        <w:rPr>
          <w:b/>
        </w:rPr>
        <w:t xml:space="preserve"> </w:t>
      </w:r>
      <w:r w:rsidR="00C87816" w:rsidRPr="007B3DCE">
        <w:rPr>
          <w:bCs/>
        </w:rPr>
        <w:t>T</w:t>
      </w:r>
      <w:r w:rsidRPr="007B3DCE">
        <w:rPr>
          <w:bCs/>
        </w:rPr>
        <w:t>he shaded area represents 95% confidence intervals for the linear regression estimates.</w:t>
      </w:r>
    </w:p>
    <w:p w14:paraId="7DF0F912" w14:textId="68C1CD03" w:rsidR="001765F4" w:rsidRPr="007B3DCE" w:rsidRDefault="00EB38DB" w:rsidP="00F63ECB">
      <w:pPr>
        <w:pStyle w:val="Source"/>
      </w:pPr>
      <w:r>
        <w:t xml:space="preserve">Source: Derived from ABS Prisoners in Australia </w:t>
      </w:r>
    </w:p>
    <w:p w14:paraId="09232523" w14:textId="73F24524" w:rsidR="001D6EEF" w:rsidRPr="007B3DCE" w:rsidRDefault="00157489" w:rsidP="001D6EEF">
      <w:pPr>
        <w:pStyle w:val="BodyText"/>
      </w:pPr>
      <w:r w:rsidRPr="007B3DCE">
        <w:t>O</w:t>
      </w:r>
      <w:r w:rsidR="00D01D3F" w:rsidRPr="007B3DCE">
        <w:t>nly Victoria and the A</w:t>
      </w:r>
      <w:r w:rsidR="0011440F" w:rsidRPr="007B3DCE">
        <w:t xml:space="preserve">ustralian </w:t>
      </w:r>
      <w:r w:rsidR="00D01D3F" w:rsidRPr="007B3DCE">
        <w:t>C</w:t>
      </w:r>
      <w:r w:rsidR="0011440F" w:rsidRPr="007B3DCE">
        <w:t xml:space="preserve">apital </w:t>
      </w:r>
      <w:r w:rsidR="00D01D3F" w:rsidRPr="007B3DCE">
        <w:t>T</w:t>
      </w:r>
      <w:r w:rsidR="0011440F" w:rsidRPr="007B3DCE">
        <w:t>erri</w:t>
      </w:r>
      <w:r w:rsidR="4F9618E4" w:rsidRPr="007B3DCE">
        <w:t>t</w:t>
      </w:r>
      <w:r w:rsidR="0011440F" w:rsidRPr="007B3DCE">
        <w:t>o</w:t>
      </w:r>
      <w:r w:rsidR="117F0EFB" w:rsidRPr="007B3DCE">
        <w:t>r</w:t>
      </w:r>
      <w:r w:rsidR="0011440F" w:rsidRPr="007B3DCE">
        <w:t>y</w:t>
      </w:r>
      <w:r w:rsidR="00D01D3F" w:rsidRPr="007B3DCE">
        <w:t xml:space="preserve"> </w:t>
      </w:r>
      <w:r w:rsidR="00B8745B" w:rsidRPr="007B3DCE">
        <w:t xml:space="preserve">have </w:t>
      </w:r>
      <w:r w:rsidR="00D01D3F" w:rsidRPr="007B3DCE">
        <w:t>see</w:t>
      </w:r>
      <w:r w:rsidR="00B8745B" w:rsidRPr="007B3DCE">
        <w:t>n</w:t>
      </w:r>
      <w:r w:rsidR="00D01D3F" w:rsidRPr="007B3DCE">
        <w:t xml:space="preserve"> a reduction in the rate of imprisonment</w:t>
      </w:r>
      <w:r w:rsidR="64FD4905" w:rsidRPr="007B3DCE">
        <w:t xml:space="preserve"> between 2019 and 2023 (figure 2.2</w:t>
      </w:r>
      <w:r w:rsidR="00A75849" w:rsidRPr="007B3DCE">
        <w:t>4</w:t>
      </w:r>
      <w:r w:rsidR="64FD4905" w:rsidRPr="007B3DCE">
        <w:t>)</w:t>
      </w:r>
      <w:r w:rsidR="00D01D3F" w:rsidRPr="007B3DCE">
        <w:t xml:space="preserve">. </w:t>
      </w:r>
      <w:r w:rsidR="00B8745B" w:rsidRPr="007B3DCE">
        <w:t xml:space="preserve">There has been no </w:t>
      </w:r>
      <w:r w:rsidR="7A72F5D4" w:rsidRPr="007B3DCE">
        <w:t xml:space="preserve">significant </w:t>
      </w:r>
      <w:r w:rsidR="00B8745B" w:rsidRPr="007B3DCE">
        <w:t xml:space="preserve">change in </w:t>
      </w:r>
      <w:r w:rsidR="004A2D33" w:rsidRPr="007B3DCE">
        <w:t xml:space="preserve">New South Wales, Western Australia and South Australia, while </w:t>
      </w:r>
      <w:r w:rsidR="001F3CB9">
        <w:t>trends have worsened in</w:t>
      </w:r>
      <w:r w:rsidR="004A2D33" w:rsidRPr="007B3DCE">
        <w:t xml:space="preserve"> the rema</w:t>
      </w:r>
      <w:r w:rsidR="002241F4" w:rsidRPr="007B3DCE">
        <w:t>i</w:t>
      </w:r>
      <w:r w:rsidR="004A2D33" w:rsidRPr="007B3DCE">
        <w:t>ning jurisdictions</w:t>
      </w:r>
      <w:r w:rsidR="00084F56" w:rsidRPr="007B3DCE">
        <w:t>.</w:t>
      </w:r>
    </w:p>
    <w:p w14:paraId="3A44B233" w14:textId="16386613" w:rsidR="00E956EF" w:rsidRPr="007B3DCE" w:rsidRDefault="00E956EF" w:rsidP="00E956EF">
      <w:pPr>
        <w:pStyle w:val="FigureTableHeading"/>
        <w:rPr>
          <w:color w:val="684633" w:themeColor="text1" w:themeShade="BF"/>
        </w:rPr>
      </w:pPr>
      <w:r w:rsidRPr="007B3DCE">
        <w:rPr>
          <w:color w:val="684633" w:themeColor="text1" w:themeShade="BF"/>
        </w:rPr>
        <w:lastRenderedPageBreak/>
        <w:t>Figure 2</w:t>
      </w:r>
      <w:r w:rsidR="001D6EEF" w:rsidRPr="007B3DCE">
        <w:rPr>
          <w:color w:val="684633" w:themeColor="text1" w:themeShade="BF"/>
        </w:rPr>
        <w:t>.</w:t>
      </w:r>
      <w:r w:rsidR="0036545D" w:rsidRPr="007B3DCE">
        <w:rPr>
          <w:color w:val="684633" w:themeColor="text1" w:themeShade="BF"/>
        </w:rPr>
        <w:t>24</w:t>
      </w:r>
      <w:r w:rsidRPr="007B3DCE">
        <w:rPr>
          <w:color w:val="684633" w:themeColor="text1" w:themeShade="BF"/>
        </w:rPr>
        <w:t xml:space="preserve"> – </w:t>
      </w:r>
      <w:r w:rsidR="00652A94" w:rsidRPr="007B3DCE">
        <w:rPr>
          <w:color w:val="684633" w:themeColor="text1" w:themeShade="BF"/>
        </w:rPr>
        <w:t>Imprisonment</w:t>
      </w:r>
      <w:r w:rsidR="6470D552" w:rsidRPr="007B3DCE">
        <w:rPr>
          <w:color w:val="684633" w:themeColor="text1" w:themeShade="BF"/>
        </w:rPr>
        <w:t xml:space="preserve"> rates by jurisdiction</w:t>
      </w:r>
    </w:p>
    <w:p w14:paraId="7CF525E1" w14:textId="7B2FB1E4" w:rsidR="00E956EF" w:rsidRDefault="00E956EF" w:rsidP="004A0233">
      <w:pPr>
        <w:pStyle w:val="FigureTableSubheading"/>
        <w:rPr>
          <w:color w:val="8C5E44" w:themeColor="text1"/>
        </w:rPr>
      </w:pPr>
      <w:r w:rsidRPr="007B3DCE">
        <w:rPr>
          <w:color w:val="8C5E44" w:themeColor="text1"/>
        </w:rPr>
        <w:t xml:space="preserve">Age-standardised imprisonment rate per 100,000 Aboriginal and Torres Strait Islander people </w:t>
      </w:r>
      <w:r w:rsidR="596339C1" w:rsidRPr="007B3DCE">
        <w:rPr>
          <w:color w:val="8C5E44" w:themeColor="text1"/>
        </w:rPr>
        <w:t xml:space="preserve">aged 18 years </w:t>
      </w:r>
      <w:r w:rsidR="008B5CDC" w:rsidRPr="007B3DCE">
        <w:rPr>
          <w:color w:val="8C5E44" w:themeColor="text1"/>
        </w:rPr>
        <w:t>or over</w:t>
      </w:r>
    </w:p>
    <w:p w14:paraId="1576A7E1" w14:textId="453CA349" w:rsidR="00180D7D" w:rsidRDefault="0071031C" w:rsidP="004A0233">
      <w:pPr>
        <w:pStyle w:val="FigureTableSubheading"/>
        <w:rPr>
          <w:color w:val="8C5E44" w:themeColor="text1"/>
        </w:rPr>
      </w:pPr>
      <w:r w:rsidRPr="0071031C">
        <w:rPr>
          <w:noProof/>
        </w:rPr>
        <w:drawing>
          <wp:inline distT="0" distB="0" distL="0" distR="0" wp14:anchorId="319771F0" wp14:editId="14DD209E">
            <wp:extent cx="6120130" cy="2581359"/>
            <wp:effectExtent l="0" t="0" r="0" b="0"/>
            <wp:docPr id="1205075556" name="Picture 194" descr="Figure 2.24 is a column chart that shows the age-standardised imprisonment rate per 100,000 Aboriginal and Torres Strait Islander people aged 18 years or over by jurisdiction from 2019 to 2023. The chart indicates higher imprisonment rates in Western Australia and the Northern Territory, with notable increases in some states like Queensland. The national trend shows an overall increase in imprisonment rates across most juris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75556" name="Picture 194" descr="Figure 2.24 is a column chart that shows the age-standardised imprisonment rate per 100,000 Aboriginal and Torres Strait Islander people aged 18 years or over by jurisdiction from 2019 to 2023. The chart indicates higher imprisonment rates in Western Australia and the Northern Territory, with notable increases in some states like Queensland. The national trend shows an overall increase in imprisonment rates across most jurisdictions."/>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0203"/>
                    <a:stretch/>
                  </pic:blipFill>
                  <pic:spPr bwMode="auto">
                    <a:xfrm>
                      <a:off x="0" y="0"/>
                      <a:ext cx="6120130" cy="2581359"/>
                    </a:xfrm>
                    <a:prstGeom prst="rect">
                      <a:avLst/>
                    </a:prstGeom>
                    <a:noFill/>
                    <a:ln>
                      <a:noFill/>
                    </a:ln>
                    <a:extLst>
                      <a:ext uri="{53640926-AAD7-44D8-BBD7-CCE9431645EC}">
                        <a14:shadowObscured xmlns:a14="http://schemas.microsoft.com/office/drawing/2010/main"/>
                      </a:ext>
                    </a:extLst>
                  </pic:spPr>
                </pic:pic>
              </a:graphicData>
            </a:graphic>
          </wp:inline>
        </w:drawing>
      </w:r>
    </w:p>
    <w:p w14:paraId="71FAF391" w14:textId="2083E2B8" w:rsidR="00842BC7" w:rsidRDefault="009A06C1" w:rsidP="009A06C1">
      <w:pPr>
        <w:pStyle w:val="Source"/>
      </w:pPr>
      <w:r>
        <w:t>Source: ABS Prisoners in Australia</w:t>
      </w:r>
    </w:p>
    <w:p w14:paraId="7DC8972D" w14:textId="06B47F0F" w:rsidR="00E956EF" w:rsidRPr="00E9267B" w:rsidRDefault="3C8AFBA6" w:rsidP="003F4929">
      <w:pPr>
        <w:pStyle w:val="Heading4"/>
        <w:spacing w:before="480" w:line="276" w:lineRule="auto"/>
        <w:rPr>
          <w:rFonts w:ascii="Arial (Body)" w:hAnsi="Arial (Body)" w:cs="Arial" w:hint="eastAsia"/>
          <w:color w:val="684633"/>
        </w:rPr>
      </w:pPr>
      <w:r w:rsidRPr="00E9267B">
        <w:rPr>
          <w:color w:val="684633"/>
        </w:rPr>
        <w:t xml:space="preserve">Male </w:t>
      </w:r>
      <w:r w:rsidR="00E956EF" w:rsidRPr="00E9267B">
        <w:rPr>
          <w:color w:val="684633"/>
        </w:rPr>
        <w:t>imprisonment</w:t>
      </w:r>
      <w:r w:rsidR="0CBFFD22" w:rsidRPr="00E9267B">
        <w:rPr>
          <w:color w:val="684633"/>
        </w:rPr>
        <w:t xml:space="preserve">, </w:t>
      </w:r>
      <w:r w:rsidR="001D4835" w:rsidRPr="00E9267B">
        <w:rPr>
          <w:color w:val="684633"/>
        </w:rPr>
        <w:t xml:space="preserve">particularly </w:t>
      </w:r>
      <w:r w:rsidR="0CBFFD22" w:rsidRPr="00E9267B">
        <w:rPr>
          <w:color w:val="684633"/>
        </w:rPr>
        <w:t>among 40 to 49 year old</w:t>
      </w:r>
      <w:r w:rsidR="003B033C" w:rsidRPr="00E9267B">
        <w:rPr>
          <w:color w:val="684633"/>
        </w:rPr>
        <w:t>s</w:t>
      </w:r>
      <w:r w:rsidR="0CBFFD22" w:rsidRPr="00E9267B">
        <w:rPr>
          <w:color w:val="684633"/>
        </w:rPr>
        <w:t xml:space="preserve">, </w:t>
      </w:r>
      <w:r w:rsidR="00EB562A" w:rsidRPr="00E9267B">
        <w:rPr>
          <w:color w:val="684633"/>
        </w:rPr>
        <w:t>is driving most of the national increase</w:t>
      </w:r>
      <w:r w:rsidR="00E956EF" w:rsidRPr="00E9267B">
        <w:rPr>
          <w:color w:val="684633"/>
        </w:rPr>
        <w:t xml:space="preserve"> </w:t>
      </w:r>
    </w:p>
    <w:p w14:paraId="19E83FA1" w14:textId="4EC4B30E" w:rsidR="00E956EF" w:rsidRPr="00216127" w:rsidRDefault="00E956EF" w:rsidP="00A13E4B">
      <w:pPr>
        <w:pStyle w:val="BodyText"/>
      </w:pPr>
      <w:r w:rsidRPr="00216127">
        <w:t>While</w:t>
      </w:r>
      <w:r w:rsidR="00B60ED6" w:rsidRPr="00216127">
        <w:t xml:space="preserve"> imprisonment</w:t>
      </w:r>
      <w:r w:rsidRPr="00216127">
        <w:t xml:space="preserve"> rates have increased for both </w:t>
      </w:r>
      <w:r w:rsidR="3FBB31F3" w:rsidRPr="00216127">
        <w:t xml:space="preserve">males </w:t>
      </w:r>
      <w:r w:rsidRPr="00216127">
        <w:t xml:space="preserve">and </w:t>
      </w:r>
      <w:r w:rsidR="0A8E8DC3" w:rsidRPr="00216127">
        <w:t>females</w:t>
      </w:r>
      <w:r w:rsidRPr="00216127">
        <w:t xml:space="preserve">, </w:t>
      </w:r>
      <w:r w:rsidR="00442BCA" w:rsidRPr="00216127">
        <w:t xml:space="preserve">male imprisonment </w:t>
      </w:r>
      <w:r w:rsidRPr="00216127">
        <w:t xml:space="preserve">rates have consistently been higher than </w:t>
      </w:r>
      <w:r w:rsidR="60680572" w:rsidRPr="00216127">
        <w:t>female</w:t>
      </w:r>
      <w:r w:rsidR="00677835" w:rsidRPr="00216127">
        <w:t xml:space="preserve"> rates</w:t>
      </w:r>
      <w:r w:rsidR="0087497C" w:rsidRPr="00216127">
        <w:t xml:space="preserve"> </w:t>
      </w:r>
      <w:r w:rsidRPr="00216127">
        <w:t xml:space="preserve">across all years </w:t>
      </w:r>
      <w:r w:rsidR="00002681" w:rsidRPr="00216127">
        <w:t>and</w:t>
      </w:r>
      <w:r w:rsidR="0087497C" w:rsidRPr="00216127">
        <w:t>, in 2023, were</w:t>
      </w:r>
      <w:r w:rsidR="00002681" w:rsidRPr="00216127">
        <w:t xml:space="preserve"> </w:t>
      </w:r>
      <w:r w:rsidRPr="00216127">
        <w:t>9.7 times higher</w:t>
      </w:r>
      <w:r w:rsidR="00E52B88" w:rsidRPr="00216127">
        <w:t>.</w:t>
      </w:r>
    </w:p>
    <w:p w14:paraId="7DDDB5D6" w14:textId="6CC7F429" w:rsidR="00E956EF" w:rsidRPr="00216127" w:rsidRDefault="00173175" w:rsidP="00A13E4B">
      <w:pPr>
        <w:pStyle w:val="BodyText"/>
      </w:pPr>
      <w:r w:rsidRPr="00216127">
        <w:t>There has been an improvement in imprisonment rates for y</w:t>
      </w:r>
      <w:r w:rsidR="00E956EF" w:rsidRPr="00216127">
        <w:t xml:space="preserve">oung </w:t>
      </w:r>
      <w:r w:rsidR="00843BA4" w:rsidRPr="00216127">
        <w:t>men and women</w:t>
      </w:r>
      <w:r w:rsidR="00E956EF" w:rsidRPr="00216127">
        <w:t xml:space="preserve"> across most states and territories except Queensland, Tasmania, and the Northern Territory. By contrast, older adults </w:t>
      </w:r>
      <w:r w:rsidR="318CD653" w:rsidRPr="00216127">
        <w:t xml:space="preserve">aged </w:t>
      </w:r>
      <w:r w:rsidR="00E956EF" w:rsidRPr="00216127">
        <w:t>40</w:t>
      </w:r>
      <w:r w:rsidR="006359F0" w:rsidRPr="00216127">
        <w:t>–</w:t>
      </w:r>
      <w:r w:rsidR="00E956EF" w:rsidRPr="00216127">
        <w:t xml:space="preserve">49 </w:t>
      </w:r>
      <w:r w:rsidR="00F01629" w:rsidRPr="00216127">
        <w:t xml:space="preserve">years </w:t>
      </w:r>
      <w:r w:rsidR="00E956EF" w:rsidRPr="00216127">
        <w:t>are the main contributors to the increase in imprisonment rate</w:t>
      </w:r>
      <w:r w:rsidR="000753A3" w:rsidRPr="00216127">
        <w:t>s</w:t>
      </w:r>
      <w:r w:rsidR="3B1C45AC" w:rsidRPr="00216127">
        <w:t xml:space="preserve"> </w:t>
      </w:r>
      <w:r w:rsidR="0087497C" w:rsidRPr="00216127">
        <w:t xml:space="preserve">from 2019 to 2023. </w:t>
      </w:r>
    </w:p>
    <w:p w14:paraId="3D95D558" w14:textId="1D6FB128" w:rsidR="00E956EF" w:rsidRPr="00A13E4B" w:rsidRDefault="00E956EF" w:rsidP="00A13E4B">
      <w:pPr>
        <w:pStyle w:val="BodyText"/>
        <w:jc w:val="center"/>
        <w:rPr>
          <w:b/>
          <w:bCs/>
        </w:rPr>
      </w:pPr>
      <w:r w:rsidRPr="00A13E4B">
        <w:rPr>
          <w:b/>
          <w:bCs/>
        </w:rPr>
        <w:t>Nationally</w:t>
      </w:r>
      <w:r w:rsidR="75D344FB" w:rsidRPr="00A13E4B">
        <w:rPr>
          <w:b/>
          <w:bCs/>
        </w:rPr>
        <w:t>, between 2019 and 2023</w:t>
      </w:r>
    </w:p>
    <w:tbl>
      <w:tblPr>
        <w:tblStyle w:val="Texttable-Keyline"/>
        <w:tblW w:w="9841" w:type="dxa"/>
        <w:tblBorders>
          <w:top w:val="single" w:sz="4" w:space="0" w:color="684633" w:themeColor="text1" w:themeShade="BF"/>
          <w:left w:val="single" w:sz="4" w:space="0" w:color="684633" w:themeColor="text1" w:themeShade="BF"/>
          <w:bottom w:val="single" w:sz="4" w:space="0" w:color="684633" w:themeColor="text1" w:themeShade="BF"/>
          <w:right w:val="single" w:sz="4" w:space="0" w:color="684633" w:themeColor="text1" w:themeShade="BF"/>
        </w:tblBorders>
        <w:shd w:val="clear" w:color="auto" w:fill="705035" w:themeFill="background1" w:themeFillShade="F2"/>
        <w:tblLook w:val="04A0" w:firstRow="1" w:lastRow="0" w:firstColumn="1" w:lastColumn="0" w:noHBand="0" w:noVBand="1"/>
      </w:tblPr>
      <w:tblGrid>
        <w:gridCol w:w="4697"/>
        <w:gridCol w:w="5144"/>
      </w:tblGrid>
      <w:tr w:rsidR="00E956EF" w:rsidRPr="007B3DCE" w14:paraId="242DDAB5" w14:textId="77777777" w:rsidTr="0024232D">
        <w:trPr>
          <w:trHeight w:val="1348"/>
        </w:trPr>
        <w:tc>
          <w:tcPr>
            <w:tcW w:w="4697" w:type="dxa"/>
            <w:tcBorders>
              <w:right w:val="nil"/>
            </w:tcBorders>
            <w:shd w:val="clear" w:color="auto" w:fill="EBDDD6" w:themeFill="text1" w:themeFillTint="33"/>
          </w:tcPr>
          <w:p w14:paraId="38265B86" w14:textId="18D9C377" w:rsidR="00E956EF" w:rsidRPr="007B3DCE" w:rsidRDefault="00F63201" w:rsidP="00A13E4B">
            <w:pPr>
              <w:pStyle w:val="BodyText"/>
              <w:jc w:val="center"/>
              <w:rPr>
                <w:rFonts w:ascii="Arial" w:hAnsi="Arial"/>
              </w:rPr>
            </w:pPr>
            <w:r w:rsidRPr="00216127">
              <w:t xml:space="preserve">Imprisonment </w:t>
            </w:r>
            <w:r w:rsidR="6629E8B1" w:rsidRPr="00216127">
              <w:t xml:space="preserve">rates </w:t>
            </w:r>
            <w:r w:rsidRPr="00216127">
              <w:t>of y</w:t>
            </w:r>
            <w:r w:rsidR="00E956EF" w:rsidRPr="00216127">
              <w:t xml:space="preserve">oung </w:t>
            </w:r>
            <w:r w:rsidR="764C0A90" w:rsidRPr="00216127">
              <w:t xml:space="preserve">males </w:t>
            </w:r>
            <w:r w:rsidR="182EE403" w:rsidRPr="00216127">
              <w:t xml:space="preserve">aged </w:t>
            </w:r>
            <w:r w:rsidR="00E956EF" w:rsidRPr="00216127">
              <w:t>18</w:t>
            </w:r>
            <w:r w:rsidR="001A1567" w:rsidRPr="00216127">
              <w:t>–</w:t>
            </w:r>
            <w:r w:rsidR="00E956EF" w:rsidRPr="00216127">
              <w:t>24 and 25</w:t>
            </w:r>
            <w:r w:rsidR="001A1567" w:rsidRPr="00216127">
              <w:t>–</w:t>
            </w:r>
            <w:r w:rsidR="00E956EF" w:rsidRPr="00216127">
              <w:t>29 ha</w:t>
            </w:r>
            <w:r w:rsidR="3D0C304A" w:rsidRPr="00216127">
              <w:t>ve</w:t>
            </w:r>
            <w:r w:rsidR="00E956EF" w:rsidRPr="00216127">
              <w:t xml:space="preserve"> decreased by 379.8 and 113.2 per 100,000</w:t>
            </w:r>
            <w:r w:rsidR="004B73EB" w:rsidRPr="00216127">
              <w:t xml:space="preserve"> respectively</w:t>
            </w:r>
            <w:r w:rsidR="00E956EF" w:rsidRPr="00216127">
              <w:t>.</w:t>
            </w:r>
          </w:p>
        </w:tc>
        <w:tc>
          <w:tcPr>
            <w:tcW w:w="5144" w:type="dxa"/>
            <w:tcBorders>
              <w:top w:val="single" w:sz="4" w:space="0" w:color="684633" w:themeColor="text1" w:themeShade="BF"/>
              <w:left w:val="nil"/>
              <w:bottom w:val="single" w:sz="4" w:space="0" w:color="684633" w:themeColor="text1" w:themeShade="BF"/>
            </w:tcBorders>
            <w:shd w:val="clear" w:color="auto" w:fill="EBDDD6" w:themeFill="text1" w:themeFillTint="33"/>
          </w:tcPr>
          <w:p w14:paraId="3291F341" w14:textId="152FE287" w:rsidR="00E956EF" w:rsidRPr="00216127" w:rsidRDefault="002E11DC" w:rsidP="00A13E4B">
            <w:pPr>
              <w:pStyle w:val="BodyText"/>
              <w:jc w:val="center"/>
            </w:pPr>
            <w:r w:rsidRPr="00216127">
              <w:t xml:space="preserve">Imprisonment </w:t>
            </w:r>
            <w:r w:rsidR="1CACFC1E" w:rsidRPr="00216127">
              <w:t xml:space="preserve">rates </w:t>
            </w:r>
            <w:r w:rsidR="63E90A33" w:rsidRPr="00216127">
              <w:t>of</w:t>
            </w:r>
            <w:r w:rsidRPr="00216127">
              <w:t xml:space="preserve"> y</w:t>
            </w:r>
            <w:r w:rsidR="00E956EF" w:rsidRPr="00216127">
              <w:t xml:space="preserve">oung </w:t>
            </w:r>
            <w:r w:rsidR="35D667B1" w:rsidRPr="00216127">
              <w:t xml:space="preserve">females </w:t>
            </w:r>
            <w:r w:rsidR="7A6469BB" w:rsidRPr="00216127">
              <w:t xml:space="preserve">aged </w:t>
            </w:r>
            <w:r w:rsidR="00E956EF" w:rsidRPr="00216127">
              <w:t>18</w:t>
            </w:r>
            <w:r w:rsidR="00202844" w:rsidRPr="00216127">
              <w:t>–</w:t>
            </w:r>
            <w:r w:rsidR="00E956EF" w:rsidRPr="00216127">
              <w:t>24 and 25</w:t>
            </w:r>
            <w:r w:rsidR="00202844" w:rsidRPr="00216127">
              <w:t>–</w:t>
            </w:r>
            <w:r w:rsidR="00E956EF" w:rsidRPr="00216127">
              <w:t>29</w:t>
            </w:r>
            <w:r w:rsidR="48C02A3D" w:rsidRPr="00216127">
              <w:t xml:space="preserve"> years</w:t>
            </w:r>
            <w:r w:rsidR="00E956EF" w:rsidRPr="00216127">
              <w:t xml:space="preserve"> ha</w:t>
            </w:r>
            <w:r w:rsidR="4E8DD688" w:rsidRPr="00216127">
              <w:t>ve</w:t>
            </w:r>
            <w:r w:rsidR="00E956EF" w:rsidRPr="00216127">
              <w:t xml:space="preserve"> decreased by 24.6 and 50.1 per 100,000, respectively.</w:t>
            </w:r>
          </w:p>
        </w:tc>
      </w:tr>
    </w:tbl>
    <w:p w14:paraId="0E2C2048" w14:textId="4DA3D47D" w:rsidR="00E956EF" w:rsidRPr="00A13E4B" w:rsidRDefault="00E956EF" w:rsidP="00A13E4B">
      <w:pPr>
        <w:pStyle w:val="BodyText"/>
        <w:jc w:val="center"/>
        <w:rPr>
          <w:b/>
          <w:bCs/>
        </w:rPr>
      </w:pPr>
      <w:r w:rsidRPr="00A13E4B">
        <w:rPr>
          <w:b/>
          <w:bCs/>
        </w:rPr>
        <w:t>Nationally</w:t>
      </w:r>
      <w:r w:rsidR="00B54BFA" w:rsidRPr="00A13E4B">
        <w:rPr>
          <w:b/>
          <w:bCs/>
        </w:rPr>
        <w:t>, between 2019 and 2023</w:t>
      </w:r>
    </w:p>
    <w:tbl>
      <w:tblPr>
        <w:tblStyle w:val="Texttable-Keyline"/>
        <w:tblW w:w="9776" w:type="dxa"/>
        <w:tblBorders>
          <w:top w:val="single" w:sz="4" w:space="0" w:color="684633" w:themeColor="text1" w:themeShade="BF"/>
          <w:left w:val="single" w:sz="4" w:space="0" w:color="684633" w:themeColor="text1" w:themeShade="BF"/>
          <w:bottom w:val="single" w:sz="4" w:space="0" w:color="684633" w:themeColor="text1" w:themeShade="BF"/>
          <w:right w:val="single" w:sz="4" w:space="0" w:color="684633" w:themeColor="text1" w:themeShade="BF"/>
        </w:tblBorders>
        <w:shd w:val="clear" w:color="auto" w:fill="EBDDD6" w:themeFill="text1" w:themeFillTint="33"/>
        <w:tblLook w:val="04A0" w:firstRow="1" w:lastRow="0" w:firstColumn="1" w:lastColumn="0" w:noHBand="0" w:noVBand="1"/>
      </w:tblPr>
      <w:tblGrid>
        <w:gridCol w:w="4673"/>
        <w:gridCol w:w="5103"/>
      </w:tblGrid>
      <w:tr w:rsidR="00E956EF" w:rsidRPr="007B3DCE" w14:paraId="3B5D86F4" w14:textId="77777777" w:rsidTr="0024232D">
        <w:tc>
          <w:tcPr>
            <w:tcW w:w="4673" w:type="dxa"/>
            <w:tcBorders>
              <w:right w:val="nil"/>
            </w:tcBorders>
            <w:shd w:val="clear" w:color="auto" w:fill="EBDDD6" w:themeFill="text1" w:themeFillTint="33"/>
          </w:tcPr>
          <w:p w14:paraId="4DDF2B6B" w14:textId="4FB9AF36" w:rsidR="00E956EF" w:rsidRPr="007B3DCE" w:rsidRDefault="35998DD5" w:rsidP="00A13E4B">
            <w:pPr>
              <w:pStyle w:val="BodyText"/>
              <w:jc w:val="center"/>
              <w:rPr>
                <w:rFonts w:ascii="Arial" w:hAnsi="Arial"/>
              </w:rPr>
            </w:pPr>
            <w:r w:rsidRPr="00216127">
              <w:t>Males</w:t>
            </w:r>
            <w:r w:rsidR="00E956EF" w:rsidRPr="00216127">
              <w:t xml:space="preserve"> in the 40</w:t>
            </w:r>
            <w:r w:rsidR="00202844" w:rsidRPr="00216127">
              <w:t>–</w:t>
            </w:r>
            <w:r w:rsidR="00E956EF" w:rsidRPr="00216127">
              <w:t>49 age group have the highest rates of imprisonment for all age and sex cohorts, with the imprisonment rates increasing by over 1</w:t>
            </w:r>
            <w:r w:rsidR="000C20D3" w:rsidRPr="00216127">
              <w:t>,</w:t>
            </w:r>
            <w:r w:rsidR="00E956EF" w:rsidRPr="00216127">
              <w:t>000 per 100,00</w:t>
            </w:r>
            <w:r w:rsidR="00A37DE1" w:rsidRPr="00216127">
              <w:t>0</w:t>
            </w:r>
            <w:r w:rsidR="00F60FB1">
              <w:t>.</w:t>
            </w:r>
          </w:p>
        </w:tc>
        <w:tc>
          <w:tcPr>
            <w:tcW w:w="5103" w:type="dxa"/>
            <w:tcBorders>
              <w:top w:val="single" w:sz="4" w:space="0" w:color="684633" w:themeColor="text1" w:themeShade="BF"/>
              <w:left w:val="nil"/>
              <w:bottom w:val="single" w:sz="4" w:space="0" w:color="684633" w:themeColor="text1" w:themeShade="BF"/>
            </w:tcBorders>
            <w:shd w:val="clear" w:color="auto" w:fill="EBDDD6" w:themeFill="text1" w:themeFillTint="33"/>
          </w:tcPr>
          <w:p w14:paraId="059189BB" w14:textId="1BB74918" w:rsidR="00E956EF" w:rsidRPr="00216127" w:rsidRDefault="55A52D08" w:rsidP="00A13E4B">
            <w:pPr>
              <w:pStyle w:val="BodyText"/>
              <w:jc w:val="center"/>
            </w:pPr>
            <w:r w:rsidRPr="00216127">
              <w:t>Females</w:t>
            </w:r>
            <w:r w:rsidR="00E956EF" w:rsidRPr="00216127">
              <w:t xml:space="preserve"> in </w:t>
            </w:r>
            <w:r w:rsidR="282D0C58" w:rsidRPr="00216127">
              <w:t>the 40</w:t>
            </w:r>
            <w:r w:rsidR="00202844" w:rsidRPr="00216127">
              <w:t>–</w:t>
            </w:r>
            <w:r w:rsidR="282D0C58" w:rsidRPr="00216127">
              <w:t>44</w:t>
            </w:r>
            <w:r w:rsidR="00E956EF" w:rsidRPr="00216127">
              <w:t xml:space="preserve"> age group show the highest rates of imprisonment for their sex, with the</w:t>
            </w:r>
            <w:r w:rsidR="00AD21B7" w:rsidRPr="00216127">
              <w:t xml:space="preserve"> imprisonment</w:t>
            </w:r>
            <w:r w:rsidR="00E956EF" w:rsidRPr="00216127">
              <w:t xml:space="preserve"> </w:t>
            </w:r>
            <w:r w:rsidR="5FCE9488" w:rsidRPr="00216127">
              <w:t xml:space="preserve">rate </w:t>
            </w:r>
            <w:r w:rsidR="00E956EF" w:rsidRPr="00216127">
              <w:t>increasing by</w:t>
            </w:r>
            <w:r w:rsidR="00F60FB1">
              <w:br/>
            </w:r>
            <w:r w:rsidR="00E956EF" w:rsidRPr="00216127">
              <w:t>137.6 per 100,000.</w:t>
            </w:r>
          </w:p>
        </w:tc>
      </w:tr>
    </w:tbl>
    <w:p w14:paraId="3E1586A4" w14:textId="77777777" w:rsidR="003F4929" w:rsidRDefault="003F4929">
      <w:pPr>
        <w:spacing w:before="0" w:after="160" w:line="259" w:lineRule="auto"/>
        <w:rPr>
          <w:rFonts w:eastAsiaTheme="majorEastAsia" w:cstheme="majorBidi"/>
          <w:b/>
          <w:color w:val="684633" w:themeColor="text1" w:themeShade="BF"/>
          <w:sz w:val="22"/>
          <w:szCs w:val="29"/>
        </w:rPr>
      </w:pPr>
      <w:r>
        <w:rPr>
          <w:color w:val="684633" w:themeColor="text1" w:themeShade="BF"/>
        </w:rPr>
        <w:br w:type="page"/>
      </w:r>
    </w:p>
    <w:p w14:paraId="0FA9FA83" w14:textId="026BB5E0" w:rsidR="000B3DBE" w:rsidRPr="00C43422" w:rsidRDefault="00E956EF" w:rsidP="002A3FC2">
      <w:pPr>
        <w:pStyle w:val="Heading5"/>
        <w:spacing w:before="480"/>
        <w:rPr>
          <w:color w:val="684633" w:themeColor="text1" w:themeShade="BF"/>
        </w:rPr>
      </w:pPr>
      <w:r w:rsidRPr="00C43422">
        <w:rPr>
          <w:color w:val="684633" w:themeColor="text1" w:themeShade="BF"/>
        </w:rPr>
        <w:lastRenderedPageBreak/>
        <w:t xml:space="preserve">Proportion of Aboriginal and Torres Strait Islander people charged by police </w:t>
      </w:r>
    </w:p>
    <w:p w14:paraId="5ADB3CEB" w14:textId="39A52079" w:rsidR="00985AA5" w:rsidRPr="00C72C0C" w:rsidRDefault="00E956EF" w:rsidP="005A21F7">
      <w:pPr>
        <w:pStyle w:val="BodyText"/>
        <w:spacing w:before="0" w:after="0"/>
      </w:pPr>
      <w:r w:rsidRPr="00C72C0C">
        <w:t xml:space="preserve">Three jurisdictions </w:t>
      </w:r>
      <w:r w:rsidR="009D4020" w:rsidRPr="00C72C0C">
        <w:t>report data on the proportion of Aboriginal and Torres Strait Islander people charged by police</w:t>
      </w:r>
      <w:r w:rsidR="006B3A77" w:rsidRPr="00C72C0C">
        <w:t>:</w:t>
      </w:r>
      <w:r w:rsidR="009D4020" w:rsidRPr="00C72C0C">
        <w:t xml:space="preserve"> </w:t>
      </w:r>
      <w:r w:rsidRPr="00C72C0C" w:rsidDel="00C92EBC">
        <w:t xml:space="preserve">New </w:t>
      </w:r>
      <w:r w:rsidRPr="00C72C0C">
        <w:t xml:space="preserve">South Wales, Queensland and the Australian Capital Territory. </w:t>
      </w:r>
      <w:r w:rsidR="2DAE8F11" w:rsidRPr="00C72C0C">
        <w:t>Between</w:t>
      </w:r>
      <w:r w:rsidRPr="00C72C0C">
        <w:t xml:space="preserve"> 2018-</w:t>
      </w:r>
      <w:r w:rsidR="00596E40" w:rsidRPr="00C72C0C">
        <w:t>19</w:t>
      </w:r>
      <w:r w:rsidR="672BB863" w:rsidRPr="00C72C0C">
        <w:t xml:space="preserve"> and 2022</w:t>
      </w:r>
      <w:r w:rsidR="006B3A77" w:rsidRPr="00C72C0C">
        <w:noBreakHyphen/>
      </w:r>
      <w:r w:rsidR="672BB863" w:rsidRPr="00C72C0C">
        <w:t>23</w:t>
      </w:r>
      <w:r w:rsidR="00C72C0C" w:rsidRPr="00C72C0C">
        <w:t>,</w:t>
      </w:r>
    </w:p>
    <w:tbl>
      <w:tblPr>
        <w:tblStyle w:val="Boxtable"/>
        <w:tblpPr w:leftFromText="180" w:rightFromText="180" w:vertAnchor="page" w:horzAnchor="margin" w:tblpY="2288"/>
        <w:tblW w:w="9639" w:type="dxa"/>
        <w:tblLook w:val="04A0" w:firstRow="1" w:lastRow="0" w:firstColumn="1" w:lastColumn="0" w:noHBand="0" w:noVBand="1"/>
      </w:tblPr>
      <w:tblGrid>
        <w:gridCol w:w="9639"/>
      </w:tblGrid>
      <w:tr w:rsidR="00985AA5" w:rsidRPr="00C72C0C" w14:paraId="1775E4A4" w14:textId="77777777" w:rsidTr="00985AA5">
        <w:trPr>
          <w:trHeight w:val="476"/>
        </w:trPr>
        <w:tc>
          <w:tcPr>
            <w:tcW w:w="9639" w:type="dxa"/>
            <w:shd w:val="clear" w:color="auto" w:fill="684633" w:themeFill="text1" w:themeFillShade="BF"/>
            <w:tcMar>
              <w:top w:w="170" w:type="dxa"/>
              <w:left w:w="170" w:type="dxa"/>
              <w:bottom w:w="113" w:type="dxa"/>
              <w:right w:w="170" w:type="dxa"/>
            </w:tcMar>
            <w:vAlign w:val="center"/>
          </w:tcPr>
          <w:p w14:paraId="27BCF7A9" w14:textId="77777777" w:rsidR="00985AA5" w:rsidRPr="00C72C0C" w:rsidRDefault="00985AA5" w:rsidP="00B175F2">
            <w:pPr>
              <w:pStyle w:val="BoxHeading1"/>
              <w:spacing w:before="0" w:line="360" w:lineRule="auto"/>
            </w:pPr>
            <w:r w:rsidRPr="00D17DC3">
              <w:rPr>
                <w:color w:val="FFFFFF"/>
              </w:rPr>
              <w:t>Box 2.22 – Data considerations: the characteristics of people entering and leaving incarceration presented above is not representative of the entire prison population</w:t>
            </w:r>
          </w:p>
        </w:tc>
      </w:tr>
      <w:tr w:rsidR="00985AA5" w:rsidRPr="00C72C0C" w14:paraId="2DAB790B" w14:textId="77777777" w:rsidTr="00985AA5">
        <w:trPr>
          <w:trHeight w:val="1644"/>
        </w:trPr>
        <w:tc>
          <w:tcPr>
            <w:tcW w:w="9639" w:type="dxa"/>
            <w:shd w:val="clear" w:color="auto" w:fill="EBDDD6" w:themeFill="text1" w:themeFillTint="33"/>
            <w:tcMar>
              <w:top w:w="170" w:type="dxa"/>
              <w:left w:w="170" w:type="dxa"/>
              <w:bottom w:w="113" w:type="dxa"/>
              <w:right w:w="170" w:type="dxa"/>
            </w:tcMar>
          </w:tcPr>
          <w:p w14:paraId="20D11DAE" w14:textId="77777777" w:rsidR="00985AA5" w:rsidRPr="00C72C0C" w:rsidRDefault="00985AA5" w:rsidP="00C72C0C">
            <w:pPr>
              <w:pStyle w:val="BodyText"/>
            </w:pPr>
            <w:r w:rsidRPr="00C72C0C">
              <w:t>The data presented on the characteristics of people entering and leaving incarceration from 2018 includes 62 out of 70 public and private prisons in all states and territories in Australia, excluding New South Wales. The 2022 data includes 73 public and private prisons, for all states and territories in Australia, excluding Victoria.</w:t>
            </w:r>
          </w:p>
          <w:p w14:paraId="116C553C" w14:textId="77777777" w:rsidR="00985AA5" w:rsidRPr="00C2231D" w:rsidRDefault="00985AA5" w:rsidP="00C72C0C">
            <w:pPr>
              <w:pStyle w:val="BodyText"/>
              <w:rPr>
                <w:spacing w:val="-2"/>
              </w:rPr>
            </w:pPr>
            <w:r w:rsidRPr="00C2231D">
              <w:rPr>
                <w:spacing w:val="-2"/>
              </w:rPr>
              <w:t>Not all people in prison (particularly prison entrants and dischargees) have been involved in the data collection. This might have been due to prison staffing constraints, physical or mental limitations of people, or uncertain release dates. Of those who could be approached, some did not provide consent to participate.</w:t>
            </w:r>
          </w:p>
          <w:p w14:paraId="040E9B0B" w14:textId="77777777" w:rsidR="00985AA5" w:rsidRPr="00C72C0C" w:rsidRDefault="00985AA5" w:rsidP="00C72C0C">
            <w:pPr>
              <w:pStyle w:val="BodyText"/>
            </w:pPr>
            <w:r w:rsidRPr="00C72C0C">
              <w:t>The response rate for the 2022 entrants survey was 18% (23% in 2018). Of the entrants that completed the form, 49.3% were Aboriginal and Torres Strait Islander people.</w:t>
            </w:r>
          </w:p>
          <w:p w14:paraId="3F5EA9F9" w14:textId="77777777" w:rsidR="00985AA5" w:rsidRPr="00C72C0C" w:rsidRDefault="00985AA5" w:rsidP="00C72C0C">
            <w:pPr>
              <w:pStyle w:val="BodyText"/>
            </w:pPr>
            <w:r w:rsidRPr="00C72C0C">
              <w:t>The response rate for the 2022 NPHDC dischargees survey was 23% (17% in 2018). Of the dischargees that completed the form, 46.4% were Aboriginal and Torres Strait Islander people.</w:t>
            </w:r>
          </w:p>
        </w:tc>
      </w:tr>
    </w:tbl>
    <w:p w14:paraId="4DACA349" w14:textId="4251E56C" w:rsidR="00E956EF" w:rsidRPr="00C72C0C" w:rsidRDefault="385DA9AD" w:rsidP="005A21F7">
      <w:pPr>
        <w:pStyle w:val="BodyText"/>
        <w:spacing w:before="0"/>
      </w:pPr>
      <w:r w:rsidRPr="00C72C0C">
        <w:t>the latest year of available data</w:t>
      </w:r>
      <w:r w:rsidR="00E956EF" w:rsidRPr="00C72C0C">
        <w:t xml:space="preserve">, the rates for Aboriginal and Torres Strait Islander adults charged by police </w:t>
      </w:r>
      <w:r w:rsidR="002C7AC2" w:rsidRPr="00C72C0C">
        <w:t xml:space="preserve">– Indicator 10a </w:t>
      </w:r>
      <w:r w:rsidR="001103B9" w:rsidRPr="00C72C0C">
        <w:t>–</w:t>
      </w:r>
      <w:r w:rsidR="002C7AC2" w:rsidRPr="00C72C0C">
        <w:t xml:space="preserve"> </w:t>
      </w:r>
      <w:r w:rsidR="00E956EF" w:rsidRPr="00C72C0C">
        <w:t>have worsened</w:t>
      </w:r>
      <w:r w:rsidR="17AB73AF" w:rsidRPr="00C72C0C">
        <w:t>. In</w:t>
      </w:r>
      <w:r w:rsidR="00E956EF" w:rsidRPr="00C72C0C">
        <w:t xml:space="preserve"> N</w:t>
      </w:r>
      <w:r w:rsidR="00046BDB" w:rsidRPr="00C72C0C">
        <w:t xml:space="preserve">ew </w:t>
      </w:r>
      <w:r w:rsidR="00E956EF" w:rsidRPr="00C72C0C">
        <w:t>S</w:t>
      </w:r>
      <w:r w:rsidR="00046BDB" w:rsidRPr="00C72C0C">
        <w:t xml:space="preserve">outh </w:t>
      </w:r>
      <w:r w:rsidR="006B3A77" w:rsidRPr="00C72C0C">
        <w:t>Wales,</w:t>
      </w:r>
      <w:r w:rsidR="00046BDB" w:rsidRPr="00C72C0C">
        <w:t xml:space="preserve"> </w:t>
      </w:r>
      <w:r w:rsidR="591AA555" w:rsidRPr="00C72C0C">
        <w:t xml:space="preserve">8,644.6 per 100,000 </w:t>
      </w:r>
      <w:r w:rsidR="006B3A77" w:rsidRPr="00C72C0C">
        <w:t xml:space="preserve">adults </w:t>
      </w:r>
      <w:r w:rsidR="591AA555" w:rsidRPr="00C72C0C">
        <w:t>were charged in 2022-23, compared with 6,154.7 in 2018-19.</w:t>
      </w:r>
      <w:r w:rsidR="6F67E2CA" w:rsidRPr="00C72C0C">
        <w:t xml:space="preserve"> In</w:t>
      </w:r>
      <w:r w:rsidR="00E956EF" w:rsidRPr="00C72C0C" w:rsidDel="00E956EF">
        <w:t xml:space="preserve"> </w:t>
      </w:r>
      <w:r w:rsidR="00046BDB" w:rsidRPr="00C72C0C">
        <w:t xml:space="preserve">the </w:t>
      </w:r>
      <w:r w:rsidR="00E956EF" w:rsidRPr="00C72C0C">
        <w:t>A</w:t>
      </w:r>
      <w:r w:rsidR="00046BDB" w:rsidRPr="00C72C0C">
        <w:t xml:space="preserve">ustralian </w:t>
      </w:r>
      <w:r w:rsidR="00E956EF" w:rsidRPr="00C72C0C">
        <w:t>C</w:t>
      </w:r>
      <w:r w:rsidR="00046BDB" w:rsidRPr="00C72C0C">
        <w:t xml:space="preserve">apital </w:t>
      </w:r>
      <w:r w:rsidR="00E956EF" w:rsidRPr="00C72C0C">
        <w:t>T</w:t>
      </w:r>
      <w:r w:rsidR="00046BDB" w:rsidRPr="00C72C0C">
        <w:t>erritory</w:t>
      </w:r>
      <w:r w:rsidR="00E956EF" w:rsidRPr="00C72C0C">
        <w:t xml:space="preserve">, </w:t>
      </w:r>
      <w:r w:rsidR="06517927" w:rsidRPr="00C72C0C">
        <w:t>5,620.9</w:t>
      </w:r>
      <w:r w:rsidR="69B2D44E" w:rsidRPr="00C72C0C">
        <w:t xml:space="preserve"> per 100,000 </w:t>
      </w:r>
      <w:r w:rsidR="006B3A77" w:rsidRPr="00C72C0C">
        <w:t xml:space="preserve">adults </w:t>
      </w:r>
      <w:r w:rsidR="69B2D44E" w:rsidRPr="00C72C0C">
        <w:t>were charged in 2022-23</w:t>
      </w:r>
      <w:r w:rsidR="777BBF8E" w:rsidRPr="00C72C0C">
        <w:t xml:space="preserve"> </w:t>
      </w:r>
      <w:r w:rsidR="06517927" w:rsidRPr="00C72C0C">
        <w:t>compared with 4,816.2 in 2018-19.</w:t>
      </w:r>
      <w:r w:rsidR="00E956EF" w:rsidRPr="00C72C0C">
        <w:t xml:space="preserve"> </w:t>
      </w:r>
      <w:r w:rsidR="71D51E63" w:rsidRPr="00C72C0C">
        <w:t xml:space="preserve">In </w:t>
      </w:r>
      <w:r w:rsidR="00E956EF" w:rsidRPr="00C72C0C">
        <w:t>Q</w:t>
      </w:r>
      <w:r w:rsidR="00046BDB" w:rsidRPr="00C72C0C">
        <w:t>ueensland</w:t>
      </w:r>
      <w:r w:rsidR="063DD3D0" w:rsidRPr="00C72C0C">
        <w:t>, rates</w:t>
      </w:r>
      <w:r w:rsidR="063BF63E" w:rsidRPr="00C72C0C">
        <w:t xml:space="preserve"> </w:t>
      </w:r>
      <w:r w:rsidR="00E956EF" w:rsidRPr="00C72C0C">
        <w:t xml:space="preserve">have improved </w:t>
      </w:r>
      <w:r w:rsidR="5F4605D2" w:rsidRPr="00C72C0C">
        <w:t>with 8,</w:t>
      </w:r>
      <w:r w:rsidR="00244B60" w:rsidRPr="00C72C0C">
        <w:t>49</w:t>
      </w:r>
      <w:r w:rsidR="5F4605D2" w:rsidRPr="00C72C0C">
        <w:t>4.3</w:t>
      </w:r>
      <w:r w:rsidR="74FB822E" w:rsidRPr="00C72C0C">
        <w:t xml:space="preserve"> </w:t>
      </w:r>
      <w:r w:rsidR="001F8BE3" w:rsidRPr="00C72C0C">
        <w:t xml:space="preserve">per 100,000 adults charged </w:t>
      </w:r>
      <w:r w:rsidR="5F4605D2" w:rsidRPr="00C72C0C">
        <w:t xml:space="preserve">in 2022-23 compared with 9,547 per 100,000 </w:t>
      </w:r>
      <w:r w:rsidR="006B3A77" w:rsidRPr="00C72C0C">
        <w:t>adults</w:t>
      </w:r>
      <w:r w:rsidR="5F4605D2" w:rsidRPr="00C72C0C">
        <w:t xml:space="preserve"> in 2018-19</w:t>
      </w:r>
      <w:r w:rsidR="00046BDB" w:rsidRPr="00C72C0C">
        <w:t xml:space="preserve"> </w:t>
      </w:r>
      <w:r w:rsidR="00E956EF" w:rsidRPr="00C72C0C">
        <w:t>(</w:t>
      </w:r>
      <w:r w:rsidR="00F27A4F" w:rsidRPr="00C72C0C">
        <w:t>Measure</w:t>
      </w:r>
      <w:r w:rsidR="00046BDB" w:rsidRPr="00C72C0C">
        <w:t xml:space="preserve"> </w:t>
      </w:r>
      <w:r w:rsidR="00E956EF" w:rsidRPr="00C72C0C">
        <w:t>10a.</w:t>
      </w:r>
      <w:r w:rsidR="00244B60" w:rsidRPr="00C72C0C">
        <w:t>1</w:t>
      </w:r>
      <w:r w:rsidR="00E956EF" w:rsidRPr="00C72C0C">
        <w:t xml:space="preserve">). </w:t>
      </w:r>
    </w:p>
    <w:p w14:paraId="730115E3" w14:textId="0355AF34" w:rsidR="00E956EF" w:rsidRPr="00C72C0C" w:rsidRDefault="00E956EF" w:rsidP="00C72C0C">
      <w:pPr>
        <w:pStyle w:val="BodyText"/>
      </w:pPr>
      <w:r w:rsidRPr="00C72C0C">
        <w:t xml:space="preserve">For Aboriginal and Torres Strait Islander adults proceeded against by police, the proportion proceeded against with court actions ranged from 95.9% to 96.7% </w:t>
      </w:r>
      <w:r w:rsidR="0087497C" w:rsidRPr="00C72C0C">
        <w:t>in 2022</w:t>
      </w:r>
      <w:r w:rsidR="08F448B3" w:rsidRPr="00C72C0C">
        <w:t>-</w:t>
      </w:r>
      <w:r w:rsidR="0087497C" w:rsidRPr="00C72C0C">
        <w:t>2</w:t>
      </w:r>
      <w:r w:rsidR="2158AA3F" w:rsidRPr="00C72C0C">
        <w:t>3</w:t>
      </w:r>
      <w:r w:rsidRPr="00C72C0C">
        <w:t xml:space="preserve"> (with 2.7% to 4.1% proceeded against with non-court actions). These proportions are similar to </w:t>
      </w:r>
      <w:r w:rsidR="00C46F1B" w:rsidRPr="00C72C0C">
        <w:t>the baseline year (</w:t>
      </w:r>
      <w:r w:rsidRPr="00C72C0C">
        <w:t>2018-19</w:t>
      </w:r>
      <w:r w:rsidR="00C46F1B" w:rsidRPr="00C72C0C">
        <w:t>)</w:t>
      </w:r>
      <w:r w:rsidR="03CC9E08" w:rsidRPr="00C72C0C">
        <w:t>.</w:t>
      </w:r>
    </w:p>
    <w:p w14:paraId="0BB1ABAA" w14:textId="1343E9FC" w:rsidR="00E956EF" w:rsidRPr="00C43422" w:rsidRDefault="00B22E48" w:rsidP="004D504F">
      <w:pPr>
        <w:pStyle w:val="Heading5"/>
        <w:rPr>
          <w:b w:val="0"/>
          <w:color w:val="684633" w:themeColor="text1" w:themeShade="BF"/>
        </w:rPr>
      </w:pPr>
      <w:r w:rsidRPr="00C43422">
        <w:rPr>
          <w:color w:val="684633" w:themeColor="text1" w:themeShade="BF"/>
        </w:rPr>
        <w:t>The characteristics of people entering and leaving incarceration</w:t>
      </w:r>
    </w:p>
    <w:p w14:paraId="64B9E36A" w14:textId="30D902D5" w:rsidR="00961B9A" w:rsidRPr="007B3DCE" w:rsidRDefault="00961B9A" w:rsidP="00D1760A">
      <w:pPr>
        <w:pStyle w:val="BodyText"/>
      </w:pPr>
      <w:r w:rsidRPr="007B3DCE">
        <w:t xml:space="preserve">New data </w:t>
      </w:r>
      <w:r w:rsidR="00B22E48" w:rsidRPr="007B3DCE">
        <w:t xml:space="preserve">– </w:t>
      </w:r>
      <w:r w:rsidR="00B21BE1" w:rsidRPr="007B3DCE">
        <w:t>I</w:t>
      </w:r>
      <w:r w:rsidR="00B22E48" w:rsidRPr="007B3DCE">
        <w:t xml:space="preserve">ndicator 10g – sheds </w:t>
      </w:r>
      <w:r w:rsidR="00402CBB" w:rsidRPr="007B3DCE">
        <w:t>some light on</w:t>
      </w:r>
      <w:r w:rsidRPr="007B3DCE">
        <w:t xml:space="preserve"> the characteristics of </w:t>
      </w:r>
      <w:r w:rsidR="6B1CDDF9" w:rsidRPr="00216127">
        <w:rPr>
          <w:rFonts w:ascii="Arial (Body)" w:hAnsi="Arial (Body)" w:cs="Arial"/>
        </w:rPr>
        <w:t xml:space="preserve">Aboriginal and Torres Strait Islander </w:t>
      </w:r>
      <w:r w:rsidRPr="007B3DCE">
        <w:t>people entering and leaving incarceration</w:t>
      </w:r>
      <w:r w:rsidR="00643052">
        <w:t xml:space="preserve"> (box 2.22 </w:t>
      </w:r>
      <w:r w:rsidR="00036B64">
        <w:t xml:space="preserve">outlines </w:t>
      </w:r>
      <w:r w:rsidR="00643052">
        <w:t>data considerations)</w:t>
      </w:r>
      <w:r w:rsidR="000517CE" w:rsidRPr="007B3DCE">
        <w:t>:</w:t>
      </w:r>
    </w:p>
    <w:p w14:paraId="2ED5C733" w14:textId="6FC18D3A" w:rsidR="5692CAA8" w:rsidRPr="007B3DCE" w:rsidRDefault="00035889" w:rsidP="00974ADB">
      <w:pPr>
        <w:pStyle w:val="ListBullet"/>
        <w:numPr>
          <w:ilvl w:val="0"/>
          <w:numId w:val="17"/>
        </w:numPr>
        <w:ind w:left="227" w:hanging="227"/>
      </w:pPr>
      <w:r w:rsidRPr="007B3DCE">
        <w:t>In 2022,</w:t>
      </w:r>
      <w:r w:rsidR="1C886524" w:rsidRPr="007B3DCE">
        <w:t xml:space="preserve"> a</w:t>
      </w:r>
      <w:r w:rsidR="3D746360" w:rsidRPr="007B3DCE">
        <w:t xml:space="preserve"> higher proportion </w:t>
      </w:r>
      <w:r w:rsidR="003F676C" w:rsidRPr="007B3DCE">
        <w:t xml:space="preserve">of entrants </w:t>
      </w:r>
      <w:r w:rsidR="60A3FECB" w:rsidRPr="007B3DCE">
        <w:t>reported being told that they had a mental health condition at some stage in their li</w:t>
      </w:r>
      <w:r w:rsidR="5340B72B" w:rsidRPr="007B3DCE">
        <w:t>fe</w:t>
      </w:r>
      <w:r w:rsidR="3D746360" w:rsidRPr="007B3DCE">
        <w:t xml:space="preserve"> </w:t>
      </w:r>
      <w:r w:rsidR="3B1C0878" w:rsidRPr="007B3DCE">
        <w:t xml:space="preserve">(42.6%) than in </w:t>
      </w:r>
      <w:r w:rsidR="3D746360" w:rsidRPr="007B3DCE">
        <w:t xml:space="preserve">2018 (32.8%) </w:t>
      </w:r>
      <w:r w:rsidR="416E1118" w:rsidRPr="007B3DCE">
        <w:t xml:space="preserve">and a lower proportion </w:t>
      </w:r>
      <w:r w:rsidR="7CF1F2B8" w:rsidRPr="007B3DCE">
        <w:t xml:space="preserve">had at least one parent or carer in prison during their childhood </w:t>
      </w:r>
      <w:r w:rsidR="0FAEA486" w:rsidRPr="007B3DCE">
        <w:t xml:space="preserve">(27.9% in 2022 compared to </w:t>
      </w:r>
      <w:r w:rsidR="7CF1F2B8" w:rsidRPr="007B3DCE">
        <w:t>31.5% in 2018</w:t>
      </w:r>
      <w:r w:rsidR="5F99856A" w:rsidRPr="007B3DCE">
        <w:t>)</w:t>
      </w:r>
      <w:r w:rsidR="7CF1F2B8" w:rsidRPr="007B3DCE">
        <w:t>.</w:t>
      </w:r>
    </w:p>
    <w:p w14:paraId="10A8CBFE" w14:textId="3C5D9C44" w:rsidR="573DD667" w:rsidRPr="007B3DCE" w:rsidRDefault="3D746360" w:rsidP="00974ADB">
      <w:pPr>
        <w:pStyle w:val="ListBullet"/>
        <w:numPr>
          <w:ilvl w:val="0"/>
          <w:numId w:val="17"/>
        </w:numPr>
        <w:ind w:left="227" w:hanging="227"/>
      </w:pPr>
      <w:r w:rsidRPr="007B3DCE">
        <w:t xml:space="preserve">The proportion of Aboriginal and Torres Strait Islander </w:t>
      </w:r>
      <w:r w:rsidR="4B554A70" w:rsidRPr="007B3DCE">
        <w:t>prison entrants</w:t>
      </w:r>
      <w:r w:rsidRPr="007B3DCE">
        <w:t xml:space="preserve"> that used illicit substances </w:t>
      </w:r>
      <w:r w:rsidR="15E70682" w:rsidRPr="007B3DCE">
        <w:t>in the previous 12 months</w:t>
      </w:r>
      <w:r w:rsidRPr="007B3DCE">
        <w:t xml:space="preserve"> increased in 2022 (71%) compared to 2018 (63%) (</w:t>
      </w:r>
      <w:r w:rsidR="00F27A4F" w:rsidRPr="007B3DCE">
        <w:t xml:space="preserve">Measure </w:t>
      </w:r>
      <w:r w:rsidRPr="007B3DCE">
        <w:t>10g.2).</w:t>
      </w:r>
    </w:p>
    <w:p w14:paraId="01B9328C" w14:textId="17F48DBB" w:rsidR="00042124" w:rsidRPr="007B3DCE" w:rsidRDefault="182E5CBE" w:rsidP="00974ADB">
      <w:pPr>
        <w:pStyle w:val="ListBullet"/>
        <w:numPr>
          <w:ilvl w:val="0"/>
          <w:numId w:val="17"/>
        </w:numPr>
        <w:ind w:left="227" w:hanging="227"/>
      </w:pPr>
      <w:r w:rsidRPr="007B3DCE">
        <w:t>Among</w:t>
      </w:r>
      <w:r w:rsidR="3D746360" w:rsidRPr="007B3DCE">
        <w:t xml:space="preserve"> people discharged from prison</w:t>
      </w:r>
      <w:r w:rsidR="62693BD4" w:rsidRPr="007B3DCE">
        <w:t xml:space="preserve">, </w:t>
      </w:r>
      <w:r w:rsidR="58CD37AD" w:rsidRPr="007B3DCE">
        <w:t xml:space="preserve">between 2018 and 2022, </w:t>
      </w:r>
      <w:r w:rsidR="62693BD4" w:rsidRPr="007B3DCE">
        <w:t>the</w:t>
      </w:r>
      <w:r w:rsidR="3D746360" w:rsidRPr="007B3DCE">
        <w:t xml:space="preserve"> rate of </w:t>
      </w:r>
      <w:r w:rsidR="62693BD4" w:rsidRPr="007B3DCE">
        <w:t>engag</w:t>
      </w:r>
      <w:r w:rsidR="140C6A32" w:rsidRPr="007B3DCE">
        <w:t>e</w:t>
      </w:r>
      <w:r w:rsidR="62693BD4" w:rsidRPr="007B3DCE">
        <w:t>ment</w:t>
      </w:r>
      <w:r w:rsidR="3D746360" w:rsidRPr="007B3DCE">
        <w:t xml:space="preserve"> in paid employment within two weeks of release</w:t>
      </w:r>
      <w:r w:rsidR="62693BD4" w:rsidRPr="007B3DCE">
        <w:t xml:space="preserve"> </w:t>
      </w:r>
      <w:r w:rsidR="3D746360" w:rsidRPr="007B3DCE">
        <w:t xml:space="preserve">more than doubled </w:t>
      </w:r>
      <w:r w:rsidR="69AF6E50" w:rsidRPr="007B3DCE">
        <w:t>(</w:t>
      </w:r>
      <w:r w:rsidR="3D746360" w:rsidRPr="007B3DCE">
        <w:t>from 16.5% to 38.5%</w:t>
      </w:r>
      <w:r w:rsidR="2A829844" w:rsidRPr="007B3DCE">
        <w:t>)</w:t>
      </w:r>
      <w:r w:rsidR="3D746360" w:rsidRPr="007B3DCE">
        <w:t xml:space="preserve"> (</w:t>
      </w:r>
      <w:r w:rsidR="00F27A4F" w:rsidRPr="007B3DCE">
        <w:t xml:space="preserve">Measure </w:t>
      </w:r>
      <w:r w:rsidR="3D746360" w:rsidRPr="007B3DCE">
        <w:t>10g.4)</w:t>
      </w:r>
      <w:r w:rsidR="0F6577D4" w:rsidRPr="007B3DCE">
        <w:t xml:space="preserve"> and </w:t>
      </w:r>
      <w:r w:rsidR="76EF1F65" w:rsidRPr="007B3DCE">
        <w:t>the proportion</w:t>
      </w:r>
      <w:r w:rsidR="3D746360" w:rsidRPr="007B3DCE">
        <w:t xml:space="preserve"> who ha</w:t>
      </w:r>
      <w:r w:rsidR="000D63BA">
        <w:t>d</w:t>
      </w:r>
      <w:r w:rsidR="3D746360" w:rsidRPr="007B3DCE">
        <w:t xml:space="preserve"> been physically assaulted or attacked while in prison </w:t>
      </w:r>
      <w:r w:rsidR="6D8BC066" w:rsidRPr="007B3DCE">
        <w:t>w</w:t>
      </w:r>
      <w:r w:rsidR="3D746360" w:rsidRPr="007B3DCE">
        <w:t>as reduced (from 8.7% to 8.5%) (</w:t>
      </w:r>
      <w:r w:rsidR="00F27A4F" w:rsidRPr="007B3DCE">
        <w:t xml:space="preserve">Measure </w:t>
      </w:r>
      <w:r w:rsidR="3D746360" w:rsidRPr="007B3DCE">
        <w:t>10g.5).</w:t>
      </w:r>
      <w:r w:rsidR="00524162" w:rsidRPr="00974ADB">
        <w:t>[</w:t>
      </w:r>
      <w:r w:rsidR="00524162" w:rsidRPr="00063A03">
        <w:rPr>
          <w:smallCaps/>
          <w:vanish/>
          <w:color w:val="FF00FF"/>
        </w:rPr>
        <w:t>Used for spacing, do not delete</w:t>
      </w:r>
      <w:r w:rsidR="00524162" w:rsidRPr="00063A03">
        <w:rPr>
          <w:vanish/>
          <w:color w:val="FF00FF"/>
        </w:rPr>
        <w:t xml:space="preserve"> | Style: No Spacing]</w:t>
      </w:r>
    </w:p>
    <w:p w14:paraId="5E622729" w14:textId="110FD0D7" w:rsidR="00FD448C" w:rsidRPr="00C43422" w:rsidRDefault="00651C82" w:rsidP="004D504F">
      <w:pPr>
        <w:pStyle w:val="Heading3"/>
        <w:rPr>
          <w:color w:val="684633" w:themeColor="text1" w:themeShade="BF"/>
        </w:rPr>
      </w:pPr>
      <w:bookmarkStart w:id="62" w:name="_Toc167878565"/>
      <w:r w:rsidRPr="00C43422">
        <w:rPr>
          <w:color w:val="684633" w:themeColor="text1" w:themeShade="BF"/>
        </w:rPr>
        <w:lastRenderedPageBreak/>
        <w:t>Outcome</w:t>
      </w:r>
      <w:r w:rsidR="00FD448C" w:rsidRPr="00C43422">
        <w:rPr>
          <w:color w:val="684633" w:themeColor="text1" w:themeShade="BF"/>
        </w:rPr>
        <w:t xml:space="preserve"> 11</w:t>
      </w:r>
      <w:r w:rsidRPr="00C43422">
        <w:rPr>
          <w:color w:val="684633" w:themeColor="text1" w:themeShade="BF"/>
        </w:rPr>
        <w:t xml:space="preserve">: </w:t>
      </w:r>
      <w:r w:rsidR="00FD448C" w:rsidRPr="00C43422">
        <w:rPr>
          <w:color w:val="684633" w:themeColor="text1" w:themeShade="BF"/>
        </w:rPr>
        <w:t>Aboriginal and Torres Strait Islander young people are not overrepresented in the criminal justice system</w:t>
      </w:r>
      <w:bookmarkEnd w:id="62"/>
    </w:p>
    <w:p w14:paraId="05E4FB18" w14:textId="4B33EB29" w:rsidR="007E293C" w:rsidRPr="007B3DCE" w:rsidRDefault="00134B2D" w:rsidP="000174A4">
      <w:pPr>
        <w:pStyle w:val="Heading4"/>
        <w:rPr>
          <w:rStyle w:val="normaltextrun"/>
          <w:color w:val="8C5E44" w:themeColor="text1"/>
        </w:rPr>
      </w:pPr>
      <w:r w:rsidRPr="007B3DCE">
        <w:rPr>
          <w:rStyle w:val="normaltextrun"/>
          <w:color w:val="8C5E44" w:themeColor="text1"/>
        </w:rPr>
        <w:t xml:space="preserve">Aboriginal and Torres Strait Islander young people continue to be overrepresented in the criminal justice system </w:t>
      </w:r>
    </w:p>
    <w:p w14:paraId="0F8EFEA4" w14:textId="5CEC9E9B" w:rsidR="00B4412E" w:rsidRPr="007B3DCE" w:rsidRDefault="00CD39CD" w:rsidP="00453395">
      <w:pPr>
        <w:pStyle w:val="BodyText"/>
        <w:rPr>
          <w:rFonts w:eastAsiaTheme="minorEastAsia"/>
        </w:rPr>
      </w:pPr>
      <w:r>
        <w:t xml:space="preserve">The target to </w:t>
      </w:r>
      <w:r w:rsidRPr="00CD39CD">
        <w:rPr>
          <w:rFonts w:eastAsiaTheme="minorEastAsia"/>
        </w:rPr>
        <w:t>reduce the rate of Aboriginal and Torres Strait Islander young people in detention by at least 30%</w:t>
      </w:r>
      <w:r w:rsidR="00F67C49">
        <w:rPr>
          <w:rFonts w:eastAsiaTheme="minorEastAsia"/>
        </w:rPr>
        <w:t xml:space="preserve"> by 2031 is not on track to be met</w:t>
      </w:r>
      <w:r w:rsidRPr="00CD39CD">
        <w:rPr>
          <w:rFonts w:eastAsiaTheme="minorEastAsia"/>
        </w:rPr>
        <w:t xml:space="preserve">. </w:t>
      </w:r>
      <w:r w:rsidR="00FD448C" w:rsidRPr="007B3DCE">
        <w:rPr>
          <w:rFonts w:eastAsiaTheme="minorEastAsia"/>
        </w:rPr>
        <w:t xml:space="preserve">Nationally, </w:t>
      </w:r>
      <w:r w:rsidR="4205AD62" w:rsidRPr="007B3DCE">
        <w:rPr>
          <w:rFonts w:eastAsiaTheme="minorEastAsia"/>
        </w:rPr>
        <w:t>in</w:t>
      </w:r>
      <w:r w:rsidR="00F91F40" w:rsidRPr="007B3DCE">
        <w:rPr>
          <w:rFonts w:eastAsiaTheme="minorEastAsia"/>
        </w:rPr>
        <w:t xml:space="preserve"> </w:t>
      </w:r>
      <w:r w:rsidR="00FD448C" w:rsidRPr="007B3DCE">
        <w:rPr>
          <w:rFonts w:eastAsiaTheme="minorEastAsia"/>
        </w:rPr>
        <w:t>2022-23, the rate of Aboriginal and Torres Strait Islander young people aged 10</w:t>
      </w:r>
      <w:r w:rsidR="00414C66" w:rsidRPr="00216127">
        <w:rPr>
          <w:rStyle w:val="normaltextrun"/>
          <w:rFonts w:ascii="Arial (Body)" w:hAnsi="Arial (Body)" w:cs="Arial"/>
          <w:color w:val="000000"/>
          <w:bdr w:val="none" w:sz="0" w:space="0" w:color="auto" w:frame="1"/>
        </w:rPr>
        <w:t>–</w:t>
      </w:r>
      <w:r w:rsidR="00FD448C" w:rsidRPr="007B3DCE">
        <w:rPr>
          <w:rFonts w:eastAsiaTheme="minorEastAsia"/>
        </w:rPr>
        <w:t>17 years in detention on an average day was 29.8 per 10,000 young people</w:t>
      </w:r>
      <w:r w:rsidR="4B18DE0F" w:rsidRPr="007B3DCE">
        <w:rPr>
          <w:rFonts w:eastAsiaTheme="minorEastAsia"/>
        </w:rPr>
        <w:t xml:space="preserve"> (figure 2.2</w:t>
      </w:r>
      <w:r w:rsidR="00EE2E0F" w:rsidRPr="007B3DCE">
        <w:rPr>
          <w:rFonts w:eastAsiaTheme="minorEastAsia"/>
        </w:rPr>
        <w:t>5</w:t>
      </w:r>
      <w:r w:rsidR="4B18DE0F" w:rsidRPr="007B3DCE">
        <w:rPr>
          <w:rFonts w:eastAsiaTheme="minorEastAsia"/>
        </w:rPr>
        <w:t>)</w:t>
      </w:r>
      <w:r w:rsidR="00FD448C" w:rsidRPr="007B3DCE">
        <w:rPr>
          <w:rFonts w:eastAsiaTheme="minorEastAsia"/>
        </w:rPr>
        <w:t xml:space="preserve">. </w:t>
      </w:r>
      <w:r w:rsidR="00027435" w:rsidRPr="007B3DCE">
        <w:rPr>
          <w:rFonts w:eastAsiaTheme="minorEastAsia"/>
        </w:rPr>
        <w:t>An initial decline in youth detention followed by recent increases means</w:t>
      </w:r>
      <w:r w:rsidR="00FB209C" w:rsidRPr="007B3DCE">
        <w:rPr>
          <w:rFonts w:eastAsiaTheme="minorEastAsia"/>
        </w:rPr>
        <w:t xml:space="preserve"> the trend of the </w:t>
      </w:r>
      <w:r w:rsidR="00027435" w:rsidRPr="007B3DCE">
        <w:rPr>
          <w:rFonts w:eastAsiaTheme="minorEastAsia"/>
        </w:rPr>
        <w:t xml:space="preserve">national </w:t>
      </w:r>
      <w:r w:rsidR="00FB209C" w:rsidRPr="007B3DCE">
        <w:rPr>
          <w:rFonts w:eastAsiaTheme="minorEastAsia"/>
        </w:rPr>
        <w:t>target shows no change from the baseline</w:t>
      </w:r>
      <w:r w:rsidR="006D6884" w:rsidRPr="007B3DCE">
        <w:rPr>
          <w:rFonts w:eastAsiaTheme="minorEastAsia"/>
        </w:rPr>
        <w:t xml:space="preserve"> (2018-19)</w:t>
      </w:r>
      <w:r w:rsidR="00FB209C" w:rsidRPr="007B3DCE">
        <w:rPr>
          <w:rFonts w:eastAsiaTheme="minorEastAsia"/>
        </w:rPr>
        <w:t>.</w:t>
      </w:r>
      <w:r w:rsidR="00361B14" w:rsidRPr="007B3DCE">
        <w:rPr>
          <w:rFonts w:eastAsiaTheme="minorEastAsia"/>
        </w:rPr>
        <w:t xml:space="preserve"> </w:t>
      </w:r>
      <w:r w:rsidR="000851A1" w:rsidRPr="007B3DCE">
        <w:rPr>
          <w:rFonts w:eastAsiaTheme="minorEastAsia"/>
        </w:rPr>
        <w:t>T</w:t>
      </w:r>
      <w:r w:rsidR="00452E2A" w:rsidRPr="007B3DCE">
        <w:rPr>
          <w:rFonts w:eastAsiaTheme="minorEastAsia"/>
        </w:rPr>
        <w:t>h</w:t>
      </w:r>
      <w:r w:rsidR="000851A1" w:rsidRPr="007B3DCE">
        <w:rPr>
          <w:rFonts w:eastAsiaTheme="minorEastAsia"/>
        </w:rPr>
        <w:t>e</w:t>
      </w:r>
      <w:r w:rsidR="00452E2A" w:rsidRPr="007B3DCE">
        <w:rPr>
          <w:rFonts w:eastAsiaTheme="minorEastAsia"/>
        </w:rPr>
        <w:t xml:space="preserve"> assessment </w:t>
      </w:r>
      <w:r w:rsidR="00F1021F" w:rsidRPr="007B3DCE">
        <w:rPr>
          <w:rFonts w:eastAsiaTheme="minorEastAsia"/>
        </w:rPr>
        <w:t xml:space="preserve">of no change </w:t>
      </w:r>
      <w:r w:rsidR="00452E2A" w:rsidRPr="007B3DCE">
        <w:rPr>
          <w:rFonts w:eastAsiaTheme="minorEastAsia"/>
        </w:rPr>
        <w:t>is provided with a low level of confidence</w:t>
      </w:r>
      <w:r w:rsidR="000851A1" w:rsidRPr="007B3DCE">
        <w:rPr>
          <w:rFonts w:eastAsiaTheme="minorEastAsia"/>
        </w:rPr>
        <w:t xml:space="preserve">, </w:t>
      </w:r>
      <w:r w:rsidR="00954974" w:rsidRPr="007B3DCE">
        <w:rPr>
          <w:rFonts w:eastAsiaTheme="minorEastAsia"/>
        </w:rPr>
        <w:t xml:space="preserve">but </w:t>
      </w:r>
      <w:r w:rsidR="00CF1E48" w:rsidRPr="007B3DCE">
        <w:rPr>
          <w:rFonts w:eastAsiaTheme="minorEastAsia"/>
        </w:rPr>
        <w:t xml:space="preserve">there is a high level of confidence that </w:t>
      </w:r>
      <w:r w:rsidR="00954974" w:rsidRPr="007B3DCE">
        <w:rPr>
          <w:rFonts w:eastAsiaTheme="minorEastAsia"/>
        </w:rPr>
        <w:t xml:space="preserve">the target is </w:t>
      </w:r>
      <w:r w:rsidR="00DE0592" w:rsidRPr="007B3DCE">
        <w:rPr>
          <w:rFonts w:eastAsiaTheme="minorEastAsia"/>
        </w:rPr>
        <w:t>not on</w:t>
      </w:r>
      <w:r w:rsidR="00161EFD" w:rsidRPr="007B3DCE">
        <w:rPr>
          <w:rFonts w:eastAsiaTheme="minorEastAsia"/>
        </w:rPr>
        <w:t xml:space="preserve"> </w:t>
      </w:r>
      <w:r w:rsidR="00954974" w:rsidRPr="007B3DCE">
        <w:rPr>
          <w:rFonts w:eastAsiaTheme="minorEastAsia"/>
        </w:rPr>
        <w:t>track</w:t>
      </w:r>
      <w:r w:rsidR="002A59D5" w:rsidRPr="007B3DCE">
        <w:rPr>
          <w:rFonts w:eastAsiaTheme="minorEastAsia"/>
        </w:rPr>
        <w:t>.</w:t>
      </w:r>
    </w:p>
    <w:p w14:paraId="18906E16" w14:textId="6BAA7C3B" w:rsidR="00AB6496" w:rsidRPr="00997054" w:rsidRDefault="00FF06A3" w:rsidP="00997054">
      <w:pPr>
        <w:pStyle w:val="FigureTableHeading"/>
        <w:keepLines/>
        <w:rPr>
          <w:color w:val="684633" w:themeColor="text1" w:themeShade="BF"/>
        </w:rPr>
      </w:pPr>
      <w:r w:rsidRPr="00997054">
        <w:rPr>
          <w:color w:val="684633" w:themeColor="text1" w:themeShade="BF"/>
        </w:rPr>
        <w:t xml:space="preserve">Figure </w:t>
      </w:r>
      <w:r w:rsidR="00A23FF2" w:rsidRPr="00997054">
        <w:rPr>
          <w:color w:val="684633" w:themeColor="text1" w:themeShade="BF"/>
        </w:rPr>
        <w:t>2</w:t>
      </w:r>
      <w:r w:rsidR="000B06B0" w:rsidRPr="00997054">
        <w:rPr>
          <w:color w:val="684633" w:themeColor="text1" w:themeShade="BF"/>
        </w:rPr>
        <w:t>.</w:t>
      </w:r>
      <w:r w:rsidR="0036545D" w:rsidRPr="00997054">
        <w:rPr>
          <w:color w:val="684633" w:themeColor="text1" w:themeShade="BF"/>
        </w:rPr>
        <w:t>25</w:t>
      </w:r>
      <w:r w:rsidR="00C53E50" w:rsidRPr="00997054">
        <w:rPr>
          <w:color w:val="684633" w:themeColor="text1" w:themeShade="BF"/>
        </w:rPr>
        <w:t xml:space="preserve"> </w:t>
      </w:r>
      <w:r w:rsidRPr="00997054">
        <w:rPr>
          <w:color w:val="684633" w:themeColor="text1" w:themeShade="BF"/>
        </w:rPr>
        <w:t xml:space="preserve">– National </w:t>
      </w:r>
      <w:r w:rsidR="1F33F43F" w:rsidRPr="00997054">
        <w:rPr>
          <w:color w:val="684633" w:themeColor="text1" w:themeShade="BF"/>
        </w:rPr>
        <w:t>youth detention</w:t>
      </w:r>
      <w:r w:rsidR="006E48B8" w:rsidRPr="00997054">
        <w:rPr>
          <w:color w:val="684633" w:themeColor="text1" w:themeShade="BF"/>
        </w:rPr>
        <w:t xml:space="preserve"> rate</w:t>
      </w:r>
      <w:r w:rsidR="006B78EA" w:rsidRPr="00997054">
        <w:rPr>
          <w:color w:val="684633" w:themeColor="text1" w:themeShade="BF"/>
          <w:vertAlign w:val="superscript"/>
        </w:rPr>
        <w:t>a</w:t>
      </w:r>
    </w:p>
    <w:p w14:paraId="3E3F4AA4" w14:textId="3C2EBB10" w:rsidR="2FCA78DF" w:rsidRDefault="0337D667" w:rsidP="00C1577E">
      <w:pPr>
        <w:pStyle w:val="FigureTableSubheading"/>
        <w:spacing w:after="0"/>
        <w:rPr>
          <w:color w:val="8C5E44" w:themeColor="text1"/>
        </w:rPr>
      </w:pPr>
      <w:r w:rsidRPr="007B3DCE">
        <w:rPr>
          <w:color w:val="8C5E44" w:themeColor="text1"/>
        </w:rPr>
        <w:t>R</w:t>
      </w:r>
      <w:r w:rsidR="000325A1" w:rsidRPr="007B3DCE">
        <w:rPr>
          <w:color w:val="8C5E44" w:themeColor="text1"/>
        </w:rPr>
        <w:t xml:space="preserve">ate of </w:t>
      </w:r>
      <w:r w:rsidR="008051FB" w:rsidRPr="007B3DCE">
        <w:rPr>
          <w:color w:val="8C5E44" w:themeColor="text1"/>
        </w:rPr>
        <w:t xml:space="preserve">Aboriginal and Torres Strait Islander young people </w:t>
      </w:r>
      <w:r w:rsidR="00AB6496" w:rsidRPr="007B3DCE">
        <w:rPr>
          <w:color w:val="8C5E44" w:themeColor="text1"/>
        </w:rPr>
        <w:t>in detention on an average day</w:t>
      </w:r>
      <w:r w:rsidR="00302D9C" w:rsidRPr="007B3DCE">
        <w:rPr>
          <w:color w:val="8C5E44" w:themeColor="text1"/>
        </w:rPr>
        <w:t xml:space="preserve"> </w:t>
      </w:r>
      <w:r w:rsidR="008051FB" w:rsidRPr="007B3DCE">
        <w:rPr>
          <w:color w:val="8C5E44" w:themeColor="text1"/>
        </w:rPr>
        <w:t xml:space="preserve">per 10,000 </w:t>
      </w:r>
      <w:r w:rsidR="00302D9C" w:rsidRPr="007B3DCE">
        <w:rPr>
          <w:color w:val="8C5E44" w:themeColor="text1"/>
        </w:rPr>
        <w:t>young people (aged 10</w:t>
      </w:r>
      <w:r w:rsidR="008A76B4" w:rsidRPr="007B3DCE">
        <w:rPr>
          <w:color w:val="8C5E44" w:themeColor="text1"/>
        </w:rPr>
        <w:t>–</w:t>
      </w:r>
      <w:r w:rsidR="00302D9C" w:rsidRPr="007B3DCE">
        <w:rPr>
          <w:color w:val="8C5E44" w:themeColor="text1"/>
        </w:rPr>
        <w:t>17</w:t>
      </w:r>
      <w:r w:rsidR="008A76B4" w:rsidRPr="007B3DCE">
        <w:rPr>
          <w:color w:val="8C5E44" w:themeColor="text1"/>
        </w:rPr>
        <w:t xml:space="preserve"> years</w:t>
      </w:r>
      <w:r w:rsidR="00302D9C" w:rsidRPr="007B3DCE">
        <w:rPr>
          <w:color w:val="8C5E44" w:themeColor="text1"/>
        </w:rPr>
        <w:t xml:space="preserve">) </w:t>
      </w:r>
    </w:p>
    <w:p w14:paraId="683D65F7" w14:textId="79074FE2" w:rsidR="00325963" w:rsidRPr="00DA407A" w:rsidRDefault="004B2B1C" w:rsidP="00042124">
      <w:pPr>
        <w:pStyle w:val="FigureTableSubheading"/>
        <w:rPr>
          <w:color w:val="8C5E44" w:themeColor="text1"/>
        </w:rPr>
      </w:pPr>
      <w:r w:rsidRPr="004B2B1C">
        <w:rPr>
          <w:noProof/>
        </w:rPr>
        <w:drawing>
          <wp:inline distT="0" distB="0" distL="0" distR="0" wp14:anchorId="56FE49B1" wp14:editId="3C993DFD">
            <wp:extent cx="6120130" cy="2465614"/>
            <wp:effectExtent l="0" t="0" r="0" b="0"/>
            <wp:docPr id="885435752" name="Picture 197" descr="Figure 2.25 is a line chart that shows the national youth detention rate per 10,000 Aboriginal and Torres Strait Islander young people aged 10-17 years from 2010-11 to 2022-23, with projections to 2030-31. The chart shows a gradual decline in the actual detention rate over time, with projections indicating a further decrease if current trends continue. The shaded area represents 95% confidence intervals for the linear regression estimates, highlighting the gap between actual and targe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35752" name="Picture 197" descr="Figure 2.25 is a line chart that shows the national youth detention rate per 10,000 Aboriginal and Torres Strait Islander young people aged 10-17 years from 2010-11 to 2022-23, with projections to 2030-31. The chart shows a gradual decline in the actual detention rate over time, with projections indicating a further decrease if current trends continue. The shaded area represents 95% confidence intervals for the linear regression estimates, highlighting the gap between actual and target rates."/>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7463"/>
                    <a:stretch/>
                  </pic:blipFill>
                  <pic:spPr bwMode="auto">
                    <a:xfrm>
                      <a:off x="0" y="0"/>
                      <a:ext cx="6120130" cy="2465614"/>
                    </a:xfrm>
                    <a:prstGeom prst="rect">
                      <a:avLst/>
                    </a:prstGeom>
                    <a:noFill/>
                    <a:ln>
                      <a:noFill/>
                    </a:ln>
                    <a:extLst>
                      <a:ext uri="{53640926-AAD7-44D8-BBD7-CCE9431645EC}">
                        <a14:shadowObscured xmlns:a14="http://schemas.microsoft.com/office/drawing/2010/main"/>
                      </a:ext>
                    </a:extLst>
                  </pic:spPr>
                </pic:pic>
              </a:graphicData>
            </a:graphic>
          </wp:inline>
        </w:drawing>
      </w:r>
    </w:p>
    <w:p w14:paraId="52597B70" w14:textId="571D1D94" w:rsidR="002C056F" w:rsidRPr="007B3DCE" w:rsidRDefault="006B78EA" w:rsidP="00042124">
      <w:pPr>
        <w:pStyle w:val="Note"/>
        <w:spacing w:before="0" w:after="0"/>
      </w:pPr>
      <w:r w:rsidRPr="007B3DCE">
        <w:rPr>
          <w:b/>
        </w:rPr>
        <w:t>a.</w:t>
      </w:r>
      <w:r w:rsidR="00842817" w:rsidRPr="007B3DCE">
        <w:rPr>
          <w:b/>
        </w:rPr>
        <w:t xml:space="preserve"> </w:t>
      </w:r>
      <w:r w:rsidR="00C87816" w:rsidRPr="007B3DCE">
        <w:t>T</w:t>
      </w:r>
      <w:r w:rsidR="00842817" w:rsidRPr="007B3DCE">
        <w:t>he shaded area represents 95% confidence intervals for the linear regression estimates.</w:t>
      </w:r>
    </w:p>
    <w:p w14:paraId="4C9AA87D" w14:textId="77777777" w:rsidR="00EB38DB" w:rsidRPr="000174A4" w:rsidRDefault="00EB38DB" w:rsidP="000174A4">
      <w:pPr>
        <w:pStyle w:val="Source"/>
      </w:pPr>
      <w:r w:rsidRPr="000174A4">
        <w:t xml:space="preserve">Source: AIHW (unpublished) Youth Justice National Minimum Dataset; ABS Estimates and Projections Aboriginal and Torres Strait Islander Australians </w:t>
      </w:r>
    </w:p>
    <w:p w14:paraId="503C10F2" w14:textId="26DB9E6D" w:rsidR="00792184" w:rsidRPr="007B3DCE" w:rsidRDefault="00792184" w:rsidP="00042124">
      <w:pPr>
        <w:pStyle w:val="Heading5"/>
        <w:rPr>
          <w:color w:val="684633" w:themeColor="text1" w:themeShade="BF"/>
        </w:rPr>
      </w:pPr>
      <w:r w:rsidRPr="007B3DCE">
        <w:rPr>
          <w:color w:val="684633" w:themeColor="text1" w:themeShade="BF"/>
        </w:rPr>
        <w:t>The age of criminal responsibility was raised in two jurisdictions</w:t>
      </w:r>
    </w:p>
    <w:p w14:paraId="6CED7B73" w14:textId="4D4F41EE" w:rsidR="00D61F60" w:rsidRDefault="00245A63" w:rsidP="0060585A">
      <w:pPr>
        <w:pStyle w:val="BodyText"/>
        <w:rPr>
          <w:highlight w:val="yellow"/>
        </w:rPr>
      </w:pPr>
      <w:r>
        <w:t>In the second half of 2023, governments in both the Australian Capital Territory and the Northern Territory passed legislation to raise the minimum age of criminal responsibility from 10 to 12 years old.</w:t>
      </w:r>
      <w:r w:rsidR="00C0309F">
        <w:t xml:space="preserve"> </w:t>
      </w:r>
      <w:r w:rsidR="00C06118" w:rsidRPr="00EE5CE4">
        <w:t xml:space="preserve">The </w:t>
      </w:r>
      <w:r w:rsidR="00E4177C" w:rsidRPr="00EE5CE4">
        <w:t>d</w:t>
      </w:r>
      <w:r w:rsidR="76FDAA23" w:rsidRPr="00EE5CE4">
        <w:t xml:space="preserve">ata </w:t>
      </w:r>
      <w:r w:rsidR="00C06118" w:rsidRPr="00EE5CE4">
        <w:t xml:space="preserve">used </w:t>
      </w:r>
      <w:r w:rsidR="76FDAA23" w:rsidRPr="00EE5CE4">
        <w:t xml:space="preserve">in this report </w:t>
      </w:r>
      <w:r w:rsidR="00D65DA6" w:rsidRPr="00EE5CE4">
        <w:t>is from 2022</w:t>
      </w:r>
      <w:r w:rsidR="00D65DA6" w:rsidRPr="00EE5CE4" w:rsidDel="00414C66">
        <w:t>-</w:t>
      </w:r>
      <w:r w:rsidR="00D65DA6" w:rsidRPr="00EE5CE4">
        <w:t xml:space="preserve">23 and precedes </w:t>
      </w:r>
      <w:r w:rsidR="00E4177C" w:rsidRPr="00EE5CE4">
        <w:t>these</w:t>
      </w:r>
      <w:r w:rsidR="00A52A74" w:rsidRPr="00EE5CE4">
        <w:t xml:space="preserve"> </w:t>
      </w:r>
      <w:r w:rsidR="00D65DA6" w:rsidRPr="00EE5CE4">
        <w:t xml:space="preserve">policy </w:t>
      </w:r>
      <w:r w:rsidR="00B619DC" w:rsidRPr="00EE5CE4">
        <w:t>changes</w:t>
      </w:r>
      <w:r w:rsidR="00E02ED9" w:rsidRPr="00EE5CE4">
        <w:t>.</w:t>
      </w:r>
      <w:r w:rsidR="00B619DC" w:rsidRPr="00EE5CE4">
        <w:t xml:space="preserve"> </w:t>
      </w:r>
      <w:r w:rsidR="000F784E" w:rsidRPr="00EE5CE4">
        <w:t xml:space="preserve"> </w:t>
      </w:r>
    </w:p>
    <w:p w14:paraId="6F10C980" w14:textId="77777777" w:rsidR="00962D80" w:rsidRPr="007B3DCE" w:rsidRDefault="00962D80" w:rsidP="00042124">
      <w:pPr>
        <w:pStyle w:val="Heading5"/>
        <w:rPr>
          <w:color w:val="684633" w:themeColor="text1" w:themeShade="BF"/>
        </w:rPr>
      </w:pPr>
      <w:r w:rsidRPr="007B3DCE">
        <w:rPr>
          <w:color w:val="684633" w:themeColor="text1" w:themeShade="BF"/>
        </w:rPr>
        <w:t xml:space="preserve">There are differing trends across jurisdictions </w:t>
      </w:r>
    </w:p>
    <w:p w14:paraId="4AE27300" w14:textId="494AC77B" w:rsidR="00126321" w:rsidRPr="0060585A" w:rsidRDefault="00962D80" w:rsidP="0060585A">
      <w:pPr>
        <w:pStyle w:val="BodyText"/>
        <w:rPr>
          <w:spacing w:val="-2"/>
        </w:rPr>
      </w:pPr>
      <w:r w:rsidRPr="0060585A">
        <w:rPr>
          <w:spacing w:val="-2"/>
        </w:rPr>
        <w:t xml:space="preserve">While </w:t>
      </w:r>
      <w:r w:rsidR="003975C3" w:rsidRPr="0060585A">
        <w:rPr>
          <w:spacing w:val="-2"/>
        </w:rPr>
        <w:t xml:space="preserve">there has been no change in </w:t>
      </w:r>
      <w:r w:rsidRPr="0060585A">
        <w:rPr>
          <w:spacing w:val="-2"/>
        </w:rPr>
        <w:t xml:space="preserve">the trend for the national target, </w:t>
      </w:r>
      <w:r w:rsidR="0F79EE43" w:rsidRPr="0060585A">
        <w:rPr>
          <w:spacing w:val="-2"/>
        </w:rPr>
        <w:t>the</w:t>
      </w:r>
      <w:r w:rsidR="003975C3" w:rsidRPr="0060585A">
        <w:rPr>
          <w:spacing w:val="-2"/>
        </w:rPr>
        <w:t xml:space="preserve">re are differing trends </w:t>
      </w:r>
      <w:r w:rsidRPr="0060585A">
        <w:rPr>
          <w:spacing w:val="-2"/>
        </w:rPr>
        <w:t>at a jurisdictional level (figure 2.2</w:t>
      </w:r>
      <w:r w:rsidR="00EE2E0F" w:rsidRPr="0060585A">
        <w:rPr>
          <w:spacing w:val="-2"/>
        </w:rPr>
        <w:t>6</w:t>
      </w:r>
      <w:r w:rsidRPr="0060585A">
        <w:rPr>
          <w:spacing w:val="-2"/>
        </w:rPr>
        <w:t>). In 2022</w:t>
      </w:r>
      <w:r w:rsidRPr="0060585A" w:rsidDel="00414C66">
        <w:rPr>
          <w:spacing w:val="-2"/>
        </w:rPr>
        <w:t>-</w:t>
      </w:r>
      <w:r w:rsidRPr="0060585A">
        <w:rPr>
          <w:spacing w:val="-2"/>
        </w:rPr>
        <w:t>23, Queensland, the Australian Capital Territory and the Northern Territory had worsening trends compared to 2018</w:t>
      </w:r>
      <w:r w:rsidR="00713CF0" w:rsidRPr="0060585A">
        <w:rPr>
          <w:rFonts w:eastAsiaTheme="minorEastAsia"/>
          <w:spacing w:val="-2"/>
        </w:rPr>
        <w:t>-</w:t>
      </w:r>
      <w:r w:rsidRPr="0060585A">
        <w:rPr>
          <w:spacing w:val="-2"/>
        </w:rPr>
        <w:t xml:space="preserve">19, while there were improvements for the remaining </w:t>
      </w:r>
      <w:r w:rsidR="00666326" w:rsidRPr="0060585A">
        <w:rPr>
          <w:spacing w:val="-2"/>
        </w:rPr>
        <w:t>states</w:t>
      </w:r>
      <w:r w:rsidRPr="0060585A">
        <w:rPr>
          <w:spacing w:val="-2"/>
        </w:rPr>
        <w:t>.</w:t>
      </w:r>
      <w:r w:rsidR="00FB2457" w:rsidRPr="0060585A">
        <w:rPr>
          <w:rStyle w:val="cf01"/>
          <w:rFonts w:asciiTheme="majorHAnsi" w:hAnsiTheme="majorHAnsi" w:cstheme="majorBidi"/>
          <w:color w:val="F2E6DE"/>
          <w:spacing w:val="-2"/>
          <w:sz w:val="42"/>
          <w:szCs w:val="42"/>
        </w:rPr>
        <w:t xml:space="preserve"> </w:t>
      </w:r>
    </w:p>
    <w:p w14:paraId="26F78A87" w14:textId="19587BCD" w:rsidR="00FF06A3" w:rsidRPr="007B3DCE" w:rsidRDefault="7CE15B6D" w:rsidP="00042124">
      <w:pPr>
        <w:pStyle w:val="FigureTableHeading"/>
        <w:keepLines/>
        <w:rPr>
          <w:color w:val="684633" w:themeColor="text1" w:themeShade="BF"/>
        </w:rPr>
      </w:pPr>
      <w:r w:rsidRPr="007B3DCE">
        <w:rPr>
          <w:color w:val="684633" w:themeColor="text1" w:themeShade="BF"/>
        </w:rPr>
        <w:lastRenderedPageBreak/>
        <w:t xml:space="preserve">Figure </w:t>
      </w:r>
      <w:r w:rsidR="00A23FF2" w:rsidRPr="007B3DCE">
        <w:rPr>
          <w:color w:val="684633" w:themeColor="text1" w:themeShade="BF"/>
        </w:rPr>
        <w:t>2</w:t>
      </w:r>
      <w:r w:rsidR="00EF660F" w:rsidRPr="007B3DCE">
        <w:rPr>
          <w:color w:val="684633" w:themeColor="text1" w:themeShade="BF"/>
        </w:rPr>
        <w:t>.</w:t>
      </w:r>
      <w:r w:rsidR="0036545D" w:rsidRPr="007B3DCE">
        <w:rPr>
          <w:color w:val="684633" w:themeColor="text1" w:themeShade="BF"/>
        </w:rPr>
        <w:t>26</w:t>
      </w:r>
      <w:r w:rsidRPr="007B3DCE">
        <w:rPr>
          <w:color w:val="684633" w:themeColor="text1" w:themeShade="BF"/>
        </w:rPr>
        <w:t xml:space="preserve"> – </w:t>
      </w:r>
      <w:r w:rsidR="007C63B7" w:rsidRPr="007B3DCE">
        <w:rPr>
          <w:color w:val="684633" w:themeColor="text1" w:themeShade="BF"/>
        </w:rPr>
        <w:t>Y</w:t>
      </w:r>
      <w:r w:rsidR="663AFFDD" w:rsidRPr="007B3DCE">
        <w:rPr>
          <w:color w:val="684633" w:themeColor="text1" w:themeShade="BF"/>
        </w:rPr>
        <w:t xml:space="preserve">outh detention </w:t>
      </w:r>
      <w:r w:rsidR="007C63B7" w:rsidRPr="007B3DCE">
        <w:rPr>
          <w:color w:val="684633" w:themeColor="text1" w:themeShade="BF"/>
        </w:rPr>
        <w:t>rate</w:t>
      </w:r>
      <w:r w:rsidR="663AFFDD" w:rsidRPr="007B3DCE">
        <w:rPr>
          <w:color w:val="684633" w:themeColor="text1" w:themeShade="BF"/>
        </w:rPr>
        <w:t xml:space="preserve"> </w:t>
      </w:r>
      <w:r w:rsidRPr="007B3DCE">
        <w:rPr>
          <w:color w:val="684633" w:themeColor="text1" w:themeShade="BF"/>
        </w:rPr>
        <w:t>by jurisdiction</w:t>
      </w:r>
    </w:p>
    <w:p w14:paraId="1715A8EB" w14:textId="77777777" w:rsidR="00B265BE" w:rsidRDefault="7CE15B6D" w:rsidP="00042124">
      <w:pPr>
        <w:pStyle w:val="FigureTableHeading"/>
        <w:spacing w:before="0"/>
      </w:pPr>
      <w:r w:rsidRPr="007B3DCE">
        <w:t>Rate of Aboriginal and Torres Strait Islander young people in detention on an average day</w:t>
      </w:r>
      <w:r w:rsidR="00302D9C" w:rsidRPr="007B3DCE">
        <w:t xml:space="preserve"> per 10,000 young people (aged 10</w:t>
      </w:r>
      <w:r w:rsidR="0055117D" w:rsidRPr="007B3DCE">
        <w:t>–</w:t>
      </w:r>
      <w:r w:rsidR="00302D9C" w:rsidRPr="007B3DCE">
        <w:t>17</w:t>
      </w:r>
      <w:r w:rsidR="0055117D" w:rsidRPr="007B3DCE">
        <w:t xml:space="preserve"> years</w:t>
      </w:r>
      <w:r w:rsidR="00302D9C" w:rsidRPr="007B3DCE">
        <w:t>)</w:t>
      </w:r>
    </w:p>
    <w:p w14:paraId="6C9F4B1E" w14:textId="3B6C834F" w:rsidR="001176B0" w:rsidRDefault="001176B0" w:rsidP="00042124">
      <w:pPr>
        <w:pStyle w:val="FigureTableHeading"/>
        <w:spacing w:before="120"/>
      </w:pPr>
      <w:r w:rsidRPr="001176B0">
        <w:rPr>
          <w:noProof/>
        </w:rPr>
        <w:drawing>
          <wp:inline distT="0" distB="0" distL="0" distR="0" wp14:anchorId="7BBAC795" wp14:editId="54925096">
            <wp:extent cx="6120130" cy="2655277"/>
            <wp:effectExtent l="0" t="0" r="0" b="0"/>
            <wp:docPr id="568391974" name="Picture 199" descr="Figure 2.26 is a column chart that shows the youth detention rate per 10,000 Aboriginal and Torres Strait Islander young people aged 10-17 years by jurisdiction from 2018-19 to 2022-23. The chart shows significant variations across states and territories, with the Northern Territory and Western Australia having the highest detention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91974" name="Picture 199" descr="Figure 2.26 is a column chart that shows the youth detention rate per 10,000 Aboriginal and Torres Strait Islander young people aged 10-17 years by jurisdiction from 2018-19 to 2022-23. The chart shows significant variations across states and territories, with the Northern Territory and Western Australia having the highest detention rates."/>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7733"/>
                    <a:stretch/>
                  </pic:blipFill>
                  <pic:spPr bwMode="auto">
                    <a:xfrm>
                      <a:off x="0" y="0"/>
                      <a:ext cx="6120130" cy="2655277"/>
                    </a:xfrm>
                    <a:prstGeom prst="rect">
                      <a:avLst/>
                    </a:prstGeom>
                    <a:noFill/>
                    <a:ln>
                      <a:noFill/>
                    </a:ln>
                    <a:extLst>
                      <a:ext uri="{53640926-AAD7-44D8-BBD7-CCE9431645EC}">
                        <a14:shadowObscured xmlns:a14="http://schemas.microsoft.com/office/drawing/2010/main"/>
                      </a:ext>
                    </a:extLst>
                  </pic:spPr>
                </pic:pic>
              </a:graphicData>
            </a:graphic>
          </wp:inline>
        </w:drawing>
      </w:r>
    </w:p>
    <w:p w14:paraId="5598444E" w14:textId="5A0A9F9F" w:rsidR="00721CE9" w:rsidRDefault="00721CE9" w:rsidP="00042124">
      <w:pPr>
        <w:pStyle w:val="Source"/>
      </w:pPr>
      <w:r>
        <w:t>Source: AIHW (unpublished) Youth Justice National Minimum Dataset; ABS Estimates and Project</w:t>
      </w:r>
      <w:r w:rsidR="00542D1F">
        <w:t>ions Aboriginal and Torres Strait Islander Australians.</w:t>
      </w:r>
    </w:p>
    <w:p w14:paraId="11749906" w14:textId="5247B783" w:rsidR="00FF2065" w:rsidRPr="007B3DCE" w:rsidRDefault="00361B14" w:rsidP="0060585A">
      <w:pPr>
        <w:pStyle w:val="BodyText"/>
      </w:pPr>
      <w:r w:rsidRPr="007B3DCE">
        <w:t>N</w:t>
      </w:r>
      <w:r w:rsidR="00FD448C" w:rsidRPr="007B3DCE">
        <w:t xml:space="preserve">ationally, </w:t>
      </w:r>
      <w:r w:rsidR="00CD1D59" w:rsidRPr="007B3DCE">
        <w:t xml:space="preserve">in </w:t>
      </w:r>
      <w:r w:rsidR="00FA39A0" w:rsidRPr="007B3DCE">
        <w:t>2022-23</w:t>
      </w:r>
      <w:r w:rsidR="002F5086">
        <w:t>,</w:t>
      </w:r>
      <w:r w:rsidR="00FD448C" w:rsidRPr="007B3DCE">
        <w:t xml:space="preserve"> Aboriginal and Torres Strait Islander young men </w:t>
      </w:r>
      <w:r w:rsidR="003975C3" w:rsidRPr="007B3DCE">
        <w:t>(aged 10</w:t>
      </w:r>
      <w:r w:rsidR="00414C66" w:rsidRPr="00216127">
        <w:rPr>
          <w:rStyle w:val="normaltextrun"/>
          <w:rFonts w:ascii="Arial (Body)" w:hAnsi="Arial (Body)" w:cs="Arial"/>
          <w:color w:val="000000"/>
          <w:bdr w:val="none" w:sz="0" w:space="0" w:color="auto" w:frame="1"/>
        </w:rPr>
        <w:t>–</w:t>
      </w:r>
      <w:r w:rsidR="003975C3" w:rsidRPr="007B3DCE">
        <w:t xml:space="preserve">17 years) </w:t>
      </w:r>
      <w:r w:rsidR="00CC75E3" w:rsidRPr="007B3DCE">
        <w:t>were</w:t>
      </w:r>
      <w:r w:rsidR="00FD448C" w:rsidRPr="007B3DCE">
        <w:t xml:space="preserve"> 7 times more likely than Aboriginal and Torres Strait Islander young women to be in detention</w:t>
      </w:r>
      <w:r w:rsidR="00B44346" w:rsidRPr="007B3DCE">
        <w:t xml:space="preserve"> (figure 2.2</w:t>
      </w:r>
      <w:r w:rsidR="00EE2E0F" w:rsidRPr="007B3DCE">
        <w:t>7</w:t>
      </w:r>
      <w:r w:rsidR="00B44346" w:rsidRPr="007B3DCE">
        <w:t>)</w:t>
      </w:r>
      <w:r w:rsidR="00963877" w:rsidRPr="007B3DCE">
        <w:t>.</w:t>
      </w:r>
      <w:r w:rsidR="00FD448C" w:rsidRPr="007B3DCE">
        <w:t xml:space="preserve"> Aboriginal and Torres Strait Islander young people aged 14</w:t>
      </w:r>
      <w:r w:rsidR="00414C66" w:rsidRPr="00216127">
        <w:rPr>
          <w:rStyle w:val="PlaceholderText"/>
          <w:rFonts w:ascii="Arial (Body)" w:hAnsi="Arial (Body)" w:cs="Arial"/>
          <w:color w:val="000000"/>
          <w:bdr w:val="none" w:sz="0" w:space="0" w:color="auto" w:frame="1"/>
        </w:rPr>
        <w:t xml:space="preserve"> </w:t>
      </w:r>
      <w:r w:rsidR="00414C66" w:rsidRPr="00216127">
        <w:rPr>
          <w:rStyle w:val="normaltextrun"/>
          <w:rFonts w:ascii="Arial (Body)" w:hAnsi="Arial (Body)" w:cs="Arial"/>
          <w:color w:val="000000"/>
          <w:bdr w:val="none" w:sz="0" w:space="0" w:color="auto" w:frame="1"/>
        </w:rPr>
        <w:t>–</w:t>
      </w:r>
      <w:r w:rsidR="00FD448C" w:rsidRPr="007B3DCE">
        <w:t xml:space="preserve">17 years </w:t>
      </w:r>
      <w:r w:rsidR="00CC75E3" w:rsidRPr="007B3DCE">
        <w:t>were</w:t>
      </w:r>
      <w:r w:rsidR="00FD448C" w:rsidRPr="007B3DCE">
        <w:t xml:space="preserve"> 13 times more likely to be in detention tha</w:t>
      </w:r>
      <w:r w:rsidR="00741751">
        <w:t>n</w:t>
      </w:r>
      <w:r w:rsidR="00FD448C" w:rsidRPr="007B3DCE">
        <w:t xml:space="preserve"> those aged 10</w:t>
      </w:r>
      <w:r w:rsidR="00414C66" w:rsidRPr="00216127">
        <w:rPr>
          <w:rStyle w:val="PlaceholderText"/>
          <w:rFonts w:ascii="Arial (Body)" w:hAnsi="Arial (Body)" w:cs="Arial"/>
          <w:color w:val="000000"/>
          <w:bdr w:val="none" w:sz="0" w:space="0" w:color="auto" w:frame="1"/>
        </w:rPr>
        <w:t xml:space="preserve"> </w:t>
      </w:r>
      <w:r w:rsidR="00414C66" w:rsidRPr="00216127">
        <w:rPr>
          <w:rStyle w:val="normaltextrun"/>
          <w:rFonts w:ascii="Arial (Body)" w:hAnsi="Arial (Body)" w:cs="Arial"/>
          <w:color w:val="000000"/>
          <w:bdr w:val="none" w:sz="0" w:space="0" w:color="auto" w:frame="1"/>
        </w:rPr>
        <w:t>–</w:t>
      </w:r>
      <w:r w:rsidR="00FD448C" w:rsidRPr="007B3DCE">
        <w:t xml:space="preserve">13 years. </w:t>
      </w:r>
    </w:p>
    <w:p w14:paraId="288646B1" w14:textId="1322D86A" w:rsidR="00565E64" w:rsidRPr="007B3DCE" w:rsidRDefault="00565E64" w:rsidP="00042124">
      <w:pPr>
        <w:pStyle w:val="FigureTableHeading"/>
        <w:rPr>
          <w:color w:val="684633" w:themeColor="text1" w:themeShade="BF"/>
        </w:rPr>
      </w:pPr>
      <w:r w:rsidRPr="007B3DCE">
        <w:rPr>
          <w:color w:val="684633" w:themeColor="text1" w:themeShade="BF"/>
        </w:rPr>
        <w:t xml:space="preserve">Figure </w:t>
      </w:r>
      <w:r w:rsidR="00A23FF2" w:rsidRPr="007B3DCE">
        <w:rPr>
          <w:color w:val="684633" w:themeColor="text1" w:themeShade="BF"/>
        </w:rPr>
        <w:t>2</w:t>
      </w:r>
      <w:r w:rsidR="00195A1A" w:rsidRPr="007B3DCE">
        <w:rPr>
          <w:color w:val="684633" w:themeColor="text1" w:themeShade="BF"/>
        </w:rPr>
        <w:t>.</w:t>
      </w:r>
      <w:r w:rsidR="0036545D" w:rsidRPr="007B3DCE">
        <w:rPr>
          <w:color w:val="684633" w:themeColor="text1" w:themeShade="BF"/>
        </w:rPr>
        <w:t>27</w:t>
      </w:r>
      <w:r w:rsidRPr="007B3DCE">
        <w:rPr>
          <w:color w:val="684633" w:themeColor="text1" w:themeShade="BF"/>
        </w:rPr>
        <w:t xml:space="preserve"> – </w:t>
      </w:r>
      <w:r w:rsidR="003975C3" w:rsidRPr="007B3DCE">
        <w:rPr>
          <w:color w:val="684633" w:themeColor="text1" w:themeShade="BF"/>
        </w:rPr>
        <w:t>Y</w:t>
      </w:r>
      <w:r w:rsidR="35183C8B" w:rsidRPr="007B3DCE">
        <w:rPr>
          <w:color w:val="684633" w:themeColor="text1" w:themeShade="BF"/>
        </w:rPr>
        <w:t xml:space="preserve">outh detention </w:t>
      </w:r>
      <w:r w:rsidR="003975C3" w:rsidRPr="007B3DCE">
        <w:rPr>
          <w:color w:val="684633" w:themeColor="text1" w:themeShade="BF"/>
        </w:rPr>
        <w:t>rate</w:t>
      </w:r>
      <w:r w:rsidR="35183C8B" w:rsidRPr="007B3DCE">
        <w:rPr>
          <w:color w:val="684633" w:themeColor="text1" w:themeShade="BF"/>
        </w:rPr>
        <w:t xml:space="preserve"> by sex and age</w:t>
      </w:r>
    </w:p>
    <w:p w14:paraId="79D84CFF" w14:textId="3AB9D14B" w:rsidR="00565E64" w:rsidRPr="007B3DCE" w:rsidRDefault="703C8D90" w:rsidP="00042124">
      <w:pPr>
        <w:pStyle w:val="FigureTableSubheading"/>
        <w:rPr>
          <w:color w:val="8C5E44" w:themeColor="text1"/>
        </w:rPr>
      </w:pPr>
      <w:r w:rsidRPr="007B3DCE">
        <w:rPr>
          <w:color w:val="8C5E44" w:themeColor="text1"/>
        </w:rPr>
        <w:t>R</w:t>
      </w:r>
      <w:r w:rsidR="00565E64" w:rsidRPr="007B3DCE">
        <w:rPr>
          <w:color w:val="8C5E44" w:themeColor="text1"/>
        </w:rPr>
        <w:t>ate of Aboriginal and Torres Strait Islander young people in detention on an average day</w:t>
      </w:r>
      <w:r w:rsidR="00CB0C59" w:rsidRPr="007B3DCE">
        <w:rPr>
          <w:color w:val="8C5E44" w:themeColor="text1"/>
        </w:rPr>
        <w:t xml:space="preserve"> per 10,000 young people (aged 10</w:t>
      </w:r>
      <w:r w:rsidR="00E2588A" w:rsidRPr="007B3DCE">
        <w:rPr>
          <w:color w:val="8C5E44" w:themeColor="text1"/>
        </w:rPr>
        <w:t>–</w:t>
      </w:r>
      <w:r w:rsidR="00CB0C59" w:rsidRPr="007B3DCE">
        <w:rPr>
          <w:color w:val="8C5E44" w:themeColor="text1"/>
        </w:rPr>
        <w:t>17</w:t>
      </w:r>
      <w:r w:rsidR="00B640A7" w:rsidRPr="007B3DCE">
        <w:rPr>
          <w:color w:val="8C5E44" w:themeColor="text1"/>
        </w:rPr>
        <w:t xml:space="preserve"> years</w:t>
      </w:r>
      <w:r w:rsidR="00CB0C59" w:rsidRPr="007B3DCE">
        <w:rPr>
          <w:color w:val="8C5E44" w:themeColor="text1"/>
        </w:rPr>
        <w:t>)</w:t>
      </w:r>
    </w:p>
    <w:p w14:paraId="2031416D" w14:textId="588D20B5" w:rsidR="5A8321B0" w:rsidRPr="007B3DCE" w:rsidRDefault="00B31C63" w:rsidP="00042124">
      <w:r w:rsidRPr="00B31C63">
        <w:rPr>
          <w:noProof/>
        </w:rPr>
        <w:drawing>
          <wp:inline distT="0" distB="0" distL="0" distR="0" wp14:anchorId="0D63ED9A" wp14:editId="6FE08C17">
            <wp:extent cx="6113145" cy="2233246"/>
            <wp:effectExtent l="0" t="0" r="1905" b="0"/>
            <wp:docPr id="2141610503" name="Picture 202" descr="Figure 2.27 is a column chart that shows the youth detention rate by sex and age for Aboriginal and Torres Strait Islander young people aged 10-17 years, on an average day per 10,000 young people from 2018-19 to 2022-23. The chart is divided into two panels: one for males and females, and another for different age groups (10-13 years and 14-17 years). The detention rate for males remains significantly higher than for females across all years. Among age groups, the rate for 14-17 year-olds is consistently higher than for 10-13 year-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10503" name="Picture 202" descr="Figure 2.27 is a column chart that shows the youth detention rate by sex and age for Aboriginal and Torres Strait Islander young people aged 10-17 years, on an average day per 10,000 young people from 2018-19 to 2022-23. The chart is divided into two panels: one for males and females, and another for different age groups (10-13 years and 14-17 years). The detention rate for males remains significantly higher than for females across all years. Among age groups, the rate for 14-17 year-olds is consistently higher than for 10-13 year-olds."/>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4075"/>
                    <a:stretch/>
                  </pic:blipFill>
                  <pic:spPr bwMode="auto">
                    <a:xfrm>
                      <a:off x="0" y="0"/>
                      <a:ext cx="6113145" cy="2233246"/>
                    </a:xfrm>
                    <a:prstGeom prst="rect">
                      <a:avLst/>
                    </a:prstGeom>
                    <a:noFill/>
                    <a:ln>
                      <a:noFill/>
                    </a:ln>
                    <a:extLst>
                      <a:ext uri="{53640926-AAD7-44D8-BBD7-CCE9431645EC}">
                        <a14:shadowObscured xmlns:a14="http://schemas.microsoft.com/office/drawing/2010/main"/>
                      </a:ext>
                    </a:extLst>
                  </pic:spPr>
                </pic:pic>
              </a:graphicData>
            </a:graphic>
          </wp:inline>
        </w:drawing>
      </w:r>
    </w:p>
    <w:p w14:paraId="0AD4AD86" w14:textId="7A4F677A" w:rsidR="00F0174A" w:rsidRPr="00745E01" w:rsidRDefault="006749AB" w:rsidP="00745E01">
      <w:pPr>
        <w:pStyle w:val="Source"/>
      </w:pPr>
      <w:r w:rsidRPr="00745E01">
        <w:t xml:space="preserve">Source: AIHW (unpublished) Youth Justice National Minimum Dataset, ABS Estimates and Projections Aboriginal and Torres Strait Islander Australians </w:t>
      </w:r>
    </w:p>
    <w:p w14:paraId="1C3EB029" w14:textId="77777777" w:rsidR="0037739C" w:rsidRDefault="0037739C">
      <w:pPr>
        <w:spacing w:before="0" w:after="160" w:line="259" w:lineRule="auto"/>
      </w:pPr>
      <w:r>
        <w:br w:type="page"/>
      </w:r>
    </w:p>
    <w:p w14:paraId="1ECB8FD8" w14:textId="074925E0" w:rsidR="00F0174A" w:rsidRPr="007B3DCE" w:rsidRDefault="0070628C" w:rsidP="0060585A">
      <w:pPr>
        <w:pStyle w:val="BodyText"/>
        <w:rPr>
          <w:rStyle w:val="DraftingNoteChar"/>
        </w:rPr>
      </w:pPr>
      <w:r w:rsidRPr="007B3DCE">
        <w:lastRenderedPageBreak/>
        <w:t xml:space="preserve">There are two main types of supervision in the youth justice system </w:t>
      </w:r>
      <w:r w:rsidR="00741751" w:rsidRPr="00216127">
        <w:rPr>
          <w:rStyle w:val="normaltextrun"/>
          <w:rFonts w:ascii="Arial (Body)" w:hAnsi="Arial (Body)" w:cs="Arial"/>
          <w:color w:val="000000"/>
          <w:bdr w:val="none" w:sz="0" w:space="0" w:color="auto" w:frame="1"/>
        </w:rPr>
        <w:t>–</w:t>
      </w:r>
      <w:r w:rsidRPr="007B3DCE">
        <w:t xml:space="preserve"> community</w:t>
      </w:r>
      <w:r w:rsidR="00E9152B" w:rsidRPr="00216127">
        <w:rPr>
          <w:rStyle w:val="normaltextrun"/>
          <w:rFonts w:ascii="Arial (Body)" w:hAnsi="Arial (Body)" w:cs="Arial"/>
          <w:color w:val="000000"/>
          <w:bdr w:val="none" w:sz="0" w:space="0" w:color="auto" w:frame="1"/>
        </w:rPr>
        <w:t>–</w:t>
      </w:r>
      <w:r w:rsidRPr="007B3DCE">
        <w:t>based supervision and youth detention.</w:t>
      </w:r>
      <w:r w:rsidR="00666326" w:rsidRPr="007B3DCE">
        <w:t xml:space="preserve"> </w:t>
      </w:r>
      <w:r w:rsidR="00F0174A" w:rsidRPr="007B3DCE">
        <w:t>New data for two supporting indicators – Indicators 11h and 11c</w:t>
      </w:r>
      <w:r w:rsidR="009F3AB2" w:rsidRPr="007B3DCE">
        <w:t xml:space="preserve"> </w:t>
      </w:r>
      <w:r w:rsidR="003975C3" w:rsidRPr="007B3DCE">
        <w:t>–</w:t>
      </w:r>
      <w:r w:rsidR="00F0174A" w:rsidRPr="007B3DCE">
        <w:t xml:space="preserve"> </w:t>
      </w:r>
      <w:r w:rsidR="003975C3" w:rsidRPr="007B3DCE">
        <w:t>provide</w:t>
      </w:r>
      <w:r w:rsidR="00396D37" w:rsidRPr="007B3DCE">
        <w:t>s</w:t>
      </w:r>
      <w:r w:rsidR="003975C3" w:rsidRPr="007B3DCE">
        <w:t xml:space="preserve"> an insight into the</w:t>
      </w:r>
      <w:r w:rsidR="00F0174A" w:rsidRPr="007B3DCE">
        <w:t xml:space="preserve"> experiences of young people </w:t>
      </w:r>
      <w:r w:rsidR="00396D37" w:rsidRPr="007B3DCE">
        <w:t>at</w:t>
      </w:r>
      <w:r w:rsidR="00F0174A" w:rsidRPr="007B3DCE">
        <w:t xml:space="preserve"> different points of the justice system, including</w:t>
      </w:r>
      <w:r w:rsidR="00396D37" w:rsidRPr="007B3DCE">
        <w:t>:</w:t>
      </w:r>
      <w:r w:rsidR="00F0174A" w:rsidRPr="007B3DCE">
        <w:t xml:space="preserve"> the age at which </w:t>
      </w:r>
      <w:r w:rsidR="00396D37" w:rsidRPr="007B3DCE">
        <w:t>they</w:t>
      </w:r>
      <w:r w:rsidR="00F0174A" w:rsidRPr="007B3DCE">
        <w:t xml:space="preserve"> first come into youth justice supervision, and more specifically, youth detention</w:t>
      </w:r>
      <w:r w:rsidR="00396D37" w:rsidRPr="007B3DCE">
        <w:t>;</w:t>
      </w:r>
      <w:r w:rsidR="00F0174A" w:rsidRPr="007B3DCE">
        <w:t xml:space="preserve"> the proportion of young defendants finalised in criminal courts (for 10–13</w:t>
      </w:r>
      <w:r w:rsidR="00396D37" w:rsidRPr="007B3DCE">
        <w:t xml:space="preserve"> </w:t>
      </w:r>
      <w:r w:rsidR="00F0174A" w:rsidRPr="007B3DCE">
        <w:t>year-olds)</w:t>
      </w:r>
      <w:r w:rsidR="00396D37" w:rsidRPr="007B3DCE">
        <w:t>;</w:t>
      </w:r>
      <w:r w:rsidR="00F0174A" w:rsidRPr="007B3DCE">
        <w:t xml:space="preserve"> and the proportion of alleged young offenders involved in police proceedings.</w:t>
      </w:r>
      <w:r w:rsidR="000626DF" w:rsidRPr="007B3DCE">
        <w:t xml:space="preserve"> </w:t>
      </w:r>
    </w:p>
    <w:p w14:paraId="346F14F8" w14:textId="372AF43F" w:rsidR="00996146" w:rsidRPr="007B3DCE" w:rsidRDefault="00996146" w:rsidP="00042124">
      <w:pPr>
        <w:pStyle w:val="Heading5"/>
        <w:rPr>
          <w:color w:val="684633" w:themeColor="text1" w:themeShade="BF"/>
        </w:rPr>
      </w:pPr>
      <w:r w:rsidRPr="007B3DCE">
        <w:rPr>
          <w:color w:val="684633" w:themeColor="text1" w:themeShade="BF"/>
        </w:rPr>
        <w:t>Young people are entering the youth justice system at older ages</w:t>
      </w:r>
    </w:p>
    <w:p w14:paraId="76410C19" w14:textId="65CF7121" w:rsidR="00051E3D" w:rsidRPr="007B3DCE" w:rsidRDefault="00996146" w:rsidP="0060585A">
      <w:pPr>
        <w:pStyle w:val="BodyText"/>
      </w:pPr>
      <w:r w:rsidRPr="007B3DCE">
        <w:t>Nationally, the age at entry for youth supervision</w:t>
      </w:r>
      <w:r w:rsidR="70F3A278" w:rsidRPr="007B3DCE">
        <w:t>, including</w:t>
      </w:r>
      <w:r w:rsidRPr="007B3DCE">
        <w:t xml:space="preserve"> </w:t>
      </w:r>
      <w:r w:rsidR="49C322F7" w:rsidRPr="007B3DCE">
        <w:t>youth</w:t>
      </w:r>
      <w:r w:rsidRPr="007B3DCE">
        <w:t xml:space="preserve"> detention has increased</w:t>
      </w:r>
      <w:r w:rsidR="797C961D" w:rsidRPr="007B3DCE">
        <w:t>,</w:t>
      </w:r>
      <w:r w:rsidRPr="007B3DCE">
        <w:t xml:space="preserve"> highlight</w:t>
      </w:r>
      <w:r w:rsidR="39031A4D" w:rsidRPr="007B3DCE">
        <w:t>ed</w:t>
      </w:r>
      <w:r w:rsidRPr="007B3DCE">
        <w:t xml:space="preserve"> by the decreasing proportion of entries </w:t>
      </w:r>
      <w:r w:rsidR="00E86AD6" w:rsidRPr="007B3DCE">
        <w:t xml:space="preserve">by </w:t>
      </w:r>
      <w:r w:rsidRPr="007B3DCE">
        <w:t>young</w:t>
      </w:r>
      <w:r w:rsidR="00E86AD6" w:rsidRPr="007B3DCE">
        <w:t xml:space="preserve"> people aged 10</w:t>
      </w:r>
      <w:r w:rsidR="00C92B7E" w:rsidRPr="007B3DCE">
        <w:t>–</w:t>
      </w:r>
      <w:r w:rsidR="00E86AD6" w:rsidRPr="007B3DCE">
        <w:t>13</w:t>
      </w:r>
      <w:r w:rsidR="00C0543D" w:rsidRPr="007B3DCE">
        <w:t xml:space="preserve"> years</w:t>
      </w:r>
      <w:r w:rsidRPr="007B3DCE">
        <w:t>. The proportion of young Aboriginal and Torres Strait Islander people under youth justice supervision that first entered supervision when aged 10</w:t>
      </w:r>
      <w:r w:rsidR="00C92B7E" w:rsidRPr="007B3DCE">
        <w:t>–</w:t>
      </w:r>
      <w:r w:rsidRPr="007B3DCE">
        <w:t>13</w:t>
      </w:r>
      <w:r w:rsidR="00C0543D" w:rsidRPr="007B3DCE" w:rsidDel="00741751">
        <w:t xml:space="preserve"> </w:t>
      </w:r>
      <w:r w:rsidR="00C0543D" w:rsidRPr="007B3DCE">
        <w:t>years</w:t>
      </w:r>
      <w:r w:rsidRPr="007B3DCE">
        <w:t xml:space="preserve"> has decreased each year since the baseline rate of 38% in 2018</w:t>
      </w:r>
      <w:r w:rsidRPr="00216127" w:rsidDel="00741751">
        <w:rPr>
          <w:rStyle w:val="normaltextrun"/>
          <w:rFonts w:ascii="Arial (Body)" w:hAnsi="Arial (Body)" w:cs="Arial"/>
          <w:color w:val="000000"/>
          <w:bdr w:val="none" w:sz="0" w:space="0" w:color="auto" w:frame="1"/>
        </w:rPr>
        <w:t>-</w:t>
      </w:r>
      <w:r w:rsidRPr="007B3DCE">
        <w:t>19, reaching just over one third (34%) in 2022-23 (figure 2.2</w:t>
      </w:r>
      <w:r w:rsidR="006E5488" w:rsidRPr="007B3DCE">
        <w:t>8</w:t>
      </w:r>
      <w:r w:rsidRPr="007B3DCE">
        <w:t>). Nationally, of all Aboriginal and Torres Strait Islander young people in youth detention in 2022</w:t>
      </w:r>
      <w:r w:rsidR="00995819">
        <w:t>-</w:t>
      </w:r>
      <w:r w:rsidRPr="007B3DCE">
        <w:t>23, 37.1% entered youth detention aged 10</w:t>
      </w:r>
      <w:r w:rsidR="00B210C7" w:rsidRPr="007B3DCE">
        <w:t>–</w:t>
      </w:r>
      <w:r w:rsidRPr="007B3DCE">
        <w:t>13 years, which is a lower rate than the baseline of 39.2% in 2018</w:t>
      </w:r>
      <w:r w:rsidR="00995819" w:rsidRPr="00216127">
        <w:rPr>
          <w:rStyle w:val="normaltextrun"/>
          <w:rFonts w:ascii="Arial (Body)" w:hAnsi="Arial (Body)" w:cs="Arial"/>
          <w:color w:val="000000"/>
          <w:bdr w:val="none" w:sz="0" w:space="0" w:color="auto" w:frame="1"/>
        </w:rPr>
        <w:t>-</w:t>
      </w:r>
      <w:r w:rsidRPr="007B3DCE">
        <w:t>19 (figure 2.2</w:t>
      </w:r>
      <w:r w:rsidR="006E5488" w:rsidRPr="007B3DCE">
        <w:t>9</w:t>
      </w:r>
      <w:r w:rsidRPr="007B3DCE">
        <w:t>).</w:t>
      </w:r>
    </w:p>
    <w:p w14:paraId="1EA7B725" w14:textId="0D58F140" w:rsidR="333BCDD9" w:rsidRPr="007B3DCE" w:rsidRDefault="3D154C3B" w:rsidP="0060585A">
      <w:pPr>
        <w:pStyle w:val="BodyText"/>
      </w:pPr>
      <w:r w:rsidRPr="007B3DCE">
        <w:t xml:space="preserve">Age at entry for youth justice supervision has increased in all </w:t>
      </w:r>
      <w:r w:rsidR="57CAA35A" w:rsidRPr="007B3DCE">
        <w:t>jurisdictions</w:t>
      </w:r>
      <w:r w:rsidR="0DFB74C6" w:rsidRPr="007B3DCE">
        <w:t xml:space="preserve"> with available data between </w:t>
      </w:r>
      <w:r w:rsidR="002F5086">
        <w:br/>
      </w:r>
      <w:r w:rsidR="0DFB74C6" w:rsidRPr="007B3DCE">
        <w:t>2018</w:t>
      </w:r>
      <w:r w:rsidR="00995819">
        <w:t>-</w:t>
      </w:r>
      <w:r w:rsidR="0DFB74C6" w:rsidRPr="007B3DCE">
        <w:t>19 and 2022</w:t>
      </w:r>
      <w:r w:rsidR="00995819" w:rsidRPr="00216127">
        <w:rPr>
          <w:rStyle w:val="normaltextrun"/>
          <w:rFonts w:ascii="Arial (Body)" w:hAnsi="Arial (Body)" w:cs="Arial"/>
          <w:color w:val="000000"/>
          <w:bdr w:val="none" w:sz="0" w:space="0" w:color="auto" w:frame="1"/>
        </w:rPr>
        <w:t>-</w:t>
      </w:r>
      <w:r w:rsidR="0DFB74C6" w:rsidRPr="007B3DCE">
        <w:t>23</w:t>
      </w:r>
      <w:r w:rsidR="43628171" w:rsidRPr="007B3DCE">
        <w:t xml:space="preserve"> (New South Wales, Victoria, Queensland, Western Australia and South Australia)</w:t>
      </w:r>
      <w:r w:rsidR="57CAA35A" w:rsidRPr="007B3DCE">
        <w:t>, as the proportion of young children entering youth justice supervision aged</w:t>
      </w:r>
      <w:r w:rsidR="2CBFDAC6" w:rsidRPr="007B3DCE">
        <w:t xml:space="preserve"> 10</w:t>
      </w:r>
      <w:r w:rsidR="00C0543D" w:rsidRPr="007B3DCE">
        <w:t>–</w:t>
      </w:r>
      <w:r w:rsidR="2CBFDAC6" w:rsidRPr="007B3DCE">
        <w:t>13</w:t>
      </w:r>
      <w:r w:rsidR="57CAA35A" w:rsidRPr="007B3DCE">
        <w:t xml:space="preserve"> </w:t>
      </w:r>
      <w:r w:rsidR="00C0543D" w:rsidRPr="007B3DCE">
        <w:t>years</w:t>
      </w:r>
      <w:r w:rsidR="57CAA35A" w:rsidRPr="007B3DCE">
        <w:t xml:space="preserve"> </w:t>
      </w:r>
      <w:r w:rsidR="0A85121F" w:rsidRPr="007B3DCE">
        <w:t>has decreased</w:t>
      </w:r>
      <w:r w:rsidR="3896391E" w:rsidRPr="007B3DCE">
        <w:t xml:space="preserve">. </w:t>
      </w:r>
      <w:r w:rsidR="333BCDD9" w:rsidRPr="007B3DCE">
        <w:t>For youth detention, the proportion of young people in detention in 2022</w:t>
      </w:r>
      <w:r w:rsidR="00E9152B" w:rsidRPr="00216127">
        <w:rPr>
          <w:rStyle w:val="normaltextrun"/>
          <w:rFonts w:ascii="Arial (Body)" w:hAnsi="Arial (Body)" w:cs="Arial"/>
          <w:color w:val="000000"/>
          <w:bdr w:val="none" w:sz="0" w:space="0" w:color="auto" w:frame="1"/>
        </w:rPr>
        <w:t>-</w:t>
      </w:r>
      <w:r w:rsidR="333BCDD9" w:rsidRPr="007B3DCE">
        <w:t xml:space="preserve">23 who were </w:t>
      </w:r>
      <w:r w:rsidR="0044027C" w:rsidRPr="007B3DCE">
        <w:t xml:space="preserve">aged </w:t>
      </w:r>
      <w:r w:rsidR="333BCDD9" w:rsidRPr="007B3DCE">
        <w:t>10</w:t>
      </w:r>
      <w:r w:rsidR="00B210C7" w:rsidRPr="007B3DCE">
        <w:t>–</w:t>
      </w:r>
      <w:r w:rsidR="333BCDD9" w:rsidRPr="007B3DCE">
        <w:t xml:space="preserve">13 years when they </w:t>
      </w:r>
      <w:r w:rsidR="00D26CF5" w:rsidRPr="007B3DCE">
        <w:t xml:space="preserve">first </w:t>
      </w:r>
      <w:r w:rsidR="333BCDD9" w:rsidRPr="007B3DCE">
        <w:t>entered youth detention increased in Queensland and Tasmania (compared to 2018</w:t>
      </w:r>
      <w:r w:rsidR="00D62F21" w:rsidRPr="00216127">
        <w:rPr>
          <w:rStyle w:val="normaltextrun"/>
          <w:rFonts w:ascii="Arial (Body)" w:hAnsi="Arial (Body)" w:cs="Arial"/>
          <w:color w:val="000000"/>
          <w:bdr w:val="none" w:sz="0" w:space="0" w:color="auto" w:frame="1"/>
        </w:rPr>
        <w:t>-</w:t>
      </w:r>
      <w:r w:rsidR="333BCDD9" w:rsidRPr="007B3DCE">
        <w:t>19) and in the ACT and the Northern Territory (compared to the previous year) (figure 2.2</w:t>
      </w:r>
      <w:r w:rsidR="006E5488" w:rsidRPr="007B3DCE">
        <w:t>9</w:t>
      </w:r>
      <w:r w:rsidR="333BCDD9" w:rsidRPr="007B3DCE">
        <w:t>).</w:t>
      </w:r>
    </w:p>
    <w:p w14:paraId="6211B91F" w14:textId="15FFA0D9" w:rsidR="333BCDD9" w:rsidRPr="007B3DCE" w:rsidRDefault="333BCDD9" w:rsidP="0C2E73FF">
      <w:pPr>
        <w:pStyle w:val="FigureTableHeading"/>
        <w:rPr>
          <w:color w:val="684633" w:themeColor="text1" w:themeShade="BF"/>
          <w:vertAlign w:val="superscript"/>
        </w:rPr>
      </w:pPr>
      <w:r w:rsidRPr="007B3DCE">
        <w:rPr>
          <w:color w:val="684633" w:themeColor="text1" w:themeShade="BF"/>
        </w:rPr>
        <w:t>Figure 2</w:t>
      </w:r>
      <w:r w:rsidR="002A1AC1" w:rsidRPr="007B3DCE">
        <w:rPr>
          <w:color w:val="684633" w:themeColor="text1" w:themeShade="BF"/>
        </w:rPr>
        <w:t>.</w:t>
      </w:r>
      <w:r w:rsidR="0036545D" w:rsidRPr="007B3DCE">
        <w:rPr>
          <w:color w:val="684633" w:themeColor="text1" w:themeShade="BF"/>
        </w:rPr>
        <w:t>28</w:t>
      </w:r>
      <w:r w:rsidRPr="007B3DCE">
        <w:rPr>
          <w:color w:val="684633" w:themeColor="text1" w:themeShade="BF"/>
        </w:rPr>
        <w:t xml:space="preserve"> – Young people entering youth justice supervision</w:t>
      </w:r>
      <w:r w:rsidR="00B4559C" w:rsidRPr="007B3DCE">
        <w:rPr>
          <w:color w:val="684633" w:themeColor="text1" w:themeShade="BF"/>
        </w:rPr>
        <w:t>,</w:t>
      </w:r>
      <w:r w:rsidRPr="007B3DCE">
        <w:rPr>
          <w:color w:val="684633" w:themeColor="text1" w:themeShade="BF"/>
        </w:rPr>
        <w:t xml:space="preserve"> by jurisdiction</w:t>
      </w:r>
      <w:r w:rsidRPr="007B3DCE">
        <w:rPr>
          <w:color w:val="684633" w:themeColor="text1" w:themeShade="BF"/>
          <w:vertAlign w:val="superscript"/>
        </w:rPr>
        <w:t>a</w:t>
      </w:r>
    </w:p>
    <w:p w14:paraId="7CC0FBB3" w14:textId="61AEAD94" w:rsidR="333BCDD9" w:rsidRDefault="333BCDD9" w:rsidP="0C2E73FF">
      <w:pPr>
        <w:pStyle w:val="FigureTableSubheading"/>
        <w:rPr>
          <w:color w:val="8C5E44" w:themeColor="text1"/>
        </w:rPr>
      </w:pPr>
      <w:r w:rsidRPr="007B3DCE">
        <w:rPr>
          <w:color w:val="8C5E44" w:themeColor="text1"/>
        </w:rPr>
        <w:t xml:space="preserve">Proportion of Aboriginal and Torres Strait Islander young people under youth justice supervision </w:t>
      </w:r>
      <w:r w:rsidR="008A3AC6" w:rsidRPr="007B3DCE">
        <w:rPr>
          <w:color w:val="8C5E44" w:themeColor="text1"/>
        </w:rPr>
        <w:t>(</w:t>
      </w:r>
      <w:r w:rsidRPr="007B3DCE">
        <w:rPr>
          <w:color w:val="8C5E44" w:themeColor="text1"/>
        </w:rPr>
        <w:t>aged 10</w:t>
      </w:r>
      <w:r w:rsidR="008A3AC6" w:rsidRPr="007B3DCE">
        <w:rPr>
          <w:color w:val="8C5E44" w:themeColor="text1"/>
        </w:rPr>
        <w:t>–17 years) who were</w:t>
      </w:r>
      <w:r w:rsidRPr="007B3DCE">
        <w:rPr>
          <w:color w:val="8C5E44" w:themeColor="text1"/>
        </w:rPr>
        <w:t xml:space="preserve"> aged 10</w:t>
      </w:r>
      <w:r w:rsidR="001013FE" w:rsidRPr="007B3DCE">
        <w:rPr>
          <w:color w:val="8C5E44" w:themeColor="text1"/>
        </w:rPr>
        <w:t>–</w:t>
      </w:r>
      <w:r w:rsidRPr="007B3DCE">
        <w:rPr>
          <w:color w:val="8C5E44" w:themeColor="text1"/>
        </w:rPr>
        <w:t>13 years at first supervision (11h.2)</w:t>
      </w:r>
    </w:p>
    <w:p w14:paraId="7F7481DF" w14:textId="195E484B" w:rsidR="00517AF6" w:rsidRPr="007B3DCE" w:rsidRDefault="00600C58" w:rsidP="0C2E73FF">
      <w:pPr>
        <w:pStyle w:val="FigureTableSubheading"/>
        <w:rPr>
          <w:color w:val="8C5E44" w:themeColor="text1"/>
        </w:rPr>
      </w:pPr>
      <w:r w:rsidRPr="00600C58">
        <w:rPr>
          <w:noProof/>
        </w:rPr>
        <w:drawing>
          <wp:inline distT="0" distB="0" distL="0" distR="0" wp14:anchorId="48FAF03B" wp14:editId="2D9F9469">
            <wp:extent cx="6120130" cy="2628900"/>
            <wp:effectExtent l="0" t="0" r="0" b="0"/>
            <wp:docPr id="1785031256" name="Picture 206" descr="Figure 2.28 is a column chart that shows the proportion of Aboriginal and Torres Strait Islander young people under youth justice supervision who were aged 10-13 years at their first supervision, by jurisdiction from 2018-19 to 2022-23. The chart shows varying proportions across different states and territories, with Western Australia and South Australia having the highest proportions of young people aged 10-13 under supervision. The national average shows a stable proportion over the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31256" name="Picture 206" descr="Figure 2.28 is a column chart that shows the proportion of Aboriginal and Torres Strait Islander young people under youth justice supervision who were aged 10-13 years at their first supervision, by jurisdiction from 2018-19 to 2022-23. The chart shows varying proportions across different states and territories, with Western Australia and South Australia having the highest proportions of young people aged 10-13 under supervision. The national average shows a stable proportion over the years. "/>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8649"/>
                    <a:stretch/>
                  </pic:blipFill>
                  <pic:spPr bwMode="auto">
                    <a:xfrm>
                      <a:off x="0" y="0"/>
                      <a:ext cx="6120130" cy="2628900"/>
                    </a:xfrm>
                    <a:prstGeom prst="rect">
                      <a:avLst/>
                    </a:prstGeom>
                    <a:noFill/>
                    <a:ln>
                      <a:noFill/>
                    </a:ln>
                    <a:extLst>
                      <a:ext uri="{53640926-AAD7-44D8-BBD7-CCE9431645EC}">
                        <a14:shadowObscured xmlns:a14="http://schemas.microsoft.com/office/drawing/2010/main"/>
                      </a:ext>
                    </a:extLst>
                  </pic:spPr>
                </pic:pic>
              </a:graphicData>
            </a:graphic>
          </wp:inline>
        </w:drawing>
      </w:r>
    </w:p>
    <w:p w14:paraId="02D266DC" w14:textId="4E1920AD" w:rsidR="333BCDD9" w:rsidRPr="007B3DCE" w:rsidRDefault="333BCDD9" w:rsidP="006F389D">
      <w:pPr>
        <w:pStyle w:val="Note"/>
        <w:rPr>
          <w:szCs w:val="18"/>
        </w:rPr>
      </w:pPr>
      <w:r w:rsidRPr="007B3DCE">
        <w:rPr>
          <w:b/>
        </w:rPr>
        <w:t>a.</w:t>
      </w:r>
      <w:r w:rsidRPr="007B3DCE">
        <w:rPr>
          <w:szCs w:val="18"/>
        </w:rPr>
        <w:t xml:space="preserve"> </w:t>
      </w:r>
      <w:r w:rsidR="00D26CF5" w:rsidRPr="007B3DCE">
        <w:rPr>
          <w:szCs w:val="18"/>
        </w:rPr>
        <w:t>D</w:t>
      </w:r>
      <w:r w:rsidRPr="007B3DCE">
        <w:rPr>
          <w:szCs w:val="18"/>
        </w:rPr>
        <w:t xml:space="preserve">ata </w:t>
      </w:r>
      <w:r w:rsidR="00AE77E8">
        <w:rPr>
          <w:szCs w:val="18"/>
        </w:rPr>
        <w:t>is</w:t>
      </w:r>
      <w:r w:rsidRPr="007B3DCE">
        <w:rPr>
          <w:szCs w:val="18"/>
        </w:rPr>
        <w:t xml:space="preserve"> not available for some jurisdictions </w:t>
      </w:r>
      <w:r w:rsidR="00D26CF5" w:rsidRPr="007B3DCE">
        <w:rPr>
          <w:szCs w:val="18"/>
        </w:rPr>
        <w:t>in some years</w:t>
      </w:r>
      <w:r w:rsidRPr="007B3DCE">
        <w:rPr>
          <w:szCs w:val="18"/>
        </w:rPr>
        <w:t>.</w:t>
      </w:r>
    </w:p>
    <w:p w14:paraId="7A101A9D" w14:textId="77777777" w:rsidR="000216CB" w:rsidRDefault="000216CB" w:rsidP="000216CB">
      <w:pPr>
        <w:pStyle w:val="Source"/>
      </w:pPr>
      <w:r>
        <w:t>Source: Derived from AIHW Youth justice in Australia</w:t>
      </w:r>
    </w:p>
    <w:p w14:paraId="42756AA0" w14:textId="6B3B8596" w:rsidR="00241203" w:rsidRPr="007B3DCE" w:rsidRDefault="006D1034" w:rsidP="00ED79E7">
      <w:pPr>
        <w:pStyle w:val="FigureTableHeading"/>
        <w:spacing w:before="0"/>
        <w:rPr>
          <w:color w:val="684633" w:themeColor="text1" w:themeShade="BF"/>
          <w:vertAlign w:val="superscript"/>
        </w:rPr>
      </w:pPr>
      <w:r w:rsidRPr="007B3DCE">
        <w:rPr>
          <w:color w:val="684633" w:themeColor="text1" w:themeShade="BF"/>
        </w:rPr>
        <w:lastRenderedPageBreak/>
        <w:t xml:space="preserve">Figure </w:t>
      </w:r>
      <w:r w:rsidR="00A23FF2" w:rsidRPr="007B3DCE">
        <w:rPr>
          <w:color w:val="684633" w:themeColor="text1" w:themeShade="BF"/>
        </w:rPr>
        <w:t>2</w:t>
      </w:r>
      <w:r w:rsidR="00D01B11" w:rsidRPr="007B3DCE">
        <w:rPr>
          <w:color w:val="684633" w:themeColor="text1" w:themeShade="BF"/>
        </w:rPr>
        <w:t>.</w:t>
      </w:r>
      <w:r w:rsidR="0036545D" w:rsidRPr="007B3DCE">
        <w:rPr>
          <w:color w:val="684633" w:themeColor="text1" w:themeShade="BF"/>
        </w:rPr>
        <w:t>29</w:t>
      </w:r>
      <w:r w:rsidRPr="007B3DCE">
        <w:rPr>
          <w:color w:val="684633" w:themeColor="text1" w:themeShade="BF"/>
        </w:rPr>
        <w:t xml:space="preserve"> - </w:t>
      </w:r>
      <w:r w:rsidR="752977DF" w:rsidRPr="007B3DCE">
        <w:rPr>
          <w:color w:val="684633" w:themeColor="text1" w:themeShade="BF"/>
        </w:rPr>
        <w:t xml:space="preserve">Young people </w:t>
      </w:r>
      <w:r w:rsidR="6CC271BD" w:rsidRPr="007B3DCE">
        <w:rPr>
          <w:color w:val="684633" w:themeColor="text1" w:themeShade="BF"/>
        </w:rPr>
        <w:t>entering</w:t>
      </w:r>
      <w:r w:rsidR="752977DF" w:rsidRPr="007B3DCE">
        <w:rPr>
          <w:color w:val="684633" w:themeColor="text1" w:themeShade="BF"/>
        </w:rPr>
        <w:t xml:space="preserve"> youth </w:t>
      </w:r>
      <w:r w:rsidR="6E4DD095" w:rsidRPr="007B3DCE">
        <w:rPr>
          <w:color w:val="684633" w:themeColor="text1" w:themeShade="BF"/>
        </w:rPr>
        <w:t>detention</w:t>
      </w:r>
      <w:r w:rsidR="752977DF" w:rsidRPr="007B3DCE">
        <w:rPr>
          <w:color w:val="684633" w:themeColor="text1" w:themeShade="BF"/>
        </w:rPr>
        <w:t xml:space="preserve"> </w:t>
      </w:r>
      <w:r w:rsidR="16A24E7B" w:rsidRPr="007B3DCE">
        <w:rPr>
          <w:color w:val="684633" w:themeColor="text1" w:themeShade="BF"/>
        </w:rPr>
        <w:t>by jurisdiction</w:t>
      </w:r>
      <w:r w:rsidR="00CB7EDB" w:rsidRPr="007B3DCE">
        <w:rPr>
          <w:color w:val="684633" w:themeColor="text1" w:themeShade="BF"/>
          <w:vertAlign w:val="superscript"/>
        </w:rPr>
        <w:t>a</w:t>
      </w:r>
    </w:p>
    <w:p w14:paraId="03D95685" w14:textId="75024A84" w:rsidR="00241203" w:rsidRDefault="006D1034" w:rsidP="00963877">
      <w:pPr>
        <w:pStyle w:val="FigureTableSubheading"/>
        <w:rPr>
          <w:color w:val="8C5E44" w:themeColor="text1"/>
        </w:rPr>
      </w:pPr>
      <w:r w:rsidRPr="007B3DCE">
        <w:rPr>
          <w:color w:val="8C5E44" w:themeColor="text1"/>
        </w:rPr>
        <w:t xml:space="preserve">Proportion of young people </w:t>
      </w:r>
      <w:r w:rsidR="00973C10" w:rsidRPr="007B3DCE">
        <w:rPr>
          <w:color w:val="8C5E44" w:themeColor="text1"/>
        </w:rPr>
        <w:t xml:space="preserve">in detention </w:t>
      </w:r>
      <w:r w:rsidR="00840B84" w:rsidRPr="007B3DCE">
        <w:rPr>
          <w:color w:val="8C5E44" w:themeColor="text1"/>
        </w:rPr>
        <w:t>(aged 10–17)</w:t>
      </w:r>
      <w:r w:rsidR="00973C10" w:rsidRPr="007B3DCE">
        <w:rPr>
          <w:color w:val="8C5E44" w:themeColor="text1"/>
        </w:rPr>
        <w:t xml:space="preserve"> </w:t>
      </w:r>
      <w:r w:rsidRPr="007B3DCE">
        <w:rPr>
          <w:color w:val="8C5E44" w:themeColor="text1"/>
        </w:rPr>
        <w:t>who were aged 10</w:t>
      </w:r>
      <w:r w:rsidR="001013FE" w:rsidRPr="007B3DCE">
        <w:rPr>
          <w:color w:val="8C5E44" w:themeColor="text1"/>
        </w:rPr>
        <w:t>–</w:t>
      </w:r>
      <w:r w:rsidRPr="007B3DCE">
        <w:rPr>
          <w:color w:val="8C5E44" w:themeColor="text1"/>
        </w:rPr>
        <w:t xml:space="preserve">13 years </w:t>
      </w:r>
      <w:r w:rsidR="0773E474" w:rsidRPr="007B3DCE">
        <w:rPr>
          <w:color w:val="8C5E44" w:themeColor="text1"/>
        </w:rPr>
        <w:t>at</w:t>
      </w:r>
      <w:r w:rsidRPr="007B3DCE">
        <w:rPr>
          <w:color w:val="8C5E44" w:themeColor="text1"/>
        </w:rPr>
        <w:t xml:space="preserve"> first </w:t>
      </w:r>
      <w:r w:rsidR="5CBD9B05" w:rsidRPr="007B3DCE">
        <w:rPr>
          <w:color w:val="8C5E44" w:themeColor="text1"/>
        </w:rPr>
        <w:t xml:space="preserve">entry into </w:t>
      </w:r>
      <w:r w:rsidRPr="007B3DCE">
        <w:rPr>
          <w:color w:val="8C5E44" w:themeColor="text1"/>
        </w:rPr>
        <w:t>youth detention</w:t>
      </w:r>
      <w:r w:rsidR="00C97A07" w:rsidRPr="007B3DCE">
        <w:rPr>
          <w:color w:val="8C5E44" w:themeColor="text1"/>
        </w:rPr>
        <w:t xml:space="preserve"> (11h.1)</w:t>
      </w:r>
    </w:p>
    <w:p w14:paraId="7E5DE80E" w14:textId="08738BDF" w:rsidR="0017527C" w:rsidRPr="004264EE" w:rsidRDefault="004264EE" w:rsidP="004264EE">
      <w:pPr>
        <w:pStyle w:val="FigureTableSubheading"/>
        <w:rPr>
          <w:color w:val="8C5E44" w:themeColor="text1"/>
        </w:rPr>
      </w:pPr>
      <w:r w:rsidRPr="004264EE">
        <w:rPr>
          <w:noProof/>
        </w:rPr>
        <w:drawing>
          <wp:inline distT="0" distB="0" distL="0" distR="0" wp14:anchorId="0EE0C2CF" wp14:editId="25639B2B">
            <wp:extent cx="6113145" cy="2878455"/>
            <wp:effectExtent l="0" t="0" r="0" b="0"/>
            <wp:docPr id="996363118" name="Picture 184" descr="Figure 2.29 is a column chart that shows the proportion of Aboriginal and Torres Strait Islander young people in detention who were aged 10-13 years at first entry into youth detention, by jurisdiction from 2018-19 to 2022-23. The chart indicates higher proportions in Western Australia and South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63118" name="Picture 184" descr="Figure 2.29 is a column chart that shows the proportion of Aboriginal and Torres Strait Islander young people in detention who were aged 10-13 years at first entry into youth detention, by jurisdiction from 2018-19 to 2022-23. The chart indicates higher proportions in Western Australia and South Australia. "/>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3145" cy="2878455"/>
                    </a:xfrm>
                    <a:prstGeom prst="rect">
                      <a:avLst/>
                    </a:prstGeom>
                    <a:noFill/>
                    <a:ln>
                      <a:noFill/>
                    </a:ln>
                  </pic:spPr>
                </pic:pic>
              </a:graphicData>
            </a:graphic>
          </wp:inline>
        </w:drawing>
      </w:r>
    </w:p>
    <w:p w14:paraId="663C6D65" w14:textId="054F495F" w:rsidR="00207B2A" w:rsidRPr="009F6D13" w:rsidRDefault="0050668D" w:rsidP="009F6D13">
      <w:pPr>
        <w:pStyle w:val="Note"/>
      </w:pPr>
      <w:r w:rsidRPr="009F6D13">
        <w:t>a.</w:t>
      </w:r>
      <w:r w:rsidR="004C52F5" w:rsidRPr="009F6D13">
        <w:t xml:space="preserve"> </w:t>
      </w:r>
      <w:r w:rsidR="00D26CF5" w:rsidRPr="009F6D13">
        <w:t>D</w:t>
      </w:r>
      <w:r w:rsidR="00BC4D8F" w:rsidRPr="009F6D13">
        <w:t>ata</w:t>
      </w:r>
      <w:r w:rsidR="00C87816" w:rsidRPr="009F6D13">
        <w:t xml:space="preserve"> </w:t>
      </w:r>
      <w:r w:rsidR="00BC4D8F" w:rsidRPr="009F6D13">
        <w:t>was not</w:t>
      </w:r>
      <w:r w:rsidR="00E23EBB" w:rsidRPr="009F6D13">
        <w:t xml:space="preserve"> </w:t>
      </w:r>
      <w:r w:rsidR="00C87816" w:rsidRPr="009F6D13">
        <w:t xml:space="preserve">available </w:t>
      </w:r>
      <w:r w:rsidR="00E23EBB" w:rsidRPr="009F6D13">
        <w:t xml:space="preserve">for some jurisdictions </w:t>
      </w:r>
      <w:r w:rsidR="00D26CF5" w:rsidRPr="009F6D13">
        <w:t>in some years</w:t>
      </w:r>
      <w:r w:rsidR="00E23EBB" w:rsidRPr="009F6D13">
        <w:t>.</w:t>
      </w:r>
    </w:p>
    <w:p w14:paraId="28F76875" w14:textId="77777777" w:rsidR="006204C5" w:rsidRPr="009F6D13" w:rsidRDefault="006204C5" w:rsidP="009F6D13">
      <w:pPr>
        <w:pStyle w:val="Source"/>
        <w:spacing w:after="120"/>
      </w:pPr>
      <w:r w:rsidRPr="009F6D13">
        <w:t>Source: Derived from AIHW Youth justice in Australia</w:t>
      </w:r>
    </w:p>
    <w:p w14:paraId="1B9A2DCC" w14:textId="05F9A983" w:rsidR="00860E6C" w:rsidRPr="009F6D13" w:rsidRDefault="00A56F3B" w:rsidP="009F6D13">
      <w:pPr>
        <w:pStyle w:val="BodyText"/>
      </w:pPr>
      <w:r w:rsidRPr="009F6D13">
        <w:t>In</w:t>
      </w:r>
      <w:r w:rsidR="008F39C5" w:rsidRPr="009F6D13">
        <w:t xml:space="preserve"> 2022</w:t>
      </w:r>
      <w:r w:rsidR="00E9152B" w:rsidRPr="009F6D13">
        <w:rPr>
          <w:rStyle w:val="normaltextrun"/>
        </w:rPr>
        <w:t>-</w:t>
      </w:r>
      <w:r w:rsidR="008F39C5" w:rsidRPr="009F6D13">
        <w:t>23, across the six jurisdictions with available data, the proportion of young defendants at criminal court aged 10</w:t>
      </w:r>
      <w:r w:rsidR="00995EA0" w:rsidRPr="009F6D13">
        <w:t>–</w:t>
      </w:r>
      <w:r w:rsidR="008F39C5" w:rsidRPr="009F6D13">
        <w:t xml:space="preserve">13 years ranged between 7.5% </w:t>
      </w:r>
      <w:r w:rsidR="5253E9D7" w:rsidRPr="009F6D13">
        <w:t xml:space="preserve">in the Australian Capital Territory </w:t>
      </w:r>
      <w:r w:rsidR="008F39C5" w:rsidRPr="009F6D13">
        <w:t xml:space="preserve">to 17.0% </w:t>
      </w:r>
      <w:r w:rsidR="1ADEFE2C" w:rsidRPr="009F6D13">
        <w:t xml:space="preserve">in Queensland </w:t>
      </w:r>
      <w:r w:rsidR="008F39C5" w:rsidRPr="009F6D13">
        <w:t>(</w:t>
      </w:r>
      <w:r w:rsidR="00870DE3" w:rsidRPr="009F6D13">
        <w:t>figure 2.</w:t>
      </w:r>
      <w:r w:rsidR="00557920" w:rsidRPr="009F6D13">
        <w:t>30</w:t>
      </w:r>
      <w:r w:rsidR="00870DE3" w:rsidRPr="009F6D13">
        <w:t>)</w:t>
      </w:r>
      <w:r w:rsidR="008F39C5" w:rsidRPr="009F6D13">
        <w:t xml:space="preserve">. </w:t>
      </w:r>
      <w:r w:rsidR="65F3ADE4" w:rsidRPr="009F6D13">
        <w:t xml:space="preserve">Relative to </w:t>
      </w:r>
      <w:r w:rsidR="008F39C5" w:rsidRPr="009F6D13" w:rsidDel="008F39C5">
        <w:t xml:space="preserve">the </w:t>
      </w:r>
      <w:r w:rsidR="00743730" w:rsidRPr="009F6D13">
        <w:t>baseline year (</w:t>
      </w:r>
      <w:r w:rsidR="008F39C5" w:rsidRPr="009F6D13">
        <w:t>2018</w:t>
      </w:r>
      <w:r w:rsidR="00E9152B" w:rsidRPr="009F6D13">
        <w:rPr>
          <w:rStyle w:val="normaltextrun"/>
        </w:rPr>
        <w:t>-</w:t>
      </w:r>
      <w:r w:rsidR="008F39C5" w:rsidRPr="009F6D13">
        <w:t>19</w:t>
      </w:r>
      <w:r w:rsidR="00743730" w:rsidRPr="009F6D13">
        <w:t>)</w:t>
      </w:r>
      <w:r w:rsidR="008F39C5" w:rsidRPr="009F6D13">
        <w:t xml:space="preserve">, </w:t>
      </w:r>
      <w:r w:rsidR="000A24E5" w:rsidRPr="009F6D13">
        <w:t xml:space="preserve">there was a decline in </w:t>
      </w:r>
      <w:r w:rsidR="49D41499" w:rsidRPr="009F6D13">
        <w:t>all</w:t>
      </w:r>
      <w:r w:rsidR="008F39C5" w:rsidRPr="009F6D13">
        <w:t xml:space="preserve"> jurisdictions</w:t>
      </w:r>
      <w:r w:rsidR="3A730EE8" w:rsidRPr="009F6D13">
        <w:t xml:space="preserve"> except </w:t>
      </w:r>
      <w:r w:rsidR="00EE7387" w:rsidRPr="009F6D13">
        <w:t>the Northern Territory</w:t>
      </w:r>
      <w:r w:rsidR="008F39C5" w:rsidRPr="009F6D13">
        <w:t xml:space="preserve">. </w:t>
      </w:r>
    </w:p>
    <w:p w14:paraId="6F08C0F4" w14:textId="1FDFF313" w:rsidR="006B70B5" w:rsidRPr="007B3DCE" w:rsidRDefault="006B70B5" w:rsidP="00C43422">
      <w:pPr>
        <w:pStyle w:val="FigureTableHeading"/>
        <w:spacing w:before="120"/>
        <w:rPr>
          <w:color w:val="684633" w:themeColor="text1" w:themeShade="BF"/>
        </w:rPr>
      </w:pPr>
      <w:r w:rsidRPr="007B3DCE">
        <w:rPr>
          <w:color w:val="684633" w:themeColor="text1" w:themeShade="BF"/>
        </w:rPr>
        <w:t xml:space="preserve">Figure </w:t>
      </w:r>
      <w:r w:rsidR="00A23FF2" w:rsidRPr="007B3DCE">
        <w:rPr>
          <w:color w:val="684633" w:themeColor="text1" w:themeShade="BF"/>
        </w:rPr>
        <w:t>2</w:t>
      </w:r>
      <w:r w:rsidR="00B9043A" w:rsidRPr="007B3DCE">
        <w:rPr>
          <w:color w:val="684633" w:themeColor="text1" w:themeShade="BF"/>
        </w:rPr>
        <w:t>.</w:t>
      </w:r>
      <w:r w:rsidR="0036545D" w:rsidRPr="007B3DCE">
        <w:rPr>
          <w:color w:val="684633" w:themeColor="text1" w:themeShade="BF"/>
        </w:rPr>
        <w:t>30</w:t>
      </w:r>
      <w:r w:rsidRPr="007B3DCE">
        <w:rPr>
          <w:color w:val="684633" w:themeColor="text1" w:themeShade="BF"/>
        </w:rPr>
        <w:t xml:space="preserve"> - </w:t>
      </w:r>
      <w:r w:rsidR="24016BF0" w:rsidRPr="007B3DCE">
        <w:rPr>
          <w:color w:val="684633" w:themeColor="text1" w:themeShade="BF"/>
        </w:rPr>
        <w:t>Young defend</w:t>
      </w:r>
      <w:r w:rsidR="5593F2EC" w:rsidRPr="007B3DCE">
        <w:rPr>
          <w:color w:val="684633" w:themeColor="text1" w:themeShade="BF"/>
        </w:rPr>
        <w:t>a</w:t>
      </w:r>
      <w:r w:rsidR="24016BF0" w:rsidRPr="007B3DCE">
        <w:rPr>
          <w:color w:val="684633" w:themeColor="text1" w:themeShade="BF"/>
        </w:rPr>
        <w:t>nts at criminal courts</w:t>
      </w:r>
      <w:r w:rsidR="00E75484" w:rsidRPr="007B3DCE">
        <w:rPr>
          <w:color w:val="684633" w:themeColor="text1" w:themeShade="BF"/>
        </w:rPr>
        <w:t>, by jurisdiction</w:t>
      </w:r>
      <w:r w:rsidR="24016BF0" w:rsidRPr="007B3DCE">
        <w:rPr>
          <w:color w:val="684633" w:themeColor="text1" w:themeShade="BF"/>
        </w:rPr>
        <w:t xml:space="preserve"> </w:t>
      </w:r>
    </w:p>
    <w:p w14:paraId="082F4B54" w14:textId="6691A11D" w:rsidR="009A65AE" w:rsidRPr="00E8789C" w:rsidRDefault="417E36E7" w:rsidP="00E8789C">
      <w:pPr>
        <w:pStyle w:val="FigureTableSubheading"/>
        <w:rPr>
          <w:color w:val="8C5E44" w:themeColor="text1"/>
        </w:rPr>
      </w:pPr>
      <w:r w:rsidRPr="007B3DCE">
        <w:rPr>
          <w:color w:val="8C5E44" w:themeColor="text1"/>
        </w:rPr>
        <w:t>Proportion of</w:t>
      </w:r>
      <w:r w:rsidR="006B70B5" w:rsidRPr="007B3DCE">
        <w:rPr>
          <w:color w:val="8C5E44" w:themeColor="text1"/>
        </w:rPr>
        <w:t xml:space="preserve"> </w:t>
      </w:r>
      <w:r w:rsidR="002E5DBC" w:rsidRPr="007B3DCE">
        <w:rPr>
          <w:color w:val="8C5E44" w:themeColor="text1"/>
        </w:rPr>
        <w:t xml:space="preserve">Aboriginal and Torres Strait Islander defendants </w:t>
      </w:r>
      <w:r w:rsidR="009C4A8D" w:rsidRPr="007B3DCE">
        <w:rPr>
          <w:color w:val="8C5E44" w:themeColor="text1"/>
        </w:rPr>
        <w:t>(aged 10–17 years)</w:t>
      </w:r>
      <w:r w:rsidR="002E5DBC" w:rsidRPr="007B3DCE">
        <w:rPr>
          <w:color w:val="8C5E44" w:themeColor="text1"/>
        </w:rPr>
        <w:t xml:space="preserve"> </w:t>
      </w:r>
      <w:r w:rsidR="4C665F98" w:rsidRPr="007B3DCE">
        <w:rPr>
          <w:color w:val="8C5E44" w:themeColor="text1"/>
        </w:rPr>
        <w:t>at</w:t>
      </w:r>
      <w:r w:rsidR="002E5DBC" w:rsidRPr="007B3DCE">
        <w:rPr>
          <w:color w:val="8C5E44" w:themeColor="text1"/>
        </w:rPr>
        <w:t xml:space="preserve"> criminal court </w:t>
      </w:r>
      <w:r w:rsidR="00122C8E" w:rsidRPr="007B3DCE">
        <w:rPr>
          <w:color w:val="8C5E44" w:themeColor="text1"/>
        </w:rPr>
        <w:t xml:space="preserve">who were </w:t>
      </w:r>
      <w:r w:rsidR="002E5DBC" w:rsidRPr="007B3DCE">
        <w:rPr>
          <w:color w:val="8C5E44" w:themeColor="text1"/>
        </w:rPr>
        <w:t>aged 10</w:t>
      </w:r>
      <w:r w:rsidR="001D0306" w:rsidRPr="007B3DCE">
        <w:rPr>
          <w:color w:val="8C5E44" w:themeColor="text1"/>
        </w:rPr>
        <w:t>–</w:t>
      </w:r>
      <w:r w:rsidR="002E5DBC" w:rsidRPr="007B3DCE">
        <w:rPr>
          <w:color w:val="8C5E44" w:themeColor="text1"/>
        </w:rPr>
        <w:t>13 years</w:t>
      </w:r>
      <w:r w:rsidR="00C97A07" w:rsidRPr="007B3DCE">
        <w:rPr>
          <w:color w:val="8C5E44" w:themeColor="text1"/>
        </w:rPr>
        <w:t xml:space="preserve"> (11h.3)</w:t>
      </w:r>
    </w:p>
    <w:p w14:paraId="4BEA63A9" w14:textId="1E5CD03C" w:rsidR="00717DC5" w:rsidRDefault="00717DC5" w:rsidP="00B64FAF">
      <w:pPr>
        <w:pStyle w:val="Source"/>
      </w:pPr>
      <w:r w:rsidRPr="00717DC5">
        <w:rPr>
          <w:noProof/>
        </w:rPr>
        <w:drawing>
          <wp:inline distT="0" distB="0" distL="0" distR="0" wp14:anchorId="5B6294B1" wp14:editId="0A0B9243">
            <wp:extent cx="6078855" cy="2878455"/>
            <wp:effectExtent l="0" t="0" r="0" b="0"/>
            <wp:docPr id="1424751020" name="Picture 185" descr="Figure 2.30 is a column chart that shows the proportion of Aboriginal and Torres Strait Islander defendants aged 10-17 years at criminal court who were aged 10-13 years, by jurisdiction from 2018-19 to 2022-23. The chart highlights notable variations across states, with the Australian Capital Territory showing the highest proportion in 2021-22. The overall trend indicates fluctuating rates with no consistent increase or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51020" name="Picture 185" descr="Figure 2.30 is a column chart that shows the proportion of Aboriginal and Torres Strait Islander defendants aged 10-17 years at criminal court who were aged 10-13 years, by jurisdiction from 2018-19 to 2022-23. The chart highlights notable variations across states, with the Australian Capital Territory showing the highest proportion in 2021-22. The overall trend indicates fluctuating rates with no consistent increase or decreas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78855" cy="2878455"/>
                    </a:xfrm>
                    <a:prstGeom prst="rect">
                      <a:avLst/>
                    </a:prstGeom>
                    <a:noFill/>
                    <a:ln>
                      <a:noFill/>
                    </a:ln>
                  </pic:spPr>
                </pic:pic>
              </a:graphicData>
            </a:graphic>
          </wp:inline>
        </w:drawing>
      </w:r>
    </w:p>
    <w:p w14:paraId="0D3F9CAB" w14:textId="77777777" w:rsidR="00282793" w:rsidRDefault="00B64FAF" w:rsidP="00B64FAF">
      <w:pPr>
        <w:pStyle w:val="Source"/>
      </w:pPr>
      <w:r>
        <w:t>Source: Derived from ABS (unpublished) Criminal Courts Australia</w:t>
      </w:r>
    </w:p>
    <w:p w14:paraId="1DBFD313" w14:textId="48082595" w:rsidR="00D531DC" w:rsidRPr="009E09C2" w:rsidRDefault="00A324F9" w:rsidP="009E09C2">
      <w:pPr>
        <w:pStyle w:val="Heading5"/>
        <w:rPr>
          <w:color w:val="684633" w:themeColor="text1" w:themeShade="BF"/>
        </w:rPr>
      </w:pPr>
      <w:bookmarkStart w:id="63" w:name="_Toc167812039"/>
      <w:bookmarkStart w:id="64" w:name="_Toc167812315"/>
      <w:bookmarkStart w:id="65" w:name="_Toc167812384"/>
      <w:bookmarkStart w:id="66" w:name="_Toc167812476"/>
      <w:bookmarkStart w:id="67" w:name="_Toc167812550"/>
      <w:bookmarkStart w:id="68" w:name="_Toc167878566"/>
      <w:bookmarkEnd w:id="63"/>
      <w:bookmarkEnd w:id="64"/>
      <w:bookmarkEnd w:id="65"/>
      <w:bookmarkEnd w:id="66"/>
      <w:bookmarkEnd w:id="67"/>
      <w:r w:rsidRPr="009E09C2">
        <w:rPr>
          <w:color w:val="684633" w:themeColor="text1" w:themeShade="BF"/>
        </w:rPr>
        <w:lastRenderedPageBreak/>
        <w:t>New d</w:t>
      </w:r>
      <w:r w:rsidR="007A1711" w:rsidRPr="009E09C2">
        <w:rPr>
          <w:color w:val="684633" w:themeColor="text1" w:themeShade="BF"/>
        </w:rPr>
        <w:t xml:space="preserve">ata about </w:t>
      </w:r>
      <w:r w:rsidR="00930C47" w:rsidRPr="009E09C2">
        <w:rPr>
          <w:color w:val="684633" w:themeColor="text1" w:themeShade="BF"/>
        </w:rPr>
        <w:t>y</w:t>
      </w:r>
      <w:r w:rsidR="00150B31" w:rsidRPr="009E09C2">
        <w:rPr>
          <w:color w:val="684633" w:themeColor="text1" w:themeShade="BF"/>
        </w:rPr>
        <w:t xml:space="preserve">oung people </w:t>
      </w:r>
      <w:r w:rsidR="00D531DC" w:rsidRPr="009E09C2">
        <w:rPr>
          <w:color w:val="684633" w:themeColor="text1" w:themeShade="BF"/>
        </w:rPr>
        <w:t>proceed</w:t>
      </w:r>
      <w:r w:rsidR="00150B31" w:rsidRPr="009E09C2">
        <w:rPr>
          <w:color w:val="684633" w:themeColor="text1" w:themeShade="BF"/>
        </w:rPr>
        <w:t>ed against by polic</w:t>
      </w:r>
      <w:r w:rsidR="00B154AC" w:rsidRPr="009E09C2">
        <w:rPr>
          <w:color w:val="684633" w:themeColor="text1" w:themeShade="BF"/>
        </w:rPr>
        <w:t>e</w:t>
      </w:r>
      <w:r w:rsidR="00150B31" w:rsidRPr="009E09C2">
        <w:rPr>
          <w:color w:val="684633" w:themeColor="text1" w:themeShade="BF"/>
        </w:rPr>
        <w:t xml:space="preserve"> </w:t>
      </w:r>
      <w:r w:rsidR="006A4498" w:rsidRPr="009E09C2">
        <w:rPr>
          <w:color w:val="684633" w:themeColor="text1" w:themeShade="BF"/>
        </w:rPr>
        <w:t>in</w:t>
      </w:r>
      <w:r w:rsidR="00150B31" w:rsidRPr="009E09C2">
        <w:rPr>
          <w:color w:val="684633" w:themeColor="text1" w:themeShade="BF"/>
        </w:rPr>
        <w:t xml:space="preserve"> </w:t>
      </w:r>
      <w:r w:rsidR="005C3302" w:rsidRPr="009E09C2">
        <w:rPr>
          <w:color w:val="684633" w:themeColor="text1" w:themeShade="BF"/>
        </w:rPr>
        <w:t xml:space="preserve">five </w:t>
      </w:r>
      <w:r w:rsidR="00D531DC" w:rsidRPr="009E09C2">
        <w:rPr>
          <w:color w:val="684633" w:themeColor="text1" w:themeShade="BF"/>
        </w:rPr>
        <w:t>jurisdictions</w:t>
      </w:r>
    </w:p>
    <w:p w14:paraId="3F0C834B" w14:textId="44BB6093" w:rsidR="007B5C97" w:rsidRPr="007B3DCE" w:rsidRDefault="00D531DC" w:rsidP="000C5ED2">
      <w:pPr>
        <w:pStyle w:val="BodyText"/>
        <w:rPr>
          <w:rStyle w:val="DraftingNoteChar"/>
          <w:color w:val="auto"/>
          <w:sz w:val="20"/>
          <w:u w:val="none"/>
        </w:rPr>
      </w:pPr>
      <w:r w:rsidRPr="007B3DCE">
        <w:t xml:space="preserve">New data on alleged young offenders involved in police proceedings is available for five jurisdictions – New South Wales, Queensland, South Australia, </w:t>
      </w:r>
      <w:r w:rsidR="009763FB" w:rsidRPr="007B3DCE">
        <w:t xml:space="preserve">the </w:t>
      </w:r>
      <w:r w:rsidRPr="007B3DCE">
        <w:t>A</w:t>
      </w:r>
      <w:r w:rsidR="009763FB" w:rsidRPr="007B3DCE">
        <w:t xml:space="preserve">ustralian </w:t>
      </w:r>
      <w:r w:rsidRPr="007B3DCE">
        <w:t>C</w:t>
      </w:r>
      <w:r w:rsidR="009763FB" w:rsidRPr="007B3DCE">
        <w:t xml:space="preserve">apital </w:t>
      </w:r>
      <w:r w:rsidRPr="007B3DCE">
        <w:t>T</w:t>
      </w:r>
      <w:r w:rsidR="009763FB" w:rsidRPr="007B3DCE">
        <w:t>erritory</w:t>
      </w:r>
      <w:r w:rsidRPr="007B3DCE">
        <w:t xml:space="preserve"> and the N</w:t>
      </w:r>
      <w:r w:rsidR="009763FB" w:rsidRPr="007B3DCE">
        <w:t xml:space="preserve">orthern </w:t>
      </w:r>
      <w:r w:rsidRPr="007B3DCE">
        <w:t>T</w:t>
      </w:r>
      <w:r w:rsidR="009763FB" w:rsidRPr="007B3DCE">
        <w:t>erritory</w:t>
      </w:r>
      <w:r w:rsidRPr="007B3DCE">
        <w:t>. Between 2018</w:t>
      </w:r>
      <w:r w:rsidR="00E9152B" w:rsidRPr="00216127">
        <w:rPr>
          <w:rStyle w:val="normaltextrun"/>
          <w:rFonts w:ascii="Arial (Body)" w:hAnsi="Arial (Body)" w:cs="Arial"/>
          <w:color w:val="000000"/>
          <w:bdr w:val="none" w:sz="0" w:space="0" w:color="auto" w:frame="1"/>
        </w:rPr>
        <w:t>-</w:t>
      </w:r>
      <w:r w:rsidRPr="007B3DCE">
        <w:t>19 and 2022</w:t>
      </w:r>
      <w:r w:rsidR="00E9152B" w:rsidRPr="00216127">
        <w:rPr>
          <w:rStyle w:val="normaltextrun"/>
          <w:rFonts w:ascii="Arial (Body)" w:hAnsi="Arial (Body)" w:cs="Arial"/>
          <w:color w:val="000000"/>
          <w:bdr w:val="none" w:sz="0" w:space="0" w:color="auto" w:frame="1"/>
        </w:rPr>
        <w:t>-</w:t>
      </w:r>
      <w:r w:rsidRPr="007B3DCE">
        <w:t xml:space="preserve">23, the rate of Aboriginal and Torres Strait Islander young people aged 10–17 years proceeded against by police declined in Queensland and South Australia but increased in New South Wales, </w:t>
      </w:r>
      <w:r w:rsidR="009C0770" w:rsidRPr="007B3DCE">
        <w:t xml:space="preserve">the </w:t>
      </w:r>
      <w:r w:rsidRPr="007B3DCE">
        <w:t>A</w:t>
      </w:r>
      <w:r w:rsidR="009C0770" w:rsidRPr="007B3DCE">
        <w:t xml:space="preserve">ustralian </w:t>
      </w:r>
      <w:r w:rsidRPr="007B3DCE">
        <w:t>C</w:t>
      </w:r>
      <w:r w:rsidR="009C0770" w:rsidRPr="007B3DCE">
        <w:t xml:space="preserve">apital </w:t>
      </w:r>
      <w:r w:rsidRPr="007B3DCE">
        <w:t>T</w:t>
      </w:r>
      <w:r w:rsidR="009C0770" w:rsidRPr="007B3DCE">
        <w:t>erritory</w:t>
      </w:r>
      <w:r w:rsidRPr="007B3DCE">
        <w:t xml:space="preserve"> and the N</w:t>
      </w:r>
      <w:r w:rsidR="009C0770" w:rsidRPr="007B3DCE">
        <w:t xml:space="preserve">orthern </w:t>
      </w:r>
      <w:r w:rsidRPr="007B3DCE">
        <w:t>T</w:t>
      </w:r>
      <w:r w:rsidR="009C0770" w:rsidRPr="007B3DCE">
        <w:t>erritory</w:t>
      </w:r>
      <w:r w:rsidRPr="007B3DCE">
        <w:t>.</w:t>
      </w:r>
      <w:r w:rsidR="008C4D26" w:rsidRPr="007B3DCE">
        <w:t xml:space="preserve"> The </w:t>
      </w:r>
      <w:r w:rsidR="00BB3A57" w:rsidRPr="007B3DCE">
        <w:t xml:space="preserve">increasing rate of young people proceeded against by police in </w:t>
      </w:r>
      <w:r w:rsidR="008C4D26" w:rsidRPr="007B3DCE">
        <w:t>N</w:t>
      </w:r>
      <w:r w:rsidR="009C0770" w:rsidRPr="007B3DCE">
        <w:t xml:space="preserve">ew </w:t>
      </w:r>
      <w:r w:rsidR="008C4D26" w:rsidRPr="007B3DCE">
        <w:t>S</w:t>
      </w:r>
      <w:r w:rsidR="009C0770" w:rsidRPr="007B3DCE">
        <w:t xml:space="preserve">outh </w:t>
      </w:r>
      <w:r w:rsidR="008C4D26" w:rsidRPr="007B3DCE">
        <w:t>W</w:t>
      </w:r>
      <w:r w:rsidR="009C0770" w:rsidRPr="007B3DCE">
        <w:t>ales</w:t>
      </w:r>
      <w:r w:rsidR="008C4D26" w:rsidRPr="007B3DCE">
        <w:t xml:space="preserve"> </w:t>
      </w:r>
      <w:r w:rsidR="00EF50A6" w:rsidRPr="007B3DCE">
        <w:t>was</w:t>
      </w:r>
      <w:r w:rsidR="00BB3A57" w:rsidRPr="007B3DCE">
        <w:t xml:space="preserve"> primarily among older individuals as rates among 10</w:t>
      </w:r>
      <w:r w:rsidR="005B722A" w:rsidRPr="007B3DCE">
        <w:t>–</w:t>
      </w:r>
      <w:r w:rsidR="00321E51">
        <w:t> </w:t>
      </w:r>
      <w:r w:rsidR="00BB3A57" w:rsidRPr="007B3DCE">
        <w:t xml:space="preserve">13 years old </w:t>
      </w:r>
      <w:r w:rsidR="00183B6F" w:rsidRPr="007B3DCE">
        <w:t>declined slightly</w:t>
      </w:r>
      <w:r w:rsidR="00BB3A57" w:rsidRPr="007B3DCE">
        <w:t xml:space="preserve">. </w:t>
      </w:r>
      <w:r w:rsidR="00C77E4F" w:rsidRPr="007B3DCE">
        <w:t>However, in the A</w:t>
      </w:r>
      <w:r w:rsidR="009C0770" w:rsidRPr="007B3DCE">
        <w:t xml:space="preserve">ustralian </w:t>
      </w:r>
      <w:r w:rsidR="00C77E4F" w:rsidRPr="007B3DCE">
        <w:t>C</w:t>
      </w:r>
      <w:r w:rsidR="009C0770" w:rsidRPr="007B3DCE">
        <w:t xml:space="preserve">apital </w:t>
      </w:r>
      <w:r w:rsidR="00C77E4F" w:rsidRPr="007B3DCE">
        <w:t>T</w:t>
      </w:r>
      <w:r w:rsidR="009C0770" w:rsidRPr="007B3DCE">
        <w:t>erritory</w:t>
      </w:r>
      <w:r w:rsidR="00C77E4F" w:rsidRPr="007B3DCE">
        <w:t xml:space="preserve"> and the N</w:t>
      </w:r>
      <w:r w:rsidR="009C0770" w:rsidRPr="007B3DCE">
        <w:t xml:space="preserve">orthern </w:t>
      </w:r>
      <w:r w:rsidR="00C77E4F" w:rsidRPr="007B3DCE">
        <w:t>T</w:t>
      </w:r>
      <w:r w:rsidR="009C0770" w:rsidRPr="007B3DCE">
        <w:t>erritory</w:t>
      </w:r>
      <w:r w:rsidR="00C77E4F" w:rsidRPr="007B3DCE">
        <w:t>, the increase span</w:t>
      </w:r>
      <w:r w:rsidR="00EF50A6" w:rsidRPr="007B3DCE">
        <w:t>ned</w:t>
      </w:r>
      <w:r w:rsidR="00C77E4F" w:rsidRPr="007B3DCE">
        <w:t xml:space="preserve"> all age groups.</w:t>
      </w:r>
      <w:r w:rsidR="00FF6275" w:rsidRPr="007B3DCE">
        <w:t xml:space="preserve"> </w:t>
      </w:r>
    </w:p>
    <w:p w14:paraId="3C2C01F4" w14:textId="34DAC7CD" w:rsidR="009E79B3" w:rsidRPr="009E09C2" w:rsidRDefault="003977AD" w:rsidP="009E09C2">
      <w:pPr>
        <w:pStyle w:val="Heading5"/>
        <w:rPr>
          <w:color w:val="684633" w:themeColor="text1" w:themeShade="BF"/>
          <w:spacing w:val="-4"/>
        </w:rPr>
      </w:pPr>
      <w:r w:rsidRPr="009E09C2">
        <w:rPr>
          <w:color w:val="684633" w:themeColor="text1" w:themeShade="BF"/>
          <w:spacing w:val="-4"/>
        </w:rPr>
        <w:t xml:space="preserve">More </w:t>
      </w:r>
      <w:r w:rsidR="277934A9" w:rsidRPr="009E09C2">
        <w:rPr>
          <w:color w:val="684633" w:themeColor="text1" w:themeShade="BF"/>
          <w:spacing w:val="-4"/>
        </w:rPr>
        <w:t xml:space="preserve">young people </w:t>
      </w:r>
      <w:r w:rsidRPr="009E09C2">
        <w:rPr>
          <w:color w:val="684633" w:themeColor="text1" w:themeShade="BF"/>
          <w:spacing w:val="-4"/>
        </w:rPr>
        <w:t xml:space="preserve">are being </w:t>
      </w:r>
      <w:r w:rsidR="00992AB8" w:rsidRPr="009E09C2">
        <w:rPr>
          <w:color w:val="684633" w:themeColor="text1" w:themeShade="BF"/>
          <w:spacing w:val="-4"/>
        </w:rPr>
        <w:t>proceed</w:t>
      </w:r>
      <w:r w:rsidR="009C0770" w:rsidRPr="009E09C2">
        <w:rPr>
          <w:color w:val="684633" w:themeColor="text1" w:themeShade="BF"/>
          <w:spacing w:val="-4"/>
        </w:rPr>
        <w:t>ed</w:t>
      </w:r>
      <w:r w:rsidR="00992AB8" w:rsidRPr="009E09C2">
        <w:rPr>
          <w:color w:val="684633" w:themeColor="text1" w:themeShade="BF"/>
          <w:spacing w:val="-4"/>
        </w:rPr>
        <w:t xml:space="preserve"> against</w:t>
      </w:r>
      <w:r w:rsidRPr="009E09C2">
        <w:rPr>
          <w:color w:val="684633" w:themeColor="text1" w:themeShade="BF"/>
          <w:spacing w:val="-4"/>
        </w:rPr>
        <w:t xml:space="preserve"> </w:t>
      </w:r>
      <w:r w:rsidR="00E92512" w:rsidRPr="009E09C2">
        <w:rPr>
          <w:color w:val="684633" w:themeColor="text1" w:themeShade="BF"/>
          <w:spacing w:val="-4"/>
        </w:rPr>
        <w:t xml:space="preserve">by </w:t>
      </w:r>
      <w:r w:rsidR="007E6B95" w:rsidRPr="009E09C2">
        <w:rPr>
          <w:color w:val="684633" w:themeColor="text1" w:themeShade="BF"/>
          <w:spacing w:val="-4"/>
        </w:rPr>
        <w:t>police</w:t>
      </w:r>
      <w:r w:rsidR="00E92512" w:rsidRPr="009E09C2">
        <w:rPr>
          <w:color w:val="684633" w:themeColor="text1" w:themeShade="BF"/>
          <w:spacing w:val="-4"/>
        </w:rPr>
        <w:t xml:space="preserve"> multiple times</w:t>
      </w:r>
      <w:r w:rsidR="00F56BD5" w:rsidRPr="009E09C2">
        <w:rPr>
          <w:color w:val="684633" w:themeColor="text1" w:themeShade="BF"/>
          <w:spacing w:val="-4"/>
        </w:rPr>
        <w:t xml:space="preserve"> in </w:t>
      </w:r>
      <w:r w:rsidR="009B3263" w:rsidRPr="009E09C2">
        <w:rPr>
          <w:color w:val="684633" w:themeColor="text1" w:themeShade="BF"/>
          <w:spacing w:val="-4"/>
        </w:rPr>
        <w:t>most</w:t>
      </w:r>
      <w:r w:rsidR="00F56BD5" w:rsidRPr="009E09C2">
        <w:rPr>
          <w:color w:val="684633" w:themeColor="text1" w:themeShade="BF"/>
          <w:spacing w:val="-4"/>
        </w:rPr>
        <w:t xml:space="preserve"> jurisdictions</w:t>
      </w:r>
    </w:p>
    <w:p w14:paraId="6A5EBCB5" w14:textId="057D1FD0" w:rsidR="00CE6343" w:rsidRPr="00901318" w:rsidRDefault="008059A7" w:rsidP="000C5ED2">
      <w:pPr>
        <w:pStyle w:val="BodyText"/>
      </w:pPr>
      <w:r w:rsidRPr="007B3DCE">
        <w:t>For Aboriginal and Torres Strait Islander people proceeded against by police,</w:t>
      </w:r>
      <w:r w:rsidR="008A67DC" w:rsidRPr="007B3DCE">
        <w:t xml:space="preserve"> </w:t>
      </w:r>
      <w:r w:rsidR="009C0770" w:rsidRPr="007B3DCE">
        <w:t xml:space="preserve">the </w:t>
      </w:r>
      <w:r w:rsidR="008A67DC" w:rsidRPr="007B3DCE">
        <w:t xml:space="preserve">proportion proceeded </w:t>
      </w:r>
      <w:r w:rsidR="009C0770" w:rsidRPr="007B3DCE">
        <w:t xml:space="preserve">against </w:t>
      </w:r>
      <w:r w:rsidR="004A7C70" w:rsidRPr="007B3DCE">
        <w:t xml:space="preserve">multiple times </w:t>
      </w:r>
      <w:r w:rsidR="00CF16E5" w:rsidRPr="007B3DCE">
        <w:t>increased</w:t>
      </w:r>
      <w:r w:rsidR="004A7C70" w:rsidRPr="007B3DCE">
        <w:t xml:space="preserve"> in four </w:t>
      </w:r>
      <w:r w:rsidR="006D69C4" w:rsidRPr="007B3DCE">
        <w:t xml:space="preserve">of the five </w:t>
      </w:r>
      <w:r w:rsidR="004A7C70" w:rsidRPr="007B3DCE">
        <w:t>states with available data (</w:t>
      </w:r>
      <w:r w:rsidR="006E358F" w:rsidRPr="007B3DCE">
        <w:t>New South Wales,</w:t>
      </w:r>
      <w:r w:rsidR="006D69C4" w:rsidRPr="007B3DCE">
        <w:t xml:space="preserve"> </w:t>
      </w:r>
      <w:r w:rsidR="002E7629" w:rsidRPr="007B3DCE">
        <w:t>South Australia,</w:t>
      </w:r>
      <w:r w:rsidR="006D69C4" w:rsidRPr="007B3DCE">
        <w:t xml:space="preserve"> </w:t>
      </w:r>
      <w:r w:rsidR="002833D9">
        <w:t xml:space="preserve">the </w:t>
      </w:r>
      <w:r w:rsidR="002E7629" w:rsidRPr="007B3DCE">
        <w:t>A</w:t>
      </w:r>
      <w:r w:rsidR="00D26858">
        <w:t xml:space="preserve">ustralian </w:t>
      </w:r>
      <w:r w:rsidR="002E7629" w:rsidRPr="007B3DCE">
        <w:t>C</w:t>
      </w:r>
      <w:r w:rsidR="00D26858">
        <w:t xml:space="preserve">apital </w:t>
      </w:r>
      <w:r w:rsidR="002E7629" w:rsidRPr="007B3DCE">
        <w:t>T</w:t>
      </w:r>
      <w:r w:rsidR="00D26858">
        <w:t>erritory</w:t>
      </w:r>
      <w:r w:rsidR="006E358F" w:rsidRPr="007B3DCE">
        <w:t xml:space="preserve"> </w:t>
      </w:r>
      <w:r w:rsidR="002E7629" w:rsidRPr="007B3DCE">
        <w:t>and N</w:t>
      </w:r>
      <w:r w:rsidR="00D26858">
        <w:t xml:space="preserve">orthern </w:t>
      </w:r>
      <w:r w:rsidR="002E7629" w:rsidRPr="007B3DCE">
        <w:t>T</w:t>
      </w:r>
      <w:r w:rsidR="00D26858">
        <w:t>erritory</w:t>
      </w:r>
      <w:r w:rsidR="002E7629" w:rsidRPr="007B3DCE">
        <w:t>)</w:t>
      </w:r>
      <w:r w:rsidR="76B045A7" w:rsidRPr="007B3DCE">
        <w:t>.</w:t>
      </w:r>
    </w:p>
    <w:p w14:paraId="6936CC9C" w14:textId="77777777" w:rsidR="00947744" w:rsidRDefault="00317718" w:rsidP="000C5ED2">
      <w:pPr>
        <w:pStyle w:val="BodyText"/>
      </w:pPr>
      <w:r w:rsidRPr="00317718">
        <w:t xml:space="preserve">In 2022-23, across the five jurisdictions with available data, for Aboriginal and Torres Strait Islander young people proceeded against by police, the proportion proceeded against once ranged from 38.9% to 47.1%. By comparison, between 14.6% to 36.5% were proceeded against twice, and between 20.6% and 42.0% were proceeded against three or more times. </w:t>
      </w:r>
    </w:p>
    <w:p w14:paraId="1E7BDAC3" w14:textId="77777777" w:rsidR="00947744" w:rsidRDefault="00947744" w:rsidP="00E44ACC"/>
    <w:p w14:paraId="31D19802" w14:textId="77777777" w:rsidR="00135442" w:rsidRDefault="00DB3E73" w:rsidP="00282793">
      <w:r w:rsidRPr="00DB3E73">
        <w:rPr>
          <w:noProof/>
        </w:rPr>
        <w:drawing>
          <wp:inline distT="0" distB="0" distL="0" distR="0" wp14:anchorId="667259D7" wp14:editId="33913044">
            <wp:extent cx="6120130" cy="3630295"/>
            <wp:effectExtent l="0" t="0" r="0" b="8255"/>
            <wp:docPr id="678133834" name="Picture 6" descr="The summary box states that there is minimal or worsening progress and targets are not on track to be met by 2031. Incarceration rates (Target 10) are worsening and are not on track to be met. Youth detention rates (Target 11) have not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33834" name="Picture 6" descr="The summary box states that there is minimal or worsening progress and targets are not on track to be met by 2031. Incarceration rates (Target 10) are worsening and are not on track to be met. Youth detention rates (Target 11) have not chang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3630295"/>
                    </a:xfrm>
                    <a:prstGeom prst="rect">
                      <a:avLst/>
                    </a:prstGeom>
                    <a:noFill/>
                    <a:ln>
                      <a:noFill/>
                    </a:ln>
                  </pic:spPr>
                </pic:pic>
              </a:graphicData>
            </a:graphic>
          </wp:inline>
        </w:drawing>
      </w:r>
    </w:p>
    <w:p w14:paraId="04D2C6F9" w14:textId="77777777" w:rsidR="00B84AC2" w:rsidRPr="00B84AC2" w:rsidRDefault="00B84AC2" w:rsidP="00B84AC2">
      <w:pPr>
        <w:rPr>
          <w:sz w:val="18"/>
          <w:szCs w:val="18"/>
        </w:rPr>
      </w:pPr>
    </w:p>
    <w:p w14:paraId="07487D35" w14:textId="77777777" w:rsidR="00B84AC2" w:rsidRPr="00B84AC2" w:rsidRDefault="00B84AC2" w:rsidP="00B84AC2">
      <w:pPr>
        <w:rPr>
          <w:sz w:val="18"/>
          <w:szCs w:val="18"/>
        </w:rPr>
      </w:pPr>
    </w:p>
    <w:p w14:paraId="035B77C7" w14:textId="77777777" w:rsidR="00B84AC2" w:rsidRDefault="00B84AC2" w:rsidP="00B84AC2"/>
    <w:p w14:paraId="272C3AC7" w14:textId="1E338473" w:rsidR="00B84AC2" w:rsidRDefault="00B84AC2" w:rsidP="00B84AC2">
      <w:pPr>
        <w:tabs>
          <w:tab w:val="left" w:pos="7211"/>
        </w:tabs>
      </w:pPr>
      <w:r>
        <w:tab/>
      </w:r>
    </w:p>
    <w:p w14:paraId="1A5C0D71" w14:textId="3EAB2787" w:rsidR="00AB0B5A" w:rsidRPr="007B3DCE" w:rsidRDefault="00F67EF3" w:rsidP="000E150E">
      <w:pPr>
        <w:pStyle w:val="Heading1-nonumber"/>
        <w:pBdr>
          <w:top w:val="single" w:sz="4" w:space="31" w:color="DBDCDE"/>
          <w:left w:val="single" w:sz="4" w:space="26" w:color="DBDCDE"/>
          <w:bottom w:val="single" w:sz="4" w:space="26" w:color="DBDCDE"/>
          <w:right w:val="single" w:sz="4" w:space="26" w:color="DBDCDE"/>
        </w:pBdr>
        <w:shd w:val="clear" w:color="auto" w:fill="293032"/>
        <w:rPr>
          <w:color w:val="F2F2F2" w:themeColor="accent6" w:themeShade="F2"/>
        </w:rPr>
      </w:pPr>
      <w:bookmarkStart w:id="69" w:name="_Toc170466655"/>
      <w:r w:rsidRPr="007B3DCE">
        <w:rPr>
          <w:color w:val="F2F2F2" w:themeColor="accent6" w:themeShade="F2"/>
        </w:rPr>
        <w:lastRenderedPageBreak/>
        <w:t>2.9</w:t>
      </w:r>
      <w:r w:rsidRPr="007B3DCE">
        <w:rPr>
          <w:color w:val="F2F2F2" w:themeColor="accent6" w:themeShade="F2"/>
        </w:rPr>
        <w:tab/>
      </w:r>
      <w:r w:rsidR="00AB0B5A" w:rsidRPr="007B3DCE">
        <w:rPr>
          <w:color w:val="F2F2F2" w:themeColor="accent6" w:themeShade="F2"/>
        </w:rPr>
        <w:t xml:space="preserve">Digital </w:t>
      </w:r>
      <w:bookmarkEnd w:id="68"/>
      <w:r w:rsidR="09EE67F4" w:rsidRPr="007B3DCE">
        <w:rPr>
          <w:color w:val="F2F2F2" w:themeColor="accent6" w:themeShade="F2"/>
        </w:rPr>
        <w:t>i</w:t>
      </w:r>
      <w:r w:rsidR="00AB0B5A" w:rsidRPr="007B3DCE">
        <w:rPr>
          <w:color w:val="F2F2F2" w:themeColor="accent6" w:themeShade="F2"/>
        </w:rPr>
        <w:t>nclusion</w:t>
      </w:r>
      <w:bookmarkEnd w:id="69"/>
    </w:p>
    <w:p w14:paraId="02A38305" w14:textId="621E105E" w:rsidR="00F3475B" w:rsidRPr="007B3DCE" w:rsidRDefault="00F3475B" w:rsidP="00750415">
      <w:pPr>
        <w:pStyle w:val="BodyText"/>
      </w:pPr>
      <w:r w:rsidRPr="007B3DCE">
        <w:t xml:space="preserve">Access to information and digital inclusion are fundamental to the self-determination of Aboriginal and Torres Strait Islander people. They can unlock significant economic and social opportunities such as education and economic participation (NACCHO 2021). As technology increasingly facilitates access to health, education, government, and utility services, Aboriginal and Torres Strait Islander communities stand to benefit from improved opportunities </w:t>
      </w:r>
      <w:r w:rsidRPr="00216127">
        <w:rPr>
          <w:rFonts w:ascii="Arial (Body)" w:hAnsi="Arial (Body)" w:cs="Arial"/>
        </w:rPr>
        <w:t>(NACCHO 2021; Rennie et al. 2019)</w:t>
      </w:r>
      <w:r w:rsidRPr="007B3DCE">
        <w:t xml:space="preserve">. </w:t>
      </w:r>
    </w:p>
    <w:p w14:paraId="55E60F50" w14:textId="7F70F32D" w:rsidR="00F3475B" w:rsidRPr="007B3DCE" w:rsidRDefault="00F3475B" w:rsidP="00750415">
      <w:pPr>
        <w:pStyle w:val="BodyText"/>
      </w:pPr>
      <w:r w:rsidRPr="007B3DCE">
        <w:t>Structural barriers such as lack of infrastructure, limited connectivity and socio</w:t>
      </w:r>
      <w:r w:rsidRPr="00216127">
        <w:rPr>
          <w:rFonts w:ascii="Arial (Body)" w:eastAsia="Arial" w:hAnsi="Arial (Body)" w:cs="Arial"/>
        </w:rPr>
        <w:t>-</w:t>
      </w:r>
      <w:r w:rsidRPr="007B3DCE">
        <w:t xml:space="preserve">economic factors, limit access to digital health, education and employment opportunities </w:t>
      </w:r>
      <w:r w:rsidR="00220990" w:rsidRPr="00216127">
        <w:rPr>
          <w:rFonts w:ascii="Arial (Body)" w:hAnsi="Arial (Body)" w:cs="Arial"/>
        </w:rPr>
        <w:t>(First Nations Digital Inclusion Advisory Group 2023; NACCHO 2021)</w:t>
      </w:r>
      <w:r w:rsidRPr="007B3DCE">
        <w:t>. Affordability, education, unstable housing and economic participation</w:t>
      </w:r>
      <w:r w:rsidRPr="007B3DCE" w:rsidDel="70A84153">
        <w:t xml:space="preserve"> </w:t>
      </w:r>
      <w:r w:rsidRPr="007B3DCE">
        <w:t xml:space="preserve">further widen the digital inclusion gap between Aboriginal and Torres Strait Islander and non-Indigenous people (McCallum and Papandrea 2009; NACCHO 2021). </w:t>
      </w:r>
    </w:p>
    <w:p w14:paraId="75E64841" w14:textId="6E03BFCD" w:rsidR="00F3475B" w:rsidRPr="007B3DCE" w:rsidRDefault="00F3475B" w:rsidP="00750415">
      <w:pPr>
        <w:pStyle w:val="BodyText"/>
      </w:pPr>
      <w:r w:rsidRPr="007B3DCE">
        <w:t xml:space="preserve">Addressing these challenges by improving digital literacy and ensuring reliable, affordable telecommunications is essential for ensuring full participation in today’s digital society. Enhanced access to information and digital literacy enables Aboriginal and Torres Strait Islander people to make informed decisions and improve overall wellbeing </w:t>
      </w:r>
      <w:r w:rsidR="00220990" w:rsidRPr="00216127">
        <w:rPr>
          <w:rFonts w:ascii="Arial (Body)" w:hAnsi="Arial (Body)" w:cs="Arial"/>
        </w:rPr>
        <w:t>(First Nations Digital Inclusion Advisory Group 2023)</w:t>
      </w:r>
      <w:r w:rsidRPr="007B3DCE">
        <w:t>.</w:t>
      </w:r>
    </w:p>
    <w:p w14:paraId="576E7847" w14:textId="0CBCB6BF" w:rsidR="00B9043A" w:rsidRPr="007B3DCE" w:rsidRDefault="00B9043A" w:rsidP="00F6287B">
      <w:pPr>
        <w:pStyle w:val="NoSpacing"/>
      </w:pPr>
      <w:r w:rsidRPr="007B3DCE">
        <w:rPr>
          <w:vanish/>
          <w:color w:val="FF00FF"/>
        </w:rPr>
        <w:t>[</w:t>
      </w:r>
      <w:r w:rsidRPr="007B3DCE">
        <w:rPr>
          <w:smallCaps/>
          <w:vanish/>
          <w:color w:val="FF00FF"/>
        </w:rPr>
        <w:t>Used for spacing, do not delete</w:t>
      </w:r>
      <w:r w:rsidRPr="007B3DCE">
        <w:rPr>
          <w:vanish/>
          <w:color w:val="FF00FF"/>
        </w:rPr>
        <w:t xml:space="preserve"> | Style: No Spacing]</w:t>
      </w:r>
    </w:p>
    <w:tbl>
      <w:tblPr>
        <w:tblStyle w:val="Boxtable"/>
        <w:tblW w:w="0" w:type="auto"/>
        <w:tblLook w:val="04A0" w:firstRow="1" w:lastRow="0" w:firstColumn="1" w:lastColumn="0" w:noHBand="0" w:noVBand="1"/>
      </w:tblPr>
      <w:tblGrid>
        <w:gridCol w:w="9411"/>
      </w:tblGrid>
      <w:tr w:rsidR="32B30C6B" w:rsidRPr="007B3DCE" w14:paraId="37DD6488" w14:textId="77777777" w:rsidTr="00BB3889">
        <w:trPr>
          <w:trHeight w:val="476"/>
        </w:trPr>
        <w:tc>
          <w:tcPr>
            <w:tcW w:w="9026" w:type="dxa"/>
            <w:shd w:val="clear" w:color="auto" w:fill="293032"/>
            <w:tcMar>
              <w:top w:w="170" w:type="dxa"/>
              <w:left w:w="170" w:type="dxa"/>
              <w:bottom w:w="113" w:type="dxa"/>
              <w:right w:w="170" w:type="dxa"/>
            </w:tcMar>
            <w:vAlign w:val="center"/>
          </w:tcPr>
          <w:p w14:paraId="67752B3E" w14:textId="7F0C7323" w:rsidR="32B30C6B" w:rsidRPr="007B3DCE" w:rsidRDefault="32B30C6B" w:rsidP="00BB3889">
            <w:pPr>
              <w:pStyle w:val="BoxHeading1"/>
              <w:spacing w:before="0" w:line="360" w:lineRule="auto"/>
              <w:rPr>
                <w:color w:val="FFFFFF"/>
              </w:rPr>
            </w:pPr>
            <w:r w:rsidRPr="007B3DCE">
              <w:rPr>
                <w:color w:val="FFFFFF"/>
              </w:rPr>
              <w:t>Box 2</w:t>
            </w:r>
            <w:r w:rsidR="00F6287B" w:rsidRPr="007B3DCE">
              <w:rPr>
                <w:color w:val="FFFFFF"/>
              </w:rPr>
              <w:t>.</w:t>
            </w:r>
            <w:r w:rsidR="00EF7969" w:rsidRPr="007B3DCE">
              <w:rPr>
                <w:color w:val="FFFFFF"/>
              </w:rPr>
              <w:t>23</w:t>
            </w:r>
            <w:r w:rsidRPr="007B3DCE">
              <w:rPr>
                <w:color w:val="FFFFFF"/>
              </w:rPr>
              <w:t xml:space="preserve"> – What data will you find in this section?</w:t>
            </w:r>
          </w:p>
        </w:tc>
      </w:tr>
      <w:tr w:rsidR="00AD4EAB" w:rsidRPr="007B3DCE" w14:paraId="2605699D" w14:textId="77777777" w:rsidTr="00BC5510">
        <w:trPr>
          <w:trHeight w:val="1549"/>
        </w:trPr>
        <w:tc>
          <w:tcPr>
            <w:tcW w:w="9026" w:type="dxa"/>
            <w:shd w:val="clear" w:color="auto" w:fill="D9D9D9" w:themeFill="accent6" w:themeFillShade="D9"/>
            <w:tcMar>
              <w:top w:w="170" w:type="dxa"/>
              <w:left w:w="170" w:type="dxa"/>
              <w:bottom w:w="113" w:type="dxa"/>
              <w:right w:w="170" w:type="dxa"/>
            </w:tcMar>
          </w:tcPr>
          <w:p w14:paraId="278D46CB" w14:textId="48C673F0" w:rsidR="00AD4EAB" w:rsidRPr="007B3DCE" w:rsidRDefault="00AD4EAB" w:rsidP="00750415">
            <w:pPr>
              <w:pStyle w:val="BodyText"/>
            </w:pPr>
            <w:r w:rsidRPr="007B3DCE">
              <w:t xml:space="preserve">This section provides a snapshot of the latest data available for socio-economic outcome </w:t>
            </w:r>
            <w:r w:rsidR="00CE0950">
              <w:t>17</w:t>
            </w:r>
            <w:r w:rsidRPr="007B3DCE">
              <w:t xml:space="preserve">. </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8"/>
              <w:gridCol w:w="2013"/>
            </w:tblGrid>
            <w:tr w:rsidR="00AD4EAB" w:rsidRPr="007B3DCE" w14:paraId="0B96D99E" w14:textId="77777777">
              <w:trPr>
                <w:trHeight w:val="420"/>
              </w:trPr>
              <w:tc>
                <w:tcPr>
                  <w:tcW w:w="7058" w:type="dxa"/>
                  <w:vAlign w:val="center"/>
                </w:tcPr>
                <w:p w14:paraId="71E1B23C" w14:textId="77777777" w:rsidR="00AD4EAB" w:rsidRPr="00750415" w:rsidRDefault="00AD4EAB" w:rsidP="00750415">
                  <w:pPr>
                    <w:pStyle w:val="BodyText"/>
                    <w:rPr>
                      <w:b/>
                      <w:bCs/>
                    </w:rPr>
                  </w:pPr>
                  <w:r w:rsidRPr="00750415">
                    <w:rPr>
                      <w:b/>
                      <w:bCs/>
                    </w:rPr>
                    <w:t>Outcome</w:t>
                  </w:r>
                </w:p>
              </w:tc>
              <w:tc>
                <w:tcPr>
                  <w:tcW w:w="2013" w:type="dxa"/>
                </w:tcPr>
                <w:p w14:paraId="7A7F957D" w14:textId="77777777" w:rsidR="00AD4EAB" w:rsidRPr="00335F7E" w:rsidRDefault="00AD4EAB" w:rsidP="00201F08">
                  <w:pPr>
                    <w:pStyle w:val="BodyText"/>
                    <w:jc w:val="right"/>
                    <w:rPr>
                      <w:b/>
                      <w:bCs/>
                    </w:rPr>
                  </w:pPr>
                  <w:r w:rsidRPr="00335F7E">
                    <w:rPr>
                      <w:b/>
                      <w:bCs/>
                    </w:rPr>
                    <w:t>Latest data</w:t>
                  </w:r>
                </w:p>
              </w:tc>
            </w:tr>
            <w:tr w:rsidR="00D87EFB" w:rsidRPr="007B3DCE" w14:paraId="38DC82FE" w14:textId="77777777">
              <w:trPr>
                <w:trHeight w:val="300"/>
              </w:trPr>
              <w:tc>
                <w:tcPr>
                  <w:tcW w:w="7058" w:type="dxa"/>
                </w:tcPr>
                <w:p w14:paraId="26C76E8C" w14:textId="30F4B217" w:rsidR="00D87EFB" w:rsidRPr="00D87EFB" w:rsidRDefault="00D87EFB" w:rsidP="00750415">
                  <w:pPr>
                    <w:pStyle w:val="BodyText"/>
                  </w:pPr>
                  <w:r w:rsidRPr="00750415">
                    <w:rPr>
                      <w:b/>
                      <w:bCs/>
                    </w:rPr>
                    <w:t>Outcome 17:</w:t>
                  </w:r>
                  <w:r w:rsidRPr="007B3DCE">
                    <w:t xml:space="preserve"> Aboriginal and Torres Strait Islander people have access to information and services enabling participation in informed decision-making regarding their own lives</w:t>
                  </w:r>
                </w:p>
              </w:tc>
              <w:tc>
                <w:tcPr>
                  <w:tcW w:w="2013" w:type="dxa"/>
                </w:tcPr>
                <w:p w14:paraId="4BE8B109" w14:textId="77777777" w:rsidR="00D87EFB" w:rsidRPr="007B3DCE" w:rsidRDefault="00D87EFB" w:rsidP="00201F08">
                  <w:pPr>
                    <w:jc w:val="right"/>
                  </w:pPr>
                </w:p>
              </w:tc>
            </w:tr>
            <w:tr w:rsidR="00AD4EAB" w:rsidRPr="007B3DCE" w14:paraId="6865E176" w14:textId="77777777">
              <w:trPr>
                <w:trHeight w:val="300"/>
              </w:trPr>
              <w:tc>
                <w:tcPr>
                  <w:tcW w:w="7058" w:type="dxa"/>
                </w:tcPr>
                <w:p w14:paraId="3F4D0163" w14:textId="77777777" w:rsidR="00AD4EAB" w:rsidRPr="00974ADB" w:rsidRDefault="00AD4EAB" w:rsidP="00974ADB">
                  <w:pPr>
                    <w:pStyle w:val="ListBullet"/>
                    <w:numPr>
                      <w:ilvl w:val="0"/>
                      <w:numId w:val="17"/>
                    </w:numPr>
                    <w:ind w:left="227" w:hanging="227"/>
                  </w:pPr>
                  <w:r w:rsidRPr="00974ADB">
                    <w:t>Access to information (Target 17)</w:t>
                  </w:r>
                </w:p>
                <w:p w14:paraId="083B1473" w14:textId="7C4C444B" w:rsidR="00AD4EAB" w:rsidRPr="007B3DCE" w:rsidRDefault="00AD4EAB" w:rsidP="00974ADB">
                  <w:pPr>
                    <w:pStyle w:val="ListBullet"/>
                    <w:numPr>
                      <w:ilvl w:val="0"/>
                      <w:numId w:val="17"/>
                    </w:numPr>
                    <w:ind w:left="227" w:hanging="227"/>
                  </w:pPr>
                  <w:r w:rsidRPr="00974ADB">
                    <w:t xml:space="preserve">Digital </w:t>
                  </w:r>
                  <w:r w:rsidR="00BF3C14" w:rsidRPr="00974ADB">
                    <w:t>i</w:t>
                  </w:r>
                  <w:r w:rsidRPr="00974ADB">
                    <w:t>nclusion (17a)*</w:t>
                  </w:r>
                  <w:r w:rsidR="00B1654D" w:rsidRPr="00974ADB">
                    <w:t>*</w:t>
                  </w:r>
                </w:p>
              </w:tc>
              <w:tc>
                <w:tcPr>
                  <w:tcW w:w="2013" w:type="dxa"/>
                </w:tcPr>
                <w:p w14:paraId="788CFEEF" w14:textId="7C45F265" w:rsidR="00D57965" w:rsidRDefault="00AD4EAB" w:rsidP="00201F08">
                  <w:pPr>
                    <w:spacing w:after="0"/>
                    <w:contextualSpacing/>
                    <w:jc w:val="right"/>
                  </w:pPr>
                  <w:r w:rsidRPr="007B3DCE">
                    <w:t>20</w:t>
                  </w:r>
                  <w:r w:rsidR="00D57965">
                    <w:t>14-</w:t>
                  </w:r>
                  <w:r w:rsidRPr="007B3DCE">
                    <w:t>1</w:t>
                  </w:r>
                  <w:r w:rsidR="00D4183D">
                    <w:t>5</w:t>
                  </w:r>
                </w:p>
                <w:p w14:paraId="5E746E48" w14:textId="1ED550E4" w:rsidR="00AD4EAB" w:rsidRDefault="00AD4EAB" w:rsidP="00201F08">
                  <w:pPr>
                    <w:spacing w:after="0"/>
                    <w:contextualSpacing/>
                    <w:jc w:val="right"/>
                  </w:pPr>
                  <w:r w:rsidRPr="007B3DCE">
                    <w:t>2023</w:t>
                  </w:r>
                </w:p>
                <w:p w14:paraId="5D8C3F51" w14:textId="00CC7996" w:rsidR="00AD4EAB" w:rsidRPr="007B3DCE" w:rsidRDefault="00AD4EAB" w:rsidP="00201F08">
                  <w:pPr>
                    <w:spacing w:after="0"/>
                    <w:contextualSpacing/>
                    <w:jc w:val="right"/>
                  </w:pPr>
                </w:p>
              </w:tc>
            </w:tr>
            <w:tr w:rsidR="00AD4EAB" w:rsidRPr="007B3DCE" w14:paraId="4D49381E" w14:textId="77777777">
              <w:trPr>
                <w:trHeight w:val="300"/>
              </w:trPr>
              <w:tc>
                <w:tcPr>
                  <w:tcW w:w="7058" w:type="dxa"/>
                </w:tcPr>
                <w:p w14:paraId="0F867485" w14:textId="0928855A" w:rsidR="00AD4EAB" w:rsidRPr="007B3DCE" w:rsidRDefault="00AD4EAB" w:rsidP="00750415">
                  <w:pPr>
                    <w:pStyle w:val="Note"/>
                  </w:pPr>
                  <w:r w:rsidRPr="00953D52">
                    <w:t>Note:</w:t>
                  </w:r>
                  <w:r w:rsidR="00953D52">
                    <w:t xml:space="preserve"> </w:t>
                  </w:r>
                  <w:r w:rsidRPr="00953D52">
                    <w:t>*</w:t>
                  </w:r>
                  <w:r w:rsidR="00B1654D">
                    <w:t>*</w:t>
                  </w:r>
                  <w:r w:rsidRPr="00953D52">
                    <w:t xml:space="preserve"> Indicates </w:t>
                  </w:r>
                  <w:r w:rsidR="00B1654D">
                    <w:t>a</w:t>
                  </w:r>
                  <w:r w:rsidRPr="00953D52">
                    <w:t xml:space="preserve"> new </w:t>
                  </w:r>
                  <w:r w:rsidR="00B1654D">
                    <w:t>supporting indicator s</w:t>
                  </w:r>
                  <w:r w:rsidRPr="00953D52">
                    <w:rPr>
                      <w:rFonts w:cs="Open Sans"/>
                      <w:color w:val="000000"/>
                    </w:rPr>
                    <w:t>ince the 2023 ADCR</w:t>
                  </w:r>
                  <w:r w:rsidR="00EC27E0">
                    <w:rPr>
                      <w:rFonts w:cs="Open Sans"/>
                      <w:color w:val="000000"/>
                    </w:rPr>
                    <w:t>.</w:t>
                  </w:r>
                </w:p>
              </w:tc>
              <w:tc>
                <w:tcPr>
                  <w:tcW w:w="2013" w:type="dxa"/>
                </w:tcPr>
                <w:p w14:paraId="3430C02C" w14:textId="77777777" w:rsidR="00AD4EAB" w:rsidRPr="007B3DCE" w:rsidRDefault="00AD4EAB" w:rsidP="00AD4EAB"/>
              </w:tc>
            </w:tr>
          </w:tbl>
          <w:p w14:paraId="43BF895C" w14:textId="77777777" w:rsidR="00AD4EAB" w:rsidRPr="007B3DCE" w:rsidRDefault="00AD4EAB" w:rsidP="32B30C6B">
            <w:pPr>
              <w:pStyle w:val="BoxHeading1"/>
              <w:spacing w:line="360" w:lineRule="auto"/>
              <w:rPr>
                <w:color w:val="FFFFFF"/>
              </w:rPr>
            </w:pPr>
          </w:p>
        </w:tc>
      </w:tr>
      <w:tr w:rsidR="32B30C6B" w:rsidRPr="007B3DCE" w14:paraId="0ADF1407" w14:textId="77777777" w:rsidTr="50FBCA28">
        <w:trPr>
          <w:trHeight w:val="300"/>
        </w:trPr>
        <w:tc>
          <w:tcPr>
            <w:tcW w:w="9026" w:type="dxa"/>
            <w:shd w:val="clear" w:color="auto" w:fill="auto"/>
            <w:tcMar>
              <w:top w:w="0" w:type="dxa"/>
              <w:left w:w="170" w:type="dxa"/>
              <w:bottom w:w="0" w:type="dxa"/>
              <w:right w:w="170" w:type="dxa"/>
            </w:tcMar>
          </w:tcPr>
          <w:p w14:paraId="167ED574" w14:textId="77777777" w:rsidR="32B30C6B" w:rsidRPr="007B3DCE" w:rsidRDefault="32B30C6B" w:rsidP="32B30C6B">
            <w:pPr>
              <w:pStyle w:val="BodyText"/>
              <w:spacing w:before="0" w:after="0" w:line="80" w:lineRule="atLeast"/>
              <w:rPr>
                <w:smallCaps/>
              </w:rPr>
            </w:pPr>
          </w:p>
        </w:tc>
      </w:tr>
    </w:tbl>
    <w:p w14:paraId="52F603D9" w14:textId="77777777" w:rsidR="00337035" w:rsidRPr="007B3DCE" w:rsidRDefault="00337035" w:rsidP="00DA459B">
      <w:pPr>
        <w:pStyle w:val="Heading3"/>
        <w:rPr>
          <w:color w:val="293032"/>
          <w:lang w:eastAsia="en-AU"/>
        </w:rPr>
      </w:pPr>
      <w:bookmarkStart w:id="70" w:name="_Toc167878567"/>
      <w:r w:rsidRPr="007B3DCE">
        <w:rPr>
          <w:color w:val="293032"/>
          <w:lang w:eastAsia="en-AU"/>
        </w:rPr>
        <w:lastRenderedPageBreak/>
        <w:t>Outcome 17: Aboriginal and Torres Strait Islander people have access to information and services enabling participation in informed decision-making regarding their own lives</w:t>
      </w:r>
      <w:bookmarkEnd w:id="70"/>
    </w:p>
    <w:p w14:paraId="0F208E29" w14:textId="276839A0" w:rsidR="00FB4228" w:rsidRPr="007B3DCE" w:rsidRDefault="00A95B01" w:rsidP="00DA459B">
      <w:pPr>
        <w:pStyle w:val="Heading4"/>
        <w:rPr>
          <w:color w:val="58585B"/>
          <w:lang w:eastAsia="en-AU"/>
        </w:rPr>
      </w:pPr>
      <w:r w:rsidRPr="007B3DCE">
        <w:rPr>
          <w:color w:val="58585B"/>
          <w:lang w:eastAsia="en-AU"/>
        </w:rPr>
        <w:t>D</w:t>
      </w:r>
      <w:r w:rsidR="00FB4228" w:rsidRPr="007B3DCE">
        <w:rPr>
          <w:color w:val="58585B"/>
          <w:lang w:eastAsia="en-AU"/>
        </w:rPr>
        <w:t xml:space="preserve">ata is </w:t>
      </w:r>
      <w:r w:rsidRPr="007B3DCE">
        <w:rPr>
          <w:color w:val="58585B"/>
          <w:lang w:eastAsia="en-AU"/>
        </w:rPr>
        <w:t>not available</w:t>
      </w:r>
      <w:r w:rsidR="00FB4228" w:rsidRPr="007B3DCE">
        <w:rPr>
          <w:color w:val="58585B"/>
          <w:lang w:eastAsia="en-AU"/>
        </w:rPr>
        <w:t xml:space="preserve"> to assess whether Aboriginal and Torres Strait Islander people </w:t>
      </w:r>
      <w:r w:rsidR="00E44BC8" w:rsidRPr="007B3DCE">
        <w:rPr>
          <w:color w:val="58585B"/>
          <w:lang w:eastAsia="en-AU"/>
        </w:rPr>
        <w:t xml:space="preserve">are on track </w:t>
      </w:r>
      <w:r w:rsidR="00FB4228" w:rsidRPr="007B3DCE">
        <w:rPr>
          <w:color w:val="58585B"/>
          <w:lang w:eastAsia="en-AU"/>
        </w:rPr>
        <w:t>to have equal levels of digital inclusion</w:t>
      </w:r>
      <w:r w:rsidR="7834B54E" w:rsidRPr="007B3DCE">
        <w:rPr>
          <w:color w:val="58585B"/>
          <w:lang w:eastAsia="en-AU"/>
        </w:rPr>
        <w:t xml:space="preserve"> </w:t>
      </w:r>
      <w:r w:rsidR="71FCFAAA" w:rsidRPr="007B3DCE">
        <w:rPr>
          <w:color w:val="58585B"/>
          <w:lang w:eastAsia="en-AU"/>
        </w:rPr>
        <w:t>by 2026</w:t>
      </w:r>
    </w:p>
    <w:p w14:paraId="0D046B9A" w14:textId="1E4422D8" w:rsidR="005F0291" w:rsidRPr="007B3DCE" w:rsidRDefault="0409FE55" w:rsidP="00750415">
      <w:pPr>
        <w:pStyle w:val="BodyText"/>
      </w:pPr>
      <w:r w:rsidRPr="007B3DCE">
        <w:t xml:space="preserve">Tracking progress towards </w:t>
      </w:r>
      <w:r w:rsidR="003908AD" w:rsidRPr="007B3DCE">
        <w:t xml:space="preserve">digital inclusion </w:t>
      </w:r>
      <w:r w:rsidR="1A951ADB" w:rsidRPr="007B3DCE">
        <w:t xml:space="preserve">equality is not possible due to </w:t>
      </w:r>
      <w:r w:rsidR="00E070D6" w:rsidRPr="007B3DCE">
        <w:t xml:space="preserve">a </w:t>
      </w:r>
      <w:r w:rsidR="1A951ADB" w:rsidRPr="007B3DCE">
        <w:t>lack of data</w:t>
      </w:r>
      <w:r w:rsidR="003908AD" w:rsidRPr="007B3DCE">
        <w:t xml:space="preserve">. </w:t>
      </w:r>
      <w:r w:rsidR="0073759F" w:rsidRPr="007B3DCE">
        <w:t xml:space="preserve">The target </w:t>
      </w:r>
      <w:r w:rsidR="00B854DB" w:rsidRPr="007B3DCE">
        <w:t xml:space="preserve">for </w:t>
      </w:r>
      <w:r w:rsidR="7A3BD7F4" w:rsidRPr="007B3DCE">
        <w:t xml:space="preserve">2026 was </w:t>
      </w:r>
      <w:r w:rsidR="287BFC6E" w:rsidRPr="007B3DCE">
        <w:t xml:space="preserve">set </w:t>
      </w:r>
      <w:r w:rsidR="0073759F" w:rsidRPr="007B3DCE">
        <w:t>in 2021</w:t>
      </w:r>
      <w:r w:rsidR="050960DD" w:rsidRPr="007B3DCE">
        <w:t xml:space="preserve"> based on data from </w:t>
      </w:r>
      <w:r w:rsidR="009B0836" w:rsidRPr="007B3DCE">
        <w:t>2014-15</w:t>
      </w:r>
      <w:r w:rsidR="003908AD" w:rsidRPr="007B3DCE">
        <w:t xml:space="preserve"> </w:t>
      </w:r>
      <w:r w:rsidR="6E785C20" w:rsidRPr="007B3DCE">
        <w:t xml:space="preserve">which showed that </w:t>
      </w:r>
      <w:r w:rsidR="00651706" w:rsidRPr="007B3DCE">
        <w:t>73.5% of Aboriginal and Torres Strait Islander people </w:t>
      </w:r>
      <w:r w:rsidR="2E06E5B3" w:rsidRPr="007B3DCE">
        <w:t xml:space="preserve">in Australia </w:t>
      </w:r>
      <w:r w:rsidR="00651706" w:rsidRPr="007B3DCE">
        <w:t xml:space="preserve">aged 15 years </w:t>
      </w:r>
      <w:r w:rsidR="339F35E5" w:rsidRPr="007B3DCE">
        <w:t xml:space="preserve">or </w:t>
      </w:r>
      <w:r w:rsidR="00651706" w:rsidRPr="007B3DCE">
        <w:t>over accessed the internet in their home.</w:t>
      </w:r>
      <w:r w:rsidR="00AE2039" w:rsidRPr="007B3DCE">
        <w:t xml:space="preserve"> </w:t>
      </w:r>
      <w:r w:rsidR="0042325E" w:rsidRPr="007B3DCE">
        <w:t>Without</w:t>
      </w:r>
      <w:r w:rsidR="0BF4DB50" w:rsidRPr="007B3DCE">
        <w:t xml:space="preserve"> recent </w:t>
      </w:r>
      <w:r w:rsidR="00651706" w:rsidRPr="007B3DCE">
        <w:t xml:space="preserve">comparable data </w:t>
      </w:r>
      <w:r w:rsidR="70FAE38D" w:rsidRPr="007B3DCE">
        <w:t>for Aboriginal and Torres Strait Island</w:t>
      </w:r>
      <w:r w:rsidR="00220AEA" w:rsidRPr="007B3DCE">
        <w:t>er</w:t>
      </w:r>
      <w:r w:rsidR="29E85D11" w:rsidRPr="007B3DCE">
        <w:t xml:space="preserve"> a</w:t>
      </w:r>
      <w:r w:rsidR="764C17BE" w:rsidRPr="007B3DCE">
        <w:t xml:space="preserve">nd </w:t>
      </w:r>
      <w:r w:rsidR="00651706" w:rsidRPr="007B3DCE">
        <w:t>non-Indigenous people</w:t>
      </w:r>
      <w:r w:rsidR="00A56D1D" w:rsidRPr="007B3DCE">
        <w:t xml:space="preserve">, it </w:t>
      </w:r>
      <w:r w:rsidR="2D031F22" w:rsidRPr="007B3DCE">
        <w:t xml:space="preserve">is not </w:t>
      </w:r>
      <w:r w:rsidR="00A56D1D" w:rsidRPr="007B3DCE">
        <w:t xml:space="preserve">possible to </w:t>
      </w:r>
      <w:r w:rsidR="538EDCAD" w:rsidRPr="007B3DCE">
        <w:t xml:space="preserve">assess progress </w:t>
      </w:r>
      <w:r w:rsidR="007A7F42" w:rsidRPr="007B3DCE">
        <w:t>to</w:t>
      </w:r>
      <w:r w:rsidR="0FFCD61D" w:rsidRPr="007B3DCE">
        <w:t>wards</w:t>
      </w:r>
      <w:r w:rsidR="007A7F42" w:rsidRPr="007B3DCE">
        <w:t xml:space="preserve"> parity</w:t>
      </w:r>
      <w:r w:rsidR="00651706" w:rsidRPr="007B3DCE" w:rsidDel="007A7F42">
        <w:t>.</w:t>
      </w:r>
      <w:r w:rsidR="00BF6C56" w:rsidRPr="007B3DCE">
        <w:t xml:space="preserve"> </w:t>
      </w:r>
    </w:p>
    <w:p w14:paraId="62BB255F" w14:textId="4DDC5D6C" w:rsidR="002064FD" w:rsidRPr="007B3DCE" w:rsidRDefault="00044DA2" w:rsidP="00DA459B">
      <w:pPr>
        <w:pStyle w:val="Heading5"/>
        <w:rPr>
          <w:color w:val="293032"/>
        </w:rPr>
      </w:pPr>
      <w:r w:rsidRPr="007B3DCE">
        <w:rPr>
          <w:color w:val="293032"/>
        </w:rPr>
        <w:t xml:space="preserve">There </w:t>
      </w:r>
      <w:r w:rsidR="00E070D6" w:rsidRPr="007B3DCE">
        <w:rPr>
          <w:color w:val="293032"/>
        </w:rPr>
        <w:t>are d</w:t>
      </w:r>
      <w:r w:rsidR="7A613929" w:rsidRPr="007B3DCE">
        <w:rPr>
          <w:color w:val="293032"/>
        </w:rPr>
        <w:t>ig</w:t>
      </w:r>
      <w:r w:rsidR="1273E969" w:rsidRPr="007B3DCE">
        <w:rPr>
          <w:color w:val="293032"/>
        </w:rPr>
        <w:t xml:space="preserve">ital </w:t>
      </w:r>
      <w:r w:rsidR="35E7F217" w:rsidRPr="007B3DCE">
        <w:rPr>
          <w:color w:val="293032"/>
        </w:rPr>
        <w:t>inclusion</w:t>
      </w:r>
      <w:r w:rsidRPr="007B3DCE" w:rsidDel="00044DA2">
        <w:rPr>
          <w:color w:val="293032"/>
        </w:rPr>
        <w:t xml:space="preserve"> </w:t>
      </w:r>
      <w:r w:rsidR="6BF1E610" w:rsidRPr="007B3DCE">
        <w:rPr>
          <w:color w:val="293032"/>
        </w:rPr>
        <w:t>gaps</w:t>
      </w:r>
      <w:r w:rsidRPr="007B3DCE">
        <w:rPr>
          <w:color w:val="293032"/>
        </w:rPr>
        <w:t xml:space="preserve"> between Aboriginal and Torres Strait Islander people and non-Indigenous people, particularly in remote and very remote areas</w:t>
      </w:r>
    </w:p>
    <w:p w14:paraId="1C5FDDD1" w14:textId="14877722" w:rsidR="00FB4228" w:rsidRPr="007B3DCE" w:rsidRDefault="63AA85C4" w:rsidP="000D4ED5">
      <w:pPr>
        <w:pStyle w:val="BodyText"/>
      </w:pPr>
      <w:r w:rsidRPr="007B3DCE">
        <w:t>The Australian Digital Inclusion Index (ADII)</w:t>
      </w:r>
      <w:r w:rsidR="00250AE3" w:rsidRPr="007B3DCE">
        <w:t xml:space="preserve"> </w:t>
      </w:r>
      <w:r w:rsidR="00B82FFF" w:rsidRPr="007B3DCE">
        <w:t>–</w:t>
      </w:r>
      <w:r w:rsidR="002B07C4" w:rsidRPr="007B3DCE">
        <w:t xml:space="preserve"> Indicator 17a –</w:t>
      </w:r>
      <w:r w:rsidRPr="007B3DCE">
        <w:t xml:space="preserve"> is a relative measure of </w:t>
      </w:r>
      <w:r w:rsidR="7B262E90" w:rsidRPr="007B3DCE">
        <w:t xml:space="preserve">digital </w:t>
      </w:r>
      <w:r w:rsidRPr="007B3DCE">
        <w:t>inclusion based on three dimensions</w:t>
      </w:r>
      <w:r w:rsidR="4E1F4FB7" w:rsidRPr="007B3DCE">
        <w:t xml:space="preserve"> (</w:t>
      </w:r>
      <w:r w:rsidRPr="007B3DCE">
        <w:t>access, affordability, and digital ability</w:t>
      </w:r>
      <w:r w:rsidR="5A3C96A0" w:rsidRPr="007B3DCE">
        <w:t>)</w:t>
      </w:r>
      <w:r w:rsidR="002B07C4" w:rsidRPr="007B3DCE">
        <w:t xml:space="preserve">. </w:t>
      </w:r>
      <w:r w:rsidR="52ED9133" w:rsidRPr="007B3DCE">
        <w:t>While</w:t>
      </w:r>
      <w:r w:rsidR="66CA3358" w:rsidRPr="007B3DCE">
        <w:t xml:space="preserve"> </w:t>
      </w:r>
      <w:r w:rsidR="00250AE3" w:rsidRPr="007B3DCE">
        <w:t>the</w:t>
      </w:r>
      <w:r w:rsidR="57730B65" w:rsidRPr="007B3DCE">
        <w:t xml:space="preserve"> ADII is used to measure digital inclusion across the entire Australian community</w:t>
      </w:r>
      <w:r w:rsidR="7E780C8F" w:rsidRPr="007B3DCE">
        <w:t xml:space="preserve">, </w:t>
      </w:r>
      <w:r w:rsidR="5A75D1E7" w:rsidRPr="007B3DCE">
        <w:t>the latest survey includes data on a number of</w:t>
      </w:r>
      <w:r w:rsidR="57730B65" w:rsidRPr="007B3DCE">
        <w:t xml:space="preserve"> Aboriginal and Torres Strait Islander </w:t>
      </w:r>
      <w:r w:rsidR="42C90A8C" w:rsidRPr="007B3DCE">
        <w:t>communities across the country to map the digital gap</w:t>
      </w:r>
      <w:r w:rsidR="57730B65" w:rsidRPr="007B3DCE">
        <w:t xml:space="preserve">. </w:t>
      </w:r>
      <w:r w:rsidR="0053404D" w:rsidRPr="007B3DCE">
        <w:t>In 2023, the</w:t>
      </w:r>
      <w:r w:rsidR="2C164E08" w:rsidRPr="007B3DCE" w:rsidDel="00250AE3">
        <w:t xml:space="preserve"> </w:t>
      </w:r>
      <w:r w:rsidR="00250AE3" w:rsidRPr="007B3DCE">
        <w:t>ADII</w:t>
      </w:r>
      <w:r w:rsidR="2C164E08" w:rsidRPr="007B3DCE">
        <w:t xml:space="preserve"> </w:t>
      </w:r>
      <w:r w:rsidR="007B45FB" w:rsidRPr="007B3DCE">
        <w:t>was</w:t>
      </w:r>
      <w:r w:rsidR="6065BBDB" w:rsidRPr="007B3DCE">
        <w:t xml:space="preserve"> </w:t>
      </w:r>
      <w:r w:rsidR="75A377F5" w:rsidRPr="007B3DCE">
        <w:t>similar for A</w:t>
      </w:r>
      <w:r w:rsidRPr="007B3DCE">
        <w:t xml:space="preserve">boriginal and Torres Strait Islander </w:t>
      </w:r>
      <w:r w:rsidR="009B2140" w:rsidRPr="007B3DCE">
        <w:t xml:space="preserve">and non-Indigenous people </w:t>
      </w:r>
      <w:r w:rsidRPr="007B3DCE">
        <w:t xml:space="preserve">living in major cities </w:t>
      </w:r>
      <w:r w:rsidR="009B2140" w:rsidRPr="007B3DCE">
        <w:t xml:space="preserve">but significant gaps exist </w:t>
      </w:r>
      <w:r w:rsidRPr="007B3DCE">
        <w:t>in remote and very remote</w:t>
      </w:r>
      <w:r w:rsidR="016FD34A" w:rsidRPr="007B3DCE">
        <w:t xml:space="preserve"> areas</w:t>
      </w:r>
      <w:r w:rsidRPr="007B3DCE">
        <w:t xml:space="preserve"> </w:t>
      </w:r>
      <w:r w:rsidR="009B2140" w:rsidRPr="007B3DCE">
        <w:t xml:space="preserve">(figure </w:t>
      </w:r>
      <w:r w:rsidR="00B625DB" w:rsidRPr="007B3DCE">
        <w:t>2</w:t>
      </w:r>
      <w:r w:rsidR="009B2140" w:rsidRPr="007B3DCE">
        <w:t>.</w:t>
      </w:r>
      <w:r w:rsidR="2997129E" w:rsidRPr="007B3DCE">
        <w:t>3</w:t>
      </w:r>
      <w:r w:rsidR="008D633C" w:rsidRPr="007B3DCE">
        <w:t>1</w:t>
      </w:r>
      <w:r w:rsidR="009B2140" w:rsidRPr="007B3DCE">
        <w:t>).</w:t>
      </w:r>
      <w:r w:rsidRPr="007B3DCE">
        <w:t xml:space="preserve"> </w:t>
      </w:r>
    </w:p>
    <w:p w14:paraId="230D924F" w14:textId="6B440E61" w:rsidR="2BD76446" w:rsidRPr="007B3DCE" w:rsidRDefault="472F70B8" w:rsidP="5E7D3B32">
      <w:pPr>
        <w:pStyle w:val="FigureTableHeading"/>
        <w:rPr>
          <w:color w:val="293032"/>
        </w:rPr>
      </w:pPr>
      <w:r w:rsidRPr="007B3DCE">
        <w:rPr>
          <w:color w:val="293032"/>
        </w:rPr>
        <w:t xml:space="preserve">Figure </w:t>
      </w:r>
      <w:r w:rsidR="00A23FF2" w:rsidRPr="007B3DCE">
        <w:rPr>
          <w:color w:val="293032"/>
        </w:rPr>
        <w:t>2</w:t>
      </w:r>
      <w:r w:rsidR="00AA04E6" w:rsidRPr="007B3DCE">
        <w:rPr>
          <w:color w:val="293032"/>
        </w:rPr>
        <w:t>.</w:t>
      </w:r>
      <w:r w:rsidR="0036545D" w:rsidRPr="007B3DCE">
        <w:rPr>
          <w:color w:val="293032"/>
        </w:rPr>
        <w:t>31</w:t>
      </w:r>
      <w:r w:rsidRPr="007B3DCE">
        <w:rPr>
          <w:color w:val="293032"/>
        </w:rPr>
        <w:t xml:space="preserve"> – </w:t>
      </w:r>
      <w:r w:rsidR="647139F9" w:rsidRPr="007B3DCE">
        <w:rPr>
          <w:color w:val="293032"/>
        </w:rPr>
        <w:t xml:space="preserve">Comparison of </w:t>
      </w:r>
      <w:r w:rsidRPr="007B3DCE">
        <w:rPr>
          <w:color w:val="293032"/>
        </w:rPr>
        <w:t>Australian Digital Inclusion Index (ADII)</w:t>
      </w:r>
      <w:r w:rsidR="00B625DB" w:rsidRPr="007B3DCE">
        <w:rPr>
          <w:color w:val="293032"/>
        </w:rPr>
        <w:t xml:space="preserve"> </w:t>
      </w:r>
      <w:r w:rsidR="468BC58C" w:rsidRPr="007B3DCE">
        <w:rPr>
          <w:color w:val="293032"/>
        </w:rPr>
        <w:t>by remoteness</w:t>
      </w:r>
      <w:r w:rsidR="041511A4" w:rsidRPr="007B3DCE">
        <w:rPr>
          <w:color w:val="293032"/>
        </w:rPr>
        <w:t xml:space="preserve"> and Indigenous status</w:t>
      </w:r>
      <w:r w:rsidR="041511A4" w:rsidRPr="007B3DCE">
        <w:rPr>
          <w:color w:val="293032"/>
          <w:vertAlign w:val="superscript"/>
        </w:rPr>
        <w:t>a</w:t>
      </w:r>
      <w:r w:rsidR="006F7515" w:rsidRPr="007B3DCE">
        <w:rPr>
          <w:color w:val="293032"/>
          <w:vertAlign w:val="superscript"/>
        </w:rPr>
        <w:t>,b</w:t>
      </w:r>
    </w:p>
    <w:p w14:paraId="1F20B1FD" w14:textId="5741A602" w:rsidR="2BD76446" w:rsidRPr="007B3DCE" w:rsidRDefault="041511A4" w:rsidP="00DA459B">
      <w:pPr>
        <w:pStyle w:val="FigureTableSubheading"/>
      </w:pPr>
      <w:r w:rsidRPr="007B3DCE">
        <w:t>Total index score</w:t>
      </w:r>
      <w:r w:rsidR="47C19A43" w:rsidRPr="007B3DCE">
        <w:t xml:space="preserve"> in 2023</w:t>
      </w:r>
      <w:r w:rsidR="472F70B8" w:rsidRPr="007B3DCE">
        <w:t xml:space="preserve">, by Indigenous Status and </w:t>
      </w:r>
      <w:r w:rsidR="384699D3" w:rsidRPr="007B3DCE">
        <w:t>r</w:t>
      </w:r>
      <w:r w:rsidR="472F70B8" w:rsidRPr="007B3DCE">
        <w:t>emoteness</w:t>
      </w:r>
      <w:r w:rsidR="3BDFF005" w:rsidRPr="007B3DCE">
        <w:t xml:space="preserve"> </w:t>
      </w:r>
      <w:r w:rsidR="00971F57" w:rsidRPr="007B3DCE">
        <w:t>(17a)</w:t>
      </w:r>
    </w:p>
    <w:p w14:paraId="7178C5EA" w14:textId="069539A8" w:rsidR="00E94C28" w:rsidRDefault="00C6419E" w:rsidP="00144A65">
      <w:pPr>
        <w:pStyle w:val="Note"/>
        <w:spacing w:before="0" w:after="0"/>
        <w:rPr>
          <w:b/>
          <w:bCs/>
        </w:rPr>
      </w:pPr>
      <w:r w:rsidRPr="00C6419E">
        <w:rPr>
          <w:noProof/>
        </w:rPr>
        <w:drawing>
          <wp:inline distT="0" distB="0" distL="0" distR="0" wp14:anchorId="569D5C80" wp14:editId="24926FC7">
            <wp:extent cx="6118961" cy="2338754"/>
            <wp:effectExtent l="0" t="0" r="0" b="0"/>
            <wp:docPr id="196600549" name="Picture 186" descr="Figure 2.31 is a column chart that compares the Australian Digital Inclusion Index (ADII) by remoteness and Indigenous status in 2023. The chart shows the total index score for Aboriginal and Torres Strait Islander people and non-Indigenous people across these remoteness areas. &#10;In major cities, the ADII score for Aboriginal and Torres Strait Islander people is 71.6, compared to 74.7 for non-Indigenous people. The remote areas have an ADII score of 49 for Aboriginal and Torres Strait Islander people and 70.6 for non-Indigenous people. In very remote areas, the ADII scores are 48 for Aboriginal and Torres Strait Islander people and 71.5 for non-Indigenous people. &#10;Overall, across all areas, the ADII scores are 65.9 for Aboriginal and Torres Strait Islander people and 73.4 for non-Indigenous peop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0549" name="Picture 186" descr="Figure 2.31 is a column chart that compares the Australian Digital Inclusion Index (ADII) by remoteness and Indigenous status in 2023. The chart shows the total index score for Aboriginal and Torres Strait Islander people and non-Indigenous people across these remoteness areas. &#10;In major cities, the ADII score for Aboriginal and Torres Strait Islander people is 71.6, compared to 74.7 for non-Indigenous people. The remote areas have an ADII score of 49 for Aboriginal and Torres Strait Islander people and 70.6 for non-Indigenous people. In very remote areas, the ADII scores are 48 for Aboriginal and Torres Strait Islander people and 71.5 for non-Indigenous people. &#10;Overall, across all areas, the ADII scores are 65.9 for Aboriginal and Torres Strait Islander people and 73.4 for non-Indigenous people.&#10;"/>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11723"/>
                    <a:stretch/>
                  </pic:blipFill>
                  <pic:spPr bwMode="auto">
                    <a:xfrm>
                      <a:off x="0" y="0"/>
                      <a:ext cx="6120130" cy="2339201"/>
                    </a:xfrm>
                    <a:prstGeom prst="rect">
                      <a:avLst/>
                    </a:prstGeom>
                    <a:noFill/>
                    <a:ln>
                      <a:noFill/>
                    </a:ln>
                    <a:extLst>
                      <a:ext uri="{53640926-AAD7-44D8-BBD7-CCE9431645EC}">
                        <a14:shadowObscured xmlns:a14="http://schemas.microsoft.com/office/drawing/2010/main"/>
                      </a:ext>
                    </a:extLst>
                  </pic:spPr>
                </pic:pic>
              </a:graphicData>
            </a:graphic>
          </wp:inline>
        </w:drawing>
      </w:r>
    </w:p>
    <w:p w14:paraId="474B4F10" w14:textId="6507DD7C" w:rsidR="006204C5" w:rsidRDefault="00FB4228" w:rsidP="00A952AE">
      <w:pPr>
        <w:pStyle w:val="Note"/>
      </w:pPr>
      <w:r w:rsidRPr="007B3DCE">
        <w:rPr>
          <w:b/>
          <w:bCs/>
        </w:rPr>
        <w:t>a.</w:t>
      </w:r>
      <w:r w:rsidRPr="007B3DCE">
        <w:t xml:space="preserve"> </w:t>
      </w:r>
      <w:r w:rsidR="00224D61" w:rsidRPr="007B3DCE">
        <w:t>Data has not been published for inner regional areas due to low samples.</w:t>
      </w:r>
      <w:r w:rsidR="00546B47">
        <w:rPr>
          <w:b/>
          <w:bCs/>
        </w:rPr>
        <w:t xml:space="preserve"> </w:t>
      </w:r>
      <w:r w:rsidR="006F7515" w:rsidRPr="007B3DCE">
        <w:rPr>
          <w:b/>
          <w:bCs/>
        </w:rPr>
        <w:t>b.</w:t>
      </w:r>
      <w:r w:rsidR="00D96FEE" w:rsidRPr="007B3DCE">
        <w:t xml:space="preserve"> </w:t>
      </w:r>
      <w:r w:rsidR="00E5199D" w:rsidRPr="007B3DCE">
        <w:t>S</w:t>
      </w:r>
      <w:r w:rsidR="000C0A7E" w:rsidRPr="007B3DCE">
        <w:t xml:space="preserve">haded </w:t>
      </w:r>
      <w:r w:rsidR="0074228F" w:rsidRPr="007B3DCE">
        <w:t>b</w:t>
      </w:r>
      <w:r w:rsidR="007A79B9">
        <w:t>ox</w:t>
      </w:r>
      <w:r w:rsidR="000C0A7E" w:rsidRPr="007B3DCE">
        <w:t xml:space="preserve"> </w:t>
      </w:r>
      <w:r w:rsidR="00B50FDB" w:rsidRPr="007B3DCE">
        <w:t>denotes</w:t>
      </w:r>
      <w:r w:rsidR="00842817" w:rsidRPr="007B3DCE">
        <w:t xml:space="preserve"> the national data for all remoteness areas combined.</w:t>
      </w:r>
      <w:r w:rsidR="006204C5" w:rsidRPr="006204C5">
        <w:t xml:space="preserve"> </w:t>
      </w:r>
    </w:p>
    <w:p w14:paraId="43F87071" w14:textId="276ACD1B" w:rsidR="006204C5" w:rsidRDefault="006204C5" w:rsidP="006204C5">
      <w:pPr>
        <w:pStyle w:val="Source"/>
      </w:pPr>
      <w:r>
        <w:t>Source: Australian Research Council Centre of Excellence for Automated Decision-Making and Society (ARCADMS), Australian Digital Inclusion Index</w:t>
      </w:r>
    </w:p>
    <w:p w14:paraId="07D47402" w14:textId="2CFE74D8" w:rsidR="00CD09B4" w:rsidRPr="007B3DCE" w:rsidRDefault="00CD09B4" w:rsidP="00AD4EAB">
      <w:pPr>
        <w:pStyle w:val="Note"/>
        <w:spacing w:before="0" w:after="0"/>
      </w:pPr>
    </w:p>
    <w:p w14:paraId="38CE6E8B" w14:textId="7C73F6EA" w:rsidR="00FB4228" w:rsidRPr="00EC27E0" w:rsidRDefault="00FB4228" w:rsidP="00A36613">
      <w:pPr>
        <w:pStyle w:val="Heading5"/>
        <w:rPr>
          <w:color w:val="58585B"/>
        </w:rPr>
      </w:pPr>
      <w:r w:rsidRPr="00EC27E0">
        <w:rPr>
          <w:color w:val="58585B"/>
        </w:rPr>
        <w:lastRenderedPageBreak/>
        <w:t>Number and location of community broadcast licences with an Aboriginal and Torres Strait Islander interest</w:t>
      </w:r>
    </w:p>
    <w:p w14:paraId="29ADB429" w14:textId="756B8D7A" w:rsidR="3C9070FC" w:rsidRPr="007B3DCE" w:rsidRDefault="00730227" w:rsidP="00750415">
      <w:pPr>
        <w:pStyle w:val="BodyText"/>
      </w:pPr>
      <w:r w:rsidRPr="007B3DCE">
        <w:t>The latest</w:t>
      </w:r>
      <w:r w:rsidR="00701BAD" w:rsidRPr="007B3DCE">
        <w:t xml:space="preserve"> data for community radio broadcasting licen</w:t>
      </w:r>
      <w:r w:rsidR="00561966">
        <w:t>c</w:t>
      </w:r>
      <w:r w:rsidR="00701BAD" w:rsidRPr="007B3DCE">
        <w:t xml:space="preserve">es with an Aboriginal or Torres Strait Islander interest </w:t>
      </w:r>
      <w:r w:rsidR="00FA2335">
        <w:t xml:space="preserve">(Indicator 17g) </w:t>
      </w:r>
      <w:r w:rsidRPr="007B3DCE">
        <w:t xml:space="preserve">shows that </w:t>
      </w:r>
      <w:r w:rsidR="00701BAD" w:rsidRPr="007B3DCE">
        <w:t>at 30 June 2023, there were 152 community radio broadcasting licen</w:t>
      </w:r>
      <w:r w:rsidR="00577011">
        <w:t>c</w:t>
      </w:r>
      <w:r w:rsidR="00701BAD" w:rsidRPr="007B3DCE">
        <w:t xml:space="preserve">es, 91 </w:t>
      </w:r>
      <w:r w:rsidR="002156BE" w:rsidRPr="007B3DCE">
        <w:t xml:space="preserve">of which </w:t>
      </w:r>
      <w:r w:rsidR="00701BAD" w:rsidRPr="007B3DCE">
        <w:t xml:space="preserve">were long term and 61 were temporary </w:t>
      </w:r>
      <w:r w:rsidR="00EF5F83" w:rsidRPr="007B3DCE">
        <w:t>community</w:t>
      </w:r>
      <w:r w:rsidR="00E52522">
        <w:t xml:space="preserve"> licen</w:t>
      </w:r>
      <w:r w:rsidR="00561966">
        <w:t>c</w:t>
      </w:r>
      <w:r w:rsidR="00E52522">
        <w:t>es</w:t>
      </w:r>
      <w:r w:rsidR="004456F6" w:rsidRPr="007B3DCE">
        <w:t>.</w:t>
      </w:r>
    </w:p>
    <w:p w14:paraId="1DB87CA5" w14:textId="77777777" w:rsidR="00B65276" w:rsidRDefault="00632048" w:rsidP="002D41F0">
      <w:pPr>
        <w:spacing w:before="0" w:after="160" w:line="259" w:lineRule="auto"/>
        <w:rPr>
          <w:rFonts w:ascii="Aptos" w:eastAsia="Aptos" w:hAnsi="Aptos" w:cs="Times New Roman"/>
          <w:kern w:val="2"/>
          <w:sz w:val="22"/>
          <w:szCs w:val="22"/>
          <w14:ligatures w14:val="standardContextual"/>
        </w:rPr>
        <w:sectPr w:rsidR="00B65276" w:rsidSect="008D0D81">
          <w:type w:val="oddPage"/>
          <w:pgSz w:w="11906" w:h="16838" w:code="9"/>
          <w:pgMar w:top="1134" w:right="1134" w:bottom="1134" w:left="1134" w:header="794" w:footer="510" w:gutter="0"/>
          <w:pgNumType w:start="63"/>
          <w:cols w:space="708"/>
          <w:docGrid w:linePitch="360"/>
        </w:sectPr>
      </w:pPr>
      <w:r>
        <w:rPr>
          <w:noProof/>
        </w:rPr>
        <w:drawing>
          <wp:anchor distT="0" distB="0" distL="114300" distR="114300" simplePos="0" relativeHeight="251658260" behindDoc="1" locked="0" layoutInCell="1" allowOverlap="1" wp14:anchorId="779BE96D" wp14:editId="107925FF">
            <wp:simplePos x="0" y="0"/>
            <wp:positionH relativeFrom="page">
              <wp:posOffset>-47625</wp:posOffset>
            </wp:positionH>
            <wp:positionV relativeFrom="paragraph">
              <wp:posOffset>2225040</wp:posOffset>
            </wp:positionV>
            <wp:extent cx="7589528" cy="5845126"/>
            <wp:effectExtent l="0" t="0" r="0" b="3810"/>
            <wp:wrapNone/>
            <wp:docPr id="2077556852"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56852" name="Picture 213">
                      <a:extLst>
                        <a:ext uri="{C183D7F6-B498-43B3-948B-1728B52AA6E4}">
                          <adec:decorative xmlns:adec="http://schemas.microsoft.com/office/drawing/2017/decorative" val="1"/>
                        </a:ext>
                      </a:extLst>
                    </pic:cNvPr>
                    <pic:cNvPicPr>
                      <a:picLocks noChangeAspect="1" noChangeArrowheads="1"/>
                    </pic:cNvPicPr>
                  </pic:nvPicPr>
                  <pic:blipFill>
                    <a:blip r:embed="rId108" cstate="print">
                      <a:duotone>
                        <a:prstClr val="black"/>
                        <a:schemeClr val="accent6">
                          <a:tint val="45000"/>
                          <a:satMod val="400000"/>
                        </a:schemeClr>
                      </a:duotone>
                      <a:extLst>
                        <a:ext uri="{BEBA8EAE-BF5A-486C-A8C5-ECC9F3942E4B}">
                          <a14:imgProps xmlns:a14="http://schemas.microsoft.com/office/drawing/2010/main">
                            <a14:imgLayer r:embed="rId1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589528" cy="5845126"/>
                    </a:xfrm>
                    <a:prstGeom prst="rect">
                      <a:avLst/>
                    </a:prstGeom>
                    <a:noFill/>
                    <a:ln>
                      <a:noFill/>
                    </a:ln>
                  </pic:spPr>
                </pic:pic>
              </a:graphicData>
            </a:graphic>
            <wp14:sizeRelH relativeFrom="page">
              <wp14:pctWidth>0</wp14:pctWidth>
            </wp14:sizeRelH>
            <wp14:sizeRelV relativeFrom="page">
              <wp14:pctHeight>0</wp14:pctHeight>
            </wp14:sizeRelV>
          </wp:anchor>
        </w:drawing>
      </w:r>
      <w:r w:rsidR="009052BD" w:rsidRPr="009052BD">
        <w:rPr>
          <w:rFonts w:ascii="Aptos" w:eastAsia="Aptos" w:hAnsi="Aptos" w:cs="Times New Roman"/>
          <w:kern w:val="2"/>
          <w:sz w:val="22"/>
          <w:szCs w:val="22"/>
          <w14:ligatures w14:val="standardContextual"/>
        </w:rPr>
        <w:t xml:space="preserve"> </w:t>
      </w:r>
      <w:r w:rsidR="00E63874" w:rsidRPr="00E63874">
        <w:rPr>
          <w:noProof/>
        </w:rPr>
        <w:drawing>
          <wp:inline distT="0" distB="0" distL="0" distR="0" wp14:anchorId="5F99EF6D" wp14:editId="6D570089">
            <wp:extent cx="6120130" cy="3279775"/>
            <wp:effectExtent l="0" t="0" r="0" b="0"/>
            <wp:docPr id="823994066" name="Picture 2" descr="The summary box states that there is insufficient data to assess whether digital inclusion (Target 17) is on track to be m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94066" name="Picture 2" descr="The summary box states that there is insufficient data to assess whether digital inclusion (Target 17) is on track to be met.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3279775"/>
                    </a:xfrm>
                    <a:prstGeom prst="rect">
                      <a:avLst/>
                    </a:prstGeom>
                    <a:noFill/>
                    <a:ln>
                      <a:noFill/>
                    </a:ln>
                  </pic:spPr>
                </pic:pic>
              </a:graphicData>
            </a:graphic>
          </wp:inline>
        </w:drawing>
      </w:r>
    </w:p>
    <w:p w14:paraId="7C6ADD6D" w14:textId="472E5979" w:rsidR="00187D6E" w:rsidRDefault="00B3237C">
      <w:pPr>
        <w:spacing w:before="0" w:after="160" w:line="259" w:lineRule="auto"/>
        <w:rPr>
          <w:rFonts w:ascii="Aptos" w:eastAsia="Aptos" w:hAnsi="Aptos" w:cs="Times New Roman"/>
          <w:kern w:val="2"/>
          <w:sz w:val="22"/>
          <w:szCs w:val="22"/>
          <w14:ligatures w14:val="standardContextual"/>
        </w:rPr>
      </w:pPr>
      <w:r>
        <w:rPr>
          <w:noProof/>
        </w:rPr>
        <w:lastRenderedPageBreak/>
        <w:drawing>
          <wp:anchor distT="0" distB="0" distL="114300" distR="114300" simplePos="0" relativeHeight="251658254" behindDoc="0" locked="0" layoutInCell="1" allowOverlap="1" wp14:anchorId="714FF422" wp14:editId="582B4E79">
            <wp:simplePos x="0" y="0"/>
            <wp:positionH relativeFrom="margin">
              <wp:align>center</wp:align>
            </wp:positionH>
            <wp:positionV relativeFrom="paragraph">
              <wp:posOffset>-1016048</wp:posOffset>
            </wp:positionV>
            <wp:extent cx="7617124" cy="5751810"/>
            <wp:effectExtent l="0" t="0" r="3175" b="0"/>
            <wp:wrapNone/>
            <wp:docPr id="57134275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42758" name="Picture 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17124" cy="5751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5FC78" w14:textId="047C5ECA" w:rsidR="00BF7457" w:rsidRDefault="00BF7457" w:rsidP="002D41F0">
      <w:pPr>
        <w:spacing w:before="0" w:after="160" w:line="259" w:lineRule="auto"/>
        <w:rPr>
          <w:rFonts w:ascii="Aptos" w:eastAsia="Aptos" w:hAnsi="Aptos" w:cs="Times New Roman"/>
          <w:kern w:val="2"/>
          <w:sz w:val="22"/>
          <w:szCs w:val="22"/>
          <w14:ligatures w14:val="standardContextual"/>
        </w:rPr>
      </w:pPr>
    </w:p>
    <w:p w14:paraId="14571B78" w14:textId="739154E5" w:rsidR="00E85A38" w:rsidRPr="00252592" w:rsidRDefault="00BF7457" w:rsidP="00252592">
      <w:pPr>
        <w:spacing w:before="240" w:after="480" w:line="504" w:lineRule="atLeast"/>
        <w:outlineLvl w:val="0"/>
        <w:rPr>
          <w:rFonts w:asciiTheme="majorHAnsi" w:hAnsiTheme="majorHAnsi"/>
          <w:color w:val="775538" w:themeColor="background1"/>
          <w:sz w:val="42"/>
          <w:lang w:eastAsia="en-AU"/>
        </w:rPr>
        <w:sectPr w:rsidR="00E85A38" w:rsidRPr="00252592" w:rsidSect="002A3FC2">
          <w:headerReference w:type="even" r:id="rId111"/>
          <w:headerReference w:type="default" r:id="rId112"/>
          <w:footerReference w:type="even" r:id="rId113"/>
          <w:footerReference w:type="default" r:id="rId114"/>
          <w:pgSz w:w="11906" w:h="16838" w:code="9"/>
          <w:pgMar w:top="1134" w:right="1134" w:bottom="1134" w:left="1134" w:header="794" w:footer="510" w:gutter="0"/>
          <w:cols w:space="708"/>
          <w:docGrid w:linePitch="360"/>
        </w:sectPr>
      </w:pPr>
      <w:r>
        <w:rPr>
          <w:rFonts w:ascii="Aptos" w:eastAsia="Aptos" w:hAnsi="Aptos" w:cs="Times New Roman"/>
          <w:kern w:val="2"/>
          <w:sz w:val="22"/>
          <w:szCs w:val="22"/>
          <w14:ligatures w14:val="standardContextual"/>
        </w:rPr>
        <w:br w:type="page"/>
      </w:r>
      <w:r w:rsidR="000E3A6D" w:rsidRPr="000E3A6D">
        <w:rPr>
          <w:noProof/>
          <w:color w:val="8C5E44" w:themeColor="text1"/>
        </w:rPr>
        <w:lastRenderedPageBreak/>
        <w:drawing>
          <wp:anchor distT="0" distB="0" distL="114300" distR="114300" simplePos="0" relativeHeight="251658253" behindDoc="1" locked="0" layoutInCell="1" allowOverlap="1" wp14:anchorId="5E35B556" wp14:editId="1D15B007">
            <wp:simplePos x="0" y="0"/>
            <wp:positionH relativeFrom="page">
              <wp:align>right</wp:align>
            </wp:positionH>
            <wp:positionV relativeFrom="paragraph">
              <wp:posOffset>-766729</wp:posOffset>
            </wp:positionV>
            <wp:extent cx="7620000" cy="10773321"/>
            <wp:effectExtent l="0" t="0" r="0" b="9525"/>
            <wp:wrapNone/>
            <wp:docPr id="97875083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50839" name="Picture 2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20000" cy="10773321"/>
                    </a:xfrm>
                    <a:prstGeom prst="rect">
                      <a:avLst/>
                    </a:prstGeom>
                    <a:noFill/>
                    <a:ln>
                      <a:noFill/>
                    </a:ln>
                  </pic:spPr>
                </pic:pic>
              </a:graphicData>
            </a:graphic>
            <wp14:sizeRelH relativeFrom="page">
              <wp14:pctWidth>0</wp14:pctWidth>
            </wp14:sizeRelH>
            <wp14:sizeRelV relativeFrom="page">
              <wp14:pctHeight>0</wp14:pctHeight>
            </wp14:sizeRelV>
          </wp:anchor>
        </w:drawing>
      </w:r>
      <w:r w:rsidR="000E3A6D" w:rsidRPr="00252592">
        <w:rPr>
          <w:rFonts w:asciiTheme="majorHAnsi" w:hAnsiTheme="majorHAnsi"/>
          <w:color w:val="775538" w:themeColor="background1"/>
          <w:sz w:val="42"/>
          <w:lang w:eastAsia="en-AU"/>
        </w:rPr>
        <w:t>Appendix</w:t>
      </w:r>
    </w:p>
    <w:p w14:paraId="10779609" w14:textId="77777777" w:rsidR="000E3A6D" w:rsidRPr="00750415" w:rsidRDefault="000E3A6D" w:rsidP="001A578E">
      <w:pPr>
        <w:pStyle w:val="Heading3"/>
        <w:spacing w:after="0"/>
        <w:rPr>
          <w:color w:val="B65627"/>
          <w:lang w:eastAsia="en-AU"/>
        </w:rPr>
      </w:pPr>
      <w:r w:rsidRPr="00750415">
        <w:rPr>
          <w:color w:val="B65627"/>
          <w:lang w:eastAsia="en-AU"/>
        </w:rPr>
        <w:lastRenderedPageBreak/>
        <w:t>Attachment 1 – Logic of the framework for measuring progress</w:t>
      </w:r>
    </w:p>
    <w:p w14:paraId="60AC036A" w14:textId="297A34E1" w:rsidR="001A578E" w:rsidRDefault="000E3A6D" w:rsidP="001A578E">
      <w:pPr>
        <w:spacing w:before="0" w:line="259" w:lineRule="auto"/>
        <w:rPr>
          <w:rStyle w:val="BodyTextChar"/>
          <w:noProof/>
          <w:spacing w:val="-2"/>
        </w:rPr>
      </w:pPr>
      <w:r w:rsidRPr="00750415">
        <w:rPr>
          <w:rStyle w:val="BodyTextChar"/>
          <w:spacing w:val="-2"/>
        </w:rPr>
        <w:t>The National Agreement on Closing the Gap aims to implement four Priority Reforms to change the way governments work with Aboriginal and Torres Strait Islander people. These reforms are expected to accelerate improvements in the lives of Aboriginal and Torres Strait Islander people. Figure A1 outlines this logic</w:t>
      </w:r>
      <w:r w:rsidRPr="000E3A6D">
        <w:rPr>
          <w:rFonts w:eastAsia="Times New Roman" w:cstheme="minorHAnsi"/>
          <w:kern w:val="2"/>
          <w:lang w:eastAsia="en-AU"/>
        </w:rPr>
        <w:t>.</w:t>
      </w:r>
      <w:r w:rsidR="001A578E" w:rsidRPr="001A578E">
        <w:rPr>
          <w:rStyle w:val="BodyTextChar"/>
          <w:noProof/>
          <w:spacing w:val="-2"/>
        </w:rPr>
        <w:t xml:space="preserve"> </w:t>
      </w:r>
    </w:p>
    <w:p w14:paraId="26135A0B" w14:textId="504B5D26" w:rsidR="000E3A6D" w:rsidRPr="00D41214" w:rsidRDefault="001220C1" w:rsidP="001220C1">
      <w:pPr>
        <w:spacing w:before="0" w:after="240" w:line="259" w:lineRule="auto"/>
        <w:rPr>
          <w:rFonts w:asciiTheme="majorHAnsi" w:eastAsia="Times New Roman" w:hAnsiTheme="majorHAnsi" w:cstheme="minorHAnsi"/>
          <w:color w:val="8C5E44" w:themeColor="text1"/>
          <w:kern w:val="2"/>
          <w:lang w:eastAsia="en-AU"/>
        </w:rPr>
        <w:sectPr w:rsidR="000E3A6D" w:rsidRPr="00D41214" w:rsidSect="002A3FC2">
          <w:headerReference w:type="even" r:id="rId115"/>
          <w:footerReference w:type="even" r:id="rId116"/>
          <w:footerReference w:type="default" r:id="rId117"/>
          <w:pgSz w:w="11906" w:h="16838" w:code="9"/>
          <w:pgMar w:top="1134" w:right="1134" w:bottom="1134" w:left="1134" w:header="680" w:footer="510" w:gutter="0"/>
          <w:pgNumType w:start="76"/>
          <w:cols w:space="708"/>
          <w:docGrid w:linePitch="360"/>
        </w:sectPr>
      </w:pPr>
      <w:r w:rsidRPr="00750415">
        <w:rPr>
          <w:rStyle w:val="BodyTextChar"/>
          <w:noProof/>
          <w:spacing w:val="-2"/>
        </w:rPr>
        <w:drawing>
          <wp:anchor distT="0" distB="0" distL="114300" distR="114300" simplePos="0" relativeHeight="251658240" behindDoc="1" locked="0" layoutInCell="1" allowOverlap="1" wp14:anchorId="6FFBB505" wp14:editId="2B545B16">
            <wp:simplePos x="0" y="0"/>
            <wp:positionH relativeFrom="margin">
              <wp:posOffset>0</wp:posOffset>
            </wp:positionH>
            <wp:positionV relativeFrom="paragraph">
              <wp:posOffset>194679</wp:posOffset>
            </wp:positionV>
            <wp:extent cx="6120130" cy="7586980"/>
            <wp:effectExtent l="0" t="0" r="0" b="0"/>
            <wp:wrapTight wrapText="bothSides">
              <wp:wrapPolygon edited="0">
                <wp:start x="1883" y="0"/>
                <wp:lineTo x="538" y="54"/>
                <wp:lineTo x="336" y="163"/>
                <wp:lineTo x="336" y="868"/>
                <wp:lineTo x="0" y="1193"/>
                <wp:lineTo x="0" y="4122"/>
                <wp:lineTo x="3563" y="4339"/>
                <wp:lineTo x="202" y="4502"/>
                <wp:lineTo x="202" y="5315"/>
                <wp:lineTo x="11497" y="6074"/>
                <wp:lineTo x="12707" y="6074"/>
                <wp:lineTo x="12707" y="6942"/>
                <wp:lineTo x="2353" y="7322"/>
                <wp:lineTo x="0" y="7430"/>
                <wp:lineTo x="0" y="18874"/>
                <wp:lineTo x="2958" y="19091"/>
                <wp:lineTo x="0" y="19091"/>
                <wp:lineTo x="0" y="21531"/>
                <wp:lineTo x="21515" y="21531"/>
                <wp:lineTo x="21515" y="19742"/>
                <wp:lineTo x="10757" y="19091"/>
                <wp:lineTo x="18557" y="19091"/>
                <wp:lineTo x="21515" y="18874"/>
                <wp:lineTo x="21515" y="1139"/>
                <wp:lineTo x="9278" y="868"/>
                <wp:lineTo x="9413" y="651"/>
                <wp:lineTo x="4168" y="0"/>
                <wp:lineTo x="1883" y="0"/>
              </wp:wrapPolygon>
            </wp:wrapTight>
            <wp:docPr id="359166795" name="Picture 21" descr="Figure A1 shows the logic of the framework for measuring Closing the Gap progress. When the four Priority Reforms are fully implemented, improvements in socio-economic outcomes are accelerated. This will help to achieve the objective: to overcome entrenched inequality faced by too many Aboriginal and Torres Strait Islander people so that their life outcomes are equal to all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66795" name="Picture 21" descr="Figure A1 shows the logic of the framework for measuring Closing the Gap progress. When the four Priority Reforms are fully implemented, improvements in socio-economic outcomes are accelerated. This will help to achieve the objective: to overcome entrenched inequality faced by too many Aboriginal and Torres Strait Islander people so that their life outcomes are equal to all Australians. "/>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758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A6D" w:rsidRPr="00D41214">
        <w:rPr>
          <w:rFonts w:asciiTheme="majorHAnsi" w:hAnsiTheme="majorHAnsi"/>
          <w:color w:val="8C5E44" w:themeColor="text1"/>
          <w:lang w:eastAsia="en-AU"/>
        </w:rPr>
        <w:t>Figure A1</w:t>
      </w:r>
    </w:p>
    <w:p w14:paraId="4F7229BE" w14:textId="77777777" w:rsidR="000E3A6D" w:rsidRPr="00750415" w:rsidRDefault="000E3A6D" w:rsidP="00750415">
      <w:pPr>
        <w:pStyle w:val="Heading3"/>
        <w:rPr>
          <w:color w:val="B65627"/>
          <w:lang w:eastAsia="en-AU"/>
        </w:rPr>
      </w:pPr>
      <w:r w:rsidRPr="00750415">
        <w:rPr>
          <w:color w:val="B65627"/>
          <w:lang w:eastAsia="en-AU"/>
        </w:rPr>
        <w:lastRenderedPageBreak/>
        <w:t>Attachment 2 - Closing the Gap Dashboard data collection summary (2024)</w:t>
      </w:r>
    </w:p>
    <w:p w14:paraId="69B83E61" w14:textId="77777777" w:rsidR="000E3A6D" w:rsidRDefault="000E3A6D" w:rsidP="00013AFB">
      <w:pPr>
        <w:pStyle w:val="FigureTableHeading"/>
        <w:spacing w:after="120" w:line="300" w:lineRule="atLeast"/>
      </w:pPr>
      <w:r w:rsidRPr="00B260C3">
        <w:t>Table A1 – Target indicator data summary</w:t>
      </w:r>
    </w:p>
    <w:tbl>
      <w:tblPr>
        <w:tblStyle w:val="PlainTable11"/>
        <w:tblW w:w="5000" w:type="pct"/>
        <w:tblLayout w:type="fixed"/>
        <w:tblLook w:val="04A0" w:firstRow="1" w:lastRow="0" w:firstColumn="1" w:lastColumn="0" w:noHBand="0" w:noVBand="1"/>
      </w:tblPr>
      <w:tblGrid>
        <w:gridCol w:w="1128"/>
        <w:gridCol w:w="3254"/>
        <w:gridCol w:w="1276"/>
        <w:gridCol w:w="1977"/>
        <w:gridCol w:w="1130"/>
        <w:gridCol w:w="1273"/>
        <w:gridCol w:w="1296"/>
        <w:gridCol w:w="1418"/>
        <w:gridCol w:w="1808"/>
      </w:tblGrid>
      <w:tr w:rsidR="005F6565" w:rsidRPr="000E3A6D" w14:paraId="274CB4EA" w14:textId="77777777" w:rsidTr="000908EF">
        <w:trPr>
          <w:cnfStyle w:val="100000000000" w:firstRow="1" w:lastRow="0" w:firstColumn="0" w:lastColumn="0" w:oddVBand="0" w:evenVBand="0" w:oddHBand="0" w:evenHBand="0" w:firstRowFirstColumn="0" w:firstRowLastColumn="0" w:lastRowFirstColumn="0" w:lastRowLastColumn="0"/>
          <w:trHeight w:val="274"/>
          <w:tblHeader/>
        </w:trPr>
        <w:tc>
          <w:tcPr>
            <w:cnfStyle w:val="001000000000" w:firstRow="0" w:lastRow="0" w:firstColumn="1" w:lastColumn="0" w:oddVBand="0" w:evenVBand="0" w:oddHBand="0" w:evenHBand="0" w:firstRowFirstColumn="0" w:firstRowLastColumn="0" w:lastRowFirstColumn="0" w:lastRowLastColumn="0"/>
            <w:tcW w:w="387" w:type="pct"/>
            <w:shd w:val="clear" w:color="auto" w:fill="3A6E77" w:themeFill="accent1"/>
          </w:tcPr>
          <w:p w14:paraId="2772A246" w14:textId="77777777" w:rsidR="0026033F" w:rsidRPr="00220DB8" w:rsidRDefault="0026033F" w:rsidP="005A273E">
            <w:pPr>
              <w:spacing w:before="60" w:after="0" w:line="240" w:lineRule="auto"/>
              <w:jc w:val="center"/>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Outcome</w:t>
            </w:r>
          </w:p>
        </w:tc>
        <w:tc>
          <w:tcPr>
            <w:tcW w:w="1117" w:type="pct"/>
            <w:shd w:val="clear" w:color="auto" w:fill="3A6E77" w:themeFill="accent1"/>
          </w:tcPr>
          <w:p w14:paraId="73C82A99" w14:textId="77777777" w:rsidR="0026033F" w:rsidRPr="00220DB8" w:rsidRDefault="0026033F" w:rsidP="005A273E">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Target Indicator</w:t>
            </w:r>
          </w:p>
        </w:tc>
        <w:tc>
          <w:tcPr>
            <w:tcW w:w="438" w:type="pct"/>
            <w:shd w:val="clear" w:color="auto" w:fill="3A6E77" w:themeFill="accent1"/>
          </w:tcPr>
          <w:p w14:paraId="5F61453E" w14:textId="77777777" w:rsidR="0026033F" w:rsidRDefault="0026033F" w:rsidP="005A273E">
            <w:pPr>
              <w:spacing w:before="6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themeColor="accent6"/>
                <w:sz w:val="18"/>
                <w:szCs w:val="18"/>
                <w:lang w:eastAsia="en-AU"/>
              </w:rPr>
            </w:pPr>
            <w:r w:rsidRPr="00220DB8">
              <w:rPr>
                <w:rFonts w:ascii="Arial" w:eastAsia="Times New Roman" w:hAnsi="Arial" w:cs="Arial"/>
                <w:color w:val="FFFFFF" w:themeColor="accent6"/>
                <w:sz w:val="18"/>
                <w:szCs w:val="18"/>
                <w:lang w:eastAsia="en-AU"/>
              </w:rPr>
              <w:t>Data source</w:t>
            </w:r>
          </w:p>
          <w:p w14:paraId="6117213F" w14:textId="77777777" w:rsidR="00676296" w:rsidRPr="00676296" w:rsidRDefault="00676296" w:rsidP="005A273E">
            <w:pPr>
              <w:spacing w:before="60"/>
              <w:cnfStyle w:val="100000000000" w:firstRow="1" w:lastRow="0" w:firstColumn="0" w:lastColumn="0" w:oddVBand="0" w:evenVBand="0" w:oddHBand="0" w:evenHBand="0" w:firstRowFirstColumn="0" w:firstRowLastColumn="0" w:lastRowFirstColumn="0" w:lastRowLastColumn="0"/>
              <w:rPr>
                <w:rFonts w:ascii="Arial" w:eastAsia="Aptos" w:hAnsi="Arial" w:cs="Arial"/>
                <w:sz w:val="18"/>
                <w:szCs w:val="18"/>
              </w:rPr>
            </w:pPr>
          </w:p>
        </w:tc>
        <w:tc>
          <w:tcPr>
            <w:tcW w:w="679" w:type="pct"/>
            <w:shd w:val="clear" w:color="auto" w:fill="3A6E77" w:themeFill="accent1"/>
          </w:tcPr>
          <w:p w14:paraId="4F635CDB" w14:textId="77777777" w:rsidR="0026033F" w:rsidRPr="00220DB8" w:rsidRDefault="0026033F" w:rsidP="005A273E">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Collection name</w:t>
            </w:r>
          </w:p>
        </w:tc>
        <w:tc>
          <w:tcPr>
            <w:tcW w:w="388" w:type="pct"/>
            <w:shd w:val="clear" w:color="auto" w:fill="3A6E77" w:themeFill="accent1"/>
          </w:tcPr>
          <w:p w14:paraId="31EE17C6" w14:textId="77777777" w:rsidR="0026033F" w:rsidRPr="00220DB8" w:rsidRDefault="0026033F" w:rsidP="005A273E">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Data frequency</w:t>
            </w:r>
          </w:p>
        </w:tc>
        <w:tc>
          <w:tcPr>
            <w:tcW w:w="437" w:type="pct"/>
            <w:shd w:val="clear" w:color="auto" w:fill="3A6E77" w:themeFill="accent1"/>
          </w:tcPr>
          <w:p w14:paraId="1612D515" w14:textId="77777777" w:rsidR="0026033F" w:rsidRPr="00220DB8" w:rsidRDefault="0026033F" w:rsidP="005A273E">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accent6"/>
                <w:sz w:val="18"/>
                <w:szCs w:val="18"/>
                <w:lang w:eastAsia="en-AU"/>
              </w:rPr>
            </w:pPr>
            <w:r w:rsidRPr="00220DB8">
              <w:rPr>
                <w:rFonts w:ascii="Arial" w:eastAsia="Times New Roman" w:hAnsi="Arial" w:cs="Arial"/>
                <w:color w:val="FFFFFF" w:themeColor="accent6"/>
                <w:sz w:val="18"/>
                <w:szCs w:val="18"/>
                <w:lang w:eastAsia="en-AU"/>
              </w:rPr>
              <w:t>Latest dashboard update</w:t>
            </w:r>
          </w:p>
        </w:tc>
        <w:tc>
          <w:tcPr>
            <w:tcW w:w="445" w:type="pct"/>
            <w:shd w:val="clear" w:color="auto" w:fill="3A6E77" w:themeFill="accent1"/>
          </w:tcPr>
          <w:p w14:paraId="6B854B69" w14:textId="77777777" w:rsidR="0026033F" w:rsidRPr="00220DB8" w:rsidRDefault="0026033F" w:rsidP="005A273E">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Years currently reported (from baseline)</w:t>
            </w:r>
          </w:p>
        </w:tc>
        <w:tc>
          <w:tcPr>
            <w:tcW w:w="487" w:type="pct"/>
            <w:shd w:val="clear" w:color="auto" w:fill="3A6E77" w:themeFill="accent1"/>
          </w:tcPr>
          <w:p w14:paraId="45499DB0" w14:textId="77777777" w:rsidR="00824B1D" w:rsidRDefault="0026033F" w:rsidP="005A273E">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themeColor="accent6"/>
                <w:sz w:val="18"/>
                <w:szCs w:val="18"/>
                <w:lang w:eastAsia="en-AU"/>
              </w:rPr>
            </w:pPr>
            <w:r w:rsidRPr="00220DB8">
              <w:rPr>
                <w:rFonts w:ascii="Arial" w:eastAsia="Times New Roman" w:hAnsi="Arial" w:cs="Arial"/>
                <w:color w:val="FFFFFF" w:themeColor="accent6"/>
                <w:sz w:val="18"/>
                <w:szCs w:val="18"/>
                <w:lang w:eastAsia="en-AU"/>
              </w:rPr>
              <w:t xml:space="preserve">Latest </w:t>
            </w:r>
          </w:p>
          <w:p w14:paraId="73AAF19A" w14:textId="61D50C66" w:rsidR="0026033F" w:rsidRPr="00220DB8" w:rsidRDefault="0026033F" w:rsidP="005A273E">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data on dashboard</w:t>
            </w:r>
          </w:p>
        </w:tc>
        <w:tc>
          <w:tcPr>
            <w:tcW w:w="621" w:type="pct"/>
            <w:shd w:val="clear" w:color="auto" w:fill="3A6E77" w:themeFill="accent1"/>
          </w:tcPr>
          <w:p w14:paraId="0003A7E5" w14:textId="77777777" w:rsidR="0026033F" w:rsidRPr="00220DB8" w:rsidRDefault="0026033F" w:rsidP="005A273E">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220DB8">
              <w:rPr>
                <w:rFonts w:ascii="Arial" w:eastAsia="Times New Roman" w:hAnsi="Arial" w:cs="Arial"/>
                <w:color w:val="FFFFFF" w:themeColor="accent6"/>
                <w:sz w:val="18"/>
                <w:szCs w:val="18"/>
                <w:lang w:eastAsia="en-AU"/>
              </w:rPr>
              <w:t>Reference year for next data update</w:t>
            </w:r>
          </w:p>
        </w:tc>
      </w:tr>
      <w:tr w:rsidR="005F6565" w:rsidRPr="000E3A6D" w14:paraId="4AD55F17"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44C53BBE" w14:textId="77777777" w:rsidR="0026033F" w:rsidRPr="00220DB8" w:rsidRDefault="0026033F" w:rsidP="005A273E">
            <w:pPr>
              <w:spacing w:before="60" w:line="240" w:lineRule="auto"/>
              <w:jc w:val="center"/>
              <w:rPr>
                <w:rFonts w:ascii="Arial" w:eastAsia="Aptos" w:hAnsi="Arial" w:cs="Arial"/>
                <w:sz w:val="18"/>
                <w:szCs w:val="18"/>
              </w:rPr>
            </w:pPr>
            <w:r w:rsidRPr="00220DB8">
              <w:rPr>
                <w:rFonts w:ascii="Arial" w:eastAsia="Times New Roman" w:hAnsi="Arial" w:cs="Arial"/>
                <w:sz w:val="18"/>
                <w:szCs w:val="18"/>
                <w:lang w:eastAsia="en-AU"/>
              </w:rPr>
              <w:t>1</w:t>
            </w:r>
          </w:p>
        </w:tc>
        <w:tc>
          <w:tcPr>
            <w:tcW w:w="1117" w:type="pct"/>
            <w:shd w:val="clear" w:color="auto" w:fill="D2E5E9" w:themeFill="accent1" w:themeFillTint="33"/>
          </w:tcPr>
          <w:p w14:paraId="5D91BB4E" w14:textId="77777777" w:rsidR="0026033F" w:rsidRPr="00220DB8" w:rsidRDefault="0026033F" w:rsidP="00B64EC2">
            <w:pPr>
              <w:pStyle w:val="BodyText"/>
              <w:cnfStyle w:val="000000100000" w:firstRow="0" w:lastRow="0" w:firstColumn="0" w:lastColumn="0" w:oddVBand="0" w:evenVBand="0" w:oddHBand="1" w:evenHBand="0" w:firstRowFirstColumn="0" w:firstRowLastColumn="0" w:lastRowFirstColumn="0" w:lastRowLastColumn="0"/>
              <w:rPr>
                <w:rFonts w:eastAsia="Aptos"/>
              </w:rPr>
            </w:pPr>
            <w:r w:rsidRPr="00220DB8">
              <w:rPr>
                <w:lang w:eastAsia="en-AU"/>
              </w:rPr>
              <w:t>Life expectancy</w:t>
            </w:r>
          </w:p>
        </w:tc>
        <w:tc>
          <w:tcPr>
            <w:tcW w:w="438" w:type="pct"/>
            <w:shd w:val="clear" w:color="auto" w:fill="D2E5E9" w:themeFill="accent1" w:themeFillTint="33"/>
          </w:tcPr>
          <w:p w14:paraId="3ACB883C"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2D364B07"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hyperlink r:id="rId119" w:history="1">
              <w:hyperlink r:id="rId120" w:history="1">
                <w:r w:rsidR="0026033F" w:rsidRPr="00220DB8">
                  <w:rPr>
                    <w:rFonts w:ascii="Arial" w:eastAsia="Aptos" w:hAnsi="Arial" w:cs="Arial"/>
                    <w:color w:val="000000" w:themeColor="hyperlink"/>
                    <w:sz w:val="18"/>
                    <w:szCs w:val="18"/>
                    <w:u w:val="single"/>
                  </w:rPr>
                  <w:t>Aboriginal and Torres Strait Islander life expectancy</w:t>
                </w:r>
              </w:hyperlink>
            </w:hyperlink>
          </w:p>
        </w:tc>
        <w:tc>
          <w:tcPr>
            <w:tcW w:w="388" w:type="pct"/>
            <w:shd w:val="clear" w:color="auto" w:fill="D2E5E9" w:themeFill="accent1" w:themeFillTint="33"/>
          </w:tcPr>
          <w:p w14:paraId="16E90E3B"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5 yearly</w:t>
            </w:r>
          </w:p>
        </w:tc>
        <w:tc>
          <w:tcPr>
            <w:tcW w:w="437" w:type="pct"/>
            <w:shd w:val="clear" w:color="auto" w:fill="D2E5E9" w:themeFill="accent1" w:themeFillTint="33"/>
          </w:tcPr>
          <w:p w14:paraId="05D3BA3D"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shd w:val="clear" w:color="auto" w:fill="D2E5E9" w:themeFill="accent1" w:themeFillTint="33"/>
          </w:tcPr>
          <w:p w14:paraId="5A98B7DC" w14:textId="7727A635" w:rsidR="0026033F" w:rsidRPr="00D92B3A" w:rsidRDefault="0026033F" w:rsidP="00D92B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2005–07</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 xml:space="preserve"> </w:t>
            </w:r>
            <w:r w:rsidRPr="00220DB8">
              <w:rPr>
                <w:rFonts w:ascii="Arial" w:eastAsia="Times New Roman" w:hAnsi="Arial" w:cs="Arial"/>
                <w:sz w:val="18"/>
                <w:szCs w:val="18"/>
                <w:lang w:eastAsia="en-AU"/>
              </w:rPr>
              <w:br/>
              <w:t>2010–12</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br/>
              <w:t>2015–17</w:t>
            </w:r>
            <w:r w:rsidR="00D92B3A">
              <w:rPr>
                <w:rFonts w:ascii="Arial" w:eastAsia="Times New Roman" w:hAnsi="Arial" w:cs="Arial"/>
                <w:sz w:val="18"/>
                <w:szCs w:val="18"/>
                <w:lang w:eastAsia="en-AU"/>
              </w:rPr>
              <w:t xml:space="preserve">, </w:t>
            </w:r>
            <w:r w:rsidRPr="00220DB8">
              <w:rPr>
                <w:rFonts w:ascii="Arial" w:eastAsia="Times New Roman" w:hAnsi="Arial" w:cs="Arial"/>
                <w:sz w:val="18"/>
                <w:szCs w:val="18"/>
                <w:lang w:eastAsia="en-AU"/>
              </w:rPr>
              <w:t>2020–22</w:t>
            </w:r>
          </w:p>
        </w:tc>
        <w:tc>
          <w:tcPr>
            <w:tcW w:w="487" w:type="pct"/>
            <w:shd w:val="clear" w:color="auto" w:fill="D2E5E9" w:themeFill="accent1" w:themeFillTint="33"/>
          </w:tcPr>
          <w:p w14:paraId="2FD24CB0" w14:textId="0A04B784"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2020–22</w:t>
            </w:r>
          </w:p>
        </w:tc>
        <w:tc>
          <w:tcPr>
            <w:tcW w:w="621" w:type="pct"/>
            <w:shd w:val="clear" w:color="auto" w:fill="D2E5E9" w:themeFill="accent1" w:themeFillTint="33"/>
          </w:tcPr>
          <w:p w14:paraId="31D4C6A4" w14:textId="2C05D419"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2025–27</w:t>
            </w:r>
          </w:p>
        </w:tc>
      </w:tr>
      <w:tr w:rsidR="0026033F" w:rsidRPr="000E3A6D" w14:paraId="1111146D"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76ADC334" w14:textId="77777777" w:rsidR="0026033F" w:rsidRPr="00220DB8" w:rsidRDefault="0026033F" w:rsidP="005A273E">
            <w:pPr>
              <w:spacing w:before="60" w:line="240" w:lineRule="auto"/>
              <w:jc w:val="center"/>
              <w:rPr>
                <w:rFonts w:ascii="Arial" w:eastAsia="Aptos" w:hAnsi="Arial" w:cs="Arial"/>
                <w:sz w:val="18"/>
                <w:szCs w:val="18"/>
              </w:rPr>
            </w:pPr>
            <w:r w:rsidRPr="00220DB8">
              <w:rPr>
                <w:rFonts w:ascii="Arial" w:eastAsia="Times New Roman" w:hAnsi="Arial" w:cs="Arial"/>
                <w:sz w:val="18"/>
                <w:szCs w:val="18"/>
                <w:lang w:eastAsia="en-AU"/>
              </w:rPr>
              <w:t>2</w:t>
            </w:r>
          </w:p>
        </w:tc>
        <w:tc>
          <w:tcPr>
            <w:tcW w:w="1117" w:type="pct"/>
          </w:tcPr>
          <w:p w14:paraId="03269788" w14:textId="77777777" w:rsidR="0026033F" w:rsidRPr="00220DB8" w:rsidRDefault="0026033F" w:rsidP="00B64EC2">
            <w:pPr>
              <w:pStyle w:val="BodyText"/>
              <w:cnfStyle w:val="000000000000" w:firstRow="0" w:lastRow="0" w:firstColumn="0" w:lastColumn="0" w:oddVBand="0" w:evenVBand="0" w:oddHBand="0" w:evenHBand="0" w:firstRowFirstColumn="0" w:firstRowLastColumn="0" w:lastRowFirstColumn="0" w:lastRowLastColumn="0"/>
              <w:rPr>
                <w:rFonts w:eastAsia="Aptos"/>
              </w:rPr>
            </w:pPr>
            <w:r w:rsidRPr="00220DB8">
              <w:rPr>
                <w:lang w:eastAsia="en-AU"/>
              </w:rPr>
              <w:t>The proportion of babies with a healthy birthweight</w:t>
            </w:r>
          </w:p>
        </w:tc>
        <w:tc>
          <w:tcPr>
            <w:tcW w:w="438" w:type="pct"/>
          </w:tcPr>
          <w:p w14:paraId="7A8FF6C6"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AIHW</w:t>
            </w:r>
          </w:p>
        </w:tc>
        <w:tc>
          <w:tcPr>
            <w:tcW w:w="679" w:type="pct"/>
          </w:tcPr>
          <w:p w14:paraId="7FFAF6E0"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21" w:history="1">
              <w:r w:rsidR="0026033F" w:rsidRPr="00220DB8">
                <w:rPr>
                  <w:rFonts w:ascii="Arial" w:eastAsia="Times New Roman" w:hAnsi="Arial" w:cs="Arial"/>
                  <w:sz w:val="18"/>
                  <w:szCs w:val="18"/>
                  <w:u w:val="single"/>
                  <w:lang w:eastAsia="en-AU"/>
                </w:rPr>
                <w:t>National Perinatal Data Collection</w:t>
              </w:r>
            </w:hyperlink>
            <w:r w:rsidR="0026033F" w:rsidRPr="00220DB8">
              <w:rPr>
                <w:rFonts w:ascii="Arial" w:eastAsia="Times New Roman" w:hAnsi="Arial" w:cs="Arial"/>
                <w:sz w:val="18"/>
                <w:szCs w:val="18"/>
                <w:lang w:eastAsia="en-AU"/>
              </w:rPr>
              <w:t xml:space="preserve"> </w:t>
            </w:r>
          </w:p>
        </w:tc>
        <w:tc>
          <w:tcPr>
            <w:tcW w:w="388" w:type="pct"/>
          </w:tcPr>
          <w:p w14:paraId="59DDE456"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tcPr>
          <w:p w14:paraId="308DA5EA"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tcPr>
          <w:p w14:paraId="4522C059" w14:textId="38D2510A"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2017</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21</w:t>
            </w:r>
          </w:p>
        </w:tc>
        <w:tc>
          <w:tcPr>
            <w:tcW w:w="487" w:type="pct"/>
          </w:tcPr>
          <w:p w14:paraId="6139F4F7"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tcPr>
          <w:p w14:paraId="07779162"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2022</w:t>
            </w:r>
          </w:p>
        </w:tc>
      </w:tr>
      <w:tr w:rsidR="005F6565" w:rsidRPr="000E3A6D" w14:paraId="10CE4C4E" w14:textId="77777777" w:rsidTr="000908EF">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5749596F" w14:textId="77777777" w:rsidR="0026033F" w:rsidRPr="00220DB8" w:rsidRDefault="0026033F" w:rsidP="005A273E">
            <w:pPr>
              <w:spacing w:before="60" w:line="240" w:lineRule="auto"/>
              <w:jc w:val="center"/>
              <w:rPr>
                <w:rFonts w:ascii="Arial" w:eastAsia="Aptos" w:hAnsi="Arial" w:cs="Arial"/>
                <w:sz w:val="18"/>
                <w:szCs w:val="18"/>
              </w:rPr>
            </w:pPr>
            <w:r w:rsidRPr="00220DB8">
              <w:rPr>
                <w:rFonts w:ascii="Arial" w:eastAsia="Times New Roman" w:hAnsi="Arial" w:cs="Arial"/>
                <w:sz w:val="18"/>
                <w:szCs w:val="18"/>
                <w:lang w:eastAsia="en-AU"/>
              </w:rPr>
              <w:t>3</w:t>
            </w:r>
          </w:p>
        </w:tc>
        <w:tc>
          <w:tcPr>
            <w:tcW w:w="1117" w:type="pct"/>
            <w:shd w:val="clear" w:color="auto" w:fill="D2E5E9" w:themeFill="accent1" w:themeFillTint="33"/>
          </w:tcPr>
          <w:p w14:paraId="33F8EE3D" w14:textId="77777777" w:rsidR="0026033F" w:rsidRPr="00220DB8" w:rsidRDefault="0026033F" w:rsidP="00B64EC2">
            <w:pPr>
              <w:pStyle w:val="BodyText"/>
              <w:cnfStyle w:val="000000100000" w:firstRow="0" w:lastRow="0" w:firstColumn="0" w:lastColumn="0" w:oddVBand="0" w:evenVBand="0" w:oddHBand="1" w:evenHBand="0" w:firstRowFirstColumn="0" w:firstRowLastColumn="0" w:lastRowFirstColumn="0" w:lastRowLastColumn="0"/>
              <w:rPr>
                <w:rFonts w:eastAsia="Aptos"/>
              </w:rPr>
            </w:pPr>
            <w:r w:rsidRPr="00220DB8">
              <w:rPr>
                <w:lang w:eastAsia="en-AU"/>
              </w:rPr>
              <w:t>The proportion of children in the state-specific YBFS age cohort who are enrolled in a preschool program</w:t>
            </w:r>
          </w:p>
        </w:tc>
        <w:tc>
          <w:tcPr>
            <w:tcW w:w="438" w:type="pct"/>
            <w:shd w:val="clear" w:color="auto" w:fill="D2E5E9" w:themeFill="accent1" w:themeFillTint="33"/>
          </w:tcPr>
          <w:p w14:paraId="6FD857C0"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59AB466D"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hyperlink r:id="rId122" w:history="1">
              <w:r w:rsidR="0026033F" w:rsidRPr="00220DB8">
                <w:rPr>
                  <w:rFonts w:ascii="Arial" w:eastAsia="Times New Roman" w:hAnsi="Arial" w:cs="Arial"/>
                  <w:sz w:val="18"/>
                  <w:szCs w:val="18"/>
                  <w:u w:val="single"/>
                  <w:lang w:eastAsia="en-AU"/>
                </w:rPr>
                <w:t>Preschool Education</w:t>
              </w:r>
            </w:hyperlink>
          </w:p>
        </w:tc>
        <w:tc>
          <w:tcPr>
            <w:tcW w:w="388" w:type="pct"/>
            <w:shd w:val="clear" w:color="auto" w:fill="D2E5E9" w:themeFill="accent1" w:themeFillTint="33"/>
          </w:tcPr>
          <w:p w14:paraId="1AB9B02C"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shd w:val="clear" w:color="auto" w:fill="D2E5E9" w:themeFill="accent1" w:themeFillTint="33"/>
          </w:tcPr>
          <w:p w14:paraId="60A84307"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Jul-24</w:t>
            </w:r>
          </w:p>
        </w:tc>
        <w:tc>
          <w:tcPr>
            <w:tcW w:w="445" w:type="pct"/>
            <w:shd w:val="clear" w:color="auto" w:fill="D2E5E9" w:themeFill="accent1" w:themeFillTint="33"/>
          </w:tcPr>
          <w:p w14:paraId="3220427A" w14:textId="1A00186D"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2016</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23</w:t>
            </w:r>
          </w:p>
        </w:tc>
        <w:tc>
          <w:tcPr>
            <w:tcW w:w="487" w:type="pct"/>
            <w:shd w:val="clear" w:color="auto" w:fill="D2E5E9" w:themeFill="accent1" w:themeFillTint="33"/>
          </w:tcPr>
          <w:p w14:paraId="1AA3217B"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w:t>
            </w:r>
          </w:p>
        </w:tc>
        <w:tc>
          <w:tcPr>
            <w:tcW w:w="621" w:type="pct"/>
            <w:shd w:val="clear" w:color="auto" w:fill="D2E5E9" w:themeFill="accent1" w:themeFillTint="33"/>
          </w:tcPr>
          <w:p w14:paraId="7F483961" w14:textId="20E78765"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 xml:space="preserve">2024 </w:t>
            </w:r>
            <w:r w:rsidRPr="00220DB8">
              <w:rPr>
                <w:rFonts w:ascii="Arial" w:eastAsia="Times New Roman" w:hAnsi="Arial" w:cs="Arial"/>
                <w:sz w:val="18"/>
                <w:szCs w:val="18"/>
                <w:vertAlign w:val="superscript"/>
                <w:lang w:eastAsia="en-AU"/>
              </w:rPr>
              <w:t>##</w:t>
            </w:r>
          </w:p>
        </w:tc>
      </w:tr>
      <w:tr w:rsidR="0026033F" w:rsidRPr="000E3A6D" w14:paraId="34B37C52"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55520ECC"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4</w:t>
            </w:r>
          </w:p>
        </w:tc>
        <w:tc>
          <w:tcPr>
            <w:tcW w:w="1117" w:type="pct"/>
          </w:tcPr>
          <w:p w14:paraId="480E865E" w14:textId="77777777" w:rsidR="0026033F" w:rsidRPr="00220DB8" w:rsidRDefault="0026033F" w:rsidP="00B64EC2">
            <w:pPr>
              <w:pStyle w:val="BodyText"/>
              <w:cnfStyle w:val="000000000000" w:firstRow="0" w:lastRow="0" w:firstColumn="0" w:lastColumn="0" w:oddVBand="0" w:evenVBand="0" w:oddHBand="0" w:evenHBand="0" w:firstRowFirstColumn="0" w:firstRowLastColumn="0" w:lastRowFirstColumn="0" w:lastRowLastColumn="0"/>
              <w:rPr>
                <w:rFonts w:eastAsia="Aptos"/>
              </w:rPr>
            </w:pPr>
            <w:r w:rsidRPr="00220DB8">
              <w:rPr>
                <w:lang w:eastAsia="en-AU"/>
              </w:rPr>
              <w:t>The proportion of children assessed as developmentally on track in all five domains of the AEDC</w:t>
            </w:r>
          </w:p>
        </w:tc>
        <w:tc>
          <w:tcPr>
            <w:tcW w:w="438" w:type="pct"/>
          </w:tcPr>
          <w:p w14:paraId="7045B151"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Department of Education</w:t>
            </w:r>
          </w:p>
        </w:tc>
        <w:tc>
          <w:tcPr>
            <w:tcW w:w="679" w:type="pct"/>
          </w:tcPr>
          <w:p w14:paraId="3CB06337"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23" w:history="1">
              <w:r w:rsidR="0026033F" w:rsidRPr="00220DB8">
                <w:rPr>
                  <w:rFonts w:ascii="Arial" w:eastAsia="Times New Roman" w:hAnsi="Arial" w:cs="Arial"/>
                  <w:sz w:val="18"/>
                  <w:szCs w:val="18"/>
                  <w:u w:val="single"/>
                  <w:lang w:eastAsia="en-AU"/>
                </w:rPr>
                <w:t>Australian Early Development Census</w:t>
              </w:r>
            </w:hyperlink>
          </w:p>
        </w:tc>
        <w:tc>
          <w:tcPr>
            <w:tcW w:w="388" w:type="pct"/>
          </w:tcPr>
          <w:p w14:paraId="55DB194F"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3 yearly</w:t>
            </w:r>
          </w:p>
        </w:tc>
        <w:tc>
          <w:tcPr>
            <w:tcW w:w="437" w:type="pct"/>
          </w:tcPr>
          <w:p w14:paraId="5166CDDB"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Jun-22</w:t>
            </w:r>
          </w:p>
        </w:tc>
        <w:tc>
          <w:tcPr>
            <w:tcW w:w="445" w:type="pct"/>
          </w:tcPr>
          <w:p w14:paraId="6FF42272"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2018, 2021</w:t>
            </w:r>
          </w:p>
        </w:tc>
        <w:tc>
          <w:tcPr>
            <w:tcW w:w="487" w:type="pct"/>
          </w:tcPr>
          <w:p w14:paraId="03DA7218"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tcPr>
          <w:p w14:paraId="6E57ADCD"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2024</w:t>
            </w:r>
          </w:p>
        </w:tc>
      </w:tr>
      <w:tr w:rsidR="005F6565" w:rsidRPr="000E3A6D" w14:paraId="3AD6C3FF"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64B53086"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5</w:t>
            </w:r>
          </w:p>
        </w:tc>
        <w:tc>
          <w:tcPr>
            <w:tcW w:w="1117" w:type="pct"/>
            <w:shd w:val="clear" w:color="auto" w:fill="D2E5E9" w:themeFill="accent1" w:themeFillTint="33"/>
          </w:tcPr>
          <w:p w14:paraId="1613839C" w14:textId="77777777" w:rsidR="0026033F" w:rsidRPr="00220DB8" w:rsidRDefault="0026033F" w:rsidP="00B64EC2">
            <w:pPr>
              <w:pStyle w:val="BodyText"/>
              <w:cnfStyle w:val="000000100000" w:firstRow="0" w:lastRow="0" w:firstColumn="0" w:lastColumn="0" w:oddVBand="0" w:evenVBand="0" w:oddHBand="1" w:evenHBand="0" w:firstRowFirstColumn="0" w:firstRowLastColumn="0" w:lastRowFirstColumn="0" w:lastRowLastColumn="0"/>
              <w:rPr>
                <w:lang w:eastAsia="en-AU"/>
              </w:rPr>
            </w:pPr>
            <w:r w:rsidRPr="00220DB8">
              <w:rPr>
                <w:lang w:eastAsia="en-AU"/>
              </w:rPr>
              <w:t xml:space="preserve">The proportion of people aged 20-24 years who have attained a minimum of Year 12 or equivalent, </w:t>
            </w:r>
            <w:r w:rsidRPr="00220DB8">
              <w:rPr>
                <w:lang w:eastAsia="en-AU"/>
              </w:rPr>
              <w:lastRenderedPageBreak/>
              <w:t>or Certificate level III or above qualification</w:t>
            </w:r>
          </w:p>
        </w:tc>
        <w:tc>
          <w:tcPr>
            <w:tcW w:w="438" w:type="pct"/>
            <w:shd w:val="clear" w:color="auto" w:fill="D2E5E9" w:themeFill="accent1" w:themeFillTint="33"/>
          </w:tcPr>
          <w:p w14:paraId="05ACC5FA"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lastRenderedPageBreak/>
              <w:t>ABS</w:t>
            </w:r>
          </w:p>
        </w:tc>
        <w:tc>
          <w:tcPr>
            <w:tcW w:w="679" w:type="pct"/>
            <w:shd w:val="clear" w:color="auto" w:fill="D2E5E9" w:themeFill="accent1" w:themeFillTint="33"/>
          </w:tcPr>
          <w:p w14:paraId="5033B42D"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hyperlink r:id="rId124" w:history="1">
              <w:r w:rsidR="0026033F" w:rsidRPr="00220DB8">
                <w:rPr>
                  <w:rFonts w:ascii="Arial" w:eastAsia="Times New Roman" w:hAnsi="Arial" w:cs="Arial"/>
                  <w:sz w:val="18"/>
                  <w:szCs w:val="18"/>
                  <w:u w:val="single"/>
                  <w:lang w:eastAsia="en-AU"/>
                </w:rPr>
                <w:t>Census of Population and Housing</w:t>
              </w:r>
            </w:hyperlink>
          </w:p>
        </w:tc>
        <w:tc>
          <w:tcPr>
            <w:tcW w:w="388" w:type="pct"/>
            <w:shd w:val="clear" w:color="auto" w:fill="D2E5E9" w:themeFill="accent1" w:themeFillTint="33"/>
          </w:tcPr>
          <w:p w14:paraId="6A941091"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5 yearly</w:t>
            </w:r>
          </w:p>
        </w:tc>
        <w:tc>
          <w:tcPr>
            <w:tcW w:w="437" w:type="pct"/>
            <w:shd w:val="clear" w:color="auto" w:fill="D2E5E9" w:themeFill="accent1" w:themeFillTint="33"/>
          </w:tcPr>
          <w:p w14:paraId="4D4C6BEF"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Jun-23</w:t>
            </w:r>
          </w:p>
        </w:tc>
        <w:tc>
          <w:tcPr>
            <w:tcW w:w="445" w:type="pct"/>
            <w:shd w:val="clear" w:color="auto" w:fill="D2E5E9" w:themeFill="accent1" w:themeFillTint="33"/>
          </w:tcPr>
          <w:p w14:paraId="07D580D3"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2016, 2021</w:t>
            </w:r>
          </w:p>
        </w:tc>
        <w:tc>
          <w:tcPr>
            <w:tcW w:w="487" w:type="pct"/>
            <w:shd w:val="clear" w:color="auto" w:fill="D2E5E9" w:themeFill="accent1" w:themeFillTint="33"/>
          </w:tcPr>
          <w:p w14:paraId="24BBDFB1"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2021</w:t>
            </w:r>
          </w:p>
        </w:tc>
        <w:tc>
          <w:tcPr>
            <w:tcW w:w="621" w:type="pct"/>
            <w:shd w:val="clear" w:color="auto" w:fill="D2E5E9" w:themeFill="accent1" w:themeFillTint="33"/>
          </w:tcPr>
          <w:p w14:paraId="56815640"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2026</w:t>
            </w:r>
          </w:p>
        </w:tc>
      </w:tr>
      <w:tr w:rsidR="0026033F" w:rsidRPr="000E3A6D" w14:paraId="6687B0B9"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5C29D2F2"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6</w:t>
            </w:r>
          </w:p>
        </w:tc>
        <w:tc>
          <w:tcPr>
            <w:tcW w:w="1117" w:type="pct"/>
          </w:tcPr>
          <w:p w14:paraId="4B8E686D" w14:textId="77777777" w:rsidR="0026033F" w:rsidRPr="00220DB8" w:rsidRDefault="0026033F" w:rsidP="00B64EC2">
            <w:pPr>
              <w:pStyle w:val="BodyText"/>
              <w:cnfStyle w:val="000000000000" w:firstRow="0" w:lastRow="0" w:firstColumn="0" w:lastColumn="0" w:oddVBand="0" w:evenVBand="0" w:oddHBand="0" w:evenHBand="0" w:firstRowFirstColumn="0" w:firstRowLastColumn="0" w:lastRowFirstColumn="0" w:lastRowLastColumn="0"/>
              <w:rPr>
                <w:rFonts w:eastAsia="Aptos"/>
              </w:rPr>
            </w:pPr>
            <w:r w:rsidRPr="00220DB8">
              <w:rPr>
                <w:lang w:eastAsia="en-AU"/>
              </w:rPr>
              <w:t>The proportion of people aged 25-34 years who have completed qualifications at Certificate level III or above</w:t>
            </w:r>
          </w:p>
        </w:tc>
        <w:tc>
          <w:tcPr>
            <w:tcW w:w="438" w:type="pct"/>
          </w:tcPr>
          <w:p w14:paraId="3149079F"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tcPr>
          <w:p w14:paraId="59B6396C"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25" w:history="1">
              <w:r w:rsidR="0026033F" w:rsidRPr="00220DB8">
                <w:rPr>
                  <w:rFonts w:ascii="Arial" w:eastAsia="Times New Roman" w:hAnsi="Arial" w:cs="Arial"/>
                  <w:sz w:val="18"/>
                  <w:szCs w:val="18"/>
                  <w:u w:val="single"/>
                  <w:lang w:eastAsia="en-AU"/>
                </w:rPr>
                <w:t>Census of Population and Housing</w:t>
              </w:r>
            </w:hyperlink>
          </w:p>
        </w:tc>
        <w:tc>
          <w:tcPr>
            <w:tcW w:w="388" w:type="pct"/>
          </w:tcPr>
          <w:p w14:paraId="3EC5DC32"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5 yearly</w:t>
            </w:r>
          </w:p>
        </w:tc>
        <w:tc>
          <w:tcPr>
            <w:tcW w:w="437" w:type="pct"/>
          </w:tcPr>
          <w:p w14:paraId="479D3C96"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Mar-23</w:t>
            </w:r>
          </w:p>
        </w:tc>
        <w:tc>
          <w:tcPr>
            <w:tcW w:w="445" w:type="pct"/>
          </w:tcPr>
          <w:p w14:paraId="762A18D6"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2016, 2021</w:t>
            </w:r>
          </w:p>
        </w:tc>
        <w:tc>
          <w:tcPr>
            <w:tcW w:w="487" w:type="pct"/>
          </w:tcPr>
          <w:p w14:paraId="4807BB7C"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tcPr>
          <w:p w14:paraId="6BB053B1"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2026</w:t>
            </w:r>
          </w:p>
        </w:tc>
      </w:tr>
      <w:tr w:rsidR="005F6565" w:rsidRPr="000E3A6D" w14:paraId="5E1E8DF6"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7E939A1F"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7</w:t>
            </w:r>
          </w:p>
        </w:tc>
        <w:tc>
          <w:tcPr>
            <w:tcW w:w="1117" w:type="pct"/>
            <w:shd w:val="clear" w:color="auto" w:fill="D2E5E9" w:themeFill="accent1" w:themeFillTint="33"/>
          </w:tcPr>
          <w:p w14:paraId="7F8C8D32" w14:textId="77777777" w:rsidR="0026033F" w:rsidRPr="00220DB8" w:rsidRDefault="0026033F" w:rsidP="00B64EC2">
            <w:pPr>
              <w:pStyle w:val="BodyText"/>
              <w:cnfStyle w:val="000000100000" w:firstRow="0" w:lastRow="0" w:firstColumn="0" w:lastColumn="0" w:oddVBand="0" w:evenVBand="0" w:oddHBand="1" w:evenHBand="0" w:firstRowFirstColumn="0" w:firstRowLastColumn="0" w:lastRowFirstColumn="0" w:lastRowLastColumn="0"/>
              <w:rPr>
                <w:rFonts w:eastAsia="Aptos"/>
              </w:rPr>
            </w:pPr>
            <w:r w:rsidRPr="00220DB8">
              <w:rPr>
                <w:lang w:eastAsia="en-AU"/>
              </w:rPr>
              <w:t>The proportion of youth aged 15-24 years who are fully engaged in employment, education or training</w:t>
            </w:r>
          </w:p>
        </w:tc>
        <w:tc>
          <w:tcPr>
            <w:tcW w:w="438" w:type="pct"/>
            <w:shd w:val="clear" w:color="auto" w:fill="D2E5E9" w:themeFill="accent1" w:themeFillTint="33"/>
          </w:tcPr>
          <w:p w14:paraId="4E11B3C5"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182A691B"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hyperlink r:id="rId126" w:history="1">
              <w:r w:rsidR="0026033F" w:rsidRPr="00220DB8">
                <w:rPr>
                  <w:rFonts w:ascii="Arial" w:eastAsia="Times New Roman" w:hAnsi="Arial" w:cs="Arial"/>
                  <w:sz w:val="18"/>
                  <w:szCs w:val="18"/>
                  <w:u w:val="single"/>
                  <w:lang w:eastAsia="en-AU"/>
                </w:rPr>
                <w:t>Census of Population and Housing</w:t>
              </w:r>
            </w:hyperlink>
          </w:p>
        </w:tc>
        <w:tc>
          <w:tcPr>
            <w:tcW w:w="388" w:type="pct"/>
            <w:shd w:val="clear" w:color="auto" w:fill="D2E5E9" w:themeFill="accent1" w:themeFillTint="33"/>
          </w:tcPr>
          <w:p w14:paraId="2E0EF0CC"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5 yearly</w:t>
            </w:r>
          </w:p>
        </w:tc>
        <w:tc>
          <w:tcPr>
            <w:tcW w:w="437" w:type="pct"/>
            <w:shd w:val="clear" w:color="auto" w:fill="D2E5E9" w:themeFill="accent1" w:themeFillTint="33"/>
          </w:tcPr>
          <w:p w14:paraId="0E38A099"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Mar-23</w:t>
            </w:r>
          </w:p>
        </w:tc>
        <w:tc>
          <w:tcPr>
            <w:tcW w:w="445" w:type="pct"/>
            <w:shd w:val="clear" w:color="auto" w:fill="D2E5E9" w:themeFill="accent1" w:themeFillTint="33"/>
          </w:tcPr>
          <w:p w14:paraId="2D75C2EF"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2016, 2021</w:t>
            </w:r>
          </w:p>
        </w:tc>
        <w:tc>
          <w:tcPr>
            <w:tcW w:w="487" w:type="pct"/>
            <w:shd w:val="clear" w:color="auto" w:fill="D2E5E9" w:themeFill="accent1" w:themeFillTint="33"/>
          </w:tcPr>
          <w:p w14:paraId="19C40AE4"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shd w:val="clear" w:color="auto" w:fill="D2E5E9" w:themeFill="accent1" w:themeFillTint="33"/>
          </w:tcPr>
          <w:p w14:paraId="10E28BEC"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2026</w:t>
            </w:r>
          </w:p>
        </w:tc>
      </w:tr>
      <w:tr w:rsidR="0026033F" w:rsidRPr="000E3A6D" w14:paraId="1C1E24AD"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5538FD2B"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8</w:t>
            </w:r>
          </w:p>
        </w:tc>
        <w:tc>
          <w:tcPr>
            <w:tcW w:w="1117" w:type="pct"/>
          </w:tcPr>
          <w:p w14:paraId="06553C8E"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The proportion of people aged 25-64 years who are employed</w:t>
            </w:r>
          </w:p>
        </w:tc>
        <w:tc>
          <w:tcPr>
            <w:tcW w:w="438" w:type="pct"/>
          </w:tcPr>
          <w:p w14:paraId="0F00D693"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tcPr>
          <w:p w14:paraId="2E3487B7"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27" w:history="1">
              <w:r w:rsidR="0026033F" w:rsidRPr="00220DB8">
                <w:rPr>
                  <w:rFonts w:ascii="Arial" w:eastAsia="Times New Roman" w:hAnsi="Arial" w:cs="Arial"/>
                  <w:sz w:val="18"/>
                  <w:szCs w:val="18"/>
                  <w:u w:val="single"/>
                  <w:lang w:eastAsia="en-AU"/>
                </w:rPr>
                <w:t>Census of Population and Housing</w:t>
              </w:r>
            </w:hyperlink>
          </w:p>
        </w:tc>
        <w:tc>
          <w:tcPr>
            <w:tcW w:w="388" w:type="pct"/>
          </w:tcPr>
          <w:p w14:paraId="304747CE"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5 yearly</w:t>
            </w:r>
          </w:p>
        </w:tc>
        <w:tc>
          <w:tcPr>
            <w:tcW w:w="437" w:type="pct"/>
          </w:tcPr>
          <w:p w14:paraId="399A78E3"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Mar-23</w:t>
            </w:r>
          </w:p>
        </w:tc>
        <w:tc>
          <w:tcPr>
            <w:tcW w:w="445" w:type="pct"/>
          </w:tcPr>
          <w:p w14:paraId="761C6824"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2016, 2021</w:t>
            </w:r>
          </w:p>
        </w:tc>
        <w:tc>
          <w:tcPr>
            <w:tcW w:w="487" w:type="pct"/>
          </w:tcPr>
          <w:p w14:paraId="3AD41873"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tcPr>
          <w:p w14:paraId="75BAD8DA"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2026</w:t>
            </w:r>
          </w:p>
        </w:tc>
      </w:tr>
      <w:tr w:rsidR="005F6565" w:rsidRPr="000E3A6D" w14:paraId="09928AC8"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4B71AF87"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9A</w:t>
            </w:r>
          </w:p>
        </w:tc>
        <w:tc>
          <w:tcPr>
            <w:tcW w:w="1117" w:type="pct"/>
            <w:shd w:val="clear" w:color="auto" w:fill="D2E5E9" w:themeFill="accent1" w:themeFillTint="33"/>
          </w:tcPr>
          <w:p w14:paraId="6367AE19"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The proportion of people living in appropriately sized (not overcrowded) housing</w:t>
            </w:r>
          </w:p>
        </w:tc>
        <w:tc>
          <w:tcPr>
            <w:tcW w:w="438" w:type="pct"/>
            <w:shd w:val="clear" w:color="auto" w:fill="D2E5E9" w:themeFill="accent1" w:themeFillTint="33"/>
          </w:tcPr>
          <w:p w14:paraId="1B8EF00B"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559B8C3E"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hyperlink r:id="rId128" w:history="1">
              <w:r w:rsidR="0026033F" w:rsidRPr="00220DB8">
                <w:rPr>
                  <w:rFonts w:ascii="Arial" w:eastAsia="Times New Roman" w:hAnsi="Arial" w:cs="Arial"/>
                  <w:sz w:val="18"/>
                  <w:szCs w:val="18"/>
                  <w:u w:val="single"/>
                  <w:lang w:eastAsia="en-AU"/>
                </w:rPr>
                <w:t>Census of Population and Housing</w:t>
              </w:r>
            </w:hyperlink>
          </w:p>
        </w:tc>
        <w:tc>
          <w:tcPr>
            <w:tcW w:w="388" w:type="pct"/>
            <w:shd w:val="clear" w:color="auto" w:fill="D2E5E9" w:themeFill="accent1" w:themeFillTint="33"/>
          </w:tcPr>
          <w:p w14:paraId="4B6013D8"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5 yearly</w:t>
            </w:r>
          </w:p>
        </w:tc>
        <w:tc>
          <w:tcPr>
            <w:tcW w:w="437" w:type="pct"/>
            <w:shd w:val="clear" w:color="auto" w:fill="D2E5E9" w:themeFill="accent1" w:themeFillTint="33"/>
          </w:tcPr>
          <w:p w14:paraId="3FE61FD5"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n-AU"/>
              </w:rPr>
            </w:pPr>
            <w:r w:rsidRPr="00220DB8">
              <w:rPr>
                <w:rFonts w:ascii="Arial" w:eastAsia="Times New Roman" w:hAnsi="Arial" w:cs="Arial"/>
                <w:color w:val="000000"/>
                <w:sz w:val="18"/>
                <w:szCs w:val="18"/>
                <w:lang w:eastAsia="en-AU"/>
              </w:rPr>
              <w:t>Mar-23</w:t>
            </w:r>
          </w:p>
        </w:tc>
        <w:tc>
          <w:tcPr>
            <w:tcW w:w="445" w:type="pct"/>
            <w:shd w:val="clear" w:color="auto" w:fill="D2E5E9" w:themeFill="accent1" w:themeFillTint="33"/>
          </w:tcPr>
          <w:p w14:paraId="7A600A76"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2016, 2021</w:t>
            </w:r>
          </w:p>
        </w:tc>
        <w:tc>
          <w:tcPr>
            <w:tcW w:w="487" w:type="pct"/>
            <w:shd w:val="clear" w:color="auto" w:fill="D2E5E9" w:themeFill="accent1" w:themeFillTint="33"/>
          </w:tcPr>
          <w:p w14:paraId="517E5A23"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shd w:val="clear" w:color="auto" w:fill="D2E5E9" w:themeFill="accent1" w:themeFillTint="33"/>
          </w:tcPr>
          <w:p w14:paraId="7754C18F"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2026</w:t>
            </w:r>
          </w:p>
        </w:tc>
      </w:tr>
      <w:tr w:rsidR="0026033F" w:rsidRPr="000E3A6D" w14:paraId="73856530" w14:textId="77777777" w:rsidTr="000908EF">
        <w:trPr>
          <w:trHeight w:val="296"/>
        </w:trPr>
        <w:tc>
          <w:tcPr>
            <w:cnfStyle w:val="001000000000" w:firstRow="0" w:lastRow="0" w:firstColumn="1" w:lastColumn="0" w:oddVBand="0" w:evenVBand="0" w:oddHBand="0" w:evenHBand="0" w:firstRowFirstColumn="0" w:firstRowLastColumn="0" w:lastRowFirstColumn="0" w:lastRowLastColumn="0"/>
            <w:tcW w:w="387" w:type="pct"/>
          </w:tcPr>
          <w:p w14:paraId="55E2C9A3"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9B</w:t>
            </w:r>
          </w:p>
        </w:tc>
        <w:tc>
          <w:tcPr>
            <w:tcW w:w="1117" w:type="pct"/>
          </w:tcPr>
          <w:p w14:paraId="785E47C8"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Aboriginal and Torres Strait Islander households receive equal or better essential services (Community Infrastructure)</w:t>
            </w:r>
          </w:p>
        </w:tc>
        <w:tc>
          <w:tcPr>
            <w:tcW w:w="438" w:type="pct"/>
          </w:tcPr>
          <w:p w14:paraId="53F4AE21"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Data does not yet exist</w:t>
            </w:r>
          </w:p>
        </w:tc>
        <w:tc>
          <w:tcPr>
            <w:tcW w:w="679" w:type="pct"/>
          </w:tcPr>
          <w:p w14:paraId="6CC9062C"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tc>
        <w:tc>
          <w:tcPr>
            <w:tcW w:w="388" w:type="pct"/>
          </w:tcPr>
          <w:p w14:paraId="76FEAC2F"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p w14:paraId="23207DFD"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p>
        </w:tc>
        <w:tc>
          <w:tcPr>
            <w:tcW w:w="437" w:type="pct"/>
          </w:tcPr>
          <w:p w14:paraId="308E1094"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p w14:paraId="551EC40C"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p>
        </w:tc>
        <w:tc>
          <w:tcPr>
            <w:tcW w:w="445" w:type="pct"/>
          </w:tcPr>
          <w:p w14:paraId="1853E8BD"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p w14:paraId="66144F1C"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p>
        </w:tc>
        <w:tc>
          <w:tcPr>
            <w:tcW w:w="487" w:type="pct"/>
          </w:tcPr>
          <w:p w14:paraId="342BC4B5"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p w14:paraId="0E261DF0"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p>
        </w:tc>
        <w:tc>
          <w:tcPr>
            <w:tcW w:w="621" w:type="pct"/>
          </w:tcPr>
          <w:p w14:paraId="67572CEB"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Aptos" w:hAnsi="Arial" w:cs="Arial"/>
                <w:sz w:val="18"/>
                <w:szCs w:val="18"/>
              </w:rPr>
              <w:t>N/A</w:t>
            </w:r>
          </w:p>
          <w:p w14:paraId="16631E12"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p>
        </w:tc>
      </w:tr>
      <w:tr w:rsidR="005F6565" w:rsidRPr="000E3A6D" w14:paraId="616BB2B9" w14:textId="77777777" w:rsidTr="000908E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5F87DBAB"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10</w:t>
            </w:r>
          </w:p>
        </w:tc>
        <w:tc>
          <w:tcPr>
            <w:tcW w:w="1117" w:type="pct"/>
            <w:shd w:val="clear" w:color="auto" w:fill="D2E5E9" w:themeFill="accent1" w:themeFillTint="33"/>
          </w:tcPr>
          <w:p w14:paraId="7A032B6D"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Age-standardised imprisonment rate</w:t>
            </w:r>
          </w:p>
        </w:tc>
        <w:tc>
          <w:tcPr>
            <w:tcW w:w="438" w:type="pct"/>
            <w:shd w:val="clear" w:color="auto" w:fill="D2E5E9" w:themeFill="accent1" w:themeFillTint="33"/>
          </w:tcPr>
          <w:p w14:paraId="66A5DB8C"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03E479E2"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hyperlink r:id="rId129" w:history="1">
              <w:r w:rsidR="0026033F" w:rsidRPr="00220DB8">
                <w:rPr>
                  <w:rFonts w:ascii="Arial" w:eastAsia="Times New Roman" w:hAnsi="Arial" w:cs="Arial"/>
                  <w:sz w:val="18"/>
                  <w:szCs w:val="18"/>
                  <w:u w:val="single"/>
                  <w:lang w:eastAsia="en-AU"/>
                </w:rPr>
                <w:t>Prisoners in Australia</w:t>
              </w:r>
            </w:hyperlink>
          </w:p>
        </w:tc>
        <w:tc>
          <w:tcPr>
            <w:tcW w:w="388" w:type="pct"/>
            <w:shd w:val="clear" w:color="auto" w:fill="D2E5E9" w:themeFill="accent1" w:themeFillTint="33"/>
          </w:tcPr>
          <w:p w14:paraId="6F24756B"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shd w:val="clear" w:color="auto" w:fill="D2E5E9" w:themeFill="accent1" w:themeFillTint="33"/>
          </w:tcPr>
          <w:p w14:paraId="64B96B0D"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shd w:val="clear" w:color="auto" w:fill="D2E5E9" w:themeFill="accent1" w:themeFillTint="33"/>
          </w:tcPr>
          <w:p w14:paraId="384CC231" w14:textId="0EDD80E6"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2019</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23</w:t>
            </w:r>
          </w:p>
        </w:tc>
        <w:tc>
          <w:tcPr>
            <w:tcW w:w="487" w:type="pct"/>
            <w:shd w:val="clear" w:color="auto" w:fill="D2E5E9" w:themeFill="accent1" w:themeFillTint="33"/>
          </w:tcPr>
          <w:p w14:paraId="73C29DED"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w:t>
            </w:r>
          </w:p>
        </w:tc>
        <w:tc>
          <w:tcPr>
            <w:tcW w:w="621" w:type="pct"/>
            <w:shd w:val="clear" w:color="auto" w:fill="D2E5E9" w:themeFill="accent1" w:themeFillTint="33"/>
          </w:tcPr>
          <w:p w14:paraId="0C317BEC"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2024</w:t>
            </w:r>
            <w:r w:rsidRPr="00220DB8">
              <w:rPr>
                <w:rFonts w:ascii="Arial" w:eastAsia="Times New Roman" w:hAnsi="Arial" w:cs="Arial"/>
                <w:sz w:val="18"/>
                <w:szCs w:val="18"/>
                <w:vertAlign w:val="superscript"/>
                <w:lang w:eastAsia="en-AU"/>
              </w:rPr>
              <w:t>##</w:t>
            </w:r>
          </w:p>
        </w:tc>
      </w:tr>
      <w:tr w:rsidR="0026033F" w:rsidRPr="000E3A6D" w14:paraId="0E4D7ACE"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7BB44090"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11</w:t>
            </w:r>
          </w:p>
        </w:tc>
        <w:tc>
          <w:tcPr>
            <w:tcW w:w="1117" w:type="pct"/>
          </w:tcPr>
          <w:p w14:paraId="4D1DE0F4"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The rate of young people aged 10–17 years in detention</w:t>
            </w:r>
          </w:p>
        </w:tc>
        <w:tc>
          <w:tcPr>
            <w:tcW w:w="438" w:type="pct"/>
          </w:tcPr>
          <w:p w14:paraId="0E4BC83C"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AIHW</w:t>
            </w:r>
          </w:p>
        </w:tc>
        <w:tc>
          <w:tcPr>
            <w:tcW w:w="679" w:type="pct"/>
          </w:tcPr>
          <w:p w14:paraId="0C4D663D"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hyperlink r:id="rId130" w:history="1">
              <w:r w:rsidR="0026033F" w:rsidRPr="00220DB8">
                <w:rPr>
                  <w:rFonts w:ascii="Arial" w:eastAsia="Times New Roman" w:hAnsi="Arial" w:cs="Arial"/>
                  <w:sz w:val="18"/>
                  <w:szCs w:val="18"/>
                  <w:u w:val="single"/>
                  <w:lang w:eastAsia="en-AU"/>
                </w:rPr>
                <w:t>Youth Justice National Minimum Data Set (YJ NMDS)</w:t>
              </w:r>
            </w:hyperlink>
          </w:p>
        </w:tc>
        <w:tc>
          <w:tcPr>
            <w:tcW w:w="388" w:type="pct"/>
          </w:tcPr>
          <w:p w14:paraId="1057EDBB"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tcPr>
          <w:p w14:paraId="1847E1EC"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tcPr>
          <w:p w14:paraId="18B2DD0C"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 xml:space="preserve">2018-19 to </w:t>
            </w:r>
            <w:r w:rsidRPr="00220DB8">
              <w:rPr>
                <w:rFonts w:ascii="Arial" w:eastAsia="Times New Roman" w:hAnsi="Arial" w:cs="Arial"/>
                <w:sz w:val="18"/>
                <w:szCs w:val="18"/>
                <w:lang w:eastAsia="en-AU"/>
              </w:rPr>
              <w:br/>
              <w:t>2022-23</w:t>
            </w:r>
          </w:p>
        </w:tc>
        <w:tc>
          <w:tcPr>
            <w:tcW w:w="487" w:type="pct"/>
          </w:tcPr>
          <w:p w14:paraId="20D6E5AF"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2023-23</w:t>
            </w:r>
          </w:p>
        </w:tc>
        <w:tc>
          <w:tcPr>
            <w:tcW w:w="621" w:type="pct"/>
          </w:tcPr>
          <w:p w14:paraId="6F36399F"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2023-24</w:t>
            </w:r>
            <w:r w:rsidRPr="00220DB8">
              <w:rPr>
                <w:rFonts w:ascii="Arial" w:eastAsia="Times New Roman" w:hAnsi="Arial" w:cs="Arial"/>
                <w:sz w:val="18"/>
                <w:szCs w:val="18"/>
                <w:vertAlign w:val="superscript"/>
                <w:lang w:eastAsia="en-AU"/>
              </w:rPr>
              <w:t>##</w:t>
            </w:r>
          </w:p>
        </w:tc>
      </w:tr>
      <w:tr w:rsidR="005F6565" w:rsidRPr="000E3A6D" w14:paraId="1482706B"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4D6CF5FF"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lastRenderedPageBreak/>
              <w:t>12</w:t>
            </w:r>
          </w:p>
        </w:tc>
        <w:tc>
          <w:tcPr>
            <w:tcW w:w="1117" w:type="pct"/>
            <w:shd w:val="clear" w:color="auto" w:fill="D2E5E9" w:themeFill="accent1" w:themeFillTint="33"/>
          </w:tcPr>
          <w:p w14:paraId="68260436"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The rate of children aged 0-17 years in out-of-home care</w:t>
            </w:r>
          </w:p>
        </w:tc>
        <w:tc>
          <w:tcPr>
            <w:tcW w:w="438" w:type="pct"/>
            <w:shd w:val="clear" w:color="auto" w:fill="D2E5E9" w:themeFill="accent1" w:themeFillTint="33"/>
          </w:tcPr>
          <w:p w14:paraId="157C7DE3"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State &amp; Territory governments and AIHW</w:t>
            </w:r>
          </w:p>
        </w:tc>
        <w:tc>
          <w:tcPr>
            <w:tcW w:w="679" w:type="pct"/>
            <w:shd w:val="clear" w:color="auto" w:fill="D2E5E9" w:themeFill="accent1" w:themeFillTint="33"/>
          </w:tcPr>
          <w:p w14:paraId="63F62103"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hyperlink r:id="rId131" w:history="1">
              <w:r w:rsidR="0026033F" w:rsidRPr="00220DB8">
                <w:rPr>
                  <w:rFonts w:ascii="Arial" w:eastAsia="Times New Roman" w:hAnsi="Arial" w:cs="Arial"/>
                  <w:sz w:val="18"/>
                  <w:szCs w:val="18"/>
                  <w:u w:val="single"/>
                  <w:lang w:eastAsia="en-AU"/>
                </w:rPr>
                <w:t>Child Protection National Minimum Data Set (CP NMDS)</w:t>
              </w:r>
            </w:hyperlink>
          </w:p>
        </w:tc>
        <w:tc>
          <w:tcPr>
            <w:tcW w:w="388" w:type="pct"/>
            <w:shd w:val="clear" w:color="auto" w:fill="D2E5E9" w:themeFill="accent1" w:themeFillTint="33"/>
          </w:tcPr>
          <w:p w14:paraId="745D6F17"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shd w:val="clear" w:color="auto" w:fill="D2E5E9" w:themeFill="accent1" w:themeFillTint="33"/>
          </w:tcPr>
          <w:p w14:paraId="3F7BC0FD"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shd w:val="clear" w:color="auto" w:fill="D2E5E9" w:themeFill="accent1" w:themeFillTint="33"/>
          </w:tcPr>
          <w:p w14:paraId="09A778AA" w14:textId="516A04C0"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2019</w:t>
            </w:r>
            <w:r w:rsidR="00C036AD">
              <w:rPr>
                <w:rFonts w:ascii="Arial" w:eastAsia="Times New Roman" w:hAnsi="Arial" w:cs="Arial"/>
                <w:sz w:val="18"/>
                <w:szCs w:val="18"/>
                <w:lang w:eastAsia="en-AU"/>
              </w:rPr>
              <w:t>-</w:t>
            </w:r>
            <w:r w:rsidRPr="00220DB8">
              <w:rPr>
                <w:rFonts w:ascii="Arial" w:eastAsia="Times New Roman" w:hAnsi="Arial" w:cs="Arial"/>
                <w:sz w:val="18"/>
                <w:szCs w:val="18"/>
                <w:lang w:eastAsia="en-AU"/>
              </w:rPr>
              <w:t>23</w:t>
            </w:r>
          </w:p>
        </w:tc>
        <w:tc>
          <w:tcPr>
            <w:tcW w:w="487" w:type="pct"/>
            <w:shd w:val="clear" w:color="auto" w:fill="D2E5E9" w:themeFill="accent1" w:themeFillTint="33"/>
          </w:tcPr>
          <w:p w14:paraId="78CCC18F"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w:t>
            </w:r>
          </w:p>
        </w:tc>
        <w:tc>
          <w:tcPr>
            <w:tcW w:w="621" w:type="pct"/>
            <w:shd w:val="clear" w:color="auto" w:fill="D2E5E9" w:themeFill="accent1" w:themeFillTint="33"/>
          </w:tcPr>
          <w:p w14:paraId="622A86CE"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2024</w:t>
            </w:r>
            <w:r w:rsidRPr="00220DB8">
              <w:rPr>
                <w:rFonts w:ascii="Arial" w:eastAsia="Times New Roman" w:hAnsi="Arial" w:cs="Arial"/>
                <w:sz w:val="18"/>
                <w:szCs w:val="18"/>
                <w:vertAlign w:val="superscript"/>
                <w:lang w:eastAsia="en-AU"/>
              </w:rPr>
              <w:t>##</w:t>
            </w:r>
          </w:p>
        </w:tc>
      </w:tr>
      <w:tr w:rsidR="0026033F" w:rsidRPr="000E3A6D" w14:paraId="62763E41"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6B1F7BB4"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13</w:t>
            </w:r>
          </w:p>
        </w:tc>
        <w:tc>
          <w:tcPr>
            <w:tcW w:w="1117" w:type="pct"/>
          </w:tcPr>
          <w:p w14:paraId="31D9A97E"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Proportion of females aged 15 years and over who experienced domestic physical or threatened physical harm in the last 12 months</w:t>
            </w:r>
          </w:p>
        </w:tc>
        <w:tc>
          <w:tcPr>
            <w:tcW w:w="438" w:type="pct"/>
          </w:tcPr>
          <w:p w14:paraId="06481F6B"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tcPr>
          <w:p w14:paraId="17E9FAC7"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32" w:history="1">
              <w:r w:rsidR="0026033F" w:rsidRPr="00220DB8">
                <w:rPr>
                  <w:rFonts w:ascii="Arial" w:eastAsia="Times New Roman" w:hAnsi="Arial" w:cs="Arial"/>
                  <w:sz w:val="18"/>
                  <w:szCs w:val="18"/>
                  <w:u w:val="single"/>
                  <w:lang w:eastAsia="en-AU"/>
                </w:rPr>
                <w:t>National Aboriginal and Torres Strait Islander Health Survey (NATSIHS)</w:t>
              </w:r>
            </w:hyperlink>
          </w:p>
        </w:tc>
        <w:tc>
          <w:tcPr>
            <w:tcW w:w="388" w:type="pct"/>
          </w:tcPr>
          <w:p w14:paraId="064672E6"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To be confirmed</w:t>
            </w:r>
            <w:r w:rsidRPr="00220DB8">
              <w:rPr>
                <w:rFonts w:ascii="Arial" w:eastAsia="Times New Roman" w:hAnsi="Arial" w:cs="Arial"/>
                <w:sz w:val="18"/>
                <w:szCs w:val="18"/>
                <w:vertAlign w:val="superscript"/>
                <w:lang w:eastAsia="en-AU"/>
              </w:rPr>
              <w:t>#</w:t>
            </w:r>
          </w:p>
        </w:tc>
        <w:tc>
          <w:tcPr>
            <w:tcW w:w="437" w:type="pct"/>
          </w:tcPr>
          <w:p w14:paraId="57B2836C"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Jun-21</w:t>
            </w:r>
          </w:p>
        </w:tc>
        <w:tc>
          <w:tcPr>
            <w:tcW w:w="445" w:type="pct"/>
          </w:tcPr>
          <w:p w14:paraId="7668A3F7" w14:textId="52A8835B"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2018</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19</w:t>
            </w:r>
          </w:p>
        </w:tc>
        <w:tc>
          <w:tcPr>
            <w:tcW w:w="487" w:type="pct"/>
          </w:tcPr>
          <w:p w14:paraId="276743DA" w14:textId="28563C02" w:rsidR="0026033F" w:rsidRPr="00D92B3A" w:rsidRDefault="0026033F" w:rsidP="00D92B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2018</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19</w:t>
            </w:r>
          </w:p>
        </w:tc>
        <w:tc>
          <w:tcPr>
            <w:tcW w:w="621" w:type="pct"/>
          </w:tcPr>
          <w:p w14:paraId="3FA2C542"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To be confirmed</w:t>
            </w:r>
            <w:r w:rsidRPr="00220DB8">
              <w:rPr>
                <w:rFonts w:ascii="Arial" w:eastAsia="Times New Roman" w:hAnsi="Arial" w:cs="Arial"/>
                <w:sz w:val="18"/>
                <w:szCs w:val="18"/>
                <w:vertAlign w:val="superscript"/>
                <w:lang w:eastAsia="en-AU"/>
              </w:rPr>
              <w:t>#</w:t>
            </w:r>
          </w:p>
        </w:tc>
      </w:tr>
      <w:tr w:rsidR="005F6565" w:rsidRPr="000E3A6D" w14:paraId="67BE2B33"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6D3F362D"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14</w:t>
            </w:r>
          </w:p>
        </w:tc>
        <w:tc>
          <w:tcPr>
            <w:tcW w:w="1117" w:type="pct"/>
            <w:shd w:val="clear" w:color="auto" w:fill="D2E5E9" w:themeFill="accent1" w:themeFillTint="33"/>
          </w:tcPr>
          <w:p w14:paraId="2D0E5223"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Suicide death rate</w:t>
            </w:r>
          </w:p>
        </w:tc>
        <w:tc>
          <w:tcPr>
            <w:tcW w:w="438" w:type="pct"/>
            <w:shd w:val="clear" w:color="auto" w:fill="D2E5E9" w:themeFill="accent1" w:themeFillTint="33"/>
          </w:tcPr>
          <w:p w14:paraId="1971D0E0"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shd w:val="clear" w:color="auto" w:fill="D2E5E9" w:themeFill="accent1" w:themeFillTint="33"/>
          </w:tcPr>
          <w:p w14:paraId="3E66D1C7"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hyperlink r:id="rId133" w:anchor="intentional-self-harm-deaths-suicide-of-aboriginal-and-torres-strait-islander-people" w:history="1">
              <w:r w:rsidR="0026033F" w:rsidRPr="00220DB8">
                <w:rPr>
                  <w:rFonts w:ascii="Arial" w:eastAsia="Times New Roman" w:hAnsi="Arial" w:cs="Arial"/>
                  <w:sz w:val="18"/>
                  <w:szCs w:val="18"/>
                  <w:u w:val="single"/>
                  <w:lang w:eastAsia="en-AU"/>
                </w:rPr>
                <w:t>Causes of Death</w:t>
              </w:r>
            </w:hyperlink>
          </w:p>
        </w:tc>
        <w:tc>
          <w:tcPr>
            <w:tcW w:w="388" w:type="pct"/>
            <w:shd w:val="clear" w:color="auto" w:fill="D2E5E9" w:themeFill="accent1" w:themeFillTint="33"/>
          </w:tcPr>
          <w:p w14:paraId="098AA62C"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shd w:val="clear" w:color="auto" w:fill="D2E5E9" w:themeFill="accent1" w:themeFillTint="33"/>
          </w:tcPr>
          <w:p w14:paraId="2715A886"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shd w:val="clear" w:color="auto" w:fill="D2E5E9" w:themeFill="accent1" w:themeFillTint="33"/>
          </w:tcPr>
          <w:p w14:paraId="04EEDB8C" w14:textId="320991B3"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2018</w:t>
            </w:r>
            <w:r w:rsidR="00D92B3A">
              <w:rPr>
                <w:rFonts w:ascii="Arial" w:eastAsia="Times New Roman" w:hAnsi="Arial" w:cs="Arial"/>
                <w:sz w:val="18"/>
                <w:szCs w:val="18"/>
                <w:lang w:eastAsia="en-AU"/>
              </w:rPr>
              <w:t>-</w:t>
            </w:r>
            <w:r w:rsidRPr="00220DB8">
              <w:rPr>
                <w:rFonts w:ascii="Arial" w:eastAsia="Times New Roman" w:hAnsi="Arial" w:cs="Arial"/>
                <w:sz w:val="18"/>
                <w:szCs w:val="18"/>
                <w:lang w:eastAsia="en-AU"/>
              </w:rPr>
              <w:t>21</w:t>
            </w:r>
          </w:p>
        </w:tc>
        <w:tc>
          <w:tcPr>
            <w:tcW w:w="487" w:type="pct"/>
            <w:shd w:val="clear" w:color="auto" w:fill="D2E5E9" w:themeFill="accent1" w:themeFillTint="33"/>
          </w:tcPr>
          <w:p w14:paraId="5A694C8B"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2021</w:t>
            </w:r>
          </w:p>
        </w:tc>
        <w:tc>
          <w:tcPr>
            <w:tcW w:w="621" w:type="pct"/>
            <w:shd w:val="clear" w:color="auto" w:fill="D2E5E9" w:themeFill="accent1" w:themeFillTint="33"/>
          </w:tcPr>
          <w:p w14:paraId="14AA63AA"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2022</w:t>
            </w:r>
            <w:r w:rsidRPr="00220DB8">
              <w:rPr>
                <w:rFonts w:ascii="Arial" w:eastAsia="Times New Roman" w:hAnsi="Arial" w:cs="Arial"/>
                <w:sz w:val="18"/>
                <w:szCs w:val="18"/>
                <w:vertAlign w:val="superscript"/>
                <w:lang w:eastAsia="en-AU"/>
              </w:rPr>
              <w:t>##</w:t>
            </w:r>
          </w:p>
        </w:tc>
      </w:tr>
      <w:tr w:rsidR="0026033F" w:rsidRPr="000E3A6D" w14:paraId="40A34842"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058C3772"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15</w:t>
            </w:r>
          </w:p>
        </w:tc>
        <w:tc>
          <w:tcPr>
            <w:tcW w:w="1117" w:type="pct"/>
          </w:tcPr>
          <w:p w14:paraId="6F37C3D0"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Area of Australian land mass and sea waters that is subject to people’s legal rights or interests</w:t>
            </w:r>
          </w:p>
        </w:tc>
        <w:tc>
          <w:tcPr>
            <w:tcW w:w="438" w:type="pct"/>
          </w:tcPr>
          <w:p w14:paraId="495FF3A1"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National Native Title Tribunal</w:t>
            </w:r>
          </w:p>
        </w:tc>
        <w:tc>
          <w:tcPr>
            <w:tcW w:w="679" w:type="pct"/>
          </w:tcPr>
          <w:p w14:paraId="01124514"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hyperlink r:id="rId134" w:history="1">
              <w:r w:rsidR="0026033F" w:rsidRPr="00220DB8">
                <w:rPr>
                  <w:rFonts w:ascii="Arial" w:eastAsia="Times New Roman" w:hAnsi="Arial" w:cs="Arial"/>
                  <w:sz w:val="18"/>
                  <w:szCs w:val="18"/>
                  <w:u w:val="single"/>
                  <w:lang w:eastAsia="en-AU"/>
                </w:rPr>
                <w:t>Native Title Determinations Outcomes; Indigenous estate</w:t>
              </w:r>
            </w:hyperlink>
          </w:p>
        </w:tc>
        <w:tc>
          <w:tcPr>
            <w:tcW w:w="388" w:type="pct"/>
          </w:tcPr>
          <w:p w14:paraId="34F0BEB9"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Annual</w:t>
            </w:r>
          </w:p>
        </w:tc>
        <w:tc>
          <w:tcPr>
            <w:tcW w:w="437" w:type="pct"/>
          </w:tcPr>
          <w:p w14:paraId="12D18A5D"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tcPr>
          <w:p w14:paraId="0BB5D7E2" w14:textId="21C09875"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A: 2020</w:t>
            </w:r>
            <w:r w:rsidR="00F94F05">
              <w:rPr>
                <w:rFonts w:ascii="Arial" w:eastAsia="Times New Roman" w:hAnsi="Arial" w:cs="Arial"/>
                <w:sz w:val="18"/>
                <w:szCs w:val="18"/>
                <w:lang w:eastAsia="en-AU"/>
              </w:rPr>
              <w:t>-23</w:t>
            </w:r>
            <w:r w:rsidRPr="00220DB8">
              <w:rPr>
                <w:rFonts w:ascii="Arial" w:eastAsia="Times New Roman" w:hAnsi="Arial" w:cs="Arial"/>
                <w:sz w:val="18"/>
                <w:szCs w:val="18"/>
                <w:lang w:eastAsia="en-AU"/>
              </w:rPr>
              <w:t xml:space="preserve"> </w:t>
            </w:r>
            <w:r w:rsidRPr="00220DB8">
              <w:rPr>
                <w:rFonts w:ascii="Arial" w:eastAsia="Times New Roman" w:hAnsi="Arial" w:cs="Arial"/>
                <w:sz w:val="18"/>
                <w:szCs w:val="18"/>
                <w:lang w:eastAsia="en-AU"/>
              </w:rPr>
              <w:br/>
              <w:t>B: 20</w:t>
            </w:r>
            <w:r w:rsidR="00F94F05">
              <w:rPr>
                <w:rFonts w:ascii="Arial" w:eastAsia="Times New Roman" w:hAnsi="Arial" w:cs="Arial"/>
                <w:sz w:val="18"/>
                <w:szCs w:val="18"/>
                <w:lang w:eastAsia="en-AU"/>
              </w:rPr>
              <w:t>20-</w:t>
            </w:r>
            <w:r w:rsidRPr="00220DB8">
              <w:rPr>
                <w:rFonts w:ascii="Arial" w:eastAsia="Times New Roman" w:hAnsi="Arial" w:cs="Arial"/>
                <w:sz w:val="18"/>
                <w:szCs w:val="18"/>
                <w:lang w:eastAsia="en-AU"/>
              </w:rPr>
              <w:t>23</w:t>
            </w:r>
          </w:p>
        </w:tc>
        <w:tc>
          <w:tcPr>
            <w:tcW w:w="487" w:type="pct"/>
          </w:tcPr>
          <w:p w14:paraId="5A27BCDF"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2023</w:t>
            </w:r>
          </w:p>
        </w:tc>
        <w:tc>
          <w:tcPr>
            <w:tcW w:w="621" w:type="pct"/>
          </w:tcPr>
          <w:p w14:paraId="4185AF4F"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2024</w:t>
            </w:r>
          </w:p>
        </w:tc>
      </w:tr>
      <w:tr w:rsidR="005F6565" w:rsidRPr="000E3A6D" w14:paraId="2C8F4DB8" w14:textId="77777777" w:rsidTr="000908EF">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7" w:type="pct"/>
            <w:shd w:val="clear" w:color="auto" w:fill="D2E5E9" w:themeFill="accent1" w:themeFillTint="33"/>
          </w:tcPr>
          <w:p w14:paraId="5317EEA8"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16</w:t>
            </w:r>
          </w:p>
        </w:tc>
        <w:tc>
          <w:tcPr>
            <w:tcW w:w="1117" w:type="pct"/>
            <w:shd w:val="clear" w:color="auto" w:fill="D2E5E9" w:themeFill="accent1" w:themeFillTint="33"/>
          </w:tcPr>
          <w:p w14:paraId="582B8556"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The number and strength of languages being spoken</w:t>
            </w:r>
          </w:p>
        </w:tc>
        <w:tc>
          <w:tcPr>
            <w:tcW w:w="438" w:type="pct"/>
            <w:shd w:val="clear" w:color="auto" w:fill="D2E5E9" w:themeFill="accent1" w:themeFillTint="33"/>
          </w:tcPr>
          <w:p w14:paraId="18A71A13" w14:textId="77777777" w:rsidR="0026033F" w:rsidRPr="00220DB8" w:rsidRDefault="0026033F" w:rsidP="005A273E">
            <w:pPr>
              <w:spacing w:before="6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AIATSIS</w:t>
            </w:r>
          </w:p>
        </w:tc>
        <w:tc>
          <w:tcPr>
            <w:tcW w:w="679" w:type="pct"/>
            <w:shd w:val="clear" w:color="auto" w:fill="D2E5E9" w:themeFill="accent1" w:themeFillTint="33"/>
          </w:tcPr>
          <w:p w14:paraId="5D9FF89B" w14:textId="77777777" w:rsidR="0026033F" w:rsidRPr="00220DB8" w:rsidRDefault="00DD7E80"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hyperlink r:id="rId135" w:history="1">
              <w:r w:rsidR="0026033F" w:rsidRPr="00220DB8">
                <w:rPr>
                  <w:rFonts w:ascii="Arial" w:eastAsia="Times New Roman" w:hAnsi="Arial" w:cs="Arial"/>
                  <w:sz w:val="18"/>
                  <w:szCs w:val="18"/>
                  <w:u w:val="single"/>
                  <w:lang w:eastAsia="en-AU"/>
                </w:rPr>
                <w:t>National Indigenous Languages Surveys (NILS)</w:t>
              </w:r>
            </w:hyperlink>
          </w:p>
        </w:tc>
        <w:tc>
          <w:tcPr>
            <w:tcW w:w="388" w:type="pct"/>
            <w:shd w:val="clear" w:color="auto" w:fill="D2E5E9" w:themeFill="accent1" w:themeFillTint="33"/>
          </w:tcPr>
          <w:p w14:paraId="5D114ADE"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Periodic</w:t>
            </w:r>
          </w:p>
        </w:tc>
        <w:tc>
          <w:tcPr>
            <w:tcW w:w="437" w:type="pct"/>
            <w:shd w:val="clear" w:color="auto" w:fill="D2E5E9" w:themeFill="accent1" w:themeFillTint="33"/>
          </w:tcPr>
          <w:p w14:paraId="7B720A73" w14:textId="77777777" w:rsidR="0026033F" w:rsidRPr="00220DB8" w:rsidRDefault="0026033F" w:rsidP="005A273E">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Mar-24</w:t>
            </w:r>
          </w:p>
        </w:tc>
        <w:tc>
          <w:tcPr>
            <w:tcW w:w="445" w:type="pct"/>
            <w:shd w:val="clear" w:color="auto" w:fill="D2E5E9" w:themeFill="accent1" w:themeFillTint="33"/>
          </w:tcPr>
          <w:p w14:paraId="6107DBE1"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2018-19</w:t>
            </w:r>
          </w:p>
        </w:tc>
        <w:tc>
          <w:tcPr>
            <w:tcW w:w="487" w:type="pct"/>
            <w:shd w:val="clear" w:color="auto" w:fill="D2E5E9" w:themeFill="accent1" w:themeFillTint="33"/>
          </w:tcPr>
          <w:p w14:paraId="058B3B8E"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2018-19</w:t>
            </w:r>
          </w:p>
        </w:tc>
        <w:tc>
          <w:tcPr>
            <w:tcW w:w="621" w:type="pct"/>
            <w:shd w:val="clear" w:color="auto" w:fill="D2E5E9" w:themeFill="accent1" w:themeFillTint="33"/>
          </w:tcPr>
          <w:p w14:paraId="497870E1" w14:textId="77777777" w:rsidR="0026033F" w:rsidRPr="00220DB8" w:rsidRDefault="0026033F" w:rsidP="005A273E">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2024</w:t>
            </w:r>
          </w:p>
        </w:tc>
      </w:tr>
      <w:tr w:rsidR="0026033F" w:rsidRPr="000E3A6D" w14:paraId="2902FF89" w14:textId="77777777" w:rsidTr="000908EF">
        <w:trPr>
          <w:trHeight w:val="274"/>
        </w:trPr>
        <w:tc>
          <w:tcPr>
            <w:cnfStyle w:val="001000000000" w:firstRow="0" w:lastRow="0" w:firstColumn="1" w:lastColumn="0" w:oddVBand="0" w:evenVBand="0" w:oddHBand="0" w:evenHBand="0" w:firstRowFirstColumn="0" w:firstRowLastColumn="0" w:lastRowFirstColumn="0" w:lastRowLastColumn="0"/>
            <w:tcW w:w="387" w:type="pct"/>
          </w:tcPr>
          <w:p w14:paraId="10A5477D" w14:textId="77777777" w:rsidR="0026033F" w:rsidRPr="00220DB8" w:rsidRDefault="0026033F" w:rsidP="005A273E">
            <w:pPr>
              <w:spacing w:before="60" w:line="240" w:lineRule="auto"/>
              <w:jc w:val="center"/>
              <w:rPr>
                <w:rFonts w:ascii="Arial" w:eastAsia="Times New Roman" w:hAnsi="Arial" w:cs="Arial"/>
                <w:sz w:val="18"/>
                <w:szCs w:val="18"/>
                <w:lang w:eastAsia="en-AU"/>
              </w:rPr>
            </w:pPr>
            <w:r w:rsidRPr="00220DB8">
              <w:rPr>
                <w:rFonts w:ascii="Arial" w:eastAsia="Times New Roman" w:hAnsi="Arial" w:cs="Arial"/>
                <w:sz w:val="18"/>
                <w:szCs w:val="18"/>
                <w:lang w:eastAsia="en-AU"/>
              </w:rPr>
              <w:t>17</w:t>
            </w:r>
          </w:p>
        </w:tc>
        <w:tc>
          <w:tcPr>
            <w:tcW w:w="1117" w:type="pct"/>
          </w:tcPr>
          <w:p w14:paraId="2FB4505E"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Proportion of people aged 15 years and over who have accessed the internet at home in the last 12 months</w:t>
            </w:r>
          </w:p>
        </w:tc>
        <w:tc>
          <w:tcPr>
            <w:tcW w:w="438" w:type="pct"/>
          </w:tcPr>
          <w:p w14:paraId="337BE457" w14:textId="77777777" w:rsidR="0026033F" w:rsidRPr="00220DB8" w:rsidRDefault="0026033F" w:rsidP="005A273E">
            <w:pPr>
              <w:spacing w:before="6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ABS</w:t>
            </w:r>
          </w:p>
        </w:tc>
        <w:tc>
          <w:tcPr>
            <w:tcW w:w="679" w:type="pct"/>
          </w:tcPr>
          <w:p w14:paraId="32F3AE4E" w14:textId="77777777" w:rsidR="0026033F" w:rsidRPr="00220DB8" w:rsidRDefault="00DD7E80"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hyperlink r:id="rId136" w:history="1">
              <w:r w:rsidR="0026033F" w:rsidRPr="00220DB8">
                <w:rPr>
                  <w:rFonts w:ascii="Arial" w:eastAsia="Times New Roman" w:hAnsi="Arial" w:cs="Arial"/>
                  <w:sz w:val="18"/>
                  <w:szCs w:val="18"/>
                  <w:u w:val="single"/>
                  <w:lang w:eastAsia="en-AU"/>
                </w:rPr>
                <w:t>National Aboriginal and Torres Strait Islander Social Survey (NATSISS)</w:t>
              </w:r>
            </w:hyperlink>
          </w:p>
        </w:tc>
        <w:tc>
          <w:tcPr>
            <w:tcW w:w="388" w:type="pct"/>
          </w:tcPr>
          <w:p w14:paraId="4972B1DD"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To be confirmed</w:t>
            </w:r>
            <w:r w:rsidRPr="00220DB8">
              <w:rPr>
                <w:rFonts w:ascii="Arial" w:eastAsia="Times New Roman" w:hAnsi="Arial" w:cs="Arial"/>
                <w:sz w:val="18"/>
                <w:szCs w:val="18"/>
                <w:vertAlign w:val="superscript"/>
                <w:lang w:eastAsia="en-AU"/>
              </w:rPr>
              <w:t>#</w:t>
            </w:r>
          </w:p>
        </w:tc>
        <w:tc>
          <w:tcPr>
            <w:tcW w:w="437" w:type="pct"/>
          </w:tcPr>
          <w:p w14:paraId="501E48B8" w14:textId="77777777" w:rsidR="0026033F" w:rsidRPr="00220DB8" w:rsidRDefault="0026033F" w:rsidP="005A273E">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220DB8">
              <w:rPr>
                <w:rFonts w:ascii="Arial" w:eastAsia="Times New Roman" w:hAnsi="Arial" w:cs="Arial"/>
                <w:sz w:val="18"/>
                <w:szCs w:val="18"/>
                <w:lang w:eastAsia="en-AU"/>
              </w:rPr>
              <w:t>Jun-21</w:t>
            </w:r>
          </w:p>
        </w:tc>
        <w:tc>
          <w:tcPr>
            <w:tcW w:w="445" w:type="pct"/>
          </w:tcPr>
          <w:p w14:paraId="34D8A817"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2014-15</w:t>
            </w:r>
          </w:p>
        </w:tc>
        <w:tc>
          <w:tcPr>
            <w:tcW w:w="487" w:type="pct"/>
          </w:tcPr>
          <w:p w14:paraId="76B54DBF"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2014-15</w:t>
            </w:r>
          </w:p>
        </w:tc>
        <w:tc>
          <w:tcPr>
            <w:tcW w:w="621" w:type="pct"/>
          </w:tcPr>
          <w:p w14:paraId="24749EF6" w14:textId="77777777" w:rsidR="0026033F" w:rsidRPr="00220DB8" w:rsidRDefault="0026033F" w:rsidP="005A273E">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220DB8">
              <w:rPr>
                <w:rFonts w:ascii="Arial" w:eastAsia="Times New Roman" w:hAnsi="Arial" w:cs="Arial"/>
                <w:sz w:val="18"/>
                <w:szCs w:val="18"/>
                <w:lang w:eastAsia="en-AU"/>
              </w:rPr>
              <w:t>To be confirmed</w:t>
            </w:r>
            <w:r w:rsidRPr="00220DB8">
              <w:rPr>
                <w:rFonts w:ascii="Arial" w:eastAsia="Times New Roman" w:hAnsi="Arial" w:cs="Arial"/>
                <w:sz w:val="18"/>
                <w:szCs w:val="18"/>
                <w:vertAlign w:val="superscript"/>
                <w:lang w:eastAsia="en-AU"/>
              </w:rPr>
              <w:t>#</w:t>
            </w:r>
          </w:p>
        </w:tc>
      </w:tr>
    </w:tbl>
    <w:p w14:paraId="7311FF23" w14:textId="77777777" w:rsidR="0026033F" w:rsidRPr="000E3A6D" w:rsidRDefault="0026033F" w:rsidP="0026033F">
      <w:pPr>
        <w:spacing w:before="80" w:line="216" w:lineRule="atLeast"/>
        <w:rPr>
          <w:sz w:val="18"/>
        </w:rPr>
      </w:pPr>
      <w:r w:rsidRPr="000E3A6D">
        <w:rPr>
          <w:sz w:val="18"/>
        </w:rPr>
        <w:t>Notes: # For Target 13 there is no survey currently planned for the future collection of this data. For Target 17 the 2023-24 National Aboriginal and Torres Strait Islander Health Survey (NATSIHS) includes a question on access to the internet (to be released late 2024), however the data will not be directly comparable to the baseline. ## Revised population data to be published by the ABS in 2024 (likely to be incorporated into the dashboard in 2025)</w:t>
      </w:r>
    </w:p>
    <w:p w14:paraId="7865781B" w14:textId="77777777" w:rsidR="00C04EB2" w:rsidRDefault="00C04EB2">
      <w:pPr>
        <w:spacing w:before="0" w:after="160" w:line="259" w:lineRule="auto"/>
        <w:rPr>
          <w:rFonts w:asciiTheme="majorHAnsi" w:hAnsiTheme="majorHAnsi"/>
          <w:iCs/>
          <w:color w:val="8C5E44" w:themeColor="text1"/>
          <w:szCs w:val="18"/>
        </w:rPr>
      </w:pPr>
      <w:r>
        <w:br w:type="page"/>
      </w:r>
    </w:p>
    <w:p w14:paraId="3783BF98" w14:textId="54847410" w:rsidR="00C04EB2" w:rsidRDefault="00C04EB2" w:rsidP="00013AFB">
      <w:pPr>
        <w:pStyle w:val="FigureTableHeading"/>
        <w:spacing w:after="120"/>
        <w:rPr>
          <w:lang w:eastAsia="en-AU"/>
        </w:rPr>
      </w:pPr>
      <w:r w:rsidRPr="0004061D">
        <w:lastRenderedPageBreak/>
        <w:t>Table A2 – Supporting indicator data summary</w:t>
      </w:r>
      <w:r w:rsidRPr="0004061D">
        <w:rPr>
          <w:lang w:eastAsia="en-AU"/>
        </w:rPr>
        <w:t xml:space="preserve"> </w:t>
      </w:r>
    </w:p>
    <w:tbl>
      <w:tblPr>
        <w:tblStyle w:val="PlainTable11"/>
        <w:tblW w:w="5000" w:type="pct"/>
        <w:tblLayout w:type="fixed"/>
        <w:tblLook w:val="04A0" w:firstRow="1" w:lastRow="0" w:firstColumn="1" w:lastColumn="0" w:noHBand="0" w:noVBand="1"/>
      </w:tblPr>
      <w:tblGrid>
        <w:gridCol w:w="892"/>
        <w:gridCol w:w="2214"/>
        <w:gridCol w:w="1413"/>
        <w:gridCol w:w="2406"/>
        <w:gridCol w:w="1416"/>
        <w:gridCol w:w="1412"/>
        <w:gridCol w:w="1441"/>
        <w:gridCol w:w="1418"/>
        <w:gridCol w:w="1948"/>
      </w:tblGrid>
      <w:tr w:rsidR="00880030" w:rsidRPr="003A6D02" w14:paraId="4EA099E0" w14:textId="77777777" w:rsidTr="000908EF">
        <w:trPr>
          <w:cnfStyle w:val="100000000000" w:firstRow="1" w:lastRow="0" w:firstColumn="0" w:lastColumn="0" w:oddVBand="0" w:evenVBand="0" w:oddHBand="0" w:evenHBand="0" w:firstRowFirstColumn="0" w:firstRowLastColumn="0" w:lastRowFirstColumn="0" w:lastRowLastColumn="0"/>
          <w:trHeight w:val="262"/>
          <w:tblHeader/>
        </w:trPr>
        <w:tc>
          <w:tcPr>
            <w:cnfStyle w:val="001000000000" w:firstRow="0" w:lastRow="0" w:firstColumn="1" w:lastColumn="0" w:oddVBand="0" w:evenVBand="0" w:oddHBand="0" w:evenHBand="0" w:firstRowFirstColumn="0" w:firstRowLastColumn="0" w:lastRowFirstColumn="0" w:lastRowLastColumn="0"/>
            <w:tcW w:w="306" w:type="pct"/>
            <w:shd w:val="clear" w:color="auto" w:fill="163C5F" w:themeFill="accent2" w:themeFillShade="80"/>
          </w:tcPr>
          <w:p w14:paraId="5C726371" w14:textId="77777777" w:rsidR="00880030" w:rsidRPr="003A6D02" w:rsidRDefault="00880030" w:rsidP="00D8023A">
            <w:pPr>
              <w:spacing w:before="60" w:after="0" w:line="240" w:lineRule="auto"/>
              <w:rPr>
                <w:rFonts w:ascii="Arial" w:eastAsia="Aptos" w:hAnsi="Arial" w:cs="Arial"/>
                <w:color w:val="FFFFFF" w:themeColor="accent6"/>
                <w:sz w:val="18"/>
                <w:szCs w:val="18"/>
              </w:rPr>
            </w:pPr>
          </w:p>
        </w:tc>
        <w:tc>
          <w:tcPr>
            <w:tcW w:w="760" w:type="pct"/>
            <w:shd w:val="clear" w:color="auto" w:fill="163C5F" w:themeFill="accent2" w:themeFillShade="80"/>
          </w:tcPr>
          <w:p w14:paraId="2B5DD938" w14:textId="77777777" w:rsidR="00880030" w:rsidRPr="003A6D02" w:rsidRDefault="00880030" w:rsidP="00D8023A">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3A6D02">
              <w:rPr>
                <w:rFonts w:ascii="Arial" w:eastAsia="Times New Roman" w:hAnsi="Arial" w:cs="Arial"/>
                <w:color w:val="FFFFFF" w:themeColor="accent6"/>
                <w:sz w:val="18"/>
                <w:szCs w:val="18"/>
                <w:lang w:eastAsia="en-AU"/>
              </w:rPr>
              <w:t>Supporting Indicator</w:t>
            </w:r>
          </w:p>
        </w:tc>
        <w:tc>
          <w:tcPr>
            <w:tcW w:w="485" w:type="pct"/>
            <w:shd w:val="clear" w:color="auto" w:fill="163C5F" w:themeFill="accent2" w:themeFillShade="80"/>
          </w:tcPr>
          <w:p w14:paraId="4A630ACA" w14:textId="77777777" w:rsidR="00880030" w:rsidRPr="003A6D02" w:rsidRDefault="00880030" w:rsidP="00D8023A">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3A6D02">
              <w:rPr>
                <w:rFonts w:ascii="Arial" w:eastAsia="Times New Roman" w:hAnsi="Arial" w:cs="Arial"/>
                <w:color w:val="FFFFFF" w:themeColor="accent6"/>
                <w:sz w:val="18"/>
                <w:szCs w:val="18"/>
                <w:lang w:eastAsia="en-AU"/>
              </w:rPr>
              <w:t>Data source</w:t>
            </w:r>
          </w:p>
        </w:tc>
        <w:tc>
          <w:tcPr>
            <w:tcW w:w="826" w:type="pct"/>
            <w:shd w:val="clear" w:color="auto" w:fill="163C5F" w:themeFill="accent2" w:themeFillShade="80"/>
          </w:tcPr>
          <w:p w14:paraId="54A1D23B" w14:textId="77777777" w:rsidR="00880030" w:rsidRPr="003A6D02" w:rsidRDefault="00880030" w:rsidP="00D8023A">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3A6D02">
              <w:rPr>
                <w:rFonts w:ascii="Arial" w:eastAsia="Times New Roman" w:hAnsi="Arial" w:cs="Arial"/>
                <w:color w:val="FFFFFF" w:themeColor="accent6"/>
                <w:sz w:val="18"/>
                <w:szCs w:val="18"/>
                <w:lang w:eastAsia="en-AU"/>
              </w:rPr>
              <w:t>Collection name</w:t>
            </w:r>
          </w:p>
        </w:tc>
        <w:tc>
          <w:tcPr>
            <w:tcW w:w="486" w:type="pct"/>
            <w:shd w:val="clear" w:color="auto" w:fill="163C5F" w:themeFill="accent2" w:themeFillShade="80"/>
          </w:tcPr>
          <w:p w14:paraId="5F0AFC05" w14:textId="77777777" w:rsidR="00880030" w:rsidRPr="003A6D02" w:rsidRDefault="00880030" w:rsidP="00D8023A">
            <w:pPr>
              <w:spacing w:before="60" w:after="0" w:line="240" w:lineRule="auto"/>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3A6D02">
              <w:rPr>
                <w:rFonts w:ascii="Arial" w:eastAsia="Times New Roman" w:hAnsi="Arial" w:cs="Arial"/>
                <w:color w:val="FFFFFF" w:themeColor="accent6"/>
                <w:sz w:val="18"/>
                <w:szCs w:val="18"/>
                <w:lang w:eastAsia="en-AU"/>
              </w:rPr>
              <w:t>Data frequency</w:t>
            </w:r>
          </w:p>
        </w:tc>
        <w:tc>
          <w:tcPr>
            <w:tcW w:w="485" w:type="pct"/>
            <w:shd w:val="clear" w:color="auto" w:fill="163C5F" w:themeFill="accent2" w:themeFillShade="80"/>
          </w:tcPr>
          <w:p w14:paraId="43733CCF" w14:textId="77777777" w:rsidR="00880030" w:rsidRPr="003A6D02" w:rsidRDefault="00880030" w:rsidP="00D8023A">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accent6"/>
                <w:sz w:val="18"/>
                <w:szCs w:val="18"/>
                <w:lang w:eastAsia="en-AU"/>
              </w:rPr>
            </w:pPr>
            <w:r w:rsidRPr="003A6D02">
              <w:rPr>
                <w:rFonts w:ascii="Arial" w:eastAsia="Times New Roman" w:hAnsi="Arial" w:cs="Arial"/>
                <w:color w:val="FFFFFF" w:themeColor="accent6"/>
                <w:sz w:val="18"/>
                <w:szCs w:val="18"/>
                <w:lang w:eastAsia="en-AU"/>
              </w:rPr>
              <w:t>Latest data on dashboard</w:t>
            </w:r>
          </w:p>
        </w:tc>
        <w:tc>
          <w:tcPr>
            <w:tcW w:w="495" w:type="pct"/>
            <w:shd w:val="clear" w:color="auto" w:fill="163C5F" w:themeFill="accent2" w:themeFillShade="80"/>
          </w:tcPr>
          <w:p w14:paraId="36F0A7BE" w14:textId="77777777" w:rsidR="00880030" w:rsidRPr="003A6D02" w:rsidRDefault="00880030" w:rsidP="00D8023A">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Aptos" w:hAnsi="Arial" w:cs="Arial"/>
                <w:color w:val="FFFFFF" w:themeColor="accent6"/>
                <w:sz w:val="18"/>
                <w:szCs w:val="18"/>
              </w:rPr>
            </w:pPr>
            <w:r w:rsidRPr="003A6D02">
              <w:rPr>
                <w:rFonts w:ascii="Arial" w:eastAsia="Times New Roman" w:hAnsi="Arial" w:cs="Arial"/>
                <w:color w:val="FFFFFF" w:themeColor="accent6"/>
                <w:sz w:val="18"/>
                <w:szCs w:val="18"/>
                <w:lang w:eastAsia="en-AU"/>
              </w:rPr>
              <w:t>Years currently reported</w:t>
            </w:r>
          </w:p>
        </w:tc>
        <w:tc>
          <w:tcPr>
            <w:tcW w:w="487" w:type="pct"/>
            <w:shd w:val="clear" w:color="auto" w:fill="163C5F" w:themeFill="accent2" w:themeFillShade="80"/>
          </w:tcPr>
          <w:p w14:paraId="495FF5FF" w14:textId="77777777" w:rsidR="00880030" w:rsidRPr="003A6D02" w:rsidRDefault="00880030" w:rsidP="00D8023A">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accent6"/>
                <w:sz w:val="18"/>
                <w:szCs w:val="18"/>
                <w:lang w:eastAsia="en-AU"/>
              </w:rPr>
            </w:pPr>
            <w:r w:rsidRPr="003A6D02">
              <w:rPr>
                <w:rFonts w:ascii="Arial" w:eastAsia="Times New Roman" w:hAnsi="Arial" w:cs="Arial"/>
                <w:color w:val="FFFFFF" w:themeColor="accent6"/>
                <w:sz w:val="18"/>
                <w:szCs w:val="18"/>
                <w:lang w:eastAsia="en-AU"/>
              </w:rPr>
              <w:t>Latest dashboard update</w:t>
            </w:r>
          </w:p>
        </w:tc>
        <w:tc>
          <w:tcPr>
            <w:tcW w:w="669" w:type="pct"/>
            <w:shd w:val="clear" w:color="auto" w:fill="163C5F" w:themeFill="accent2" w:themeFillShade="80"/>
          </w:tcPr>
          <w:p w14:paraId="016D068A" w14:textId="77777777" w:rsidR="00880030" w:rsidRPr="003A6D02" w:rsidRDefault="00880030" w:rsidP="00D8023A">
            <w:pPr>
              <w:spacing w:before="6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accent6"/>
                <w:sz w:val="18"/>
                <w:szCs w:val="18"/>
                <w:lang w:eastAsia="en-AU"/>
              </w:rPr>
            </w:pPr>
            <w:r w:rsidRPr="003A6D02">
              <w:rPr>
                <w:rFonts w:ascii="Arial" w:eastAsia="Times New Roman" w:hAnsi="Arial" w:cs="Arial"/>
                <w:color w:val="FFFFFF" w:themeColor="accent6"/>
                <w:sz w:val="18"/>
                <w:szCs w:val="18"/>
                <w:lang w:eastAsia="en-AU"/>
              </w:rPr>
              <w:t>Reference year for next data</w:t>
            </w:r>
          </w:p>
        </w:tc>
      </w:tr>
      <w:tr w:rsidR="00880030" w:rsidRPr="003A6D02" w14:paraId="7151AE25"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023BF3A2"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SE01b</w:t>
            </w:r>
          </w:p>
        </w:tc>
        <w:tc>
          <w:tcPr>
            <w:tcW w:w="760" w:type="pct"/>
            <w:shd w:val="clear" w:color="auto" w:fill="D2E4F4" w:themeFill="accent2" w:themeFillTint="33"/>
          </w:tcPr>
          <w:p w14:paraId="50FE30D8"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Leading causes of death</w:t>
            </w:r>
          </w:p>
        </w:tc>
        <w:tc>
          <w:tcPr>
            <w:tcW w:w="485" w:type="pct"/>
            <w:shd w:val="clear" w:color="auto" w:fill="D2E4F4" w:themeFill="accent2" w:themeFillTint="33"/>
          </w:tcPr>
          <w:p w14:paraId="42A4A1A4"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40D9F2E2"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Causes of Death </w:t>
            </w:r>
          </w:p>
        </w:tc>
        <w:tc>
          <w:tcPr>
            <w:tcW w:w="486" w:type="pct"/>
            <w:shd w:val="clear" w:color="auto" w:fill="D2E4F4" w:themeFill="accent2" w:themeFillTint="33"/>
          </w:tcPr>
          <w:p w14:paraId="0447ADE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4CE85788" w14:textId="36297899"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2018-22</w:t>
            </w:r>
          </w:p>
        </w:tc>
        <w:tc>
          <w:tcPr>
            <w:tcW w:w="495" w:type="pct"/>
            <w:shd w:val="clear" w:color="auto" w:fill="D2E4F4" w:themeFill="accent2" w:themeFillTint="33"/>
          </w:tcPr>
          <w:p w14:paraId="0872CE9B" w14:textId="707A7EAD"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2014–18,</w:t>
            </w:r>
            <w:r w:rsidRPr="003A6D02">
              <w:rPr>
                <w:rFonts w:ascii="Arial" w:eastAsia="Aptos" w:hAnsi="Arial" w:cs="Arial"/>
                <w:sz w:val="18"/>
                <w:szCs w:val="18"/>
              </w:rPr>
              <w:br/>
              <w:t>2018–22</w:t>
            </w:r>
          </w:p>
        </w:tc>
        <w:tc>
          <w:tcPr>
            <w:tcW w:w="487" w:type="pct"/>
            <w:shd w:val="clear" w:color="auto" w:fill="D2E4F4" w:themeFill="accent2" w:themeFillTint="33"/>
          </w:tcPr>
          <w:p w14:paraId="376CCDC0"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shd w:val="clear" w:color="auto" w:fill="D2E4F4" w:themeFill="accent2" w:themeFillTint="33"/>
          </w:tcPr>
          <w:p w14:paraId="641E167D"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2019-2023</w:t>
            </w:r>
            <w:r w:rsidRPr="003A6D02">
              <w:rPr>
                <w:rFonts w:ascii="Arial" w:eastAsia="Times New Roman" w:hAnsi="Arial" w:cs="Arial"/>
                <w:sz w:val="18"/>
                <w:szCs w:val="18"/>
                <w:vertAlign w:val="superscript"/>
                <w:lang w:eastAsia="en-AU"/>
              </w:rPr>
              <w:t>##</w:t>
            </w:r>
            <w:r w:rsidRPr="003A6D02">
              <w:rPr>
                <w:rFonts w:ascii="Arial" w:eastAsia="Aptos" w:hAnsi="Arial" w:cs="Arial"/>
                <w:sz w:val="18"/>
                <w:szCs w:val="18"/>
              </w:rPr>
              <w:br/>
            </w:r>
          </w:p>
        </w:tc>
      </w:tr>
      <w:tr w:rsidR="00880030" w:rsidRPr="003A6D02" w14:paraId="053D2718"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6592C17E"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SE01b</w:t>
            </w:r>
          </w:p>
        </w:tc>
        <w:tc>
          <w:tcPr>
            <w:tcW w:w="760" w:type="pct"/>
          </w:tcPr>
          <w:p w14:paraId="4A15E8F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SE01b Denominator</w:t>
            </w:r>
          </w:p>
        </w:tc>
        <w:tc>
          <w:tcPr>
            <w:tcW w:w="485" w:type="pct"/>
          </w:tcPr>
          <w:p w14:paraId="45967484"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3800B54F"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Population estimates and projections</w:t>
            </w:r>
          </w:p>
        </w:tc>
        <w:tc>
          <w:tcPr>
            <w:tcW w:w="486" w:type="pct"/>
          </w:tcPr>
          <w:p w14:paraId="0E386ADF"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2568B85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3D73C3F5"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tcPr>
          <w:p w14:paraId="1D316140"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c>
          <w:tcPr>
            <w:tcW w:w="669" w:type="pct"/>
          </w:tcPr>
          <w:p w14:paraId="0A6CA686"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r>
      <w:tr w:rsidR="00880030" w:rsidRPr="003A6D02" w14:paraId="4BFBC8D6" w14:textId="77777777" w:rsidTr="000908E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161170FA"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SE01d</w:t>
            </w:r>
          </w:p>
        </w:tc>
        <w:tc>
          <w:tcPr>
            <w:tcW w:w="760" w:type="pct"/>
            <w:shd w:val="clear" w:color="auto" w:fill="D2E4F4" w:themeFill="accent2" w:themeFillTint="33"/>
          </w:tcPr>
          <w:p w14:paraId="3627F592"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Health risk factors</w:t>
            </w:r>
          </w:p>
        </w:tc>
        <w:tc>
          <w:tcPr>
            <w:tcW w:w="485" w:type="pct"/>
            <w:shd w:val="clear" w:color="auto" w:fill="D2E4F4" w:themeFill="accent2" w:themeFillTint="33"/>
          </w:tcPr>
          <w:p w14:paraId="3604B835"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6E1B9EB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Aboriginal and Torres Strait Islander Health Survey (NATSIHS) and National Aboriginal and Torres Strait Islander Social Survey (NATSISS)</w:t>
            </w:r>
          </w:p>
        </w:tc>
        <w:tc>
          <w:tcPr>
            <w:tcW w:w="486" w:type="pct"/>
            <w:shd w:val="clear" w:color="auto" w:fill="D2E4F4" w:themeFill="accent2" w:themeFillTint="33"/>
          </w:tcPr>
          <w:p w14:paraId="34A5E8E4"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3-6 yearly</w:t>
            </w:r>
          </w:p>
          <w:p w14:paraId="5BE4550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tc>
        <w:tc>
          <w:tcPr>
            <w:tcW w:w="485" w:type="pct"/>
            <w:shd w:val="clear" w:color="auto" w:fill="D2E4F4" w:themeFill="accent2" w:themeFillTint="33"/>
          </w:tcPr>
          <w:p w14:paraId="619FFF4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2018-19</w:t>
            </w:r>
          </w:p>
        </w:tc>
        <w:tc>
          <w:tcPr>
            <w:tcW w:w="495" w:type="pct"/>
            <w:shd w:val="clear" w:color="auto" w:fill="D2E4F4" w:themeFill="accent2" w:themeFillTint="33"/>
          </w:tcPr>
          <w:p w14:paraId="521251E4"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2004-5, 2008, 2012-13, 2014-15, 2018-19</w:t>
            </w:r>
          </w:p>
        </w:tc>
        <w:tc>
          <w:tcPr>
            <w:tcW w:w="487" w:type="pct"/>
            <w:shd w:val="clear" w:color="auto" w:fill="D2E4F4" w:themeFill="accent2" w:themeFillTint="33"/>
          </w:tcPr>
          <w:p w14:paraId="23DC69A7"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59CDECA1"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r>
      <w:tr w:rsidR="00880030" w:rsidRPr="003A6D02" w14:paraId="155DAFCF" w14:textId="77777777" w:rsidTr="000908EF">
        <w:trPr>
          <w:trHeight w:val="284"/>
        </w:trPr>
        <w:tc>
          <w:tcPr>
            <w:cnfStyle w:val="001000000000" w:firstRow="0" w:lastRow="0" w:firstColumn="1" w:lastColumn="0" w:oddVBand="0" w:evenVBand="0" w:oddHBand="0" w:evenHBand="0" w:firstRowFirstColumn="0" w:firstRowLastColumn="0" w:lastRowFirstColumn="0" w:lastRowLastColumn="0"/>
            <w:tcW w:w="306" w:type="pct"/>
          </w:tcPr>
          <w:p w14:paraId="1554863F"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SE01e</w:t>
            </w:r>
          </w:p>
        </w:tc>
        <w:tc>
          <w:tcPr>
            <w:tcW w:w="760" w:type="pct"/>
          </w:tcPr>
          <w:p w14:paraId="66AEE3D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Rates of accessing/utilisation of health services</w:t>
            </w:r>
          </w:p>
        </w:tc>
        <w:tc>
          <w:tcPr>
            <w:tcW w:w="485" w:type="pct"/>
          </w:tcPr>
          <w:p w14:paraId="5E66CD53"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MBS Analytics Section, Department of Health / AIHW</w:t>
            </w:r>
          </w:p>
        </w:tc>
        <w:tc>
          <w:tcPr>
            <w:tcW w:w="826" w:type="pct"/>
          </w:tcPr>
          <w:p w14:paraId="28DFC16B"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MBS</w:t>
            </w:r>
          </w:p>
        </w:tc>
        <w:tc>
          <w:tcPr>
            <w:tcW w:w="486" w:type="pct"/>
          </w:tcPr>
          <w:p w14:paraId="2B0BFEAA"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06357C9A"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2021-22</w:t>
            </w:r>
          </w:p>
        </w:tc>
        <w:tc>
          <w:tcPr>
            <w:tcW w:w="495" w:type="pct"/>
          </w:tcPr>
          <w:p w14:paraId="4CF9E64D"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2016-17 to </w:t>
            </w:r>
            <w:r w:rsidRPr="003A6D02">
              <w:rPr>
                <w:rFonts w:ascii="Arial" w:eastAsia="Aptos" w:hAnsi="Arial" w:cs="Arial"/>
                <w:sz w:val="18"/>
                <w:szCs w:val="18"/>
              </w:rPr>
              <w:br/>
              <w:t>2021-22</w:t>
            </w:r>
          </w:p>
        </w:tc>
        <w:tc>
          <w:tcPr>
            <w:tcW w:w="487" w:type="pct"/>
          </w:tcPr>
          <w:p w14:paraId="2A05075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tcPr>
          <w:p w14:paraId="1DF6851F"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r w:rsidRPr="003A6D02">
              <w:rPr>
                <w:rFonts w:ascii="Arial" w:eastAsia="Times New Roman" w:hAnsi="Arial" w:cs="Arial"/>
                <w:sz w:val="18"/>
                <w:szCs w:val="18"/>
                <w:vertAlign w:val="superscript"/>
                <w:lang w:eastAsia="en-AU"/>
              </w:rPr>
              <w:t>##</w:t>
            </w:r>
          </w:p>
        </w:tc>
      </w:tr>
      <w:tr w:rsidR="00880030" w:rsidRPr="003A6D02" w14:paraId="4DB83A02"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462E5EDB"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SE01e</w:t>
            </w:r>
          </w:p>
        </w:tc>
        <w:tc>
          <w:tcPr>
            <w:tcW w:w="760" w:type="pct"/>
            <w:shd w:val="clear" w:color="auto" w:fill="D2E4F4" w:themeFill="accent2" w:themeFillTint="33"/>
          </w:tcPr>
          <w:p w14:paraId="7BF9DC69"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SE01e Denominator</w:t>
            </w:r>
          </w:p>
        </w:tc>
        <w:tc>
          <w:tcPr>
            <w:tcW w:w="485" w:type="pct"/>
            <w:shd w:val="clear" w:color="auto" w:fill="D2E4F4" w:themeFill="accent2" w:themeFillTint="33"/>
          </w:tcPr>
          <w:p w14:paraId="3B8994B7"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281B11F7"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Population estimates and projections</w:t>
            </w:r>
          </w:p>
        </w:tc>
        <w:tc>
          <w:tcPr>
            <w:tcW w:w="486" w:type="pct"/>
            <w:shd w:val="clear" w:color="auto" w:fill="D2E4F4" w:themeFill="accent2" w:themeFillTint="33"/>
          </w:tcPr>
          <w:p w14:paraId="318CF045"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06EA621C"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shd w:val="clear" w:color="auto" w:fill="D2E4F4" w:themeFill="accent2" w:themeFillTint="33"/>
          </w:tcPr>
          <w:p w14:paraId="68C273E2"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shd w:val="clear" w:color="auto" w:fill="D2E4F4" w:themeFill="accent2" w:themeFillTint="33"/>
          </w:tcPr>
          <w:p w14:paraId="06E48949"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c>
          <w:tcPr>
            <w:tcW w:w="669" w:type="pct"/>
            <w:shd w:val="clear" w:color="auto" w:fill="D2E4F4" w:themeFill="accent2" w:themeFillTint="33"/>
          </w:tcPr>
          <w:p w14:paraId="08736361"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r>
      <w:tr w:rsidR="00880030" w:rsidRPr="003A6D02" w14:paraId="7F8732E8"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2F963A4A"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SE02a</w:t>
            </w:r>
          </w:p>
        </w:tc>
        <w:tc>
          <w:tcPr>
            <w:tcW w:w="760" w:type="pct"/>
          </w:tcPr>
          <w:p w14:paraId="31470160"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Smoking during pregnancy</w:t>
            </w:r>
          </w:p>
        </w:tc>
        <w:tc>
          <w:tcPr>
            <w:tcW w:w="485" w:type="pct"/>
          </w:tcPr>
          <w:p w14:paraId="0C0C8736"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AIHW</w:t>
            </w:r>
          </w:p>
        </w:tc>
        <w:tc>
          <w:tcPr>
            <w:tcW w:w="826" w:type="pct"/>
          </w:tcPr>
          <w:p w14:paraId="57ABD318"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Perinatal Data Collection (NPDC)</w:t>
            </w:r>
          </w:p>
        </w:tc>
        <w:tc>
          <w:tcPr>
            <w:tcW w:w="486" w:type="pct"/>
          </w:tcPr>
          <w:p w14:paraId="75CE2D90"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01B6D218"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w:t>
            </w:r>
          </w:p>
        </w:tc>
        <w:tc>
          <w:tcPr>
            <w:tcW w:w="495" w:type="pct"/>
          </w:tcPr>
          <w:p w14:paraId="5DA6A208" w14:textId="39B0DE76"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2017</w:t>
            </w:r>
            <w:r w:rsidR="00F13CB8">
              <w:rPr>
                <w:rFonts w:ascii="Arial" w:eastAsia="Aptos" w:hAnsi="Arial" w:cs="Arial"/>
                <w:sz w:val="18"/>
                <w:szCs w:val="18"/>
              </w:rPr>
              <w:t>-</w:t>
            </w:r>
            <w:r w:rsidRPr="003A6D02">
              <w:rPr>
                <w:rFonts w:ascii="Arial" w:eastAsia="Aptos" w:hAnsi="Arial" w:cs="Arial"/>
                <w:sz w:val="18"/>
                <w:szCs w:val="18"/>
              </w:rPr>
              <w:t>21</w:t>
            </w:r>
          </w:p>
        </w:tc>
        <w:tc>
          <w:tcPr>
            <w:tcW w:w="487" w:type="pct"/>
          </w:tcPr>
          <w:p w14:paraId="5CA2F967"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tcPr>
          <w:p w14:paraId="7346D5DB"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w:t>
            </w:r>
          </w:p>
        </w:tc>
      </w:tr>
      <w:tr w:rsidR="00880030" w:rsidRPr="003A6D02" w14:paraId="231471BD"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00B8F455"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SE02d</w:t>
            </w:r>
          </w:p>
        </w:tc>
        <w:tc>
          <w:tcPr>
            <w:tcW w:w="760" w:type="pct"/>
            <w:shd w:val="clear" w:color="auto" w:fill="D2E4F4" w:themeFill="accent2" w:themeFillTint="33"/>
          </w:tcPr>
          <w:p w14:paraId="528212B5"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Use of antenatal care</w:t>
            </w:r>
          </w:p>
        </w:tc>
        <w:tc>
          <w:tcPr>
            <w:tcW w:w="485" w:type="pct"/>
            <w:shd w:val="clear" w:color="auto" w:fill="D2E4F4" w:themeFill="accent2" w:themeFillTint="33"/>
          </w:tcPr>
          <w:p w14:paraId="63147B93"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AIHW</w:t>
            </w:r>
          </w:p>
        </w:tc>
        <w:tc>
          <w:tcPr>
            <w:tcW w:w="826" w:type="pct"/>
            <w:shd w:val="clear" w:color="auto" w:fill="D2E4F4" w:themeFill="accent2" w:themeFillTint="33"/>
          </w:tcPr>
          <w:p w14:paraId="23D5A932"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Perinatal Data Collection (NPDC)</w:t>
            </w:r>
          </w:p>
        </w:tc>
        <w:tc>
          <w:tcPr>
            <w:tcW w:w="486" w:type="pct"/>
            <w:shd w:val="clear" w:color="auto" w:fill="D2E4F4" w:themeFill="accent2" w:themeFillTint="33"/>
          </w:tcPr>
          <w:p w14:paraId="56C8A121"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69DA5124"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w:t>
            </w:r>
          </w:p>
        </w:tc>
        <w:tc>
          <w:tcPr>
            <w:tcW w:w="495" w:type="pct"/>
            <w:shd w:val="clear" w:color="auto" w:fill="D2E4F4" w:themeFill="accent2" w:themeFillTint="33"/>
          </w:tcPr>
          <w:p w14:paraId="7767D054" w14:textId="23F5AF09"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2017</w:t>
            </w:r>
            <w:r w:rsidR="00F13CB8">
              <w:rPr>
                <w:rFonts w:ascii="Arial" w:eastAsia="Aptos" w:hAnsi="Arial" w:cs="Arial"/>
                <w:sz w:val="18"/>
                <w:szCs w:val="18"/>
              </w:rPr>
              <w:t>-</w:t>
            </w:r>
            <w:r w:rsidRPr="003A6D02">
              <w:rPr>
                <w:rFonts w:ascii="Arial" w:eastAsia="Aptos" w:hAnsi="Arial" w:cs="Arial"/>
                <w:sz w:val="18"/>
                <w:szCs w:val="18"/>
              </w:rPr>
              <w:t>21</w:t>
            </w:r>
          </w:p>
        </w:tc>
        <w:tc>
          <w:tcPr>
            <w:tcW w:w="487" w:type="pct"/>
            <w:shd w:val="clear" w:color="auto" w:fill="D2E4F4" w:themeFill="accent2" w:themeFillTint="33"/>
          </w:tcPr>
          <w:p w14:paraId="64B02930"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shd w:val="clear" w:color="auto" w:fill="D2E4F4" w:themeFill="accent2" w:themeFillTint="33"/>
          </w:tcPr>
          <w:p w14:paraId="55290E3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w:t>
            </w:r>
          </w:p>
        </w:tc>
      </w:tr>
      <w:tr w:rsidR="00880030" w:rsidRPr="003A6D02" w14:paraId="0731BE69"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625C13E2"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CtG3</w:t>
            </w:r>
          </w:p>
        </w:tc>
        <w:tc>
          <w:tcPr>
            <w:tcW w:w="760" w:type="pct"/>
          </w:tcPr>
          <w:p w14:paraId="0173B619"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 xml:space="preserve">CtG3 Denominator </w:t>
            </w:r>
            <w:r w:rsidRPr="003A6D02">
              <w:rPr>
                <w:rFonts w:ascii="Arial" w:eastAsia="Aptos" w:hAnsi="Arial" w:cs="Arial"/>
                <w:sz w:val="18"/>
                <w:szCs w:val="18"/>
              </w:rPr>
              <w:br/>
              <w:t>(for remoteness and SEIFA disaggregations)</w:t>
            </w:r>
          </w:p>
        </w:tc>
        <w:tc>
          <w:tcPr>
            <w:tcW w:w="485" w:type="pct"/>
          </w:tcPr>
          <w:p w14:paraId="4F1D8D43"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tcPr>
          <w:p w14:paraId="3BC11550"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Population estimates and projections</w:t>
            </w:r>
          </w:p>
        </w:tc>
        <w:tc>
          <w:tcPr>
            <w:tcW w:w="486" w:type="pct"/>
          </w:tcPr>
          <w:p w14:paraId="795B786C"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tcPr>
          <w:p w14:paraId="4527C9AF"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2271218E"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b/>
                <w:sz w:val="18"/>
                <w:szCs w:val="18"/>
              </w:rPr>
              <w:t>..</w:t>
            </w:r>
          </w:p>
        </w:tc>
        <w:tc>
          <w:tcPr>
            <w:tcW w:w="487" w:type="pct"/>
          </w:tcPr>
          <w:p w14:paraId="69211C66"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c>
          <w:tcPr>
            <w:tcW w:w="669" w:type="pct"/>
          </w:tcPr>
          <w:p w14:paraId="364B70C3"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r>
      <w:tr w:rsidR="00880030" w:rsidRPr="003A6D02" w14:paraId="4AB87CDA"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1A628642"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CtG03</w:t>
            </w:r>
          </w:p>
        </w:tc>
        <w:tc>
          <w:tcPr>
            <w:tcW w:w="760" w:type="pct"/>
            <w:shd w:val="clear" w:color="auto" w:fill="D2E4F4" w:themeFill="accent2" w:themeFillTint="33"/>
          </w:tcPr>
          <w:p w14:paraId="50C549B9"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CtG3 Disability disaggregations</w:t>
            </w:r>
          </w:p>
        </w:tc>
        <w:tc>
          <w:tcPr>
            <w:tcW w:w="485" w:type="pct"/>
            <w:shd w:val="clear" w:color="auto" w:fill="D2E4F4" w:themeFill="accent2" w:themeFillTint="33"/>
          </w:tcPr>
          <w:p w14:paraId="3BAA1D71"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States and territories</w:t>
            </w:r>
          </w:p>
        </w:tc>
        <w:tc>
          <w:tcPr>
            <w:tcW w:w="826" w:type="pct"/>
            <w:shd w:val="clear" w:color="auto" w:fill="D2E4F4" w:themeFill="accent2" w:themeFillTint="33"/>
          </w:tcPr>
          <w:p w14:paraId="08384CB9"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Activity collection</w:t>
            </w:r>
          </w:p>
        </w:tc>
        <w:tc>
          <w:tcPr>
            <w:tcW w:w="486" w:type="pct"/>
            <w:shd w:val="clear" w:color="auto" w:fill="D2E4F4" w:themeFill="accent2" w:themeFillTint="33"/>
          </w:tcPr>
          <w:p w14:paraId="72E4126C"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32A3A26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4A9B5710" w14:textId="20480E91"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2016</w:t>
            </w:r>
            <w:r w:rsidR="00F13CB8">
              <w:rPr>
                <w:rFonts w:ascii="Arial" w:eastAsia="Aptos" w:hAnsi="Arial" w:cs="Arial"/>
                <w:sz w:val="18"/>
                <w:szCs w:val="18"/>
              </w:rPr>
              <w:t>-</w:t>
            </w:r>
            <w:r w:rsidRPr="003A6D02">
              <w:rPr>
                <w:rFonts w:ascii="Arial" w:eastAsia="Aptos" w:hAnsi="Arial" w:cs="Arial"/>
                <w:sz w:val="18"/>
                <w:szCs w:val="18"/>
              </w:rPr>
              <w:t>23</w:t>
            </w:r>
          </w:p>
        </w:tc>
        <w:tc>
          <w:tcPr>
            <w:tcW w:w="487" w:type="pct"/>
            <w:shd w:val="clear" w:color="auto" w:fill="D2E4F4" w:themeFill="accent2" w:themeFillTint="33"/>
          </w:tcPr>
          <w:p w14:paraId="4467D961"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5F0B2C89"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7660BF61"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229AA56B"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lastRenderedPageBreak/>
              <w:t>SE03b</w:t>
            </w:r>
          </w:p>
        </w:tc>
        <w:tc>
          <w:tcPr>
            <w:tcW w:w="760" w:type="pct"/>
          </w:tcPr>
          <w:p w14:paraId="21C8B4C4"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Early childhood education and care service providers </w:t>
            </w:r>
          </w:p>
        </w:tc>
        <w:tc>
          <w:tcPr>
            <w:tcW w:w="485" w:type="pct"/>
          </w:tcPr>
          <w:p w14:paraId="2BCB9434"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SNAICC</w:t>
            </w:r>
          </w:p>
        </w:tc>
        <w:tc>
          <w:tcPr>
            <w:tcW w:w="826" w:type="pct"/>
          </w:tcPr>
          <w:p w14:paraId="3C014FEE"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Register of Aboriginal and Torres Strait Islander-focused integrated early years services</w:t>
            </w:r>
          </w:p>
        </w:tc>
        <w:tc>
          <w:tcPr>
            <w:tcW w:w="486" w:type="pct"/>
          </w:tcPr>
          <w:p w14:paraId="19642A6A"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32BBECE4"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tcPr>
          <w:p w14:paraId="6E7BAC22" w14:textId="37ACEF16"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2016</w:t>
            </w:r>
            <w:r w:rsidR="00722DFD">
              <w:rPr>
                <w:rFonts w:ascii="Arial" w:eastAsia="Aptos" w:hAnsi="Arial" w:cs="Arial"/>
                <w:sz w:val="18"/>
                <w:szCs w:val="18"/>
              </w:rPr>
              <w:t>-</w:t>
            </w:r>
            <w:r w:rsidRPr="003A6D02">
              <w:rPr>
                <w:rFonts w:ascii="Arial" w:eastAsia="Aptos" w:hAnsi="Arial" w:cs="Arial"/>
                <w:sz w:val="18"/>
                <w:szCs w:val="18"/>
              </w:rPr>
              <w:t>23</w:t>
            </w:r>
          </w:p>
        </w:tc>
        <w:tc>
          <w:tcPr>
            <w:tcW w:w="487" w:type="pct"/>
          </w:tcPr>
          <w:p w14:paraId="1987953B"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tcPr>
          <w:p w14:paraId="0174BC19"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579ED338"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789AE432"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SE04d</w:t>
            </w:r>
          </w:p>
        </w:tc>
        <w:tc>
          <w:tcPr>
            <w:tcW w:w="760" w:type="pct"/>
            <w:shd w:val="clear" w:color="auto" w:fill="D2E4F4" w:themeFill="accent2" w:themeFillTint="33"/>
          </w:tcPr>
          <w:p w14:paraId="6931568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AEDC Multiple Strengths Indicator</w:t>
            </w:r>
          </w:p>
        </w:tc>
        <w:tc>
          <w:tcPr>
            <w:tcW w:w="485" w:type="pct"/>
            <w:shd w:val="clear" w:color="auto" w:fill="D2E4F4" w:themeFill="accent2" w:themeFillTint="33"/>
          </w:tcPr>
          <w:p w14:paraId="24D2AAA8"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Department of Education</w:t>
            </w:r>
          </w:p>
        </w:tc>
        <w:tc>
          <w:tcPr>
            <w:tcW w:w="826" w:type="pct"/>
            <w:shd w:val="clear" w:color="auto" w:fill="D2E4F4" w:themeFill="accent2" w:themeFillTint="33"/>
          </w:tcPr>
          <w:p w14:paraId="40E9A86D"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AEDC</w:t>
            </w:r>
          </w:p>
        </w:tc>
        <w:tc>
          <w:tcPr>
            <w:tcW w:w="486" w:type="pct"/>
            <w:shd w:val="clear" w:color="auto" w:fill="D2E4F4" w:themeFill="accent2" w:themeFillTint="33"/>
          </w:tcPr>
          <w:p w14:paraId="5EEF3CAE"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3 yearly</w:t>
            </w:r>
          </w:p>
        </w:tc>
        <w:tc>
          <w:tcPr>
            <w:tcW w:w="485" w:type="pct"/>
            <w:shd w:val="clear" w:color="auto" w:fill="D2E4F4" w:themeFill="accent2" w:themeFillTint="33"/>
          </w:tcPr>
          <w:p w14:paraId="1AF7CC4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w:t>
            </w:r>
          </w:p>
        </w:tc>
        <w:tc>
          <w:tcPr>
            <w:tcW w:w="495" w:type="pct"/>
            <w:shd w:val="clear" w:color="auto" w:fill="D2E4F4" w:themeFill="accent2" w:themeFillTint="33"/>
          </w:tcPr>
          <w:p w14:paraId="2F65B829"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2018, 2021</w:t>
            </w:r>
          </w:p>
        </w:tc>
        <w:tc>
          <w:tcPr>
            <w:tcW w:w="487" w:type="pct"/>
            <w:shd w:val="clear" w:color="auto" w:fill="D2E4F4" w:themeFill="accent2" w:themeFillTint="33"/>
          </w:tcPr>
          <w:p w14:paraId="6C56BEFB"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56E984F7"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52B0EB46"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0319DCDF"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CtG05</w:t>
            </w:r>
          </w:p>
        </w:tc>
        <w:tc>
          <w:tcPr>
            <w:tcW w:w="760" w:type="pct"/>
          </w:tcPr>
          <w:p w14:paraId="123AFC1B"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CtG5 SEIFA and remoteness disaggregations</w:t>
            </w:r>
          </w:p>
        </w:tc>
        <w:tc>
          <w:tcPr>
            <w:tcW w:w="485" w:type="pct"/>
          </w:tcPr>
          <w:p w14:paraId="7BE647E9"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4C61BE03"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tcPr>
          <w:p w14:paraId="5CC36968"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tcPr>
          <w:p w14:paraId="4FAF9F56"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1F8076F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tcPr>
          <w:p w14:paraId="1E5FC715"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669" w:type="pct"/>
          </w:tcPr>
          <w:p w14:paraId="5B6527B3"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sz w:val="18"/>
                <w:szCs w:val="18"/>
              </w:rPr>
              <w:t>2026</w:t>
            </w:r>
          </w:p>
        </w:tc>
      </w:tr>
      <w:tr w:rsidR="00880030" w:rsidRPr="003A6D02" w14:paraId="2E4913C8" w14:textId="77777777" w:rsidTr="000908E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683EAFD3" w14:textId="77777777" w:rsidR="00880030" w:rsidRPr="003A6D02" w:rsidRDefault="00880030" w:rsidP="00D8023A">
            <w:pPr>
              <w:spacing w:before="60" w:line="240" w:lineRule="auto"/>
              <w:rPr>
                <w:rFonts w:ascii="Arial" w:eastAsia="Aptos" w:hAnsi="Arial" w:cs="Arial"/>
                <w:sz w:val="18"/>
                <w:szCs w:val="18"/>
              </w:rPr>
            </w:pPr>
            <w:r w:rsidRPr="003A6D02">
              <w:rPr>
                <w:rFonts w:ascii="Arial" w:eastAsia="Aptos" w:hAnsi="Arial" w:cs="Arial"/>
                <w:sz w:val="18"/>
                <w:szCs w:val="18"/>
              </w:rPr>
              <w:t>SE05c</w:t>
            </w:r>
          </w:p>
        </w:tc>
        <w:tc>
          <w:tcPr>
            <w:tcW w:w="760" w:type="pct"/>
            <w:shd w:val="clear" w:color="auto" w:fill="D2E4F4" w:themeFill="accent2" w:themeFillTint="33"/>
          </w:tcPr>
          <w:p w14:paraId="47EC11DC"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NAPLAN achievement</w:t>
            </w:r>
          </w:p>
        </w:tc>
        <w:tc>
          <w:tcPr>
            <w:tcW w:w="485" w:type="pct"/>
            <w:shd w:val="clear" w:color="auto" w:fill="D2E4F4" w:themeFill="accent2" w:themeFillTint="33"/>
          </w:tcPr>
          <w:p w14:paraId="46760774"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ACARA</w:t>
            </w:r>
          </w:p>
        </w:tc>
        <w:tc>
          <w:tcPr>
            <w:tcW w:w="826" w:type="pct"/>
            <w:shd w:val="clear" w:color="auto" w:fill="D2E4F4" w:themeFill="accent2" w:themeFillTint="33"/>
          </w:tcPr>
          <w:p w14:paraId="3908C183"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Assessment Program – Literacy and numeracy</w:t>
            </w:r>
          </w:p>
        </w:tc>
        <w:tc>
          <w:tcPr>
            <w:tcW w:w="486" w:type="pct"/>
            <w:shd w:val="clear" w:color="auto" w:fill="D2E4F4" w:themeFill="accent2" w:themeFillTint="33"/>
          </w:tcPr>
          <w:p w14:paraId="1FF4864C"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02D0E4E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22EB57B4"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r w:rsidRPr="003A6D02">
              <w:rPr>
                <w:rFonts w:ascii="Arial" w:eastAsia="Aptos" w:hAnsi="Arial" w:cs="Arial"/>
                <w:sz w:val="18"/>
                <w:szCs w:val="18"/>
              </w:rPr>
              <w:t>2023</w:t>
            </w:r>
          </w:p>
        </w:tc>
        <w:tc>
          <w:tcPr>
            <w:tcW w:w="487" w:type="pct"/>
            <w:shd w:val="clear" w:color="auto" w:fill="D2E4F4" w:themeFill="accent2" w:themeFillTint="33"/>
          </w:tcPr>
          <w:p w14:paraId="399054AF"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710D8235"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7DD81B5B" w14:textId="77777777" w:rsidTr="000908EF">
        <w:trPr>
          <w:trHeight w:val="284"/>
        </w:trPr>
        <w:tc>
          <w:tcPr>
            <w:cnfStyle w:val="001000000000" w:firstRow="0" w:lastRow="0" w:firstColumn="1" w:lastColumn="0" w:oddVBand="0" w:evenVBand="0" w:oddHBand="0" w:evenHBand="0" w:firstRowFirstColumn="0" w:firstRowLastColumn="0" w:lastRowFirstColumn="0" w:lastRowLastColumn="0"/>
            <w:tcW w:w="306" w:type="pct"/>
          </w:tcPr>
          <w:p w14:paraId="4488A21E"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CtG06</w:t>
            </w:r>
          </w:p>
        </w:tc>
        <w:tc>
          <w:tcPr>
            <w:tcW w:w="760" w:type="pct"/>
          </w:tcPr>
          <w:p w14:paraId="48C03728"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CtG6 SEIFA and remoteness disaggregations</w:t>
            </w:r>
          </w:p>
        </w:tc>
        <w:tc>
          <w:tcPr>
            <w:tcW w:w="485" w:type="pct"/>
          </w:tcPr>
          <w:p w14:paraId="1110E6B4"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506F53D1"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tcPr>
          <w:p w14:paraId="59EF5D41"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tcPr>
          <w:p w14:paraId="4ED968C5"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05952576"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tcPr>
          <w:p w14:paraId="45CAD5D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669" w:type="pct"/>
          </w:tcPr>
          <w:p w14:paraId="11798460"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sz w:val="18"/>
                <w:szCs w:val="18"/>
              </w:rPr>
              <w:t>2026</w:t>
            </w:r>
          </w:p>
        </w:tc>
      </w:tr>
      <w:tr w:rsidR="00880030" w:rsidRPr="003A6D02" w14:paraId="6586AC32"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669E7302"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SE06a</w:t>
            </w:r>
          </w:p>
        </w:tc>
        <w:tc>
          <w:tcPr>
            <w:tcW w:w="760" w:type="pct"/>
            <w:shd w:val="clear" w:color="auto" w:fill="D2E4F4" w:themeFill="accent2" w:themeFillTint="33"/>
          </w:tcPr>
          <w:p w14:paraId="67AF04CB"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Higher education commencement, attrition, and completion rates</w:t>
            </w:r>
          </w:p>
        </w:tc>
        <w:tc>
          <w:tcPr>
            <w:tcW w:w="485" w:type="pct"/>
            <w:shd w:val="clear" w:color="auto" w:fill="D2E4F4" w:themeFill="accent2" w:themeFillTint="33"/>
          </w:tcPr>
          <w:p w14:paraId="4057BD42"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Department of Education</w:t>
            </w:r>
          </w:p>
        </w:tc>
        <w:tc>
          <w:tcPr>
            <w:tcW w:w="826" w:type="pct"/>
            <w:shd w:val="clear" w:color="auto" w:fill="D2E4F4" w:themeFill="accent2" w:themeFillTint="33"/>
          </w:tcPr>
          <w:p w14:paraId="01045AD5"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Higher Education Statistics Collection</w:t>
            </w:r>
          </w:p>
        </w:tc>
        <w:tc>
          <w:tcPr>
            <w:tcW w:w="486" w:type="pct"/>
            <w:shd w:val="clear" w:color="auto" w:fill="D2E4F4" w:themeFill="accent2" w:themeFillTint="33"/>
          </w:tcPr>
          <w:p w14:paraId="1F1D464B"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411E6578"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2022</w:t>
            </w:r>
            <w:r w:rsidRPr="003A6D02">
              <w:rPr>
                <w:rFonts w:ascii="Arial" w:eastAsia="Aptos" w:hAnsi="Arial" w:cs="Arial"/>
                <w:sz w:val="18"/>
                <w:szCs w:val="18"/>
              </w:rPr>
              <w:br/>
              <w:t>M2: 2021</w:t>
            </w:r>
            <w:r w:rsidRPr="003A6D02">
              <w:rPr>
                <w:rFonts w:ascii="Arial" w:eastAsia="Aptos" w:hAnsi="Arial" w:cs="Arial"/>
                <w:sz w:val="18"/>
                <w:szCs w:val="18"/>
              </w:rPr>
              <w:br/>
              <w:t>M3: 2022</w:t>
            </w:r>
          </w:p>
        </w:tc>
        <w:tc>
          <w:tcPr>
            <w:tcW w:w="495" w:type="pct"/>
            <w:shd w:val="clear" w:color="auto" w:fill="D2E4F4" w:themeFill="accent2" w:themeFillTint="33"/>
          </w:tcPr>
          <w:p w14:paraId="462770BE" w14:textId="24B02572"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2008</w:t>
            </w:r>
            <w:r w:rsidR="00793DE3">
              <w:rPr>
                <w:rFonts w:ascii="Arial" w:eastAsia="Aptos" w:hAnsi="Arial" w:cs="Arial"/>
                <w:sz w:val="18"/>
                <w:szCs w:val="18"/>
              </w:rPr>
              <w:t>-2</w:t>
            </w:r>
            <w:r w:rsidRPr="003A6D02">
              <w:rPr>
                <w:rFonts w:ascii="Arial" w:eastAsia="Aptos" w:hAnsi="Arial" w:cs="Arial"/>
                <w:sz w:val="18"/>
                <w:szCs w:val="18"/>
              </w:rPr>
              <w:t>2</w:t>
            </w:r>
            <w:r w:rsidRPr="003A6D02">
              <w:rPr>
                <w:rFonts w:ascii="Arial" w:eastAsia="Aptos" w:hAnsi="Arial" w:cs="Arial"/>
                <w:sz w:val="18"/>
                <w:szCs w:val="18"/>
              </w:rPr>
              <w:br/>
              <w:t>M2: 2016</w:t>
            </w:r>
            <w:r w:rsidR="00793DE3">
              <w:rPr>
                <w:rFonts w:ascii="Arial" w:eastAsia="Aptos" w:hAnsi="Arial" w:cs="Arial"/>
                <w:sz w:val="18"/>
                <w:szCs w:val="18"/>
              </w:rPr>
              <w:t>-</w:t>
            </w:r>
            <w:r w:rsidRPr="003A6D02">
              <w:rPr>
                <w:rFonts w:ascii="Arial" w:eastAsia="Aptos" w:hAnsi="Arial" w:cs="Arial"/>
                <w:sz w:val="18"/>
                <w:szCs w:val="18"/>
              </w:rPr>
              <w:t>21</w:t>
            </w:r>
            <w:r w:rsidRPr="003A6D02">
              <w:rPr>
                <w:rFonts w:ascii="Arial" w:eastAsia="Aptos" w:hAnsi="Arial" w:cs="Arial"/>
                <w:sz w:val="18"/>
                <w:szCs w:val="18"/>
              </w:rPr>
              <w:br/>
              <w:t>M3: 2016</w:t>
            </w:r>
            <w:r w:rsidR="00793DE3">
              <w:rPr>
                <w:rFonts w:ascii="Arial" w:eastAsia="Aptos" w:hAnsi="Arial" w:cs="Arial"/>
                <w:sz w:val="18"/>
                <w:szCs w:val="18"/>
              </w:rPr>
              <w:t>-</w:t>
            </w:r>
            <w:r w:rsidRPr="003A6D02">
              <w:rPr>
                <w:rFonts w:ascii="Arial" w:eastAsia="Aptos" w:hAnsi="Arial" w:cs="Arial"/>
                <w:sz w:val="18"/>
                <w:szCs w:val="18"/>
              </w:rPr>
              <w:t>22</w:t>
            </w:r>
          </w:p>
        </w:tc>
        <w:tc>
          <w:tcPr>
            <w:tcW w:w="487" w:type="pct"/>
            <w:shd w:val="clear" w:color="auto" w:fill="D2E4F4" w:themeFill="accent2" w:themeFillTint="33"/>
          </w:tcPr>
          <w:p w14:paraId="721CF765"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shd w:val="clear" w:color="auto" w:fill="D2E4F4" w:themeFill="accent2" w:themeFillTint="33"/>
          </w:tcPr>
          <w:p w14:paraId="5C4BDDBE"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2023</w:t>
            </w:r>
            <w:r w:rsidRPr="003A6D02">
              <w:rPr>
                <w:rFonts w:ascii="Arial" w:eastAsia="Aptos" w:hAnsi="Arial" w:cs="Arial"/>
                <w:sz w:val="18"/>
                <w:szCs w:val="18"/>
              </w:rPr>
              <w:br/>
              <w:t>M2: 2022</w:t>
            </w:r>
            <w:r w:rsidRPr="003A6D02">
              <w:rPr>
                <w:rFonts w:ascii="Arial" w:eastAsia="Aptos" w:hAnsi="Arial" w:cs="Arial"/>
                <w:sz w:val="18"/>
                <w:szCs w:val="18"/>
              </w:rPr>
              <w:br/>
              <w:t>M3: 2023</w:t>
            </w:r>
          </w:p>
        </w:tc>
      </w:tr>
      <w:tr w:rsidR="00880030" w:rsidRPr="003A6D02" w14:paraId="0223F21B"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7A88E2C3"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SE06c</w:t>
            </w:r>
          </w:p>
        </w:tc>
        <w:tc>
          <w:tcPr>
            <w:tcW w:w="760" w:type="pct"/>
          </w:tcPr>
          <w:p w14:paraId="7070428E"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VET commencements, attrition and completion rates</w:t>
            </w:r>
          </w:p>
        </w:tc>
        <w:tc>
          <w:tcPr>
            <w:tcW w:w="485" w:type="pct"/>
          </w:tcPr>
          <w:p w14:paraId="1DB63B3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NCVER</w:t>
            </w:r>
          </w:p>
        </w:tc>
        <w:tc>
          <w:tcPr>
            <w:tcW w:w="826" w:type="pct"/>
          </w:tcPr>
          <w:p w14:paraId="7309BF8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Total VET students and courses</w:t>
            </w:r>
          </w:p>
        </w:tc>
        <w:tc>
          <w:tcPr>
            <w:tcW w:w="486" w:type="pct"/>
          </w:tcPr>
          <w:p w14:paraId="5804CFF7"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4BAB2CBE"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2022</w:t>
            </w:r>
            <w:r w:rsidRPr="003A6D02">
              <w:rPr>
                <w:rFonts w:ascii="Arial" w:eastAsia="Aptos" w:hAnsi="Arial" w:cs="Arial"/>
                <w:sz w:val="18"/>
                <w:szCs w:val="18"/>
              </w:rPr>
              <w:br/>
              <w:t>M2: 2020</w:t>
            </w:r>
          </w:p>
        </w:tc>
        <w:tc>
          <w:tcPr>
            <w:tcW w:w="495" w:type="pct"/>
          </w:tcPr>
          <w:p w14:paraId="00E05217" w14:textId="73C88540"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2016</w:t>
            </w:r>
            <w:r w:rsidR="00793DE3">
              <w:rPr>
                <w:rFonts w:ascii="Arial" w:eastAsia="Aptos" w:hAnsi="Arial" w:cs="Arial"/>
                <w:sz w:val="18"/>
                <w:szCs w:val="18"/>
              </w:rPr>
              <w:t>-</w:t>
            </w:r>
            <w:r w:rsidRPr="003A6D02">
              <w:rPr>
                <w:rFonts w:ascii="Arial" w:eastAsia="Aptos" w:hAnsi="Arial" w:cs="Arial"/>
                <w:sz w:val="18"/>
                <w:szCs w:val="18"/>
              </w:rPr>
              <w:t>22</w:t>
            </w:r>
            <w:r w:rsidRPr="003A6D02">
              <w:rPr>
                <w:rFonts w:ascii="Arial" w:eastAsia="Aptos" w:hAnsi="Arial" w:cs="Arial"/>
                <w:sz w:val="18"/>
                <w:szCs w:val="18"/>
              </w:rPr>
              <w:br/>
              <w:t>M2: 2016</w:t>
            </w:r>
            <w:r w:rsidR="00793DE3">
              <w:rPr>
                <w:rFonts w:ascii="Arial" w:eastAsia="Aptos" w:hAnsi="Arial" w:cs="Arial"/>
                <w:sz w:val="18"/>
                <w:szCs w:val="18"/>
              </w:rPr>
              <w:t>-</w:t>
            </w:r>
            <w:r w:rsidRPr="003A6D02">
              <w:rPr>
                <w:rFonts w:ascii="Arial" w:eastAsia="Aptos" w:hAnsi="Arial" w:cs="Arial"/>
                <w:sz w:val="18"/>
                <w:szCs w:val="18"/>
              </w:rPr>
              <w:t>20</w:t>
            </w:r>
          </w:p>
        </w:tc>
        <w:tc>
          <w:tcPr>
            <w:tcW w:w="487" w:type="pct"/>
          </w:tcPr>
          <w:p w14:paraId="38B9E066"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tcPr>
          <w:p w14:paraId="4DE26AB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2023</w:t>
            </w:r>
            <w:r w:rsidRPr="003A6D02">
              <w:rPr>
                <w:rFonts w:ascii="Arial" w:eastAsia="Aptos" w:hAnsi="Arial" w:cs="Arial"/>
                <w:sz w:val="18"/>
                <w:szCs w:val="18"/>
              </w:rPr>
              <w:br/>
              <w:t>M2: 2021</w:t>
            </w:r>
          </w:p>
        </w:tc>
      </w:tr>
      <w:tr w:rsidR="00880030" w:rsidRPr="003A6D02" w14:paraId="6FE8A54D" w14:textId="77777777" w:rsidTr="0062092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638A2113" w14:textId="77777777" w:rsidR="00880030" w:rsidRDefault="00880030" w:rsidP="000702EC">
            <w:pPr>
              <w:spacing w:before="60" w:after="480" w:line="240" w:lineRule="auto"/>
              <w:rPr>
                <w:rFonts w:ascii="Arial" w:eastAsia="Aptos" w:hAnsi="Arial" w:cs="Arial"/>
                <w:b w:val="0"/>
                <w:bCs w:val="0"/>
                <w:sz w:val="18"/>
                <w:szCs w:val="18"/>
              </w:rPr>
            </w:pPr>
            <w:r w:rsidRPr="003A6D02">
              <w:rPr>
                <w:rFonts w:ascii="Arial" w:eastAsia="Aptos" w:hAnsi="Arial" w:cs="Arial"/>
                <w:sz w:val="18"/>
                <w:szCs w:val="18"/>
              </w:rPr>
              <w:t>CtG07</w:t>
            </w:r>
          </w:p>
          <w:p w14:paraId="380B9534" w14:textId="77777777" w:rsidR="00880030" w:rsidRPr="003A6D02" w:rsidRDefault="00880030" w:rsidP="000702EC">
            <w:pPr>
              <w:spacing w:before="60" w:after="480" w:line="240" w:lineRule="auto"/>
              <w:rPr>
                <w:rFonts w:ascii="Arial" w:eastAsia="Times New Roman" w:hAnsi="Arial" w:cs="Arial"/>
                <w:sz w:val="18"/>
                <w:szCs w:val="18"/>
                <w:lang w:eastAsia="en-AU"/>
              </w:rPr>
            </w:pPr>
          </w:p>
        </w:tc>
        <w:tc>
          <w:tcPr>
            <w:tcW w:w="760" w:type="pct"/>
            <w:shd w:val="clear" w:color="auto" w:fill="D2E4F4" w:themeFill="accent2" w:themeFillTint="33"/>
          </w:tcPr>
          <w:p w14:paraId="2F67C9DB" w14:textId="77777777" w:rsidR="00880030" w:rsidRPr="003A6D02" w:rsidRDefault="00880030" w:rsidP="000702EC">
            <w:pPr>
              <w:spacing w:before="60" w:after="48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CtG7 SEIFA and remoteness disaggregations</w:t>
            </w:r>
          </w:p>
        </w:tc>
        <w:tc>
          <w:tcPr>
            <w:tcW w:w="485" w:type="pct"/>
            <w:shd w:val="clear" w:color="auto" w:fill="D2E4F4" w:themeFill="accent2" w:themeFillTint="33"/>
          </w:tcPr>
          <w:p w14:paraId="3BB7987F" w14:textId="77777777" w:rsidR="00880030" w:rsidRPr="003A6D02" w:rsidRDefault="00880030" w:rsidP="000702EC">
            <w:pPr>
              <w:spacing w:before="60" w:after="48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0D6213FC" w14:textId="77777777" w:rsidR="00880030" w:rsidRPr="003A6D02" w:rsidRDefault="00880030" w:rsidP="000702EC">
            <w:pPr>
              <w:spacing w:before="60" w:after="48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shd w:val="clear" w:color="auto" w:fill="D2E4F4" w:themeFill="accent2" w:themeFillTint="33"/>
          </w:tcPr>
          <w:p w14:paraId="06A567D8" w14:textId="77777777" w:rsidR="00880030" w:rsidRPr="003A6D02" w:rsidRDefault="00880030" w:rsidP="000702EC">
            <w:pPr>
              <w:spacing w:before="60" w:after="48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shd w:val="clear" w:color="auto" w:fill="D2E4F4" w:themeFill="accent2" w:themeFillTint="33"/>
          </w:tcPr>
          <w:p w14:paraId="128D6CEA" w14:textId="77777777" w:rsidR="00880030" w:rsidRPr="003A6D02" w:rsidRDefault="00880030" w:rsidP="000702EC">
            <w:pPr>
              <w:spacing w:before="60" w:after="48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shd w:val="clear" w:color="auto" w:fill="D2E4F4" w:themeFill="accent2" w:themeFillTint="33"/>
          </w:tcPr>
          <w:p w14:paraId="5697FD43" w14:textId="77777777" w:rsidR="00880030" w:rsidRPr="003A6D02" w:rsidRDefault="00880030" w:rsidP="000702EC">
            <w:pPr>
              <w:spacing w:before="60" w:after="48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shd w:val="clear" w:color="auto" w:fill="D2E4F4" w:themeFill="accent2" w:themeFillTint="33"/>
          </w:tcPr>
          <w:p w14:paraId="1FDBCC48" w14:textId="77777777" w:rsidR="00880030" w:rsidRPr="003A6D02" w:rsidRDefault="00880030" w:rsidP="000702EC">
            <w:pPr>
              <w:spacing w:before="60" w:after="48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4E38B0EF" w14:textId="77777777" w:rsidR="00880030" w:rsidRPr="003A6D02" w:rsidRDefault="00880030" w:rsidP="000702EC">
            <w:pPr>
              <w:spacing w:before="60" w:after="48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tc>
      </w:tr>
      <w:tr w:rsidR="00880030" w:rsidRPr="003A6D02" w14:paraId="274582FA"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4B1A6B11" w14:textId="5CD38FD8"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lastRenderedPageBreak/>
              <w:t>SE07a</w:t>
            </w:r>
          </w:p>
        </w:tc>
        <w:tc>
          <w:tcPr>
            <w:tcW w:w="760" w:type="pct"/>
          </w:tcPr>
          <w:p w14:paraId="4F8A3AD3"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Proportion of youth Not Engaged in Employment, Education or Training (NEET)</w:t>
            </w:r>
          </w:p>
        </w:tc>
        <w:tc>
          <w:tcPr>
            <w:tcW w:w="485" w:type="pct"/>
          </w:tcPr>
          <w:p w14:paraId="04FF8DB8"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5AEC6FE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tcPr>
          <w:p w14:paraId="3B8D191A"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tcPr>
          <w:p w14:paraId="2F08D8C8"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2021</w:t>
            </w:r>
            <w:r w:rsidRPr="003A6D02">
              <w:rPr>
                <w:rFonts w:ascii="Arial" w:eastAsia="Aptos" w:hAnsi="Arial" w:cs="Arial"/>
                <w:sz w:val="18"/>
                <w:szCs w:val="18"/>
              </w:rPr>
              <w:br/>
              <w:t>M2: 2021</w:t>
            </w:r>
            <w:r w:rsidRPr="003A6D02">
              <w:rPr>
                <w:rFonts w:ascii="Arial" w:eastAsia="Aptos" w:hAnsi="Arial" w:cs="Arial"/>
                <w:sz w:val="18"/>
                <w:szCs w:val="18"/>
              </w:rPr>
              <w:br/>
              <w:t>M3: 2021</w:t>
            </w:r>
            <w:r w:rsidRPr="003A6D02">
              <w:rPr>
                <w:rFonts w:ascii="Arial" w:eastAsia="Aptos" w:hAnsi="Arial" w:cs="Arial"/>
                <w:sz w:val="18"/>
                <w:szCs w:val="18"/>
              </w:rPr>
              <w:br/>
              <w:t>M4: 2021</w:t>
            </w:r>
          </w:p>
        </w:tc>
        <w:tc>
          <w:tcPr>
            <w:tcW w:w="495" w:type="pct"/>
          </w:tcPr>
          <w:p w14:paraId="01713E70"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2016, 2021</w:t>
            </w:r>
            <w:r w:rsidRPr="003A6D02">
              <w:rPr>
                <w:rFonts w:ascii="Arial" w:eastAsia="Aptos" w:hAnsi="Arial" w:cs="Arial"/>
                <w:sz w:val="18"/>
                <w:szCs w:val="18"/>
              </w:rPr>
              <w:br/>
              <w:t>M2: 2021</w:t>
            </w:r>
            <w:r w:rsidRPr="003A6D02">
              <w:rPr>
                <w:rFonts w:ascii="Arial" w:eastAsia="Aptos" w:hAnsi="Arial" w:cs="Arial"/>
                <w:sz w:val="18"/>
                <w:szCs w:val="18"/>
              </w:rPr>
              <w:br/>
              <w:t>M3: 2016, 2021</w:t>
            </w:r>
            <w:r w:rsidRPr="003A6D02">
              <w:rPr>
                <w:rFonts w:ascii="Arial" w:eastAsia="Aptos" w:hAnsi="Arial" w:cs="Arial"/>
                <w:sz w:val="18"/>
                <w:szCs w:val="18"/>
              </w:rPr>
              <w:br/>
              <w:t>M4: 2016, 2021</w:t>
            </w:r>
          </w:p>
        </w:tc>
        <w:tc>
          <w:tcPr>
            <w:tcW w:w="487" w:type="pct"/>
          </w:tcPr>
          <w:p w14:paraId="7074F0A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Mar-23</w:t>
            </w:r>
          </w:p>
        </w:tc>
        <w:tc>
          <w:tcPr>
            <w:tcW w:w="669" w:type="pct"/>
          </w:tcPr>
          <w:p w14:paraId="51403531"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tc>
      </w:tr>
      <w:tr w:rsidR="00880030" w:rsidRPr="003A6D02" w14:paraId="049D988B"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30BE730F"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CtG08</w:t>
            </w:r>
          </w:p>
        </w:tc>
        <w:tc>
          <w:tcPr>
            <w:tcW w:w="760" w:type="pct"/>
            <w:shd w:val="clear" w:color="auto" w:fill="D2E4F4" w:themeFill="accent2" w:themeFillTint="33"/>
          </w:tcPr>
          <w:p w14:paraId="1550CFC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CtG8 SEIFA and remoteness disaggregations</w:t>
            </w:r>
          </w:p>
        </w:tc>
        <w:tc>
          <w:tcPr>
            <w:tcW w:w="485" w:type="pct"/>
            <w:shd w:val="clear" w:color="auto" w:fill="D2E4F4" w:themeFill="accent2" w:themeFillTint="33"/>
          </w:tcPr>
          <w:p w14:paraId="5840E501"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4C9E4907"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shd w:val="clear" w:color="auto" w:fill="D2E4F4" w:themeFill="accent2" w:themeFillTint="33"/>
          </w:tcPr>
          <w:p w14:paraId="6F64806F"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shd w:val="clear" w:color="auto" w:fill="D2E4F4" w:themeFill="accent2" w:themeFillTint="33"/>
          </w:tcPr>
          <w:p w14:paraId="7DA01BEE"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shd w:val="clear" w:color="auto" w:fill="D2E4F4" w:themeFill="accent2" w:themeFillTint="33"/>
          </w:tcPr>
          <w:p w14:paraId="025C722D"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shd w:val="clear" w:color="auto" w:fill="D2E4F4" w:themeFill="accent2" w:themeFillTint="33"/>
          </w:tcPr>
          <w:p w14:paraId="2F94CD70"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7A9A1827"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tc>
      </w:tr>
      <w:tr w:rsidR="00880030" w:rsidRPr="003A6D02" w14:paraId="2A2B34E1"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2CF1B017"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SE08d</w:t>
            </w:r>
          </w:p>
        </w:tc>
        <w:tc>
          <w:tcPr>
            <w:tcW w:w="760" w:type="pct"/>
          </w:tcPr>
          <w:p w14:paraId="4EFD208C"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Proportion of people aged 25-64 years who are employed, by occupation.</w:t>
            </w:r>
          </w:p>
        </w:tc>
        <w:tc>
          <w:tcPr>
            <w:tcW w:w="485" w:type="pct"/>
          </w:tcPr>
          <w:p w14:paraId="5FD66B8E"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3FE9187A"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tc>
        <w:tc>
          <w:tcPr>
            <w:tcW w:w="486" w:type="pct"/>
          </w:tcPr>
          <w:p w14:paraId="6C5CDDC1"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5 yearly</w:t>
            </w:r>
          </w:p>
        </w:tc>
        <w:tc>
          <w:tcPr>
            <w:tcW w:w="485" w:type="pct"/>
          </w:tcPr>
          <w:p w14:paraId="41B4225C"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w:t>
            </w:r>
          </w:p>
        </w:tc>
        <w:tc>
          <w:tcPr>
            <w:tcW w:w="495" w:type="pct"/>
          </w:tcPr>
          <w:p w14:paraId="3696F6F8"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2016, 2021</w:t>
            </w:r>
          </w:p>
        </w:tc>
        <w:tc>
          <w:tcPr>
            <w:tcW w:w="487" w:type="pct"/>
          </w:tcPr>
          <w:p w14:paraId="588D4FE0"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Mar-23</w:t>
            </w:r>
          </w:p>
        </w:tc>
        <w:tc>
          <w:tcPr>
            <w:tcW w:w="669" w:type="pct"/>
          </w:tcPr>
          <w:p w14:paraId="403E1EAA"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tc>
      </w:tr>
      <w:tr w:rsidR="00880030" w:rsidRPr="003A6D02" w14:paraId="0A88880B"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56985C66"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CtG09</w:t>
            </w:r>
          </w:p>
        </w:tc>
        <w:tc>
          <w:tcPr>
            <w:tcW w:w="760" w:type="pct"/>
            <w:shd w:val="clear" w:color="auto" w:fill="D2E4F4" w:themeFill="accent2" w:themeFillTint="33"/>
          </w:tcPr>
          <w:p w14:paraId="2E1DABE4"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CtG9 SEIFA and remoteness disaggregations</w:t>
            </w:r>
          </w:p>
        </w:tc>
        <w:tc>
          <w:tcPr>
            <w:tcW w:w="485" w:type="pct"/>
            <w:shd w:val="clear" w:color="auto" w:fill="D2E4F4" w:themeFill="accent2" w:themeFillTint="33"/>
          </w:tcPr>
          <w:p w14:paraId="435826D0"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shd w:val="clear" w:color="auto" w:fill="D2E4F4" w:themeFill="accent2" w:themeFillTint="33"/>
          </w:tcPr>
          <w:p w14:paraId="27D5E35D"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Census</w:t>
            </w:r>
          </w:p>
        </w:tc>
        <w:tc>
          <w:tcPr>
            <w:tcW w:w="486" w:type="pct"/>
            <w:shd w:val="clear" w:color="auto" w:fill="D2E4F4" w:themeFill="accent2" w:themeFillTint="33"/>
          </w:tcPr>
          <w:p w14:paraId="53802C8B" w14:textId="77777777" w:rsidR="00880030" w:rsidRPr="003A6D02" w:rsidRDefault="00880030" w:rsidP="00D8023A">
            <w:pPr>
              <w:spacing w:before="6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5 yearly</w:t>
            </w:r>
          </w:p>
        </w:tc>
        <w:tc>
          <w:tcPr>
            <w:tcW w:w="485" w:type="pct"/>
            <w:shd w:val="clear" w:color="auto" w:fill="D2E4F4" w:themeFill="accent2" w:themeFillTint="33"/>
          </w:tcPr>
          <w:p w14:paraId="7739AE74"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bCs/>
                <w:sz w:val="18"/>
                <w:szCs w:val="18"/>
              </w:rPr>
              <w:t>..</w:t>
            </w:r>
          </w:p>
        </w:tc>
        <w:tc>
          <w:tcPr>
            <w:tcW w:w="495" w:type="pct"/>
            <w:shd w:val="clear" w:color="auto" w:fill="D2E4F4" w:themeFill="accent2" w:themeFillTint="33"/>
          </w:tcPr>
          <w:p w14:paraId="7AE68FCC"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b/>
                <w:bCs/>
                <w:sz w:val="18"/>
                <w:szCs w:val="18"/>
              </w:rPr>
              <w:t>..</w:t>
            </w:r>
          </w:p>
        </w:tc>
        <w:tc>
          <w:tcPr>
            <w:tcW w:w="487" w:type="pct"/>
            <w:shd w:val="clear" w:color="auto" w:fill="D2E4F4" w:themeFill="accent2" w:themeFillTint="33"/>
          </w:tcPr>
          <w:p w14:paraId="7A278875"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59AADA60" w14:textId="77777777" w:rsidR="00880030" w:rsidRPr="003A6D02" w:rsidRDefault="00880030" w:rsidP="00D8023A">
            <w:pPr>
              <w:spacing w:before="6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tc>
      </w:tr>
      <w:tr w:rsidR="00880030" w:rsidRPr="003A6D02" w14:paraId="7F23ECF8"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32D7C871" w14:textId="77777777" w:rsidR="00880030" w:rsidRPr="003A6D02" w:rsidRDefault="00880030" w:rsidP="00D8023A">
            <w:pPr>
              <w:spacing w:before="60" w:line="240" w:lineRule="auto"/>
              <w:rPr>
                <w:rFonts w:ascii="Arial" w:eastAsia="Times New Roman" w:hAnsi="Arial" w:cs="Arial"/>
                <w:sz w:val="18"/>
                <w:szCs w:val="18"/>
                <w:lang w:eastAsia="en-AU"/>
              </w:rPr>
            </w:pPr>
            <w:r w:rsidRPr="003A6D02">
              <w:rPr>
                <w:rFonts w:ascii="Arial" w:eastAsia="Aptos" w:hAnsi="Arial" w:cs="Arial"/>
                <w:sz w:val="18"/>
                <w:szCs w:val="18"/>
              </w:rPr>
              <w:t>SE9e</w:t>
            </w:r>
          </w:p>
        </w:tc>
        <w:tc>
          <w:tcPr>
            <w:tcW w:w="760" w:type="pct"/>
          </w:tcPr>
          <w:p w14:paraId="1B31649B"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Structural problems including functional health hardware</w:t>
            </w:r>
          </w:p>
        </w:tc>
        <w:tc>
          <w:tcPr>
            <w:tcW w:w="485" w:type="pct"/>
          </w:tcPr>
          <w:p w14:paraId="50ED41B5"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tcPr>
          <w:p w14:paraId="38FEADD2"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NATSIHS</w:t>
            </w:r>
          </w:p>
        </w:tc>
        <w:tc>
          <w:tcPr>
            <w:tcW w:w="486" w:type="pct"/>
          </w:tcPr>
          <w:p w14:paraId="1D5F2ECD" w14:textId="77777777" w:rsidR="00880030" w:rsidRPr="003A6D02" w:rsidRDefault="00880030" w:rsidP="00D8023A">
            <w:pPr>
              <w:spacing w:before="6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 xml:space="preserve">Periodic and 3-6 yearly </w:t>
            </w:r>
          </w:p>
        </w:tc>
        <w:tc>
          <w:tcPr>
            <w:tcW w:w="485" w:type="pct"/>
          </w:tcPr>
          <w:p w14:paraId="67933C52"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tc>
        <w:tc>
          <w:tcPr>
            <w:tcW w:w="495" w:type="pct"/>
          </w:tcPr>
          <w:p w14:paraId="167E0B6E"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2018-19</w:t>
            </w:r>
          </w:p>
        </w:tc>
        <w:tc>
          <w:tcPr>
            <w:tcW w:w="487" w:type="pct"/>
          </w:tcPr>
          <w:p w14:paraId="7C89352D"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tc>
        <w:tc>
          <w:tcPr>
            <w:tcW w:w="669" w:type="pct"/>
          </w:tcPr>
          <w:p w14:paraId="36CA04B9" w14:textId="77777777" w:rsidR="00880030" w:rsidRPr="003A6D02" w:rsidRDefault="00880030" w:rsidP="00D8023A">
            <w:pPr>
              <w:spacing w:before="6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r>
      <w:tr w:rsidR="00880030" w:rsidRPr="003A6D02" w14:paraId="61ABCD10"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2046D60A"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SE9g</w:t>
            </w:r>
          </w:p>
        </w:tc>
        <w:tc>
          <w:tcPr>
            <w:tcW w:w="760" w:type="pct"/>
            <w:shd w:val="clear" w:color="auto" w:fill="D2E4F4" w:themeFill="accent2" w:themeFillTint="33"/>
          </w:tcPr>
          <w:p w14:paraId="588DFF7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Social Housing </w:t>
            </w:r>
          </w:p>
        </w:tc>
        <w:tc>
          <w:tcPr>
            <w:tcW w:w="485" w:type="pct"/>
            <w:shd w:val="clear" w:color="auto" w:fill="D2E4F4" w:themeFill="accent2" w:themeFillTint="33"/>
          </w:tcPr>
          <w:p w14:paraId="5A8F780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p w14:paraId="4CFBF2DD"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br/>
              <w:t>AIHW</w:t>
            </w:r>
          </w:p>
        </w:tc>
        <w:tc>
          <w:tcPr>
            <w:tcW w:w="826" w:type="pct"/>
            <w:shd w:val="clear" w:color="auto" w:fill="D2E4F4" w:themeFill="accent2" w:themeFillTint="33"/>
          </w:tcPr>
          <w:p w14:paraId="78A0F81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Census</w:t>
            </w:r>
          </w:p>
          <w:p w14:paraId="5259F167"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5F8EEA09"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Housing Assistance Data Repository</w:t>
            </w:r>
          </w:p>
        </w:tc>
        <w:tc>
          <w:tcPr>
            <w:tcW w:w="486" w:type="pct"/>
            <w:shd w:val="clear" w:color="auto" w:fill="D2E4F4" w:themeFill="accent2" w:themeFillTint="33"/>
          </w:tcPr>
          <w:p w14:paraId="08B5518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5-yearly </w:t>
            </w:r>
          </w:p>
          <w:p w14:paraId="2F04B3D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6273B06B"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0B43E200"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w:t>
            </w:r>
          </w:p>
          <w:p w14:paraId="4641C768"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p>
          <w:p w14:paraId="648BBD77"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5FF07284"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2016, 2021</w:t>
            </w:r>
          </w:p>
          <w:p w14:paraId="26662E90"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p>
          <w:p w14:paraId="39150069" w14:textId="21FF1B7F"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Cs/>
                <w:sz w:val="18"/>
                <w:szCs w:val="18"/>
              </w:rPr>
              <w:t>2016</w:t>
            </w:r>
            <w:r w:rsidR="00AF521C">
              <w:rPr>
                <w:rFonts w:ascii="Arial" w:eastAsia="Aptos" w:hAnsi="Arial" w:cs="Arial"/>
                <w:bCs/>
                <w:sz w:val="18"/>
                <w:szCs w:val="18"/>
              </w:rPr>
              <w:t>-</w:t>
            </w:r>
            <w:r w:rsidRPr="003A6D02">
              <w:rPr>
                <w:rFonts w:ascii="Arial" w:eastAsia="Aptos" w:hAnsi="Arial" w:cs="Arial"/>
                <w:bCs/>
                <w:sz w:val="18"/>
                <w:szCs w:val="18"/>
              </w:rPr>
              <w:t>23</w:t>
            </w:r>
          </w:p>
        </w:tc>
        <w:tc>
          <w:tcPr>
            <w:tcW w:w="487" w:type="pct"/>
            <w:shd w:val="clear" w:color="auto" w:fill="D2E4F4" w:themeFill="accent2" w:themeFillTint="33"/>
          </w:tcPr>
          <w:p w14:paraId="75BD9B86"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p w14:paraId="06046CA7"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72C8F7A4"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22D13887"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2026</w:t>
            </w:r>
          </w:p>
          <w:p w14:paraId="4F7266E3"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b/>
                <w:sz w:val="18"/>
                <w:szCs w:val="18"/>
              </w:rPr>
            </w:pPr>
          </w:p>
          <w:p w14:paraId="72E1F61E"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4B600DA9"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16E6DBDF"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CtG10</w:t>
            </w:r>
          </w:p>
        </w:tc>
        <w:tc>
          <w:tcPr>
            <w:tcW w:w="760" w:type="pct"/>
          </w:tcPr>
          <w:p w14:paraId="318DB38F"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 xml:space="preserve">CtG10 Denominator </w:t>
            </w:r>
            <w:r w:rsidRPr="003A6D02">
              <w:rPr>
                <w:rFonts w:ascii="Arial" w:eastAsia="Aptos" w:hAnsi="Arial" w:cs="Arial"/>
                <w:sz w:val="18"/>
                <w:szCs w:val="18"/>
              </w:rPr>
              <w:br/>
              <w:t>(collected for age by sex disaggregations only)</w:t>
            </w:r>
          </w:p>
        </w:tc>
        <w:tc>
          <w:tcPr>
            <w:tcW w:w="485" w:type="pct"/>
          </w:tcPr>
          <w:p w14:paraId="242E3B9C"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tcPr>
          <w:p w14:paraId="1CB18E2A"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Population estimates and projections</w:t>
            </w:r>
          </w:p>
        </w:tc>
        <w:tc>
          <w:tcPr>
            <w:tcW w:w="486" w:type="pct"/>
          </w:tcPr>
          <w:p w14:paraId="62A7A77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tcPr>
          <w:p w14:paraId="54D061A3"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593E892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b/>
                <w:sz w:val="18"/>
                <w:szCs w:val="18"/>
              </w:rPr>
              <w:t>..</w:t>
            </w:r>
          </w:p>
        </w:tc>
        <w:tc>
          <w:tcPr>
            <w:tcW w:w="487" w:type="pct"/>
          </w:tcPr>
          <w:p w14:paraId="4F2055F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b/>
                <w:sz w:val="18"/>
                <w:szCs w:val="18"/>
              </w:rPr>
            </w:pPr>
            <w:r w:rsidRPr="003A6D02">
              <w:rPr>
                <w:rFonts w:ascii="Arial" w:eastAsia="Aptos" w:hAnsi="Arial" w:cs="Arial"/>
                <w:b/>
                <w:sz w:val="18"/>
                <w:szCs w:val="18"/>
              </w:rPr>
              <w:t>..</w:t>
            </w:r>
          </w:p>
        </w:tc>
        <w:tc>
          <w:tcPr>
            <w:tcW w:w="669" w:type="pct"/>
          </w:tcPr>
          <w:p w14:paraId="268EB26F"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r>
      <w:tr w:rsidR="00880030" w:rsidRPr="003A6D02" w14:paraId="22BADF36"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3EF8F538"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SE10a</w:t>
            </w:r>
          </w:p>
        </w:tc>
        <w:tc>
          <w:tcPr>
            <w:tcW w:w="760" w:type="pct"/>
            <w:shd w:val="clear" w:color="auto" w:fill="D2E4F4" w:themeFill="accent2" w:themeFillTint="33"/>
          </w:tcPr>
          <w:p w14:paraId="6FE4439A"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People charged by police</w:t>
            </w:r>
          </w:p>
        </w:tc>
        <w:tc>
          <w:tcPr>
            <w:tcW w:w="485" w:type="pct"/>
            <w:shd w:val="clear" w:color="auto" w:fill="D2E4F4" w:themeFill="accent2" w:themeFillTint="33"/>
          </w:tcPr>
          <w:p w14:paraId="2302581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shd w:val="clear" w:color="auto" w:fill="D2E4F4" w:themeFill="accent2" w:themeFillTint="33"/>
          </w:tcPr>
          <w:p w14:paraId="2BFB4367"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Recorded Crime – Offenders</w:t>
            </w:r>
          </w:p>
        </w:tc>
        <w:tc>
          <w:tcPr>
            <w:tcW w:w="486" w:type="pct"/>
            <w:shd w:val="clear" w:color="auto" w:fill="D2E4F4" w:themeFill="accent2" w:themeFillTint="33"/>
          </w:tcPr>
          <w:p w14:paraId="61558B5A"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shd w:val="clear" w:color="auto" w:fill="D2E4F4" w:themeFill="accent2" w:themeFillTint="33"/>
          </w:tcPr>
          <w:p w14:paraId="29CFD9BB" w14:textId="77777777" w:rsidR="00880030" w:rsidRPr="003A6D02" w:rsidRDefault="00880030" w:rsidP="009F592C">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c>
          <w:tcPr>
            <w:tcW w:w="495" w:type="pct"/>
            <w:shd w:val="clear" w:color="auto" w:fill="D2E4F4" w:themeFill="accent2" w:themeFillTint="33"/>
          </w:tcPr>
          <w:p w14:paraId="25E0B333"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2018-19 to 2022</w:t>
            </w:r>
            <w:r w:rsidRPr="003A6D02">
              <w:rPr>
                <w:rFonts w:ascii="Arial" w:eastAsia="Aptos" w:hAnsi="Arial" w:cs="Arial"/>
                <w:sz w:val="18"/>
                <w:szCs w:val="18"/>
              </w:rPr>
              <w:noBreakHyphen/>
              <w:t>23</w:t>
            </w:r>
          </w:p>
        </w:tc>
        <w:tc>
          <w:tcPr>
            <w:tcW w:w="487" w:type="pct"/>
            <w:shd w:val="clear" w:color="auto" w:fill="D2E4F4" w:themeFill="accent2" w:themeFillTint="33"/>
          </w:tcPr>
          <w:p w14:paraId="38478451"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2AABFAA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2023-24</w:t>
            </w:r>
            <w:r w:rsidRPr="003A6D02">
              <w:rPr>
                <w:rFonts w:ascii="Arial" w:eastAsia="Times New Roman" w:hAnsi="Arial" w:cs="Arial"/>
                <w:sz w:val="18"/>
                <w:szCs w:val="18"/>
                <w:vertAlign w:val="superscript"/>
                <w:lang w:eastAsia="en-AU"/>
              </w:rPr>
              <w:t>##</w:t>
            </w:r>
          </w:p>
        </w:tc>
      </w:tr>
      <w:tr w:rsidR="00880030" w:rsidRPr="003A6D02" w14:paraId="2AB01FC3"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7611E398"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lastRenderedPageBreak/>
              <w:t>SE10g</w:t>
            </w:r>
          </w:p>
        </w:tc>
        <w:tc>
          <w:tcPr>
            <w:tcW w:w="760" w:type="pct"/>
          </w:tcPr>
          <w:p w14:paraId="27553B4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Prisoner health</w:t>
            </w:r>
          </w:p>
        </w:tc>
        <w:tc>
          <w:tcPr>
            <w:tcW w:w="485" w:type="pct"/>
          </w:tcPr>
          <w:p w14:paraId="0BCFCC6B"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AIHW</w:t>
            </w:r>
          </w:p>
        </w:tc>
        <w:tc>
          <w:tcPr>
            <w:tcW w:w="826" w:type="pct"/>
          </w:tcPr>
          <w:p w14:paraId="3DE1CC22"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The Health of People in Australia’s prisons</w:t>
            </w:r>
          </w:p>
        </w:tc>
        <w:tc>
          <w:tcPr>
            <w:tcW w:w="486" w:type="pct"/>
          </w:tcPr>
          <w:p w14:paraId="1A61151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Periodic (2-3 yearly)</w:t>
            </w:r>
          </w:p>
        </w:tc>
        <w:tc>
          <w:tcPr>
            <w:tcW w:w="485" w:type="pct"/>
          </w:tcPr>
          <w:p w14:paraId="1972B394" w14:textId="77777777" w:rsidR="00880030" w:rsidRPr="003A6D02" w:rsidRDefault="00880030" w:rsidP="009F592C">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w:t>
            </w:r>
          </w:p>
        </w:tc>
        <w:tc>
          <w:tcPr>
            <w:tcW w:w="495" w:type="pct"/>
          </w:tcPr>
          <w:p w14:paraId="605FEC49"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2018, 2022</w:t>
            </w:r>
          </w:p>
        </w:tc>
        <w:tc>
          <w:tcPr>
            <w:tcW w:w="487" w:type="pct"/>
          </w:tcPr>
          <w:p w14:paraId="5AF89D36"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tcPr>
          <w:p w14:paraId="0EB401A7"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Est 2025 (tbc)</w:t>
            </w:r>
          </w:p>
        </w:tc>
      </w:tr>
      <w:tr w:rsidR="00880030" w:rsidRPr="003A6D02" w14:paraId="51DDE3B8"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41BF493E"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CtG11</w:t>
            </w:r>
          </w:p>
        </w:tc>
        <w:tc>
          <w:tcPr>
            <w:tcW w:w="760" w:type="pct"/>
            <w:shd w:val="clear" w:color="auto" w:fill="D2E4F4" w:themeFill="accent2" w:themeFillTint="33"/>
          </w:tcPr>
          <w:p w14:paraId="62699B59"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CtG11 Denominator </w:t>
            </w:r>
          </w:p>
        </w:tc>
        <w:tc>
          <w:tcPr>
            <w:tcW w:w="485" w:type="pct"/>
            <w:shd w:val="clear" w:color="auto" w:fill="D2E4F4" w:themeFill="accent2" w:themeFillTint="33"/>
          </w:tcPr>
          <w:p w14:paraId="08799EA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shd w:val="clear" w:color="auto" w:fill="D2E4F4" w:themeFill="accent2" w:themeFillTint="33"/>
          </w:tcPr>
          <w:p w14:paraId="3CC7D657"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Population estimates and projections</w:t>
            </w:r>
          </w:p>
        </w:tc>
        <w:tc>
          <w:tcPr>
            <w:tcW w:w="486" w:type="pct"/>
            <w:shd w:val="clear" w:color="auto" w:fill="D2E4F4" w:themeFill="accent2" w:themeFillTint="33"/>
          </w:tcPr>
          <w:p w14:paraId="59769C7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365EAC9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shd w:val="clear" w:color="auto" w:fill="D2E4F4" w:themeFill="accent2" w:themeFillTint="33"/>
          </w:tcPr>
          <w:p w14:paraId="69112C98"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shd w:val="clear" w:color="auto" w:fill="D2E4F4" w:themeFill="accent2" w:themeFillTint="33"/>
          </w:tcPr>
          <w:p w14:paraId="52E8C571"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669" w:type="pct"/>
            <w:shd w:val="clear" w:color="auto" w:fill="D2E4F4" w:themeFill="accent2" w:themeFillTint="33"/>
          </w:tcPr>
          <w:p w14:paraId="46EB746A"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b/>
                <w:sz w:val="18"/>
                <w:szCs w:val="18"/>
              </w:rPr>
              <w:t>..</w:t>
            </w:r>
          </w:p>
        </w:tc>
      </w:tr>
      <w:tr w:rsidR="00880030" w:rsidRPr="003A6D02" w14:paraId="0E934A0D"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4875E22F"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SE11c</w:t>
            </w:r>
          </w:p>
        </w:tc>
        <w:tc>
          <w:tcPr>
            <w:tcW w:w="760" w:type="pct"/>
          </w:tcPr>
          <w:p w14:paraId="6D7304D5"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Proportion of alleged young offenders (10-17 years) involved in police proceedings</w:t>
            </w:r>
          </w:p>
        </w:tc>
        <w:tc>
          <w:tcPr>
            <w:tcW w:w="485" w:type="pct"/>
          </w:tcPr>
          <w:p w14:paraId="708D3E7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tcPr>
          <w:p w14:paraId="75A22209"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Recorded crime – offenders</w:t>
            </w:r>
          </w:p>
        </w:tc>
        <w:tc>
          <w:tcPr>
            <w:tcW w:w="486" w:type="pct"/>
          </w:tcPr>
          <w:p w14:paraId="6800A622"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tcPr>
          <w:p w14:paraId="7BF251B8" w14:textId="77777777" w:rsidR="00880030" w:rsidRPr="003A6D02" w:rsidRDefault="00880030" w:rsidP="00CA35D7">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c>
          <w:tcPr>
            <w:tcW w:w="495" w:type="pct"/>
          </w:tcPr>
          <w:p w14:paraId="1A360B37"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 xml:space="preserve">2018-19 to </w:t>
            </w:r>
            <w:r w:rsidRPr="003A6D02">
              <w:rPr>
                <w:rFonts w:ascii="Arial" w:eastAsia="Aptos" w:hAnsi="Arial" w:cs="Arial"/>
                <w:sz w:val="18"/>
                <w:szCs w:val="18"/>
              </w:rPr>
              <w:br/>
              <w:t>2022-23</w:t>
            </w:r>
          </w:p>
        </w:tc>
        <w:tc>
          <w:tcPr>
            <w:tcW w:w="487" w:type="pct"/>
          </w:tcPr>
          <w:p w14:paraId="2658EAC3"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Jul-24</w:t>
            </w:r>
          </w:p>
        </w:tc>
        <w:tc>
          <w:tcPr>
            <w:tcW w:w="669" w:type="pct"/>
          </w:tcPr>
          <w:p w14:paraId="3C331401"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20</w:t>
            </w:r>
            <w:r w:rsidRPr="003A6D02">
              <w:rPr>
                <w:rFonts w:ascii="Arial" w:eastAsia="Aptos" w:hAnsi="Arial" w:cs="Arial"/>
                <w:sz w:val="18"/>
                <w:szCs w:val="18"/>
              </w:rPr>
              <w:t>23-24</w:t>
            </w:r>
          </w:p>
        </w:tc>
      </w:tr>
      <w:tr w:rsidR="00880030" w:rsidRPr="003A6D02" w14:paraId="026ABB55"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438C867A"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SE11h</w:t>
            </w:r>
          </w:p>
        </w:tc>
        <w:tc>
          <w:tcPr>
            <w:tcW w:w="760" w:type="pct"/>
            <w:shd w:val="clear" w:color="auto" w:fill="D2E4F4" w:themeFill="accent2" w:themeFillTint="33"/>
          </w:tcPr>
          <w:p w14:paraId="010FC12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Proportion of young people (10-13) first coming into youth justice system </w:t>
            </w:r>
          </w:p>
        </w:tc>
        <w:tc>
          <w:tcPr>
            <w:tcW w:w="485" w:type="pct"/>
            <w:shd w:val="clear" w:color="auto" w:fill="D2E4F4" w:themeFill="accent2" w:themeFillTint="33"/>
          </w:tcPr>
          <w:p w14:paraId="5472A06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AIHW</w:t>
            </w:r>
          </w:p>
        </w:tc>
        <w:tc>
          <w:tcPr>
            <w:tcW w:w="826" w:type="pct"/>
            <w:shd w:val="clear" w:color="auto" w:fill="D2E4F4" w:themeFill="accent2" w:themeFillTint="33"/>
          </w:tcPr>
          <w:p w14:paraId="4C8187E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Youth justice in Australia</w:t>
            </w:r>
          </w:p>
        </w:tc>
        <w:tc>
          <w:tcPr>
            <w:tcW w:w="486" w:type="pct"/>
            <w:shd w:val="clear" w:color="auto" w:fill="D2E4F4" w:themeFill="accent2" w:themeFillTint="33"/>
          </w:tcPr>
          <w:p w14:paraId="2048B750"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shd w:val="clear" w:color="auto" w:fill="D2E4F4" w:themeFill="accent2" w:themeFillTint="33"/>
          </w:tcPr>
          <w:p w14:paraId="20AD4996" w14:textId="77777777" w:rsidR="00880030" w:rsidRPr="003A6D02" w:rsidRDefault="00880030" w:rsidP="00CA35D7">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c>
          <w:tcPr>
            <w:tcW w:w="495" w:type="pct"/>
            <w:shd w:val="clear" w:color="auto" w:fill="D2E4F4" w:themeFill="accent2" w:themeFillTint="33"/>
          </w:tcPr>
          <w:p w14:paraId="32ECCAF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2018-19 to </w:t>
            </w:r>
            <w:r w:rsidRPr="003A6D02">
              <w:rPr>
                <w:rFonts w:ascii="Arial" w:eastAsia="Aptos" w:hAnsi="Arial" w:cs="Arial"/>
                <w:sz w:val="18"/>
                <w:szCs w:val="18"/>
              </w:rPr>
              <w:br/>
              <w:t>2022-23</w:t>
            </w:r>
          </w:p>
        </w:tc>
        <w:tc>
          <w:tcPr>
            <w:tcW w:w="487" w:type="pct"/>
            <w:shd w:val="clear" w:color="auto" w:fill="D2E4F4" w:themeFill="accent2" w:themeFillTint="33"/>
          </w:tcPr>
          <w:p w14:paraId="41327C6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Jul-24</w:t>
            </w:r>
          </w:p>
        </w:tc>
        <w:tc>
          <w:tcPr>
            <w:tcW w:w="669" w:type="pct"/>
            <w:shd w:val="clear" w:color="auto" w:fill="D2E4F4" w:themeFill="accent2" w:themeFillTint="33"/>
          </w:tcPr>
          <w:p w14:paraId="48DA869B"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20</w:t>
            </w:r>
            <w:r w:rsidRPr="003A6D02">
              <w:rPr>
                <w:rFonts w:ascii="Arial" w:eastAsia="Aptos" w:hAnsi="Arial" w:cs="Arial"/>
                <w:sz w:val="18"/>
                <w:szCs w:val="18"/>
              </w:rPr>
              <w:t>23-24</w:t>
            </w:r>
          </w:p>
        </w:tc>
      </w:tr>
      <w:tr w:rsidR="00880030" w:rsidRPr="003A6D02" w14:paraId="6C7F670D"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53A1693F"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CtG12</w:t>
            </w:r>
          </w:p>
        </w:tc>
        <w:tc>
          <w:tcPr>
            <w:tcW w:w="760" w:type="pct"/>
          </w:tcPr>
          <w:p w14:paraId="724F66A9"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CtG12 Denominator </w:t>
            </w:r>
          </w:p>
        </w:tc>
        <w:tc>
          <w:tcPr>
            <w:tcW w:w="485" w:type="pct"/>
          </w:tcPr>
          <w:p w14:paraId="6B224AE4"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1DA00371"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Population estimates and projections</w:t>
            </w:r>
          </w:p>
        </w:tc>
        <w:tc>
          <w:tcPr>
            <w:tcW w:w="486" w:type="pct"/>
          </w:tcPr>
          <w:p w14:paraId="1EB0CE3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7FE39E04" w14:textId="77777777" w:rsidR="00880030" w:rsidRPr="003A6D02" w:rsidRDefault="00880030" w:rsidP="00CA35D7">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95" w:type="pct"/>
          </w:tcPr>
          <w:p w14:paraId="5A320CB1"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487" w:type="pct"/>
          </w:tcPr>
          <w:p w14:paraId="4D1DCB46"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c>
          <w:tcPr>
            <w:tcW w:w="669" w:type="pct"/>
          </w:tcPr>
          <w:p w14:paraId="0B0C28A1"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b/>
                <w:sz w:val="18"/>
                <w:szCs w:val="18"/>
              </w:rPr>
              <w:t>..</w:t>
            </w:r>
          </w:p>
        </w:tc>
      </w:tr>
      <w:tr w:rsidR="00880030" w:rsidRPr="003A6D02" w14:paraId="124C6593"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6EA15142"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SE12b</w:t>
            </w:r>
          </w:p>
        </w:tc>
        <w:tc>
          <w:tcPr>
            <w:tcW w:w="760" w:type="pct"/>
            <w:shd w:val="clear" w:color="auto" w:fill="D2E4F4" w:themeFill="accent2" w:themeFillTint="33"/>
          </w:tcPr>
          <w:p w14:paraId="3DB754C7"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Proportion of children in out-of-home care (0 to 17 years) that are Aboriginal and Torres Strait Islander</w:t>
            </w:r>
          </w:p>
        </w:tc>
        <w:tc>
          <w:tcPr>
            <w:tcW w:w="485" w:type="pct"/>
            <w:shd w:val="clear" w:color="auto" w:fill="D2E4F4" w:themeFill="accent2" w:themeFillTint="33"/>
          </w:tcPr>
          <w:p w14:paraId="3D3C1D40"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AIHW</w:t>
            </w:r>
          </w:p>
        </w:tc>
        <w:tc>
          <w:tcPr>
            <w:tcW w:w="826" w:type="pct"/>
            <w:shd w:val="clear" w:color="auto" w:fill="D2E4F4" w:themeFill="accent2" w:themeFillTint="33"/>
          </w:tcPr>
          <w:p w14:paraId="463AFA9D"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Child protection National Minimum Data Set (CP NMDS)</w:t>
            </w:r>
          </w:p>
        </w:tc>
        <w:tc>
          <w:tcPr>
            <w:tcW w:w="486" w:type="pct"/>
            <w:shd w:val="clear" w:color="auto" w:fill="D2E4F4" w:themeFill="accent2" w:themeFillTint="33"/>
          </w:tcPr>
          <w:p w14:paraId="5FAD351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shd w:val="clear" w:color="auto" w:fill="D2E4F4" w:themeFill="accent2" w:themeFillTint="33"/>
          </w:tcPr>
          <w:p w14:paraId="12DBC92C" w14:textId="77777777" w:rsidR="00880030" w:rsidRPr="003A6D02" w:rsidRDefault="00880030" w:rsidP="00CA35D7">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14C14779" w14:textId="6F6AD491"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2019</w:t>
            </w:r>
            <w:r w:rsidR="0054327B">
              <w:rPr>
                <w:rFonts w:ascii="Arial" w:eastAsia="Aptos" w:hAnsi="Arial" w:cs="Arial"/>
                <w:sz w:val="18"/>
                <w:szCs w:val="18"/>
              </w:rPr>
              <w:t>-</w:t>
            </w:r>
            <w:r w:rsidRPr="003A6D02">
              <w:rPr>
                <w:rFonts w:ascii="Arial" w:eastAsia="Aptos" w:hAnsi="Arial" w:cs="Arial"/>
                <w:sz w:val="18"/>
                <w:szCs w:val="18"/>
              </w:rPr>
              <w:t>23</w:t>
            </w:r>
          </w:p>
        </w:tc>
        <w:tc>
          <w:tcPr>
            <w:tcW w:w="487" w:type="pct"/>
            <w:shd w:val="clear" w:color="auto" w:fill="D2E4F4" w:themeFill="accent2" w:themeFillTint="33"/>
          </w:tcPr>
          <w:p w14:paraId="55DFA00F"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shd w:val="clear" w:color="auto" w:fill="D2E4F4" w:themeFill="accent2" w:themeFillTint="33"/>
          </w:tcPr>
          <w:p w14:paraId="7F0C34A4"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5B4E67C8"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17E184C2"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SE12e</w:t>
            </w:r>
          </w:p>
        </w:tc>
        <w:tc>
          <w:tcPr>
            <w:tcW w:w="760" w:type="pct"/>
          </w:tcPr>
          <w:p w14:paraId="41AEBD79"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Application of the Aboriginal and Torres Strait Islander Child Placement Principle (ATSICPP)</w:t>
            </w:r>
          </w:p>
        </w:tc>
        <w:tc>
          <w:tcPr>
            <w:tcW w:w="485" w:type="pct"/>
          </w:tcPr>
          <w:p w14:paraId="67A7B13B"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Jurisdictions</w:t>
            </w:r>
          </w:p>
        </w:tc>
        <w:tc>
          <w:tcPr>
            <w:tcW w:w="826" w:type="pct"/>
          </w:tcPr>
          <w:p w14:paraId="27472251"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State and territory governments</w:t>
            </w:r>
          </w:p>
        </w:tc>
        <w:tc>
          <w:tcPr>
            <w:tcW w:w="486" w:type="pct"/>
          </w:tcPr>
          <w:p w14:paraId="6EFC36E5"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5CD2D53E" w14:textId="77777777" w:rsidR="00880030" w:rsidRPr="003A6D02" w:rsidRDefault="00880030" w:rsidP="00CA35D7">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tcPr>
          <w:p w14:paraId="1F4B94A6" w14:textId="4F16D276"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2019</w:t>
            </w:r>
            <w:r w:rsidR="0054327B">
              <w:rPr>
                <w:rFonts w:ascii="Arial" w:eastAsia="Aptos" w:hAnsi="Arial" w:cs="Arial"/>
                <w:sz w:val="18"/>
                <w:szCs w:val="18"/>
              </w:rPr>
              <w:t>-</w:t>
            </w:r>
            <w:r w:rsidRPr="003A6D02">
              <w:rPr>
                <w:rFonts w:ascii="Arial" w:eastAsia="Aptos" w:hAnsi="Arial" w:cs="Arial"/>
                <w:sz w:val="18"/>
                <w:szCs w:val="18"/>
              </w:rPr>
              <w:t>23</w:t>
            </w:r>
          </w:p>
        </w:tc>
        <w:tc>
          <w:tcPr>
            <w:tcW w:w="487" w:type="pct"/>
          </w:tcPr>
          <w:p w14:paraId="31927813"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tcPr>
          <w:p w14:paraId="5B154D96"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297E7AF2"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69F039E5"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SE12m</w:t>
            </w:r>
          </w:p>
        </w:tc>
        <w:tc>
          <w:tcPr>
            <w:tcW w:w="760" w:type="pct"/>
            <w:shd w:val="clear" w:color="auto" w:fill="D2E4F4" w:themeFill="accent2" w:themeFillTint="33"/>
          </w:tcPr>
          <w:p w14:paraId="3FEA0904"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Rates of substantiation of a notification by type of abuse</w:t>
            </w:r>
          </w:p>
        </w:tc>
        <w:tc>
          <w:tcPr>
            <w:tcW w:w="485" w:type="pct"/>
            <w:shd w:val="clear" w:color="auto" w:fill="D2E4F4" w:themeFill="accent2" w:themeFillTint="33"/>
          </w:tcPr>
          <w:p w14:paraId="1068BDD7"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Times New Roman" w:hAnsi="Arial" w:cs="Arial"/>
                <w:sz w:val="18"/>
                <w:szCs w:val="18"/>
                <w:lang w:eastAsia="en-AU"/>
              </w:rPr>
              <w:t>Jurisdictions</w:t>
            </w:r>
          </w:p>
          <w:p w14:paraId="1D479D5A"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p>
          <w:p w14:paraId="5F6C3AAB"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Times New Roman" w:hAnsi="Arial" w:cs="Arial"/>
                <w:sz w:val="18"/>
                <w:szCs w:val="18"/>
                <w:lang w:eastAsia="en-AU"/>
              </w:rPr>
              <w:t>AIHW</w:t>
            </w:r>
          </w:p>
        </w:tc>
        <w:tc>
          <w:tcPr>
            <w:tcW w:w="826" w:type="pct"/>
            <w:shd w:val="clear" w:color="auto" w:fill="D2E4F4" w:themeFill="accent2" w:themeFillTint="33"/>
          </w:tcPr>
          <w:p w14:paraId="56139C12"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 xml:space="preserve">State and territory governments; &amp; </w:t>
            </w:r>
          </w:p>
          <w:p w14:paraId="4957323C"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CP NMDS</w:t>
            </w:r>
          </w:p>
          <w:p w14:paraId="312EFD84"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p>
        </w:tc>
        <w:tc>
          <w:tcPr>
            <w:tcW w:w="486" w:type="pct"/>
            <w:shd w:val="clear" w:color="auto" w:fill="D2E4F4" w:themeFill="accent2" w:themeFillTint="33"/>
          </w:tcPr>
          <w:p w14:paraId="72C082F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p w14:paraId="5E6E6CD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4D5360C8"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shd w:val="clear" w:color="auto" w:fill="D2E4F4" w:themeFill="accent2" w:themeFillTint="33"/>
          </w:tcPr>
          <w:p w14:paraId="12B4B439" w14:textId="77777777" w:rsidR="00880030" w:rsidRPr="003A6D02" w:rsidRDefault="00880030" w:rsidP="00CA35D7">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c>
          <w:tcPr>
            <w:tcW w:w="495" w:type="pct"/>
            <w:shd w:val="clear" w:color="auto" w:fill="D2E4F4" w:themeFill="accent2" w:themeFillTint="33"/>
          </w:tcPr>
          <w:p w14:paraId="3972A0D6"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2018-19 to 2022</w:t>
            </w:r>
            <w:r w:rsidRPr="003A6D02">
              <w:rPr>
                <w:rFonts w:ascii="Arial" w:eastAsia="Aptos" w:hAnsi="Arial" w:cs="Arial"/>
                <w:sz w:val="18"/>
                <w:szCs w:val="18"/>
              </w:rPr>
              <w:noBreakHyphen/>
              <w:t>23</w:t>
            </w:r>
          </w:p>
        </w:tc>
        <w:tc>
          <w:tcPr>
            <w:tcW w:w="487" w:type="pct"/>
            <w:shd w:val="clear" w:color="auto" w:fill="D2E4F4" w:themeFill="accent2" w:themeFillTint="33"/>
          </w:tcPr>
          <w:p w14:paraId="7D90F91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Jul-24</w:t>
            </w:r>
          </w:p>
        </w:tc>
        <w:tc>
          <w:tcPr>
            <w:tcW w:w="669" w:type="pct"/>
            <w:shd w:val="clear" w:color="auto" w:fill="D2E4F4" w:themeFill="accent2" w:themeFillTint="33"/>
          </w:tcPr>
          <w:p w14:paraId="3DB024BF"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2023-24</w:t>
            </w:r>
          </w:p>
        </w:tc>
      </w:tr>
      <w:tr w:rsidR="00880030" w:rsidRPr="003A6D02" w14:paraId="40281D20"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07E99D28" w14:textId="77777777" w:rsidR="00880030" w:rsidRDefault="00880030" w:rsidP="00D8023A">
            <w:pPr>
              <w:spacing w:before="60" w:after="0" w:line="240" w:lineRule="auto"/>
              <w:rPr>
                <w:rFonts w:ascii="Arial" w:eastAsia="Aptos" w:hAnsi="Arial" w:cs="Arial"/>
                <w:b w:val="0"/>
                <w:bCs w:val="0"/>
                <w:sz w:val="18"/>
                <w:szCs w:val="18"/>
              </w:rPr>
            </w:pPr>
            <w:r w:rsidRPr="003A6D02">
              <w:rPr>
                <w:rFonts w:ascii="Arial" w:eastAsia="Aptos" w:hAnsi="Arial" w:cs="Arial"/>
                <w:sz w:val="18"/>
                <w:szCs w:val="18"/>
              </w:rPr>
              <w:t>SE12m</w:t>
            </w:r>
          </w:p>
          <w:p w14:paraId="0C25900B" w14:textId="77777777" w:rsidR="005E53B8" w:rsidRDefault="005E53B8" w:rsidP="00D8023A">
            <w:pPr>
              <w:spacing w:before="60" w:after="0" w:line="240" w:lineRule="auto"/>
              <w:rPr>
                <w:rFonts w:ascii="Arial" w:eastAsia="Aptos" w:hAnsi="Arial" w:cs="Arial"/>
                <w:b w:val="0"/>
                <w:bCs w:val="0"/>
                <w:sz w:val="18"/>
                <w:szCs w:val="18"/>
              </w:rPr>
            </w:pPr>
          </w:p>
          <w:p w14:paraId="743F5B4B" w14:textId="7C045E71" w:rsidR="00880030" w:rsidRPr="003A6D02" w:rsidRDefault="00880030" w:rsidP="00D8023A">
            <w:pPr>
              <w:spacing w:before="60" w:after="0" w:line="240" w:lineRule="auto"/>
              <w:rPr>
                <w:rFonts w:ascii="Arial" w:eastAsia="Aptos" w:hAnsi="Arial" w:cs="Arial"/>
                <w:sz w:val="18"/>
                <w:szCs w:val="18"/>
              </w:rPr>
            </w:pPr>
          </w:p>
        </w:tc>
        <w:tc>
          <w:tcPr>
            <w:tcW w:w="760" w:type="pct"/>
          </w:tcPr>
          <w:p w14:paraId="3D9E541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SE12m Denominator</w:t>
            </w:r>
          </w:p>
        </w:tc>
        <w:tc>
          <w:tcPr>
            <w:tcW w:w="485" w:type="pct"/>
          </w:tcPr>
          <w:p w14:paraId="7E0CDC54"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ABS</w:t>
            </w:r>
          </w:p>
        </w:tc>
        <w:tc>
          <w:tcPr>
            <w:tcW w:w="826" w:type="pct"/>
          </w:tcPr>
          <w:p w14:paraId="4E6D8AE2" w14:textId="77777777" w:rsidR="00880030" w:rsidRPr="003A6D02" w:rsidRDefault="00880030" w:rsidP="00D8023A">
            <w:pPr>
              <w:pStyle w:val="TableBodyText"/>
              <w:spacing w:before="60"/>
              <w:cnfStyle w:val="000000000000" w:firstRow="0" w:lastRow="0" w:firstColumn="0" w:lastColumn="0" w:oddVBand="0" w:evenVBand="0" w:oddHBand="0" w:evenHBand="0" w:firstRowFirstColumn="0" w:firstRowLastColumn="0" w:lastRowFirstColumn="0" w:lastRowLastColumn="0"/>
              <w:rPr>
                <w:rFonts w:eastAsia="Aptos"/>
              </w:rPr>
            </w:pPr>
            <w:r w:rsidRPr="003A6D02">
              <w:t>Population estimates and projections</w:t>
            </w:r>
          </w:p>
        </w:tc>
        <w:tc>
          <w:tcPr>
            <w:tcW w:w="486" w:type="pct"/>
          </w:tcPr>
          <w:p w14:paraId="5B75F06B"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56951D6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495" w:type="pct"/>
          </w:tcPr>
          <w:p w14:paraId="3196AF4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487" w:type="pct"/>
          </w:tcPr>
          <w:p w14:paraId="7CCFC222"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669" w:type="pct"/>
          </w:tcPr>
          <w:p w14:paraId="49579626"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r>
      <w:tr w:rsidR="00880030" w:rsidRPr="003A6D02" w14:paraId="2B5823FB"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5DF22EFD"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lastRenderedPageBreak/>
              <w:t>SE13c</w:t>
            </w:r>
          </w:p>
        </w:tc>
        <w:tc>
          <w:tcPr>
            <w:tcW w:w="760" w:type="pct"/>
            <w:shd w:val="clear" w:color="auto" w:fill="D2E4F4" w:themeFill="accent2" w:themeFillTint="33"/>
          </w:tcPr>
          <w:p w14:paraId="2F017C00"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Rates of Aboriginal and Torres Strait Islander children entering out-of-home care and receiving protection orders, where family violence is indicated</w:t>
            </w:r>
          </w:p>
        </w:tc>
        <w:tc>
          <w:tcPr>
            <w:tcW w:w="485" w:type="pct"/>
            <w:shd w:val="clear" w:color="auto" w:fill="D2E4F4" w:themeFill="accent2" w:themeFillTint="33"/>
          </w:tcPr>
          <w:p w14:paraId="66FEC88A"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tbc</w:t>
            </w:r>
          </w:p>
        </w:tc>
        <w:tc>
          <w:tcPr>
            <w:tcW w:w="826" w:type="pct"/>
            <w:shd w:val="clear" w:color="auto" w:fill="D2E4F4" w:themeFill="accent2" w:themeFillTint="33"/>
          </w:tcPr>
          <w:p w14:paraId="57604D58"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tbc</w:t>
            </w:r>
          </w:p>
        </w:tc>
        <w:tc>
          <w:tcPr>
            <w:tcW w:w="486" w:type="pct"/>
            <w:shd w:val="clear" w:color="auto" w:fill="D2E4F4" w:themeFill="accent2" w:themeFillTint="33"/>
          </w:tcPr>
          <w:p w14:paraId="2484026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tbc</w:t>
            </w:r>
          </w:p>
        </w:tc>
        <w:tc>
          <w:tcPr>
            <w:tcW w:w="485" w:type="pct"/>
            <w:shd w:val="clear" w:color="auto" w:fill="D2E4F4" w:themeFill="accent2" w:themeFillTint="33"/>
          </w:tcPr>
          <w:p w14:paraId="775E3184"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w:t>
            </w:r>
          </w:p>
        </w:tc>
        <w:tc>
          <w:tcPr>
            <w:tcW w:w="495" w:type="pct"/>
            <w:shd w:val="clear" w:color="auto" w:fill="D2E4F4" w:themeFill="accent2" w:themeFillTint="33"/>
          </w:tcPr>
          <w:p w14:paraId="739E82F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N/A</w:t>
            </w:r>
          </w:p>
        </w:tc>
        <w:tc>
          <w:tcPr>
            <w:tcW w:w="487" w:type="pct"/>
            <w:shd w:val="clear" w:color="auto" w:fill="D2E4F4" w:themeFill="accent2" w:themeFillTint="33"/>
          </w:tcPr>
          <w:p w14:paraId="231270A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tc>
        <w:tc>
          <w:tcPr>
            <w:tcW w:w="669" w:type="pct"/>
            <w:shd w:val="clear" w:color="auto" w:fill="D2E4F4" w:themeFill="accent2" w:themeFillTint="33"/>
          </w:tcPr>
          <w:p w14:paraId="1577ADED"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tbc</w:t>
            </w:r>
          </w:p>
        </w:tc>
      </w:tr>
      <w:tr w:rsidR="00880030" w:rsidRPr="003A6D02" w14:paraId="38CDF5FE"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6F692794"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SE13d</w:t>
            </w:r>
          </w:p>
        </w:tc>
        <w:tc>
          <w:tcPr>
            <w:tcW w:w="760" w:type="pct"/>
          </w:tcPr>
          <w:p w14:paraId="302038FA"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Women reporting family violence is common in their communities</w:t>
            </w:r>
          </w:p>
        </w:tc>
        <w:tc>
          <w:tcPr>
            <w:tcW w:w="485" w:type="pct"/>
          </w:tcPr>
          <w:p w14:paraId="5F368AFC"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tbc</w:t>
            </w:r>
          </w:p>
        </w:tc>
        <w:tc>
          <w:tcPr>
            <w:tcW w:w="826" w:type="pct"/>
          </w:tcPr>
          <w:p w14:paraId="4A7EE04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The National Community Attitudes towards Violence against Women Survey (NCAS)</w:t>
            </w:r>
          </w:p>
        </w:tc>
        <w:tc>
          <w:tcPr>
            <w:tcW w:w="486" w:type="pct"/>
          </w:tcPr>
          <w:p w14:paraId="006EF1DE"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Periodic</w:t>
            </w:r>
          </w:p>
        </w:tc>
        <w:tc>
          <w:tcPr>
            <w:tcW w:w="485" w:type="pct"/>
          </w:tcPr>
          <w:p w14:paraId="3B417E9B"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w:t>
            </w:r>
          </w:p>
        </w:tc>
        <w:tc>
          <w:tcPr>
            <w:tcW w:w="495" w:type="pct"/>
          </w:tcPr>
          <w:p w14:paraId="5AA2D98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N/A</w:t>
            </w:r>
          </w:p>
        </w:tc>
        <w:tc>
          <w:tcPr>
            <w:tcW w:w="487" w:type="pct"/>
          </w:tcPr>
          <w:p w14:paraId="3480C1FA"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tcPr>
          <w:p w14:paraId="4A9E5FC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tbc</w:t>
            </w:r>
          </w:p>
        </w:tc>
      </w:tr>
      <w:tr w:rsidR="00880030" w:rsidRPr="003A6D02" w14:paraId="6558FEF4"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5062E5CB"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SE13h</w:t>
            </w:r>
          </w:p>
        </w:tc>
        <w:tc>
          <w:tcPr>
            <w:tcW w:w="760" w:type="pct"/>
            <w:shd w:val="clear" w:color="auto" w:fill="D2E4F4" w:themeFill="accent2" w:themeFillTint="33"/>
          </w:tcPr>
          <w:p w14:paraId="7D16726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Rates of hospitalisation for family violence</w:t>
            </w:r>
          </w:p>
        </w:tc>
        <w:tc>
          <w:tcPr>
            <w:tcW w:w="485" w:type="pct"/>
            <w:shd w:val="clear" w:color="auto" w:fill="D2E4F4" w:themeFill="accent2" w:themeFillTint="33"/>
          </w:tcPr>
          <w:p w14:paraId="612F3168"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AIHW</w:t>
            </w:r>
          </w:p>
          <w:p w14:paraId="6A873CEB"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6138F0EA"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tc>
        <w:tc>
          <w:tcPr>
            <w:tcW w:w="826" w:type="pct"/>
            <w:shd w:val="clear" w:color="auto" w:fill="D2E4F4" w:themeFill="accent2" w:themeFillTint="33"/>
          </w:tcPr>
          <w:p w14:paraId="607F3046"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Morbidity Database</w:t>
            </w:r>
          </w:p>
          <w:p w14:paraId="0A6BE38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680422FB"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tc>
        <w:tc>
          <w:tcPr>
            <w:tcW w:w="486" w:type="pct"/>
            <w:shd w:val="clear" w:color="auto" w:fill="D2E4F4" w:themeFill="accent2" w:themeFillTint="33"/>
          </w:tcPr>
          <w:p w14:paraId="01BEE3D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p w14:paraId="1337246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p w14:paraId="457BEB2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p>
        </w:tc>
        <w:tc>
          <w:tcPr>
            <w:tcW w:w="485" w:type="pct"/>
            <w:shd w:val="clear" w:color="auto" w:fill="D2E4F4" w:themeFill="accent2" w:themeFillTint="33"/>
          </w:tcPr>
          <w:p w14:paraId="3DF8BA9D"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2021-22</w:t>
            </w:r>
          </w:p>
        </w:tc>
        <w:tc>
          <w:tcPr>
            <w:tcW w:w="495" w:type="pct"/>
            <w:shd w:val="clear" w:color="auto" w:fill="D2E4F4" w:themeFill="accent2" w:themeFillTint="33"/>
          </w:tcPr>
          <w:p w14:paraId="218DF0A0" w14:textId="77777777" w:rsidR="0054327B" w:rsidRDefault="00880030" w:rsidP="0054327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2018-19,</w:t>
            </w:r>
          </w:p>
          <w:p w14:paraId="4B574CF6" w14:textId="77777777" w:rsidR="0054327B" w:rsidRDefault="00880030" w:rsidP="0054327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2019-20,</w:t>
            </w:r>
          </w:p>
          <w:p w14:paraId="5DAE164D" w14:textId="77777777" w:rsidR="0054327B" w:rsidRDefault="00880030" w:rsidP="0054327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2020-21,</w:t>
            </w:r>
          </w:p>
          <w:p w14:paraId="0A1C0084" w14:textId="2DD4F454" w:rsidR="00880030" w:rsidRPr="003A6D02" w:rsidRDefault="00880030" w:rsidP="0054327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2021-22</w:t>
            </w:r>
          </w:p>
        </w:tc>
        <w:tc>
          <w:tcPr>
            <w:tcW w:w="487" w:type="pct"/>
            <w:shd w:val="clear" w:color="auto" w:fill="D2E4F4" w:themeFill="accent2" w:themeFillTint="33"/>
          </w:tcPr>
          <w:p w14:paraId="6F4C758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6344E6D9"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r>
      <w:tr w:rsidR="00880030" w:rsidRPr="003A6D02" w14:paraId="5FB7E857"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2239B49A"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SE13h</w:t>
            </w:r>
          </w:p>
        </w:tc>
        <w:tc>
          <w:tcPr>
            <w:tcW w:w="760" w:type="pct"/>
          </w:tcPr>
          <w:p w14:paraId="1AD2493F"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SE13h Denominator</w:t>
            </w:r>
          </w:p>
        </w:tc>
        <w:tc>
          <w:tcPr>
            <w:tcW w:w="485" w:type="pct"/>
          </w:tcPr>
          <w:p w14:paraId="1050AC70"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ABS</w:t>
            </w:r>
          </w:p>
        </w:tc>
        <w:tc>
          <w:tcPr>
            <w:tcW w:w="826" w:type="pct"/>
          </w:tcPr>
          <w:p w14:paraId="01F40129"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Times New Roman" w:hAnsi="Arial" w:cs="Arial"/>
                <w:sz w:val="18"/>
                <w:szCs w:val="18"/>
                <w:lang w:eastAsia="en-AU"/>
              </w:rPr>
              <w:t>Population estimates and projections</w:t>
            </w:r>
          </w:p>
        </w:tc>
        <w:tc>
          <w:tcPr>
            <w:tcW w:w="486" w:type="pct"/>
          </w:tcPr>
          <w:p w14:paraId="08DD256A"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Annual</w:t>
            </w:r>
          </w:p>
        </w:tc>
        <w:tc>
          <w:tcPr>
            <w:tcW w:w="485" w:type="pct"/>
          </w:tcPr>
          <w:p w14:paraId="26F10AB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495" w:type="pct"/>
          </w:tcPr>
          <w:p w14:paraId="083593C0"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487" w:type="pct"/>
          </w:tcPr>
          <w:p w14:paraId="0A71DF98"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c>
          <w:tcPr>
            <w:tcW w:w="669" w:type="pct"/>
          </w:tcPr>
          <w:p w14:paraId="4D9B73D7"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w:t>
            </w:r>
          </w:p>
        </w:tc>
      </w:tr>
      <w:tr w:rsidR="00880030" w:rsidRPr="003A6D02" w14:paraId="394ED53F"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2D59430C"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SE14d</w:t>
            </w:r>
          </w:p>
        </w:tc>
        <w:tc>
          <w:tcPr>
            <w:tcW w:w="760" w:type="pct"/>
            <w:shd w:val="clear" w:color="auto" w:fill="D2E4F4" w:themeFill="accent2" w:themeFillTint="33"/>
          </w:tcPr>
          <w:p w14:paraId="546DFD59"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Proportion of Aboriginal and Torres Strait Islander people reporting experiencing psychological distress</w:t>
            </w:r>
          </w:p>
        </w:tc>
        <w:tc>
          <w:tcPr>
            <w:tcW w:w="485" w:type="pct"/>
            <w:shd w:val="clear" w:color="auto" w:fill="D2E4F4" w:themeFill="accent2" w:themeFillTint="33"/>
          </w:tcPr>
          <w:p w14:paraId="1A9D1EF1"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shd w:val="clear" w:color="auto" w:fill="D2E4F4" w:themeFill="accent2" w:themeFillTint="33"/>
          </w:tcPr>
          <w:p w14:paraId="18B8D4B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National Aboriginal and Torres Strait Islander Health Survey (NATSIHS)</w:t>
            </w:r>
          </w:p>
        </w:tc>
        <w:tc>
          <w:tcPr>
            <w:tcW w:w="486" w:type="pct"/>
            <w:shd w:val="clear" w:color="auto" w:fill="D2E4F4" w:themeFill="accent2" w:themeFillTint="33"/>
          </w:tcPr>
          <w:p w14:paraId="05C4A601"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3-6 yearly</w:t>
            </w:r>
          </w:p>
        </w:tc>
        <w:tc>
          <w:tcPr>
            <w:tcW w:w="485" w:type="pct"/>
            <w:shd w:val="clear" w:color="auto" w:fill="D2E4F4" w:themeFill="accent2" w:themeFillTint="33"/>
          </w:tcPr>
          <w:p w14:paraId="64213912"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2018-19</w:t>
            </w:r>
          </w:p>
        </w:tc>
        <w:tc>
          <w:tcPr>
            <w:tcW w:w="495" w:type="pct"/>
            <w:shd w:val="clear" w:color="auto" w:fill="D2E4F4" w:themeFill="accent2" w:themeFillTint="33"/>
          </w:tcPr>
          <w:p w14:paraId="69975708"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2018-19</w:t>
            </w:r>
          </w:p>
        </w:tc>
        <w:tc>
          <w:tcPr>
            <w:tcW w:w="487" w:type="pct"/>
            <w:shd w:val="clear" w:color="auto" w:fill="D2E4F4" w:themeFill="accent2" w:themeFillTint="33"/>
          </w:tcPr>
          <w:p w14:paraId="6DF2B288"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12B80970"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r>
      <w:tr w:rsidR="00880030" w:rsidRPr="003A6D02" w14:paraId="365843DF"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20579746"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SE14e</w:t>
            </w:r>
          </w:p>
        </w:tc>
        <w:tc>
          <w:tcPr>
            <w:tcW w:w="760" w:type="pct"/>
          </w:tcPr>
          <w:p w14:paraId="5B53138C"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Barriers accessing health services</w:t>
            </w:r>
          </w:p>
        </w:tc>
        <w:tc>
          <w:tcPr>
            <w:tcW w:w="485" w:type="pct"/>
          </w:tcPr>
          <w:p w14:paraId="1D21C7C4"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ABS</w:t>
            </w:r>
          </w:p>
        </w:tc>
        <w:tc>
          <w:tcPr>
            <w:tcW w:w="826" w:type="pct"/>
          </w:tcPr>
          <w:p w14:paraId="33F95EE1"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National Aboriginal and Torres Strait Islander Health Survey (NATSIHS)</w:t>
            </w:r>
          </w:p>
        </w:tc>
        <w:tc>
          <w:tcPr>
            <w:tcW w:w="486" w:type="pct"/>
          </w:tcPr>
          <w:p w14:paraId="00B9ABD1"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Periodic</w:t>
            </w:r>
          </w:p>
        </w:tc>
        <w:tc>
          <w:tcPr>
            <w:tcW w:w="485" w:type="pct"/>
          </w:tcPr>
          <w:p w14:paraId="6E012EBD"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2018-19</w:t>
            </w:r>
          </w:p>
        </w:tc>
        <w:tc>
          <w:tcPr>
            <w:tcW w:w="495" w:type="pct"/>
          </w:tcPr>
          <w:p w14:paraId="3E6B033F"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2018-19</w:t>
            </w:r>
          </w:p>
        </w:tc>
        <w:tc>
          <w:tcPr>
            <w:tcW w:w="487" w:type="pct"/>
          </w:tcPr>
          <w:p w14:paraId="2A684D32"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tc>
        <w:tc>
          <w:tcPr>
            <w:tcW w:w="669" w:type="pct"/>
          </w:tcPr>
          <w:p w14:paraId="7E6651AD"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2022-23</w:t>
            </w:r>
          </w:p>
        </w:tc>
      </w:tr>
      <w:tr w:rsidR="00880030" w:rsidRPr="003A6D02" w14:paraId="2DB48D6A"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73309CBF"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SE14g</w:t>
            </w:r>
          </w:p>
        </w:tc>
        <w:tc>
          <w:tcPr>
            <w:tcW w:w="760" w:type="pct"/>
            <w:shd w:val="clear" w:color="auto" w:fill="D2E4F4" w:themeFill="accent2" w:themeFillTint="33"/>
          </w:tcPr>
          <w:p w14:paraId="2AFA4A51"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Proportion of Aboriginal and Torres Strait Islander people experiencing racial prejudice</w:t>
            </w:r>
          </w:p>
        </w:tc>
        <w:tc>
          <w:tcPr>
            <w:tcW w:w="485" w:type="pct"/>
            <w:shd w:val="clear" w:color="auto" w:fill="D2E4F4" w:themeFill="accent2" w:themeFillTint="33"/>
          </w:tcPr>
          <w:p w14:paraId="5F01D3E0"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Reconciliation Australia</w:t>
            </w:r>
          </w:p>
        </w:tc>
        <w:tc>
          <w:tcPr>
            <w:tcW w:w="826" w:type="pct"/>
            <w:shd w:val="clear" w:color="auto" w:fill="D2E4F4" w:themeFill="accent2" w:themeFillTint="33"/>
          </w:tcPr>
          <w:p w14:paraId="642A1908"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Australian Reconciliation Barometer</w:t>
            </w:r>
          </w:p>
        </w:tc>
        <w:tc>
          <w:tcPr>
            <w:tcW w:w="486" w:type="pct"/>
            <w:shd w:val="clear" w:color="auto" w:fill="D2E4F4" w:themeFill="accent2" w:themeFillTint="33"/>
          </w:tcPr>
          <w:p w14:paraId="3E0F2DE2"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Bi-annual</w:t>
            </w:r>
          </w:p>
        </w:tc>
        <w:tc>
          <w:tcPr>
            <w:tcW w:w="485" w:type="pct"/>
            <w:shd w:val="clear" w:color="auto" w:fill="D2E4F4" w:themeFill="accent2" w:themeFillTint="33"/>
          </w:tcPr>
          <w:p w14:paraId="6760191B"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2022</w:t>
            </w:r>
          </w:p>
        </w:tc>
        <w:tc>
          <w:tcPr>
            <w:tcW w:w="495" w:type="pct"/>
            <w:shd w:val="clear" w:color="auto" w:fill="D2E4F4" w:themeFill="accent2" w:themeFillTint="33"/>
          </w:tcPr>
          <w:p w14:paraId="6CB01120"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2018, 2020, 2022</w:t>
            </w:r>
          </w:p>
        </w:tc>
        <w:tc>
          <w:tcPr>
            <w:tcW w:w="487" w:type="pct"/>
            <w:shd w:val="clear" w:color="auto" w:fill="D2E4F4" w:themeFill="accent2" w:themeFillTint="33"/>
          </w:tcPr>
          <w:p w14:paraId="398DDD2E"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126AFE90"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64DA1F97"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02A1F0B5"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SE15a</w:t>
            </w:r>
          </w:p>
        </w:tc>
        <w:tc>
          <w:tcPr>
            <w:tcW w:w="760" w:type="pct"/>
          </w:tcPr>
          <w:p w14:paraId="199BF10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Aboriginal and Torres Strait Islander people’s owned land and water titles</w:t>
            </w:r>
          </w:p>
        </w:tc>
        <w:tc>
          <w:tcPr>
            <w:tcW w:w="485" w:type="pct"/>
          </w:tcPr>
          <w:p w14:paraId="0E7A3F8A"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Indigenous Land and Sea Corporation (ILSC)</w:t>
            </w:r>
          </w:p>
        </w:tc>
        <w:tc>
          <w:tcPr>
            <w:tcW w:w="826" w:type="pct"/>
          </w:tcPr>
          <w:p w14:paraId="02E438C6"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 xml:space="preserve">ILSC Indigenous held land dataset </w:t>
            </w:r>
          </w:p>
        </w:tc>
        <w:tc>
          <w:tcPr>
            <w:tcW w:w="486" w:type="pct"/>
          </w:tcPr>
          <w:p w14:paraId="0862BAC8"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tcPr>
          <w:p w14:paraId="4EA43CA3"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tcPr>
          <w:p w14:paraId="0DB7099B" w14:textId="0ABA5D0A"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2020</w:t>
            </w:r>
            <w:r w:rsidR="000F263E">
              <w:rPr>
                <w:rFonts w:ascii="Arial" w:eastAsia="Aptos" w:hAnsi="Arial" w:cs="Arial"/>
                <w:sz w:val="18"/>
                <w:szCs w:val="18"/>
              </w:rPr>
              <w:t>-</w:t>
            </w:r>
            <w:r w:rsidRPr="003A6D02">
              <w:rPr>
                <w:rFonts w:ascii="Arial" w:eastAsia="Aptos" w:hAnsi="Arial" w:cs="Arial"/>
                <w:sz w:val="18"/>
                <w:szCs w:val="18"/>
              </w:rPr>
              <w:t>23</w:t>
            </w:r>
          </w:p>
        </w:tc>
        <w:tc>
          <w:tcPr>
            <w:tcW w:w="487" w:type="pct"/>
          </w:tcPr>
          <w:p w14:paraId="41F8460B"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tcPr>
          <w:p w14:paraId="6CA3D974"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484C4D89"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1EFAC5CA"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lastRenderedPageBreak/>
              <w:t>SE16c</w:t>
            </w:r>
          </w:p>
        </w:tc>
        <w:tc>
          <w:tcPr>
            <w:tcW w:w="760" w:type="pct"/>
            <w:shd w:val="clear" w:color="auto" w:fill="D2E4F4" w:themeFill="accent2" w:themeFillTint="33"/>
          </w:tcPr>
          <w:p w14:paraId="1582995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Number and age profile of the speakers of Aboriginal and Torres Strait Islander languages</w:t>
            </w:r>
          </w:p>
        </w:tc>
        <w:tc>
          <w:tcPr>
            <w:tcW w:w="485" w:type="pct"/>
            <w:shd w:val="clear" w:color="auto" w:fill="D2E4F4" w:themeFill="accent2" w:themeFillTint="33"/>
          </w:tcPr>
          <w:p w14:paraId="4E4293D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NILS</w:t>
            </w:r>
          </w:p>
          <w:p w14:paraId="6B2DD5F9"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br/>
              <w:t>M2: ABS</w:t>
            </w:r>
          </w:p>
        </w:tc>
        <w:tc>
          <w:tcPr>
            <w:tcW w:w="826" w:type="pct"/>
            <w:shd w:val="clear" w:color="auto" w:fill="D2E4F4" w:themeFill="accent2" w:themeFillTint="33"/>
          </w:tcPr>
          <w:p w14:paraId="5876A6D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NILS 3</w:t>
            </w:r>
          </w:p>
          <w:p w14:paraId="5AEC84C3"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br/>
              <w:t>M2: Census of Population and Housing</w:t>
            </w:r>
          </w:p>
        </w:tc>
        <w:tc>
          <w:tcPr>
            <w:tcW w:w="486" w:type="pct"/>
            <w:shd w:val="clear" w:color="auto" w:fill="D2E4F4" w:themeFill="accent2" w:themeFillTint="33"/>
          </w:tcPr>
          <w:p w14:paraId="3EAE1F2E"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Periodic</w:t>
            </w:r>
          </w:p>
          <w:p w14:paraId="38EF0898"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br/>
              <w:t>M2: Five-yearly</w:t>
            </w:r>
          </w:p>
        </w:tc>
        <w:tc>
          <w:tcPr>
            <w:tcW w:w="485" w:type="pct"/>
            <w:shd w:val="clear" w:color="auto" w:fill="D2E4F4" w:themeFill="accent2" w:themeFillTint="33"/>
          </w:tcPr>
          <w:p w14:paraId="4F3C0BDF" w14:textId="77777777" w:rsidR="002855E7"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2018-19</w:t>
            </w:r>
            <w:r w:rsidRPr="003A6D02">
              <w:rPr>
                <w:rFonts w:ascii="Arial" w:eastAsia="Aptos" w:hAnsi="Arial" w:cs="Arial"/>
                <w:sz w:val="18"/>
                <w:szCs w:val="18"/>
              </w:rPr>
              <w:br/>
            </w:r>
          </w:p>
          <w:p w14:paraId="452983BD" w14:textId="2CAEF6BA"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M2: 2021</w:t>
            </w:r>
          </w:p>
        </w:tc>
        <w:tc>
          <w:tcPr>
            <w:tcW w:w="495" w:type="pct"/>
            <w:shd w:val="clear" w:color="auto" w:fill="D2E4F4" w:themeFill="accent2" w:themeFillTint="33"/>
          </w:tcPr>
          <w:p w14:paraId="1746C028" w14:textId="77777777" w:rsidR="002855E7" w:rsidRDefault="00880030" w:rsidP="00D42105">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2018-19</w:t>
            </w:r>
            <w:r w:rsidRPr="003A6D02">
              <w:rPr>
                <w:rFonts w:ascii="Arial" w:eastAsia="Aptos" w:hAnsi="Arial" w:cs="Arial"/>
                <w:sz w:val="18"/>
                <w:szCs w:val="18"/>
              </w:rPr>
              <w:br/>
            </w:r>
          </w:p>
          <w:p w14:paraId="454ADE6A" w14:textId="4DA03CBB" w:rsidR="00880030" w:rsidRPr="00D42105" w:rsidRDefault="00880030" w:rsidP="00D42105">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M2: 2016,</w:t>
            </w:r>
            <w:r w:rsidR="002855E7">
              <w:rPr>
                <w:rFonts w:ascii="Arial" w:eastAsia="Aptos" w:hAnsi="Arial" w:cs="Arial"/>
                <w:sz w:val="18"/>
                <w:szCs w:val="18"/>
              </w:rPr>
              <w:t xml:space="preserve"> </w:t>
            </w:r>
            <w:r w:rsidRPr="003A6D02">
              <w:rPr>
                <w:rFonts w:ascii="Arial" w:eastAsia="Aptos" w:hAnsi="Arial" w:cs="Arial"/>
                <w:sz w:val="18"/>
                <w:szCs w:val="18"/>
              </w:rPr>
              <w:t>2021</w:t>
            </w:r>
          </w:p>
        </w:tc>
        <w:tc>
          <w:tcPr>
            <w:tcW w:w="487" w:type="pct"/>
            <w:shd w:val="clear" w:color="auto" w:fill="D2E4F4" w:themeFill="accent2" w:themeFillTint="33"/>
          </w:tcPr>
          <w:p w14:paraId="6443627F"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Jun-23</w:t>
            </w:r>
          </w:p>
        </w:tc>
        <w:tc>
          <w:tcPr>
            <w:tcW w:w="669" w:type="pct"/>
            <w:shd w:val="clear" w:color="auto" w:fill="D2E4F4" w:themeFill="accent2" w:themeFillTint="33"/>
          </w:tcPr>
          <w:p w14:paraId="7AAD1B98" w14:textId="77777777" w:rsidR="002855E7"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2019-21</w:t>
            </w:r>
            <w:r w:rsidRPr="003A6D02">
              <w:rPr>
                <w:rFonts w:ascii="Arial" w:eastAsia="Aptos" w:hAnsi="Arial" w:cs="Arial"/>
                <w:sz w:val="18"/>
                <w:szCs w:val="18"/>
              </w:rPr>
              <w:br/>
            </w:r>
          </w:p>
          <w:p w14:paraId="082681C0" w14:textId="1046796E"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M2: 2026</w:t>
            </w:r>
          </w:p>
        </w:tc>
      </w:tr>
      <w:tr w:rsidR="00880030" w:rsidRPr="003A6D02" w14:paraId="61028A60"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32474FBF"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SE16e</w:t>
            </w:r>
          </w:p>
        </w:tc>
        <w:tc>
          <w:tcPr>
            <w:tcW w:w="760" w:type="pct"/>
          </w:tcPr>
          <w:p w14:paraId="74CB1718"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Accessing Commonwealth funded Indigenous language centres</w:t>
            </w:r>
          </w:p>
        </w:tc>
        <w:tc>
          <w:tcPr>
            <w:tcW w:w="485" w:type="pct"/>
          </w:tcPr>
          <w:p w14:paraId="2E41E337"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Department of Infrastructure, Transport, Regional Development, Communications and the Arts</w:t>
            </w:r>
          </w:p>
        </w:tc>
        <w:tc>
          <w:tcPr>
            <w:tcW w:w="826" w:type="pct"/>
          </w:tcPr>
          <w:p w14:paraId="30B6733F"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rPr>
              <w:t>SmartyGrants grants management system</w:t>
            </w:r>
          </w:p>
        </w:tc>
        <w:tc>
          <w:tcPr>
            <w:tcW w:w="486" w:type="pct"/>
          </w:tcPr>
          <w:p w14:paraId="62700F8D"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Annual</w:t>
            </w:r>
          </w:p>
        </w:tc>
        <w:tc>
          <w:tcPr>
            <w:tcW w:w="485" w:type="pct"/>
          </w:tcPr>
          <w:p w14:paraId="001181FF"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2022-23</w:t>
            </w:r>
            <w:r w:rsidRPr="003A6D02">
              <w:rPr>
                <w:rFonts w:ascii="Arial" w:eastAsia="Aptos" w:hAnsi="Arial" w:cs="Arial"/>
                <w:sz w:val="18"/>
                <w:szCs w:val="18"/>
              </w:rPr>
              <w:br/>
              <w:t>M2: 2023</w:t>
            </w:r>
          </w:p>
        </w:tc>
        <w:tc>
          <w:tcPr>
            <w:tcW w:w="495" w:type="pct"/>
          </w:tcPr>
          <w:p w14:paraId="3AB4CB16" w14:textId="1EED91B4"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M1: 2018-19 to 2022-23</w:t>
            </w:r>
            <w:r w:rsidRPr="003A6D02">
              <w:rPr>
                <w:rFonts w:ascii="Arial" w:eastAsia="Aptos" w:hAnsi="Arial" w:cs="Arial"/>
                <w:sz w:val="18"/>
                <w:szCs w:val="18"/>
              </w:rPr>
              <w:br/>
              <w:t>M2: 2019</w:t>
            </w:r>
            <w:r w:rsidR="0054327B">
              <w:rPr>
                <w:rFonts w:ascii="Arial" w:eastAsia="Aptos" w:hAnsi="Arial" w:cs="Arial"/>
                <w:sz w:val="18"/>
                <w:szCs w:val="18"/>
              </w:rPr>
              <w:t>-</w:t>
            </w:r>
            <w:r w:rsidRPr="003A6D02">
              <w:rPr>
                <w:rFonts w:ascii="Arial" w:eastAsia="Aptos" w:hAnsi="Arial" w:cs="Arial"/>
                <w:sz w:val="18"/>
                <w:szCs w:val="18"/>
              </w:rPr>
              <w:t>23</w:t>
            </w:r>
          </w:p>
        </w:tc>
        <w:tc>
          <w:tcPr>
            <w:tcW w:w="487" w:type="pct"/>
          </w:tcPr>
          <w:p w14:paraId="44DFCE5B"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tcPr>
          <w:p w14:paraId="58FC457C"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M1: 2023-24</w:t>
            </w:r>
            <w:r w:rsidRPr="003A6D02">
              <w:rPr>
                <w:rFonts w:ascii="Arial" w:eastAsia="Aptos" w:hAnsi="Arial" w:cs="Arial"/>
                <w:sz w:val="18"/>
                <w:szCs w:val="18"/>
              </w:rPr>
              <w:br/>
              <w:t>M2: 2024</w:t>
            </w:r>
          </w:p>
        </w:tc>
      </w:tr>
      <w:tr w:rsidR="00880030" w:rsidRPr="003A6D02" w14:paraId="5C18CDFE"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39836708" w14:textId="77777777" w:rsidR="00880030" w:rsidRPr="003A6D02" w:rsidRDefault="00880030" w:rsidP="00D8023A">
            <w:pPr>
              <w:spacing w:before="60" w:after="0" w:line="240" w:lineRule="auto"/>
              <w:rPr>
                <w:rFonts w:ascii="Arial" w:eastAsia="Aptos" w:hAnsi="Arial" w:cs="Arial"/>
                <w:sz w:val="18"/>
                <w:szCs w:val="18"/>
              </w:rPr>
            </w:pPr>
            <w:r w:rsidRPr="003A6D02">
              <w:rPr>
                <w:rFonts w:ascii="Arial" w:eastAsia="Aptos" w:hAnsi="Arial" w:cs="Arial"/>
                <w:sz w:val="18"/>
                <w:szCs w:val="18"/>
              </w:rPr>
              <w:t>SE17a</w:t>
            </w:r>
          </w:p>
        </w:tc>
        <w:tc>
          <w:tcPr>
            <w:tcW w:w="760" w:type="pct"/>
            <w:shd w:val="clear" w:color="auto" w:fill="D2E4F4" w:themeFill="accent2" w:themeFillTint="33"/>
          </w:tcPr>
          <w:p w14:paraId="011475CD"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Digital Inclusion</w:t>
            </w:r>
          </w:p>
        </w:tc>
        <w:tc>
          <w:tcPr>
            <w:tcW w:w="485" w:type="pct"/>
            <w:shd w:val="clear" w:color="auto" w:fill="D2E4F4" w:themeFill="accent2" w:themeFillTint="33"/>
          </w:tcPr>
          <w:p w14:paraId="08F7EF6D"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The ARC Centre of Excellence for Automated Decision-Making and Society (ADM+S)</w:t>
            </w:r>
          </w:p>
        </w:tc>
        <w:tc>
          <w:tcPr>
            <w:tcW w:w="826" w:type="pct"/>
            <w:shd w:val="clear" w:color="auto" w:fill="D2E4F4" w:themeFill="accent2" w:themeFillTint="33"/>
          </w:tcPr>
          <w:p w14:paraId="2AA8D3AF"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A6D02">
              <w:rPr>
                <w:rFonts w:ascii="Arial" w:eastAsia="Aptos" w:hAnsi="Arial" w:cs="Arial"/>
                <w:sz w:val="18"/>
                <w:szCs w:val="18"/>
              </w:rPr>
              <w:t>Australian Digital Inclusion Index</w:t>
            </w:r>
          </w:p>
        </w:tc>
        <w:tc>
          <w:tcPr>
            <w:tcW w:w="486" w:type="pct"/>
            <w:shd w:val="clear" w:color="auto" w:fill="D2E4F4" w:themeFill="accent2" w:themeFillTint="33"/>
          </w:tcPr>
          <w:p w14:paraId="29CDB090"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Biannual</w:t>
            </w:r>
          </w:p>
        </w:tc>
        <w:tc>
          <w:tcPr>
            <w:tcW w:w="485" w:type="pct"/>
            <w:shd w:val="clear" w:color="auto" w:fill="D2E4F4" w:themeFill="accent2" w:themeFillTint="33"/>
          </w:tcPr>
          <w:p w14:paraId="52FB472F"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0CE6C77B"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2015 to 2023</w:t>
            </w:r>
          </w:p>
        </w:tc>
        <w:tc>
          <w:tcPr>
            <w:tcW w:w="487" w:type="pct"/>
            <w:shd w:val="clear" w:color="auto" w:fill="D2E4F4" w:themeFill="accent2" w:themeFillTint="33"/>
          </w:tcPr>
          <w:p w14:paraId="0C7F7CF9"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Jul-24</w:t>
            </w:r>
          </w:p>
        </w:tc>
        <w:tc>
          <w:tcPr>
            <w:tcW w:w="669" w:type="pct"/>
            <w:shd w:val="clear" w:color="auto" w:fill="D2E4F4" w:themeFill="accent2" w:themeFillTint="33"/>
          </w:tcPr>
          <w:p w14:paraId="11EA1448"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r w:rsidR="00880030" w:rsidRPr="003A6D02" w14:paraId="2CDFDA4C" w14:textId="77777777" w:rsidTr="000908EF">
        <w:trPr>
          <w:trHeight w:val="262"/>
        </w:trPr>
        <w:tc>
          <w:tcPr>
            <w:cnfStyle w:val="001000000000" w:firstRow="0" w:lastRow="0" w:firstColumn="1" w:lastColumn="0" w:oddVBand="0" w:evenVBand="0" w:oddHBand="0" w:evenHBand="0" w:firstRowFirstColumn="0" w:firstRowLastColumn="0" w:lastRowFirstColumn="0" w:lastRowLastColumn="0"/>
            <w:tcW w:w="306" w:type="pct"/>
          </w:tcPr>
          <w:p w14:paraId="3EA3802F"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SE17e</w:t>
            </w:r>
          </w:p>
        </w:tc>
        <w:tc>
          <w:tcPr>
            <w:tcW w:w="760" w:type="pct"/>
          </w:tcPr>
          <w:p w14:paraId="21796F08"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Proportion of Aboriginal and Torres Strait Islander people using internet to access government services for private purposes</w:t>
            </w:r>
          </w:p>
        </w:tc>
        <w:tc>
          <w:tcPr>
            <w:tcW w:w="485" w:type="pct"/>
          </w:tcPr>
          <w:p w14:paraId="4AA54538"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ABS</w:t>
            </w:r>
          </w:p>
        </w:tc>
        <w:tc>
          <w:tcPr>
            <w:tcW w:w="826" w:type="pct"/>
          </w:tcPr>
          <w:p w14:paraId="415D61D7" w14:textId="77777777" w:rsidR="00880030" w:rsidRPr="003A6D02" w:rsidRDefault="00DD7E8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u w:val="single"/>
                <w:lang w:eastAsia="en-AU"/>
              </w:rPr>
            </w:pPr>
            <w:hyperlink r:id="rId137" w:history="1">
              <w:r w:rsidR="00880030" w:rsidRPr="003A6D02">
                <w:rPr>
                  <w:rFonts w:ascii="Arial" w:eastAsia="Aptos" w:hAnsi="Arial" w:cs="Arial"/>
                  <w:sz w:val="18"/>
                  <w:szCs w:val="18"/>
                  <w:u w:val="single"/>
                </w:rPr>
                <w:t>National Aboriginal and Torres Strait Islander Social Survey (NATSISS)</w:t>
              </w:r>
            </w:hyperlink>
          </w:p>
        </w:tc>
        <w:tc>
          <w:tcPr>
            <w:tcW w:w="486" w:type="pct"/>
          </w:tcPr>
          <w:p w14:paraId="367F4F8B" w14:textId="77777777" w:rsidR="00880030" w:rsidRPr="003A6D02" w:rsidRDefault="00880030" w:rsidP="00D8023A">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Periodic</w:t>
            </w:r>
          </w:p>
        </w:tc>
        <w:tc>
          <w:tcPr>
            <w:tcW w:w="485" w:type="pct"/>
          </w:tcPr>
          <w:p w14:paraId="4D1B6A8D"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2014-15</w:t>
            </w:r>
          </w:p>
        </w:tc>
        <w:tc>
          <w:tcPr>
            <w:tcW w:w="495" w:type="pct"/>
          </w:tcPr>
          <w:p w14:paraId="2FD38202"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2014-15</w:t>
            </w:r>
          </w:p>
        </w:tc>
        <w:tc>
          <w:tcPr>
            <w:tcW w:w="487" w:type="pct"/>
          </w:tcPr>
          <w:p w14:paraId="602F57F2"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Jun-22</w:t>
            </w:r>
          </w:p>
        </w:tc>
        <w:tc>
          <w:tcPr>
            <w:tcW w:w="669" w:type="pct"/>
          </w:tcPr>
          <w:p w14:paraId="134DDB39" w14:textId="77777777" w:rsidR="00880030" w:rsidRPr="003A6D02" w:rsidRDefault="00880030" w:rsidP="00D8023A">
            <w:pPr>
              <w:spacing w:before="6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tbc</w:t>
            </w:r>
          </w:p>
        </w:tc>
      </w:tr>
      <w:tr w:rsidR="00880030" w:rsidRPr="003A6D02" w14:paraId="73D4BF8E" w14:textId="77777777" w:rsidTr="000908EF">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06" w:type="pct"/>
            <w:shd w:val="clear" w:color="auto" w:fill="D2E4F4" w:themeFill="accent2" w:themeFillTint="33"/>
          </w:tcPr>
          <w:p w14:paraId="22C65F1E" w14:textId="77777777" w:rsidR="00880030" w:rsidRPr="003A6D02" w:rsidRDefault="00880030" w:rsidP="00D8023A">
            <w:pPr>
              <w:spacing w:before="60" w:after="0" w:line="240" w:lineRule="auto"/>
              <w:rPr>
                <w:rFonts w:ascii="Arial" w:eastAsia="Times New Roman" w:hAnsi="Arial" w:cs="Arial"/>
                <w:sz w:val="18"/>
                <w:szCs w:val="18"/>
                <w:lang w:eastAsia="en-AU"/>
              </w:rPr>
            </w:pPr>
            <w:r w:rsidRPr="003A6D02">
              <w:rPr>
                <w:rFonts w:ascii="Arial" w:eastAsia="Aptos" w:hAnsi="Arial" w:cs="Arial"/>
                <w:sz w:val="18"/>
                <w:szCs w:val="18"/>
              </w:rPr>
              <w:t>SE17g</w:t>
            </w:r>
          </w:p>
        </w:tc>
        <w:tc>
          <w:tcPr>
            <w:tcW w:w="760" w:type="pct"/>
            <w:shd w:val="clear" w:color="auto" w:fill="D2E4F4" w:themeFill="accent2" w:themeFillTint="33"/>
          </w:tcPr>
          <w:p w14:paraId="2F3BBCA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Number and location of community broadcast licenses with an Indigenous interest</w:t>
            </w:r>
          </w:p>
        </w:tc>
        <w:tc>
          <w:tcPr>
            <w:tcW w:w="485" w:type="pct"/>
            <w:shd w:val="clear" w:color="auto" w:fill="D2E4F4" w:themeFill="accent2" w:themeFillTint="33"/>
          </w:tcPr>
          <w:p w14:paraId="21C0C901"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Australian Communications and Media Authority (ACMA)</w:t>
            </w:r>
          </w:p>
        </w:tc>
        <w:tc>
          <w:tcPr>
            <w:tcW w:w="826" w:type="pct"/>
            <w:shd w:val="clear" w:color="auto" w:fill="D2E4F4" w:themeFill="accent2" w:themeFillTint="33"/>
          </w:tcPr>
          <w:p w14:paraId="7BEBF4A4"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u w:val="single"/>
                <w:lang w:eastAsia="en-AU"/>
              </w:rPr>
            </w:pPr>
            <w:r w:rsidRPr="003A6D02">
              <w:rPr>
                <w:rFonts w:ascii="Arial" w:eastAsia="Aptos" w:hAnsi="Arial" w:cs="Arial"/>
                <w:sz w:val="18"/>
                <w:szCs w:val="18"/>
                <w:u w:val="single"/>
              </w:rPr>
              <w:t>Community Radio Broadcasting Licences</w:t>
            </w:r>
          </w:p>
        </w:tc>
        <w:tc>
          <w:tcPr>
            <w:tcW w:w="486" w:type="pct"/>
            <w:shd w:val="clear" w:color="auto" w:fill="D2E4F4" w:themeFill="accent2" w:themeFillTint="33"/>
          </w:tcPr>
          <w:p w14:paraId="26152A25" w14:textId="77777777" w:rsidR="00880030" w:rsidRPr="003A6D02" w:rsidRDefault="00880030" w:rsidP="00D8023A">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Periodic</w:t>
            </w:r>
          </w:p>
        </w:tc>
        <w:tc>
          <w:tcPr>
            <w:tcW w:w="485" w:type="pct"/>
            <w:shd w:val="clear" w:color="auto" w:fill="D2E4F4" w:themeFill="accent2" w:themeFillTint="33"/>
          </w:tcPr>
          <w:p w14:paraId="14FE9CF1"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2023</w:t>
            </w:r>
          </w:p>
        </w:tc>
        <w:tc>
          <w:tcPr>
            <w:tcW w:w="495" w:type="pct"/>
            <w:shd w:val="clear" w:color="auto" w:fill="D2E4F4" w:themeFill="accent2" w:themeFillTint="33"/>
          </w:tcPr>
          <w:p w14:paraId="06D798AE" w14:textId="3C48368E"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n-AU"/>
              </w:rPr>
            </w:pPr>
            <w:r w:rsidRPr="003A6D02">
              <w:rPr>
                <w:rFonts w:ascii="Arial" w:eastAsia="Aptos" w:hAnsi="Arial" w:cs="Arial"/>
                <w:sz w:val="18"/>
                <w:szCs w:val="18"/>
              </w:rPr>
              <w:t>2015-23</w:t>
            </w:r>
          </w:p>
        </w:tc>
        <w:tc>
          <w:tcPr>
            <w:tcW w:w="487" w:type="pct"/>
            <w:shd w:val="clear" w:color="auto" w:fill="D2E4F4" w:themeFill="accent2" w:themeFillTint="33"/>
          </w:tcPr>
          <w:p w14:paraId="1808F77F"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Mar-24</w:t>
            </w:r>
          </w:p>
        </w:tc>
        <w:tc>
          <w:tcPr>
            <w:tcW w:w="669" w:type="pct"/>
            <w:shd w:val="clear" w:color="auto" w:fill="D2E4F4" w:themeFill="accent2" w:themeFillTint="33"/>
          </w:tcPr>
          <w:p w14:paraId="2B0B8407" w14:textId="77777777" w:rsidR="00880030" w:rsidRPr="003A6D02" w:rsidRDefault="00880030" w:rsidP="00D8023A">
            <w:pPr>
              <w:spacing w:before="6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Aptos" w:hAnsi="Arial" w:cs="Arial"/>
                <w:sz w:val="18"/>
                <w:szCs w:val="18"/>
              </w:rPr>
            </w:pPr>
            <w:r w:rsidRPr="003A6D02">
              <w:rPr>
                <w:rFonts w:ascii="Arial" w:eastAsia="Aptos" w:hAnsi="Arial" w:cs="Arial"/>
                <w:sz w:val="18"/>
                <w:szCs w:val="18"/>
              </w:rPr>
              <w:t>2024</w:t>
            </w:r>
          </w:p>
        </w:tc>
      </w:tr>
    </w:tbl>
    <w:p w14:paraId="2309EFF7" w14:textId="7B5EEAB5" w:rsidR="00D2340F" w:rsidRPr="00EB023E" w:rsidRDefault="00DF743E" w:rsidP="0004061D">
      <w:pPr>
        <w:pStyle w:val="Note"/>
        <w:rPr>
          <w:lang w:eastAsia="en-AU"/>
        </w:rPr>
        <w:sectPr w:rsidR="00D2340F" w:rsidRPr="00EB023E" w:rsidSect="005C738F">
          <w:headerReference w:type="default" r:id="rId138"/>
          <w:footerReference w:type="even" r:id="rId139"/>
          <w:footerReference w:type="default" r:id="rId140"/>
          <w:pgSz w:w="16838" w:h="11906" w:orient="landscape" w:code="9"/>
          <w:pgMar w:top="1134" w:right="1134" w:bottom="1134" w:left="1134" w:header="794" w:footer="510" w:gutter="0"/>
          <w:cols w:space="708"/>
          <w:docGrid w:linePitch="360"/>
        </w:sectPr>
      </w:pPr>
      <w:r>
        <w:rPr>
          <w:lang w:eastAsia="en-AU"/>
        </w:rPr>
        <w:t xml:space="preserve">Note: </w:t>
      </w:r>
      <w:r w:rsidR="00313862" w:rsidRPr="00EB023E">
        <w:rPr>
          <w:lang w:eastAsia="en-AU"/>
        </w:rPr>
        <w:t>## R</w:t>
      </w:r>
      <w:r w:rsidR="00EB023E" w:rsidRPr="00EB023E">
        <w:rPr>
          <w:lang w:eastAsia="en-AU"/>
        </w:rPr>
        <w:t>evised population data to be published by the ABS in 2024 (likely to be incorporated into the dashboard in 2025)</w:t>
      </w:r>
    </w:p>
    <w:p w14:paraId="4F47A87A" w14:textId="35C82BF7" w:rsidR="000E3A6D" w:rsidRPr="00134A80" w:rsidRDefault="000E3A6D" w:rsidP="00134A80">
      <w:pPr>
        <w:pStyle w:val="Heading3"/>
        <w:rPr>
          <w:color w:val="B65627"/>
          <w:lang w:eastAsia="en-AU"/>
        </w:rPr>
      </w:pPr>
      <w:r w:rsidRPr="00134A80">
        <w:rPr>
          <w:color w:val="B65627"/>
          <w:lang w:eastAsia="en-AU"/>
        </w:rPr>
        <w:lastRenderedPageBreak/>
        <w:t xml:space="preserve">Attachment 3 – Closing the Gap </w:t>
      </w:r>
      <w:r w:rsidR="00426BE3">
        <w:rPr>
          <w:color w:val="B65627"/>
          <w:lang w:eastAsia="en-AU"/>
        </w:rPr>
        <w:t>g</w:t>
      </w:r>
      <w:r w:rsidRPr="00134A80">
        <w:rPr>
          <w:color w:val="B65627"/>
          <w:lang w:eastAsia="en-AU"/>
        </w:rPr>
        <w:t xml:space="preserve">overnance </w:t>
      </w:r>
      <w:r w:rsidR="00426BE3">
        <w:rPr>
          <w:color w:val="B65627"/>
          <w:lang w:eastAsia="en-AU"/>
        </w:rPr>
        <w:t>f</w:t>
      </w:r>
      <w:r w:rsidRPr="00134A80">
        <w:rPr>
          <w:color w:val="B65627"/>
          <w:lang w:eastAsia="en-AU"/>
        </w:rPr>
        <w:t>rameworks</w:t>
      </w:r>
    </w:p>
    <w:p w14:paraId="0B1730AF" w14:textId="77777777" w:rsidR="000E3A6D" w:rsidRPr="000E3A6D" w:rsidRDefault="000E3A6D" w:rsidP="00134A80">
      <w:pPr>
        <w:pStyle w:val="BodyText"/>
        <w:rPr>
          <w:lang w:eastAsia="en-AU"/>
        </w:rPr>
      </w:pPr>
      <w:r w:rsidRPr="000E3A6D">
        <w:rPr>
          <w:lang w:eastAsia="en-AU"/>
        </w:rPr>
        <w:t xml:space="preserve">The public implementation and accountability frameworks under the National Agreement on Closing the Gap comprise a number of elements (figure A2). Together these elements commit the Parties – the Commonwealth, State and Territory governments, the Australian Local Government Association and the Coalition of Aboriginal and Torres Strait Islander Peak Organisations − to implement and be accountable for the agreed actions and progress under the Agreement. </w:t>
      </w:r>
    </w:p>
    <w:p w14:paraId="13B34D51" w14:textId="77777777" w:rsidR="000E3A6D" w:rsidRPr="000E3A6D" w:rsidRDefault="000E3A6D" w:rsidP="00B260C3">
      <w:pPr>
        <w:pStyle w:val="FigureTableHeading"/>
        <w:rPr>
          <w:lang w:eastAsia="en-AU"/>
        </w:rPr>
      </w:pPr>
      <w:r w:rsidRPr="000E3A6D">
        <w:rPr>
          <w:rFonts w:cs="Arial"/>
          <w:lang w:eastAsia="en-AU"/>
        </w:rPr>
        <w:t xml:space="preserve">Figure A2 </w:t>
      </w:r>
      <w:r w:rsidRPr="000E3A6D">
        <w:rPr>
          <w:lang w:eastAsia="en-AU"/>
        </w:rPr>
        <w:t>– Public Implementation and Accountability Frameworks</w:t>
      </w:r>
    </w:p>
    <w:p w14:paraId="60A9E88D" w14:textId="77777777" w:rsidR="000E3A6D" w:rsidRPr="000E3A6D" w:rsidRDefault="000E3A6D" w:rsidP="000E3A6D">
      <w:pPr>
        <w:rPr>
          <w:rFonts w:ascii="Arial" w:eastAsia="Times New Roman" w:hAnsi="Arial" w:cs="Arial"/>
          <w:kern w:val="2"/>
          <w:lang w:eastAsia="en-AU"/>
          <w14:ligatures w14:val="standardContextual"/>
        </w:rPr>
      </w:pPr>
      <w:r w:rsidRPr="000E3A6D">
        <w:rPr>
          <w:noProof/>
        </w:rPr>
        <w:drawing>
          <wp:inline distT="0" distB="0" distL="0" distR="0" wp14:anchorId="46752710" wp14:editId="1729229F">
            <wp:extent cx="6120130" cy="6392545"/>
            <wp:effectExtent l="0" t="0" r="0" b="8255"/>
            <wp:docPr id="1537337572" name="Picture 5" descr="Figure A2 shows the framework which guides the implementation and public accountability of Closing the Gap. Public accountability, through actions such as the Dashboard and the Annual Data Compilation Report, support implementation of Closing the G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37572" name="Picture 5" descr="Figure A2 shows the framework which guides the implementation and public accountability of Closing the Gap. Public accountability, through actions such as the Dashboard and the Annual Data Compilation Report, support implementation of Closing the Gap. "/>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130" cy="6392545"/>
                    </a:xfrm>
                    <a:prstGeom prst="rect">
                      <a:avLst/>
                    </a:prstGeom>
                    <a:noFill/>
                    <a:ln>
                      <a:noFill/>
                    </a:ln>
                  </pic:spPr>
                </pic:pic>
              </a:graphicData>
            </a:graphic>
          </wp:inline>
        </w:drawing>
      </w:r>
    </w:p>
    <w:p w14:paraId="714B580A" w14:textId="77777777" w:rsidR="000E3A6D" w:rsidRPr="000E3A6D" w:rsidRDefault="000E3A6D" w:rsidP="000E3A6D">
      <w:pPr>
        <w:rPr>
          <w:lang w:eastAsia="en-AU"/>
        </w:rPr>
      </w:pPr>
    </w:p>
    <w:p w14:paraId="727D6A45" w14:textId="77777777" w:rsidR="000E3A6D" w:rsidRPr="000E3A6D" w:rsidRDefault="000E3A6D" w:rsidP="008B57D8">
      <w:pPr>
        <w:pStyle w:val="Heading3"/>
        <w:rPr>
          <w:lang w:eastAsia="en-AU"/>
        </w:rPr>
      </w:pPr>
      <w:r w:rsidRPr="000E3A6D">
        <w:rPr>
          <w:lang w:eastAsia="en-AU"/>
        </w:rPr>
        <w:br w:type="page"/>
      </w:r>
      <w:r w:rsidRPr="008B57D8">
        <w:rPr>
          <w:color w:val="B65627"/>
          <w:lang w:eastAsia="en-AU"/>
        </w:rPr>
        <w:lastRenderedPageBreak/>
        <w:t>Attachment 4 – State and territory assessment of progress</w:t>
      </w:r>
    </w:p>
    <w:p w14:paraId="6D3CC1BB" w14:textId="1D81DE2F" w:rsidR="000E3A6D" w:rsidRPr="000E3A6D" w:rsidRDefault="000E3A6D" w:rsidP="003167C2">
      <w:pPr>
        <w:pStyle w:val="BodyText"/>
        <w:rPr>
          <w:lang w:eastAsia="en-AU"/>
        </w:rPr>
      </w:pPr>
      <w:r w:rsidRPr="000E3A6D">
        <w:rPr>
          <w:lang w:eastAsia="en-AU"/>
        </w:rPr>
        <w:t>T</w:t>
      </w:r>
      <w:r w:rsidRPr="000E3A6D">
        <w:rPr>
          <w:kern w:val="2"/>
          <w:lang w:eastAsia="en-AU"/>
        </w:rPr>
        <w:t xml:space="preserve">here are no </w:t>
      </w:r>
      <w:r w:rsidRPr="000E3A6D">
        <w:rPr>
          <w:lang w:eastAsia="en-AU"/>
        </w:rPr>
        <w:t xml:space="preserve">state and territory </w:t>
      </w:r>
      <w:r w:rsidRPr="000E3A6D">
        <w:rPr>
          <w:kern w:val="2"/>
          <w:lang w:eastAsia="en-AU"/>
        </w:rPr>
        <w:t xml:space="preserve">targets. </w:t>
      </w:r>
      <w:r w:rsidRPr="000E3A6D">
        <w:rPr>
          <w:lang w:eastAsia="en-AU"/>
        </w:rPr>
        <w:t>The state and territory assessments in table A</w:t>
      </w:r>
      <w:r w:rsidR="003E6BCB">
        <w:rPr>
          <w:lang w:eastAsia="en-AU"/>
        </w:rPr>
        <w:t>3</w:t>
      </w:r>
      <w:r w:rsidRPr="000E3A6D">
        <w:rPr>
          <w:lang w:eastAsia="en-AU"/>
        </w:rPr>
        <w:t xml:space="preserve"> reflect progress from the baseline year (improving, worsening or no change). The assessments for Australia reflect progress from the baseline towards the national target.</w:t>
      </w:r>
    </w:p>
    <w:p w14:paraId="293F7ED1" w14:textId="2A7C6601" w:rsidR="000E3A6D" w:rsidRPr="000E3A6D" w:rsidRDefault="000E3A6D" w:rsidP="003167C2">
      <w:pPr>
        <w:pStyle w:val="FigureTableHeading"/>
        <w:rPr>
          <w:rFonts w:ascii="Arial" w:eastAsia="Times New Roman" w:hAnsi="Arial" w:cs="Arial"/>
          <w:color w:val="FF0000"/>
          <w:kern w:val="2"/>
          <w:lang w:eastAsia="en-AU"/>
        </w:rPr>
      </w:pPr>
      <w:r w:rsidRPr="000E3A6D">
        <w:rPr>
          <w:rFonts w:cs="Aptos Narrow"/>
          <w:noProof/>
        </w:rPr>
        <w:t>Table A</w:t>
      </w:r>
      <w:r w:rsidR="00B846CC">
        <w:rPr>
          <w:rFonts w:cs="Aptos Narrow"/>
          <w:noProof/>
        </w:rPr>
        <w:t>3</w:t>
      </w:r>
      <w:r w:rsidRPr="000E3A6D">
        <w:rPr>
          <w:rFonts w:ascii="Aptos Narrow" w:hAnsi="Aptos Narrow" w:cs="Aptos Narrow"/>
          <w:noProof/>
        </w:rPr>
        <w:t xml:space="preserve"> </w:t>
      </w:r>
      <w:r w:rsidRPr="000E3A6D">
        <w:rPr>
          <w:noProof/>
        </w:rPr>
        <w:t>- Assessment of progress for states and territories across the national targets</w:t>
      </w:r>
    </w:p>
    <w:tbl>
      <w:tblPr>
        <w:tblW w:w="9396" w:type="dxa"/>
        <w:tblInd w:w="1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15" w:type="dxa"/>
          <w:bottom w:w="15" w:type="dxa"/>
        </w:tblCellMar>
        <w:tblLook w:val="04A0" w:firstRow="1" w:lastRow="0" w:firstColumn="1" w:lastColumn="0" w:noHBand="0" w:noVBand="1"/>
      </w:tblPr>
      <w:tblGrid>
        <w:gridCol w:w="1642"/>
        <w:gridCol w:w="717"/>
        <w:gridCol w:w="835"/>
        <w:gridCol w:w="835"/>
        <w:gridCol w:w="835"/>
        <w:gridCol w:w="835"/>
        <w:gridCol w:w="835"/>
        <w:gridCol w:w="835"/>
        <w:gridCol w:w="835"/>
        <w:gridCol w:w="1192"/>
      </w:tblGrid>
      <w:tr w:rsidR="000E3A6D" w:rsidRPr="000E3A6D" w14:paraId="0BD85A37" w14:textId="77777777" w:rsidTr="007149D4">
        <w:trPr>
          <w:trHeight w:val="515"/>
        </w:trPr>
        <w:tc>
          <w:tcPr>
            <w:tcW w:w="1642" w:type="dxa"/>
            <w:tcBorders>
              <w:left w:val="single" w:sz="4" w:space="0" w:color="DBDCDE"/>
            </w:tcBorders>
            <w:shd w:val="clear" w:color="auto" w:fill="194B71"/>
            <w:vAlign w:val="center"/>
            <w:hideMark/>
          </w:tcPr>
          <w:p w14:paraId="03F0D106" w14:textId="77777777" w:rsidR="000E3A6D" w:rsidRPr="000E3A6D" w:rsidRDefault="000E3A6D" w:rsidP="000E3A6D">
            <w:pPr>
              <w:spacing w:before="0" w:after="0" w:line="240" w:lineRule="auto"/>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Target</w:t>
            </w:r>
          </w:p>
        </w:tc>
        <w:tc>
          <w:tcPr>
            <w:tcW w:w="717" w:type="dxa"/>
            <w:shd w:val="clear" w:color="auto" w:fill="194B71"/>
            <w:vAlign w:val="center"/>
            <w:hideMark/>
          </w:tcPr>
          <w:p w14:paraId="488F9664"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NSW</w:t>
            </w:r>
          </w:p>
        </w:tc>
        <w:tc>
          <w:tcPr>
            <w:tcW w:w="835" w:type="dxa"/>
            <w:shd w:val="clear" w:color="auto" w:fill="194B71"/>
            <w:vAlign w:val="center"/>
            <w:hideMark/>
          </w:tcPr>
          <w:p w14:paraId="4789518B" w14:textId="5235677B"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V</w:t>
            </w:r>
            <w:r w:rsidR="00904E7F">
              <w:rPr>
                <w:rFonts w:ascii="Arial" w:eastAsia="Times New Roman" w:hAnsi="Arial" w:cs="Arial"/>
                <w:b/>
                <w:bCs/>
                <w:color w:val="FFFFFF"/>
                <w:sz w:val="18"/>
                <w:szCs w:val="18"/>
                <w:lang w:eastAsia="en-GB"/>
              </w:rPr>
              <w:t>ic</w:t>
            </w:r>
          </w:p>
        </w:tc>
        <w:tc>
          <w:tcPr>
            <w:tcW w:w="835" w:type="dxa"/>
            <w:shd w:val="clear" w:color="auto" w:fill="194B71"/>
            <w:vAlign w:val="center"/>
            <w:hideMark/>
          </w:tcPr>
          <w:p w14:paraId="7A0A2BD1" w14:textId="5E6C229D"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Q</w:t>
            </w:r>
            <w:r w:rsidR="00904E7F">
              <w:rPr>
                <w:rFonts w:ascii="Arial" w:eastAsia="Times New Roman" w:hAnsi="Arial" w:cs="Arial"/>
                <w:b/>
                <w:bCs/>
                <w:color w:val="FFFFFF"/>
                <w:sz w:val="18"/>
                <w:szCs w:val="18"/>
                <w:lang w:eastAsia="en-GB"/>
              </w:rPr>
              <w:t>ld</w:t>
            </w:r>
          </w:p>
        </w:tc>
        <w:tc>
          <w:tcPr>
            <w:tcW w:w="835" w:type="dxa"/>
            <w:shd w:val="clear" w:color="auto" w:fill="194B71"/>
            <w:vAlign w:val="center"/>
            <w:hideMark/>
          </w:tcPr>
          <w:p w14:paraId="733FE776"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WA</w:t>
            </w:r>
          </w:p>
        </w:tc>
        <w:tc>
          <w:tcPr>
            <w:tcW w:w="835" w:type="dxa"/>
            <w:shd w:val="clear" w:color="auto" w:fill="194B71"/>
            <w:vAlign w:val="center"/>
            <w:hideMark/>
          </w:tcPr>
          <w:p w14:paraId="759F817D"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SA</w:t>
            </w:r>
          </w:p>
        </w:tc>
        <w:tc>
          <w:tcPr>
            <w:tcW w:w="835" w:type="dxa"/>
            <w:shd w:val="clear" w:color="auto" w:fill="194B71"/>
            <w:vAlign w:val="center"/>
            <w:hideMark/>
          </w:tcPr>
          <w:p w14:paraId="0337A0B5" w14:textId="0E8357C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T</w:t>
            </w:r>
            <w:r w:rsidR="00904E7F">
              <w:rPr>
                <w:rFonts w:ascii="Arial" w:eastAsia="Times New Roman" w:hAnsi="Arial" w:cs="Arial"/>
                <w:b/>
                <w:bCs/>
                <w:color w:val="FFFFFF"/>
                <w:sz w:val="18"/>
                <w:szCs w:val="18"/>
                <w:lang w:eastAsia="en-GB"/>
              </w:rPr>
              <w:t>as</w:t>
            </w:r>
          </w:p>
        </w:tc>
        <w:tc>
          <w:tcPr>
            <w:tcW w:w="835" w:type="dxa"/>
            <w:shd w:val="clear" w:color="auto" w:fill="194B71"/>
            <w:vAlign w:val="center"/>
            <w:hideMark/>
          </w:tcPr>
          <w:p w14:paraId="081D02D2"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ACT</w:t>
            </w:r>
          </w:p>
        </w:tc>
        <w:tc>
          <w:tcPr>
            <w:tcW w:w="835" w:type="dxa"/>
            <w:shd w:val="clear" w:color="auto" w:fill="194B71"/>
            <w:vAlign w:val="center"/>
            <w:hideMark/>
          </w:tcPr>
          <w:p w14:paraId="5C01D535"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NT</w:t>
            </w:r>
          </w:p>
        </w:tc>
        <w:tc>
          <w:tcPr>
            <w:tcW w:w="1192" w:type="dxa"/>
            <w:tcBorders>
              <w:right w:val="single" w:sz="4" w:space="0" w:color="DBDCDE"/>
            </w:tcBorders>
            <w:shd w:val="clear" w:color="auto" w:fill="194B71"/>
            <w:noWrap/>
            <w:vAlign w:val="center"/>
            <w:hideMark/>
          </w:tcPr>
          <w:p w14:paraId="4D5D3573" w14:textId="77777777" w:rsidR="000E3A6D" w:rsidRPr="000E3A6D" w:rsidRDefault="000E3A6D" w:rsidP="000E3A6D">
            <w:pPr>
              <w:spacing w:before="0" w:after="0" w:line="240" w:lineRule="auto"/>
              <w:jc w:val="center"/>
              <w:rPr>
                <w:rFonts w:ascii="Arial" w:eastAsia="Times New Roman" w:hAnsi="Arial" w:cs="Arial"/>
                <w:b/>
                <w:bCs/>
                <w:color w:val="FFFFFF"/>
                <w:sz w:val="18"/>
                <w:szCs w:val="18"/>
                <w:lang w:eastAsia="en-GB"/>
              </w:rPr>
            </w:pPr>
            <w:r w:rsidRPr="000E3A6D">
              <w:rPr>
                <w:rFonts w:ascii="Arial" w:eastAsia="Times New Roman" w:hAnsi="Arial" w:cs="Arial"/>
                <w:b/>
                <w:bCs/>
                <w:color w:val="FFFFFF"/>
                <w:sz w:val="18"/>
                <w:szCs w:val="18"/>
                <w:lang w:eastAsia="en-GB"/>
              </w:rPr>
              <w:t>Aust</w:t>
            </w:r>
          </w:p>
        </w:tc>
      </w:tr>
      <w:tr w:rsidR="000E3A6D" w:rsidRPr="000E3A6D" w14:paraId="513F3192" w14:textId="77777777" w:rsidTr="007149D4">
        <w:trPr>
          <w:trHeight w:val="386"/>
        </w:trPr>
        <w:tc>
          <w:tcPr>
            <w:tcW w:w="1642" w:type="dxa"/>
            <w:noWrap/>
            <w:vAlign w:val="center"/>
            <w:hideMark/>
          </w:tcPr>
          <w:p w14:paraId="0609B6DE"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1 - males</w:t>
            </w:r>
          </w:p>
        </w:tc>
        <w:tc>
          <w:tcPr>
            <w:tcW w:w="717" w:type="dxa"/>
            <w:shd w:val="clear" w:color="auto" w:fill="DDEFE5"/>
            <w:noWrap/>
            <w:vAlign w:val="center"/>
            <w:hideMark/>
          </w:tcPr>
          <w:p w14:paraId="3DB90FAE"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000000" w:fill="F2F2F2"/>
            <w:noWrap/>
            <w:vAlign w:val="center"/>
            <w:hideMark/>
          </w:tcPr>
          <w:p w14:paraId="7F9B666A"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auto" w:fill="DDEFE5"/>
            <w:noWrap/>
            <w:vAlign w:val="center"/>
            <w:hideMark/>
          </w:tcPr>
          <w:p w14:paraId="07B4F96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4D0B8DD"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000000" w:fill="F2F2F2"/>
            <w:noWrap/>
            <w:vAlign w:val="center"/>
            <w:hideMark/>
          </w:tcPr>
          <w:p w14:paraId="1650C4F6"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3A0E09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DD3F44A"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auto" w:fill="DDEFE5"/>
            <w:noWrap/>
            <w:vAlign w:val="center"/>
            <w:hideMark/>
          </w:tcPr>
          <w:p w14:paraId="074F9E04"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C0E5F0"/>
            <w:noWrap/>
            <w:vAlign w:val="center"/>
            <w:hideMark/>
          </w:tcPr>
          <w:p w14:paraId="146DBED8" w14:textId="77777777" w:rsidR="000E3A6D" w:rsidRPr="000E3A6D" w:rsidRDefault="000E3A6D" w:rsidP="000E3A6D">
            <w:pPr>
              <w:spacing w:before="0" w:after="0" w:line="240" w:lineRule="auto"/>
              <w:jc w:val="center"/>
              <w:rPr>
                <w:rFonts w:ascii="Arial" w:eastAsia="Times New Roman" w:hAnsi="Arial" w:cs="Arial"/>
                <w:color w:val="163C5F" w:themeColor="accent2" w:themeShade="8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572D5CF5" w14:textId="77777777" w:rsidTr="007149D4">
        <w:trPr>
          <w:trHeight w:val="386"/>
        </w:trPr>
        <w:tc>
          <w:tcPr>
            <w:tcW w:w="1642" w:type="dxa"/>
            <w:noWrap/>
            <w:vAlign w:val="center"/>
            <w:hideMark/>
          </w:tcPr>
          <w:p w14:paraId="005D845C"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1 - females</w:t>
            </w:r>
          </w:p>
        </w:tc>
        <w:tc>
          <w:tcPr>
            <w:tcW w:w="717" w:type="dxa"/>
            <w:shd w:val="clear" w:color="auto" w:fill="DDEFE5"/>
            <w:noWrap/>
            <w:vAlign w:val="center"/>
            <w:hideMark/>
          </w:tcPr>
          <w:p w14:paraId="1EAB7A7E"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000000" w:fill="F2F2F2"/>
            <w:noWrap/>
            <w:vAlign w:val="center"/>
            <w:hideMark/>
          </w:tcPr>
          <w:p w14:paraId="3386E8AD"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auto" w:fill="DDEFE5"/>
            <w:noWrap/>
            <w:vAlign w:val="center"/>
            <w:hideMark/>
          </w:tcPr>
          <w:p w14:paraId="5998FFD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D9C2137"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000000" w:fill="F2F2F2"/>
            <w:noWrap/>
            <w:vAlign w:val="center"/>
            <w:hideMark/>
          </w:tcPr>
          <w:p w14:paraId="49B31EB6"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77ADFCE3"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8CB895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auto" w:fill="ECBC9E"/>
            <w:noWrap/>
            <w:vAlign w:val="center"/>
            <w:hideMark/>
          </w:tcPr>
          <w:p w14:paraId="63600E8A"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C0E5F0"/>
            <w:noWrap/>
            <w:vAlign w:val="center"/>
            <w:hideMark/>
          </w:tcPr>
          <w:p w14:paraId="771AB8B8" w14:textId="77777777" w:rsidR="000E3A6D" w:rsidRPr="000E3A6D" w:rsidRDefault="000E3A6D" w:rsidP="000E3A6D">
            <w:pPr>
              <w:spacing w:before="0" w:after="0" w:line="240" w:lineRule="auto"/>
              <w:jc w:val="center"/>
              <w:rPr>
                <w:rFonts w:ascii="Arial" w:eastAsia="Times New Roman" w:hAnsi="Arial" w:cs="Arial"/>
                <w:color w:val="163C5F" w:themeColor="accent2" w:themeShade="8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4FED70D6" w14:textId="77777777" w:rsidTr="007149D4">
        <w:trPr>
          <w:trHeight w:val="386"/>
        </w:trPr>
        <w:tc>
          <w:tcPr>
            <w:tcW w:w="1642" w:type="dxa"/>
            <w:noWrap/>
            <w:vAlign w:val="center"/>
            <w:hideMark/>
          </w:tcPr>
          <w:p w14:paraId="0254156C"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2</w:t>
            </w:r>
          </w:p>
        </w:tc>
        <w:tc>
          <w:tcPr>
            <w:tcW w:w="717" w:type="dxa"/>
            <w:shd w:val="clear" w:color="auto" w:fill="BFBEBF"/>
            <w:noWrap/>
            <w:vAlign w:val="center"/>
            <w:hideMark/>
          </w:tcPr>
          <w:p w14:paraId="6EC691B8"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52D1369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F28C554"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A270C5F"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BFBEBF"/>
            <w:noWrap/>
            <w:vAlign w:val="center"/>
            <w:hideMark/>
          </w:tcPr>
          <w:p w14:paraId="67125EB8"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46C89A40"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BFBEBF"/>
            <w:noWrap/>
            <w:vAlign w:val="center"/>
            <w:hideMark/>
          </w:tcPr>
          <w:p w14:paraId="18D26830"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ECBC9E"/>
            <w:noWrap/>
            <w:vAlign w:val="center"/>
            <w:hideMark/>
          </w:tcPr>
          <w:p w14:paraId="5AF3B23B"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A7D9BC"/>
            <w:noWrap/>
            <w:vAlign w:val="center"/>
            <w:hideMark/>
          </w:tcPr>
          <w:p w14:paraId="5209757F" w14:textId="77777777" w:rsidR="000E3A6D" w:rsidRPr="000E3A6D" w:rsidRDefault="000E3A6D" w:rsidP="000E3A6D">
            <w:pPr>
              <w:spacing w:before="0" w:after="0" w:line="240" w:lineRule="auto"/>
              <w:jc w:val="center"/>
              <w:rPr>
                <w:rFonts w:ascii="Wingdings 2" w:eastAsia="Times New Roman" w:hAnsi="Wingdings 2" w:cs="Arial"/>
                <w:color w:val="1D363B" w:themeColor="accent1" w:themeShade="80"/>
                <w:sz w:val="18"/>
                <w:szCs w:val="18"/>
                <w:lang w:eastAsia="en-GB"/>
              </w:rPr>
            </w:pPr>
            <w:r w:rsidRPr="000E3A6D">
              <w:rPr>
                <w:rFonts w:ascii="Segoe UI Symbol" w:eastAsia="Times New Roman" w:hAnsi="Segoe UI Symbol" w:cs="Segoe UI Symbol"/>
                <w:b/>
                <w:bCs/>
                <w:color w:val="1D363B" w:themeColor="accent1" w:themeShade="80"/>
                <w:sz w:val="18"/>
                <w:szCs w:val="18"/>
                <w:lang w:eastAsia="en-GB"/>
              </w:rPr>
              <w:t>✓</w:t>
            </w:r>
          </w:p>
        </w:tc>
      </w:tr>
      <w:tr w:rsidR="000E3A6D" w:rsidRPr="000E3A6D" w14:paraId="1C2A6062" w14:textId="77777777" w:rsidTr="007149D4">
        <w:trPr>
          <w:trHeight w:val="386"/>
        </w:trPr>
        <w:tc>
          <w:tcPr>
            <w:tcW w:w="1642" w:type="dxa"/>
            <w:noWrap/>
            <w:vAlign w:val="center"/>
            <w:hideMark/>
          </w:tcPr>
          <w:p w14:paraId="630EAA91"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3</w:t>
            </w:r>
          </w:p>
        </w:tc>
        <w:tc>
          <w:tcPr>
            <w:tcW w:w="717" w:type="dxa"/>
            <w:shd w:val="clear" w:color="auto" w:fill="DDEFE5"/>
            <w:noWrap/>
            <w:vAlign w:val="center"/>
            <w:hideMark/>
          </w:tcPr>
          <w:p w14:paraId="44B25AF0"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9577000"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7A70560F"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2A28824"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704DAF4E"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F4B488E"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62B6E4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3B32ECB7"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A7D9BC"/>
            <w:noWrap/>
            <w:vAlign w:val="center"/>
            <w:hideMark/>
          </w:tcPr>
          <w:p w14:paraId="2BB00E89" w14:textId="77777777" w:rsidR="000E3A6D" w:rsidRPr="000E3A6D" w:rsidRDefault="000E3A6D" w:rsidP="000E3A6D">
            <w:pPr>
              <w:spacing w:before="0" w:after="0" w:line="240" w:lineRule="auto"/>
              <w:jc w:val="center"/>
              <w:rPr>
                <w:rFonts w:ascii="Wingdings 3" w:eastAsia="Times New Roman" w:hAnsi="Wingdings 3" w:cs="Arial"/>
                <w:color w:val="1D363B" w:themeColor="accent1" w:themeShade="80"/>
                <w:sz w:val="18"/>
                <w:szCs w:val="18"/>
                <w:lang w:eastAsia="en-GB"/>
              </w:rPr>
            </w:pPr>
            <w:r w:rsidRPr="000E3A6D">
              <w:rPr>
                <w:rFonts w:ascii="Segoe UI Symbol" w:eastAsia="Times New Roman" w:hAnsi="Segoe UI Symbol" w:cs="Segoe UI Symbol"/>
                <w:b/>
                <w:bCs/>
                <w:color w:val="1D363B" w:themeColor="accent1" w:themeShade="80"/>
                <w:sz w:val="18"/>
                <w:szCs w:val="18"/>
                <w:lang w:eastAsia="en-GB"/>
              </w:rPr>
              <w:t>✓</w:t>
            </w:r>
          </w:p>
        </w:tc>
      </w:tr>
      <w:tr w:rsidR="000E3A6D" w:rsidRPr="000E3A6D" w14:paraId="6A469891" w14:textId="77777777" w:rsidTr="007149D4">
        <w:trPr>
          <w:trHeight w:val="386"/>
        </w:trPr>
        <w:tc>
          <w:tcPr>
            <w:tcW w:w="1642" w:type="dxa"/>
            <w:noWrap/>
            <w:vAlign w:val="center"/>
            <w:hideMark/>
          </w:tcPr>
          <w:p w14:paraId="20C05570"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4</w:t>
            </w:r>
          </w:p>
        </w:tc>
        <w:tc>
          <w:tcPr>
            <w:tcW w:w="717" w:type="dxa"/>
            <w:shd w:val="clear" w:color="auto" w:fill="ECBC9E"/>
            <w:noWrap/>
            <w:vAlign w:val="center"/>
            <w:hideMark/>
          </w:tcPr>
          <w:p w14:paraId="0D9A6842"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779E52C9"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FDAECAC"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5CB63B81"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5615A67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7A024EF"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75B5A86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550A97D7"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ECBC9E"/>
            <w:noWrap/>
            <w:vAlign w:val="center"/>
            <w:hideMark/>
          </w:tcPr>
          <w:p w14:paraId="126FE8E7"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r>
      <w:tr w:rsidR="000E3A6D" w:rsidRPr="000E3A6D" w14:paraId="19E7BBAD" w14:textId="77777777" w:rsidTr="007149D4">
        <w:trPr>
          <w:trHeight w:val="386"/>
        </w:trPr>
        <w:tc>
          <w:tcPr>
            <w:tcW w:w="1642" w:type="dxa"/>
            <w:noWrap/>
            <w:vAlign w:val="center"/>
            <w:hideMark/>
          </w:tcPr>
          <w:p w14:paraId="3157EAC9"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5</w:t>
            </w:r>
          </w:p>
        </w:tc>
        <w:tc>
          <w:tcPr>
            <w:tcW w:w="717" w:type="dxa"/>
            <w:shd w:val="clear" w:color="auto" w:fill="DDEFE5"/>
            <w:noWrap/>
            <w:vAlign w:val="center"/>
            <w:hideMark/>
          </w:tcPr>
          <w:p w14:paraId="14D70161"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75CB05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9E5EC1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49F4389"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CEED169"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0E47F8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8FD952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35069C4"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C0E5F0"/>
            <w:noWrap/>
            <w:vAlign w:val="center"/>
            <w:hideMark/>
          </w:tcPr>
          <w:p w14:paraId="0EF64CA9" w14:textId="77777777" w:rsidR="000E3A6D" w:rsidRPr="000E3A6D" w:rsidRDefault="000E3A6D" w:rsidP="000E3A6D">
            <w:pPr>
              <w:spacing w:before="0" w:after="0" w:line="240" w:lineRule="auto"/>
              <w:jc w:val="center"/>
              <w:rPr>
                <w:rFonts w:ascii="Arial" w:eastAsia="Times New Roman" w:hAnsi="Arial" w:cs="Arial"/>
                <w:color w:val="163C5F" w:themeColor="accent2" w:themeShade="8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2066DE99" w14:textId="77777777" w:rsidTr="007149D4">
        <w:trPr>
          <w:trHeight w:val="386"/>
        </w:trPr>
        <w:tc>
          <w:tcPr>
            <w:tcW w:w="1642" w:type="dxa"/>
            <w:noWrap/>
            <w:vAlign w:val="center"/>
            <w:hideMark/>
          </w:tcPr>
          <w:p w14:paraId="6A178BE0"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6</w:t>
            </w:r>
          </w:p>
        </w:tc>
        <w:tc>
          <w:tcPr>
            <w:tcW w:w="717" w:type="dxa"/>
            <w:shd w:val="clear" w:color="auto" w:fill="DDEFE5"/>
            <w:noWrap/>
            <w:vAlign w:val="center"/>
            <w:hideMark/>
          </w:tcPr>
          <w:p w14:paraId="245DFAC6"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46A5512"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E4E76E5"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334037C"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D769326"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28F7F03F"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AC879C0"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7F3A4ED"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C0E5F0"/>
            <w:noWrap/>
            <w:vAlign w:val="center"/>
            <w:hideMark/>
          </w:tcPr>
          <w:p w14:paraId="290ADA56" w14:textId="77777777" w:rsidR="000E3A6D" w:rsidRPr="000E3A6D" w:rsidRDefault="000E3A6D" w:rsidP="000E3A6D">
            <w:pPr>
              <w:spacing w:before="0" w:after="0" w:line="240" w:lineRule="auto"/>
              <w:jc w:val="center"/>
              <w:rPr>
                <w:rFonts w:ascii="Arial" w:eastAsia="Times New Roman" w:hAnsi="Arial" w:cs="Arial"/>
                <w:color w:val="163C5F" w:themeColor="accent2" w:themeShade="8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2F59BE97" w14:textId="77777777" w:rsidTr="007149D4">
        <w:trPr>
          <w:trHeight w:val="386"/>
        </w:trPr>
        <w:tc>
          <w:tcPr>
            <w:tcW w:w="1642" w:type="dxa"/>
            <w:noWrap/>
            <w:vAlign w:val="center"/>
            <w:hideMark/>
          </w:tcPr>
          <w:p w14:paraId="257666C1"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7</w:t>
            </w:r>
          </w:p>
        </w:tc>
        <w:tc>
          <w:tcPr>
            <w:tcW w:w="717" w:type="dxa"/>
            <w:shd w:val="clear" w:color="auto" w:fill="DDEFE5"/>
            <w:noWrap/>
            <w:vAlign w:val="center"/>
            <w:hideMark/>
          </w:tcPr>
          <w:p w14:paraId="4A50C56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7B2626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175DCA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19F380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24354F51"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2C30AA0C"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1F85D1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1018D158"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C0E5F0"/>
            <w:noWrap/>
            <w:vAlign w:val="center"/>
            <w:hideMark/>
          </w:tcPr>
          <w:p w14:paraId="2323CC1A" w14:textId="77777777" w:rsidR="000E3A6D" w:rsidRPr="000E3A6D" w:rsidRDefault="000E3A6D" w:rsidP="000E3A6D">
            <w:pPr>
              <w:spacing w:before="0" w:after="0" w:line="240" w:lineRule="auto"/>
              <w:jc w:val="center"/>
              <w:rPr>
                <w:rFonts w:ascii="Arial" w:eastAsia="Times New Roman" w:hAnsi="Arial" w:cs="Arial"/>
                <w:color w:val="163C5F" w:themeColor="accent2" w:themeShade="8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5561F218" w14:textId="77777777" w:rsidTr="007149D4">
        <w:trPr>
          <w:trHeight w:val="386"/>
        </w:trPr>
        <w:tc>
          <w:tcPr>
            <w:tcW w:w="1642" w:type="dxa"/>
            <w:noWrap/>
            <w:vAlign w:val="center"/>
            <w:hideMark/>
          </w:tcPr>
          <w:p w14:paraId="20F162BA"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8</w:t>
            </w:r>
          </w:p>
        </w:tc>
        <w:tc>
          <w:tcPr>
            <w:tcW w:w="717" w:type="dxa"/>
            <w:shd w:val="clear" w:color="auto" w:fill="DDEFE5"/>
            <w:noWrap/>
            <w:vAlign w:val="center"/>
            <w:hideMark/>
          </w:tcPr>
          <w:p w14:paraId="67653210"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03E8E5E"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AE87DF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74357A6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42A6474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009DBCC"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541C28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16D08F56"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A7D9BC"/>
            <w:noWrap/>
            <w:vAlign w:val="center"/>
            <w:hideMark/>
          </w:tcPr>
          <w:p w14:paraId="5A1792A7" w14:textId="77777777" w:rsidR="000E3A6D" w:rsidRPr="000E3A6D" w:rsidRDefault="000E3A6D" w:rsidP="000E3A6D">
            <w:pPr>
              <w:spacing w:before="0" w:after="0" w:line="240" w:lineRule="auto"/>
              <w:jc w:val="center"/>
              <w:rPr>
                <w:rFonts w:ascii="Bauhaus 93" w:eastAsia="Times New Roman" w:hAnsi="Bauhaus 93" w:cs="Arial"/>
                <w:b/>
                <w:bCs/>
                <w:color w:val="000000"/>
                <w:sz w:val="18"/>
                <w:szCs w:val="18"/>
                <w:lang w:eastAsia="en-GB"/>
              </w:rPr>
            </w:pPr>
            <w:r w:rsidRPr="000E3A6D">
              <w:rPr>
                <w:rFonts w:ascii="Segoe UI Symbol" w:eastAsia="Times New Roman" w:hAnsi="Segoe UI Symbol" w:cs="Segoe UI Symbol"/>
                <w:b/>
                <w:bCs/>
                <w:color w:val="1D363B" w:themeColor="accent1" w:themeShade="80"/>
                <w:sz w:val="18"/>
                <w:szCs w:val="18"/>
                <w:lang w:eastAsia="en-GB"/>
              </w:rPr>
              <w:t>✓</w:t>
            </w:r>
          </w:p>
        </w:tc>
      </w:tr>
      <w:tr w:rsidR="000E3A6D" w:rsidRPr="000E3A6D" w14:paraId="679FE100" w14:textId="77777777" w:rsidTr="007149D4">
        <w:trPr>
          <w:trHeight w:val="386"/>
        </w:trPr>
        <w:tc>
          <w:tcPr>
            <w:tcW w:w="1642" w:type="dxa"/>
            <w:noWrap/>
            <w:vAlign w:val="center"/>
            <w:hideMark/>
          </w:tcPr>
          <w:p w14:paraId="299159CA"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9A</w:t>
            </w:r>
          </w:p>
        </w:tc>
        <w:tc>
          <w:tcPr>
            <w:tcW w:w="717" w:type="dxa"/>
            <w:shd w:val="clear" w:color="auto" w:fill="DDEFE5"/>
            <w:noWrap/>
            <w:vAlign w:val="center"/>
            <w:hideMark/>
          </w:tcPr>
          <w:p w14:paraId="482E506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3CF7E33"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A292AE4"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85F47C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A51FDD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16847C80"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ECBC9E"/>
            <w:noWrap/>
            <w:vAlign w:val="center"/>
            <w:hideMark/>
          </w:tcPr>
          <w:p w14:paraId="73A8E7FB"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31D86BD7"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C0E5F0"/>
            <w:noWrap/>
            <w:vAlign w:val="center"/>
            <w:hideMark/>
          </w:tcPr>
          <w:p w14:paraId="56ADE10F"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163C5F" w:themeColor="accent2" w:themeShade="80"/>
                <w:sz w:val="18"/>
                <w:szCs w:val="18"/>
                <w:lang w:eastAsia="en-GB"/>
              </w:rPr>
              <w:t>●</w:t>
            </w:r>
          </w:p>
        </w:tc>
      </w:tr>
      <w:tr w:rsidR="000E3A6D" w:rsidRPr="000E3A6D" w14:paraId="344FD66B" w14:textId="77777777" w:rsidTr="007149D4">
        <w:trPr>
          <w:trHeight w:val="386"/>
        </w:trPr>
        <w:tc>
          <w:tcPr>
            <w:tcW w:w="1642" w:type="dxa"/>
            <w:noWrap/>
            <w:vAlign w:val="center"/>
            <w:hideMark/>
          </w:tcPr>
          <w:p w14:paraId="7B87B40F"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9B</w:t>
            </w:r>
          </w:p>
        </w:tc>
        <w:tc>
          <w:tcPr>
            <w:tcW w:w="717" w:type="dxa"/>
            <w:shd w:val="clear" w:color="000000" w:fill="F2F2F2"/>
            <w:noWrap/>
            <w:vAlign w:val="center"/>
            <w:hideMark/>
          </w:tcPr>
          <w:p w14:paraId="20139558"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2A55080B"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B2254E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F1F0F23"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5946B8F"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9EF2F7C"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7FD560E"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CDB1ECB"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1192" w:type="dxa"/>
            <w:shd w:val="clear" w:color="000000" w:fill="F2F2F2"/>
            <w:noWrap/>
            <w:vAlign w:val="center"/>
            <w:hideMark/>
          </w:tcPr>
          <w:p w14:paraId="1D39251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r>
      <w:tr w:rsidR="000E3A6D" w:rsidRPr="000E3A6D" w14:paraId="3BAA5436" w14:textId="77777777" w:rsidTr="007149D4">
        <w:trPr>
          <w:trHeight w:val="386"/>
        </w:trPr>
        <w:tc>
          <w:tcPr>
            <w:tcW w:w="1642" w:type="dxa"/>
            <w:noWrap/>
            <w:vAlign w:val="center"/>
            <w:hideMark/>
          </w:tcPr>
          <w:p w14:paraId="75E18728"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10</w:t>
            </w:r>
          </w:p>
        </w:tc>
        <w:tc>
          <w:tcPr>
            <w:tcW w:w="717" w:type="dxa"/>
            <w:shd w:val="clear" w:color="auto" w:fill="BFBEBF"/>
            <w:noWrap/>
            <w:vAlign w:val="center"/>
            <w:hideMark/>
          </w:tcPr>
          <w:p w14:paraId="680B03E3"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09A10D22"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028199E3"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BFBEBF"/>
            <w:noWrap/>
            <w:vAlign w:val="center"/>
            <w:hideMark/>
          </w:tcPr>
          <w:p w14:paraId="40F94659"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BFBEBF"/>
            <w:noWrap/>
            <w:vAlign w:val="center"/>
            <w:hideMark/>
          </w:tcPr>
          <w:p w14:paraId="360C969B"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ECBC9E"/>
            <w:noWrap/>
            <w:vAlign w:val="center"/>
            <w:hideMark/>
          </w:tcPr>
          <w:p w14:paraId="1BFA93B9"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7701EAC2"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1F980A6A"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ECBC9E"/>
            <w:noWrap/>
            <w:vAlign w:val="center"/>
            <w:hideMark/>
          </w:tcPr>
          <w:p w14:paraId="26D45AC1"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r>
      <w:tr w:rsidR="000E3A6D" w:rsidRPr="000E3A6D" w14:paraId="7DBC842F" w14:textId="77777777" w:rsidTr="007149D4">
        <w:trPr>
          <w:trHeight w:val="386"/>
        </w:trPr>
        <w:tc>
          <w:tcPr>
            <w:tcW w:w="1642" w:type="dxa"/>
            <w:noWrap/>
            <w:vAlign w:val="center"/>
            <w:hideMark/>
          </w:tcPr>
          <w:p w14:paraId="106D7B01"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11</w:t>
            </w:r>
          </w:p>
        </w:tc>
        <w:tc>
          <w:tcPr>
            <w:tcW w:w="717" w:type="dxa"/>
            <w:shd w:val="clear" w:color="auto" w:fill="DDEFE5"/>
            <w:noWrap/>
            <w:vAlign w:val="center"/>
            <w:hideMark/>
          </w:tcPr>
          <w:p w14:paraId="5314919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722C2A5"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6B921DE3"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5F918785"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6D08F57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0BBDFBF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12785135"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ECBC9E"/>
            <w:noWrap/>
            <w:vAlign w:val="center"/>
            <w:hideMark/>
          </w:tcPr>
          <w:p w14:paraId="2CD01840"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1192" w:type="dxa"/>
            <w:shd w:val="clear" w:color="auto" w:fill="BFBEBF"/>
            <w:noWrap/>
            <w:vAlign w:val="center"/>
            <w:hideMark/>
          </w:tcPr>
          <w:p w14:paraId="463F195B"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r>
      <w:tr w:rsidR="000E3A6D" w:rsidRPr="000E3A6D" w14:paraId="38D68702" w14:textId="77777777" w:rsidTr="007149D4">
        <w:trPr>
          <w:trHeight w:val="386"/>
        </w:trPr>
        <w:tc>
          <w:tcPr>
            <w:tcW w:w="1642" w:type="dxa"/>
            <w:noWrap/>
            <w:vAlign w:val="center"/>
            <w:hideMark/>
          </w:tcPr>
          <w:p w14:paraId="4427EDE5"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12</w:t>
            </w:r>
          </w:p>
        </w:tc>
        <w:tc>
          <w:tcPr>
            <w:tcW w:w="717" w:type="dxa"/>
            <w:shd w:val="clear" w:color="auto" w:fill="DDEFE5"/>
            <w:noWrap/>
            <w:vAlign w:val="center"/>
            <w:hideMark/>
          </w:tcPr>
          <w:p w14:paraId="4ADE368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49DF4FDB"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ECBC9E"/>
            <w:noWrap/>
            <w:vAlign w:val="center"/>
            <w:hideMark/>
          </w:tcPr>
          <w:p w14:paraId="17076AD7"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DDEFE5"/>
            <w:noWrap/>
            <w:vAlign w:val="center"/>
            <w:hideMark/>
          </w:tcPr>
          <w:p w14:paraId="129A6B43"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ECBC9E"/>
            <w:noWrap/>
            <w:vAlign w:val="center"/>
            <w:hideMark/>
          </w:tcPr>
          <w:p w14:paraId="4911A2CF" w14:textId="77777777" w:rsidR="000E3A6D" w:rsidRPr="000E3A6D" w:rsidRDefault="000E3A6D" w:rsidP="000E3A6D">
            <w:pPr>
              <w:spacing w:before="0" w:after="0" w:line="240" w:lineRule="auto"/>
              <w:jc w:val="center"/>
              <w:rPr>
                <w:rFonts w:ascii="Arial" w:eastAsia="Times New Roman" w:hAnsi="Arial" w:cs="Arial"/>
                <w:color w:val="7D3F19"/>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c>
          <w:tcPr>
            <w:tcW w:w="835" w:type="dxa"/>
            <w:shd w:val="clear" w:color="auto" w:fill="BFBEBF"/>
            <w:noWrap/>
            <w:vAlign w:val="center"/>
            <w:hideMark/>
          </w:tcPr>
          <w:p w14:paraId="449FC540"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405F113A"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1A24A3E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ECBC9E"/>
            <w:noWrap/>
            <w:vAlign w:val="center"/>
            <w:hideMark/>
          </w:tcPr>
          <w:p w14:paraId="0AB0B9DA" w14:textId="77777777" w:rsidR="000E3A6D" w:rsidRPr="000E3A6D" w:rsidRDefault="000E3A6D" w:rsidP="000E3A6D">
            <w:pPr>
              <w:spacing w:before="0" w:after="0" w:line="240" w:lineRule="auto"/>
              <w:jc w:val="center"/>
              <w:rPr>
                <w:rFonts w:ascii="Arial" w:eastAsia="Times New Roman" w:hAnsi="Arial" w:cs="Arial"/>
                <w:color w:val="684633" w:themeColor="text1" w:themeShade="BF"/>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r>
      <w:tr w:rsidR="000E3A6D" w:rsidRPr="000E3A6D" w14:paraId="218C4098" w14:textId="77777777" w:rsidTr="007149D4">
        <w:trPr>
          <w:trHeight w:val="386"/>
        </w:trPr>
        <w:tc>
          <w:tcPr>
            <w:tcW w:w="1642" w:type="dxa"/>
            <w:noWrap/>
            <w:vAlign w:val="center"/>
            <w:hideMark/>
          </w:tcPr>
          <w:p w14:paraId="19063504"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13</w:t>
            </w:r>
          </w:p>
        </w:tc>
        <w:tc>
          <w:tcPr>
            <w:tcW w:w="717" w:type="dxa"/>
            <w:shd w:val="clear" w:color="000000" w:fill="F2F2F2"/>
            <w:noWrap/>
            <w:vAlign w:val="center"/>
            <w:hideMark/>
          </w:tcPr>
          <w:p w14:paraId="1E2C9367"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2F1F8BB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83EE4C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4FDAD00D"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86C59F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FC33684"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4F0F0FC3"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FDC935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1192" w:type="dxa"/>
            <w:shd w:val="clear" w:color="000000" w:fill="F2F2F2"/>
            <w:noWrap/>
            <w:vAlign w:val="center"/>
            <w:hideMark/>
          </w:tcPr>
          <w:p w14:paraId="1C0C5E59"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r>
      <w:tr w:rsidR="000E3A6D" w:rsidRPr="000E3A6D" w14:paraId="70DC73BF" w14:textId="77777777" w:rsidTr="007149D4">
        <w:trPr>
          <w:trHeight w:val="386"/>
        </w:trPr>
        <w:tc>
          <w:tcPr>
            <w:tcW w:w="1642" w:type="dxa"/>
            <w:noWrap/>
            <w:vAlign w:val="center"/>
            <w:hideMark/>
          </w:tcPr>
          <w:p w14:paraId="1C96CCE8"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14</w:t>
            </w:r>
          </w:p>
        </w:tc>
        <w:tc>
          <w:tcPr>
            <w:tcW w:w="717" w:type="dxa"/>
            <w:shd w:val="clear" w:color="000000" w:fill="F2F2F2"/>
            <w:noWrap/>
            <w:vAlign w:val="center"/>
            <w:hideMark/>
          </w:tcPr>
          <w:p w14:paraId="603F90E8"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1A7101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120125A"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466CC6AF"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560F118F"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B216E59"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C93062D"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5F60CEE0"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1192" w:type="dxa"/>
            <w:shd w:val="clear" w:color="auto" w:fill="ECBC9E"/>
            <w:noWrap/>
            <w:vAlign w:val="center"/>
            <w:hideMark/>
          </w:tcPr>
          <w:p w14:paraId="1FED622F"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684633" w:themeColor="text1" w:themeShade="BF"/>
                <w:sz w:val="18"/>
                <w:szCs w:val="18"/>
                <w:lang w:eastAsia="en-GB"/>
              </w:rPr>
              <w:sym w:font="Wingdings" w:char="F0DF"/>
            </w:r>
          </w:p>
        </w:tc>
      </w:tr>
      <w:tr w:rsidR="000E3A6D" w:rsidRPr="000E3A6D" w14:paraId="7184E186" w14:textId="77777777" w:rsidTr="007149D4">
        <w:trPr>
          <w:trHeight w:val="386"/>
        </w:trPr>
        <w:tc>
          <w:tcPr>
            <w:tcW w:w="1642" w:type="dxa"/>
            <w:noWrap/>
            <w:vAlign w:val="center"/>
            <w:hideMark/>
          </w:tcPr>
          <w:p w14:paraId="54515BF3"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15A</w:t>
            </w:r>
          </w:p>
        </w:tc>
        <w:tc>
          <w:tcPr>
            <w:tcW w:w="717" w:type="dxa"/>
            <w:shd w:val="clear" w:color="auto" w:fill="DDEFE5"/>
            <w:noWrap/>
            <w:vAlign w:val="center"/>
            <w:hideMark/>
          </w:tcPr>
          <w:p w14:paraId="504152F7"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7518B7D3"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05121A6"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5384AAD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239B6D53"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BFBEBF"/>
            <w:noWrap/>
            <w:vAlign w:val="center"/>
            <w:hideMark/>
          </w:tcPr>
          <w:p w14:paraId="1CBDD3DC"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BFBEBF"/>
            <w:noWrap/>
            <w:vAlign w:val="center"/>
            <w:hideMark/>
          </w:tcPr>
          <w:p w14:paraId="39755612"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6573BE63"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A7D9BC"/>
            <w:noWrap/>
            <w:vAlign w:val="center"/>
            <w:hideMark/>
          </w:tcPr>
          <w:p w14:paraId="245BD19B" w14:textId="77777777" w:rsidR="000E3A6D" w:rsidRPr="000E3A6D" w:rsidRDefault="000E3A6D" w:rsidP="000E3A6D">
            <w:pPr>
              <w:spacing w:before="0" w:after="0" w:line="240" w:lineRule="auto"/>
              <w:jc w:val="center"/>
              <w:rPr>
                <w:rFonts w:ascii="Arial" w:eastAsia="Times New Roman" w:hAnsi="Arial" w:cs="Arial"/>
                <w:color w:val="1D363B" w:themeColor="accent1" w:themeShade="80"/>
                <w:sz w:val="18"/>
                <w:szCs w:val="18"/>
                <w:lang w:eastAsia="en-GB"/>
              </w:rPr>
            </w:pPr>
            <w:r w:rsidRPr="000E3A6D">
              <w:rPr>
                <w:rFonts w:ascii="Segoe UI Symbol" w:eastAsia="Times New Roman" w:hAnsi="Segoe UI Symbol" w:cs="Segoe UI Symbol"/>
                <w:b/>
                <w:bCs/>
                <w:color w:val="1D363B" w:themeColor="accent1" w:themeShade="80"/>
                <w:sz w:val="18"/>
                <w:szCs w:val="18"/>
                <w:lang w:eastAsia="en-GB"/>
              </w:rPr>
              <w:t>✓</w:t>
            </w:r>
          </w:p>
        </w:tc>
      </w:tr>
      <w:tr w:rsidR="000E3A6D" w:rsidRPr="000E3A6D" w14:paraId="680AFD8B" w14:textId="77777777" w:rsidTr="007149D4">
        <w:trPr>
          <w:trHeight w:val="386"/>
        </w:trPr>
        <w:tc>
          <w:tcPr>
            <w:tcW w:w="1642" w:type="dxa"/>
            <w:noWrap/>
            <w:vAlign w:val="center"/>
            <w:hideMark/>
          </w:tcPr>
          <w:p w14:paraId="11CCD70E"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15B</w:t>
            </w:r>
            <w:r w:rsidRPr="000E3A6D">
              <w:rPr>
                <w:rFonts w:ascii="Arial" w:eastAsia="Times New Roman" w:hAnsi="Arial" w:cs="Arial"/>
                <w:color w:val="000000"/>
                <w:sz w:val="18"/>
                <w:szCs w:val="18"/>
                <w:vertAlign w:val="superscript"/>
                <w:lang w:eastAsia="en-GB"/>
              </w:rPr>
              <w:t>a</w:t>
            </w:r>
          </w:p>
        </w:tc>
        <w:tc>
          <w:tcPr>
            <w:tcW w:w="717" w:type="dxa"/>
            <w:shd w:val="clear" w:color="auto" w:fill="BFBEBF"/>
            <w:noWrap/>
            <w:vAlign w:val="center"/>
            <w:hideMark/>
          </w:tcPr>
          <w:p w14:paraId="7A62F3D9"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DDEFE5"/>
            <w:noWrap/>
            <w:vAlign w:val="center"/>
            <w:hideMark/>
          </w:tcPr>
          <w:p w14:paraId="4131BBC6"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2BFD8328"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379D6269"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DDEFE5"/>
            <w:noWrap/>
            <w:vAlign w:val="center"/>
            <w:hideMark/>
          </w:tcPr>
          <w:p w14:paraId="2BD5178F"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835" w:type="dxa"/>
            <w:shd w:val="clear" w:color="auto" w:fill="BFBEBF"/>
            <w:noWrap/>
            <w:vAlign w:val="center"/>
            <w:hideMark/>
          </w:tcPr>
          <w:p w14:paraId="28F59261"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w:t>
            </w:r>
          </w:p>
        </w:tc>
        <w:tc>
          <w:tcPr>
            <w:tcW w:w="835" w:type="dxa"/>
            <w:shd w:val="clear" w:color="auto" w:fill="F2F2F2"/>
            <w:noWrap/>
            <w:vAlign w:val="center"/>
            <w:hideMark/>
          </w:tcPr>
          <w:p w14:paraId="6FFD6D60"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auto" w:fill="DDEFE5"/>
            <w:noWrap/>
            <w:vAlign w:val="center"/>
            <w:hideMark/>
          </w:tcPr>
          <w:p w14:paraId="6859E96B" w14:textId="77777777" w:rsidR="000E3A6D" w:rsidRPr="000E3A6D" w:rsidRDefault="000E3A6D" w:rsidP="000E3A6D">
            <w:pPr>
              <w:spacing w:before="0" w:after="0" w:line="240" w:lineRule="auto"/>
              <w:jc w:val="center"/>
              <w:rPr>
                <w:rFonts w:ascii="Arial" w:eastAsia="Times New Roman" w:hAnsi="Arial" w:cs="Arial"/>
                <w:color w:val="006100"/>
                <w:sz w:val="18"/>
                <w:szCs w:val="18"/>
                <w:lang w:eastAsia="en-GB"/>
              </w:rPr>
            </w:pPr>
            <w:r w:rsidRPr="000E3A6D">
              <w:rPr>
                <w:rFonts w:ascii="Arial" w:eastAsia="Times New Roman" w:hAnsi="Arial" w:cs="Arial"/>
                <w:color w:val="006100"/>
                <w:sz w:val="18"/>
                <w:szCs w:val="18"/>
                <w:lang w:eastAsia="en-GB"/>
              </w:rPr>
              <w:sym w:font="Wingdings" w:char="F0E0"/>
            </w:r>
          </w:p>
        </w:tc>
        <w:tc>
          <w:tcPr>
            <w:tcW w:w="1192" w:type="dxa"/>
            <w:shd w:val="clear" w:color="auto" w:fill="A7D9BC"/>
            <w:noWrap/>
            <w:vAlign w:val="center"/>
            <w:hideMark/>
          </w:tcPr>
          <w:p w14:paraId="5C5C9D4A" w14:textId="77777777" w:rsidR="000E3A6D" w:rsidRPr="000E3A6D" w:rsidRDefault="000E3A6D" w:rsidP="000E3A6D">
            <w:pPr>
              <w:spacing w:before="0" w:after="0" w:line="240" w:lineRule="auto"/>
              <w:jc w:val="center"/>
              <w:rPr>
                <w:rFonts w:ascii="Arial" w:eastAsia="Times New Roman" w:hAnsi="Arial" w:cs="Arial"/>
                <w:color w:val="1D363B" w:themeColor="accent1" w:themeShade="80"/>
                <w:sz w:val="18"/>
                <w:szCs w:val="18"/>
                <w:lang w:eastAsia="en-GB"/>
              </w:rPr>
            </w:pPr>
            <w:r w:rsidRPr="000E3A6D">
              <w:rPr>
                <w:rFonts w:ascii="Segoe UI Symbol" w:eastAsia="Times New Roman" w:hAnsi="Segoe UI Symbol" w:cs="Segoe UI Symbol"/>
                <w:b/>
                <w:bCs/>
                <w:color w:val="1D363B" w:themeColor="accent1" w:themeShade="80"/>
                <w:sz w:val="18"/>
                <w:szCs w:val="18"/>
                <w:lang w:eastAsia="en-GB"/>
              </w:rPr>
              <w:t>✓</w:t>
            </w:r>
          </w:p>
        </w:tc>
      </w:tr>
      <w:tr w:rsidR="000E3A6D" w:rsidRPr="000E3A6D" w14:paraId="0610597A" w14:textId="77777777" w:rsidTr="007149D4">
        <w:trPr>
          <w:trHeight w:val="386"/>
        </w:trPr>
        <w:tc>
          <w:tcPr>
            <w:tcW w:w="1642" w:type="dxa"/>
            <w:noWrap/>
            <w:vAlign w:val="center"/>
            <w:hideMark/>
          </w:tcPr>
          <w:p w14:paraId="08AD9949"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16</w:t>
            </w:r>
          </w:p>
        </w:tc>
        <w:tc>
          <w:tcPr>
            <w:tcW w:w="717" w:type="dxa"/>
            <w:shd w:val="clear" w:color="000000" w:fill="F2F2F2"/>
            <w:noWrap/>
            <w:vAlign w:val="center"/>
            <w:hideMark/>
          </w:tcPr>
          <w:p w14:paraId="06DE4C8E"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92B9E8F"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96E858D"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0065580"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E0B0330"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78633A9"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278B18A"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5B3FB820"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1192" w:type="dxa"/>
            <w:shd w:val="clear" w:color="000000" w:fill="F2F2F2"/>
            <w:noWrap/>
            <w:vAlign w:val="center"/>
            <w:hideMark/>
          </w:tcPr>
          <w:p w14:paraId="368777EC"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r>
      <w:tr w:rsidR="000E3A6D" w:rsidRPr="000E3A6D" w14:paraId="4777F250" w14:textId="77777777" w:rsidTr="007149D4">
        <w:trPr>
          <w:trHeight w:val="386"/>
        </w:trPr>
        <w:tc>
          <w:tcPr>
            <w:tcW w:w="1642" w:type="dxa"/>
            <w:noWrap/>
            <w:vAlign w:val="center"/>
            <w:hideMark/>
          </w:tcPr>
          <w:p w14:paraId="3C454E66" w14:textId="77777777" w:rsidR="000E3A6D" w:rsidRPr="000E3A6D" w:rsidRDefault="000E3A6D" w:rsidP="000E3A6D">
            <w:pPr>
              <w:spacing w:before="0" w:after="0" w:line="240" w:lineRule="auto"/>
              <w:rPr>
                <w:rFonts w:ascii="Arial" w:eastAsia="Times New Roman" w:hAnsi="Arial" w:cs="Arial"/>
                <w:color w:val="000000"/>
                <w:sz w:val="18"/>
                <w:szCs w:val="18"/>
                <w:lang w:eastAsia="en-GB"/>
              </w:rPr>
            </w:pPr>
            <w:r w:rsidRPr="000E3A6D">
              <w:rPr>
                <w:rFonts w:ascii="Arial" w:eastAsia="Times New Roman" w:hAnsi="Arial" w:cs="Arial"/>
                <w:color w:val="000000"/>
                <w:sz w:val="18"/>
                <w:szCs w:val="18"/>
                <w:lang w:eastAsia="en-GB"/>
              </w:rPr>
              <w:t>SEO 17</w:t>
            </w:r>
          </w:p>
        </w:tc>
        <w:tc>
          <w:tcPr>
            <w:tcW w:w="717" w:type="dxa"/>
            <w:shd w:val="clear" w:color="000000" w:fill="F2F2F2"/>
            <w:noWrap/>
            <w:vAlign w:val="center"/>
            <w:hideMark/>
          </w:tcPr>
          <w:p w14:paraId="49DD77EB"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504E5C8B"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69412918"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3D26D71"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3ABD34DC"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07A1A73B"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5F992499"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835" w:type="dxa"/>
            <w:shd w:val="clear" w:color="000000" w:fill="F2F2F2"/>
            <w:noWrap/>
            <w:vAlign w:val="center"/>
            <w:hideMark/>
          </w:tcPr>
          <w:p w14:paraId="111DFB3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c>
          <w:tcPr>
            <w:tcW w:w="1192" w:type="dxa"/>
            <w:shd w:val="clear" w:color="000000" w:fill="F2F2F2"/>
            <w:noWrap/>
            <w:vAlign w:val="center"/>
            <w:hideMark/>
          </w:tcPr>
          <w:p w14:paraId="463A5912" w14:textId="77777777" w:rsidR="000E3A6D" w:rsidRPr="000E3A6D" w:rsidRDefault="000E3A6D" w:rsidP="000E3A6D">
            <w:pPr>
              <w:spacing w:before="0" w:after="0" w:line="240" w:lineRule="auto"/>
              <w:jc w:val="center"/>
              <w:rPr>
                <w:rFonts w:ascii="Arial" w:eastAsia="Times New Roman" w:hAnsi="Arial" w:cs="Arial"/>
                <w:b/>
                <w:bCs/>
                <w:color w:val="000000"/>
                <w:sz w:val="18"/>
                <w:szCs w:val="18"/>
                <w:lang w:eastAsia="en-GB"/>
              </w:rPr>
            </w:pPr>
            <w:r w:rsidRPr="000E3A6D">
              <w:rPr>
                <w:rFonts w:ascii="Arial" w:eastAsia="Times New Roman" w:hAnsi="Arial" w:cs="Arial"/>
                <w:b/>
                <w:bCs/>
                <w:color w:val="000000"/>
                <w:sz w:val="18"/>
                <w:szCs w:val="18"/>
                <w:lang w:eastAsia="en-GB"/>
              </w:rPr>
              <w:t>..</w:t>
            </w:r>
          </w:p>
        </w:tc>
      </w:tr>
    </w:tbl>
    <w:p w14:paraId="5F97BAAE" w14:textId="72A77DC9" w:rsidR="000E3A6D" w:rsidRPr="000E3A6D" w:rsidRDefault="00317E34" w:rsidP="003167C2">
      <w:pPr>
        <w:pStyle w:val="Note"/>
        <w:rPr>
          <w:lang w:eastAsia="en-AU"/>
        </w:rPr>
      </w:pPr>
      <w:r w:rsidRPr="00193336">
        <w:rPr>
          <w:vertAlign w:val="superscript"/>
          <w:lang w:eastAsia="en-AU"/>
        </w:rPr>
        <w:t>a</w:t>
      </w:r>
      <w:r w:rsidRPr="000E3A6D">
        <w:rPr>
          <w:lang w:eastAsia="en-AU"/>
        </w:rPr>
        <w:t xml:space="preserve"> The Australian Government also contributes to meeting Target 15B and have</w:t>
      </w:r>
      <w:r w:rsidR="00B5768E" w:rsidRPr="000E3A6D">
        <w:rPr>
          <w:lang w:eastAsia="en-AU"/>
        </w:rPr>
        <w:t xml:space="preserve"> shown improvement since the baseline</w:t>
      </w:r>
      <w:r w:rsidR="0048151F">
        <w:rPr>
          <w:lang w:eastAsia="en-AU"/>
        </w:rPr>
        <w:t>.</w:t>
      </w:r>
    </w:p>
    <w:p w14:paraId="126A1CB1" w14:textId="77777777" w:rsidR="0048151F" w:rsidRPr="000E3A6D" w:rsidRDefault="0048151F" w:rsidP="000E3A6D">
      <w:pPr>
        <w:rPr>
          <w:rFonts w:ascii="Arial" w:eastAsia="Aptos" w:hAnsi="Arial" w:cs="Arial"/>
          <w14:ligatures w14:val="standardContextual"/>
        </w:rPr>
      </w:pPr>
    </w:p>
    <w:tbl>
      <w:tblPr>
        <w:tblW w:w="9384" w:type="dxa"/>
        <w:tblInd w:w="1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474"/>
        <w:gridCol w:w="1332"/>
        <w:gridCol w:w="1332"/>
        <w:gridCol w:w="1332"/>
        <w:gridCol w:w="1332"/>
        <w:gridCol w:w="1332"/>
        <w:gridCol w:w="1250"/>
      </w:tblGrid>
      <w:tr w:rsidR="000E3A6D" w:rsidRPr="000E3A6D" w14:paraId="3A6E7C7C" w14:textId="77777777" w:rsidTr="004934ED">
        <w:trPr>
          <w:trHeight w:val="343"/>
        </w:trPr>
        <w:tc>
          <w:tcPr>
            <w:tcW w:w="1474" w:type="dxa"/>
            <w:vMerge w:val="restart"/>
            <w:shd w:val="clear" w:color="auto" w:fill="D9D9D9"/>
            <w:noWrap/>
            <w:vAlign w:val="center"/>
            <w:hideMark/>
          </w:tcPr>
          <w:p w14:paraId="5AE19A53" w14:textId="77777777" w:rsidR="000E3A6D" w:rsidRPr="000E3A6D" w:rsidRDefault="000E3A6D" w:rsidP="000E3A6D">
            <w:pPr>
              <w:spacing w:before="0" w:after="0" w:line="240" w:lineRule="auto"/>
              <w:jc w:val="center"/>
              <w:rPr>
                <w:rFonts w:ascii="Arial" w:eastAsia="Times New Roman" w:hAnsi="Arial" w:cs="Arial"/>
                <w:b/>
                <w:bCs/>
                <w:color w:val="FFFFFF"/>
                <w:sz w:val="21"/>
                <w:szCs w:val="21"/>
                <w:lang w:eastAsia="en-GB"/>
                <w14:ligatures w14:val="standardContextual"/>
              </w:rPr>
            </w:pPr>
            <w:r w:rsidRPr="000E3A6D">
              <w:rPr>
                <w:rFonts w:ascii="Arial" w:eastAsia="Times New Roman" w:hAnsi="Arial" w:cs="Arial"/>
                <w:b/>
                <w:bCs/>
                <w:color w:val="000000"/>
                <w:sz w:val="21"/>
                <w:szCs w:val="21"/>
                <w:lang w:eastAsia="en-GB"/>
                <w14:ligatures w14:val="standardContextual"/>
              </w:rPr>
              <w:t>Legend</w:t>
            </w:r>
          </w:p>
        </w:tc>
        <w:tc>
          <w:tcPr>
            <w:tcW w:w="1332" w:type="dxa"/>
            <w:shd w:val="clear" w:color="auto" w:fill="A7D9BC"/>
            <w:noWrap/>
            <w:vAlign w:val="center"/>
            <w:hideMark/>
          </w:tcPr>
          <w:p w14:paraId="1BEA3853" w14:textId="77777777" w:rsidR="000E3A6D" w:rsidRPr="000E3A6D" w:rsidRDefault="000E3A6D" w:rsidP="000E3A6D">
            <w:pPr>
              <w:spacing w:before="0" w:after="0" w:line="240" w:lineRule="auto"/>
              <w:jc w:val="center"/>
              <w:rPr>
                <w:rFonts w:ascii="Arial" w:eastAsia="Times New Roman" w:hAnsi="Arial" w:cs="Arial"/>
                <w:color w:val="000000"/>
                <w:lang w:eastAsia="en-GB"/>
                <w14:ligatures w14:val="standardContextual"/>
              </w:rPr>
            </w:pPr>
            <w:r w:rsidRPr="000E3A6D">
              <w:rPr>
                <w:rFonts w:ascii="Segoe UI Symbol" w:eastAsia="Times New Roman" w:hAnsi="Segoe UI Symbol" w:cs="Segoe UI Symbol"/>
                <w:b/>
                <w:bCs/>
                <w:color w:val="000000"/>
                <w:sz w:val="18"/>
                <w:szCs w:val="18"/>
                <w:lang w:eastAsia="en-GB"/>
              </w:rPr>
              <w:t>✓</w:t>
            </w:r>
          </w:p>
        </w:tc>
        <w:tc>
          <w:tcPr>
            <w:tcW w:w="1332" w:type="dxa"/>
            <w:shd w:val="clear" w:color="auto" w:fill="C0E5F0"/>
            <w:noWrap/>
            <w:vAlign w:val="center"/>
            <w:hideMark/>
          </w:tcPr>
          <w:p w14:paraId="037F7749" w14:textId="77777777" w:rsidR="000E3A6D" w:rsidRPr="000E3A6D" w:rsidRDefault="000E3A6D" w:rsidP="000E3A6D">
            <w:pPr>
              <w:spacing w:before="0" w:after="0" w:line="240" w:lineRule="auto"/>
              <w:jc w:val="center"/>
              <w:rPr>
                <w:rFonts w:ascii="Arial" w:eastAsia="Times New Roman" w:hAnsi="Arial" w:cs="Arial"/>
                <w:color w:val="000000"/>
                <w:lang w:eastAsia="en-GB"/>
                <w14:ligatures w14:val="standardContextual"/>
              </w:rPr>
            </w:pPr>
            <w:r w:rsidRPr="000E3A6D">
              <w:rPr>
                <w:rFonts w:ascii="Arial" w:eastAsia="Times New Roman" w:hAnsi="Arial" w:cs="Arial"/>
                <w:color w:val="000000"/>
                <w:lang w:eastAsia="en-GB"/>
                <w14:ligatures w14:val="standardContextual"/>
              </w:rPr>
              <w:t>●</w:t>
            </w:r>
          </w:p>
        </w:tc>
        <w:tc>
          <w:tcPr>
            <w:tcW w:w="1332" w:type="dxa"/>
            <w:shd w:val="clear" w:color="auto" w:fill="DDEFE5"/>
            <w:noWrap/>
            <w:vAlign w:val="center"/>
            <w:hideMark/>
          </w:tcPr>
          <w:p w14:paraId="4C0FE8A9" w14:textId="77777777" w:rsidR="000E3A6D" w:rsidRPr="000E3A6D" w:rsidRDefault="000E3A6D" w:rsidP="000E3A6D">
            <w:pPr>
              <w:spacing w:before="0" w:after="0" w:line="240" w:lineRule="auto"/>
              <w:jc w:val="center"/>
              <w:rPr>
                <w:rFonts w:ascii="Arial" w:eastAsia="Times New Roman" w:hAnsi="Arial" w:cs="Arial"/>
                <w:color w:val="000000"/>
                <w:lang w:eastAsia="en-GB"/>
                <w14:ligatures w14:val="standardContextual"/>
              </w:rPr>
            </w:pPr>
            <w:r w:rsidRPr="000E3A6D">
              <w:rPr>
                <w:rFonts w:ascii="Arial" w:eastAsia="Times New Roman" w:hAnsi="Arial" w:cs="Arial"/>
                <w:color w:val="006100"/>
                <w:sz w:val="18"/>
                <w:szCs w:val="18"/>
                <w:lang w:eastAsia="en-GB"/>
              </w:rPr>
              <w:sym w:font="Wingdings" w:char="F0E0"/>
            </w:r>
          </w:p>
        </w:tc>
        <w:tc>
          <w:tcPr>
            <w:tcW w:w="1332" w:type="dxa"/>
            <w:shd w:val="clear" w:color="auto" w:fill="BFBEBF"/>
            <w:vAlign w:val="center"/>
          </w:tcPr>
          <w:p w14:paraId="195D7DA1" w14:textId="77777777" w:rsidR="000E3A6D" w:rsidRPr="000E3A6D" w:rsidRDefault="000E3A6D" w:rsidP="000E3A6D">
            <w:pPr>
              <w:spacing w:before="0" w:after="0" w:line="240" w:lineRule="auto"/>
              <w:jc w:val="center"/>
              <w:rPr>
                <w:rFonts w:ascii="Arial" w:eastAsia="Times New Roman" w:hAnsi="Arial" w:cs="Arial"/>
                <w:color w:val="000000"/>
                <w:lang w:eastAsia="en-GB"/>
                <w14:ligatures w14:val="standardContextual"/>
              </w:rPr>
            </w:pPr>
            <w:r w:rsidRPr="000E3A6D">
              <w:rPr>
                <w:rFonts w:ascii="Arial" w:eastAsia="Times New Roman" w:hAnsi="Arial" w:cs="Arial"/>
                <w:color w:val="000000"/>
                <w:lang w:eastAsia="en-GB"/>
                <w14:ligatures w14:val="standardContextual"/>
              </w:rPr>
              <w:t>■</w:t>
            </w:r>
          </w:p>
        </w:tc>
        <w:tc>
          <w:tcPr>
            <w:tcW w:w="1332" w:type="dxa"/>
            <w:shd w:val="clear" w:color="auto" w:fill="ECBC9E"/>
            <w:noWrap/>
            <w:vAlign w:val="center"/>
            <w:hideMark/>
          </w:tcPr>
          <w:p w14:paraId="32A941FC" w14:textId="77777777" w:rsidR="000E3A6D" w:rsidRPr="000E3A6D" w:rsidRDefault="000E3A6D" w:rsidP="000E3A6D">
            <w:pPr>
              <w:spacing w:before="0" w:after="0" w:line="240" w:lineRule="auto"/>
              <w:jc w:val="center"/>
              <w:rPr>
                <w:rFonts w:ascii="Arial" w:eastAsia="Times New Roman" w:hAnsi="Arial" w:cs="Arial"/>
                <w:color w:val="000000"/>
                <w:lang w:eastAsia="en-GB"/>
                <w14:ligatures w14:val="standardContextual"/>
              </w:rPr>
            </w:pPr>
            <w:r w:rsidRPr="000E3A6D">
              <w:rPr>
                <w:rFonts w:ascii="Arial" w:eastAsia="Times New Roman" w:hAnsi="Arial" w:cs="Arial"/>
                <w:color w:val="684633" w:themeColor="text1" w:themeShade="BF"/>
                <w:sz w:val="18"/>
                <w:szCs w:val="18"/>
                <w:lang w:eastAsia="en-GB"/>
              </w:rPr>
              <w:sym w:font="Wingdings" w:char="F0DF"/>
            </w:r>
          </w:p>
        </w:tc>
        <w:tc>
          <w:tcPr>
            <w:tcW w:w="1250" w:type="dxa"/>
            <w:shd w:val="clear" w:color="auto" w:fill="F2F2F2"/>
            <w:noWrap/>
            <w:vAlign w:val="center"/>
            <w:hideMark/>
          </w:tcPr>
          <w:p w14:paraId="225538BD" w14:textId="77777777" w:rsidR="000E3A6D" w:rsidRPr="000E3A6D" w:rsidRDefault="000E3A6D" w:rsidP="000E3A6D">
            <w:pPr>
              <w:spacing w:before="0" w:after="0" w:line="240" w:lineRule="auto"/>
              <w:jc w:val="center"/>
              <w:rPr>
                <w:rFonts w:ascii="Arial" w:eastAsia="Times New Roman" w:hAnsi="Arial" w:cs="Arial"/>
                <w:b/>
                <w:bCs/>
                <w:color w:val="000000"/>
                <w:lang w:eastAsia="en-GB"/>
                <w14:ligatures w14:val="standardContextual"/>
              </w:rPr>
            </w:pPr>
            <w:r w:rsidRPr="000E3A6D">
              <w:rPr>
                <w:rFonts w:ascii="Arial" w:eastAsia="Times New Roman" w:hAnsi="Arial" w:cs="Arial"/>
                <w:b/>
                <w:bCs/>
                <w:color w:val="000000"/>
                <w:lang w:eastAsia="en-GB"/>
                <w14:ligatures w14:val="standardContextual"/>
              </w:rPr>
              <w:t>..</w:t>
            </w:r>
          </w:p>
        </w:tc>
      </w:tr>
      <w:tr w:rsidR="000E3A6D" w:rsidRPr="000E3A6D" w14:paraId="0BDF9017" w14:textId="77777777" w:rsidTr="004934ED">
        <w:trPr>
          <w:trHeight w:val="934"/>
        </w:trPr>
        <w:tc>
          <w:tcPr>
            <w:tcW w:w="1474" w:type="dxa"/>
            <w:vMerge/>
            <w:vAlign w:val="center"/>
            <w:hideMark/>
          </w:tcPr>
          <w:p w14:paraId="3BAA6203"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p>
        </w:tc>
        <w:tc>
          <w:tcPr>
            <w:tcW w:w="133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127ED313"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Good improvement and on track</w:t>
            </w:r>
          </w:p>
          <w:p w14:paraId="26744C68"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(Aust only)</w:t>
            </w:r>
          </w:p>
        </w:tc>
        <w:tc>
          <w:tcPr>
            <w:tcW w:w="1332"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56A3F6B7"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 xml:space="preserve">Improvement but not on track </w:t>
            </w:r>
          </w:p>
          <w:p w14:paraId="6B3CA883"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(Aust only)</w:t>
            </w:r>
          </w:p>
        </w:tc>
        <w:tc>
          <w:tcPr>
            <w:tcW w:w="1332"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1119A839"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Improvement</w:t>
            </w:r>
          </w:p>
        </w:tc>
        <w:tc>
          <w:tcPr>
            <w:tcW w:w="1332" w:type="dxa"/>
            <w:tcBorders>
              <w:top w:val="single" w:sz="4" w:space="0" w:color="D9D9D9"/>
              <w:left w:val="single" w:sz="4" w:space="0" w:color="D9D9D9"/>
              <w:bottom w:val="single" w:sz="4" w:space="0" w:color="D9D9D9"/>
              <w:right w:val="single" w:sz="4" w:space="0" w:color="D9D9D9"/>
            </w:tcBorders>
            <w:shd w:val="clear" w:color="auto" w:fill="auto"/>
            <w:vAlign w:val="center"/>
          </w:tcPr>
          <w:p w14:paraId="20574549"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No change</w:t>
            </w:r>
          </w:p>
        </w:tc>
        <w:tc>
          <w:tcPr>
            <w:tcW w:w="1332"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4F09CC4C"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Worsening</w:t>
            </w:r>
          </w:p>
        </w:tc>
        <w:tc>
          <w:tcPr>
            <w:tcW w:w="1250"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45EF6417" w14:textId="77777777" w:rsidR="000E3A6D" w:rsidRPr="000E3A6D" w:rsidRDefault="000E3A6D" w:rsidP="000E3A6D">
            <w:pPr>
              <w:spacing w:before="0" w:after="0" w:line="240" w:lineRule="auto"/>
              <w:jc w:val="center"/>
              <w:rPr>
                <w:rFonts w:ascii="Arial" w:eastAsia="Times New Roman" w:hAnsi="Arial" w:cs="Arial"/>
                <w:color w:val="000000"/>
                <w:sz w:val="18"/>
                <w:szCs w:val="18"/>
                <w:lang w:eastAsia="en-GB"/>
                <w14:ligatures w14:val="standardContextual"/>
              </w:rPr>
            </w:pPr>
            <w:r w:rsidRPr="000E3A6D">
              <w:rPr>
                <w:rFonts w:ascii="Arial" w:eastAsia="Times New Roman" w:hAnsi="Arial" w:cs="Arial"/>
                <w:color w:val="000000"/>
                <w:sz w:val="18"/>
                <w:szCs w:val="18"/>
                <w:lang w:eastAsia="en-GB"/>
                <w14:ligatures w14:val="standardContextual"/>
              </w:rPr>
              <w:t>No assessment</w:t>
            </w:r>
          </w:p>
        </w:tc>
      </w:tr>
    </w:tbl>
    <w:p w14:paraId="58E4D940" w14:textId="77777777" w:rsidR="00963492" w:rsidRDefault="00963492" w:rsidP="000E3A6D">
      <w:pPr>
        <w:spacing w:before="0" w:after="160" w:line="259" w:lineRule="auto"/>
        <w:rPr>
          <w:rFonts w:eastAsia="Times New Roman" w:cstheme="minorHAnsi"/>
          <w:kern w:val="2"/>
          <w:sz w:val="18"/>
          <w:szCs w:val="18"/>
          <w:lang w:eastAsia="en-AU"/>
          <w14:ligatures w14:val="standardContextual"/>
        </w:rPr>
      </w:pPr>
    </w:p>
    <w:p w14:paraId="62D110FB" w14:textId="77777777" w:rsidR="000E3A6D" w:rsidRPr="003167C2" w:rsidRDefault="000E3A6D" w:rsidP="003167C2">
      <w:pPr>
        <w:pStyle w:val="Heading3"/>
        <w:rPr>
          <w:color w:val="B65627"/>
          <w:lang w:eastAsia="en-AU"/>
        </w:rPr>
      </w:pPr>
      <w:r w:rsidRPr="003167C2">
        <w:rPr>
          <w:color w:val="B65627"/>
          <w:lang w:eastAsia="en-AU"/>
        </w:rPr>
        <w:t>Attachment 5 - Current progress of the development of measurement for the Priority Reform targets</w:t>
      </w:r>
    </w:p>
    <w:p w14:paraId="09855530" w14:textId="2A129F99" w:rsidR="000E3A6D" w:rsidRPr="000E3A6D" w:rsidRDefault="000E3A6D" w:rsidP="003167C2">
      <w:pPr>
        <w:pStyle w:val="BodyText"/>
        <w:rPr>
          <w:lang w:eastAsia="en-AU"/>
        </w:rPr>
      </w:pPr>
      <w:r w:rsidRPr="000E3A6D">
        <w:rPr>
          <w:lang w:eastAsia="en-AU"/>
        </w:rPr>
        <w:t>The Priority Reforms are the foundation of the National Agreement on Closing the Gap, however, there is not yet a framework in place or agreement on the data to be collected that could inform an assessment of progress towards them. Since the 2023 ADCR, work on developing these measures has commenced; however, they remain under development. Figure A</w:t>
      </w:r>
      <w:r w:rsidR="00BA0180">
        <w:rPr>
          <w:lang w:eastAsia="en-AU"/>
        </w:rPr>
        <w:t>3</w:t>
      </w:r>
      <w:r w:rsidRPr="000E3A6D">
        <w:rPr>
          <w:lang w:eastAsia="en-AU"/>
        </w:rPr>
        <w:t xml:space="preserve"> provides an overview of progress towards developing measurements for each of the priority reforms. </w:t>
      </w:r>
    </w:p>
    <w:p w14:paraId="5B21CA68" w14:textId="60992D9F" w:rsidR="000E3A6D" w:rsidRPr="003167C2" w:rsidRDefault="000E3A6D" w:rsidP="003167C2">
      <w:pPr>
        <w:pStyle w:val="FigureTableHeading"/>
        <w:rPr>
          <w:rFonts w:ascii="Aptos" w:hAnsi="Aptos" w:cs="Times New Roman"/>
          <w:color w:val="B65627"/>
          <w:spacing w:val="-2"/>
        </w:rPr>
      </w:pPr>
      <w:r w:rsidRPr="003167C2">
        <w:rPr>
          <w:rFonts w:cs="Times New Roman"/>
          <w:color w:val="B65627"/>
          <w:spacing w:val="-2"/>
        </w:rPr>
        <w:t>Figure A</w:t>
      </w:r>
      <w:r w:rsidR="00A9494B" w:rsidRPr="003167C2">
        <w:rPr>
          <w:rFonts w:cs="Times New Roman"/>
          <w:color w:val="B65627"/>
          <w:spacing w:val="-2"/>
        </w:rPr>
        <w:t>3</w:t>
      </w:r>
      <w:r w:rsidRPr="003167C2">
        <w:rPr>
          <w:rFonts w:cs="Times New Roman"/>
          <w:color w:val="B65627"/>
          <w:spacing w:val="-2"/>
        </w:rPr>
        <w:t xml:space="preserve"> </w:t>
      </w:r>
      <w:r w:rsidRPr="003167C2">
        <w:rPr>
          <w:color w:val="B65627"/>
          <w:spacing w:val="-2"/>
        </w:rPr>
        <w:t>– Current progress of the development of measurement of the Priority Reforms</w:t>
      </w:r>
    </w:p>
    <w:p w14:paraId="3A5EEBEC" w14:textId="77777777" w:rsidR="000E3A6D" w:rsidRPr="000E3A6D" w:rsidRDefault="000E3A6D" w:rsidP="000E3A6D">
      <w:pPr>
        <w:spacing w:before="0" w:after="160" w:line="259" w:lineRule="auto"/>
        <w:rPr>
          <w:lang w:eastAsia="en-AU"/>
        </w:rPr>
        <w:sectPr w:rsidR="000E3A6D" w:rsidRPr="000E3A6D" w:rsidSect="00AF5423">
          <w:headerReference w:type="default" r:id="rId142"/>
          <w:footerReference w:type="default" r:id="rId143"/>
          <w:footerReference w:type="first" r:id="rId144"/>
          <w:pgSz w:w="11906" w:h="16838" w:code="9"/>
          <w:pgMar w:top="1134" w:right="1134" w:bottom="1134" w:left="1134" w:header="794" w:footer="510" w:gutter="0"/>
          <w:cols w:space="708"/>
          <w:docGrid w:linePitch="360"/>
        </w:sectPr>
      </w:pPr>
      <w:r w:rsidRPr="000E3A6D">
        <w:rPr>
          <w:noProof/>
        </w:rPr>
        <w:drawing>
          <wp:inline distT="0" distB="0" distL="0" distR="0" wp14:anchorId="1B773E5A" wp14:editId="5EE662FD">
            <wp:extent cx="6120130" cy="5314315"/>
            <wp:effectExtent l="0" t="0" r="0" b="635"/>
            <wp:docPr id="1229734834" name="Picture 27" descr="Figure A3 shows the progress of developing the measurement for the Priority Reform targets. Phase one is completed and phase two is in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34834" name="Picture 27" descr="Figure A3 shows the progress of developing the measurement for the Priority Reform targets. Phase one is completed and phase two is in progress.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130" cy="5314315"/>
                    </a:xfrm>
                    <a:prstGeom prst="rect">
                      <a:avLst/>
                    </a:prstGeom>
                    <a:noFill/>
                    <a:ln>
                      <a:noFill/>
                    </a:ln>
                  </pic:spPr>
                </pic:pic>
              </a:graphicData>
            </a:graphic>
          </wp:inline>
        </w:drawing>
      </w:r>
    </w:p>
    <w:p w14:paraId="71CA5F81" w14:textId="2E4C696B" w:rsidR="00FD4036" w:rsidRPr="007B3DCE" w:rsidRDefault="00CD4770" w:rsidP="00AD4EAB">
      <w:pPr>
        <w:pStyle w:val="Heading1"/>
        <w:pBdr>
          <w:top w:val="single" w:sz="4" w:space="31" w:color="DBDCDE"/>
          <w:left w:val="single" w:sz="4" w:space="26" w:color="DBDCDE"/>
          <w:bottom w:val="single" w:sz="4" w:space="26" w:color="DBDCDE"/>
          <w:right w:val="single" w:sz="4" w:space="26" w:color="DBDCDE"/>
        </w:pBdr>
        <w:shd w:val="clear" w:color="auto" w:fill="8C5E44" w:themeFill="text1"/>
        <w:rPr>
          <w:color w:val="EBDDD6" w:themeColor="text1" w:themeTint="33"/>
        </w:rPr>
      </w:pPr>
      <w:bookmarkStart w:id="71" w:name="_Toc170466656"/>
      <w:bookmarkStart w:id="72" w:name="_Toc167878568"/>
      <w:r w:rsidRPr="007B3DCE">
        <w:rPr>
          <w:color w:val="EBDDD6" w:themeColor="text1" w:themeTint="33"/>
        </w:rPr>
        <w:lastRenderedPageBreak/>
        <w:t>References</w:t>
      </w:r>
      <w:bookmarkEnd w:id="71"/>
      <w:bookmarkEnd w:id="72"/>
      <w:r w:rsidRPr="007B3DCE">
        <w:rPr>
          <w:color w:val="EBDDD6" w:themeColor="text1" w:themeTint="33"/>
        </w:rPr>
        <w:t xml:space="preserve"> </w:t>
      </w:r>
    </w:p>
    <w:p w14:paraId="1A9F2D29" w14:textId="62184AC9" w:rsidR="00FD4036" w:rsidRPr="007B3DCE" w:rsidRDefault="00FD4036" w:rsidP="00D17DC3">
      <w:pPr>
        <w:pStyle w:val="ListBullet"/>
        <w:tabs>
          <w:tab w:val="num" w:pos="360"/>
        </w:tabs>
        <w:ind w:left="360" w:hanging="360"/>
        <w:sectPr w:rsidR="00FD4036" w:rsidRPr="007B3DCE" w:rsidSect="00D8262C">
          <w:footerReference w:type="even" r:id="rId146"/>
          <w:footerReference w:type="default" r:id="rId147"/>
          <w:pgSz w:w="11906" w:h="16838" w:code="9"/>
          <w:pgMar w:top="1134" w:right="1134" w:bottom="1134" w:left="1134" w:header="794" w:footer="510" w:gutter="0"/>
          <w:cols w:space="708"/>
          <w:docGrid w:linePitch="360"/>
        </w:sectPr>
      </w:pPr>
    </w:p>
    <w:p w14:paraId="7A08AC2B" w14:textId="77777777" w:rsidR="00551651" w:rsidRDefault="00551651" w:rsidP="00EC2799">
      <w:pPr>
        <w:pStyle w:val="Reference"/>
      </w:pPr>
      <w:r>
        <w:t xml:space="preserve">ABS (Australian Bureau of Statistics) 2022a, </w:t>
      </w:r>
      <w:r>
        <w:rPr>
          <w:i/>
          <w:iCs/>
        </w:rPr>
        <w:t>Profile of people with a core need for assistance in Australia</w:t>
      </w:r>
      <w:r>
        <w:t>, 29 July, https://www.abs.gov.au/articles/profile-people-core-need-assistance-australia (accessed 20 May 2024).</w:t>
      </w:r>
    </w:p>
    <w:p w14:paraId="39C1E5E2" w14:textId="7B5C0D07" w:rsidR="00551651" w:rsidRPr="00451C5F" w:rsidRDefault="00551651" w:rsidP="00EC2799">
      <w:pPr>
        <w:pStyle w:val="Reference"/>
        <w:rPr>
          <w:spacing w:val="-2"/>
        </w:rPr>
      </w:pPr>
      <w:r w:rsidRPr="00451C5F">
        <w:rPr>
          <w:spacing w:val="-2"/>
        </w:rPr>
        <w:t xml:space="preserve">—— 2022b, </w:t>
      </w:r>
      <w:r w:rsidRPr="00451C5F">
        <w:rPr>
          <w:i/>
          <w:spacing w:val="-2"/>
        </w:rPr>
        <w:t>Submission to Productivity Commission Review of the National Agreement on Closing the Gap</w:t>
      </w:r>
      <w:r w:rsidRPr="00451C5F">
        <w:rPr>
          <w:spacing w:val="-2"/>
        </w:rPr>
        <w:t>, https://www.pc.gov.au/__data/assets/pdf_file/0010/352288/sub001-closing-the-gap-review.pdf (accessed 13 May 2024).</w:t>
      </w:r>
    </w:p>
    <w:p w14:paraId="5E9CD71B" w14:textId="09190011" w:rsidR="00551651" w:rsidRDefault="00551651" w:rsidP="00EC2799">
      <w:pPr>
        <w:pStyle w:val="Reference"/>
      </w:pPr>
      <w:r>
        <w:t>——</w:t>
      </w:r>
      <w:r w:rsidR="00EC2799">
        <w:t xml:space="preserve"> </w:t>
      </w:r>
      <w:r>
        <w:t xml:space="preserve">2023, </w:t>
      </w:r>
      <w:r>
        <w:rPr>
          <w:i/>
          <w:iCs/>
        </w:rPr>
        <w:t>Aboriginal and Torres Strait Islander life expectancy, 2020 - 2022 | Australian Bureau of Statistics</w:t>
      </w:r>
      <w:r>
        <w:t>, https://www.abs.gov.au/statistics/people/aboriginal-and-torres-strait-islander-peoples/aboriginal-and-torres-strait-islander-life-expectancy/latest-release (accessed 16 January 2024).</w:t>
      </w:r>
    </w:p>
    <w:p w14:paraId="41F51601" w14:textId="77777777" w:rsidR="00551651" w:rsidRDefault="00551651" w:rsidP="00EC2799">
      <w:pPr>
        <w:pStyle w:val="Reference"/>
      </w:pPr>
      <w:r>
        <w:t xml:space="preserve">AEDC 2022, </w:t>
      </w:r>
      <w:r>
        <w:rPr>
          <w:i/>
          <w:iCs/>
        </w:rPr>
        <w:t>FAQs for Schools</w:t>
      </w:r>
      <w:r>
        <w:t>, https://www.aedc.gov.au/schools/faqs-for-schools (accessed 2 April 2024).</w:t>
      </w:r>
    </w:p>
    <w:p w14:paraId="7259ED1E" w14:textId="77777777" w:rsidR="00551651" w:rsidRDefault="00551651" w:rsidP="00EC2799">
      <w:pPr>
        <w:pStyle w:val="Reference"/>
      </w:pPr>
      <w:r>
        <w:t xml:space="preserve">AHRC (Australian Human Rights Commission) 2020, </w:t>
      </w:r>
      <w:r>
        <w:rPr>
          <w:i/>
          <w:iCs/>
        </w:rPr>
        <w:t>Wiyi Yani U Thangani (Women’s Voices) Securing Our Rights, Securing Our Future Report</w:t>
      </w:r>
      <w:r>
        <w:t>.</w:t>
      </w:r>
    </w:p>
    <w:p w14:paraId="7EEA800C" w14:textId="77777777" w:rsidR="00551651" w:rsidRDefault="00551651" w:rsidP="00EC2799">
      <w:pPr>
        <w:pStyle w:val="Reference"/>
      </w:pPr>
      <w:r>
        <w:t xml:space="preserve">AIATSIS (Australian Institute of Aboriginal and Torres Strait Islander Studies) 2023, </w:t>
      </w:r>
      <w:r>
        <w:rPr>
          <w:i/>
          <w:iCs/>
        </w:rPr>
        <w:t>Languages alive</w:t>
      </w:r>
      <w:r>
        <w:t>, Australian Institute of Aboriginal and Torres Strait Islander Studies, https://aiatsis.gov.au/explore/languages-alive (accessed 3 July 2024).</w:t>
      </w:r>
    </w:p>
    <w:p w14:paraId="053F38C9" w14:textId="77777777" w:rsidR="00551651" w:rsidRDefault="00551651" w:rsidP="00EC2799">
      <w:pPr>
        <w:pStyle w:val="Reference"/>
      </w:pPr>
      <w:r>
        <w:t xml:space="preserve">AIHW (Australian Institute of Health and Welfare) 2011, </w:t>
      </w:r>
      <w:r>
        <w:rPr>
          <w:i/>
          <w:iCs/>
        </w:rPr>
        <w:t>Headline Indicators for children’s health, development and wellbeing 2011</w:t>
      </w:r>
      <w:r>
        <w:t>, AIHW, Canberra.</w:t>
      </w:r>
    </w:p>
    <w:p w14:paraId="65722433" w14:textId="548D50E9" w:rsidR="00551651" w:rsidRDefault="00551651" w:rsidP="00EC2799">
      <w:pPr>
        <w:pStyle w:val="Reference"/>
      </w:pPr>
      <w:r>
        <w:t xml:space="preserve">—— 2019, </w:t>
      </w:r>
      <w:r>
        <w:rPr>
          <w:i/>
          <w:iCs/>
        </w:rPr>
        <w:t>Aboriginal and Torres Strait Islander people: a focus report on housing and homelessness</w:t>
      </w:r>
      <w:r>
        <w:t>, Canberra: AIHW, https://www.aihw.gov.au/reports/housing-assistance/indigenous-people-focus-housing-homelessness (accessed 29 April 2024).</w:t>
      </w:r>
    </w:p>
    <w:p w14:paraId="66E3A6AB" w14:textId="241FF03C" w:rsidR="00551651" w:rsidRPr="0068546E" w:rsidRDefault="00551651" w:rsidP="00EC2799">
      <w:pPr>
        <w:pStyle w:val="Reference"/>
        <w:rPr>
          <w:spacing w:val="-2"/>
        </w:rPr>
      </w:pPr>
      <w:r w:rsidRPr="0068546E">
        <w:rPr>
          <w:spacing w:val="-2"/>
        </w:rPr>
        <w:t xml:space="preserve">—— 2022a, </w:t>
      </w:r>
      <w:r w:rsidRPr="0068546E">
        <w:rPr>
          <w:i/>
          <w:spacing w:val="-2"/>
        </w:rPr>
        <w:t>2.05 Education outcomes for young people</w:t>
      </w:r>
      <w:r w:rsidRPr="0068546E">
        <w:rPr>
          <w:spacing w:val="-2"/>
        </w:rPr>
        <w:t>, AIHW Indigenous Health Performance Framework, https://www.indigenoushpf.gov.au/measures/2-05-education-outcomes-young-people (accessed 9 April 2024).</w:t>
      </w:r>
    </w:p>
    <w:p w14:paraId="467DEEC6" w14:textId="1C8F2F01" w:rsidR="00551651" w:rsidRDefault="00551651" w:rsidP="00EC2799">
      <w:pPr>
        <w:pStyle w:val="Reference"/>
      </w:pPr>
      <w:r>
        <w:t>—— 2022b, ‘An overview of Indigenous mental health and suicide prevention in Australia’, https://www.indigenousmhspc.gov.au/publications/overview (accessed 2 May 2024).</w:t>
      </w:r>
    </w:p>
    <w:p w14:paraId="683DF70C" w14:textId="3C0B07D0" w:rsidR="00551651" w:rsidRDefault="00551651" w:rsidP="00EC2799">
      <w:pPr>
        <w:pStyle w:val="Reference"/>
      </w:pPr>
      <w:r>
        <w:t xml:space="preserve">—— 2022c, </w:t>
      </w:r>
      <w:r>
        <w:rPr>
          <w:i/>
          <w:iCs/>
        </w:rPr>
        <w:t>Determinants of health for Indigenous Australians</w:t>
      </w:r>
      <w:r>
        <w:t>, AIHW, https://www.aihw.gov.au/reports/australias-health/social-determinants-and-indigenous-health (accessed 30 January 2024).</w:t>
      </w:r>
    </w:p>
    <w:p w14:paraId="2C3B6E63" w14:textId="13496CBD" w:rsidR="00551651" w:rsidRDefault="00551651" w:rsidP="00EC2799">
      <w:pPr>
        <w:pStyle w:val="Reference"/>
      </w:pPr>
      <w:r>
        <w:t xml:space="preserve">—— 2023, </w:t>
      </w:r>
      <w:r>
        <w:rPr>
          <w:i/>
          <w:iCs/>
        </w:rPr>
        <w:t>Profile of First Nations people</w:t>
      </w:r>
      <w:r>
        <w:t xml:space="preserve">, </w:t>
      </w:r>
      <w:r w:rsidR="000B559E">
        <w:t>7 September</w:t>
      </w:r>
      <w:r>
        <w:t>, https://www.aihw.gov.au/reports/australias-welfare/profile-of-indigenous-australians (accessed 20 May 2024).</w:t>
      </w:r>
    </w:p>
    <w:p w14:paraId="7F069C6F" w14:textId="015ACBCF" w:rsidR="00551651" w:rsidRDefault="00551651" w:rsidP="00EC2799">
      <w:pPr>
        <w:pStyle w:val="Reference"/>
      </w:pPr>
      <w:r>
        <w:t xml:space="preserve">—— 2024a, </w:t>
      </w:r>
      <w:r>
        <w:rPr>
          <w:i/>
          <w:iCs/>
        </w:rPr>
        <w:t>2.21 Health behaviours during pregnancy</w:t>
      </w:r>
      <w:r>
        <w:t>, AIHW Indigenous HPF, https://www.indigenoushpf.gov.au/measures/2-21-health-behaviours-during-pregnancy (accessed 5 July 2024).</w:t>
      </w:r>
    </w:p>
    <w:p w14:paraId="3BAC51AD" w14:textId="7562423A" w:rsidR="00551651" w:rsidRDefault="00551651" w:rsidP="00EC2799">
      <w:pPr>
        <w:pStyle w:val="Reference"/>
      </w:pPr>
      <w:r>
        <w:t xml:space="preserve">—— 2024b, </w:t>
      </w:r>
      <w:r>
        <w:rPr>
          <w:i/>
          <w:iCs/>
        </w:rPr>
        <w:t>Family, domestic and sexual violence: Aboriginal and Torres Strait Islander people</w:t>
      </w:r>
      <w:r>
        <w:t>.</w:t>
      </w:r>
    </w:p>
    <w:p w14:paraId="5CC61D5B" w14:textId="5C6E6297" w:rsidR="00551651" w:rsidRDefault="00551651" w:rsidP="00EC2799">
      <w:pPr>
        <w:pStyle w:val="Reference"/>
      </w:pPr>
      <w:r>
        <w:t xml:space="preserve">—— 2024c, </w:t>
      </w:r>
      <w:r>
        <w:rPr>
          <w:i/>
          <w:iCs/>
        </w:rPr>
        <w:t>First Nations people and the health system</w:t>
      </w:r>
      <w:r>
        <w:t>, AIHW, https://www.aihw.gov.au/reports/australias-health/indigenous-australians-use-of-health-services (accessed 11 July 2024).</w:t>
      </w:r>
    </w:p>
    <w:p w14:paraId="37611F26" w14:textId="11C92CD3" w:rsidR="00551651" w:rsidRPr="00A5090E" w:rsidRDefault="00551651" w:rsidP="00EC2799">
      <w:pPr>
        <w:pStyle w:val="Reference"/>
        <w:rPr>
          <w:spacing w:val="-2"/>
        </w:rPr>
      </w:pPr>
      <w:r w:rsidRPr="00A5090E">
        <w:rPr>
          <w:spacing w:val="-2"/>
        </w:rPr>
        <w:t xml:space="preserve">—— 2024d, </w:t>
      </w:r>
      <w:r w:rsidRPr="00A5090E">
        <w:rPr>
          <w:i/>
          <w:spacing w:val="-2"/>
        </w:rPr>
        <w:t>Life expectancy</w:t>
      </w:r>
      <w:r w:rsidRPr="00A5090E">
        <w:rPr>
          <w:spacing w:val="-2"/>
        </w:rPr>
        <w:t>, AIHW Indigenous HPF, https://www.indigenoushpf.gov.au/report-overview/overview/summary-report/4-tier-1-–-health-status-and-outcomes/life-expectancy (accessed 21 May 2024).</w:t>
      </w:r>
    </w:p>
    <w:p w14:paraId="23F4CEA5" w14:textId="14CE1AFD" w:rsidR="00551651" w:rsidRDefault="00551651" w:rsidP="00EC2799">
      <w:pPr>
        <w:pStyle w:val="Reference"/>
      </w:pPr>
      <w:r>
        <w:t xml:space="preserve">——  nd, </w:t>
      </w:r>
      <w:r>
        <w:rPr>
          <w:i/>
          <w:iCs/>
        </w:rPr>
        <w:t>2.07 Employment</w:t>
      </w:r>
      <w:r>
        <w:t>, AIHW Indigenous HPF, https://www.indigenoushpf.gov.au/measures/2-07-employment (accessed 9 May 2024).</w:t>
      </w:r>
    </w:p>
    <w:p w14:paraId="01A8619E" w14:textId="77777777" w:rsidR="00551651" w:rsidRDefault="00551651" w:rsidP="00EC2799">
      <w:pPr>
        <w:pStyle w:val="Reference"/>
      </w:pPr>
      <w:r>
        <w:t xml:space="preserve">Aird, R, Miller, E, van Megen, K and Buys, L 2010, </w:t>
      </w:r>
      <w:r>
        <w:rPr>
          <w:i/>
          <w:iCs/>
        </w:rPr>
        <w:t>Issues for Students Navigating Alternative Pathways to Higher Education: Barriers, Access and Equity | Gonski Institute for Education - UNSW Sydney</w:t>
      </w:r>
      <w:r>
        <w:t>, https://www.gie.unsw.edu.au/issues-students-navigating-alternative-pathways-higher-education-barriers-access-and-equity (accessed 22 April 2024).</w:t>
      </w:r>
    </w:p>
    <w:p w14:paraId="33B59D6D" w14:textId="77777777" w:rsidR="00551651" w:rsidRDefault="00551651" w:rsidP="00EC2799">
      <w:pPr>
        <w:pStyle w:val="Reference"/>
      </w:pPr>
      <w:r>
        <w:t>Alford, DK 2014, ‘Economic Value of Aboriginal Community Controlled Health Services’.</w:t>
      </w:r>
    </w:p>
    <w:p w14:paraId="59652CD3" w14:textId="77777777" w:rsidR="00FB2122" w:rsidRPr="00FB2122" w:rsidRDefault="00FB2122" w:rsidP="00EC2799">
      <w:pPr>
        <w:pStyle w:val="Reference"/>
        <w:rPr>
          <w:sz w:val="18"/>
          <w:szCs w:val="18"/>
        </w:rPr>
      </w:pPr>
      <w:r w:rsidRPr="00FB2122">
        <w:rPr>
          <w:rStyle w:val="normaltextrun"/>
          <w:rFonts w:ascii="Arial" w:hAnsi="Arial" w:cs="Arial"/>
          <w:color w:val="000000"/>
          <w:shd w:val="clear" w:color="auto" w:fill="FFFFFF"/>
        </w:rPr>
        <w:t xml:space="preserve">ALRC (Australian Law Reform Commission) 2017a, </w:t>
      </w:r>
      <w:r w:rsidRPr="00FB2122">
        <w:rPr>
          <w:rStyle w:val="normaltextrun"/>
          <w:rFonts w:ascii="Arial" w:hAnsi="Arial" w:cs="Arial"/>
          <w:i/>
          <w:iCs/>
          <w:color w:val="000000"/>
          <w:shd w:val="clear" w:color="auto" w:fill="FFFFFF"/>
        </w:rPr>
        <w:t>Incarceration Rates of Aboriginal and Torres Strait Islander Peoples,</w:t>
      </w:r>
      <w:r w:rsidRPr="00FB2122">
        <w:rPr>
          <w:rStyle w:val="normaltextrun"/>
          <w:rFonts w:ascii="Arial" w:hAnsi="Arial" w:cs="Arial"/>
          <w:color w:val="000000"/>
          <w:shd w:val="clear" w:color="auto" w:fill="FFFFFF"/>
        </w:rPr>
        <w:t xml:space="preserve"> Discussion Paper 84.</w:t>
      </w:r>
      <w:r w:rsidRPr="00FB2122">
        <w:rPr>
          <w:rStyle w:val="eop"/>
          <w:rFonts w:ascii="Arial" w:hAnsi="Arial" w:cs="Arial"/>
          <w:color w:val="000000"/>
          <w:shd w:val="clear" w:color="auto" w:fill="FFFFFF"/>
        </w:rPr>
        <w:t> </w:t>
      </w:r>
    </w:p>
    <w:p w14:paraId="197571E9" w14:textId="68EA4B6E" w:rsidR="00551651" w:rsidRPr="00EC2799" w:rsidRDefault="00551651" w:rsidP="00EC2799">
      <w:pPr>
        <w:pStyle w:val="Reference"/>
        <w:rPr>
          <w:spacing w:val="2"/>
        </w:rPr>
      </w:pPr>
      <w:r w:rsidRPr="00EC2799">
        <w:rPr>
          <w:spacing w:val="2"/>
        </w:rPr>
        <w:t xml:space="preserve">—— 2017b, </w:t>
      </w:r>
      <w:r w:rsidRPr="00EC2799">
        <w:rPr>
          <w:i/>
          <w:iCs/>
          <w:spacing w:val="2"/>
        </w:rPr>
        <w:t>Pathways to Justice - An Inquiry into the Incarceration Rate of Aboriginal and Torres Strait Islander Peoples</w:t>
      </w:r>
      <w:r w:rsidRPr="00EC2799">
        <w:rPr>
          <w:spacing w:val="2"/>
        </w:rPr>
        <w:t>.</w:t>
      </w:r>
    </w:p>
    <w:p w14:paraId="499FABF2" w14:textId="77777777" w:rsidR="00551651" w:rsidRDefault="00551651" w:rsidP="00EC2799">
      <w:pPr>
        <w:pStyle w:val="Reference"/>
      </w:pPr>
      <w:r>
        <w:t xml:space="preserve">ANTAR 2022, </w:t>
      </w:r>
      <w:r>
        <w:rPr>
          <w:i/>
          <w:iCs/>
        </w:rPr>
        <w:t>Native Title Act Factsheet</w:t>
      </w:r>
      <w:r>
        <w:t>.</w:t>
      </w:r>
    </w:p>
    <w:p w14:paraId="0D943484" w14:textId="77777777" w:rsidR="00551651" w:rsidRDefault="00551651" w:rsidP="00EC2799">
      <w:pPr>
        <w:pStyle w:val="Reference"/>
      </w:pPr>
      <w:r>
        <w:rPr>
          <w:i/>
          <w:iCs/>
        </w:rPr>
        <w:t>ANTAR</w:t>
      </w:r>
      <w:r>
        <w:t xml:space="preserve"> </w:t>
      </w:r>
      <w:r w:rsidR="006E27BA">
        <w:t>2023</w:t>
      </w:r>
      <w:r>
        <w:t xml:space="preserve">, </w:t>
      </w:r>
      <w:r>
        <w:rPr>
          <w:i/>
          <w:iCs/>
        </w:rPr>
        <w:t>ANTAR Response to Closing the Gap Review</w:t>
      </w:r>
      <w:r>
        <w:t>, https://antar.org.au/resources/antar-response-to-closing-the-gap-review/ (accessed 18 April 2024).</w:t>
      </w:r>
    </w:p>
    <w:p w14:paraId="09AF5804" w14:textId="77777777" w:rsidR="00551651" w:rsidRDefault="00551651" w:rsidP="00EC2799">
      <w:pPr>
        <w:pStyle w:val="Reference"/>
      </w:pPr>
      <w:r>
        <w:t xml:space="preserve">Barber, JG, Delfabbro, PH and Cooper, L 2016, ‘Aboriginal and non-Aboriginal children in out-of-home care’, </w:t>
      </w:r>
      <w:r>
        <w:rPr>
          <w:i/>
          <w:iCs/>
        </w:rPr>
        <w:t>Children Australia</w:t>
      </w:r>
      <w:r>
        <w:t>, vol. 25, no. 3, pp. 5–10.</w:t>
      </w:r>
    </w:p>
    <w:p w14:paraId="26D03D70" w14:textId="77777777" w:rsidR="00551651" w:rsidRDefault="00551651" w:rsidP="00EC2799">
      <w:pPr>
        <w:pStyle w:val="Reference"/>
      </w:pPr>
      <w:r>
        <w:t xml:space="preserve">Berger, LM and Font, SA 2015, ‘The Role of the Family and Family-Centered Programs and Policies’, </w:t>
      </w:r>
      <w:r>
        <w:rPr>
          <w:i/>
          <w:iCs/>
        </w:rPr>
        <w:t>The Future of children</w:t>
      </w:r>
      <w:r>
        <w:t>, vol. 25, no. 1, pp. 155–176.</w:t>
      </w:r>
    </w:p>
    <w:p w14:paraId="1DD1BD11" w14:textId="77777777" w:rsidR="00551651" w:rsidRDefault="00551651" w:rsidP="00EC2799">
      <w:pPr>
        <w:pStyle w:val="Reference"/>
      </w:pPr>
      <w:r>
        <w:t xml:space="preserve">Biddle, N and Bath, J 2013, </w:t>
      </w:r>
      <w:r>
        <w:rPr>
          <w:i/>
          <w:iCs/>
        </w:rPr>
        <w:t>CAEPR Indigenous Population Project - 2011 Census Papers</w:t>
      </w:r>
      <w:r>
        <w:t>, Education Part 1: Early childhood education, Paper 7, https://caepr.cass.anu.edu.au/sites/default/files/docs/2011CensusPaper07_Education_Part1_Web_1.pdf (accessed 2 April 2024).</w:t>
      </w:r>
    </w:p>
    <w:p w14:paraId="124F04AE" w14:textId="77777777" w:rsidR="00551651" w:rsidRDefault="00551651" w:rsidP="00EC2799">
      <w:pPr>
        <w:pStyle w:val="Reference"/>
      </w:pPr>
      <w:r>
        <w:t xml:space="preserve">Bishop, M and Vass, G 2021, ‘Talking about culturally responsive approaches to education: teacher professional </w:t>
      </w:r>
      <w:r>
        <w:lastRenderedPageBreak/>
        <w:t xml:space="preserve">learning, Indigenous learners and the politics of schooling’, </w:t>
      </w:r>
      <w:r>
        <w:rPr>
          <w:i/>
          <w:iCs/>
        </w:rPr>
        <w:t>The Australian Journal of Indigenous Education</w:t>
      </w:r>
      <w:r>
        <w:t>, vol. 50, no. 2, pp. 340–347.</w:t>
      </w:r>
    </w:p>
    <w:p w14:paraId="7C732FF8" w14:textId="77777777" w:rsidR="00551651" w:rsidRDefault="00551651" w:rsidP="00EC2799">
      <w:pPr>
        <w:pStyle w:val="Reference"/>
      </w:pPr>
      <w:r>
        <w:t xml:space="preserve">Bodkin-Andrews, G and Carlson, B 2016, ‘The legacy of racism and Indigenous Australian identity within education’, Routledge, </w:t>
      </w:r>
      <w:r>
        <w:rPr>
          <w:i/>
          <w:iCs/>
        </w:rPr>
        <w:t>Race Ethnicity and Education</w:t>
      </w:r>
      <w:r>
        <w:t>, vol. 19, no. 4, pp. 784–807.</w:t>
      </w:r>
    </w:p>
    <w:p w14:paraId="6A04361A" w14:textId="77777777" w:rsidR="00551651" w:rsidRDefault="00551651" w:rsidP="00EC2799">
      <w:pPr>
        <w:pStyle w:val="Reference"/>
      </w:pPr>
      <w:r>
        <w:t xml:space="preserve">Bourke, S, Wright, A, Guthrie, J, Russell, L, Dunbar, T and Lovett, R 2018, ‘Evidence Review of Indigenous Culture for Health and Wellbeing’, </w:t>
      </w:r>
      <w:r>
        <w:rPr>
          <w:i/>
          <w:iCs/>
        </w:rPr>
        <w:t>The International Journal of Health, Wellness, and Society</w:t>
      </w:r>
      <w:r>
        <w:t>, vol. 8, no. 4, pp. 11–27.</w:t>
      </w:r>
    </w:p>
    <w:p w14:paraId="3E9C6AC6" w14:textId="77777777" w:rsidR="00551651" w:rsidRDefault="00551651" w:rsidP="00EC2799">
      <w:pPr>
        <w:pStyle w:val="Reference"/>
      </w:pPr>
      <w:r>
        <w:t xml:space="preserve">Bower, C, Watkins, RE, Mutch, RC, Marriott, R, Freeman, J, Kippin, NR, Safe, B, Pestell, C, Cheung, CSC, Shield, H, Tarratt, L, Springall, A, Taylor, J, Walker, N, Argiro, E, Leitão, S, Hamilton, S, Condon, C, Passmore, HM and Giglia, R 2018, ‘Fetal alcohol spectrum disorder and youth justice: a prevalence study among young people sentenced to detention in Western Australia’, British Medical Journal Publishing Group, </w:t>
      </w:r>
      <w:r>
        <w:rPr>
          <w:i/>
          <w:iCs/>
        </w:rPr>
        <w:t>BMJ Open</w:t>
      </w:r>
      <w:r>
        <w:t>, vol. 8, no. 2, p. e019605.</w:t>
      </w:r>
    </w:p>
    <w:p w14:paraId="11B8F3EA" w14:textId="77777777" w:rsidR="00551651" w:rsidRDefault="00551651" w:rsidP="00EC2799">
      <w:pPr>
        <w:pStyle w:val="Reference"/>
      </w:pPr>
      <w:r>
        <w:t xml:space="preserve">Brackertz, N and Wilkinson, A 2017, </w:t>
      </w:r>
      <w:r>
        <w:rPr>
          <w:i/>
          <w:iCs/>
        </w:rPr>
        <w:t>Research synthesis of social and economic outcomes of good housing for Aboriginal and Torres Strait Islander People</w:t>
      </w:r>
      <w:r>
        <w:t xml:space="preserve"> https://web.archive.org/web/20190330204745/https://www.pmc.gov.au/sites/default/files/publications/research-synthesis-social-economic-outcomes-housing.pdf (accessed 29 April 2024).</w:t>
      </w:r>
    </w:p>
    <w:p w14:paraId="7F722482" w14:textId="77777777" w:rsidR="00551651" w:rsidRDefault="00551651" w:rsidP="00EC2799">
      <w:pPr>
        <w:pStyle w:val="Reference"/>
      </w:pPr>
      <w:r>
        <w:t xml:space="preserve">Burridge, N and Chodkiewicz, A 2012, ‘An Historical Overview of Aboriginal Education Policies in the Australian Context’, in Burridge, N, Whalan, F and Vaughan, K (eds), </w:t>
      </w:r>
      <w:r>
        <w:rPr>
          <w:i/>
          <w:iCs/>
        </w:rPr>
        <w:t>Indigenous Education: A Learning Journey for Teachers, Schools and Communities</w:t>
      </w:r>
      <w:r>
        <w:t>, SensePublishers, Rotterdam, pp. 11–21, https://doi.org/10.1007/978-94-6091-888-9_2 (accessed 18 April 2024).</w:t>
      </w:r>
    </w:p>
    <w:p w14:paraId="58EF7A86" w14:textId="77777777" w:rsidR="00551651" w:rsidRDefault="00551651" w:rsidP="00EC2799">
      <w:pPr>
        <w:pStyle w:val="Reference"/>
      </w:pPr>
      <w:r>
        <w:t xml:space="preserve">Butler, TL, Anderson, K, Garvey, G, Cunningham, J, Ratcliffe, J, Tong, A, Whop, LJ, Cass, A, Dickson, M and Howard, K 2019, ‘Aboriginal and Torres Strait Islander people’s domains of wellbeing: A comprehensive literature review’, </w:t>
      </w:r>
      <w:r>
        <w:rPr>
          <w:i/>
          <w:iCs/>
        </w:rPr>
        <w:t>Social Science &amp; Medicine</w:t>
      </w:r>
      <w:r>
        <w:t>, vol. 233, pp. 138–157.</w:t>
      </w:r>
    </w:p>
    <w:p w14:paraId="763C44B6" w14:textId="77777777" w:rsidR="00551651" w:rsidRDefault="00551651" w:rsidP="00EC2799">
      <w:pPr>
        <w:pStyle w:val="Reference"/>
      </w:pPr>
      <w:r>
        <w:t xml:space="preserve">Central Land Council nd, </w:t>
      </w:r>
      <w:r>
        <w:rPr>
          <w:i/>
          <w:iCs/>
        </w:rPr>
        <w:t>Native title</w:t>
      </w:r>
      <w:r>
        <w:t xml:space="preserve">, </w:t>
      </w:r>
      <w:r>
        <w:rPr>
          <w:i/>
          <w:iCs/>
        </w:rPr>
        <w:t>Central Land Council</w:t>
      </w:r>
      <w:r>
        <w:t>, https://www.clc.org.au/native-title/ (accessed 26 February 2024).</w:t>
      </w:r>
    </w:p>
    <w:p w14:paraId="0124F8C0" w14:textId="77777777" w:rsidR="00551651" w:rsidRDefault="00551651" w:rsidP="00EC2799">
      <w:pPr>
        <w:pStyle w:val="Reference"/>
      </w:pPr>
      <w:r>
        <w:t xml:space="preserve">Clark, Y 2000, ‘The construction of aboriginal identity in people separated from their families, community, and culture: Pieces of a jigsaw’, Routledge, </w:t>
      </w:r>
      <w:r>
        <w:rPr>
          <w:i/>
          <w:iCs/>
        </w:rPr>
        <w:t>Australian Psychologist</w:t>
      </w:r>
      <w:r>
        <w:t>, vol. 35, no. 2, pp. 150–157.</w:t>
      </w:r>
    </w:p>
    <w:p w14:paraId="02679055" w14:textId="77777777" w:rsidR="00551651" w:rsidRDefault="00551651" w:rsidP="00EC2799">
      <w:pPr>
        <w:pStyle w:val="Reference"/>
      </w:pPr>
      <w:r>
        <w:t xml:space="preserve">Comino, E, Knight, J, Webster, V, Jackson Pulver, L, Jalaludin, B, Harris, E, Craig, P, McDermott, D, Henry, R, Harris, M, and The Gudaga Research Team 2012, ‘Risk and Protective Factors for Pregnancy Outcomes for Urban Aboriginal and Non-Aboriginal Mothers and Infants: The Gudaga Cohort’, </w:t>
      </w:r>
      <w:r>
        <w:rPr>
          <w:i/>
          <w:iCs/>
        </w:rPr>
        <w:t>Maternal and Child Health Journal</w:t>
      </w:r>
      <w:r>
        <w:t>, vol. 16, no. 3, pp. 569–578.</w:t>
      </w:r>
    </w:p>
    <w:p w14:paraId="5A18B14B" w14:textId="77777777" w:rsidR="00551651" w:rsidRDefault="00551651" w:rsidP="00EC2799">
      <w:pPr>
        <w:pStyle w:val="Reference"/>
      </w:pPr>
      <w:r>
        <w:t xml:space="preserve">Commonwealth of Australia 2024, </w:t>
      </w:r>
      <w:r>
        <w:rPr>
          <w:i/>
          <w:iCs/>
        </w:rPr>
        <w:t>Framework for Governance of Indigenous Data</w:t>
      </w:r>
      <w:r>
        <w:t>.</w:t>
      </w:r>
    </w:p>
    <w:p w14:paraId="00567A3A" w14:textId="77777777" w:rsidR="00551651" w:rsidRDefault="00551651" w:rsidP="00EC2799">
      <w:pPr>
        <w:pStyle w:val="Reference"/>
      </w:pPr>
      <w:r>
        <w:t xml:space="preserve">Cunneen, C 2020, </w:t>
      </w:r>
      <w:r>
        <w:rPr>
          <w:i/>
          <w:iCs/>
        </w:rPr>
        <w:t>Conflict, Politics and Crime: Aboriginal Communities and the Police</w:t>
      </w:r>
      <w:r>
        <w:t>, Routledge.</w:t>
      </w:r>
    </w:p>
    <w:p w14:paraId="109BC47C" w14:textId="77777777" w:rsidR="00551651" w:rsidRDefault="00551651" w:rsidP="00EC2799">
      <w:pPr>
        <w:pStyle w:val="Reference"/>
      </w:pPr>
      <w:r>
        <w:t xml:space="preserve">——, Russell, S and Schwartz, M 2021, ‘Principles in diversion of Aboriginal and Torres Strait Islander young people from the criminal jurisdiction’, Routledge, </w:t>
      </w:r>
      <w:r>
        <w:rPr>
          <w:i/>
          <w:iCs/>
        </w:rPr>
        <w:t>Current Issues in Criminal Justice</w:t>
      </w:r>
      <w:r>
        <w:t>, vol. 33, no. 2, pp. 170–190.</w:t>
      </w:r>
    </w:p>
    <w:p w14:paraId="42CD927A" w14:textId="77777777" w:rsidR="00551651" w:rsidRDefault="00551651" w:rsidP="00EC2799">
      <w:pPr>
        <w:pStyle w:val="Reference"/>
      </w:pPr>
      <w:r>
        <w:t>Cunneen</w:t>
      </w:r>
      <w:r w:rsidR="00FC2DD2">
        <w:t xml:space="preserve"> </w:t>
      </w:r>
      <w:r>
        <w:t>2019, ‘Self-Determination and the Aboriginal Youth Justice Strategy’.</w:t>
      </w:r>
    </w:p>
    <w:p w14:paraId="63793AD3" w14:textId="77777777" w:rsidR="00551651" w:rsidRPr="00EC2799" w:rsidRDefault="00551651" w:rsidP="00EC2799">
      <w:pPr>
        <w:pStyle w:val="Reference"/>
        <w:rPr>
          <w:spacing w:val="-4"/>
        </w:rPr>
      </w:pPr>
      <w:r w:rsidRPr="00EC2799">
        <w:rPr>
          <w:spacing w:val="-4"/>
        </w:rPr>
        <w:t>Department of Social Services 2015, ‘Third three-year action plan, 2015–2018 – Driving Change: Intervening Early’.</w:t>
      </w:r>
    </w:p>
    <w:p w14:paraId="3CD2A145" w14:textId="77777777" w:rsidR="00551651" w:rsidRDefault="00551651" w:rsidP="00EC2799">
      <w:pPr>
        <w:pStyle w:val="Reference"/>
      </w:pPr>
      <w:r>
        <w:t xml:space="preserve">Dodson, M 1995, ‘Opinion: From “Lore” to “Law”: Indigenous Rights and Australian Legal Systems’, </w:t>
      </w:r>
      <w:r>
        <w:rPr>
          <w:i/>
          <w:iCs/>
        </w:rPr>
        <w:t>Aboriginal Law Bulletin</w:t>
      </w:r>
      <w:r>
        <w:t>, http://www8.austlii.edu.au/cgi-bin/viewdoc/au/journals/AboriginalLawB/1995/1.html#Heading1 (accessed 22 March 2024).</w:t>
      </w:r>
    </w:p>
    <w:p w14:paraId="7781AE21" w14:textId="77777777" w:rsidR="00551651" w:rsidRDefault="0046023F" w:rsidP="00EC2799">
      <w:pPr>
        <w:pStyle w:val="Reference"/>
      </w:pPr>
      <w:r>
        <w:t xml:space="preserve">DoHAC </w:t>
      </w:r>
      <w:r w:rsidR="00551651">
        <w:t xml:space="preserve">2020, </w:t>
      </w:r>
      <w:r w:rsidR="00551651">
        <w:rPr>
          <w:i/>
          <w:iCs/>
        </w:rPr>
        <w:t>Pregnancy Care Guidelines</w:t>
      </w:r>
      <w:r w:rsidR="00551651">
        <w:t>, Australian Government Department of Health and Aged Care, Pregnancy Care Guidelines, https://www.health.gov.au/resources/pregnancy-care-guidelines (accessed 17 January 2024).</w:t>
      </w:r>
    </w:p>
    <w:p w14:paraId="45020E91" w14:textId="77777777" w:rsidR="00551651" w:rsidRDefault="00551651" w:rsidP="00EC2799">
      <w:pPr>
        <w:pStyle w:val="Reference"/>
      </w:pPr>
      <w:r>
        <w:t>Dreamson, N, Thomas, G and Lee Hong, A 2016, ‘Culturally inclusive learning for Indigenous students in a Learning Management System (LMS)’.</w:t>
      </w:r>
    </w:p>
    <w:p w14:paraId="7AF59DC6" w14:textId="77777777" w:rsidR="00551651" w:rsidRDefault="00551651" w:rsidP="00EC2799">
      <w:pPr>
        <w:pStyle w:val="Reference"/>
      </w:pPr>
      <w:r>
        <w:t xml:space="preserve">Dudgeon, P, Bray, A, Darlaston-Jones, D and Walker, R 2020, </w:t>
      </w:r>
      <w:r>
        <w:rPr>
          <w:i/>
          <w:iCs/>
        </w:rPr>
        <w:t>Aboriginal Pa</w:t>
      </w:r>
      <w:r w:rsidR="00A16725">
        <w:rPr>
          <w:i/>
          <w:iCs/>
        </w:rPr>
        <w:t>r</w:t>
      </w:r>
      <w:r>
        <w:rPr>
          <w:i/>
          <w:iCs/>
        </w:rPr>
        <w:t>ticipatory Action Research: An Indigenous Research Methodology Strengthening Decolonisation and Social and Emotional Wellbeing</w:t>
      </w:r>
      <w:r>
        <w:t>, Lowitja Institute, https://www.lowitja.org.au/wp-content/uploads/2023/05/LI_Discussion_Paper_P-Dudgeon_FINAL3.pdf (accessed 20 December 2023).</w:t>
      </w:r>
    </w:p>
    <w:p w14:paraId="3BB2B19C" w14:textId="77777777" w:rsidR="00A16725" w:rsidRPr="00A16725" w:rsidRDefault="00A16725" w:rsidP="00EC2799">
      <w:pPr>
        <w:pStyle w:val="Reference"/>
      </w:pPr>
      <w:r w:rsidRPr="00A16725">
        <w:t>Dudgeon, P, Hart, A and Kelly, K, eds. 2014, Working Together: Aboriginal and Torres Strait Islander Mental Health and Wellbeing Principles and Practice, 2nd edn, Department of the Prime Minister and Cabinet</w:t>
      </w:r>
    </w:p>
    <w:p w14:paraId="5154911A" w14:textId="77777777" w:rsidR="00551651" w:rsidRDefault="00551651" w:rsidP="00EC2799">
      <w:pPr>
        <w:pStyle w:val="Reference"/>
      </w:pPr>
      <w:r>
        <w:t xml:space="preserve">Dudgeon, P, Milroy, J, Calma, T, Luxford, Y, Ring, I, Walker, R, Coz, A, Georgatos, G and Holland, C 2016, </w:t>
      </w:r>
      <w:r>
        <w:rPr>
          <w:i/>
          <w:iCs/>
        </w:rPr>
        <w:t>Solutions that work: what the evidence and our people tell us</w:t>
      </w:r>
      <w:r>
        <w:t>, https://www.niaa.gov.au/sites/default/files/documents/publications/solutions-that-work-suicide-prevention.pdf (accessed 5 July 2024).</w:t>
      </w:r>
    </w:p>
    <w:p w14:paraId="344F6DB6" w14:textId="77777777" w:rsidR="00551651" w:rsidRDefault="00551651" w:rsidP="00EC2799">
      <w:pPr>
        <w:pStyle w:val="Reference"/>
      </w:pPr>
      <w:r>
        <w:t xml:space="preserve">First Languages Australia nd, </w:t>
      </w:r>
      <w:r>
        <w:rPr>
          <w:i/>
          <w:iCs/>
        </w:rPr>
        <w:t>Aboriginal and Torres Strait Islander languages</w:t>
      </w:r>
      <w:r>
        <w:t>, First Languages Australia, https://www.firstlanguages.org.au/languages (accessed 2 May 2024a).</w:t>
      </w:r>
    </w:p>
    <w:p w14:paraId="66309BBB" w14:textId="77777777" w:rsidR="00551651" w:rsidRDefault="00551651" w:rsidP="00EC2799">
      <w:pPr>
        <w:pStyle w:val="Reference"/>
      </w:pPr>
      <w:r>
        <w:t xml:space="preserve">—— nd, </w:t>
      </w:r>
      <w:r>
        <w:rPr>
          <w:i/>
          <w:iCs/>
        </w:rPr>
        <w:t>Why maintain our languages?</w:t>
      </w:r>
      <w:r>
        <w:t>, First Languages Australia, https://www.firstlanguages.org.au/why-maintain-our-languages (accessed 2 May 2024b).</w:t>
      </w:r>
    </w:p>
    <w:p w14:paraId="71D3531C" w14:textId="77777777" w:rsidR="00551651" w:rsidRDefault="00551651" w:rsidP="00EC2799">
      <w:pPr>
        <w:pStyle w:val="Reference"/>
      </w:pPr>
      <w:r>
        <w:t xml:space="preserve">First Nations Media nd, </w:t>
      </w:r>
      <w:r>
        <w:rPr>
          <w:i/>
          <w:iCs/>
        </w:rPr>
        <w:t>Language and Culture | First Nations Media Australia</w:t>
      </w:r>
      <w:r>
        <w:t>, https://firstnationsmedia.org.au/resources/language-and-culture (accessed 2 May 2024).</w:t>
      </w:r>
    </w:p>
    <w:p w14:paraId="532854E1" w14:textId="77777777" w:rsidR="00551651" w:rsidRDefault="00551651" w:rsidP="00EC2799">
      <w:pPr>
        <w:pStyle w:val="Reference"/>
      </w:pPr>
      <w:r>
        <w:t xml:space="preserve">FPDN (First Peoples Disability Network Australia) 2019, </w:t>
      </w:r>
      <w:r>
        <w:rPr>
          <w:i/>
          <w:iCs/>
        </w:rPr>
        <w:t>First Peoples Disability Network Australia</w:t>
      </w:r>
      <w:r>
        <w:t>, About us, https://fpdn.org.au/about-us/ (accessed 20 May 2024).</w:t>
      </w:r>
    </w:p>
    <w:p w14:paraId="4D4D1161" w14:textId="77777777" w:rsidR="00551651" w:rsidRDefault="00551651" w:rsidP="00EC2799">
      <w:pPr>
        <w:pStyle w:val="Reference"/>
      </w:pPr>
      <w:r>
        <w:t xml:space="preserve">Gomersall, JS, Gibson, O, Dwyer, J, O’Donnell, K, Stephenson, M, Carter, D, Canuto, K, Munn, Z, Aromataris, E and Brown, A 2017, ‘What Indigenous Australian clients value about primary health care: a systematic review of qualitative evidence’, </w:t>
      </w:r>
      <w:r>
        <w:rPr>
          <w:i/>
          <w:iCs/>
        </w:rPr>
        <w:t>Australian and New Zealand Journal of Public Health</w:t>
      </w:r>
      <w:r>
        <w:t>, vol. 41, no. 4, pp. 417–423.</w:t>
      </w:r>
    </w:p>
    <w:p w14:paraId="20A0A7AF" w14:textId="77777777" w:rsidR="00551651" w:rsidRDefault="00551651" w:rsidP="00EC2799">
      <w:pPr>
        <w:pStyle w:val="Reference"/>
      </w:pPr>
      <w:r>
        <w:t>Gubhaju, L, Banks, E, MacNiven, R, McNamara, BJ, Joshy, G, Bauman, A and Eades, SJ 2015, ‘Physical Functional Limitations among Aboriginal and Non-Aboriginal Older Adults: Associations with Socio-</w:t>
      </w:r>
      <w:r>
        <w:lastRenderedPageBreak/>
        <w:t xml:space="preserve">Demographic Factors and Health’, Baradaran, HR (ed), </w:t>
      </w:r>
      <w:r>
        <w:rPr>
          <w:i/>
          <w:iCs/>
        </w:rPr>
        <w:t>PLOS ONE</w:t>
      </w:r>
      <w:r>
        <w:t>, vol. 10, no. 9, p. e0139364.</w:t>
      </w:r>
    </w:p>
    <w:p w14:paraId="4E4D9833" w14:textId="77777777" w:rsidR="00551651" w:rsidRDefault="00551651" w:rsidP="00EC2799">
      <w:pPr>
        <w:pStyle w:val="Reference"/>
      </w:pPr>
      <w:r>
        <w:t xml:space="preserve">Guenther, J and Bat, M 2013, ‘Towards a Good Education in Very Remote Australia: Is it Just a Case of Moving the Desks Around?’, </w:t>
      </w:r>
      <w:r>
        <w:rPr>
          <w:i/>
          <w:iCs/>
        </w:rPr>
        <w:t>The Australian Journal of Indigenous Education</w:t>
      </w:r>
      <w:r>
        <w:t>, vol. 42, no. 2, pp. 145–156.</w:t>
      </w:r>
    </w:p>
    <w:p w14:paraId="11D4BC24" w14:textId="77777777" w:rsidR="00551651" w:rsidRDefault="00551651" w:rsidP="00EC2799">
      <w:pPr>
        <w:pStyle w:val="Reference"/>
      </w:pPr>
      <w:r>
        <w:t xml:space="preserve">Hall, S, Fildes, J, Tiller, E, Di Nicola, K and Plummer, J 2020, </w:t>
      </w:r>
      <w:r>
        <w:rPr>
          <w:i/>
          <w:iCs/>
        </w:rPr>
        <w:t>National Aboriginal and Torres Strait Islander Youth Report: Youth Survey 2019</w:t>
      </w:r>
      <w:r>
        <w:t>, Mission Australia.</w:t>
      </w:r>
    </w:p>
    <w:p w14:paraId="29425BDD" w14:textId="77777777" w:rsidR="00551651" w:rsidRDefault="00551651" w:rsidP="00EC2799">
      <w:pPr>
        <w:pStyle w:val="Reference"/>
      </w:pPr>
      <w:r>
        <w:t xml:space="preserve">Hartwig, LD, Jackson, S, Markham, F and Osborne, N 2021, ‘Water colonialism and Indigenous water justice in south-eastern Australia’, </w:t>
      </w:r>
      <w:r>
        <w:rPr>
          <w:i/>
          <w:iCs/>
        </w:rPr>
        <w:t>International Journal of Water Resources Development</w:t>
      </w:r>
      <w:r>
        <w:t>, pp. 1–34.</w:t>
      </w:r>
    </w:p>
    <w:p w14:paraId="71CAFC42" w14:textId="77777777" w:rsidR="00551651" w:rsidRDefault="00551651" w:rsidP="00EC2799">
      <w:pPr>
        <w:pStyle w:val="Reference"/>
      </w:pPr>
      <w:r>
        <w:t xml:space="preserve">——, —— and Osborne, N 2020, ‘Trends in Aboriginal water ownership in New South Wales, Australia: The continuities between colonial and neoliberal forms of dispossession’, </w:t>
      </w:r>
      <w:r>
        <w:rPr>
          <w:i/>
          <w:iCs/>
        </w:rPr>
        <w:t>Land Use Policy</w:t>
      </w:r>
      <w:r>
        <w:t>, vol. 99, https://linkinghub.elsevier.com/retrieve/pii/S0264837719319799 (accessed 16 January 2024).</w:t>
      </w:r>
    </w:p>
    <w:p w14:paraId="133C5B0D" w14:textId="77777777" w:rsidR="00551651" w:rsidRDefault="00551651" w:rsidP="00EC2799">
      <w:pPr>
        <w:pStyle w:val="Reference"/>
      </w:pPr>
      <w:r>
        <w:t xml:space="preserve">Healing Foundation 2013, </w:t>
      </w:r>
      <w:r>
        <w:rPr>
          <w:i/>
          <w:iCs/>
        </w:rPr>
        <w:t>Our Children, Our Dreaming: A Call for a More Just Approach for Aboriginal and Torres Strait Islander Children and Families</w:t>
      </w:r>
      <w:r>
        <w:t>.</w:t>
      </w:r>
    </w:p>
    <w:p w14:paraId="0D7DCAEE" w14:textId="77777777" w:rsidR="00551651" w:rsidRDefault="00551651" w:rsidP="00EC2799">
      <w:pPr>
        <w:pStyle w:val="Reference"/>
      </w:pPr>
      <w:r>
        <w:t xml:space="preserve">—— 2018, </w:t>
      </w:r>
      <w:r>
        <w:rPr>
          <w:i/>
          <w:iCs/>
        </w:rPr>
        <w:t>Working with Aboriginal and Torres Strait Islander young people and their families</w:t>
      </w:r>
      <w:r>
        <w:t>.</w:t>
      </w:r>
    </w:p>
    <w:p w14:paraId="2DDED1B2" w14:textId="77777777" w:rsidR="00551651" w:rsidRDefault="00551651" w:rsidP="00EC2799">
      <w:pPr>
        <w:pStyle w:val="Reference"/>
      </w:pPr>
      <w:r>
        <w:t xml:space="preserve">—— 2020, </w:t>
      </w:r>
      <w:r>
        <w:rPr>
          <w:i/>
          <w:iCs/>
        </w:rPr>
        <w:t>Improving the social and emotional wellbeing of Aboriginal and Torres Strait Islander children</w:t>
      </w:r>
      <w:r w:rsidR="00D0473E">
        <w:t>.</w:t>
      </w:r>
    </w:p>
    <w:p w14:paraId="581F6D35" w14:textId="77777777" w:rsidR="00551651" w:rsidRPr="00EC2799" w:rsidRDefault="00551651" w:rsidP="00EC2799">
      <w:pPr>
        <w:pStyle w:val="Reference"/>
        <w:rPr>
          <w:spacing w:val="-6"/>
        </w:rPr>
      </w:pPr>
      <w:r w:rsidRPr="00EC2799">
        <w:rPr>
          <w:spacing w:val="-6"/>
        </w:rPr>
        <w:t xml:space="preserve">Helme, S and Lamb, S 2011, </w:t>
      </w:r>
      <w:r w:rsidRPr="00EC2799">
        <w:rPr>
          <w:i/>
          <w:iCs/>
          <w:spacing w:val="-6"/>
        </w:rPr>
        <w:t>Closing the school completion gap for Indigenous students</w:t>
      </w:r>
      <w:r w:rsidRPr="00EC2799">
        <w:rPr>
          <w:spacing w:val="-6"/>
        </w:rPr>
        <w:t>, Closing the Gap Clearinghouse, Resource sheet no. 6, Australian Institute of Health and Welfare; Australian Institute of Family Studies, https://www.aihw.gov.au/getmedia/83074cc6-7dc9-40fb-9505-7b49c07e68e3/ctgc-rs06.pdf?v=20230605180934&amp;inline=true (accessed 9 April 2024).</w:t>
      </w:r>
    </w:p>
    <w:p w14:paraId="48AD7866" w14:textId="77777777" w:rsidR="00551651" w:rsidRDefault="00551651" w:rsidP="00EC2799">
      <w:pPr>
        <w:pStyle w:val="Reference"/>
      </w:pPr>
      <w:r>
        <w:t xml:space="preserve">Hine, R, Krakouer, J, Elston, J, Fredericks, B, Hunter, S-A, Taylor, K, Stephens, T, Couzens, V, Manahan, E, DeSouza, R, Boyle, J, Callander, E, Cunningham, H, Miller, R, Willey, S, Wilton, K and Skouteris, H 2023, ‘Identifying and dismantling racism in Australian perinatal settings: Reframing the narrative from a risk lens to intentionally prioritise connectedness and strengths in providing care to First Nations families’, </w:t>
      </w:r>
      <w:r>
        <w:rPr>
          <w:i/>
          <w:iCs/>
        </w:rPr>
        <w:t>Women and Birth</w:t>
      </w:r>
      <w:r>
        <w:t>, vol. 36, no. 1, pp. 136–140.</w:t>
      </w:r>
    </w:p>
    <w:p w14:paraId="41F0BB58" w14:textId="77777777" w:rsidR="00551651" w:rsidRDefault="00551651" w:rsidP="00EC2799">
      <w:pPr>
        <w:pStyle w:val="Reference"/>
      </w:pPr>
      <w:r>
        <w:t xml:space="preserve">Hollinsworth, D, Raciti, M and Carter, J 2020, ‘Indigenous students’ identities in Australian higher education: found, denied, and reinforced’, Routledge, </w:t>
      </w:r>
      <w:r>
        <w:rPr>
          <w:i/>
          <w:iCs/>
        </w:rPr>
        <w:t>Race Ethnicity and Education</w:t>
      </w:r>
      <w:r>
        <w:t>, vol. 24, no. 1, pp. 112–131.</w:t>
      </w:r>
    </w:p>
    <w:p w14:paraId="4B4FF416" w14:textId="77777777" w:rsidR="00472860" w:rsidRPr="00472860" w:rsidRDefault="00472860" w:rsidP="00EC2799">
      <w:pPr>
        <w:pStyle w:val="Reference"/>
      </w:pPr>
      <w:r>
        <w:rPr>
          <w:rStyle w:val="normaltextrun"/>
          <w:rFonts w:ascii="Arial" w:hAnsi="Arial" w:cs="Arial"/>
          <w:color w:val="000000"/>
          <w:shd w:val="clear" w:color="auto" w:fill="FFFFFF"/>
        </w:rPr>
        <w:t xml:space="preserve">House of Representatives Standing Committee on Indigenous Affairs 2021, </w:t>
      </w:r>
      <w:r>
        <w:rPr>
          <w:rStyle w:val="normaltextrun"/>
          <w:rFonts w:ascii="Arial" w:hAnsi="Arial" w:cs="Arial"/>
          <w:i/>
          <w:iCs/>
          <w:color w:val="000000"/>
          <w:shd w:val="clear" w:color="auto" w:fill="FFFFFF"/>
        </w:rPr>
        <w:t>Report on Indigenous Participation in Employment and Business</w:t>
      </w:r>
      <w:r>
        <w:rPr>
          <w:rStyle w:val="normaltextrun"/>
          <w:rFonts w:ascii="Arial" w:hAnsi="Arial" w:cs="Arial"/>
          <w:color w:val="000000"/>
          <w:shd w:val="clear" w:color="auto" w:fill="FFFFFF"/>
        </w:rPr>
        <w:t>, Canberra.</w:t>
      </w:r>
      <w:r>
        <w:rPr>
          <w:rStyle w:val="eop"/>
          <w:rFonts w:ascii="Arial" w:hAnsi="Arial" w:cs="Arial"/>
          <w:color w:val="000000"/>
          <w:shd w:val="clear" w:color="auto" w:fill="FFFFFF"/>
        </w:rPr>
        <w:t> </w:t>
      </w:r>
    </w:p>
    <w:p w14:paraId="5553D705" w14:textId="77777777" w:rsidR="00551651" w:rsidRPr="007C23A8" w:rsidRDefault="007C23A8" w:rsidP="00EC2799">
      <w:pPr>
        <w:pStyle w:val="Reference"/>
        <w:rPr>
          <w:rFonts w:ascii="Arial" w:hAnsi="Arial" w:cs="Arial"/>
          <w:color w:val="000000"/>
          <w:shd w:val="clear" w:color="auto" w:fill="FFFFFF"/>
        </w:rPr>
      </w:pPr>
      <w:r>
        <w:rPr>
          <w:rStyle w:val="normaltextrun"/>
          <w:rFonts w:ascii="Arial" w:hAnsi="Arial" w:cs="Arial"/>
          <w:color w:val="000000"/>
          <w:shd w:val="clear" w:color="auto" w:fill="FFFFFF"/>
        </w:rPr>
        <w:t xml:space="preserve">Hunter, B, Dinku, Y, Eva, C, Markham, F and Murray, M 2022, ‘Employment and Indigenous mental health’, </w:t>
      </w:r>
      <w:r>
        <w:rPr>
          <w:rStyle w:val="normaltextrun"/>
          <w:rFonts w:ascii="Arial" w:hAnsi="Arial" w:cs="Arial"/>
          <w:i/>
          <w:iCs/>
          <w:color w:val="000000"/>
          <w:shd w:val="clear" w:color="auto" w:fill="FFFFFF"/>
        </w:rPr>
        <w:t>Australian Institute of Health and Welfare.</w:t>
      </w:r>
      <w:r>
        <w:rPr>
          <w:rStyle w:val="normaltextrun"/>
          <w:rFonts w:ascii="Arial" w:hAnsi="Arial" w:cs="Arial"/>
          <w:color w:val="000000"/>
          <w:shd w:val="clear" w:color="auto" w:fill="FFFFFF"/>
        </w:rPr>
        <w:t xml:space="preserve"> Produced for the Indigenous Mental Health and Suicide Prevention Clearinghouse. Catalogue number IMH 10, AIHW, Australian Government.</w:t>
      </w:r>
      <w:r>
        <w:rPr>
          <w:rStyle w:val="eop"/>
          <w:rFonts w:ascii="Arial" w:hAnsi="Arial" w:cs="Arial"/>
          <w:color w:val="000000"/>
          <w:shd w:val="clear" w:color="auto" w:fill="FFFFFF"/>
        </w:rPr>
        <w:t> </w:t>
      </w:r>
    </w:p>
    <w:p w14:paraId="0C6CAB4B" w14:textId="77777777" w:rsidR="00551651" w:rsidRDefault="00551651" w:rsidP="00EC2799">
      <w:pPr>
        <w:pStyle w:val="Reference"/>
      </w:pPr>
      <w:r>
        <w:t xml:space="preserve">Joint Council 2024, </w:t>
      </w:r>
      <w:r>
        <w:rPr>
          <w:i/>
          <w:iCs/>
        </w:rPr>
        <w:t>Twelfth meeting of the Joint Council on Closing the Gap Communique</w:t>
      </w:r>
      <w:r>
        <w:t>, Closing the Gap.</w:t>
      </w:r>
    </w:p>
    <w:p w14:paraId="3FF412DF" w14:textId="77777777" w:rsidR="00551651" w:rsidRDefault="00551651" w:rsidP="00EC2799">
      <w:pPr>
        <w:pStyle w:val="Reference"/>
      </w:pPr>
      <w:r>
        <w:t xml:space="preserve">Jordan, K 2018, ‘Aboriginal and Torres Strait Islander Employment: Issues for Policy, Practice and Research’, </w:t>
      </w:r>
      <w:r>
        <w:rPr>
          <w:i/>
          <w:iCs/>
        </w:rPr>
        <w:t>Journal of Australian Political Economy</w:t>
      </w:r>
      <w:r>
        <w:t>, no. 82, pp. 9–36.</w:t>
      </w:r>
    </w:p>
    <w:p w14:paraId="1184B873" w14:textId="77777777" w:rsidR="00551651" w:rsidRDefault="00551651" w:rsidP="00EC2799">
      <w:pPr>
        <w:pStyle w:val="Reference"/>
      </w:pPr>
      <w:r>
        <w:t xml:space="preserve">Kairuz, CA, Casanelia, LM, Bennett-Brook, K, Coombes, J and Yadav, UN 2021, ‘Impact of racism and discrimination on physical and mental health among Aboriginal and Torres Strait islander peoples living in Australia: a systematic scoping review’, </w:t>
      </w:r>
      <w:r>
        <w:rPr>
          <w:i/>
          <w:iCs/>
        </w:rPr>
        <w:t>BMC Public Health</w:t>
      </w:r>
      <w:r>
        <w:t>, vol. 21, no. 1, p. 1302.</w:t>
      </w:r>
    </w:p>
    <w:p w14:paraId="2BA4D98A" w14:textId="77777777" w:rsidR="00551651" w:rsidRDefault="00551651" w:rsidP="00EC2799">
      <w:pPr>
        <w:pStyle w:val="Reference"/>
      </w:pPr>
      <w:r>
        <w:t xml:space="preserve">Keating, G 2023, ‘Schools and Universities as Elders: Institutional Mentoring and the Indigenous Student’, in Padró, FF, Green, JH and Bull, D (eds), </w:t>
      </w:r>
      <w:r>
        <w:rPr>
          <w:i/>
          <w:iCs/>
        </w:rPr>
        <w:t>Widening Participation in Higher Education</w:t>
      </w:r>
      <w:r>
        <w:t>, Springer Nature, Singapore, pp. 1–16, https://doi.org/10.1007/978-981-19-9553-8_30-1 (accessed 17 June 2024).</w:t>
      </w:r>
    </w:p>
    <w:p w14:paraId="6E3A3ABA" w14:textId="77777777" w:rsidR="00551651" w:rsidRDefault="00551651" w:rsidP="00EC2799">
      <w:pPr>
        <w:pStyle w:val="Reference"/>
      </w:pPr>
      <w:r>
        <w:t xml:space="preserve">Kelly, K 2009, </w:t>
      </w:r>
      <w:r>
        <w:rPr>
          <w:i/>
          <w:iCs/>
        </w:rPr>
        <w:t>Living on the edge: social and emotional wellbeing and risk and protective factors for serious psychological distress among Aboriginal and Torres Strait Islander people</w:t>
      </w:r>
      <w:r>
        <w:t>, Cooperative Research Centre for Aboriginal Health, Casuarina, N.T.</w:t>
      </w:r>
    </w:p>
    <w:p w14:paraId="4AEBE93B" w14:textId="77777777" w:rsidR="00551651" w:rsidRPr="00EC2799" w:rsidRDefault="00551651" w:rsidP="00EC2799">
      <w:pPr>
        <w:pStyle w:val="Reference"/>
        <w:rPr>
          <w:spacing w:val="-2"/>
        </w:rPr>
      </w:pPr>
      <w:r w:rsidRPr="00EC2799">
        <w:rPr>
          <w:spacing w:val="-2"/>
        </w:rPr>
        <w:t xml:space="preserve">Kildea, S, Hickey, S, Barclay, L, Kruske, S, Nelson, C, Sherwood, J, Allen, J, Gao, Y, Blackman, R and Roe, YL 2019, ‘Implementing Birthing on Country services for Aboriginal and Torres Strait Islander families: RISE Framework’, </w:t>
      </w:r>
      <w:r w:rsidRPr="00EC2799">
        <w:rPr>
          <w:i/>
          <w:iCs/>
          <w:spacing w:val="-2"/>
        </w:rPr>
        <w:t>Women and Birth</w:t>
      </w:r>
      <w:r w:rsidRPr="00EC2799">
        <w:rPr>
          <w:spacing w:val="-2"/>
        </w:rPr>
        <w:t>, vol. 32, no. 5, pp. 466–475.</w:t>
      </w:r>
    </w:p>
    <w:p w14:paraId="575F596B" w14:textId="77777777" w:rsidR="00551651" w:rsidRDefault="00551651" w:rsidP="00EC2799">
      <w:pPr>
        <w:pStyle w:val="Reference"/>
      </w:pPr>
      <w:r>
        <w:t xml:space="preserve">Krakouer 2015, </w:t>
      </w:r>
      <w:r>
        <w:rPr>
          <w:i/>
          <w:iCs/>
        </w:rPr>
        <w:t>Literature review relating to the current  context and discourse on Indigenous cultural awareness in the teaching space: Critical pedagogies and improving Indigenous learning outcomes through cultural responsiveness</w:t>
      </w:r>
      <w:r>
        <w:t>, ACER.</w:t>
      </w:r>
    </w:p>
    <w:p w14:paraId="7FF647AB" w14:textId="77777777" w:rsidR="00551651" w:rsidRPr="00EC2799" w:rsidRDefault="00551651" w:rsidP="00EC2799">
      <w:pPr>
        <w:pStyle w:val="Reference"/>
        <w:rPr>
          <w:spacing w:val="2"/>
        </w:rPr>
      </w:pPr>
      <w:r w:rsidRPr="00EC2799">
        <w:rPr>
          <w:spacing w:val="2"/>
        </w:rPr>
        <w:t xml:space="preserve">Liddle, C 2018, ‘Introduction – Aboriginal and Torres Strait Islander Employment Policies  and Repeating Colonial Histories’, </w:t>
      </w:r>
      <w:r w:rsidRPr="00EC2799">
        <w:rPr>
          <w:i/>
          <w:iCs/>
          <w:spacing w:val="2"/>
        </w:rPr>
        <w:t>Journal of Australian Political Economy</w:t>
      </w:r>
      <w:r w:rsidRPr="00EC2799">
        <w:rPr>
          <w:spacing w:val="2"/>
        </w:rPr>
        <w:t>, no. 82, pp. 5–8.</w:t>
      </w:r>
    </w:p>
    <w:p w14:paraId="2628573F" w14:textId="77777777" w:rsidR="00551651" w:rsidRDefault="00551651" w:rsidP="00EC2799">
      <w:pPr>
        <w:pStyle w:val="Reference"/>
      </w:pPr>
      <w:r>
        <w:t xml:space="preserve">Lohoar, S, Butera, N and Kennedy, E 2014, ‘Strengths of Australian Aboriginal cultural practices in family life and child rearing’, </w:t>
      </w:r>
      <w:r>
        <w:rPr>
          <w:i/>
          <w:iCs/>
        </w:rPr>
        <w:t>Child Family Community Australia</w:t>
      </w:r>
      <w:r>
        <w:t>, vol. Paper No. 25.</w:t>
      </w:r>
    </w:p>
    <w:p w14:paraId="74A7C38E" w14:textId="77777777" w:rsidR="00551651" w:rsidRDefault="00551651" w:rsidP="00EC2799">
      <w:pPr>
        <w:pStyle w:val="Reference"/>
      </w:pPr>
      <w:r>
        <w:t xml:space="preserve">Lowitja Institute 2020, </w:t>
      </w:r>
      <w:r>
        <w:rPr>
          <w:i/>
          <w:iCs/>
        </w:rPr>
        <w:t>We Nurture our Culture for our Future, and our Culture Nurtures us.</w:t>
      </w:r>
      <w:r>
        <w:t>, 19 March, Australian Human Rights Commission.</w:t>
      </w:r>
    </w:p>
    <w:p w14:paraId="63061D37" w14:textId="77777777" w:rsidR="00551651" w:rsidRDefault="00551651" w:rsidP="00EC2799">
      <w:pPr>
        <w:pStyle w:val="Reference"/>
      </w:pPr>
      <w:r>
        <w:t xml:space="preserve">Maiam Nayri Wingara 2018, ‘Indigenous Data Sovereignty Communique’, presented at the </w:t>
      </w:r>
      <w:r>
        <w:rPr>
          <w:i/>
          <w:iCs/>
        </w:rPr>
        <w:t>Maiam Nayri Wingara</w:t>
      </w:r>
      <w:r>
        <w:t>, Canberra, ACT, 20 June, https://static1.squarespace.com/static/5b3043afb40b9d20411f3512/t/63ed934fe861fa061ebb9202/1676514134724/Communique-Indigenous-Data-Sovereignty-Summit.pdf (accessed 14 May 2024).</w:t>
      </w:r>
    </w:p>
    <w:p w14:paraId="7C9B9FEB" w14:textId="77777777" w:rsidR="00551651" w:rsidRDefault="00551651" w:rsidP="00EC2799">
      <w:pPr>
        <w:pStyle w:val="Reference"/>
      </w:pPr>
      <w:r>
        <w:t xml:space="preserve">Malvaso, C, Day, A, Delfabbro, P, Cale, J, Hackett, L and Ross, S 2022, </w:t>
      </w:r>
      <w:r>
        <w:rPr>
          <w:i/>
          <w:iCs/>
        </w:rPr>
        <w:t>Adverse childhood experiences and trauma among young people in the youth justice system</w:t>
      </w:r>
      <w:r>
        <w:t>, 14 June, Australian Institute of Criminology, https://www.aic.gov.au/publications/tandi/tandi651 (accessed 17 July 2024).</w:t>
      </w:r>
    </w:p>
    <w:p w14:paraId="7952EB82" w14:textId="77777777" w:rsidR="00551651" w:rsidRDefault="00551651" w:rsidP="00EC2799">
      <w:pPr>
        <w:pStyle w:val="Reference"/>
      </w:pPr>
      <w:r>
        <w:t>Marrie, A 2017, ‘Health Equity Report 2017’.</w:t>
      </w:r>
    </w:p>
    <w:p w14:paraId="7D21E537" w14:textId="77777777" w:rsidR="00551651" w:rsidRDefault="00551651" w:rsidP="00EC2799">
      <w:pPr>
        <w:pStyle w:val="Reference"/>
      </w:pPr>
      <w:r>
        <w:t xml:space="preserve">Martin, K 2017, ‘Culture and Identity: LSIC Parents’ Beliefs and Values and Raising Young Indigenous Children in the Twenty-First Century’, </w:t>
      </w:r>
      <w:r>
        <w:rPr>
          <w:i/>
          <w:iCs/>
        </w:rPr>
        <w:t>Indigenous Children Growing Up Strong: A Longitudinal Study of Aboriginal and Torres Strait Islander Families</w:t>
      </w:r>
      <w:r>
        <w:t>, pp. 79–99.</w:t>
      </w:r>
    </w:p>
    <w:p w14:paraId="18636D16" w14:textId="77777777" w:rsidR="00551651" w:rsidRDefault="00551651" w:rsidP="00EC2799">
      <w:pPr>
        <w:pStyle w:val="Reference"/>
      </w:pPr>
      <w:r>
        <w:t xml:space="preserve">McCallum, K and Papandrea, F 2009, ‘Community business: the internet in remote Australian Indigenous </w:t>
      </w:r>
      <w:r>
        <w:lastRenderedPageBreak/>
        <w:t xml:space="preserve">communities’, </w:t>
      </w:r>
      <w:r>
        <w:rPr>
          <w:i/>
          <w:iCs/>
        </w:rPr>
        <w:t>New Media &amp; Society</w:t>
      </w:r>
      <w:r>
        <w:t>, vol. 11, no. 7, pp. 1230–1251.</w:t>
      </w:r>
    </w:p>
    <w:p w14:paraId="395CB371" w14:textId="77777777" w:rsidR="00551651" w:rsidRDefault="00551651" w:rsidP="00EC2799">
      <w:pPr>
        <w:pStyle w:val="Reference"/>
      </w:pPr>
      <w:r>
        <w:t xml:space="preserve">McCausland, R and Baldry, E 2023, ‘Who does Australia lock up? The social determinant of justice’, </w:t>
      </w:r>
      <w:r>
        <w:rPr>
          <w:i/>
          <w:iCs/>
        </w:rPr>
        <w:t>International Journal for Crime, Justice and Social Democracy</w:t>
      </w:r>
      <w:r>
        <w:t>, vol. 12, no. 3, pp. 1–17.</w:t>
      </w:r>
    </w:p>
    <w:p w14:paraId="345CD6B6" w14:textId="77777777" w:rsidR="00551651" w:rsidRDefault="00551651" w:rsidP="00EC2799">
      <w:pPr>
        <w:pStyle w:val="Reference"/>
      </w:pPr>
      <w:r>
        <w:t xml:space="preserve">McFarlane, K 2018, ‘Care-criminalisation: The involvement of children in out-of-home care in the New South Wales criminal justice system’, SAGE Publications Ltd, </w:t>
      </w:r>
      <w:r>
        <w:rPr>
          <w:i/>
          <w:iCs/>
        </w:rPr>
        <w:t>Australian &amp; New Zealand Journal of Criminology</w:t>
      </w:r>
      <w:r>
        <w:t>, vol. 51, no. 3, pp. 412–433.</w:t>
      </w:r>
    </w:p>
    <w:p w14:paraId="68A5C3BB" w14:textId="77777777" w:rsidR="00551651" w:rsidRDefault="00551651" w:rsidP="00EC2799">
      <w:pPr>
        <w:pStyle w:val="Reference"/>
      </w:pPr>
      <w:r>
        <w:t xml:space="preserve">McKay, GR 2011, ‘Policy and Indigenous languages in Australia’, </w:t>
      </w:r>
      <w:r>
        <w:rPr>
          <w:i/>
          <w:iCs/>
        </w:rPr>
        <w:t>Australian Review of Applied Linguistics</w:t>
      </w:r>
      <w:r>
        <w:t>, vol. 34, no. 3, pp. 297–319.</w:t>
      </w:r>
    </w:p>
    <w:p w14:paraId="3A52BEF1" w14:textId="77777777" w:rsidR="00551651" w:rsidRDefault="00551651" w:rsidP="00EC2799">
      <w:pPr>
        <w:pStyle w:val="Reference"/>
      </w:pPr>
      <w:r>
        <w:t xml:space="preserve">Menzies, K 2019, ‘Understanding the Australian Aboriginal experience of collective, historical and intergenerational trauma’, </w:t>
      </w:r>
      <w:r>
        <w:rPr>
          <w:i/>
          <w:iCs/>
        </w:rPr>
        <w:t>International Social Work</w:t>
      </w:r>
      <w:r>
        <w:t>, vol. 62, no. 6, pp. 1522–1534.</w:t>
      </w:r>
    </w:p>
    <w:p w14:paraId="1373ED82" w14:textId="77777777" w:rsidR="00551651" w:rsidRDefault="00551651" w:rsidP="00EC2799">
      <w:pPr>
        <w:pStyle w:val="Reference"/>
      </w:pPr>
      <w:r>
        <w:t>Miller, HM, Young, C, Nixon, J, Talbot</w:t>
      </w:r>
      <w:r>
        <w:rPr>
          <w:rFonts w:ascii="Cambria Math" w:hAnsi="Cambria Math" w:cs="Cambria Math"/>
        </w:rPr>
        <w:t>‐</w:t>
      </w:r>
      <w:r>
        <w:t xml:space="preserve">McDonnell, M, Cutmore, M, Tong, A, Craig, JC and Woolfenden, S 2020, </w:t>
      </w:r>
      <w:r w:rsidRPr="00216127">
        <w:rPr>
          <w:rFonts w:ascii="Arial (Body)" w:hAnsi="Arial (Body)" w:cs="Arial"/>
        </w:rPr>
        <w:t>‘</w:t>
      </w:r>
      <w:r>
        <w:t>Parents</w:t>
      </w:r>
      <w:r w:rsidRPr="00216127">
        <w:rPr>
          <w:rFonts w:ascii="Arial (Body)" w:hAnsi="Arial (Body)" w:cs="Arial"/>
        </w:rPr>
        <w:t>’</w:t>
      </w:r>
      <w:r>
        <w:t xml:space="preserve"> and carers</w:t>
      </w:r>
      <w:r w:rsidRPr="00216127">
        <w:rPr>
          <w:rFonts w:ascii="Arial (Body)" w:hAnsi="Arial (Body)" w:cs="Arial"/>
        </w:rPr>
        <w:t>’</w:t>
      </w:r>
      <w:r>
        <w:t xml:space="preserve"> views on factors contributing to the health and wellbeing of urban Aboriginal children</w:t>
      </w:r>
      <w:r w:rsidRPr="00216127">
        <w:rPr>
          <w:rFonts w:ascii="Arial (Body)" w:hAnsi="Arial (Body)" w:cs="Arial"/>
        </w:rPr>
        <w:t>’</w:t>
      </w:r>
      <w:r>
        <w:t xml:space="preserve">, </w:t>
      </w:r>
      <w:r>
        <w:rPr>
          <w:i/>
          <w:iCs/>
        </w:rPr>
        <w:t>Australian and New Zealand Journal of Public Health</w:t>
      </w:r>
      <w:r>
        <w:t>, vol. 44, no. 4, pp. 265–270.</w:t>
      </w:r>
    </w:p>
    <w:p w14:paraId="616B526A" w14:textId="77777777" w:rsidR="00551651" w:rsidRDefault="00551651" w:rsidP="00EC2799">
      <w:pPr>
        <w:pStyle w:val="Reference"/>
      </w:pPr>
      <w:r>
        <w:t xml:space="preserve">Morrison, A, Rigney, L-I, Diplock, A and Hattam, R 2019, </w:t>
      </w:r>
      <w:r>
        <w:rPr>
          <w:i/>
          <w:iCs/>
        </w:rPr>
        <w:t>Toward an Australian culturally responsive pedagogy: a narrative review of the literature</w:t>
      </w:r>
      <w:r>
        <w:t>, Analysis &amp; Policy Observatory, https://apo.org.au/node/262951 (accessed 20 June 2024).</w:t>
      </w:r>
    </w:p>
    <w:p w14:paraId="6D45A391" w14:textId="77777777" w:rsidR="00551651" w:rsidRDefault="00551651" w:rsidP="00EC2799">
      <w:pPr>
        <w:pStyle w:val="Reference"/>
      </w:pPr>
      <w:r>
        <w:t xml:space="preserve">NACCHO 2021, </w:t>
      </w:r>
      <w:r>
        <w:rPr>
          <w:i/>
          <w:iCs/>
        </w:rPr>
        <w:t>Indigenous Digital Inclusion Plan Discussion Paper</w:t>
      </w:r>
      <w:r>
        <w:t>.</w:t>
      </w:r>
    </w:p>
    <w:p w14:paraId="23A0E392" w14:textId="77777777" w:rsidR="00551651" w:rsidRDefault="00551651" w:rsidP="00EC2799">
      <w:pPr>
        <w:pStyle w:val="Reference"/>
      </w:pPr>
      <w:r>
        <w:t xml:space="preserve">—— nd, </w:t>
      </w:r>
      <w:r>
        <w:rPr>
          <w:i/>
          <w:iCs/>
        </w:rPr>
        <w:t>Aboriginal Community Controlled Health</w:t>
      </w:r>
      <w:r>
        <w:t xml:space="preserve">, </w:t>
      </w:r>
      <w:r>
        <w:rPr>
          <w:i/>
          <w:iCs/>
        </w:rPr>
        <w:t>NACCHO</w:t>
      </w:r>
      <w:r>
        <w:t>, https://www.naccho.org.au/acchos/ (accessed 9 April 2024).</w:t>
      </w:r>
    </w:p>
    <w:p w14:paraId="6E470F1C" w14:textId="77777777" w:rsidR="00551651" w:rsidRDefault="00551651" w:rsidP="00EC2799">
      <w:pPr>
        <w:pStyle w:val="Reference"/>
      </w:pPr>
      <w:r>
        <w:t xml:space="preserve">Nakata, NM 2024, ‘Indigenous languages &amp; education: Do we have the right agenda?’, </w:t>
      </w:r>
      <w:r>
        <w:rPr>
          <w:i/>
          <w:iCs/>
        </w:rPr>
        <w:t>The Australian Educational Researcher</w:t>
      </w:r>
      <w:r>
        <w:t>, vol. 51, no. 2, pp. 719–732.</w:t>
      </w:r>
    </w:p>
    <w:p w14:paraId="371B926B" w14:textId="77777777" w:rsidR="00551651" w:rsidRDefault="00551651" w:rsidP="00EC2799">
      <w:pPr>
        <w:pStyle w:val="Reference"/>
      </w:pPr>
      <w:r>
        <w:t xml:space="preserve">Nolan-Isles, D, Macniven, R, Hunter, K, Gwynn, J, Lincoln, M, Moir, R, Dimitropoulos, Y, Taylor, D, Agius, T, Finlayson, H, Martin, R, Ward, K, Tobin, S and Gwynne, K 2021, ‘Enablers and Barriers to Accessing Healthcare Services for Aboriginal People in New South Wales, Australia’, </w:t>
      </w:r>
      <w:r>
        <w:rPr>
          <w:i/>
          <w:iCs/>
        </w:rPr>
        <w:t>International Journal of Environmental Research and Public Health</w:t>
      </w:r>
      <w:r>
        <w:t>, vol. 18, no. 6, p. 3014.</w:t>
      </w:r>
    </w:p>
    <w:p w14:paraId="37CCE66B" w14:textId="77777777" w:rsidR="00551651" w:rsidRDefault="00551651" w:rsidP="00EC2799">
      <w:pPr>
        <w:pStyle w:val="Reference"/>
      </w:pPr>
      <w:r>
        <w:t xml:space="preserve">NSWALC 2014, </w:t>
      </w:r>
      <w:r>
        <w:rPr>
          <w:i/>
          <w:iCs/>
        </w:rPr>
        <w:t>2014-land-rights-and-native-title-in-nsw-a-comunity-guide.pdf</w:t>
      </w:r>
      <w:r>
        <w:t>.</w:t>
      </w:r>
    </w:p>
    <w:p w14:paraId="4AB05EA7" w14:textId="77777777" w:rsidR="00551651" w:rsidRDefault="00551651" w:rsidP="00EC2799">
      <w:pPr>
        <w:pStyle w:val="Reference"/>
      </w:pPr>
      <w:r>
        <w:t xml:space="preserve">O’Brien, G 2021, ‘Racial Profiling, Surveillance and Over-Policing: The Over-Incarceration of Young First Nations Males in Australia’, Multidisciplinary Digital Publishing Institute, </w:t>
      </w:r>
      <w:r>
        <w:rPr>
          <w:i/>
          <w:iCs/>
        </w:rPr>
        <w:t>Social Sciences</w:t>
      </w:r>
      <w:r>
        <w:t>, vol. 10, no. 2, p. 68.</w:t>
      </w:r>
    </w:p>
    <w:p w14:paraId="6B2C06F4" w14:textId="77777777" w:rsidR="00551651" w:rsidRDefault="00551651" w:rsidP="00EC2799">
      <w:pPr>
        <w:pStyle w:val="Reference"/>
      </w:pPr>
      <w:r>
        <w:t xml:space="preserve">O’Brien, GM and Bobongie-Harris, F 2023, ‘Revitalization of First Nations languages: a Queensland perspective’, </w:t>
      </w:r>
      <w:r>
        <w:rPr>
          <w:i/>
          <w:iCs/>
        </w:rPr>
        <w:t>The Australian Journal of Language and Literacy</w:t>
      </w:r>
      <w:r>
        <w:t>, vol. 46, no. 2, pp. 183–193.</w:t>
      </w:r>
    </w:p>
    <w:p w14:paraId="1313BA20" w14:textId="77777777" w:rsidR="00551651" w:rsidRDefault="00551651" w:rsidP="00EC2799">
      <w:pPr>
        <w:pStyle w:val="Reference"/>
      </w:pPr>
      <w:r>
        <w:t xml:space="preserve">PC (Productivity Commission) 2022a, </w:t>
      </w:r>
      <w:r>
        <w:rPr>
          <w:i/>
          <w:iCs/>
        </w:rPr>
        <w:t>In need of repair: The National Housing and Homelessness Agreement</w:t>
      </w:r>
      <w:r>
        <w:t>, Study Report, Canberra.</w:t>
      </w:r>
    </w:p>
    <w:p w14:paraId="76D81E49" w14:textId="0A44910A" w:rsidR="00551651" w:rsidRDefault="00551651" w:rsidP="00EC2799">
      <w:pPr>
        <w:pStyle w:val="Reference"/>
      </w:pPr>
      <w:r>
        <w:t xml:space="preserve">—— 2022b, </w:t>
      </w:r>
      <w:r>
        <w:rPr>
          <w:i/>
          <w:iCs/>
        </w:rPr>
        <w:t>Review of the National School Reform Agreement</w:t>
      </w:r>
      <w:r>
        <w:t>, Study Report, Canberra, December.</w:t>
      </w:r>
    </w:p>
    <w:p w14:paraId="5C0ECD5B" w14:textId="4FAE1875" w:rsidR="00551651" w:rsidRDefault="00551651" w:rsidP="00EC2799">
      <w:pPr>
        <w:pStyle w:val="Reference"/>
      </w:pPr>
      <w:r>
        <w:t xml:space="preserve">—— 2024, </w:t>
      </w:r>
      <w:r>
        <w:rPr>
          <w:i/>
          <w:iCs/>
        </w:rPr>
        <w:t>Review of the National Agreement on Closing the Gap</w:t>
      </w:r>
      <w:r>
        <w:t>, Study report, Factsheets, Canberra.</w:t>
      </w:r>
    </w:p>
    <w:p w14:paraId="3EE8F932" w14:textId="77777777" w:rsidR="00551651" w:rsidRDefault="00551651" w:rsidP="00EC2799">
      <w:pPr>
        <w:pStyle w:val="Reference"/>
      </w:pPr>
      <w:r>
        <w:t xml:space="preserve">Perso, T and Hayward, C 2020, </w:t>
      </w:r>
      <w:r>
        <w:rPr>
          <w:i/>
          <w:iCs/>
        </w:rPr>
        <w:t>Teaching Indigenous Students: Cultural awareness and classroom strategies for improving learning outcomes</w:t>
      </w:r>
      <w:r>
        <w:t>, Routledge, London.</w:t>
      </w:r>
    </w:p>
    <w:p w14:paraId="0AACC48A" w14:textId="77777777" w:rsidR="00551651" w:rsidRDefault="00551651" w:rsidP="00EC2799">
      <w:pPr>
        <w:pStyle w:val="Reference"/>
      </w:pPr>
      <w:r>
        <w:t xml:space="preserve">Pezzullo, L, Taylor, P, Mitchell, S, Pejoski, L, Le, K and Bilgrami, A 2010, </w:t>
      </w:r>
      <w:r>
        <w:rPr>
          <w:i/>
          <w:iCs/>
        </w:rPr>
        <w:t>Positive Family Functioning</w:t>
      </w:r>
      <w:r>
        <w:t>, Access Economics, Sydney.</w:t>
      </w:r>
    </w:p>
    <w:p w14:paraId="20FC9FA7" w14:textId="77777777" w:rsidR="00551651" w:rsidRDefault="00551651" w:rsidP="00EC2799">
      <w:pPr>
        <w:pStyle w:val="Reference"/>
      </w:pPr>
      <w:r>
        <w:t xml:space="preserve">Prehn, J 2024, ‘An Indigenous Strengths-based Theoretical Framework’, Routledge, </w:t>
      </w:r>
      <w:r>
        <w:rPr>
          <w:i/>
          <w:iCs/>
        </w:rPr>
        <w:t>Australian Social Work</w:t>
      </w:r>
      <w:r>
        <w:t>, vol. 0, no. 0, pp. 1–14.</w:t>
      </w:r>
    </w:p>
    <w:p w14:paraId="16858204" w14:textId="77777777" w:rsidR="00551651" w:rsidRDefault="00551651" w:rsidP="00EC2799">
      <w:pPr>
        <w:pStyle w:val="Reference"/>
      </w:pPr>
      <w:r>
        <w:t xml:space="preserve">Purdie, N 2009, ‘A Way Forward For Indigenous Languages’, </w:t>
      </w:r>
      <w:r>
        <w:rPr>
          <w:i/>
          <w:iCs/>
        </w:rPr>
        <w:t>Research Developments</w:t>
      </w:r>
      <w:r>
        <w:t>, vol. 21, no. 21.</w:t>
      </w:r>
    </w:p>
    <w:p w14:paraId="1AD99DB6" w14:textId="77777777" w:rsidR="00551651" w:rsidRDefault="00551651" w:rsidP="00EC2799">
      <w:pPr>
        <w:pStyle w:val="Reference"/>
      </w:pPr>
      <w:r>
        <w:t xml:space="preserve">Rennie, E, Thomas, J and Wilson, C 2019, ‘Aboriginal and Torres Strait Islander people and digital inclusion: what is the evidence and where is it?’, </w:t>
      </w:r>
      <w:r>
        <w:rPr>
          <w:i/>
          <w:iCs/>
        </w:rPr>
        <w:t>Communication Research and Practice</w:t>
      </w:r>
      <w:r>
        <w:t>, vol. 5, no. 2, pp. 105–120.</w:t>
      </w:r>
    </w:p>
    <w:p w14:paraId="298402D2" w14:textId="77777777" w:rsidR="00551651" w:rsidRDefault="00551651" w:rsidP="00EC2799">
      <w:pPr>
        <w:pStyle w:val="Reference"/>
      </w:pPr>
      <w:r>
        <w:t xml:space="preserve">Salmon, M, Doery, K, Chapman, J, Gilbert, R, Williams, R and Lovett, R 2019, </w:t>
      </w:r>
      <w:r>
        <w:rPr>
          <w:i/>
          <w:iCs/>
        </w:rPr>
        <w:t>Defining the indefinable: descriptors of Aboriginal and Torres Strait Islander peoples’ cultures and their links to health and wellbeing</w:t>
      </w:r>
      <w:r>
        <w:t>, National Centre for Epidemiology and Population Health, Canberra, p. 56.</w:t>
      </w:r>
    </w:p>
    <w:p w14:paraId="486CF281" w14:textId="77777777" w:rsidR="00551651" w:rsidRDefault="00551651" w:rsidP="00EC2799">
      <w:pPr>
        <w:pStyle w:val="Reference"/>
      </w:pPr>
      <w:r>
        <w:t xml:space="preserve">Schütze, H, Pulver, LJ and Harris, M 2016, ‘The uptake of Aboriginal and Torres Strait Islander health assessments fails to improve in some areas’, </w:t>
      </w:r>
      <w:r>
        <w:rPr>
          <w:i/>
          <w:iCs/>
        </w:rPr>
        <w:t>Australian Family Physician</w:t>
      </w:r>
      <w:r>
        <w:t>, vol. 45, no. 6, pp. 415–420.</w:t>
      </w:r>
    </w:p>
    <w:p w14:paraId="16A00BE4" w14:textId="77777777" w:rsidR="00551651" w:rsidRDefault="00551651" w:rsidP="00EC2799">
      <w:pPr>
        <w:pStyle w:val="Reference"/>
      </w:pPr>
      <w:r>
        <w:t xml:space="preserve">SCRGSP (Steering Committee for the Review of Government Service Provision) 2020, </w:t>
      </w:r>
      <w:r>
        <w:rPr>
          <w:i/>
          <w:iCs/>
        </w:rPr>
        <w:t>Overcoming Indigenous Disadvantage: Key Indicators 2020</w:t>
      </w:r>
      <w:r>
        <w:t>, Productivity Commission, Canberra.</w:t>
      </w:r>
    </w:p>
    <w:p w14:paraId="14F4F92E" w14:textId="77777777" w:rsidR="00551651" w:rsidRDefault="00551651" w:rsidP="00EC2799">
      <w:pPr>
        <w:pStyle w:val="Reference"/>
      </w:pPr>
      <w:r>
        <w:t xml:space="preserve">Sims, M, Australian Institute of Health and Welfare, and Australian Institute of Family Studies 2011, </w:t>
      </w:r>
      <w:r>
        <w:rPr>
          <w:i/>
          <w:iCs/>
        </w:rPr>
        <w:t>Early childhood education services for Indigenous children prior to starting school</w:t>
      </w:r>
      <w:r>
        <w:t>, Closing the Gap Clearinghouse, https://www.aihw.gov.au/getmedia/c091cf6b-c4ca-4e36-ac61-25150b0b92b9/ctgc-rs07.pdf?v=20230605181006&amp;inline=true (accessed 12 February 2024).</w:t>
      </w:r>
    </w:p>
    <w:p w14:paraId="15081AE7" w14:textId="77777777" w:rsidR="00551651" w:rsidRDefault="00551651" w:rsidP="00EC2799">
      <w:pPr>
        <w:pStyle w:val="Reference"/>
      </w:pPr>
      <w:r>
        <w:t xml:space="preserve">Sivak, L, Westhead, S, Richards, E, Atkinson, S, Richards, J, Dare, H, Zuckermann, G, Gee, G, Wright, M, Rosen, A, Walsh, M, Brown, N and Brown, A 2019, ‘“Language Breathes Life”—Barngarla Community Perspectives on the Wellbeing Impacts of Reclaiming a Dormant Australian Aboriginal Language’, </w:t>
      </w:r>
      <w:r>
        <w:rPr>
          <w:i/>
          <w:iCs/>
        </w:rPr>
        <w:t>International Journal of Environmental Research and Public Health</w:t>
      </w:r>
      <w:r>
        <w:t>, vol. 16, no. 20, p. 3918.</w:t>
      </w:r>
    </w:p>
    <w:p w14:paraId="72FCC471" w14:textId="77777777" w:rsidR="00551651" w:rsidRDefault="00551651" w:rsidP="00EC2799">
      <w:pPr>
        <w:pStyle w:val="Reference"/>
      </w:pPr>
      <w:r>
        <w:t xml:space="preserve">Sivertsen, N, Anikeeva, O, Deverix, J and Grant, J 2020, ‘Aboriginal and Torres Strait Islander family access to continuity of health care services in the first 1000 days of life: a systematic review of the literature’, </w:t>
      </w:r>
      <w:r>
        <w:rPr>
          <w:i/>
          <w:iCs/>
        </w:rPr>
        <w:t>BMC Health Services Research</w:t>
      </w:r>
      <w:r>
        <w:t>, vol. 20, no. 1, p. 829.</w:t>
      </w:r>
    </w:p>
    <w:p w14:paraId="6609098D" w14:textId="77777777" w:rsidR="00551651" w:rsidRDefault="00551651" w:rsidP="00EC2799">
      <w:pPr>
        <w:pStyle w:val="Reference"/>
      </w:pPr>
      <w:r>
        <w:t xml:space="preserve">Slatyer, S, Cramer, J, Pugh, JD and Twigg, DE 2016, ‘Barriers and enablers to retention of Aboriginal Diploma of Nursing students in Western Australia: An exploratory descriptive study’, </w:t>
      </w:r>
      <w:r>
        <w:rPr>
          <w:i/>
          <w:iCs/>
        </w:rPr>
        <w:t>Nurse Education Today</w:t>
      </w:r>
      <w:r>
        <w:t>, vol. 42, pp. 17–22.</w:t>
      </w:r>
    </w:p>
    <w:p w14:paraId="03C052A6" w14:textId="77777777" w:rsidR="00551651" w:rsidRDefault="00551651" w:rsidP="00EC2799">
      <w:pPr>
        <w:pStyle w:val="Reference"/>
      </w:pPr>
      <w:r>
        <w:t xml:space="preserve">SNAICC 2017, </w:t>
      </w:r>
      <w:r>
        <w:rPr>
          <w:i/>
          <w:iCs/>
        </w:rPr>
        <w:t>Strong families, safe kids: Family violence response and prevention for Aboriginal and Torres Strait Islander children and families</w:t>
      </w:r>
      <w:r>
        <w:t>, p. 32.</w:t>
      </w:r>
    </w:p>
    <w:p w14:paraId="042F576A" w14:textId="77777777" w:rsidR="00551651" w:rsidRDefault="00551651" w:rsidP="00EC2799">
      <w:pPr>
        <w:pStyle w:val="Reference"/>
      </w:pPr>
      <w:r>
        <w:t xml:space="preserve">—— 2018, </w:t>
      </w:r>
      <w:r>
        <w:rPr>
          <w:i/>
          <w:iCs/>
        </w:rPr>
        <w:t>The Aboriginal and Torres Strait Islander Child Placement Principle: A Guide to Support Implementation</w:t>
      </w:r>
      <w:r>
        <w:t xml:space="preserve">, </w:t>
      </w:r>
      <w:r>
        <w:lastRenderedPageBreak/>
        <w:t>https://www.snaicc.org.au/wp-content/uploads/2018/12/181212_8_ATSICPP-Guide-to-Support-Implementation-1.pdf (accessed 28 May 2024).</w:t>
      </w:r>
    </w:p>
    <w:p w14:paraId="27393E53" w14:textId="77777777" w:rsidR="00551651" w:rsidRDefault="00551651" w:rsidP="00EC2799">
      <w:pPr>
        <w:pStyle w:val="Reference"/>
      </w:pPr>
      <w:r>
        <w:t>—— 2022, ‘Aboriginal Cultural Safety Framework for Early Childhood Education’.</w:t>
      </w:r>
    </w:p>
    <w:p w14:paraId="5A18AE33" w14:textId="77777777" w:rsidR="00551651" w:rsidRDefault="00551651" w:rsidP="00EC2799">
      <w:pPr>
        <w:pStyle w:val="Reference"/>
      </w:pPr>
      <w:r>
        <w:t xml:space="preserve">—— 2023, </w:t>
      </w:r>
      <w:r>
        <w:rPr>
          <w:i/>
          <w:iCs/>
        </w:rPr>
        <w:t>SNAICC Submission on the Review of the National Agreement on Closing the Gap Draft Report</w:t>
      </w:r>
      <w:r>
        <w:t>.</w:t>
      </w:r>
    </w:p>
    <w:p w14:paraId="7FDFAF45" w14:textId="77777777" w:rsidR="00551651" w:rsidRDefault="00551651" w:rsidP="00EC2799">
      <w:pPr>
        <w:pStyle w:val="Reference"/>
      </w:pPr>
      <w:r>
        <w:t xml:space="preserve">—— 2024, </w:t>
      </w:r>
      <w:r>
        <w:rPr>
          <w:i/>
          <w:iCs/>
        </w:rPr>
        <w:t>Funding Model Options for ACCO Integrated Early Years Services</w:t>
      </w:r>
      <w:r w:rsidR="00B90F5D">
        <w:t>.</w:t>
      </w:r>
    </w:p>
    <w:p w14:paraId="4353D49D" w14:textId="77777777" w:rsidR="00551651" w:rsidRDefault="00551651" w:rsidP="00EC2799">
      <w:pPr>
        <w:pStyle w:val="Reference"/>
      </w:pPr>
      <w:r>
        <w:t>——, Family Matters Leadership Group, Monash University, and University of Technology Sydney 2023</w:t>
      </w:r>
      <w:r w:rsidR="00B90F5D">
        <w:t>, Family Matters Report 2023.</w:t>
      </w:r>
    </w:p>
    <w:p w14:paraId="02107044" w14:textId="77777777" w:rsidR="00551651" w:rsidRPr="00CF658B" w:rsidRDefault="00551651" w:rsidP="00EC2799">
      <w:pPr>
        <w:pStyle w:val="Reference"/>
        <w:rPr>
          <w:spacing w:val="4"/>
        </w:rPr>
      </w:pPr>
      <w:r w:rsidRPr="00CF658B">
        <w:rPr>
          <w:spacing w:val="4"/>
        </w:rPr>
        <w:t xml:space="preserve">—— and Mason-White, H 2012, </w:t>
      </w:r>
      <w:r w:rsidRPr="00CF658B">
        <w:rPr>
          <w:i/>
          <w:iCs/>
          <w:spacing w:val="4"/>
        </w:rPr>
        <w:t>Learning from Good Practice: Implementing the Early Years Learning Framework for Aboriginal and Torres Strait Islander Children</w:t>
      </w:r>
      <w:r w:rsidRPr="00CF658B">
        <w:rPr>
          <w:spacing w:val="4"/>
        </w:rPr>
        <w:t>, https://www.snaicc.org.au/wp-content/uploads/2015/12/02902.pdf (accessed 14 March 2024).</w:t>
      </w:r>
    </w:p>
    <w:p w14:paraId="4BAFA364" w14:textId="77777777" w:rsidR="00551651" w:rsidRDefault="00551651" w:rsidP="00EC2799">
      <w:pPr>
        <w:pStyle w:val="Reference"/>
      </w:pPr>
      <w:r>
        <w:t xml:space="preserve">Sutherland, S and Adams, M 2019, ‘Building on the Definition of Social and Emotional Wellbeing: An Indigenous (Australian, Canadian, and New Zealand) Viewpoint’, </w:t>
      </w:r>
      <w:r>
        <w:rPr>
          <w:i/>
          <w:iCs/>
        </w:rPr>
        <w:t>ab-Original</w:t>
      </w:r>
      <w:r>
        <w:t>, vol. 3, no. 1, pp. 48–72.</w:t>
      </w:r>
    </w:p>
    <w:p w14:paraId="2C1C0022" w14:textId="77777777" w:rsidR="00551651" w:rsidRPr="0004290A" w:rsidRDefault="00551651" w:rsidP="00EC2799">
      <w:pPr>
        <w:pStyle w:val="Reference"/>
        <w:rPr>
          <w:spacing w:val="-4"/>
        </w:rPr>
      </w:pPr>
      <w:r w:rsidRPr="0004290A">
        <w:rPr>
          <w:spacing w:val="-4"/>
        </w:rPr>
        <w:t xml:space="preserve">Taylor, EV, Lalovic, A and Thompson, SC 2019, ‘Beyond enrolments: a systematic review exploring the factors affecting the retention of Aboriginal and Torres Strait Islander health students in the tertiary education system’, </w:t>
      </w:r>
      <w:r w:rsidRPr="0004290A">
        <w:rPr>
          <w:i/>
          <w:iCs/>
          <w:spacing w:val="-4"/>
        </w:rPr>
        <w:t>International Journal for Equity in Health</w:t>
      </w:r>
      <w:r w:rsidRPr="0004290A">
        <w:rPr>
          <w:spacing w:val="-4"/>
        </w:rPr>
        <w:t>, vol. 18, no. 1, p. 136.</w:t>
      </w:r>
    </w:p>
    <w:p w14:paraId="493DE9CC" w14:textId="77777777" w:rsidR="00551651" w:rsidRDefault="00551651" w:rsidP="00EC2799">
      <w:pPr>
        <w:pStyle w:val="Reference"/>
      </w:pPr>
      <w:r>
        <w:t xml:space="preserve">Truong, M and Moore, E 2023, </w:t>
      </w:r>
      <w:r>
        <w:rPr>
          <w:i/>
          <w:iCs/>
        </w:rPr>
        <w:t>Racism and Indigenous wellbeing, mental health and suicide</w:t>
      </w:r>
      <w:r>
        <w:t>, https://www.indigenousmhspc.gov.au/publications/racism (accessed 24 May 2024).</w:t>
      </w:r>
    </w:p>
    <w:p w14:paraId="673F21F4" w14:textId="77777777" w:rsidR="00551651" w:rsidRDefault="00551651" w:rsidP="00EC2799">
      <w:pPr>
        <w:pStyle w:val="Reference"/>
      </w:pPr>
      <w:r>
        <w:t xml:space="preserve">VACCA (Victorian Aboriginal Child Care Agency) 2023, </w:t>
      </w:r>
      <w:r>
        <w:rPr>
          <w:i/>
          <w:iCs/>
        </w:rPr>
        <w:t>VACCA Submission to the DSS Early Years Strategy</w:t>
      </w:r>
      <w:r>
        <w:t>, https://www.vacca.org/content/Document/VACCA_Submission_DSS%20Early%20Years%20Strategy_Apr30_23.pdf (accessed 4 July 2024).</w:t>
      </w:r>
    </w:p>
    <w:p w14:paraId="7C068E97" w14:textId="77777777" w:rsidR="00551651" w:rsidRDefault="00551651" w:rsidP="00EC2799">
      <w:pPr>
        <w:pStyle w:val="Reference"/>
      </w:pPr>
      <w:r>
        <w:t xml:space="preserve">VAEAI (Victorian Aboriginal Education Association Incorporated) 2020, </w:t>
      </w:r>
      <w:r>
        <w:rPr>
          <w:i/>
          <w:iCs/>
        </w:rPr>
        <w:t>Aboriginal Early Childhood Protocols</w:t>
      </w:r>
      <w:r>
        <w:t>, https://www.vaeai.org.au/wp-content/uploads/delightful-downloads/2020/06/2020Cutural_Protocols_VAEAI-1.pdf (accessed 4 July 2024).</w:t>
      </w:r>
    </w:p>
    <w:p w14:paraId="229927D9" w14:textId="77777777" w:rsidR="00551651" w:rsidRPr="00D073A2" w:rsidRDefault="00551651" w:rsidP="00EC2799">
      <w:pPr>
        <w:pStyle w:val="Reference"/>
        <w:rPr>
          <w:spacing w:val="2"/>
        </w:rPr>
      </w:pPr>
      <w:r w:rsidRPr="00D073A2">
        <w:rPr>
          <w:spacing w:val="2"/>
        </w:rPr>
        <w:t>Venn, D and Biddle, N 2018, ‘CAEPR 2016 Census paper no. 5’.</w:t>
      </w:r>
    </w:p>
    <w:p w14:paraId="689A865F" w14:textId="77777777" w:rsidR="00551651" w:rsidRDefault="00551651" w:rsidP="00EC2799">
      <w:pPr>
        <w:pStyle w:val="Reference"/>
      </w:pPr>
      <w:r>
        <w:t xml:space="preserve">Walker, R and Shepherd, C 2008, </w:t>
      </w:r>
      <w:r>
        <w:rPr>
          <w:i/>
          <w:iCs/>
        </w:rPr>
        <w:t>Strengthening Aboriginal family functioning: What works and why?</w:t>
      </w:r>
    </w:p>
    <w:p w14:paraId="0B21E2DA" w14:textId="77777777" w:rsidR="00551651" w:rsidRDefault="00551651" w:rsidP="00EC2799">
      <w:pPr>
        <w:pStyle w:val="Reference"/>
      </w:pPr>
      <w:r>
        <w:t xml:space="preserve">Walker, S, Doyle, M, Stoové, M, Combo, T and Wilson, M 2023, ‘Experiences of Kinship and Connection to Family for Aboriginal and Torres Strait Islander Young Men with Histories of Incarceration’, </w:t>
      </w:r>
      <w:r>
        <w:rPr>
          <w:i/>
          <w:iCs/>
        </w:rPr>
        <w:t>Journal of the Australian Indigenous HealthInfoNet</w:t>
      </w:r>
      <w:r>
        <w:t>, vol. 4, no. 4.</w:t>
      </w:r>
    </w:p>
    <w:p w14:paraId="2E086DBC" w14:textId="77777777" w:rsidR="00551651" w:rsidRPr="0004290A" w:rsidRDefault="00551651" w:rsidP="00EC2799">
      <w:pPr>
        <w:pStyle w:val="Reference"/>
        <w:rPr>
          <w:spacing w:val="-2"/>
        </w:rPr>
      </w:pPr>
      <w:r w:rsidRPr="0004290A">
        <w:rPr>
          <w:spacing w:val="-2"/>
        </w:rPr>
        <w:t xml:space="preserve">Watego, Singh, and Macoun 2021, </w:t>
      </w:r>
      <w:r w:rsidRPr="0004290A">
        <w:rPr>
          <w:i/>
          <w:iCs/>
          <w:spacing w:val="-2"/>
        </w:rPr>
        <w:t>Partnership for Justice in Health Scoping Paper on Race, Racism and the Australian Health System</w:t>
      </w:r>
      <w:r w:rsidRPr="0004290A">
        <w:rPr>
          <w:spacing w:val="-2"/>
        </w:rPr>
        <w:t>, https://www.lowitja.org.au/publications (accessed 9 April 2024).</w:t>
      </w:r>
    </w:p>
    <w:p w14:paraId="1466830A" w14:textId="77777777" w:rsidR="00551651" w:rsidRDefault="00551651" w:rsidP="00EC2799">
      <w:pPr>
        <w:pStyle w:val="Reference"/>
      </w:pPr>
      <w:r>
        <w:t xml:space="preserve">Webb, J 2012, ‘Indigenous people and the right to self determination’, </w:t>
      </w:r>
      <w:r>
        <w:rPr>
          <w:i/>
          <w:iCs/>
        </w:rPr>
        <w:t>Journal of Indigenous Policy</w:t>
      </w:r>
      <w:r>
        <w:t>, no. 13.</w:t>
      </w:r>
    </w:p>
    <w:p w14:paraId="3BBDE3E2" w14:textId="77777777" w:rsidR="00551651" w:rsidRDefault="00551651" w:rsidP="00EC2799">
      <w:pPr>
        <w:pStyle w:val="Reference"/>
      </w:pPr>
      <w:r>
        <w:t xml:space="preserve">Yoorrook Justice Commission 2023, </w:t>
      </w:r>
      <w:r>
        <w:rPr>
          <w:i/>
          <w:iCs/>
        </w:rPr>
        <w:t>Report into Victoria’s Child Protection and Criminal Justice Systems</w:t>
      </w:r>
      <w:r w:rsidR="00B90F5D">
        <w:t>.</w:t>
      </w:r>
    </w:p>
    <w:p w14:paraId="08DB0B0D" w14:textId="77777777" w:rsidR="00EC2799" w:rsidRDefault="00551651" w:rsidP="00EC2799">
      <w:pPr>
        <w:pStyle w:val="Reference"/>
        <w:sectPr w:rsidR="00EC2799" w:rsidSect="0086497D">
          <w:headerReference w:type="even" r:id="rId148"/>
          <w:footerReference w:type="even" r:id="rId149"/>
          <w:footerReference w:type="default" r:id="rId150"/>
          <w:headerReference w:type="first" r:id="rId151"/>
          <w:type w:val="continuous"/>
          <w:pgSz w:w="11906" w:h="16838" w:code="9"/>
          <w:pgMar w:top="1440" w:right="1440" w:bottom="1440" w:left="1440" w:header="794" w:footer="510" w:gutter="0"/>
          <w:cols w:num="2" w:space="708"/>
          <w:docGrid w:linePitch="360"/>
        </w:sectPr>
      </w:pPr>
      <w:r>
        <w:t xml:space="preserve">Zubrick, SR, Shepherd, CC, Dudgeon, P, Gee, G, Paradies, Y, Scrine, C and Walker, R 2014, ‘Social Determinants of Social and Emotional Wellbeing’, </w:t>
      </w:r>
      <w:r>
        <w:rPr>
          <w:i/>
          <w:iCs/>
        </w:rPr>
        <w:t>Working Together</w:t>
      </w:r>
      <w:r>
        <w:t>.</w:t>
      </w:r>
    </w:p>
    <w:p w14:paraId="55E79638" w14:textId="33404581" w:rsidR="00AD4430" w:rsidRPr="00216127" w:rsidRDefault="00AD4430" w:rsidP="00EC2799">
      <w:pPr>
        <w:pStyle w:val="Reference"/>
        <w:rPr>
          <w:rFonts w:ascii="Arial (Body)" w:hAnsi="Arial (Body)" w:cs="Arial"/>
        </w:rPr>
      </w:pPr>
    </w:p>
    <w:sectPr w:rsidR="00AD4430" w:rsidRPr="00216127" w:rsidSect="001F787E">
      <w:type w:val="continuous"/>
      <w:pgSz w:w="11906" w:h="16838" w:code="9"/>
      <w:pgMar w:top="1440" w:right="1440" w:bottom="1440" w:left="1440" w:header="283"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5A5440" w14:textId="77777777" w:rsidR="00863C24" w:rsidRPr="007B3DCE" w:rsidRDefault="00863C24" w:rsidP="008017BC">
      <w:r w:rsidRPr="007B3DCE">
        <w:separator/>
      </w:r>
    </w:p>
    <w:p w14:paraId="655EE188" w14:textId="77777777" w:rsidR="00863C24" w:rsidRPr="007B3DCE" w:rsidRDefault="00863C24"/>
  </w:endnote>
  <w:endnote w:type="continuationSeparator" w:id="0">
    <w:p w14:paraId="69B40178" w14:textId="77777777" w:rsidR="00863C24" w:rsidRPr="007B3DCE" w:rsidRDefault="00863C24" w:rsidP="008017BC">
      <w:r w:rsidRPr="007B3DCE">
        <w:continuationSeparator/>
      </w:r>
    </w:p>
    <w:p w14:paraId="39A93821" w14:textId="77777777" w:rsidR="00863C24" w:rsidRPr="007B3DCE" w:rsidRDefault="00863C24"/>
  </w:endnote>
  <w:endnote w:type="continuationNotice" w:id="1">
    <w:p w14:paraId="0EA188B8" w14:textId="77777777" w:rsidR="00863C24" w:rsidRPr="007B3DCE" w:rsidRDefault="00863C2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w:altName w:val="Arial"/>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auhaus 93">
    <w:panose1 w:val="04030905020B02020C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0065031"/>
      <w:docPartObj>
        <w:docPartGallery w:val="Page Numbers (Bottom of Page)"/>
        <w:docPartUnique/>
      </w:docPartObj>
    </w:sdtPr>
    <w:sdtEndPr>
      <w:rPr>
        <w:noProof/>
      </w:rPr>
    </w:sdtEndPr>
    <w:sdtContent>
      <w:p w14:paraId="0ED20A60" w14:textId="4774B344" w:rsidR="00D546D3" w:rsidRPr="007B3DCE" w:rsidRDefault="0071783B" w:rsidP="00D546D3">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85166344"/>
      <w:docPartObj>
        <w:docPartGallery w:val="Page Numbers (Bottom of Page)"/>
        <w:docPartUnique/>
      </w:docPartObj>
    </w:sdtPr>
    <w:sdtEndPr>
      <w:rPr>
        <w:noProof/>
      </w:rPr>
    </w:sdtEndPr>
    <w:sdtContent>
      <w:p w14:paraId="494A6A49" w14:textId="00E2DA48" w:rsidR="00674AF9" w:rsidRPr="007B3DCE" w:rsidRDefault="00A20562" w:rsidP="00EE5FA9">
        <w:pPr>
          <w:pStyle w:val="Footer"/>
          <w:jc w:val="right"/>
        </w:pPr>
        <w:r w:rsidRPr="007B3DCE">
          <w:rPr>
            <w:noProof/>
          </w:rPr>
          <w:drawing>
            <wp:anchor distT="0" distB="0" distL="114300" distR="114300" simplePos="0" relativeHeight="251658259" behindDoc="0" locked="1" layoutInCell="1" allowOverlap="1" wp14:anchorId="29F62E05" wp14:editId="5E9DC873">
              <wp:simplePos x="0" y="0"/>
              <wp:positionH relativeFrom="column">
                <wp:posOffset>5505450</wp:posOffset>
              </wp:positionH>
              <wp:positionV relativeFrom="paragraph">
                <wp:posOffset>10795</wp:posOffset>
              </wp:positionV>
              <wp:extent cx="370205" cy="305435"/>
              <wp:effectExtent l="0" t="0" r="0" b="0"/>
              <wp:wrapNone/>
              <wp:docPr id="1649284344" name="Picture 200" descr="A pair of brown hand pr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3444" name="Picture 200" descr="A pair of brown hand prints&#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370205" cy="3054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4AF9">
          <w:fldChar w:fldCharType="begin"/>
        </w:r>
        <w:r w:rsidR="00674AF9">
          <w:instrText xml:space="preserve"> PAGE   \* MERGEFORMAT </w:instrText>
        </w:r>
        <w:r w:rsidR="00674AF9">
          <w:fldChar w:fldCharType="separate"/>
        </w:r>
        <w:r w:rsidR="00674AF9">
          <w:rPr>
            <w:noProof/>
          </w:rPr>
          <w:t>2</w:t>
        </w:r>
        <w:r w:rsidR="00674AF9">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BE2663" w14:textId="0A35E77C" w:rsidR="00A33B0C" w:rsidRPr="007B3DCE" w:rsidRDefault="00A33B0C" w:rsidP="00C77D59">
    <w:pPr>
      <w:pStyle w:val="Footer"/>
    </w:pPr>
    <w:r>
      <w:rPr>
        <w:noProof/>
      </w:rPr>
      <w:drawing>
        <wp:anchor distT="0" distB="0" distL="114300" distR="114300" simplePos="0" relativeHeight="251658244" behindDoc="0" locked="0" layoutInCell="1" allowOverlap="1" wp14:anchorId="51898AAB" wp14:editId="750E361F">
          <wp:simplePos x="0" y="0"/>
          <wp:positionH relativeFrom="column">
            <wp:posOffset>212347</wp:posOffset>
          </wp:positionH>
          <wp:positionV relativeFrom="paragraph">
            <wp:posOffset>-70715</wp:posOffset>
          </wp:positionV>
          <wp:extent cx="267819" cy="354690"/>
          <wp:effectExtent l="0" t="0" r="0" b="7620"/>
          <wp:wrapNone/>
          <wp:docPr id="272726888" name="Picture 187"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43219" name="Picture 219" descr="A number on a black background&#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0790" t="30550" r="43402" b="46610"/>
                  <a:stretch/>
                </pic:blipFill>
                <pic:spPr bwMode="auto">
                  <a:xfrm>
                    <a:off x="0" y="0"/>
                    <a:ext cx="267819" cy="35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1299696"/>
      <w:docPartObj>
        <w:docPartGallery w:val="Page Numbers (Bottom of Page)"/>
        <w:docPartUnique/>
      </w:docPartObj>
    </w:sdtPr>
    <w:sdtEndPr>
      <w:rPr>
        <w:noProof/>
      </w:rPr>
    </w:sdtEndPr>
    <w:sdtContent>
      <w:p w14:paraId="071E917D" w14:textId="77777777" w:rsidR="00674AF9" w:rsidRPr="007B3DCE" w:rsidRDefault="00674AF9" w:rsidP="00EE5FA9">
        <w:pPr>
          <w:pStyle w:val="Footer"/>
          <w:jc w:val="right"/>
        </w:pPr>
        <w:r>
          <w:rPr>
            <w:noProof/>
          </w:rPr>
          <w:drawing>
            <wp:anchor distT="0" distB="0" distL="114300" distR="114300" simplePos="0" relativeHeight="251658243" behindDoc="0" locked="0" layoutInCell="1" allowOverlap="1" wp14:anchorId="3AC01BF6" wp14:editId="76FD8501">
              <wp:simplePos x="0" y="0"/>
              <wp:positionH relativeFrom="column">
                <wp:posOffset>5631815</wp:posOffset>
              </wp:positionH>
              <wp:positionV relativeFrom="paragraph">
                <wp:posOffset>-49247</wp:posOffset>
              </wp:positionV>
              <wp:extent cx="267819" cy="354690"/>
              <wp:effectExtent l="0" t="0" r="0" b="7620"/>
              <wp:wrapNone/>
              <wp:docPr id="1796625330" name="Picture 187"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43219" name="Picture 219" descr="A number on a black background&#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0790" t="30550" r="43402" b="46610"/>
                      <a:stretch/>
                    </pic:blipFill>
                    <pic:spPr bwMode="auto">
                      <a:xfrm flipH="1">
                        <a:off x="0" y="0"/>
                        <a:ext cx="267819" cy="35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08BEC1" w14:textId="77777777" w:rsidR="007158F3" w:rsidRPr="007B3DCE" w:rsidRDefault="007158F3" w:rsidP="00C77D59">
    <w:pPr>
      <w:pStyle w:val="Footer"/>
    </w:pPr>
    <w:r>
      <w:rPr>
        <w:noProof/>
      </w:rPr>
      <w:drawing>
        <wp:anchor distT="0" distB="0" distL="114300" distR="114300" simplePos="0" relativeHeight="251658245" behindDoc="0" locked="0" layoutInCell="1" allowOverlap="1" wp14:anchorId="228AB9D2" wp14:editId="3F07809C">
          <wp:simplePos x="0" y="0"/>
          <wp:positionH relativeFrom="column">
            <wp:posOffset>212347</wp:posOffset>
          </wp:positionH>
          <wp:positionV relativeFrom="paragraph">
            <wp:posOffset>-70715</wp:posOffset>
          </wp:positionV>
          <wp:extent cx="267819" cy="354690"/>
          <wp:effectExtent l="0" t="0" r="0" b="7620"/>
          <wp:wrapNone/>
          <wp:docPr id="1730009892" name="Picture 187"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43219" name="Picture 219" descr="A number on a black background&#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0790" t="30550" r="43402" b="46610"/>
                  <a:stretch/>
                </pic:blipFill>
                <pic:spPr bwMode="auto">
                  <a:xfrm>
                    <a:off x="0" y="0"/>
                    <a:ext cx="267819" cy="35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A9517" w14:textId="61CA4C08" w:rsidR="007158F3" w:rsidRPr="007B3DCE" w:rsidRDefault="007158F3" w:rsidP="00C77D59">
    <w:pPr>
      <w:pStyle w:val="Footer"/>
    </w:pP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r w:rsidR="005E0D3C">
      <w:rPr>
        <w:noProof/>
      </w:rPr>
      <w:drawing>
        <wp:anchor distT="0" distB="0" distL="114300" distR="114300" simplePos="0" relativeHeight="251658247" behindDoc="0" locked="1" layoutInCell="1" allowOverlap="1" wp14:anchorId="28D3C046" wp14:editId="4E97B8E5">
          <wp:simplePos x="0" y="0"/>
          <wp:positionH relativeFrom="column">
            <wp:posOffset>155575</wp:posOffset>
          </wp:positionH>
          <wp:positionV relativeFrom="paragraph">
            <wp:posOffset>-175260</wp:posOffset>
          </wp:positionV>
          <wp:extent cx="363220" cy="381000"/>
          <wp:effectExtent l="0" t="0" r="0" b="0"/>
          <wp:wrapNone/>
          <wp:docPr id="1445106457" name="Picture 191" descr="A black background with brown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08814" name="Picture 191" descr="A black background with brown objects&#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6934" t="34056" r="42313" b="30865"/>
                  <a:stretch/>
                </pic:blipFill>
                <pic:spPr bwMode="auto">
                  <a:xfrm flipH="1">
                    <a:off x="0" y="0"/>
                    <a:ext cx="363220"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81129631"/>
      <w:docPartObj>
        <w:docPartGallery w:val="Page Numbers (Bottom of Page)"/>
        <w:docPartUnique/>
      </w:docPartObj>
    </w:sdtPr>
    <w:sdtEndPr>
      <w:rPr>
        <w:noProof/>
      </w:rPr>
    </w:sdtEndPr>
    <w:sdtContent>
      <w:p w14:paraId="78EACFA3" w14:textId="1F44C720" w:rsidR="005E0D3C" w:rsidRPr="007B3DCE" w:rsidRDefault="005E0D3C" w:rsidP="00EE5FA9">
        <w:pPr>
          <w:pStyle w:val="Footer"/>
          <w:jc w:val="right"/>
        </w:pPr>
        <w:r>
          <w:rPr>
            <w:noProof/>
          </w:rPr>
          <w:drawing>
            <wp:anchor distT="0" distB="0" distL="114300" distR="114300" simplePos="0" relativeHeight="251658246" behindDoc="0" locked="1" layoutInCell="1" allowOverlap="1" wp14:anchorId="2C97DC4F" wp14:editId="6CB07341">
              <wp:simplePos x="0" y="0"/>
              <wp:positionH relativeFrom="column">
                <wp:posOffset>5651500</wp:posOffset>
              </wp:positionH>
              <wp:positionV relativeFrom="paragraph">
                <wp:posOffset>-175260</wp:posOffset>
              </wp:positionV>
              <wp:extent cx="363220" cy="381000"/>
              <wp:effectExtent l="0" t="0" r="0" b="0"/>
              <wp:wrapNone/>
              <wp:docPr id="357524874" name="Picture 191" descr="A black background with brown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08814" name="Picture 191" descr="A black background with brown objects&#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6934" t="34056" r="42313" b="30865"/>
                      <a:stretch/>
                    </pic:blipFill>
                    <pic:spPr bwMode="auto">
                      <a:xfrm>
                        <a:off x="0" y="0"/>
                        <a:ext cx="363220" cy="38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D66258" w14:textId="56D05C10" w:rsidR="00E05B59" w:rsidRPr="007B3DCE" w:rsidRDefault="00E05B59" w:rsidP="00C77D59">
    <w:pPr>
      <w:pStyle w:val="Footer"/>
    </w:pPr>
    <w:r>
      <w:rPr>
        <w:rFonts w:eastAsiaTheme="minorEastAsia"/>
        <w:noProof/>
      </w:rPr>
      <w:drawing>
        <wp:anchor distT="0" distB="0" distL="114300" distR="114300" simplePos="0" relativeHeight="251658248" behindDoc="0" locked="1" layoutInCell="1" allowOverlap="1" wp14:anchorId="1268A835" wp14:editId="254405C9">
          <wp:simplePos x="0" y="0"/>
          <wp:positionH relativeFrom="column">
            <wp:posOffset>304800</wp:posOffset>
          </wp:positionH>
          <wp:positionV relativeFrom="paragraph">
            <wp:posOffset>73025</wp:posOffset>
          </wp:positionV>
          <wp:extent cx="748665" cy="121920"/>
          <wp:effectExtent l="0" t="0" r="0" b="0"/>
          <wp:wrapNone/>
          <wp:docPr id="921720892"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8665" cy="121920"/>
                  </a:xfrm>
                  <a:prstGeom prst="rect">
                    <a:avLst/>
                  </a:prstGeom>
                  <a:noFill/>
                </pic:spPr>
              </pic:pic>
            </a:graphicData>
          </a:graphic>
          <wp14:sizeRelH relativeFrom="page">
            <wp14:pctWidth>0</wp14:pctWidth>
          </wp14:sizeRelH>
          <wp14:sizeRelV relativeFrom="page">
            <wp14:pctHeight>0</wp14:pctHeight>
          </wp14:sizeRelV>
        </wp:anchor>
      </w:drawing>
    </w: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1573347"/>
      <w:docPartObj>
        <w:docPartGallery w:val="Page Numbers (Bottom of Page)"/>
        <w:docPartUnique/>
      </w:docPartObj>
    </w:sdtPr>
    <w:sdtEndPr>
      <w:rPr>
        <w:noProof/>
      </w:rPr>
    </w:sdtEndPr>
    <w:sdtContent>
      <w:p w14:paraId="06CCFBC1" w14:textId="77777777" w:rsidR="00873647" w:rsidRDefault="00A20562" w:rsidP="005E0D3C">
        <w:pPr>
          <w:pStyle w:val="Footer"/>
          <w:tabs>
            <w:tab w:val="left" w:pos="8885"/>
            <w:tab w:val="right" w:pos="9638"/>
          </w:tabs>
        </w:pPr>
        <w:r>
          <w:rPr>
            <w:rFonts w:eastAsiaTheme="minorEastAsia"/>
            <w:noProof/>
          </w:rPr>
          <w:drawing>
            <wp:anchor distT="0" distB="0" distL="114300" distR="114300" simplePos="0" relativeHeight="251658255" behindDoc="0" locked="1" layoutInCell="1" allowOverlap="1" wp14:anchorId="60FCA4E8" wp14:editId="68B987FA">
              <wp:simplePos x="0" y="0"/>
              <wp:positionH relativeFrom="column">
                <wp:posOffset>5090160</wp:posOffset>
              </wp:positionH>
              <wp:positionV relativeFrom="paragraph">
                <wp:posOffset>104775</wp:posOffset>
              </wp:positionV>
              <wp:extent cx="748665" cy="121920"/>
              <wp:effectExtent l="0" t="0" r="0" b="0"/>
              <wp:wrapNone/>
              <wp:docPr id="1580391468"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748665" cy="121920"/>
                      </a:xfrm>
                      <a:prstGeom prst="rect">
                        <a:avLst/>
                      </a:prstGeom>
                      <a:noFill/>
                    </pic:spPr>
                  </pic:pic>
                </a:graphicData>
              </a:graphic>
              <wp14:sizeRelH relativeFrom="page">
                <wp14:pctWidth>0</wp14:pctWidth>
              </wp14:sizeRelH>
              <wp14:sizeRelV relativeFrom="page">
                <wp14:pctHeight>0</wp14:pctHeight>
              </wp14:sizeRelV>
            </wp:anchor>
          </w:drawing>
        </w:r>
        <w:r>
          <w:tab/>
        </w:r>
        <w:r>
          <w:tab/>
        </w:r>
        <w:r>
          <w:tab/>
        </w:r>
        <w:r>
          <w:tab/>
        </w:r>
        <w:r>
          <w:fldChar w:fldCharType="begin"/>
        </w:r>
        <w:r>
          <w:instrText xml:space="preserve"> PAGE   \* MERGEFORMAT </w:instrText>
        </w:r>
        <w:r>
          <w:fldChar w:fldCharType="separate"/>
        </w:r>
        <w:r>
          <w:rPr>
            <w:noProof/>
          </w:rPr>
          <w:t>2</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5DF9BC" w14:textId="20F95F45" w:rsidR="005309EB" w:rsidRPr="007B3DCE" w:rsidRDefault="005309EB" w:rsidP="00C77D59">
    <w:pPr>
      <w:pStyle w:val="Footer"/>
    </w:pPr>
    <w:r w:rsidRPr="007B3DCE">
      <w:rPr>
        <w:noProof/>
      </w:rPr>
      <w:drawing>
        <wp:anchor distT="0" distB="0" distL="114300" distR="114300" simplePos="0" relativeHeight="251658253" behindDoc="0" locked="0" layoutInCell="1" allowOverlap="1" wp14:anchorId="19C8AA04" wp14:editId="4DE38A43">
          <wp:simplePos x="0" y="0"/>
          <wp:positionH relativeFrom="margin">
            <wp:posOffset>170307</wp:posOffset>
          </wp:positionH>
          <wp:positionV relativeFrom="paragraph">
            <wp:posOffset>-210820</wp:posOffset>
          </wp:positionV>
          <wp:extent cx="254328" cy="321650"/>
          <wp:effectExtent l="19050" t="57150" r="0" b="21590"/>
          <wp:wrapNone/>
          <wp:docPr id="733202354" name="Picture 207" descr="A green leaf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31435" name="Picture 207" descr="A green leaf on a black background&#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620" t="31818" r="46280" b="29091"/>
                  <a:stretch/>
                </pic:blipFill>
                <pic:spPr bwMode="auto">
                  <a:xfrm rot="2069487">
                    <a:off x="0" y="0"/>
                    <a:ext cx="254328" cy="32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8051195"/>
      <w:docPartObj>
        <w:docPartGallery w:val="Page Numbers (Bottom of Page)"/>
        <w:docPartUnique/>
      </w:docPartObj>
    </w:sdtPr>
    <w:sdtEndPr>
      <w:rPr>
        <w:noProof/>
      </w:rPr>
    </w:sdtEndPr>
    <w:sdtContent>
      <w:p w14:paraId="25AD59BA" w14:textId="6861886F" w:rsidR="00E05B59" w:rsidRPr="007B3DCE" w:rsidRDefault="00A20562" w:rsidP="005E0D3C">
        <w:pPr>
          <w:pStyle w:val="Footer"/>
          <w:tabs>
            <w:tab w:val="left" w:pos="8885"/>
            <w:tab w:val="right" w:pos="9638"/>
          </w:tabs>
        </w:pPr>
        <w:r w:rsidRPr="007B3DCE">
          <w:rPr>
            <w:noProof/>
          </w:rPr>
          <w:drawing>
            <wp:anchor distT="0" distB="0" distL="114300" distR="114300" simplePos="0" relativeHeight="251658254" behindDoc="0" locked="0" layoutInCell="1" allowOverlap="1" wp14:anchorId="00BBEE82" wp14:editId="3542BF79">
              <wp:simplePos x="0" y="0"/>
              <wp:positionH relativeFrom="margin">
                <wp:posOffset>5659394</wp:posOffset>
              </wp:positionH>
              <wp:positionV relativeFrom="paragraph">
                <wp:posOffset>-148795</wp:posOffset>
              </wp:positionV>
              <wp:extent cx="254328" cy="321650"/>
              <wp:effectExtent l="38100" t="57150" r="0" b="40640"/>
              <wp:wrapNone/>
              <wp:docPr id="1435834173" name="Picture 207" descr="A green leaf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31435" name="Picture 207" descr="A green leaf on a black background&#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620" t="31818" r="46280" b="29091"/>
                      <a:stretch/>
                    </pic:blipFill>
                    <pic:spPr bwMode="auto">
                      <a:xfrm rot="19530513" flipH="1">
                        <a:off x="0" y="0"/>
                        <a:ext cx="254328" cy="32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5B59">
          <w:tab/>
        </w:r>
        <w:r w:rsidR="00E05B59">
          <w:tab/>
        </w:r>
        <w:r w:rsidR="00E05B59">
          <w:tab/>
        </w:r>
        <w:r w:rsidR="00E05B59">
          <w:tab/>
        </w:r>
        <w:r w:rsidR="00E05B59">
          <w:fldChar w:fldCharType="begin"/>
        </w:r>
        <w:r w:rsidR="00E05B59">
          <w:instrText xml:space="preserve"> PAGE   \* MERGEFORMAT </w:instrText>
        </w:r>
        <w:r w:rsidR="00E05B59">
          <w:fldChar w:fldCharType="separate"/>
        </w:r>
        <w:r w:rsidR="00E05B59">
          <w:rPr>
            <w:noProof/>
          </w:rPr>
          <w:t>2</w:t>
        </w:r>
        <w:r w:rsidR="00E05B59">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FA9EC" w14:textId="59F04A2D" w:rsidR="00880BB7" w:rsidRDefault="00880BB7" w:rsidP="008D7B20">
    <w:pPr>
      <w:pStyle w:val="Footer"/>
    </w:pPr>
  </w:p>
  <w:sdt>
    <w:sdtPr>
      <w:id w:val="-85305506"/>
      <w:docPartObj>
        <w:docPartGallery w:val="Page Numbers (Bottom of Page)"/>
        <w:docPartUnique/>
      </w:docPartObj>
    </w:sdtPr>
    <w:sdtEndPr>
      <w:rPr>
        <w:noProof/>
      </w:rPr>
    </w:sdtEndPr>
    <w:sdtContent>
      <w:p w14:paraId="7080F810" w14:textId="21865364" w:rsidR="00292C62" w:rsidRPr="007B3DCE" w:rsidRDefault="00F707A7" w:rsidP="00292C62">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58789061"/>
      <w:docPartObj>
        <w:docPartGallery w:val="Page Numbers (Bottom of Page)"/>
        <w:docPartUnique/>
      </w:docPartObj>
    </w:sdtPr>
    <w:sdtEndPr>
      <w:rPr>
        <w:noProof/>
      </w:rPr>
    </w:sdtEndPr>
    <w:sdtContent>
      <w:p w14:paraId="57793B82" w14:textId="0091A843" w:rsidR="000E3A6D" w:rsidRPr="007B3DCE" w:rsidRDefault="001B526D" w:rsidP="0094407A">
        <w:pPr>
          <w:pStyle w:val="Footer"/>
        </w:pPr>
        <w:r w:rsidRPr="007B3DCE">
          <w:rPr>
            <w:noProof/>
          </w:rPr>
          <w:drawing>
            <wp:anchor distT="0" distB="0" distL="114300" distR="114300" simplePos="0" relativeHeight="251658264" behindDoc="0" locked="0" layoutInCell="1" allowOverlap="1" wp14:anchorId="1E4344A6" wp14:editId="0DDE4340">
              <wp:simplePos x="0" y="0"/>
              <wp:positionH relativeFrom="column">
                <wp:posOffset>232566</wp:posOffset>
              </wp:positionH>
              <wp:positionV relativeFrom="paragraph">
                <wp:posOffset>-8147</wp:posOffset>
              </wp:positionV>
              <wp:extent cx="411829" cy="342145"/>
              <wp:effectExtent l="0" t="0" r="7620" b="0"/>
              <wp:wrapNone/>
              <wp:docPr id="650480418" name="Picture 211" descr="A black background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3298" name="Picture 211" descr="A black background with a black background&#10;&#10;Description automatically generated with medium confidenc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5646" t="39398" r="42586" b="40894"/>
                      <a:stretch/>
                    </pic:blipFill>
                    <pic:spPr bwMode="auto">
                      <a:xfrm flipH="1">
                        <a:off x="0" y="0"/>
                        <a:ext cx="411829" cy="34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3A6D">
          <w:fldChar w:fldCharType="begin"/>
        </w:r>
        <w:r w:rsidR="000E3A6D">
          <w:instrText xml:space="preserve"> PAGE   \* MERGEFORMAT </w:instrText>
        </w:r>
        <w:r w:rsidR="000E3A6D">
          <w:fldChar w:fldCharType="separate"/>
        </w:r>
        <w:r w:rsidR="000E3A6D">
          <w:rPr>
            <w:noProof/>
          </w:rPr>
          <w:t>2</w:t>
        </w:r>
        <w:r w:rsidR="000E3A6D">
          <w:rPr>
            <w:noProof/>
          </w:rPr>
          <w:fldChar w:fldCharType="end"/>
        </w:r>
        <w:r>
          <w:rPr>
            <w:noProof/>
          </w:rPr>
          <w:t xml:space="preserve"> </w: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8079456"/>
      <w:docPartObj>
        <w:docPartGallery w:val="Page Numbers (Bottom of Page)"/>
        <w:docPartUnique/>
      </w:docPartObj>
    </w:sdtPr>
    <w:sdtEndPr>
      <w:rPr>
        <w:noProof/>
      </w:rPr>
    </w:sdtEndPr>
    <w:sdtContent>
      <w:p w14:paraId="03C1CCF2" w14:textId="77777777" w:rsidR="000E3A6D" w:rsidRDefault="00D31732" w:rsidP="005E0D3C">
        <w:pPr>
          <w:pStyle w:val="Footer"/>
          <w:tabs>
            <w:tab w:val="left" w:pos="8885"/>
            <w:tab w:val="right" w:pos="9638"/>
          </w:tabs>
        </w:pPr>
        <w:r w:rsidRPr="007B3DCE">
          <w:rPr>
            <w:noProof/>
          </w:rPr>
          <w:drawing>
            <wp:anchor distT="0" distB="0" distL="114300" distR="114300" simplePos="0" relativeHeight="251658265" behindDoc="0" locked="0" layoutInCell="1" allowOverlap="1" wp14:anchorId="4AB7536F" wp14:editId="46312BA6">
              <wp:simplePos x="0" y="0"/>
              <wp:positionH relativeFrom="column">
                <wp:posOffset>5401340</wp:posOffset>
              </wp:positionH>
              <wp:positionV relativeFrom="paragraph">
                <wp:posOffset>-21265</wp:posOffset>
              </wp:positionV>
              <wp:extent cx="411829" cy="342145"/>
              <wp:effectExtent l="0" t="0" r="7620" b="0"/>
              <wp:wrapNone/>
              <wp:docPr id="111124362" name="Picture 211" descr="A black background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3298" name="Picture 211" descr="A black background with a black background&#10;&#10;Description automatically generated with medium confidenc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5646" t="39398" r="42586" b="40894"/>
                      <a:stretch/>
                    </pic:blipFill>
                    <pic:spPr bwMode="auto">
                      <a:xfrm>
                        <a:off x="0" y="0"/>
                        <a:ext cx="411829" cy="34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3A6D">
          <w:tab/>
        </w:r>
        <w:r w:rsidR="000E3A6D">
          <w:tab/>
        </w:r>
        <w:r w:rsidR="000E3A6D">
          <w:tab/>
        </w:r>
        <w:r w:rsidR="000E3A6D">
          <w:tab/>
        </w:r>
        <w:r w:rsidR="000E3A6D">
          <w:fldChar w:fldCharType="begin"/>
        </w:r>
        <w:r w:rsidR="000E3A6D">
          <w:instrText xml:space="preserve"> PAGE   \* MERGEFORMAT </w:instrText>
        </w:r>
        <w:r w:rsidR="000E3A6D">
          <w:fldChar w:fldCharType="separate"/>
        </w:r>
        <w:r w:rsidR="000E3A6D">
          <w:rPr>
            <w:noProof/>
          </w:rPr>
          <w:t>2</w:t>
        </w:r>
        <w:r w:rsidR="000E3A6D">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10438008"/>
      <w:docPartObj>
        <w:docPartGallery w:val="Page Numbers (Bottom of Page)"/>
        <w:docPartUnique/>
      </w:docPartObj>
    </w:sdtPr>
    <w:sdtEndPr>
      <w:rPr>
        <w:noProof/>
      </w:rPr>
    </w:sdtEndPr>
    <w:sdtContent>
      <w:p w14:paraId="7EE581FE" w14:textId="77777777" w:rsidR="00B10C22" w:rsidRDefault="00B10C22" w:rsidP="005E0D3C">
        <w:pPr>
          <w:pStyle w:val="Footer"/>
          <w:tabs>
            <w:tab w:val="left" w:pos="8885"/>
            <w:tab w:val="right" w:pos="9638"/>
          </w:tabs>
        </w:pPr>
        <w:r w:rsidRPr="007B3DCE">
          <w:rPr>
            <w:noProof/>
          </w:rPr>
          <w:drawing>
            <wp:anchor distT="0" distB="0" distL="114300" distR="114300" simplePos="0" relativeHeight="251658268" behindDoc="0" locked="0" layoutInCell="1" allowOverlap="1" wp14:anchorId="45B8DF2A" wp14:editId="60562BB1">
              <wp:simplePos x="0" y="0"/>
              <wp:positionH relativeFrom="column">
                <wp:posOffset>5401340</wp:posOffset>
              </wp:positionH>
              <wp:positionV relativeFrom="paragraph">
                <wp:posOffset>-21265</wp:posOffset>
              </wp:positionV>
              <wp:extent cx="411829" cy="342145"/>
              <wp:effectExtent l="0" t="0" r="7620" b="0"/>
              <wp:wrapNone/>
              <wp:docPr id="1432106818" name="Picture 211" descr="A black background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3298" name="Picture 211" descr="A black background with a black background&#10;&#10;Description automatically generated with medium confidenc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5646" t="39398" r="42586" b="40894"/>
                      <a:stretch/>
                    </pic:blipFill>
                    <pic:spPr bwMode="auto">
                      <a:xfrm>
                        <a:off x="0" y="0"/>
                        <a:ext cx="411829" cy="34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r>
          <w:tab/>
        </w:r>
        <w:r>
          <w:fldChar w:fldCharType="begin"/>
        </w:r>
        <w:r>
          <w:instrText xml:space="preserve"> PAGE   \* MERGEFORMAT </w:instrText>
        </w:r>
        <w:r>
          <w:fldChar w:fldCharType="separate"/>
        </w:r>
        <w:r>
          <w:rPr>
            <w:noProof/>
          </w:rPr>
          <w:t>2</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8547099"/>
      <w:docPartObj>
        <w:docPartGallery w:val="Page Numbers (Bottom of Page)"/>
        <w:docPartUnique/>
      </w:docPartObj>
    </w:sdtPr>
    <w:sdtEndPr>
      <w:rPr>
        <w:noProof/>
      </w:rPr>
    </w:sdtEndPr>
    <w:sdtContent>
      <w:p w14:paraId="349175A3" w14:textId="65F6054B" w:rsidR="002A3FC2" w:rsidRPr="007B3DCE" w:rsidRDefault="002A3FC2" w:rsidP="0094407A">
        <w:pPr>
          <w:pStyle w:val="Footer"/>
        </w:pPr>
        <w:r>
          <w:rPr>
            <w:i/>
            <w:noProof/>
            <w:lang w:eastAsia="en-AU"/>
          </w:rPr>
          <w:drawing>
            <wp:anchor distT="0" distB="0" distL="114300" distR="114300" simplePos="0" relativeHeight="251658267" behindDoc="0" locked="0" layoutInCell="1" allowOverlap="1" wp14:anchorId="73335352" wp14:editId="78BCFE09">
              <wp:simplePos x="0" y="0"/>
              <wp:positionH relativeFrom="column">
                <wp:posOffset>266700</wp:posOffset>
              </wp:positionH>
              <wp:positionV relativeFrom="paragraph">
                <wp:posOffset>-28575</wp:posOffset>
              </wp:positionV>
              <wp:extent cx="360948" cy="368190"/>
              <wp:effectExtent l="0" t="0" r="1270" b="0"/>
              <wp:wrapNone/>
              <wp:docPr id="851784688"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r>
          <w:rPr>
            <w:noProof/>
          </w:rPr>
          <w:t xml:space="preserve"> </w: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D5043" w14:textId="0F76F3E6" w:rsidR="000E3A6D" w:rsidRDefault="00DD7E80" w:rsidP="005E0D3C">
    <w:pPr>
      <w:pStyle w:val="Footer"/>
      <w:tabs>
        <w:tab w:val="left" w:pos="8885"/>
        <w:tab w:val="right" w:pos="9638"/>
      </w:tabs>
    </w:pPr>
    <w:sdt>
      <w:sdtPr>
        <w:id w:val="-1290119282"/>
        <w:docPartObj>
          <w:docPartGallery w:val="Page Numbers (Bottom of Page)"/>
          <w:docPartUnique/>
        </w:docPartObj>
      </w:sdtPr>
      <w:sdtEndPr>
        <w:rPr>
          <w:noProof/>
        </w:rPr>
      </w:sdtEndPr>
      <w:sdtContent>
        <w:r w:rsidR="000E3A6D">
          <w:tab/>
        </w:r>
        <w:r w:rsidR="000E3A6D">
          <w:tab/>
        </w:r>
        <w:r w:rsidR="000E3A6D">
          <w:tab/>
        </w:r>
        <w:r w:rsidR="000E3A6D">
          <w:tab/>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7871780"/>
      <w:docPartObj>
        <w:docPartGallery w:val="Page Numbers (Bottom of Page)"/>
        <w:docPartUnique/>
      </w:docPartObj>
    </w:sdtPr>
    <w:sdtEndPr>
      <w:rPr>
        <w:noProof/>
      </w:rPr>
    </w:sdtEndPr>
    <w:sdtContent>
      <w:p w14:paraId="5BD468B8" w14:textId="56CE82B0" w:rsidR="002A3FC2" w:rsidRPr="007B3DCE" w:rsidRDefault="002A3FC2" w:rsidP="0094407A">
        <w:pPr>
          <w:pStyle w:val="Footer"/>
        </w:pPr>
        <w:r>
          <w:rPr>
            <w:i/>
            <w:noProof/>
            <w:lang w:eastAsia="en-AU"/>
          </w:rPr>
          <w:drawing>
            <wp:anchor distT="0" distB="0" distL="114300" distR="114300" simplePos="0" relativeHeight="251658266" behindDoc="0" locked="0" layoutInCell="1" allowOverlap="1" wp14:anchorId="02BFFB7E" wp14:editId="3CCCF5FC">
              <wp:simplePos x="0" y="0"/>
              <wp:positionH relativeFrom="column">
                <wp:posOffset>247650</wp:posOffset>
              </wp:positionH>
              <wp:positionV relativeFrom="paragraph">
                <wp:posOffset>-28575</wp:posOffset>
              </wp:positionV>
              <wp:extent cx="360948" cy="368190"/>
              <wp:effectExtent l="0" t="0" r="1270" b="0"/>
              <wp:wrapNone/>
              <wp:docPr id="421274435"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r>
          <w:rPr>
            <w:noProof/>
          </w:rPr>
          <w:t xml:space="preserve"> </w:t>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E82079" w14:textId="77777777" w:rsidR="002A3FC2" w:rsidRDefault="00DD7E80" w:rsidP="005E0D3C">
    <w:pPr>
      <w:pStyle w:val="Footer"/>
      <w:tabs>
        <w:tab w:val="left" w:pos="8885"/>
        <w:tab w:val="right" w:pos="9638"/>
      </w:tabs>
    </w:pPr>
    <w:sdt>
      <w:sdtPr>
        <w:id w:val="-878935315"/>
        <w:docPartObj>
          <w:docPartGallery w:val="Page Numbers (Bottom of Page)"/>
          <w:docPartUnique/>
        </w:docPartObj>
      </w:sdtPr>
      <w:sdtEndPr>
        <w:rPr>
          <w:noProof/>
        </w:rPr>
      </w:sdtEndPr>
      <w:sdtContent>
        <w:r w:rsidR="002A3FC2">
          <w:tab/>
        </w:r>
        <w:r w:rsidR="002A3FC2">
          <w:tab/>
        </w:r>
        <w:r w:rsidR="002A3FC2">
          <w:tab/>
        </w:r>
        <w:r w:rsidR="002A3FC2">
          <w:tab/>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336029"/>
      <w:docPartObj>
        <w:docPartGallery w:val="Page Numbers (Bottom of Page)"/>
        <w:docPartUnique/>
      </w:docPartObj>
    </w:sdtPr>
    <w:sdtEndPr>
      <w:rPr>
        <w:noProof/>
      </w:rPr>
    </w:sdtEndPr>
    <w:sdtContent>
      <w:p w14:paraId="0E1B99A8" w14:textId="77777777" w:rsidR="000E3A6D" w:rsidRPr="007B3DCE" w:rsidRDefault="000E3A6D" w:rsidP="0094407A">
        <w:pPr>
          <w:pStyle w:val="Footer"/>
        </w:pPr>
        <w:r>
          <w:rPr>
            <w:i/>
            <w:noProof/>
            <w:lang w:eastAsia="en-AU"/>
          </w:rPr>
          <w:drawing>
            <wp:anchor distT="0" distB="0" distL="114300" distR="114300" simplePos="0" relativeHeight="251658260" behindDoc="0" locked="0" layoutInCell="1" allowOverlap="1" wp14:anchorId="55CC40CA" wp14:editId="5259F980">
              <wp:simplePos x="0" y="0"/>
              <wp:positionH relativeFrom="column">
                <wp:posOffset>263658</wp:posOffset>
              </wp:positionH>
              <wp:positionV relativeFrom="paragraph">
                <wp:posOffset>-24130</wp:posOffset>
              </wp:positionV>
              <wp:extent cx="360948" cy="368190"/>
              <wp:effectExtent l="0" t="0" r="1270" b="0"/>
              <wp:wrapNone/>
              <wp:docPr id="690294631"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r>
          <w:rPr>
            <w:noProof/>
          </w:rPr>
          <w:t xml:space="preserve"> </w:t>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9739895"/>
      <w:docPartObj>
        <w:docPartGallery w:val="Page Numbers (Bottom of Page)"/>
        <w:docPartUnique/>
      </w:docPartObj>
    </w:sdtPr>
    <w:sdtEndPr>
      <w:rPr>
        <w:noProof/>
      </w:rPr>
    </w:sdtEndPr>
    <w:sdtContent>
      <w:p w14:paraId="315E326D" w14:textId="77777777" w:rsidR="000E3A6D" w:rsidRDefault="000E3A6D">
        <w:pPr>
          <w:pStyle w:val="Footer"/>
          <w:jc w:val="right"/>
        </w:pPr>
        <w:r>
          <w:rPr>
            <w:i/>
            <w:noProof/>
            <w:lang w:eastAsia="en-AU"/>
          </w:rPr>
          <w:drawing>
            <wp:anchor distT="0" distB="0" distL="114300" distR="114300" simplePos="0" relativeHeight="251658261" behindDoc="0" locked="0" layoutInCell="1" allowOverlap="1" wp14:anchorId="4B5F03B4" wp14:editId="053E9980">
              <wp:simplePos x="0" y="0"/>
              <wp:positionH relativeFrom="column">
                <wp:posOffset>8642690</wp:posOffset>
              </wp:positionH>
              <wp:positionV relativeFrom="paragraph">
                <wp:posOffset>-15875</wp:posOffset>
              </wp:positionV>
              <wp:extent cx="360948" cy="368190"/>
              <wp:effectExtent l="0" t="0" r="1270" b="0"/>
              <wp:wrapNone/>
              <wp:docPr id="231123224"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3993246"/>
      <w:docPartObj>
        <w:docPartGallery w:val="Page Numbers (Bottom of Page)"/>
        <w:docPartUnique/>
      </w:docPartObj>
    </w:sdtPr>
    <w:sdtEndPr>
      <w:rPr>
        <w:noProof/>
      </w:rPr>
    </w:sdtEndPr>
    <w:sdtContent>
      <w:p w14:paraId="641E200A" w14:textId="77777777" w:rsidR="000E3A6D" w:rsidRDefault="000E3A6D">
        <w:pPr>
          <w:pStyle w:val="Footer"/>
          <w:jc w:val="right"/>
        </w:pPr>
        <w:r>
          <w:rPr>
            <w:i/>
            <w:noProof/>
            <w:lang w:eastAsia="en-AU"/>
          </w:rPr>
          <w:drawing>
            <wp:anchor distT="0" distB="0" distL="114300" distR="114300" simplePos="0" relativeHeight="251658262" behindDoc="0" locked="0" layoutInCell="1" allowOverlap="1" wp14:anchorId="71AFAB1A" wp14:editId="475F3289">
              <wp:simplePos x="0" y="0"/>
              <wp:positionH relativeFrom="column">
                <wp:posOffset>5538795</wp:posOffset>
              </wp:positionH>
              <wp:positionV relativeFrom="paragraph">
                <wp:posOffset>-26508</wp:posOffset>
              </wp:positionV>
              <wp:extent cx="360948" cy="368190"/>
              <wp:effectExtent l="0" t="0" r="1270" b="0"/>
              <wp:wrapNone/>
              <wp:docPr id="1232358073"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lang w:eastAsia="en-AU"/>
          </w:rPr>
          <w:drawing>
            <wp:anchor distT="0" distB="0" distL="114300" distR="114300" simplePos="0" relativeHeight="251658257" behindDoc="0" locked="0" layoutInCell="1" allowOverlap="1" wp14:anchorId="7B61E6D3" wp14:editId="75E125CF">
              <wp:simplePos x="0" y="0"/>
              <wp:positionH relativeFrom="column">
                <wp:posOffset>8706965</wp:posOffset>
              </wp:positionH>
              <wp:positionV relativeFrom="paragraph">
                <wp:posOffset>-15875</wp:posOffset>
              </wp:positionV>
              <wp:extent cx="360948" cy="368190"/>
              <wp:effectExtent l="0" t="0" r="1270" b="0"/>
              <wp:wrapNone/>
              <wp:docPr id="718314267"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90522" w14:textId="5F6C5EC7" w:rsidR="00B21326" w:rsidRDefault="00B21326">
    <w:pPr>
      <w:pStyle w:val="Footer"/>
    </w:pPr>
  </w:p>
  <w:sdt>
    <w:sdtPr>
      <w:id w:val="836510316"/>
      <w:docPartObj>
        <w:docPartGallery w:val="Page Numbers (Bottom of Page)"/>
        <w:docPartUnique/>
      </w:docPartObj>
    </w:sdtPr>
    <w:sdtEndPr>
      <w:rPr>
        <w:noProof/>
      </w:rPr>
    </w:sdtEndPr>
    <w:sdtContent>
      <w:p w14:paraId="5DDCAF99" w14:textId="64045E08" w:rsidR="00A0289C" w:rsidRDefault="00421C3D">
        <w:pPr>
          <w:pStyle w:val="Footer"/>
        </w:pPr>
        <w:r>
          <w:rPr>
            <w:i/>
            <w:noProof/>
            <w:lang w:eastAsia="en-AU"/>
          </w:rPr>
          <w:drawing>
            <wp:anchor distT="0" distB="0" distL="114300" distR="114300" simplePos="0" relativeHeight="251658263" behindDoc="0" locked="0" layoutInCell="1" allowOverlap="1" wp14:anchorId="00D6AF64" wp14:editId="351010A2">
              <wp:simplePos x="0" y="0"/>
              <wp:positionH relativeFrom="column">
                <wp:posOffset>280803</wp:posOffset>
              </wp:positionH>
              <wp:positionV relativeFrom="paragraph">
                <wp:posOffset>-123500</wp:posOffset>
              </wp:positionV>
              <wp:extent cx="360948" cy="368190"/>
              <wp:effectExtent l="0" t="0" r="1270" b="0"/>
              <wp:wrapNone/>
              <wp:docPr id="2052142827"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867FF">
          <w:fldChar w:fldCharType="begin"/>
        </w:r>
        <w:r w:rsidR="007867FF">
          <w:instrText xml:space="preserve"> PAGE   \* MERGEFORMAT </w:instrText>
        </w:r>
        <w:r w:rsidR="007867FF">
          <w:fldChar w:fldCharType="separate"/>
        </w:r>
        <w:r w:rsidR="007867FF">
          <w:rPr>
            <w:noProof/>
          </w:rPr>
          <w:t>2</w:t>
        </w:r>
        <w:r w:rsidR="007867FF">
          <w:rPr>
            <w:noProof/>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AF10A1" w14:textId="77777777" w:rsidR="000E3A6D" w:rsidRDefault="000E3A6D">
    <w:pPr>
      <w:pStyle w:val="Footer"/>
    </w:pPr>
    <w:r>
      <w:rPr>
        <w:i/>
        <w:noProof/>
        <w:lang w:eastAsia="en-AU"/>
      </w:rPr>
      <w:drawing>
        <wp:anchor distT="0" distB="0" distL="114300" distR="114300" simplePos="0" relativeHeight="251658256" behindDoc="0" locked="0" layoutInCell="1" allowOverlap="1" wp14:anchorId="59746B76" wp14:editId="624B720B">
          <wp:simplePos x="0" y="0"/>
          <wp:positionH relativeFrom="column">
            <wp:posOffset>181232</wp:posOffset>
          </wp:positionH>
          <wp:positionV relativeFrom="paragraph">
            <wp:posOffset>-24713</wp:posOffset>
          </wp:positionV>
          <wp:extent cx="360948" cy="368190"/>
          <wp:effectExtent l="0" t="0" r="1270" b="0"/>
          <wp:wrapNone/>
          <wp:docPr id="1709058657"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t>6</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CA3E4" w14:textId="2659A73D" w:rsidR="00947744" w:rsidRPr="007B3DCE" w:rsidRDefault="00947744" w:rsidP="00C77D59">
    <w:pPr>
      <w:pStyle w:val="Footer"/>
    </w:pPr>
    <w:r>
      <w:rPr>
        <w:i/>
        <w:noProof/>
        <w:lang w:eastAsia="en-AU"/>
      </w:rPr>
      <w:drawing>
        <wp:anchor distT="0" distB="0" distL="114300" distR="114300" simplePos="0" relativeHeight="251658252" behindDoc="0" locked="0" layoutInCell="1" allowOverlap="1" wp14:anchorId="20F76E43" wp14:editId="5E1783E0">
          <wp:simplePos x="0" y="0"/>
          <wp:positionH relativeFrom="column">
            <wp:posOffset>316992</wp:posOffset>
          </wp:positionH>
          <wp:positionV relativeFrom="paragraph">
            <wp:posOffset>-48768</wp:posOffset>
          </wp:positionV>
          <wp:extent cx="360948" cy="368190"/>
          <wp:effectExtent l="0" t="0" r="1270" b="0"/>
          <wp:wrapNone/>
          <wp:docPr id="1233940401"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DCE">
      <w:fldChar w:fldCharType="begin"/>
    </w:r>
    <w:r w:rsidRPr="007B3DCE">
      <w:instrText xml:space="preserve"> PAGE   \* MERGEFORMAT </w:instrText>
    </w:r>
    <w:r w:rsidRPr="007B3DCE">
      <w:fldChar w:fldCharType="separate"/>
    </w:r>
    <w:r w:rsidRPr="007B3DCE">
      <w:t>1</w:t>
    </w:r>
    <w:r w:rsidRPr="007B3DCE">
      <w:fldChar w:fldCharType="end"/>
    </w:r>
    <w:r w:rsidRPr="00C463F8">
      <w:rPr>
        <w:noProof/>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1854445"/>
      <w:docPartObj>
        <w:docPartGallery w:val="Page Numbers (Bottom of Page)"/>
        <w:docPartUnique/>
      </w:docPartObj>
    </w:sdtPr>
    <w:sdtEndPr>
      <w:rPr>
        <w:noProof/>
      </w:rPr>
    </w:sdtEndPr>
    <w:sdtContent>
      <w:p w14:paraId="2B44DDB2" w14:textId="5DD11843" w:rsidR="00C12252" w:rsidRDefault="000420FF" w:rsidP="000420FF">
        <w:pPr>
          <w:pStyle w:val="Footer"/>
          <w:jc w:val="right"/>
        </w:pPr>
        <w:r>
          <w:rPr>
            <w:i/>
            <w:noProof/>
            <w:lang w:eastAsia="en-AU"/>
          </w:rPr>
          <w:drawing>
            <wp:anchor distT="0" distB="0" distL="114300" distR="114300" simplePos="0" relativeHeight="251658251" behindDoc="0" locked="0" layoutInCell="1" allowOverlap="1" wp14:anchorId="399CB80E" wp14:editId="53B3F1D6">
              <wp:simplePos x="0" y="0"/>
              <wp:positionH relativeFrom="column">
                <wp:posOffset>5449824</wp:posOffset>
              </wp:positionH>
              <wp:positionV relativeFrom="paragraph">
                <wp:posOffset>-36576</wp:posOffset>
              </wp:positionV>
              <wp:extent cx="360948" cy="368190"/>
              <wp:effectExtent l="0" t="0" r="1270" b="0"/>
              <wp:wrapNone/>
              <wp:docPr id="1094242344"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96DD4" w14:textId="488FC951" w:rsidR="0024084A" w:rsidRPr="007B3DCE" w:rsidRDefault="00C12252">
    <w:pPr>
      <w:pStyle w:val="Footer"/>
    </w:pPr>
    <w:r>
      <w:rPr>
        <w:i/>
        <w:noProof/>
        <w:lang w:eastAsia="en-AU"/>
      </w:rPr>
      <w:drawing>
        <wp:anchor distT="0" distB="0" distL="114300" distR="114300" simplePos="0" relativeHeight="251658249" behindDoc="0" locked="0" layoutInCell="1" allowOverlap="1" wp14:anchorId="3ABC8AE5" wp14:editId="21175B84">
          <wp:simplePos x="0" y="0"/>
          <wp:positionH relativeFrom="column">
            <wp:posOffset>268224</wp:posOffset>
          </wp:positionH>
          <wp:positionV relativeFrom="paragraph">
            <wp:posOffset>-60960</wp:posOffset>
          </wp:positionV>
          <wp:extent cx="360948" cy="368190"/>
          <wp:effectExtent l="0" t="0" r="1270" b="0"/>
          <wp:wrapNone/>
          <wp:docPr id="191921065"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DC7" w:rsidRPr="007B3DCE">
      <w:fldChar w:fldCharType="begin"/>
    </w:r>
    <w:r w:rsidR="00856DC7" w:rsidRPr="007B3DCE">
      <w:instrText xml:space="preserve"> PAGE   \* MERGEFORMAT </w:instrText>
    </w:r>
    <w:r w:rsidR="00856DC7" w:rsidRPr="007B3DCE">
      <w:fldChar w:fldCharType="separate"/>
    </w:r>
    <w:r w:rsidR="00856DC7" w:rsidRPr="007B3DCE">
      <w:t>1</w:t>
    </w:r>
    <w:r w:rsidR="00856DC7" w:rsidRPr="007B3DCE">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8640564"/>
      <w:docPartObj>
        <w:docPartGallery w:val="Page Numbers (Bottom of Page)"/>
        <w:docPartUnique/>
      </w:docPartObj>
    </w:sdtPr>
    <w:sdtEndPr>
      <w:rPr>
        <w:noProof/>
      </w:rPr>
    </w:sdtEndPr>
    <w:sdtContent>
      <w:p w14:paraId="3353ADCF" w14:textId="48181BEC" w:rsidR="000420FF" w:rsidRDefault="000420FF" w:rsidP="000420FF">
        <w:pPr>
          <w:pStyle w:val="Footer"/>
          <w:jc w:val="right"/>
        </w:pPr>
        <w:r>
          <w:rPr>
            <w:i/>
            <w:noProof/>
            <w:lang w:eastAsia="en-AU"/>
          </w:rPr>
          <w:drawing>
            <wp:anchor distT="0" distB="0" distL="114300" distR="114300" simplePos="0" relativeHeight="251658250" behindDoc="0" locked="0" layoutInCell="1" allowOverlap="1" wp14:anchorId="5FF3FF14" wp14:editId="43360602">
              <wp:simplePos x="0" y="0"/>
              <wp:positionH relativeFrom="column">
                <wp:posOffset>5059680</wp:posOffset>
              </wp:positionH>
              <wp:positionV relativeFrom="paragraph">
                <wp:posOffset>-60960</wp:posOffset>
              </wp:positionV>
              <wp:extent cx="360948" cy="368190"/>
              <wp:effectExtent l="0" t="0" r="1270" b="0"/>
              <wp:wrapNone/>
              <wp:docPr id="890801683"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0840826"/>
      <w:docPartObj>
        <w:docPartGallery w:val="Page Numbers (Bottom of Page)"/>
        <w:docPartUnique/>
      </w:docPartObj>
    </w:sdtPr>
    <w:sdtEndPr>
      <w:rPr>
        <w:noProof/>
      </w:rPr>
    </w:sdtEndPr>
    <w:sdtContent>
      <w:p w14:paraId="548F135E" w14:textId="28A84784" w:rsidR="00A0289C" w:rsidRDefault="00421C3D" w:rsidP="007867FF">
        <w:pPr>
          <w:pStyle w:val="Footer"/>
          <w:jc w:val="right"/>
        </w:pPr>
        <w:r>
          <w:rPr>
            <w:i/>
            <w:noProof/>
            <w:lang w:eastAsia="en-AU"/>
          </w:rPr>
          <w:drawing>
            <wp:anchor distT="0" distB="0" distL="114300" distR="114300" simplePos="0" relativeHeight="251658258" behindDoc="0" locked="0" layoutInCell="1" allowOverlap="1" wp14:anchorId="31AE7DE5" wp14:editId="07AE9CB4">
              <wp:simplePos x="0" y="0"/>
              <wp:positionH relativeFrom="column">
                <wp:posOffset>5507111</wp:posOffset>
              </wp:positionH>
              <wp:positionV relativeFrom="paragraph">
                <wp:posOffset>-34876</wp:posOffset>
              </wp:positionV>
              <wp:extent cx="360948" cy="368190"/>
              <wp:effectExtent l="0" t="0" r="1270" b="0"/>
              <wp:wrapNone/>
              <wp:docPr id="1806328799" name="Picture 222" descr="A orange circular object with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51021" name="Picture 222" descr="A orange circular object with dots&#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0948" cy="36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867FF">
          <w:fldChar w:fldCharType="begin"/>
        </w:r>
        <w:r w:rsidR="007867FF">
          <w:instrText xml:space="preserve"> PAGE   \* MERGEFORMAT </w:instrText>
        </w:r>
        <w:r w:rsidR="007867FF">
          <w:fldChar w:fldCharType="separate"/>
        </w:r>
        <w:r w:rsidR="007867FF">
          <w:rPr>
            <w:noProof/>
          </w:rPr>
          <w:t>2</w:t>
        </w:r>
        <w:r w:rsidR="007867FF">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A1805" w14:textId="56FFD4F9" w:rsidR="00B312BB" w:rsidRPr="007B3DCE" w:rsidRDefault="00B312BB" w:rsidP="00297394">
    <w:pPr>
      <w:pStyle w:val="Footer-right"/>
      <w:rPr>
        <w:rFonts w:asciiTheme="minorHAnsi" w:hAnsiTheme="minorHAnsi"/>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34525" w14:textId="3BC10B9F" w:rsidR="00370D63" w:rsidRPr="007B3DCE" w:rsidRDefault="00370D63" w:rsidP="00C77D59">
    <w:pPr>
      <w:pStyle w:val="Footer"/>
    </w:pPr>
    <w:r w:rsidRPr="007B3DCE">
      <w:fldChar w:fldCharType="begin"/>
    </w:r>
    <w:r w:rsidRPr="007B3DCE">
      <w:instrText xml:space="preserve"> PAGE   \* MERGEFORMAT </w:instrText>
    </w:r>
    <w:r w:rsidRPr="007B3DCE">
      <w:fldChar w:fldCharType="separate"/>
    </w:r>
    <w:r w:rsidRPr="007B3DCE">
      <w:t>1</w:t>
    </w:r>
    <w:r w:rsidRPr="007B3DCE">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818F6" w14:textId="00470F30" w:rsidR="00C77D59" w:rsidRPr="007B3DCE" w:rsidRDefault="00C77D59" w:rsidP="00EE5FA9">
    <w:pPr>
      <w:pStyle w:val="Footer"/>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1D9EBD" w14:textId="738267D3" w:rsidR="00A16AFE" w:rsidRPr="007B3DCE" w:rsidRDefault="00A16AFE" w:rsidP="00C77D59">
    <w:pPr>
      <w:pStyle w:val="Footer"/>
    </w:pPr>
    <w:r w:rsidRPr="007B3DCE">
      <w:fldChar w:fldCharType="begin"/>
    </w:r>
    <w:r w:rsidRPr="007B3DCE">
      <w:instrText xml:space="preserve"> PAGE   \* MERGEFORMAT </w:instrText>
    </w:r>
    <w:r w:rsidRPr="007B3DCE">
      <w:fldChar w:fldCharType="separate"/>
    </w:r>
    <w:r w:rsidRPr="007B3DCE">
      <w:t>1</w:t>
    </w:r>
    <w:r w:rsidRPr="007B3DCE">
      <w:fldChar w:fldCharType="end"/>
    </w:r>
    <w:r w:rsidR="00C463F8" w:rsidRPr="00C463F8">
      <w:rPr>
        <w:noProof/>
      </w:rPr>
      <w:t xml:space="preserve"> </w:t>
    </w:r>
    <w:r w:rsidR="00674AF9" w:rsidRPr="007B3DCE">
      <w:rPr>
        <w:noProof/>
      </w:rPr>
      <w:drawing>
        <wp:anchor distT="0" distB="0" distL="114300" distR="114300" simplePos="0" relativeHeight="251658242" behindDoc="0" locked="1" layoutInCell="1" allowOverlap="1" wp14:anchorId="6CD5FC97" wp14:editId="70AA30C9">
          <wp:simplePos x="0" y="0"/>
          <wp:positionH relativeFrom="column">
            <wp:posOffset>271780</wp:posOffset>
          </wp:positionH>
          <wp:positionV relativeFrom="paragraph">
            <wp:posOffset>0</wp:posOffset>
          </wp:positionV>
          <wp:extent cx="370205" cy="305435"/>
          <wp:effectExtent l="0" t="0" r="0" b="0"/>
          <wp:wrapNone/>
          <wp:docPr id="968808859" name="Picture 200" descr="A pair of brown hand pr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3444" name="Picture 200" descr="A pair of brown hand prints&#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70205" cy="30543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7873509"/>
      <w:docPartObj>
        <w:docPartGallery w:val="Page Numbers (Bottom of Page)"/>
        <w:docPartUnique/>
      </w:docPartObj>
    </w:sdtPr>
    <w:sdtEndPr>
      <w:rPr>
        <w:noProof/>
      </w:rPr>
    </w:sdtEndPr>
    <w:sdtContent>
      <w:p w14:paraId="6BD1D6F1" w14:textId="189ACC77" w:rsidR="0065672E" w:rsidRPr="007B3DCE" w:rsidRDefault="0065672E" w:rsidP="00EE5FA9">
        <w:pPr>
          <w:pStyle w:val="Footer"/>
          <w:jc w:val="right"/>
        </w:pPr>
        <w:r w:rsidRPr="007B3DCE">
          <w:rPr>
            <w:noProof/>
          </w:rPr>
          <w:drawing>
            <wp:anchor distT="0" distB="0" distL="114300" distR="114300" simplePos="0" relativeHeight="251658241" behindDoc="0" locked="1" layoutInCell="1" allowOverlap="1" wp14:anchorId="05A2B1BF" wp14:editId="441C1562">
              <wp:simplePos x="0" y="0"/>
              <wp:positionH relativeFrom="column">
                <wp:posOffset>5466715</wp:posOffset>
              </wp:positionH>
              <wp:positionV relativeFrom="paragraph">
                <wp:posOffset>19050</wp:posOffset>
              </wp:positionV>
              <wp:extent cx="370205" cy="305435"/>
              <wp:effectExtent l="0" t="0" r="0" b="0"/>
              <wp:wrapNone/>
              <wp:docPr id="895858747" name="Picture 200" descr="A pair of brown hand pr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3444" name="Picture 200" descr="A pair of brown hand prints&#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370205" cy="3054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7B2235" w14:textId="77777777" w:rsidR="00863C24" w:rsidRPr="00D82F56" w:rsidRDefault="00863C24" w:rsidP="00273E86">
      <w:pPr>
        <w:spacing w:after="0" w:line="240" w:lineRule="auto"/>
        <w:rPr>
          <w:rStyle w:val="ColourDarkBlue"/>
          <w:color w:val="B65627" w:themeColor="text2"/>
        </w:rPr>
      </w:pPr>
      <w:r w:rsidRPr="00D82F56">
        <w:rPr>
          <w:rStyle w:val="ColourDarkBlue"/>
          <w:color w:val="B65627" w:themeColor="text2"/>
        </w:rPr>
        <w:continuationSeparator/>
      </w:r>
    </w:p>
  </w:footnote>
  <w:footnote w:type="continuationSeparator" w:id="0">
    <w:p w14:paraId="598CED2A" w14:textId="77777777" w:rsidR="00863C24" w:rsidRPr="007B3DCE" w:rsidRDefault="00863C24" w:rsidP="001D7D9B">
      <w:pPr>
        <w:spacing w:after="0" w:line="240" w:lineRule="auto"/>
        <w:rPr>
          <w:color w:val="5BA5DA" w:themeColor="background2"/>
        </w:rPr>
      </w:pPr>
      <w:r w:rsidRPr="007B3DCE">
        <w:rPr>
          <w:rStyle w:val="ColourDarkBlue"/>
        </w:rPr>
        <w:continuationSeparator/>
      </w:r>
    </w:p>
  </w:footnote>
  <w:footnote w:type="continuationNotice" w:id="1">
    <w:p w14:paraId="7A3B478C" w14:textId="77777777" w:rsidR="00863C24" w:rsidRPr="007B3DCE" w:rsidRDefault="00863C24"/>
  </w:footnote>
  <w:footnote w:id="2">
    <w:p w14:paraId="7F0A6F18" w14:textId="080D0DBF" w:rsidR="001F4D6E" w:rsidRPr="00D84BF8" w:rsidRDefault="001F4D6E">
      <w:pPr>
        <w:pStyle w:val="FootnoteText"/>
        <w:rPr>
          <w:color w:val="A22D2B"/>
        </w:rPr>
      </w:pPr>
      <w:r w:rsidRPr="00ED48F9">
        <w:rPr>
          <w:rStyle w:val="FootnoteReference"/>
        </w:rPr>
        <w:footnoteRef/>
      </w:r>
      <w:r w:rsidRPr="007B3DCE">
        <w:t xml:space="preserve"> </w:t>
      </w:r>
      <w:r w:rsidR="00D864A8" w:rsidRPr="007B3DCE">
        <w:t xml:space="preserve">Two </w:t>
      </w:r>
      <w:r w:rsidR="003B365F">
        <w:t xml:space="preserve">socio-economic </w:t>
      </w:r>
      <w:r w:rsidR="00D864A8" w:rsidRPr="007B3DCE">
        <w:t xml:space="preserve">outcomes have two targets, </w:t>
      </w:r>
      <w:r w:rsidR="00D42B76" w:rsidRPr="007B3DCE">
        <w:t xml:space="preserve">which are represented by </w:t>
      </w:r>
      <w:r w:rsidR="00486EDD" w:rsidRPr="007B3DCE">
        <w:t>capital letters</w:t>
      </w:r>
      <w:r w:rsidR="00EC1BDE" w:rsidRPr="007B3DCE">
        <w:t xml:space="preserve"> </w:t>
      </w:r>
      <w:r w:rsidR="0045339F" w:rsidRPr="007B3DCE">
        <w:t>(</w:t>
      </w:r>
      <w:r w:rsidR="00486EDD" w:rsidRPr="007B3DCE">
        <w:t>A and B</w:t>
      </w:r>
      <w:r w:rsidR="0045339F" w:rsidRPr="007B3DCE">
        <w:t>)</w:t>
      </w:r>
      <w:r w:rsidR="00486EDD" w:rsidRPr="007B3DCE">
        <w:t xml:space="preserve">. </w:t>
      </w:r>
      <w:r w:rsidR="00573A89" w:rsidRPr="007B3DCE">
        <w:rPr>
          <w:rFonts w:eastAsia="Times New Roman" w:cstheme="minorHAnsi"/>
          <w:lang w:eastAsia="en-AU"/>
        </w:rPr>
        <w:t>Some</w:t>
      </w:r>
      <w:r w:rsidR="0052389D" w:rsidRPr="007B3DCE">
        <w:rPr>
          <w:rFonts w:eastAsia="Times New Roman" w:cstheme="minorHAnsi"/>
          <w:lang w:eastAsia="en-AU"/>
        </w:rPr>
        <w:t xml:space="preserve"> indicator</w:t>
      </w:r>
      <w:r w:rsidR="00573A89" w:rsidRPr="007B3DCE">
        <w:rPr>
          <w:rFonts w:eastAsia="Times New Roman" w:cstheme="minorHAnsi"/>
          <w:lang w:eastAsia="en-AU"/>
        </w:rPr>
        <w:t>s</w:t>
      </w:r>
      <w:r w:rsidR="0052389D" w:rsidRPr="007B3DCE">
        <w:rPr>
          <w:rFonts w:eastAsia="Times New Roman" w:cstheme="minorHAnsi"/>
          <w:lang w:eastAsia="en-AU"/>
        </w:rPr>
        <w:t xml:space="preserve"> </w:t>
      </w:r>
      <w:r w:rsidR="0052004A" w:rsidRPr="007B3DCE">
        <w:rPr>
          <w:rFonts w:eastAsia="Times New Roman" w:cstheme="minorHAnsi"/>
          <w:lang w:eastAsia="en-AU"/>
        </w:rPr>
        <w:t xml:space="preserve">also </w:t>
      </w:r>
      <w:r w:rsidR="0052389D" w:rsidRPr="007B3DCE">
        <w:rPr>
          <w:rFonts w:eastAsia="Times New Roman" w:cstheme="minorHAnsi"/>
          <w:lang w:eastAsia="en-AU"/>
        </w:rPr>
        <w:t>have several measures</w:t>
      </w:r>
      <w:r w:rsidR="0052389D" w:rsidRPr="007B3DCE">
        <w:t xml:space="preserve">. </w:t>
      </w:r>
      <w:r w:rsidR="00131CC9" w:rsidRPr="007B3DCE">
        <w:t>The report refers to indicators using letters</w:t>
      </w:r>
      <w:r w:rsidR="008B0340" w:rsidRPr="007B3DCE">
        <w:t xml:space="preserve"> (i.e. a, b, c, d…). M</w:t>
      </w:r>
      <w:r w:rsidR="00131CC9" w:rsidRPr="007B3DCE">
        <w:t>easures under th</w:t>
      </w:r>
      <w:r w:rsidR="00CE7977" w:rsidRPr="007B3DCE">
        <w:t xml:space="preserve">e indicators are </w:t>
      </w:r>
      <w:r w:rsidR="00632786" w:rsidRPr="007B3DCE">
        <w:t>represented</w:t>
      </w:r>
      <w:r w:rsidR="00CE7977" w:rsidRPr="007B3DCE">
        <w:t xml:space="preserve"> numerically</w:t>
      </w:r>
      <w:r w:rsidR="00541C44" w:rsidRPr="007B3DCE">
        <w:t xml:space="preserve"> (.1, .2, .3 …)</w:t>
      </w:r>
      <w:r w:rsidR="00CE7977" w:rsidRPr="007B3DCE">
        <w:t>. For</w:t>
      </w:r>
      <w:r w:rsidR="00632786" w:rsidRPr="007B3DCE">
        <w:t xml:space="preserve"> ease of reading, the report will refer to </w:t>
      </w:r>
      <w:r w:rsidR="00541C44" w:rsidRPr="007B3DCE">
        <w:t>specific indicators as</w:t>
      </w:r>
      <w:r w:rsidR="00C31059" w:rsidRPr="007B3DCE">
        <w:t xml:space="preserve">, for example, </w:t>
      </w:r>
      <w:r w:rsidR="00574753" w:rsidRPr="007B3DCE">
        <w:t xml:space="preserve">Indicator </w:t>
      </w:r>
      <w:r w:rsidR="006973C3" w:rsidRPr="007B3DCE">
        <w:t xml:space="preserve">16e. </w:t>
      </w:r>
      <w:r w:rsidR="00C31059" w:rsidRPr="007B3DCE">
        <w:t xml:space="preserve">Measures </w:t>
      </w:r>
      <w:r w:rsidR="00331578" w:rsidRPr="007B3DCE">
        <w:t>add on a number, such</w:t>
      </w:r>
      <w:r w:rsidR="00C31059" w:rsidRPr="007B3DCE">
        <w:t xml:space="preserve"> as </w:t>
      </w:r>
      <w:r w:rsidR="00C31059" w:rsidRPr="00944C78">
        <w:t>Measure 1</w:t>
      </w:r>
      <w:r w:rsidR="00DA015C" w:rsidRPr="00944C78">
        <w:t>e</w:t>
      </w:r>
      <w:r w:rsidR="00083174" w:rsidRPr="00944C78">
        <w:t>.</w:t>
      </w:r>
      <w:r w:rsidR="00DA015C" w:rsidRPr="00944C78">
        <w:t>1</w:t>
      </w:r>
      <w:r w:rsidR="00632786" w:rsidRPr="00944C78">
        <w:t xml:space="preserve">. This refers to </w:t>
      </w:r>
      <w:r w:rsidR="00024613" w:rsidRPr="00944C78">
        <w:t>Outcome 1</w:t>
      </w:r>
      <w:r w:rsidR="00705163" w:rsidRPr="00944C78">
        <w:t xml:space="preserve">, Indicator </w:t>
      </w:r>
      <w:r w:rsidR="00DA015C" w:rsidRPr="00944C78">
        <w:t>e</w:t>
      </w:r>
      <w:r w:rsidR="00705163" w:rsidRPr="00944C78">
        <w:t xml:space="preserve"> – </w:t>
      </w:r>
      <w:r w:rsidR="00DA015C" w:rsidRPr="00944C78">
        <w:t>access/use of health services – rate of GP visits</w:t>
      </w:r>
      <w:r w:rsidR="00D372F0" w:rsidRPr="00944C78">
        <w:t>,</w:t>
      </w:r>
      <w:r w:rsidR="00705163" w:rsidRPr="00944C78">
        <w:t xml:space="preserve"> on the dashboard.</w:t>
      </w:r>
      <w:r w:rsidR="00705163" w:rsidRPr="007B3DCE">
        <w:t xml:space="preserve"> </w:t>
      </w:r>
    </w:p>
  </w:footnote>
  <w:footnote w:id="3">
    <w:p w14:paraId="73D3B0AC" w14:textId="608C3690" w:rsidR="00467DE9" w:rsidRPr="00AB42FD" w:rsidRDefault="00467DE9" w:rsidP="00467DE9">
      <w:pPr>
        <w:pStyle w:val="FootnoteText"/>
        <w:rPr>
          <w:spacing w:val="-4"/>
        </w:rPr>
      </w:pPr>
      <w:r w:rsidRPr="00AB42FD">
        <w:rPr>
          <w:rStyle w:val="FootnoteReference"/>
          <w:spacing w:val="-4"/>
        </w:rPr>
        <w:footnoteRef/>
      </w:r>
      <w:r w:rsidRPr="00AB42FD">
        <w:rPr>
          <w:spacing w:val="-4"/>
        </w:rPr>
        <w:t xml:space="preserve"> According to the Closing the Gap Data Development Plan (2022</w:t>
      </w:r>
      <w:r w:rsidR="00884C8A" w:rsidRPr="00AB42FD">
        <w:rPr>
          <w:spacing w:val="-4"/>
        </w:rPr>
        <w:t>–</w:t>
      </w:r>
      <w:r w:rsidRPr="00AB42FD">
        <w:rPr>
          <w:spacing w:val="-4"/>
        </w:rPr>
        <w:t>2032), community-sourced data is driven by Aboriginal and Torres Strait Islander people, communities and priorities, supports self-determination for place-based decision</w:t>
      </w:r>
      <w:r w:rsidRPr="00AB42FD">
        <w:rPr>
          <w:spacing w:val="-4"/>
        </w:rPr>
        <w:noBreakHyphen/>
        <w:t>making and ensures Aboriginal and Torres Strait Islander people are data custodians, controlling the narrative and access to data.</w:t>
      </w:r>
    </w:p>
  </w:footnote>
  <w:footnote w:id="4">
    <w:p w14:paraId="1EB7EAB5" w14:textId="7115A621" w:rsidR="00FB414E" w:rsidRPr="007B3DCE" w:rsidRDefault="00FB414E" w:rsidP="00FB414E">
      <w:pPr>
        <w:pStyle w:val="FootnoteText"/>
      </w:pPr>
      <w:r w:rsidRPr="00ED48F9">
        <w:rPr>
          <w:rStyle w:val="FootnoteReference"/>
        </w:rPr>
        <w:footnoteRef/>
      </w:r>
      <w:r w:rsidRPr="007B3DCE">
        <w:t xml:space="preserve"> The Closing the Gap Data Development Plan (2022</w:t>
      </w:r>
      <w:r w:rsidR="00884C8A" w:rsidRPr="007B3DCE">
        <w:t>–</w:t>
      </w:r>
      <w:r w:rsidRPr="007B3DCE">
        <w:t xml:space="preserve">2032) was approved by the Joint Council on Closing the Gap in August 2022. The </w:t>
      </w:r>
      <w:r w:rsidR="007A2168">
        <w:t>p</w:t>
      </w:r>
      <w:r w:rsidRPr="007B3DCE">
        <w:t xml:space="preserve">lan can be found at </w:t>
      </w:r>
      <w:hyperlink r:id="rId1" w:history="1">
        <w:r w:rsidRPr="007B3DCE">
          <w:rPr>
            <w:rStyle w:val="Hyperlink"/>
          </w:rPr>
          <w:t>www.closingthegap.gov.au/resources</w:t>
        </w:r>
      </w:hyperlink>
      <w:r w:rsidRPr="007B3DCE">
        <w:rPr>
          <w:rStyle w:val="Hyperlink"/>
        </w:rPr>
        <w:t>.</w:t>
      </w:r>
      <w:r w:rsidRPr="007B3DCE">
        <w:t xml:space="preserve"> </w:t>
      </w:r>
    </w:p>
  </w:footnote>
  <w:footnote w:id="5">
    <w:p w14:paraId="09FC78CD" w14:textId="7E407764" w:rsidR="009614F5" w:rsidRPr="00EB441A" w:rsidRDefault="009614F5" w:rsidP="00EB441A">
      <w:pPr>
        <w:pStyle w:val="FootnoteText"/>
      </w:pPr>
      <w:r w:rsidRPr="00EB441A">
        <w:rPr>
          <w:rStyle w:val="FootnoteReference"/>
          <w:vertAlign w:val="baseline"/>
        </w:rPr>
        <w:footnoteRef/>
      </w:r>
      <w:r w:rsidR="00F068EA" w:rsidRPr="00EB441A">
        <w:t xml:space="preserve"> </w:t>
      </w:r>
      <w:r w:rsidRPr="00EB441A">
        <w:t>The data records sex but not gender. For accuracy, this report refers to sex when referring to data. However, when discussing the experiences of Aboriginal and Torres Strait Islander people outside the context of this data, the report refers to gender.</w:t>
      </w:r>
    </w:p>
  </w:footnote>
  <w:footnote w:id="6">
    <w:p w14:paraId="353DF9A6" w14:textId="228CFE45" w:rsidR="005311E8" w:rsidRPr="007B3DCE" w:rsidRDefault="005311E8" w:rsidP="00EB441A">
      <w:pPr>
        <w:pStyle w:val="FootnoteText"/>
      </w:pPr>
      <w:r w:rsidRPr="00EB441A">
        <w:rPr>
          <w:rStyle w:val="FootnoteReference"/>
          <w:vertAlign w:val="baseline"/>
        </w:rPr>
        <w:footnoteRef/>
      </w:r>
      <w:r w:rsidRPr="00EB441A">
        <w:t xml:space="preserve"> </w:t>
      </w:r>
      <w:r w:rsidRPr="00EB441A">
        <w:rPr>
          <w:rStyle w:val="FootnoteTextChar"/>
        </w:rPr>
        <w:t>Census data focuses on people who needed assistance with core activities, that is, had ‘severe or profound core activity limitations’, excluding individuals with severe physical disability, or psychosocial disability that</w:t>
      </w:r>
      <w:r w:rsidRPr="00EB441A">
        <w:t xml:space="preserve"> does not impact </w:t>
      </w:r>
      <w:r w:rsidRPr="00EB441A">
        <w:rPr>
          <w:rStyle w:val="FootnoteTextChar"/>
        </w:rPr>
        <w:t>core activity. Census data my not be fully comparable with data from other sources</w:t>
      </w:r>
      <w:r w:rsidR="00131D16" w:rsidRPr="00EB441A">
        <w:rPr>
          <w:rStyle w:val="FootnoteTextChar"/>
        </w:rPr>
        <w:t xml:space="preserve">. </w:t>
      </w:r>
      <w:r w:rsidR="008222FB" w:rsidRPr="00EB441A">
        <w:rPr>
          <w:rStyle w:val="FootnoteTextChar"/>
        </w:rPr>
        <w:t>Census data also contrasts with broader d</w:t>
      </w:r>
      <w:r w:rsidR="00C23B56" w:rsidRPr="00EB441A">
        <w:rPr>
          <w:rStyle w:val="FootnoteTextChar"/>
        </w:rPr>
        <w:t xml:space="preserve">efinitions of </w:t>
      </w:r>
      <w:r w:rsidR="00131D16" w:rsidRPr="00EB441A">
        <w:rPr>
          <w:rStyle w:val="FootnoteTextChar"/>
        </w:rPr>
        <w:t xml:space="preserve">disability </w:t>
      </w:r>
      <w:r w:rsidR="00DF61E0" w:rsidRPr="00EB441A">
        <w:rPr>
          <w:rStyle w:val="FootnoteTextChar"/>
        </w:rPr>
        <w:t>f</w:t>
      </w:r>
      <w:r w:rsidR="0045028E" w:rsidRPr="00EB441A">
        <w:rPr>
          <w:rStyle w:val="FootnoteTextChar"/>
        </w:rPr>
        <w:t xml:space="preserve">or many Aboriginal and Torres Strait Islander people, </w:t>
      </w:r>
      <w:r w:rsidR="00DF61E0" w:rsidRPr="00EB441A">
        <w:rPr>
          <w:rStyle w:val="FootnoteTextChar"/>
        </w:rPr>
        <w:t xml:space="preserve">where </w:t>
      </w:r>
      <w:r w:rsidR="0045028E" w:rsidRPr="00EB441A">
        <w:rPr>
          <w:rStyle w:val="FootnoteTextChar"/>
        </w:rPr>
        <w:t xml:space="preserve">living with an impairment does not necessarily result in disability. Instead, disability is understood as the result of barriers to equal participation in the social and physical environment </w:t>
      </w:r>
      <w:r w:rsidR="008B43EA" w:rsidRPr="00EB441A">
        <w:rPr>
          <w:rStyle w:val="FootnoteTextChar"/>
        </w:rPr>
        <w:fldChar w:fldCharType="begin"/>
      </w:r>
      <w:r w:rsidR="000B559E" w:rsidRPr="00EB441A">
        <w:rPr>
          <w:rStyle w:val="FootnoteTextChar"/>
        </w:rPr>
        <w:instrText xml:space="preserve"> ADDIN ZOTERO_ITEM CSL_CITATION {"citationID":"K8LNlMot","properties":{"formattedCitation":"(FPDN\\uc0\\u160{}2019)","plainCitation":"(FPDN 2019)","noteIndex":5},"citationItems":[{"id":2347,"uris":["http://zotero.org/groups/5330142/items/UILCS9B6"],"itemData":{"id":2347,"type":"webpage","abstract":"Listen","container-title":"About us","language":"en-AU","title":"First Peoples Disability Network Australia","URL":"https://fpdn.org.au/about-us/","translator":[{"literal":"FPDN"}],"author":[{"literal":"First Peoples Disability Network Australia"}],"accessed":{"date-parts":[["2024",5,20]]},"issued":{"date-parts":[["2019"]]}}}],"schema":"https://github.com/citation-style-language/schema/raw/master/csl-citation.json"} </w:instrText>
      </w:r>
      <w:r w:rsidR="008B43EA" w:rsidRPr="00EB441A">
        <w:rPr>
          <w:rStyle w:val="FootnoteTextChar"/>
        </w:rPr>
        <w:fldChar w:fldCharType="separate"/>
      </w:r>
      <w:r w:rsidR="008B43EA" w:rsidRPr="00EB441A">
        <w:rPr>
          <w:rStyle w:val="FootnoteTextChar"/>
        </w:rPr>
        <w:t>(FPDN 2019)</w:t>
      </w:r>
      <w:r w:rsidR="008B43EA" w:rsidRPr="00EB441A">
        <w:rPr>
          <w:rStyle w:val="FootnoteTextChar"/>
        </w:rPr>
        <w:fldChar w:fldCharType="end"/>
      </w:r>
      <w:r w:rsidR="0045028E" w:rsidRPr="00EB441A">
        <w:rPr>
          <w:rStyle w:val="FootnoteTextChar"/>
        </w:rPr>
        <w:t>.</w:t>
      </w:r>
    </w:p>
  </w:footnote>
  <w:footnote w:id="7">
    <w:p w14:paraId="5284C4A1" w14:textId="77777777" w:rsidR="006C7315" w:rsidRPr="007B3DCE" w:rsidRDefault="006C7315" w:rsidP="006C7315">
      <w:pPr>
        <w:pStyle w:val="FootnoteText"/>
      </w:pPr>
      <w:r w:rsidRPr="00ED48F9">
        <w:rPr>
          <w:rStyle w:val="FootnoteReference"/>
        </w:rPr>
        <w:footnoteRef/>
      </w:r>
      <w:r w:rsidRPr="007B3DCE">
        <w:t xml:space="preserve"> It should also be acknowledged that Aboriginal and Torres Strait Islander people exist in many diverse nations, cultures and language groups, with many perspectives – meaning that not all families and communities will share the exact same concepts of health and wellbeing.</w:t>
      </w:r>
    </w:p>
  </w:footnote>
  <w:footnote w:id="8">
    <w:p w14:paraId="3ACC7A8E" w14:textId="2B0C7654" w:rsidR="004A0419" w:rsidRPr="00C5386A" w:rsidRDefault="004A0419">
      <w:pPr>
        <w:pStyle w:val="FootnoteText"/>
        <w:rPr>
          <w:lang w:val="en-US"/>
        </w:rPr>
      </w:pPr>
      <w:r w:rsidRPr="00ED48F9">
        <w:rPr>
          <w:rStyle w:val="FootnoteReference"/>
        </w:rPr>
        <w:footnoteRef/>
      </w:r>
      <w:r>
        <w:t xml:space="preserve"> </w:t>
      </w:r>
      <w:r w:rsidRPr="00A55950">
        <w:t>Socio-economic disadvantage is measured</w:t>
      </w:r>
      <w:r>
        <w:t xml:space="preserve"> by grouping areas into quintiles, with each quintile representing 20% of the population, ranging from the most disadvantaged in the first quintile to the least disadvantaged in the fifth quintile.</w:t>
      </w:r>
    </w:p>
  </w:footnote>
  <w:footnote w:id="9">
    <w:p w14:paraId="5A72B531" w14:textId="4BC5724A" w:rsidR="000921A7" w:rsidRPr="007B3DCE" w:rsidRDefault="000921A7" w:rsidP="00656763">
      <w:pPr>
        <w:pStyle w:val="FootnoteText"/>
      </w:pPr>
      <w:r w:rsidRPr="00ED48F9">
        <w:rPr>
          <w:rStyle w:val="FootnoteReference"/>
        </w:rPr>
        <w:footnoteRef/>
      </w:r>
      <w:r w:rsidRPr="007B3DCE">
        <w:t xml:space="preserve"> New data </w:t>
      </w:r>
      <w:r w:rsidR="008609CA">
        <w:t>(2018</w:t>
      </w:r>
      <w:r w:rsidR="00B74242" w:rsidRPr="007B3DCE">
        <w:t>–</w:t>
      </w:r>
      <w:r w:rsidR="008609CA">
        <w:t>2022)</w:t>
      </w:r>
      <w:r w:rsidRPr="007B3DCE">
        <w:t xml:space="preserve"> is reported on the dashboard for Indicator 1b which includes </w:t>
      </w:r>
      <w:r w:rsidR="000A2626" w:rsidRPr="007B3DCE">
        <w:t>three</w:t>
      </w:r>
      <w:r w:rsidRPr="007B3DCE">
        <w:t xml:space="preserve"> measures </w:t>
      </w:r>
      <w:r w:rsidR="000A2626" w:rsidRPr="007B3DCE">
        <w:t xml:space="preserve">for the </w:t>
      </w:r>
      <w:r w:rsidRPr="007B3DCE">
        <w:t>leading causes of death</w:t>
      </w:r>
      <w:r w:rsidR="001128F2">
        <w:t xml:space="preserve"> in different populations</w:t>
      </w:r>
      <w:r w:rsidRPr="007B3DCE">
        <w:t xml:space="preserve">: infant mortality (Measure 1b.1), child mortality (Measure 1b.2) and </w:t>
      </w:r>
      <w:r w:rsidR="001758E4">
        <w:t xml:space="preserve">mortality by </w:t>
      </w:r>
      <w:r w:rsidRPr="007B3DCE">
        <w:t xml:space="preserve">five-yearly age groups (Measure 1b.3). Data for mortality rates are only available for New South Wales, Queensland, Western Australia, </w:t>
      </w:r>
      <w:r w:rsidR="00E53682">
        <w:t xml:space="preserve">the </w:t>
      </w:r>
      <w:r w:rsidRPr="007B3DCE">
        <w:t>Northern Territory and South Australia.</w:t>
      </w:r>
    </w:p>
    <w:p w14:paraId="7D9E060B" w14:textId="77777777" w:rsidR="000921A7" w:rsidRPr="007B3DCE" w:rsidRDefault="000921A7" w:rsidP="000921A7">
      <w:pPr>
        <w:pStyle w:val="FootnoteText"/>
      </w:pPr>
    </w:p>
  </w:footnote>
  <w:footnote w:id="10">
    <w:p w14:paraId="43392701" w14:textId="24B7C913" w:rsidR="00ED0612" w:rsidRPr="007B3DCE" w:rsidRDefault="00ED0612">
      <w:pPr>
        <w:pStyle w:val="FootnoteText"/>
      </w:pPr>
      <w:r w:rsidRPr="00ED48F9">
        <w:rPr>
          <w:rStyle w:val="FootnoteReference"/>
        </w:rPr>
        <w:footnoteRef/>
      </w:r>
      <w:r w:rsidRPr="007B3DCE">
        <w:t xml:space="preserve"> </w:t>
      </w:r>
      <w:r w:rsidR="00DE25D7" w:rsidRPr="007B3DCE">
        <w:t>New data for the access/utilisation of health services (Indicator 1e) in 2022</w:t>
      </w:r>
      <w:r w:rsidR="00FF75BD" w:rsidRPr="0087015D">
        <w:rPr>
          <w:rStyle w:val="normaltextrun"/>
          <w:rFonts w:ascii="Arial (Body)" w:hAnsi="Arial (Body)" w:cs="Arial"/>
          <w:bdr w:val="none" w:sz="0" w:space="0" w:color="auto" w:frame="1"/>
        </w:rPr>
        <w:t>–</w:t>
      </w:r>
      <w:r w:rsidR="00DE25D7" w:rsidRPr="007B3DCE">
        <w:t>2023 is available for GP visits (</w:t>
      </w:r>
      <w:r w:rsidR="007B14B6" w:rsidRPr="007B3DCE">
        <w:t xml:space="preserve">Measure </w:t>
      </w:r>
      <w:r w:rsidR="00DE25D7" w:rsidRPr="007B3DCE">
        <w:t>1e.1), Aboriginal and Torres Strait Islander-specific health checks or assessments (</w:t>
      </w:r>
      <w:r w:rsidR="007B14B6" w:rsidRPr="007B3DCE">
        <w:t xml:space="preserve">Measure </w:t>
      </w:r>
      <w:r w:rsidR="00DE25D7" w:rsidRPr="007B3DCE">
        <w:t>1e.2) and chronic disease care items (</w:t>
      </w:r>
      <w:r w:rsidR="007B14B6" w:rsidRPr="007B3DCE">
        <w:t xml:space="preserve">Measure </w:t>
      </w:r>
      <w:r w:rsidR="00DE25D7" w:rsidRPr="007B3DCE">
        <w:t>1e.3).</w:t>
      </w:r>
    </w:p>
  </w:footnote>
  <w:footnote w:id="11">
    <w:p w14:paraId="76798D17" w14:textId="72CA1F2C" w:rsidR="00E836E0" w:rsidRPr="007B3DCE" w:rsidRDefault="00E836E0" w:rsidP="00E836E0">
      <w:pPr>
        <w:pStyle w:val="FootnoteText"/>
      </w:pPr>
      <w:r w:rsidRPr="00ED48F9">
        <w:rPr>
          <w:rStyle w:val="FootnoteReference"/>
        </w:rPr>
        <w:footnoteRef/>
      </w:r>
      <w:r w:rsidRPr="007B3DCE">
        <w:t xml:space="preserve"> </w:t>
      </w:r>
      <w:r w:rsidR="00B776EA" w:rsidRPr="00B776EA">
        <w:t>There is no new data since the 2023 ADCR for</w:t>
      </w:r>
      <w:r w:rsidR="00CB2562">
        <w:t xml:space="preserve"> this target</w:t>
      </w:r>
      <w:r w:rsidR="001204C9" w:rsidRPr="0025687B">
        <w:t>.</w:t>
      </w:r>
      <w:r w:rsidR="00C82556">
        <w:t xml:space="preserve"> </w:t>
      </w:r>
      <w:r w:rsidR="006F7272" w:rsidRPr="0025687B">
        <w:t>The dashboard and p</w:t>
      </w:r>
      <w:r w:rsidRPr="0025687B">
        <w:t xml:space="preserve">age 50 of the 2023 ADCR include </w:t>
      </w:r>
      <w:r w:rsidR="00B805EB" w:rsidRPr="0025687B">
        <w:t>additional information</w:t>
      </w:r>
      <w:r w:rsidRPr="0025687B">
        <w:t xml:space="preserve"> </w:t>
      </w:r>
      <w:r w:rsidR="000D3186" w:rsidRPr="0025687B">
        <w:t>and figures</w:t>
      </w:r>
      <w:r>
        <w:t>.</w:t>
      </w:r>
    </w:p>
  </w:footnote>
  <w:footnote w:id="12">
    <w:p w14:paraId="669F5F59" w14:textId="3471CB3D" w:rsidR="00465139" w:rsidRPr="007B3DCE" w:rsidRDefault="00465139" w:rsidP="004D701A">
      <w:pPr>
        <w:pStyle w:val="FootnoteText"/>
      </w:pPr>
      <w:r w:rsidRPr="00ED48F9">
        <w:rPr>
          <w:rStyle w:val="FootnoteReference"/>
        </w:rPr>
        <w:footnoteRef/>
      </w:r>
      <w:r w:rsidRPr="007B3DCE">
        <w:t xml:space="preserve"> </w:t>
      </w:r>
      <w:r w:rsidR="004C197A" w:rsidRPr="007E4F07">
        <w:rPr>
          <w:rStyle w:val="FootnoteTextChar"/>
        </w:rPr>
        <w:t>Figures for Indicator 14d can be found on page 71 of the 2023 ADCR. The dashboard presents data and figures for Indicator</w:t>
      </w:r>
      <w:r w:rsidR="00923993">
        <w:rPr>
          <w:rStyle w:val="FootnoteTextChar"/>
        </w:rPr>
        <w:t xml:space="preserve"> </w:t>
      </w:r>
      <w:r w:rsidR="004C197A" w:rsidRPr="007E4F07">
        <w:rPr>
          <w:rStyle w:val="FootnoteTextChar"/>
        </w:rPr>
        <w:t>14d and Indicator 14e</w:t>
      </w:r>
    </w:p>
  </w:footnote>
  <w:footnote w:id="13">
    <w:p w14:paraId="0728BEB9" w14:textId="0DD6B8E7" w:rsidR="004E2827" w:rsidRPr="007B3DCE" w:rsidRDefault="004E2827">
      <w:pPr>
        <w:pStyle w:val="FootnoteText"/>
      </w:pPr>
      <w:r w:rsidRPr="00E1300F">
        <w:rPr>
          <w:rStyle w:val="FootnoteReference"/>
        </w:rPr>
        <w:footnoteRef/>
      </w:r>
      <w:r w:rsidRPr="007B3DCE">
        <w:t xml:space="preserve"> </w:t>
      </w:r>
      <w:r w:rsidRPr="00216127">
        <w:rPr>
          <w:rFonts w:ascii="Arial (Body)" w:hAnsi="Arial (Body)" w:cs="Arial"/>
        </w:rPr>
        <w:t>Page 7</w:t>
      </w:r>
      <w:r w:rsidR="008372B9" w:rsidRPr="00216127">
        <w:rPr>
          <w:rFonts w:ascii="Arial (Body)" w:hAnsi="Arial (Body)" w:cs="Arial"/>
        </w:rPr>
        <w:t>4</w:t>
      </w:r>
      <w:r w:rsidRPr="00216127">
        <w:rPr>
          <w:rFonts w:ascii="Arial (Body)" w:hAnsi="Arial (Body)" w:cs="Arial"/>
        </w:rPr>
        <w:t xml:space="preserve"> of the 2023 ADCR includes the latest national result or refer to the dashboard for revised outcomes.</w:t>
      </w:r>
    </w:p>
  </w:footnote>
  <w:footnote w:id="14">
    <w:p w14:paraId="45D10A37" w14:textId="7A821EE9" w:rsidR="000442C0" w:rsidRPr="007B3DCE" w:rsidRDefault="000442C0" w:rsidP="000442C0">
      <w:pPr>
        <w:pStyle w:val="FootnoteText"/>
      </w:pPr>
      <w:r w:rsidRPr="00ED48F9">
        <w:rPr>
          <w:rStyle w:val="FootnoteReference"/>
        </w:rPr>
        <w:footnoteRef/>
      </w:r>
      <w:r w:rsidRPr="007B3DCE">
        <w:t xml:space="preserve"> As part of the July 2024 dashboard update, </w:t>
      </w:r>
      <w:r w:rsidR="00DF60FB">
        <w:t xml:space="preserve">the </w:t>
      </w:r>
      <w:r w:rsidRPr="007B3DCE">
        <w:t xml:space="preserve">data </w:t>
      </w:r>
      <w:r w:rsidR="00DF60FB">
        <w:t>for 2022</w:t>
      </w:r>
      <w:r w:rsidRPr="007B3DCE">
        <w:t xml:space="preserve"> was revised from 175 Aboriginal and Torres Strait Islander-focused integrated early years services to 151 services.</w:t>
      </w:r>
    </w:p>
  </w:footnote>
  <w:footnote w:id="15">
    <w:p w14:paraId="53122CB3" w14:textId="04DCDE53" w:rsidR="002A1BE6" w:rsidRPr="007B3DCE" w:rsidRDefault="002A1BE6">
      <w:pPr>
        <w:pStyle w:val="FootnoteText"/>
      </w:pPr>
      <w:r w:rsidRPr="00ED48F9">
        <w:rPr>
          <w:rStyle w:val="FootnoteReference"/>
        </w:rPr>
        <w:footnoteRef/>
      </w:r>
      <w:r w:rsidRPr="007B3DCE">
        <w:t xml:space="preserve"> </w:t>
      </w:r>
      <w:r w:rsidR="00332600" w:rsidRPr="00B776EA">
        <w:t>Th</w:t>
      </w:r>
      <w:r w:rsidR="006A1038">
        <w:t xml:space="preserve">is target was last updated in the </w:t>
      </w:r>
      <w:r w:rsidR="00332600" w:rsidRPr="00B776EA">
        <w:t>2023 ADCR</w:t>
      </w:r>
      <w:r w:rsidR="00332600" w:rsidRPr="0025687B">
        <w:t>.</w:t>
      </w:r>
      <w:r w:rsidR="00332600">
        <w:t xml:space="preserve"> </w:t>
      </w:r>
      <w:r w:rsidR="00332600" w:rsidRPr="0025687B">
        <w:t>The dashboard and page 5</w:t>
      </w:r>
      <w:r w:rsidR="00EA27C8">
        <w:t>2</w:t>
      </w:r>
      <w:r w:rsidR="00332600" w:rsidRPr="0025687B">
        <w:t xml:space="preserve"> of the 2023 ADCR include additional information and figures</w:t>
      </w:r>
      <w:r w:rsidR="00332600">
        <w:t>.</w:t>
      </w:r>
      <w:r w:rsidR="00EA27C8">
        <w:t xml:space="preserve"> </w:t>
      </w:r>
    </w:p>
  </w:footnote>
  <w:footnote w:id="16">
    <w:p w14:paraId="02F4951C" w14:textId="7681177F" w:rsidR="000E11C5" w:rsidRPr="007B3DCE" w:rsidRDefault="000E11C5" w:rsidP="000E11C5">
      <w:pPr>
        <w:pStyle w:val="FootnoteText"/>
      </w:pPr>
      <w:r w:rsidRPr="00ED48F9">
        <w:rPr>
          <w:rStyle w:val="FootnoteReference"/>
        </w:rPr>
        <w:footnoteRef/>
      </w:r>
      <w:r w:rsidRPr="007B3DCE">
        <w:t xml:space="preserve"> </w:t>
      </w:r>
      <w:r w:rsidR="009076A5">
        <w:t>This target was last updated in</w:t>
      </w:r>
      <w:r w:rsidR="00E44962" w:rsidRPr="00B776EA">
        <w:t xml:space="preserve"> the 2023 ADCR</w:t>
      </w:r>
      <w:r w:rsidR="00E44962" w:rsidRPr="0025687B">
        <w:t>.</w:t>
      </w:r>
      <w:r w:rsidR="00E44962">
        <w:t xml:space="preserve"> </w:t>
      </w:r>
      <w:r w:rsidR="00E44962" w:rsidRPr="0025687B">
        <w:t>The dashboard and page</w:t>
      </w:r>
      <w:r w:rsidR="00E44962">
        <w:t>s</w:t>
      </w:r>
      <w:r w:rsidR="00E44962" w:rsidRPr="0025687B">
        <w:t xml:space="preserve"> </w:t>
      </w:r>
      <w:r w:rsidR="00E44962">
        <w:t xml:space="preserve">54-55 </w:t>
      </w:r>
      <w:r w:rsidR="00E44962" w:rsidRPr="0025687B">
        <w:t>of the 2023 ADCR include additional information and figures</w:t>
      </w:r>
      <w:r w:rsidR="00E44962">
        <w:t>.</w:t>
      </w:r>
    </w:p>
  </w:footnote>
  <w:footnote w:id="17">
    <w:p w14:paraId="2CA4CFFB" w14:textId="213D9B26" w:rsidR="00677DAA" w:rsidRPr="007B3DCE" w:rsidRDefault="00677DAA">
      <w:pPr>
        <w:pStyle w:val="FootnoteText"/>
      </w:pPr>
      <w:r w:rsidRPr="00ED48F9">
        <w:rPr>
          <w:rStyle w:val="FootnoteReference"/>
        </w:rPr>
        <w:footnoteRef/>
      </w:r>
      <w:r w:rsidRPr="007B3DCE">
        <w:t xml:space="preserve"> </w:t>
      </w:r>
      <w:r w:rsidR="000D3186">
        <w:t xml:space="preserve">The dashboard and </w:t>
      </w:r>
      <w:r w:rsidR="000D3186" w:rsidRPr="0014073B">
        <w:t>p</w:t>
      </w:r>
      <w:r w:rsidRPr="0014073B">
        <w:t>ages 56-57 of the 2023 ADCR include</w:t>
      </w:r>
      <w:r w:rsidR="008B7C83" w:rsidRPr="0014073B">
        <w:t xml:space="preserve"> </w:t>
      </w:r>
      <w:r w:rsidR="000D3186" w:rsidRPr="0014073B">
        <w:t>more information and figures</w:t>
      </w:r>
      <w:r w:rsidRPr="0014073B">
        <w:t xml:space="preserve"> for this target.</w:t>
      </w:r>
      <w:r w:rsidRPr="007B3DCE">
        <w:t xml:space="preserve"> </w:t>
      </w:r>
    </w:p>
  </w:footnote>
  <w:footnote w:id="18">
    <w:p w14:paraId="5A5F7197" w14:textId="031F9470" w:rsidR="00F46536" w:rsidRPr="007B3DCE" w:rsidRDefault="00F46536" w:rsidP="00F46536">
      <w:pPr>
        <w:pStyle w:val="FootnoteText"/>
      </w:pPr>
      <w:r w:rsidRPr="00ED48F9">
        <w:rPr>
          <w:rStyle w:val="FootnoteReference"/>
        </w:rPr>
        <w:footnoteRef/>
      </w:r>
      <w:r w:rsidRPr="007B3DCE">
        <w:t xml:space="preserve"> </w:t>
      </w:r>
      <w:r w:rsidR="00C17720">
        <w:t>The dashboard and p</w:t>
      </w:r>
      <w:r w:rsidRPr="007B3DCE">
        <w:t xml:space="preserve">ages 58-59 of the 2023 ADCR include more information </w:t>
      </w:r>
      <w:r w:rsidR="00C17720">
        <w:t xml:space="preserve">and figures </w:t>
      </w:r>
      <w:r w:rsidRPr="007B3DCE">
        <w:t xml:space="preserve">for this target. </w:t>
      </w:r>
    </w:p>
  </w:footnote>
  <w:footnote w:id="19">
    <w:p w14:paraId="33A207BA" w14:textId="2A336C4B" w:rsidR="00F46536" w:rsidRPr="007B3DCE" w:rsidRDefault="00F46536" w:rsidP="007C69E3">
      <w:pPr>
        <w:pStyle w:val="FootnoteText"/>
      </w:pPr>
      <w:r w:rsidRPr="00453B84">
        <w:rPr>
          <w:rStyle w:val="FootnoteReference"/>
          <w:sz w:val="16"/>
          <w:szCs w:val="16"/>
          <w:vertAlign w:val="baseline"/>
        </w:rPr>
        <w:footnoteRef/>
      </w:r>
      <w:r w:rsidRPr="007B3DCE">
        <w:t xml:space="preserve"> </w:t>
      </w:r>
      <w:r w:rsidR="00360818">
        <w:t>The dashboard and</w:t>
      </w:r>
      <w:r w:rsidR="00360818" w:rsidRPr="007B3DCE">
        <w:rPr>
          <w:rFonts w:cstheme="minorHAnsi"/>
        </w:rPr>
        <w:t xml:space="preserve"> </w:t>
      </w:r>
      <w:r w:rsidR="00360818">
        <w:rPr>
          <w:rFonts w:cstheme="minorHAnsi"/>
        </w:rPr>
        <w:t>p</w:t>
      </w:r>
      <w:r w:rsidRPr="007B3DCE">
        <w:rPr>
          <w:rFonts w:cstheme="minorHAnsi"/>
        </w:rPr>
        <w:t>age 60</w:t>
      </w:r>
      <w:r w:rsidR="007C633D">
        <w:rPr>
          <w:rFonts w:cstheme="minorHAnsi"/>
        </w:rPr>
        <w:t xml:space="preserve"> </w:t>
      </w:r>
      <w:r w:rsidRPr="007B3DCE">
        <w:rPr>
          <w:rFonts w:cstheme="minorHAnsi"/>
        </w:rPr>
        <w:t xml:space="preserve">of the 2023 ADCR include </w:t>
      </w:r>
      <w:r w:rsidR="00E50009" w:rsidRPr="007B3DCE">
        <w:t xml:space="preserve">more information </w:t>
      </w:r>
      <w:r w:rsidR="00E50009">
        <w:t xml:space="preserve">and figures </w:t>
      </w:r>
      <w:r w:rsidR="00E50009" w:rsidRPr="007B3DCE">
        <w:t>for this target</w:t>
      </w:r>
      <w:r w:rsidR="0020743E" w:rsidRPr="007B3DCE">
        <w:t>.</w:t>
      </w:r>
    </w:p>
  </w:footnote>
  <w:footnote w:id="20">
    <w:p w14:paraId="33B9F5FD" w14:textId="77B4E3D9" w:rsidR="009D53FC" w:rsidRPr="00FB6A78" w:rsidRDefault="009D53FC" w:rsidP="007C69E3">
      <w:pPr>
        <w:pStyle w:val="FootnoteText"/>
        <w:rPr>
          <w:rStyle w:val="FootnoteTextChar"/>
          <w:sz w:val="16"/>
        </w:rPr>
      </w:pPr>
      <w:r w:rsidRPr="00453B84">
        <w:rPr>
          <w:rStyle w:val="FootnoteReference"/>
          <w:sz w:val="16"/>
          <w:szCs w:val="16"/>
          <w:vertAlign w:val="baseline"/>
        </w:rPr>
        <w:footnoteRef/>
      </w:r>
      <w:r>
        <w:t xml:space="preserve"> </w:t>
      </w:r>
      <w:r w:rsidR="008E554C" w:rsidRPr="00FB6A78">
        <w:rPr>
          <w:rStyle w:val="FootnoteTextChar"/>
          <w:sz w:val="16"/>
        </w:rPr>
        <w:t>For the purposes of this section, an Aboriginal and Torres Strait Islander household is a household that has at least one Aboriginal and Torres Strait Islander person who is a usual resident.</w:t>
      </w:r>
    </w:p>
  </w:footnote>
  <w:footnote w:id="21">
    <w:p w14:paraId="14856D32" w14:textId="231FB586" w:rsidR="00206DE4" w:rsidRPr="00FF6FD2" w:rsidRDefault="00206DE4" w:rsidP="007C69E3">
      <w:pPr>
        <w:pStyle w:val="FootnoteText"/>
        <w:rPr>
          <w:lang w:val="en-US"/>
        </w:rPr>
      </w:pPr>
      <w:r w:rsidRPr="00453B84">
        <w:rPr>
          <w:rStyle w:val="FootnoteReference"/>
          <w:sz w:val="16"/>
          <w:szCs w:val="16"/>
          <w:vertAlign w:val="baseline"/>
        </w:rPr>
        <w:footnoteRef/>
      </w:r>
      <w:r w:rsidRPr="00453B84">
        <w:rPr>
          <w:sz w:val="16"/>
          <w:szCs w:val="16"/>
        </w:rPr>
        <w:t xml:space="preserve"> </w:t>
      </w:r>
      <w:r w:rsidRPr="007B3DCE">
        <w:t>A declining proportion is generally considered undesirable as it may indicate a lower availability of social housing</w:t>
      </w:r>
      <w:r w:rsidR="00026A30" w:rsidRPr="007B3DCE">
        <w:t>. H</w:t>
      </w:r>
      <w:r w:rsidRPr="007B3DCE">
        <w:t>owever</w:t>
      </w:r>
      <w:r w:rsidR="00026A30" w:rsidRPr="007B3DCE">
        <w:t>,</w:t>
      </w:r>
      <w:r w:rsidRPr="007B3DCE">
        <w:t xml:space="preserve"> access to social housing should be considered in the context of population need and Aboriginal and Torres Strait Islander people may</w:t>
      </w:r>
      <w:r w:rsidR="00E54EBD" w:rsidRPr="007B3DCE">
        <w:t>, in some cases,</w:t>
      </w:r>
      <w:r w:rsidRPr="007B3DCE">
        <w:t xml:space="preserve"> choose not to access social housing</w:t>
      </w:r>
      <w:r w:rsidR="001925F6" w:rsidRPr="007B3DC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99DE4" w14:textId="4891B26F" w:rsidR="007569F0" w:rsidRPr="00C811F4" w:rsidRDefault="00DD7E80" w:rsidP="007569F0">
    <w:pPr>
      <w:pStyle w:val="Header-Keyline"/>
      <w:tabs>
        <w:tab w:val="clear" w:pos="4513"/>
        <w:tab w:val="clear" w:pos="9026"/>
        <w:tab w:val="left" w:pos="1540"/>
        <w:tab w:val="left" w:pos="1741"/>
        <w:tab w:val="left" w:pos="4570"/>
        <w:tab w:val="left" w:pos="7638"/>
      </w:tabs>
    </w:pPr>
    <w:sdt>
      <w:sdtPr>
        <w:rPr>
          <w:rStyle w:val="Strong"/>
          <w:b w:val="0"/>
          <w:bCs w:val="0"/>
        </w:rPr>
        <w:alias w:val="Title"/>
        <w:tag w:val=""/>
        <w:id w:val="-1701777645"/>
        <w:placeholder>
          <w:docPart w:val="59E96D8C30B0467EA5AC1EDFAAF5DFA8"/>
        </w:placeholder>
        <w:dataBinding w:prefixMappings="xmlns:ns0='http://purl.org/dc/elements/1.1/' xmlns:ns1='http://schemas.openxmlformats.org/package/2006/metadata/core-properties' " w:xpath="/ns1:coreProperties[1]/ns0:title[1]" w:storeItemID="{6C3C8BC8-F283-45AE-878A-BAB7291924A1}"/>
        <w:text/>
      </w:sdtPr>
      <w:sdtEndPr>
        <w:rPr>
          <w:rStyle w:val="Strong"/>
        </w:rPr>
      </w:sdtEndPr>
      <w:sdtContent>
        <w:r w:rsidR="00516EA8">
          <w:rPr>
            <w:rStyle w:val="Strong"/>
            <w:b w:val="0"/>
            <w:bCs w:val="0"/>
          </w:rPr>
          <w:t>Closing the Gap Annual Data Compilation Report July 2024</w:t>
        </w:r>
      </w:sdtContent>
    </w:sdt>
    <w:r w:rsidR="007569F0">
      <w:rPr>
        <w:rStyle w:val="Strong"/>
      </w:rPr>
      <w:tab/>
    </w:r>
    <w:r w:rsidR="007569F0">
      <w:rPr>
        <w:rStyle w:val="Strong"/>
      </w:rPr>
      <w:tab/>
    </w:r>
    <w:r w:rsidR="007569F0">
      <w:rPr>
        <w:rStyle w:val="Strong"/>
      </w:rPr>
      <w:tab/>
    </w:r>
    <w:r w:rsidR="007569F0">
      <w:rPr>
        <w:rStyle w:val="Strong"/>
      </w:rP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39BBD" w14:textId="169A9042" w:rsidR="007B43AD" w:rsidRPr="007B43AD" w:rsidRDefault="007B43AD" w:rsidP="007B43A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4E8AF" w14:textId="05DC92A0" w:rsidR="000053BE" w:rsidRPr="007B3DCE" w:rsidRDefault="000053BE" w:rsidP="00D8262C">
    <w:pPr>
      <w:pStyle w:val="Header-Keyline"/>
      <w:tabs>
        <w:tab w:val="clear" w:pos="4513"/>
        <w:tab w:val="clear" w:pos="9026"/>
        <w:tab w:val="left" w:pos="3799"/>
      </w:tabs>
    </w:pPr>
    <w:r w:rsidRPr="007B3DCE">
      <w:t xml:space="preserve">Closing the </w:t>
    </w:r>
    <w:r w:rsidR="001B46CE">
      <w:t>Gap</w:t>
    </w:r>
    <w:r w:rsidR="00D8262C">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CAB6A" w14:textId="77777777" w:rsidR="007B43AD" w:rsidRPr="008D0D81" w:rsidRDefault="007B43AD" w:rsidP="00923576">
    <w:pPr>
      <w:pStyle w:val="Header-KeylineRight"/>
      <w:jc w:val="left"/>
    </w:pPr>
    <w:r w:rsidRPr="00DC13FB">
      <w:rPr>
        <w:b/>
        <w:bCs/>
      </w:rPr>
      <w:t>Annual Data Compilation Report</w:t>
    </w:r>
    <w:r>
      <w:t xml:space="preserve"> July 2024</w:t>
    </w:r>
    <w:r w:rsidRPr="007B3DCE">
      <w:t xml:space="preserve"> </w:t>
    </w:r>
  </w:p>
  <w:p w14:paraId="53C06D44" w14:textId="77777777" w:rsidR="007B43AD" w:rsidRPr="007B43AD" w:rsidRDefault="007B43AD" w:rsidP="007B43A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3DC61F" w14:textId="77777777" w:rsidR="00923576" w:rsidRPr="008D0D81" w:rsidRDefault="00923576" w:rsidP="00923576">
    <w:pPr>
      <w:pStyle w:val="Header-KeylineRight"/>
    </w:pPr>
    <w:r w:rsidRPr="00DC13FB">
      <w:rPr>
        <w:b/>
        <w:bCs/>
      </w:rPr>
      <w:t>Annual Data Compilation Report</w:t>
    </w:r>
    <w:r>
      <w:t xml:space="preserve"> July 2024</w:t>
    </w:r>
    <w:r w:rsidRPr="007B3DCE">
      <w:t xml:space="preserve"> </w:t>
    </w:r>
  </w:p>
  <w:p w14:paraId="27E67BB7" w14:textId="77777777" w:rsidR="00923576" w:rsidRPr="007B43AD" w:rsidRDefault="00923576" w:rsidP="007B43A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74AE9" w14:textId="7563D4D9" w:rsidR="0024084A" w:rsidRPr="007B3DCE" w:rsidRDefault="004B4C6F" w:rsidP="00D8262C">
    <w:pPr>
      <w:pStyle w:val="Header-Keyline"/>
      <w:tabs>
        <w:tab w:val="clear" w:pos="4513"/>
        <w:tab w:val="clear" w:pos="9026"/>
        <w:tab w:val="left" w:pos="3899"/>
      </w:tabs>
    </w:pPr>
    <w:r w:rsidRPr="007B3DCE">
      <w:t>Closing the Ga</w:t>
    </w:r>
    <w:r w:rsidR="007C57C3">
      <w:t>p</w:t>
    </w:r>
    <w:r w:rsidR="00D8262C">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3F8278" w14:textId="19400F9A" w:rsidR="0024084A" w:rsidRPr="007B3DCE" w:rsidRDefault="000521AA">
    <w:pPr>
      <w:pStyle w:val="Header"/>
    </w:pPr>
    <w:r w:rsidRPr="007B3DCE">
      <w:rPr>
        <w:noProof/>
      </w:rPr>
      <mc:AlternateContent>
        <mc:Choice Requires="wps">
          <w:drawing>
            <wp:anchor distT="0" distB="0" distL="0" distR="0" simplePos="0" relativeHeight="251658240" behindDoc="0" locked="0" layoutInCell="1" allowOverlap="1" wp14:anchorId="49A334BA" wp14:editId="41EF388A">
              <wp:simplePos x="635" y="635"/>
              <wp:positionH relativeFrom="page">
                <wp:align>center</wp:align>
              </wp:positionH>
              <wp:positionV relativeFrom="page">
                <wp:align>top</wp:align>
              </wp:positionV>
              <wp:extent cx="1323975" cy="452755"/>
              <wp:effectExtent l="0" t="0" r="9525" b="4445"/>
              <wp:wrapNone/>
              <wp:docPr id="1304133960" name="Text Box 13" descr="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23975" cy="452755"/>
                      </a:xfrm>
                      <a:prstGeom prst="rect">
                        <a:avLst/>
                      </a:prstGeom>
                      <a:noFill/>
                      <a:ln>
                        <a:noFill/>
                      </a:ln>
                    </wps:spPr>
                    <wps:txbx>
                      <w:txbxContent>
                        <w:p w14:paraId="085DF04E" w14:textId="16D884D4" w:rsidR="000521AA" w:rsidRPr="007B3DCE" w:rsidRDefault="000521AA" w:rsidP="000521AA">
                          <w:pPr>
                            <w:spacing w:after="0"/>
                            <w:rPr>
                              <w:rFonts w:ascii="Calibri" w:eastAsia="Calibri" w:hAnsi="Calibri" w:cs="Calibri"/>
                              <w:color w:val="FF0000"/>
                              <w:sz w:val="24"/>
                              <w:szCs w:val="24"/>
                            </w:rPr>
                          </w:pPr>
                          <w:r w:rsidRPr="007B3DCE">
                            <w:rPr>
                              <w:rFonts w:ascii="Calibri" w:eastAsia="Calibri" w:hAnsi="Calibri" w:cs="Calibri"/>
                              <w:color w:val="FF0000"/>
                              <w:sz w:val="24"/>
                              <w:szCs w:val="24"/>
                            </w:rPr>
                            <w:t xml:space="preserve"> OFFICIAL //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9A334BA" id="_x0000_t202" coordsize="21600,21600" o:spt="202" path="m,l,21600r21600,l21600,xe">
              <v:stroke joinstyle="miter"/>
              <v:path gradientshapeok="t" o:connecttype="rect"/>
            </v:shapetype>
            <v:shape id="Text Box 13" o:spid="_x0000_s1026" type="#_x0000_t202" alt=" OFFICIAL // Sensitive" style="position:absolute;margin-left:0;margin-top:0;width:104.25pt;height:35.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" filled="f" stroked="f">
              <v:textbox style="mso-fit-shape-to-text:t" inset="0,15pt,0,0">
                <w:txbxContent>
                  <w:p w14:paraId="085DF04E" w14:textId="16D884D4" w:rsidR="000521AA" w:rsidRPr="007B3DCE" w:rsidRDefault="000521AA" w:rsidP="000521AA">
                    <w:pPr>
                      <w:spacing w:after="0"/>
                      <w:rPr>
                        <w:rFonts w:ascii="Calibri" w:eastAsia="Calibri" w:hAnsi="Calibri" w:cs="Calibri"/>
                        <w:color w:val="FF0000"/>
                        <w:sz w:val="24"/>
                        <w:szCs w:val="24"/>
                      </w:rPr>
                    </w:pPr>
                    <w:r w:rsidRPr="007B3DCE">
                      <w:rPr>
                        <w:rFonts w:ascii="Calibri" w:eastAsia="Calibri" w:hAnsi="Calibri" w:cs="Calibri"/>
                        <w:color w:val="FF0000"/>
                        <w:sz w:val="24"/>
                        <w:szCs w:val="24"/>
                      </w:rPr>
                      <w:t xml:space="preserve"> OFFICIAL //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6DB7C" w14:textId="1FDC3E38" w:rsidR="001E76FA" w:rsidRPr="009159E2" w:rsidRDefault="009159E2" w:rsidP="00A20D85">
    <w:pPr>
      <w:pStyle w:val="Header-KeylineRight"/>
      <w:tabs>
        <w:tab w:val="left" w:pos="3268"/>
        <w:tab w:val="right" w:pos="9638"/>
      </w:tabs>
    </w:pPr>
    <w:r>
      <w:rPr>
        <w:b/>
        <w:bCs/>
      </w:rPr>
      <w:tab/>
    </w:r>
    <w:r>
      <w:rPr>
        <w:b/>
        <w:bCs/>
      </w:rPr>
      <w:tab/>
    </w:r>
    <w:r>
      <w:rPr>
        <w:b/>
        <w:bCs/>
      </w:rPr>
      <w:tab/>
    </w:r>
    <w:r w:rsidRPr="007F74C2">
      <w:rPr>
        <w:b/>
        <w:bCs/>
      </w:rPr>
      <w:t>Annual Data Compilation Report</w:t>
    </w:r>
    <w:r w:rsidRPr="007B3DCE">
      <w:t xml:space="preserve"> </w:t>
    </w:r>
    <w:r w:rsidRPr="007F74C2">
      <w:t>July 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8AC47E" w14:textId="7D48875A" w:rsidR="007B4FEE" w:rsidRPr="003D5B65" w:rsidRDefault="00B47DB6" w:rsidP="003D5B65">
    <w:pPr>
      <w:pStyle w:val="Header-Keyline"/>
      <w:tabs>
        <w:tab w:val="clear" w:pos="4513"/>
        <w:tab w:val="clear" w:pos="9026"/>
        <w:tab w:val="left" w:pos="1540"/>
        <w:tab w:val="left" w:pos="1741"/>
        <w:tab w:val="left" w:pos="4570"/>
        <w:tab w:val="left" w:pos="7638"/>
      </w:tabs>
    </w:pPr>
    <w:r w:rsidRPr="00023AD4">
      <w:rPr>
        <w:rStyle w:val="Strong"/>
        <w:b w:val="0"/>
        <w:bCs w:val="0"/>
      </w:rPr>
      <w:t>Closing the</w:t>
    </w:r>
    <w:r>
      <w:rPr>
        <w:rStyle w:val="Strong"/>
        <w:b w:val="0"/>
        <w:bCs w:val="0"/>
      </w:rPr>
      <w:t xml:space="preserve"> G</w:t>
    </w:r>
    <w:r w:rsidR="00E77CAF">
      <w:rPr>
        <w:rStyle w:val="Strong"/>
        <w:b w:val="0"/>
        <w:bCs w:val="0"/>
      </w:rPr>
      <w:t>ap</w:t>
    </w:r>
    <w:r w:rsidR="003D5B65">
      <w:rPr>
        <w:rStyle w:val="Strong"/>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43B0D" w14:textId="514C668D" w:rsidR="007E6141" w:rsidRPr="007B3DCE" w:rsidRDefault="00444739" w:rsidP="001B0FD3">
    <w:pPr>
      <w:pStyle w:val="Header-Keyline"/>
      <w:tabs>
        <w:tab w:val="clear" w:pos="4513"/>
        <w:tab w:val="clear" w:pos="9026"/>
        <w:tab w:val="left" w:pos="3769"/>
      </w:tabs>
    </w:pPr>
    <w:r w:rsidRPr="007B3DCE">
      <w:t>Closing the Gap</w:t>
    </w:r>
    <w:r w:rsidR="001B0FD3">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2BD8F" w14:textId="7C41E3AC" w:rsidR="00187FD7" w:rsidRDefault="00187FD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84BDA" w14:textId="41469162" w:rsidR="00187FD7" w:rsidRPr="00452031" w:rsidRDefault="00452031" w:rsidP="00452031">
    <w:pPr>
      <w:pStyle w:val="Header-KeylineRight"/>
    </w:pPr>
    <w:r w:rsidRPr="00DC13FB">
      <w:rPr>
        <w:b/>
        <w:bCs/>
      </w:rPr>
      <w:t>Annual Data Compilation Report</w:t>
    </w:r>
    <w:r>
      <w:t xml:space="preserve"> July 2024</w:t>
    </w:r>
    <w:r w:rsidRPr="007B3DCE">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5DAB9E" w14:textId="4AA0AC9C" w:rsidR="00187FD7" w:rsidRPr="00127899" w:rsidRDefault="00127899" w:rsidP="00127899">
    <w:pPr>
      <w:pStyle w:val="Header-KeylineRight"/>
    </w:pPr>
    <w:r w:rsidRPr="00DC13FB">
      <w:rPr>
        <w:b/>
        <w:bCs/>
      </w:rPr>
      <w:t>Annual Data Compilation Report</w:t>
    </w:r>
    <w:r>
      <w:t xml:space="preserve"> July 2024</w:t>
    </w:r>
    <w:r w:rsidRPr="007B3DCE">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663E9" w14:textId="49312B77" w:rsidR="00187FD7" w:rsidRPr="008D0D81" w:rsidRDefault="00CD4E70" w:rsidP="00CD4E70">
    <w:pPr>
      <w:pStyle w:val="Header-KeylineRight"/>
    </w:pPr>
    <w:r w:rsidRPr="00DC13FB">
      <w:rPr>
        <w:b/>
        <w:bCs/>
      </w:rPr>
      <w:t>Annual Data Compilation Report</w:t>
    </w:r>
    <w:r>
      <w:t xml:space="preserve"> July 2024</w:t>
    </w:r>
    <w:r w:rsidRPr="007B3DCE">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6C89C" w14:textId="77777777" w:rsidR="00F76A8C" w:rsidRDefault="001B526D" w:rsidP="001B526D">
    <w:pPr>
      <w:pStyle w:val="Header"/>
      <w:tabs>
        <w:tab w:val="clear" w:pos="4513"/>
        <w:tab w:val="clear" w:pos="9026"/>
        <w:tab w:val="left" w:pos="7431"/>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CF5454E4"/>
    <w:styleLink w:val="Figure"/>
    <w:lvl w:ilvl="0">
      <w:start w:val="1"/>
      <w:numFmt w:val="bullet"/>
      <w:pStyle w:val="ListBullet5"/>
      <w:lvlText w:val=""/>
      <w:lvlJc w:val="left"/>
      <w:pPr>
        <w:tabs>
          <w:tab w:val="num" w:pos="1132"/>
        </w:tabs>
        <w:ind w:left="1132" w:hanging="360"/>
      </w:pPr>
      <w:rPr>
        <w:rFonts w:ascii="Symbol" w:hAnsi="Symbol" w:hint="default"/>
      </w:rPr>
    </w:lvl>
  </w:abstractNum>
  <w:abstractNum w:abstractNumId="1" w15:restartNumberingAfterBreak="0">
    <w:nsid w:val="FFFFFF89"/>
    <w:multiLevelType w:val="multilevel"/>
    <w:tmpl w:val="BCDE0908"/>
    <w:lvl w:ilvl="0">
      <w:start w:val="1"/>
      <w:numFmt w:val="bullet"/>
      <w:lvlText w:val=""/>
      <w:lvlJc w:val="left"/>
      <w:pPr>
        <w:ind w:left="851" w:hanging="851"/>
      </w:pPr>
      <w:rPr>
        <w:rFonts w:ascii="Symbol" w:hAnsi="Symbol" w:hint="default"/>
        <w:sz w:val="16"/>
        <w:szCs w:val="16"/>
      </w:rPr>
    </w:lvl>
    <w:lvl w:ilvl="1">
      <w:start w:val="1"/>
      <w:numFmt w:val="decimal"/>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A726191"/>
    <w:multiLevelType w:val="hybridMultilevel"/>
    <w:tmpl w:val="EE6424CC"/>
    <w:lvl w:ilvl="0" w:tplc="BE12679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F6F37EA"/>
    <w:multiLevelType w:val="multilevel"/>
    <w:tmpl w:val="1FA8DC2A"/>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1451220C"/>
    <w:multiLevelType w:val="hybridMultilevel"/>
    <w:tmpl w:val="38662F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032980"/>
    <w:multiLevelType w:val="hybridMultilevel"/>
    <w:tmpl w:val="A6463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AFB4390"/>
    <w:multiLevelType w:val="hybridMultilevel"/>
    <w:tmpl w:val="61EC11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7" w15:restartNumberingAfterBreak="0">
    <w:nsid w:val="1BDE5997"/>
    <w:multiLevelType w:val="multilevel"/>
    <w:tmpl w:val="FFFFFFFF"/>
    <w:styleLink w:val="Alphalist"/>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2DFE29AF"/>
    <w:multiLevelType w:val="multilevel"/>
    <w:tmpl w:val="5DD88FA4"/>
    <w:styleLink w:val="TableList"/>
    <w:lvl w:ilvl="0">
      <w:start w:val="1"/>
      <w:numFmt w:val="bullet"/>
      <w:lvlText w:val=""/>
      <w:lvlJc w:val="left"/>
      <w:pPr>
        <w:ind w:left="851" w:hanging="851"/>
      </w:pPr>
      <w:rPr>
        <w:rFonts w:ascii="Symbol" w:hAnsi="Symbol" w:hint="default"/>
      </w:rPr>
    </w:lvl>
    <w:lvl w:ilvl="1">
      <w:start w:val="1"/>
      <w:numFmt w:val="decimal"/>
      <w:lvlText w:val="%1.%2"/>
      <w:lvlJc w:val="left"/>
      <w:pPr>
        <w:ind w:left="284" w:hanging="851"/>
      </w:pPr>
      <w:rPr>
        <w:rFonts w:hint="default"/>
      </w:rPr>
    </w:lvl>
    <w:lvl w:ilvl="2">
      <w:start w:val="1"/>
      <w:numFmt w:val="lowerRoman"/>
      <w:lvlText w:val="%3)"/>
      <w:lvlJc w:val="left"/>
      <w:pPr>
        <w:ind w:left="513" w:hanging="360"/>
      </w:pPr>
      <w:rPr>
        <w:rFonts w:hint="default"/>
      </w:rPr>
    </w:lvl>
    <w:lvl w:ilvl="3">
      <w:start w:val="1"/>
      <w:numFmt w:val="decimal"/>
      <w:lvlText w:val="(%4)"/>
      <w:lvlJc w:val="left"/>
      <w:pPr>
        <w:ind w:left="873" w:hanging="360"/>
      </w:pPr>
      <w:rPr>
        <w:rFonts w:hint="default"/>
      </w:rPr>
    </w:lvl>
    <w:lvl w:ilvl="4">
      <w:start w:val="1"/>
      <w:numFmt w:val="lowerLetter"/>
      <w:lvlText w:val="(%5)"/>
      <w:lvlJc w:val="left"/>
      <w:pPr>
        <w:ind w:left="1233" w:hanging="360"/>
      </w:pPr>
      <w:rPr>
        <w:rFonts w:hint="default"/>
      </w:rPr>
    </w:lvl>
    <w:lvl w:ilvl="5">
      <w:start w:val="1"/>
      <w:numFmt w:val="lowerRoman"/>
      <w:lvlText w:val="(%6)"/>
      <w:lvlJc w:val="left"/>
      <w:pPr>
        <w:ind w:left="1593" w:hanging="360"/>
      </w:pPr>
      <w:rPr>
        <w:rFonts w:hint="default"/>
      </w:rPr>
    </w:lvl>
    <w:lvl w:ilvl="6">
      <w:start w:val="1"/>
      <w:numFmt w:val="decimal"/>
      <w:lvlText w:val="%7."/>
      <w:lvlJc w:val="left"/>
      <w:pPr>
        <w:ind w:left="1953" w:hanging="360"/>
      </w:pPr>
      <w:rPr>
        <w:rFonts w:hint="default"/>
      </w:rPr>
    </w:lvl>
    <w:lvl w:ilvl="7">
      <w:start w:val="1"/>
      <w:numFmt w:val="lowerLetter"/>
      <w:lvlText w:val="%8."/>
      <w:lvlJc w:val="left"/>
      <w:pPr>
        <w:ind w:left="2313" w:hanging="360"/>
      </w:pPr>
      <w:rPr>
        <w:rFonts w:hint="default"/>
      </w:rPr>
    </w:lvl>
    <w:lvl w:ilvl="8">
      <w:start w:val="1"/>
      <w:numFmt w:val="lowerRoman"/>
      <w:lvlText w:val="%9."/>
      <w:lvlJc w:val="left"/>
      <w:pPr>
        <w:ind w:left="2673" w:hanging="360"/>
      </w:pPr>
      <w:rPr>
        <w:rFonts w:hint="default"/>
      </w:rPr>
    </w:lvl>
  </w:abstractNum>
  <w:abstractNum w:abstractNumId="9"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5BA5D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0205167"/>
    <w:multiLevelType w:val="hybridMultilevel"/>
    <w:tmpl w:val="240655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83816CA"/>
    <w:multiLevelType w:val="hybridMultilevel"/>
    <w:tmpl w:val="16AE95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B687294"/>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BB7337D"/>
    <w:multiLevelType w:val="hybridMultilevel"/>
    <w:tmpl w:val="F2C406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5C8C42B6"/>
    <w:multiLevelType w:val="hybridMultilevel"/>
    <w:tmpl w:val="E732EE4C"/>
    <w:lvl w:ilvl="0" w:tplc="5BB0F0A0">
      <w:start w:val="3"/>
      <w:numFmt w:val="decimal"/>
      <w:pStyle w:val="Style1"/>
      <w:lvlText w:val="%1."/>
      <w:lvlJc w:val="left"/>
      <w:pPr>
        <w:ind w:left="1287"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FB60E9A"/>
    <w:multiLevelType w:val="hybridMultilevel"/>
    <w:tmpl w:val="28EEB7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6A08077E"/>
    <w:multiLevelType w:val="hybridMultilevel"/>
    <w:tmpl w:val="5E7413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755800A9"/>
    <w:multiLevelType w:val="hybridMultilevel"/>
    <w:tmpl w:val="0A2699D0"/>
    <w:lvl w:ilvl="0" w:tplc="D052770C">
      <w:start w:val="1"/>
      <w:numFmt w:val="upperLetter"/>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761B4A1B"/>
    <w:multiLevelType w:val="multilevel"/>
    <w:tmpl w:val="72768BCE"/>
    <w:styleLink w:val="AppendixHeading"/>
    <w:lvl w:ilvl="0">
      <w:start w:val="1"/>
      <w:numFmt w:val="upperLetter"/>
      <w:lvlText w:val="%1."/>
      <w:lvlJc w:val="left"/>
      <w:pPr>
        <w:ind w:left="1418" w:hanging="851"/>
      </w:pPr>
      <w:rPr>
        <w:rFonts w:hint="default"/>
      </w:rPr>
    </w:lvl>
    <w:lvl w:ilvl="1">
      <w:start w:val="1"/>
      <w:numFmt w:val="decimal"/>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76A201F0"/>
    <w:multiLevelType w:val="hybridMultilevel"/>
    <w:tmpl w:val="0D281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8AD452C"/>
    <w:multiLevelType w:val="hybridMultilevel"/>
    <w:tmpl w:val="96C20E74"/>
    <w:lvl w:ilvl="0" w:tplc="D052770C">
      <w:start w:val="1"/>
      <w:numFmt w:val="upp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ECF2854"/>
    <w:multiLevelType w:val="hybridMultilevel"/>
    <w:tmpl w:val="BE2E7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5406722">
    <w:abstractNumId w:val="0"/>
  </w:num>
  <w:num w:numId="2" w16cid:durableId="1889947188">
    <w:abstractNumId w:val="3"/>
  </w:num>
  <w:num w:numId="3" w16cid:durableId="2023432934">
    <w:abstractNumId w:val="8"/>
  </w:num>
  <w:num w:numId="4" w16cid:durableId="1112087580">
    <w:abstractNumId w:val="7"/>
  </w:num>
  <w:num w:numId="5" w16cid:durableId="775756382">
    <w:abstractNumId w:val="18"/>
  </w:num>
  <w:num w:numId="6" w16cid:durableId="1496989519">
    <w:abstractNumId w:val="19"/>
  </w:num>
  <w:num w:numId="7" w16cid:durableId="643857279">
    <w:abstractNumId w:val="5"/>
  </w:num>
  <w:num w:numId="8" w16cid:durableId="1255943991">
    <w:abstractNumId w:val="6"/>
  </w:num>
  <w:num w:numId="9" w16cid:durableId="915166386">
    <w:abstractNumId w:val="12"/>
  </w:num>
  <w:num w:numId="10" w16cid:durableId="1025786343">
    <w:abstractNumId w:val="16"/>
  </w:num>
  <w:num w:numId="11" w16cid:durableId="2050032204">
    <w:abstractNumId w:val="13"/>
  </w:num>
  <w:num w:numId="12" w16cid:durableId="80953758">
    <w:abstractNumId w:val="21"/>
  </w:num>
  <w:num w:numId="13" w16cid:durableId="734816061">
    <w:abstractNumId w:val="15"/>
  </w:num>
  <w:num w:numId="14" w16cid:durableId="1206411228">
    <w:abstractNumId w:val="11"/>
  </w:num>
  <w:num w:numId="15" w16cid:durableId="1724401505">
    <w:abstractNumId w:val="4"/>
  </w:num>
  <w:num w:numId="16" w16cid:durableId="606424887">
    <w:abstractNumId w:val="10"/>
  </w:num>
  <w:num w:numId="17" w16cid:durableId="82046779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18" w16cid:durableId="1701008128">
    <w:abstractNumId w:val="14"/>
  </w:num>
  <w:num w:numId="19" w16cid:durableId="1807623135">
    <w:abstractNumId w:val="2"/>
  </w:num>
  <w:num w:numId="20" w16cid:durableId="232087227">
    <w:abstractNumId w:val="20"/>
  </w:num>
  <w:num w:numId="21" w16cid:durableId="1072969864">
    <w:abstractNumId w:val="17"/>
  </w:num>
  <w:num w:numId="22" w16cid:durableId="1795363624">
    <w:abstractNumId w:val="9"/>
  </w:num>
  <w:num w:numId="23" w16cid:durableId="10050612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4" w16cid:durableId="14594890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5" w16cid:durableId="10330762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6" w16cid:durableId="945993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7" w16cid:durableId="10803725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8" w16cid:durableId="36323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29" w16cid:durableId="11579154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0" w16cid:durableId="15962050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1" w16cid:durableId="8879592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2" w16cid:durableId="10586990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3" w16cid:durableId="11398776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4" w16cid:durableId="20823678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5" w16cid:durableId="15221655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6" w16cid:durableId="7657334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7" w16cid:durableId="20284103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8" w16cid:durableId="20979021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39" w16cid:durableId="814139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0" w16cid:durableId="4135549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1" w16cid:durableId="213077919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2" w16cid:durableId="7195949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3" w16cid:durableId="12796012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4" w16cid:durableId="1155694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5" w16cid:durableId="20316373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6" w16cid:durableId="21117335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7" w16cid:durableId="2693179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8" w16cid:durableId="181698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49" w16cid:durableId="892428200">
    <w:abstractNumId w:val="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E2D"/>
    <w:rsid w:val="00000047"/>
    <w:rsid w:val="0000004A"/>
    <w:rsid w:val="0000006B"/>
    <w:rsid w:val="00000075"/>
    <w:rsid w:val="000000B8"/>
    <w:rsid w:val="00000177"/>
    <w:rsid w:val="0000026C"/>
    <w:rsid w:val="000003D5"/>
    <w:rsid w:val="00000418"/>
    <w:rsid w:val="00000434"/>
    <w:rsid w:val="00000501"/>
    <w:rsid w:val="000005DD"/>
    <w:rsid w:val="000006C9"/>
    <w:rsid w:val="00000707"/>
    <w:rsid w:val="00000769"/>
    <w:rsid w:val="00000777"/>
    <w:rsid w:val="0000094F"/>
    <w:rsid w:val="0000095F"/>
    <w:rsid w:val="00000A2D"/>
    <w:rsid w:val="00000A5B"/>
    <w:rsid w:val="00000B29"/>
    <w:rsid w:val="00000C10"/>
    <w:rsid w:val="00000C1E"/>
    <w:rsid w:val="00000C44"/>
    <w:rsid w:val="00000C83"/>
    <w:rsid w:val="00000D2A"/>
    <w:rsid w:val="00000DBB"/>
    <w:rsid w:val="00000DDC"/>
    <w:rsid w:val="00000E0C"/>
    <w:rsid w:val="00000E8D"/>
    <w:rsid w:val="00000F3C"/>
    <w:rsid w:val="00000F62"/>
    <w:rsid w:val="0000110B"/>
    <w:rsid w:val="0000112E"/>
    <w:rsid w:val="00001155"/>
    <w:rsid w:val="00001198"/>
    <w:rsid w:val="0000123A"/>
    <w:rsid w:val="00001272"/>
    <w:rsid w:val="000012CB"/>
    <w:rsid w:val="000012DB"/>
    <w:rsid w:val="00001342"/>
    <w:rsid w:val="00001408"/>
    <w:rsid w:val="00001415"/>
    <w:rsid w:val="000014DD"/>
    <w:rsid w:val="00001501"/>
    <w:rsid w:val="00001667"/>
    <w:rsid w:val="00001670"/>
    <w:rsid w:val="000017D0"/>
    <w:rsid w:val="0000180A"/>
    <w:rsid w:val="000018E5"/>
    <w:rsid w:val="000019C4"/>
    <w:rsid w:val="00001A89"/>
    <w:rsid w:val="00001AA4"/>
    <w:rsid w:val="00001AB0"/>
    <w:rsid w:val="00001B5A"/>
    <w:rsid w:val="00001B65"/>
    <w:rsid w:val="00001BC9"/>
    <w:rsid w:val="00001C49"/>
    <w:rsid w:val="00001D57"/>
    <w:rsid w:val="00001E81"/>
    <w:rsid w:val="00001F28"/>
    <w:rsid w:val="00001F60"/>
    <w:rsid w:val="000020BA"/>
    <w:rsid w:val="00002199"/>
    <w:rsid w:val="000021ED"/>
    <w:rsid w:val="000021FC"/>
    <w:rsid w:val="00002218"/>
    <w:rsid w:val="00002284"/>
    <w:rsid w:val="000022E4"/>
    <w:rsid w:val="00002430"/>
    <w:rsid w:val="00002483"/>
    <w:rsid w:val="00002486"/>
    <w:rsid w:val="00002571"/>
    <w:rsid w:val="000025A5"/>
    <w:rsid w:val="00002679"/>
    <w:rsid w:val="00002681"/>
    <w:rsid w:val="000026DA"/>
    <w:rsid w:val="000026FA"/>
    <w:rsid w:val="000027D1"/>
    <w:rsid w:val="000028AF"/>
    <w:rsid w:val="0000292C"/>
    <w:rsid w:val="000029C4"/>
    <w:rsid w:val="00002AA2"/>
    <w:rsid w:val="00002BC5"/>
    <w:rsid w:val="00002C33"/>
    <w:rsid w:val="00002CCC"/>
    <w:rsid w:val="00002CEB"/>
    <w:rsid w:val="00002D4B"/>
    <w:rsid w:val="00002D8A"/>
    <w:rsid w:val="00002DBC"/>
    <w:rsid w:val="00002EB1"/>
    <w:rsid w:val="00002F57"/>
    <w:rsid w:val="00002F7E"/>
    <w:rsid w:val="0000306B"/>
    <w:rsid w:val="000030A9"/>
    <w:rsid w:val="00003213"/>
    <w:rsid w:val="0000326B"/>
    <w:rsid w:val="00003288"/>
    <w:rsid w:val="00003475"/>
    <w:rsid w:val="00003565"/>
    <w:rsid w:val="00003572"/>
    <w:rsid w:val="00003586"/>
    <w:rsid w:val="0000362F"/>
    <w:rsid w:val="00003650"/>
    <w:rsid w:val="0000371C"/>
    <w:rsid w:val="00003741"/>
    <w:rsid w:val="0000374D"/>
    <w:rsid w:val="0000387A"/>
    <w:rsid w:val="0000391D"/>
    <w:rsid w:val="00003A04"/>
    <w:rsid w:val="00003A0D"/>
    <w:rsid w:val="00003A24"/>
    <w:rsid w:val="00003A5C"/>
    <w:rsid w:val="00003A6E"/>
    <w:rsid w:val="00003B64"/>
    <w:rsid w:val="00003B8A"/>
    <w:rsid w:val="00003BFE"/>
    <w:rsid w:val="00003C1E"/>
    <w:rsid w:val="00003C5B"/>
    <w:rsid w:val="00003CEA"/>
    <w:rsid w:val="00003D01"/>
    <w:rsid w:val="00003DE8"/>
    <w:rsid w:val="00003E2E"/>
    <w:rsid w:val="00003E7A"/>
    <w:rsid w:val="00004044"/>
    <w:rsid w:val="0000409A"/>
    <w:rsid w:val="00004175"/>
    <w:rsid w:val="000041C4"/>
    <w:rsid w:val="0000422C"/>
    <w:rsid w:val="0000427C"/>
    <w:rsid w:val="00004315"/>
    <w:rsid w:val="00004390"/>
    <w:rsid w:val="000043B0"/>
    <w:rsid w:val="00004438"/>
    <w:rsid w:val="00004442"/>
    <w:rsid w:val="00004466"/>
    <w:rsid w:val="00004489"/>
    <w:rsid w:val="00004496"/>
    <w:rsid w:val="000044E2"/>
    <w:rsid w:val="00004507"/>
    <w:rsid w:val="0000453E"/>
    <w:rsid w:val="00004564"/>
    <w:rsid w:val="00004605"/>
    <w:rsid w:val="00004850"/>
    <w:rsid w:val="00004926"/>
    <w:rsid w:val="00004994"/>
    <w:rsid w:val="000049D6"/>
    <w:rsid w:val="00004A36"/>
    <w:rsid w:val="00004A62"/>
    <w:rsid w:val="00004A9C"/>
    <w:rsid w:val="00004AA9"/>
    <w:rsid w:val="00004B37"/>
    <w:rsid w:val="00004B8D"/>
    <w:rsid w:val="00004BB2"/>
    <w:rsid w:val="00004C60"/>
    <w:rsid w:val="00004D0B"/>
    <w:rsid w:val="00004D27"/>
    <w:rsid w:val="00004E70"/>
    <w:rsid w:val="00004EFE"/>
    <w:rsid w:val="00004F0C"/>
    <w:rsid w:val="00004FC8"/>
    <w:rsid w:val="00005008"/>
    <w:rsid w:val="000050D8"/>
    <w:rsid w:val="00005185"/>
    <w:rsid w:val="000051F2"/>
    <w:rsid w:val="000051F3"/>
    <w:rsid w:val="00005305"/>
    <w:rsid w:val="0000538F"/>
    <w:rsid w:val="000053BE"/>
    <w:rsid w:val="00005413"/>
    <w:rsid w:val="00005429"/>
    <w:rsid w:val="0000548C"/>
    <w:rsid w:val="00005561"/>
    <w:rsid w:val="000055B6"/>
    <w:rsid w:val="000055EA"/>
    <w:rsid w:val="0000565B"/>
    <w:rsid w:val="00005674"/>
    <w:rsid w:val="00005685"/>
    <w:rsid w:val="0000573C"/>
    <w:rsid w:val="00005782"/>
    <w:rsid w:val="00005860"/>
    <w:rsid w:val="0000586B"/>
    <w:rsid w:val="000058E8"/>
    <w:rsid w:val="00005939"/>
    <w:rsid w:val="00005964"/>
    <w:rsid w:val="00005A1A"/>
    <w:rsid w:val="00005A7E"/>
    <w:rsid w:val="00005AE2"/>
    <w:rsid w:val="00005B1C"/>
    <w:rsid w:val="00005B9B"/>
    <w:rsid w:val="00005BCF"/>
    <w:rsid w:val="00005C79"/>
    <w:rsid w:val="00005EEB"/>
    <w:rsid w:val="00005F1E"/>
    <w:rsid w:val="000060DA"/>
    <w:rsid w:val="000060F9"/>
    <w:rsid w:val="000060FE"/>
    <w:rsid w:val="0000615D"/>
    <w:rsid w:val="00006210"/>
    <w:rsid w:val="00006249"/>
    <w:rsid w:val="0000651D"/>
    <w:rsid w:val="00006587"/>
    <w:rsid w:val="000065E1"/>
    <w:rsid w:val="00006626"/>
    <w:rsid w:val="0000665B"/>
    <w:rsid w:val="0000689F"/>
    <w:rsid w:val="000068B0"/>
    <w:rsid w:val="0000692D"/>
    <w:rsid w:val="000069F8"/>
    <w:rsid w:val="00006A4E"/>
    <w:rsid w:val="00006A72"/>
    <w:rsid w:val="00006ABB"/>
    <w:rsid w:val="00006B74"/>
    <w:rsid w:val="00006B83"/>
    <w:rsid w:val="00006B9D"/>
    <w:rsid w:val="00006BC0"/>
    <w:rsid w:val="00006CC7"/>
    <w:rsid w:val="00006E7A"/>
    <w:rsid w:val="00006E80"/>
    <w:rsid w:val="00006F01"/>
    <w:rsid w:val="0000707B"/>
    <w:rsid w:val="00007098"/>
    <w:rsid w:val="000070DA"/>
    <w:rsid w:val="000070DD"/>
    <w:rsid w:val="000070FB"/>
    <w:rsid w:val="00007168"/>
    <w:rsid w:val="0000728D"/>
    <w:rsid w:val="0000732C"/>
    <w:rsid w:val="00007332"/>
    <w:rsid w:val="0000741D"/>
    <w:rsid w:val="00007459"/>
    <w:rsid w:val="00007469"/>
    <w:rsid w:val="00007517"/>
    <w:rsid w:val="00007536"/>
    <w:rsid w:val="00007541"/>
    <w:rsid w:val="00007588"/>
    <w:rsid w:val="00007707"/>
    <w:rsid w:val="0000778A"/>
    <w:rsid w:val="0000785D"/>
    <w:rsid w:val="00007878"/>
    <w:rsid w:val="000078BB"/>
    <w:rsid w:val="00007955"/>
    <w:rsid w:val="0000798C"/>
    <w:rsid w:val="00007B71"/>
    <w:rsid w:val="00007D50"/>
    <w:rsid w:val="00007DFF"/>
    <w:rsid w:val="00007E06"/>
    <w:rsid w:val="00007E3A"/>
    <w:rsid w:val="00007E8D"/>
    <w:rsid w:val="00007F26"/>
    <w:rsid w:val="00007FE7"/>
    <w:rsid w:val="00010051"/>
    <w:rsid w:val="000100CE"/>
    <w:rsid w:val="000101B0"/>
    <w:rsid w:val="00010237"/>
    <w:rsid w:val="00010240"/>
    <w:rsid w:val="0001026B"/>
    <w:rsid w:val="0001027C"/>
    <w:rsid w:val="000102E8"/>
    <w:rsid w:val="0001043B"/>
    <w:rsid w:val="000104EA"/>
    <w:rsid w:val="00010505"/>
    <w:rsid w:val="0001071E"/>
    <w:rsid w:val="0001076E"/>
    <w:rsid w:val="00010937"/>
    <w:rsid w:val="000109BD"/>
    <w:rsid w:val="00010A7F"/>
    <w:rsid w:val="00010B73"/>
    <w:rsid w:val="00010BA6"/>
    <w:rsid w:val="00010C98"/>
    <w:rsid w:val="00010D06"/>
    <w:rsid w:val="00010E94"/>
    <w:rsid w:val="00010F3E"/>
    <w:rsid w:val="00010F9E"/>
    <w:rsid w:val="00011012"/>
    <w:rsid w:val="0001104E"/>
    <w:rsid w:val="0001108F"/>
    <w:rsid w:val="00011129"/>
    <w:rsid w:val="00011173"/>
    <w:rsid w:val="00011196"/>
    <w:rsid w:val="00011223"/>
    <w:rsid w:val="0001123A"/>
    <w:rsid w:val="00011241"/>
    <w:rsid w:val="000112AD"/>
    <w:rsid w:val="00011330"/>
    <w:rsid w:val="00011377"/>
    <w:rsid w:val="000113A6"/>
    <w:rsid w:val="000113D9"/>
    <w:rsid w:val="0001149D"/>
    <w:rsid w:val="000114FB"/>
    <w:rsid w:val="000116C7"/>
    <w:rsid w:val="000116F7"/>
    <w:rsid w:val="00011759"/>
    <w:rsid w:val="0001180D"/>
    <w:rsid w:val="00011865"/>
    <w:rsid w:val="000118CF"/>
    <w:rsid w:val="0001190B"/>
    <w:rsid w:val="00011972"/>
    <w:rsid w:val="000119A3"/>
    <w:rsid w:val="00011A57"/>
    <w:rsid w:val="00011B32"/>
    <w:rsid w:val="00011B79"/>
    <w:rsid w:val="00011B93"/>
    <w:rsid w:val="00011BEA"/>
    <w:rsid w:val="00011C12"/>
    <w:rsid w:val="00011C7D"/>
    <w:rsid w:val="00011EC1"/>
    <w:rsid w:val="00011EE9"/>
    <w:rsid w:val="00011EFB"/>
    <w:rsid w:val="00011FA8"/>
    <w:rsid w:val="00012008"/>
    <w:rsid w:val="000120ED"/>
    <w:rsid w:val="00012124"/>
    <w:rsid w:val="00012167"/>
    <w:rsid w:val="0001219D"/>
    <w:rsid w:val="0001222D"/>
    <w:rsid w:val="00012248"/>
    <w:rsid w:val="00012250"/>
    <w:rsid w:val="0001232F"/>
    <w:rsid w:val="000123F1"/>
    <w:rsid w:val="00012567"/>
    <w:rsid w:val="0001258A"/>
    <w:rsid w:val="00012590"/>
    <w:rsid w:val="000125B4"/>
    <w:rsid w:val="00012694"/>
    <w:rsid w:val="000126A7"/>
    <w:rsid w:val="000126B2"/>
    <w:rsid w:val="0001285D"/>
    <w:rsid w:val="000129E7"/>
    <w:rsid w:val="00012B1A"/>
    <w:rsid w:val="00012C17"/>
    <w:rsid w:val="00012C70"/>
    <w:rsid w:val="00012CE2"/>
    <w:rsid w:val="00012D3D"/>
    <w:rsid w:val="00012D7F"/>
    <w:rsid w:val="00012E54"/>
    <w:rsid w:val="00012E59"/>
    <w:rsid w:val="00012E96"/>
    <w:rsid w:val="00012E9E"/>
    <w:rsid w:val="00012EBC"/>
    <w:rsid w:val="00012ED7"/>
    <w:rsid w:val="00012FAF"/>
    <w:rsid w:val="00012FCE"/>
    <w:rsid w:val="000130BD"/>
    <w:rsid w:val="000130F0"/>
    <w:rsid w:val="000131FD"/>
    <w:rsid w:val="000132B8"/>
    <w:rsid w:val="000132E7"/>
    <w:rsid w:val="00013344"/>
    <w:rsid w:val="0001337F"/>
    <w:rsid w:val="00013426"/>
    <w:rsid w:val="00013459"/>
    <w:rsid w:val="0001356B"/>
    <w:rsid w:val="000135E1"/>
    <w:rsid w:val="0001364C"/>
    <w:rsid w:val="000136B1"/>
    <w:rsid w:val="000136CC"/>
    <w:rsid w:val="0001372C"/>
    <w:rsid w:val="0001377A"/>
    <w:rsid w:val="000137BB"/>
    <w:rsid w:val="00013897"/>
    <w:rsid w:val="00013940"/>
    <w:rsid w:val="00013944"/>
    <w:rsid w:val="000139B6"/>
    <w:rsid w:val="000139B9"/>
    <w:rsid w:val="000139DE"/>
    <w:rsid w:val="00013A04"/>
    <w:rsid w:val="00013A28"/>
    <w:rsid w:val="00013AFB"/>
    <w:rsid w:val="00013B66"/>
    <w:rsid w:val="00013BA5"/>
    <w:rsid w:val="00013BD9"/>
    <w:rsid w:val="00013C64"/>
    <w:rsid w:val="00013CDF"/>
    <w:rsid w:val="00013E24"/>
    <w:rsid w:val="00013E57"/>
    <w:rsid w:val="00013E88"/>
    <w:rsid w:val="00013ECF"/>
    <w:rsid w:val="00013EF0"/>
    <w:rsid w:val="00013F4C"/>
    <w:rsid w:val="0001403B"/>
    <w:rsid w:val="000141E2"/>
    <w:rsid w:val="00014260"/>
    <w:rsid w:val="000142A3"/>
    <w:rsid w:val="00014305"/>
    <w:rsid w:val="00014339"/>
    <w:rsid w:val="0001444F"/>
    <w:rsid w:val="00014463"/>
    <w:rsid w:val="000144AA"/>
    <w:rsid w:val="00014541"/>
    <w:rsid w:val="00014572"/>
    <w:rsid w:val="00014638"/>
    <w:rsid w:val="00014676"/>
    <w:rsid w:val="000146C5"/>
    <w:rsid w:val="000146EE"/>
    <w:rsid w:val="000146FD"/>
    <w:rsid w:val="0001482F"/>
    <w:rsid w:val="00014A29"/>
    <w:rsid w:val="00014A71"/>
    <w:rsid w:val="00014AE4"/>
    <w:rsid w:val="00014B20"/>
    <w:rsid w:val="00014B96"/>
    <w:rsid w:val="00014BAA"/>
    <w:rsid w:val="00014C54"/>
    <w:rsid w:val="00014C62"/>
    <w:rsid w:val="00014CBB"/>
    <w:rsid w:val="00014DA2"/>
    <w:rsid w:val="00014E1A"/>
    <w:rsid w:val="00014E40"/>
    <w:rsid w:val="00014EF9"/>
    <w:rsid w:val="00014FA8"/>
    <w:rsid w:val="0001503B"/>
    <w:rsid w:val="00015087"/>
    <w:rsid w:val="000150DF"/>
    <w:rsid w:val="0001511B"/>
    <w:rsid w:val="0001513D"/>
    <w:rsid w:val="0001518A"/>
    <w:rsid w:val="000151E8"/>
    <w:rsid w:val="0001523A"/>
    <w:rsid w:val="00015255"/>
    <w:rsid w:val="000152DB"/>
    <w:rsid w:val="00015373"/>
    <w:rsid w:val="000153BF"/>
    <w:rsid w:val="000153F4"/>
    <w:rsid w:val="0001540A"/>
    <w:rsid w:val="0001544E"/>
    <w:rsid w:val="0001547F"/>
    <w:rsid w:val="0001548D"/>
    <w:rsid w:val="000154C5"/>
    <w:rsid w:val="000154FC"/>
    <w:rsid w:val="000156FB"/>
    <w:rsid w:val="00015714"/>
    <w:rsid w:val="0001574E"/>
    <w:rsid w:val="000157F4"/>
    <w:rsid w:val="00015874"/>
    <w:rsid w:val="00015879"/>
    <w:rsid w:val="0001596E"/>
    <w:rsid w:val="00015A45"/>
    <w:rsid w:val="00015AC2"/>
    <w:rsid w:val="00015B60"/>
    <w:rsid w:val="00015C03"/>
    <w:rsid w:val="00015CE9"/>
    <w:rsid w:val="00015D44"/>
    <w:rsid w:val="00015DA9"/>
    <w:rsid w:val="00015E19"/>
    <w:rsid w:val="00016041"/>
    <w:rsid w:val="00016098"/>
    <w:rsid w:val="000161AA"/>
    <w:rsid w:val="000161D9"/>
    <w:rsid w:val="00016477"/>
    <w:rsid w:val="000165A1"/>
    <w:rsid w:val="000165AC"/>
    <w:rsid w:val="0001673E"/>
    <w:rsid w:val="00016868"/>
    <w:rsid w:val="0001697F"/>
    <w:rsid w:val="0001698F"/>
    <w:rsid w:val="0001699E"/>
    <w:rsid w:val="00016A9F"/>
    <w:rsid w:val="00016ACC"/>
    <w:rsid w:val="00016EDE"/>
    <w:rsid w:val="00016F46"/>
    <w:rsid w:val="00016FBC"/>
    <w:rsid w:val="0001708D"/>
    <w:rsid w:val="00017093"/>
    <w:rsid w:val="00017098"/>
    <w:rsid w:val="000170FB"/>
    <w:rsid w:val="00017130"/>
    <w:rsid w:val="000171A5"/>
    <w:rsid w:val="000171D1"/>
    <w:rsid w:val="0001722C"/>
    <w:rsid w:val="000172E7"/>
    <w:rsid w:val="0001738B"/>
    <w:rsid w:val="000173D2"/>
    <w:rsid w:val="000173F4"/>
    <w:rsid w:val="000174A4"/>
    <w:rsid w:val="000174C2"/>
    <w:rsid w:val="000174C8"/>
    <w:rsid w:val="00017502"/>
    <w:rsid w:val="00017507"/>
    <w:rsid w:val="00017566"/>
    <w:rsid w:val="00017594"/>
    <w:rsid w:val="000175AC"/>
    <w:rsid w:val="00017607"/>
    <w:rsid w:val="0001768A"/>
    <w:rsid w:val="000176BF"/>
    <w:rsid w:val="000176FA"/>
    <w:rsid w:val="00017774"/>
    <w:rsid w:val="00017786"/>
    <w:rsid w:val="000178CD"/>
    <w:rsid w:val="00017929"/>
    <w:rsid w:val="00017992"/>
    <w:rsid w:val="00017A1F"/>
    <w:rsid w:val="00017A72"/>
    <w:rsid w:val="00017A73"/>
    <w:rsid w:val="00017AA7"/>
    <w:rsid w:val="00017BB0"/>
    <w:rsid w:val="00017BD2"/>
    <w:rsid w:val="00017BE4"/>
    <w:rsid w:val="00017C35"/>
    <w:rsid w:val="00017C8D"/>
    <w:rsid w:val="00017CFB"/>
    <w:rsid w:val="00017D2D"/>
    <w:rsid w:val="00017E86"/>
    <w:rsid w:val="00017EF9"/>
    <w:rsid w:val="00017F16"/>
    <w:rsid w:val="0002004B"/>
    <w:rsid w:val="0002008D"/>
    <w:rsid w:val="0002018D"/>
    <w:rsid w:val="000201FF"/>
    <w:rsid w:val="00020246"/>
    <w:rsid w:val="000202CD"/>
    <w:rsid w:val="0002034B"/>
    <w:rsid w:val="00020459"/>
    <w:rsid w:val="00020523"/>
    <w:rsid w:val="0002063A"/>
    <w:rsid w:val="000206EF"/>
    <w:rsid w:val="00020722"/>
    <w:rsid w:val="000207A8"/>
    <w:rsid w:val="00020832"/>
    <w:rsid w:val="000208EF"/>
    <w:rsid w:val="00020930"/>
    <w:rsid w:val="0002094B"/>
    <w:rsid w:val="0002096C"/>
    <w:rsid w:val="0002097B"/>
    <w:rsid w:val="000209A7"/>
    <w:rsid w:val="00020A83"/>
    <w:rsid w:val="00020AC1"/>
    <w:rsid w:val="00020B30"/>
    <w:rsid w:val="00020B95"/>
    <w:rsid w:val="00020CE4"/>
    <w:rsid w:val="00020D0D"/>
    <w:rsid w:val="00020D2F"/>
    <w:rsid w:val="00020E9A"/>
    <w:rsid w:val="00020ED4"/>
    <w:rsid w:val="00020F64"/>
    <w:rsid w:val="00020FFD"/>
    <w:rsid w:val="00021136"/>
    <w:rsid w:val="00021250"/>
    <w:rsid w:val="00021309"/>
    <w:rsid w:val="00021374"/>
    <w:rsid w:val="000213AD"/>
    <w:rsid w:val="00021414"/>
    <w:rsid w:val="0002146E"/>
    <w:rsid w:val="000214F6"/>
    <w:rsid w:val="00021591"/>
    <w:rsid w:val="000216CB"/>
    <w:rsid w:val="00021740"/>
    <w:rsid w:val="00021793"/>
    <w:rsid w:val="000217D6"/>
    <w:rsid w:val="00021849"/>
    <w:rsid w:val="00021852"/>
    <w:rsid w:val="000218D4"/>
    <w:rsid w:val="00021945"/>
    <w:rsid w:val="00021962"/>
    <w:rsid w:val="0002199F"/>
    <w:rsid w:val="00021C9F"/>
    <w:rsid w:val="00021E09"/>
    <w:rsid w:val="00021E0F"/>
    <w:rsid w:val="00021E32"/>
    <w:rsid w:val="00021ED6"/>
    <w:rsid w:val="00021F3A"/>
    <w:rsid w:val="000220AD"/>
    <w:rsid w:val="00022112"/>
    <w:rsid w:val="0002213B"/>
    <w:rsid w:val="0002218D"/>
    <w:rsid w:val="000221A5"/>
    <w:rsid w:val="000221B9"/>
    <w:rsid w:val="000221CA"/>
    <w:rsid w:val="0002227D"/>
    <w:rsid w:val="000222F2"/>
    <w:rsid w:val="00022300"/>
    <w:rsid w:val="00022350"/>
    <w:rsid w:val="000223B3"/>
    <w:rsid w:val="000224C8"/>
    <w:rsid w:val="000224CA"/>
    <w:rsid w:val="000224DE"/>
    <w:rsid w:val="00022519"/>
    <w:rsid w:val="000225C9"/>
    <w:rsid w:val="000225D9"/>
    <w:rsid w:val="000225F0"/>
    <w:rsid w:val="0002266E"/>
    <w:rsid w:val="000226CF"/>
    <w:rsid w:val="0002281F"/>
    <w:rsid w:val="000228A4"/>
    <w:rsid w:val="000228A5"/>
    <w:rsid w:val="000228AA"/>
    <w:rsid w:val="000228E4"/>
    <w:rsid w:val="00022A21"/>
    <w:rsid w:val="00022A8A"/>
    <w:rsid w:val="00022AD5"/>
    <w:rsid w:val="00022B81"/>
    <w:rsid w:val="00022B8E"/>
    <w:rsid w:val="00022C21"/>
    <w:rsid w:val="00022C4F"/>
    <w:rsid w:val="00022C7C"/>
    <w:rsid w:val="00022CEC"/>
    <w:rsid w:val="00022D65"/>
    <w:rsid w:val="00022D75"/>
    <w:rsid w:val="00022EDA"/>
    <w:rsid w:val="00022F48"/>
    <w:rsid w:val="00022FF4"/>
    <w:rsid w:val="00023082"/>
    <w:rsid w:val="0002308A"/>
    <w:rsid w:val="0002309A"/>
    <w:rsid w:val="0002318E"/>
    <w:rsid w:val="000231B8"/>
    <w:rsid w:val="0002329A"/>
    <w:rsid w:val="00023310"/>
    <w:rsid w:val="000233EB"/>
    <w:rsid w:val="000234CF"/>
    <w:rsid w:val="000234E1"/>
    <w:rsid w:val="000235F6"/>
    <w:rsid w:val="00023972"/>
    <w:rsid w:val="000239CF"/>
    <w:rsid w:val="00023AD4"/>
    <w:rsid w:val="00023B1A"/>
    <w:rsid w:val="00023B4F"/>
    <w:rsid w:val="00023CB5"/>
    <w:rsid w:val="00023E88"/>
    <w:rsid w:val="00023E90"/>
    <w:rsid w:val="00023ECA"/>
    <w:rsid w:val="00023F5E"/>
    <w:rsid w:val="00023FFF"/>
    <w:rsid w:val="000240CD"/>
    <w:rsid w:val="000240FD"/>
    <w:rsid w:val="00024164"/>
    <w:rsid w:val="000241D9"/>
    <w:rsid w:val="00024248"/>
    <w:rsid w:val="000242BB"/>
    <w:rsid w:val="000242E5"/>
    <w:rsid w:val="000243B4"/>
    <w:rsid w:val="000243BA"/>
    <w:rsid w:val="000243F7"/>
    <w:rsid w:val="000244AE"/>
    <w:rsid w:val="00024503"/>
    <w:rsid w:val="0002457D"/>
    <w:rsid w:val="00024593"/>
    <w:rsid w:val="000245D4"/>
    <w:rsid w:val="00024613"/>
    <w:rsid w:val="00024689"/>
    <w:rsid w:val="00024705"/>
    <w:rsid w:val="0002482F"/>
    <w:rsid w:val="000248D1"/>
    <w:rsid w:val="000248E5"/>
    <w:rsid w:val="00024960"/>
    <w:rsid w:val="00024999"/>
    <w:rsid w:val="00024ABB"/>
    <w:rsid w:val="00024ABE"/>
    <w:rsid w:val="00024B93"/>
    <w:rsid w:val="00024C44"/>
    <w:rsid w:val="00024C71"/>
    <w:rsid w:val="00024CA7"/>
    <w:rsid w:val="00024D8D"/>
    <w:rsid w:val="00025051"/>
    <w:rsid w:val="000250A5"/>
    <w:rsid w:val="000250B7"/>
    <w:rsid w:val="00025173"/>
    <w:rsid w:val="00025189"/>
    <w:rsid w:val="0002520A"/>
    <w:rsid w:val="00025251"/>
    <w:rsid w:val="00025257"/>
    <w:rsid w:val="00025516"/>
    <w:rsid w:val="00025534"/>
    <w:rsid w:val="000257A4"/>
    <w:rsid w:val="000257BE"/>
    <w:rsid w:val="000257F5"/>
    <w:rsid w:val="00025817"/>
    <w:rsid w:val="00025836"/>
    <w:rsid w:val="000259BD"/>
    <w:rsid w:val="00025AE9"/>
    <w:rsid w:val="00025BB6"/>
    <w:rsid w:val="00025BB9"/>
    <w:rsid w:val="00025BE1"/>
    <w:rsid w:val="00025C00"/>
    <w:rsid w:val="00025CBC"/>
    <w:rsid w:val="00025D10"/>
    <w:rsid w:val="00025E9F"/>
    <w:rsid w:val="000261C1"/>
    <w:rsid w:val="00026251"/>
    <w:rsid w:val="00026294"/>
    <w:rsid w:val="00026389"/>
    <w:rsid w:val="00026560"/>
    <w:rsid w:val="00026585"/>
    <w:rsid w:val="000265EC"/>
    <w:rsid w:val="000265F1"/>
    <w:rsid w:val="00026641"/>
    <w:rsid w:val="00026705"/>
    <w:rsid w:val="000268D8"/>
    <w:rsid w:val="00026928"/>
    <w:rsid w:val="00026A04"/>
    <w:rsid w:val="00026A30"/>
    <w:rsid w:val="00026A71"/>
    <w:rsid w:val="00026C04"/>
    <w:rsid w:val="00026C27"/>
    <w:rsid w:val="00026C3C"/>
    <w:rsid w:val="00026CFC"/>
    <w:rsid w:val="00026ED2"/>
    <w:rsid w:val="00026F19"/>
    <w:rsid w:val="00026F65"/>
    <w:rsid w:val="00027160"/>
    <w:rsid w:val="00027169"/>
    <w:rsid w:val="00027278"/>
    <w:rsid w:val="00027435"/>
    <w:rsid w:val="000274E8"/>
    <w:rsid w:val="0002752C"/>
    <w:rsid w:val="00027532"/>
    <w:rsid w:val="0002760A"/>
    <w:rsid w:val="00027731"/>
    <w:rsid w:val="000277EF"/>
    <w:rsid w:val="000278AD"/>
    <w:rsid w:val="00027957"/>
    <w:rsid w:val="00027960"/>
    <w:rsid w:val="00027A26"/>
    <w:rsid w:val="00027AB8"/>
    <w:rsid w:val="00027AD5"/>
    <w:rsid w:val="00027B3F"/>
    <w:rsid w:val="00027B8E"/>
    <w:rsid w:val="00027C4C"/>
    <w:rsid w:val="00027D72"/>
    <w:rsid w:val="00027D7B"/>
    <w:rsid w:val="00027D8F"/>
    <w:rsid w:val="00027DD5"/>
    <w:rsid w:val="00027EBE"/>
    <w:rsid w:val="00027F01"/>
    <w:rsid w:val="0003005F"/>
    <w:rsid w:val="0003008B"/>
    <w:rsid w:val="000300AF"/>
    <w:rsid w:val="000300FB"/>
    <w:rsid w:val="000301E7"/>
    <w:rsid w:val="00030252"/>
    <w:rsid w:val="0003029C"/>
    <w:rsid w:val="0003030E"/>
    <w:rsid w:val="00030340"/>
    <w:rsid w:val="00030347"/>
    <w:rsid w:val="00030387"/>
    <w:rsid w:val="00030458"/>
    <w:rsid w:val="000304D0"/>
    <w:rsid w:val="0003056B"/>
    <w:rsid w:val="0003061F"/>
    <w:rsid w:val="0003066B"/>
    <w:rsid w:val="0003075F"/>
    <w:rsid w:val="0003080C"/>
    <w:rsid w:val="0003084E"/>
    <w:rsid w:val="0003087C"/>
    <w:rsid w:val="000308DA"/>
    <w:rsid w:val="000308FA"/>
    <w:rsid w:val="00030942"/>
    <w:rsid w:val="00030990"/>
    <w:rsid w:val="0003099A"/>
    <w:rsid w:val="000309A6"/>
    <w:rsid w:val="00030A16"/>
    <w:rsid w:val="00030A78"/>
    <w:rsid w:val="00030A7A"/>
    <w:rsid w:val="00030AC8"/>
    <w:rsid w:val="00030BB9"/>
    <w:rsid w:val="00030C2E"/>
    <w:rsid w:val="00030C90"/>
    <w:rsid w:val="00030DAC"/>
    <w:rsid w:val="00030DF2"/>
    <w:rsid w:val="00030E0F"/>
    <w:rsid w:val="00030FA8"/>
    <w:rsid w:val="00031140"/>
    <w:rsid w:val="00031186"/>
    <w:rsid w:val="0003119F"/>
    <w:rsid w:val="0003125B"/>
    <w:rsid w:val="0003127F"/>
    <w:rsid w:val="000312B7"/>
    <w:rsid w:val="0003134F"/>
    <w:rsid w:val="0003139A"/>
    <w:rsid w:val="00031471"/>
    <w:rsid w:val="0003152C"/>
    <w:rsid w:val="000315D6"/>
    <w:rsid w:val="0003164E"/>
    <w:rsid w:val="000316B4"/>
    <w:rsid w:val="000317A1"/>
    <w:rsid w:val="000317CB"/>
    <w:rsid w:val="000317F1"/>
    <w:rsid w:val="00031857"/>
    <w:rsid w:val="000319C5"/>
    <w:rsid w:val="000319D9"/>
    <w:rsid w:val="000319FC"/>
    <w:rsid w:val="00031A15"/>
    <w:rsid w:val="00031A46"/>
    <w:rsid w:val="00031B50"/>
    <w:rsid w:val="00031C6D"/>
    <w:rsid w:val="00031CDC"/>
    <w:rsid w:val="00031D08"/>
    <w:rsid w:val="00031DC4"/>
    <w:rsid w:val="00031DD4"/>
    <w:rsid w:val="00031DFF"/>
    <w:rsid w:val="00031E36"/>
    <w:rsid w:val="00031E6E"/>
    <w:rsid w:val="00031EE1"/>
    <w:rsid w:val="00031F59"/>
    <w:rsid w:val="00031FA5"/>
    <w:rsid w:val="00031FE4"/>
    <w:rsid w:val="00032077"/>
    <w:rsid w:val="0003210F"/>
    <w:rsid w:val="00032204"/>
    <w:rsid w:val="000322FD"/>
    <w:rsid w:val="0003233A"/>
    <w:rsid w:val="0003237D"/>
    <w:rsid w:val="0003237F"/>
    <w:rsid w:val="00032404"/>
    <w:rsid w:val="0003251D"/>
    <w:rsid w:val="000325A1"/>
    <w:rsid w:val="000325AB"/>
    <w:rsid w:val="0003261A"/>
    <w:rsid w:val="000326D2"/>
    <w:rsid w:val="00032753"/>
    <w:rsid w:val="00032784"/>
    <w:rsid w:val="00032A20"/>
    <w:rsid w:val="00032ABA"/>
    <w:rsid w:val="00032ADC"/>
    <w:rsid w:val="00032B09"/>
    <w:rsid w:val="00032B87"/>
    <w:rsid w:val="00032BB6"/>
    <w:rsid w:val="00032BE8"/>
    <w:rsid w:val="00032C19"/>
    <w:rsid w:val="00032C93"/>
    <w:rsid w:val="00032CC3"/>
    <w:rsid w:val="00033079"/>
    <w:rsid w:val="000330C2"/>
    <w:rsid w:val="000330DA"/>
    <w:rsid w:val="000330EE"/>
    <w:rsid w:val="00033183"/>
    <w:rsid w:val="0003319D"/>
    <w:rsid w:val="000331E4"/>
    <w:rsid w:val="000331F0"/>
    <w:rsid w:val="0003338D"/>
    <w:rsid w:val="000334F6"/>
    <w:rsid w:val="00033619"/>
    <w:rsid w:val="00033682"/>
    <w:rsid w:val="000336BE"/>
    <w:rsid w:val="000336C9"/>
    <w:rsid w:val="00033854"/>
    <w:rsid w:val="00033945"/>
    <w:rsid w:val="00033967"/>
    <w:rsid w:val="000339D5"/>
    <w:rsid w:val="00033A9C"/>
    <w:rsid w:val="00033AA1"/>
    <w:rsid w:val="00033AFC"/>
    <w:rsid w:val="00033B05"/>
    <w:rsid w:val="00033BEC"/>
    <w:rsid w:val="00033C03"/>
    <w:rsid w:val="00033D6F"/>
    <w:rsid w:val="00033DFE"/>
    <w:rsid w:val="00033E40"/>
    <w:rsid w:val="00033EA1"/>
    <w:rsid w:val="00033F01"/>
    <w:rsid w:val="00033F93"/>
    <w:rsid w:val="00034185"/>
    <w:rsid w:val="0003425E"/>
    <w:rsid w:val="00034395"/>
    <w:rsid w:val="000343E3"/>
    <w:rsid w:val="00034480"/>
    <w:rsid w:val="00034576"/>
    <w:rsid w:val="000345DD"/>
    <w:rsid w:val="000345F1"/>
    <w:rsid w:val="00034626"/>
    <w:rsid w:val="000346E7"/>
    <w:rsid w:val="00034739"/>
    <w:rsid w:val="00034768"/>
    <w:rsid w:val="000347A1"/>
    <w:rsid w:val="0003485C"/>
    <w:rsid w:val="00034885"/>
    <w:rsid w:val="00034894"/>
    <w:rsid w:val="0003492D"/>
    <w:rsid w:val="00034932"/>
    <w:rsid w:val="00034948"/>
    <w:rsid w:val="00034988"/>
    <w:rsid w:val="00034996"/>
    <w:rsid w:val="000349A1"/>
    <w:rsid w:val="000349A6"/>
    <w:rsid w:val="000349A9"/>
    <w:rsid w:val="00034B98"/>
    <w:rsid w:val="00034BBA"/>
    <w:rsid w:val="00034C69"/>
    <w:rsid w:val="00034CB4"/>
    <w:rsid w:val="00034D61"/>
    <w:rsid w:val="00034D64"/>
    <w:rsid w:val="00034DB7"/>
    <w:rsid w:val="00034E97"/>
    <w:rsid w:val="00034F26"/>
    <w:rsid w:val="0003506E"/>
    <w:rsid w:val="000350E4"/>
    <w:rsid w:val="000351D6"/>
    <w:rsid w:val="00035291"/>
    <w:rsid w:val="000352F2"/>
    <w:rsid w:val="0003534D"/>
    <w:rsid w:val="000354DE"/>
    <w:rsid w:val="00035594"/>
    <w:rsid w:val="00035659"/>
    <w:rsid w:val="000356C0"/>
    <w:rsid w:val="00035721"/>
    <w:rsid w:val="0003576A"/>
    <w:rsid w:val="000357DF"/>
    <w:rsid w:val="00035884"/>
    <w:rsid w:val="00035889"/>
    <w:rsid w:val="000358E8"/>
    <w:rsid w:val="000359FF"/>
    <w:rsid w:val="00035A5D"/>
    <w:rsid w:val="00035CAF"/>
    <w:rsid w:val="00035CE2"/>
    <w:rsid w:val="00035DDA"/>
    <w:rsid w:val="00035DE9"/>
    <w:rsid w:val="00035F27"/>
    <w:rsid w:val="00035F2B"/>
    <w:rsid w:val="00035F65"/>
    <w:rsid w:val="00035FA2"/>
    <w:rsid w:val="0003602F"/>
    <w:rsid w:val="00036041"/>
    <w:rsid w:val="0003615F"/>
    <w:rsid w:val="000361C2"/>
    <w:rsid w:val="00036235"/>
    <w:rsid w:val="00036241"/>
    <w:rsid w:val="000362B3"/>
    <w:rsid w:val="000362CD"/>
    <w:rsid w:val="000362DE"/>
    <w:rsid w:val="00036351"/>
    <w:rsid w:val="00036418"/>
    <w:rsid w:val="00036420"/>
    <w:rsid w:val="000365A5"/>
    <w:rsid w:val="0003675A"/>
    <w:rsid w:val="0003678B"/>
    <w:rsid w:val="00036818"/>
    <w:rsid w:val="00036849"/>
    <w:rsid w:val="000368C3"/>
    <w:rsid w:val="00036A0B"/>
    <w:rsid w:val="00036A43"/>
    <w:rsid w:val="00036A75"/>
    <w:rsid w:val="00036B18"/>
    <w:rsid w:val="00036B23"/>
    <w:rsid w:val="00036B64"/>
    <w:rsid w:val="00036BA2"/>
    <w:rsid w:val="00036BFA"/>
    <w:rsid w:val="00036C80"/>
    <w:rsid w:val="00036C83"/>
    <w:rsid w:val="00036C99"/>
    <w:rsid w:val="00036CC7"/>
    <w:rsid w:val="00036D29"/>
    <w:rsid w:val="00036D2D"/>
    <w:rsid w:val="00036DCF"/>
    <w:rsid w:val="00036E16"/>
    <w:rsid w:val="00036E3E"/>
    <w:rsid w:val="00036EE3"/>
    <w:rsid w:val="00036F2F"/>
    <w:rsid w:val="00036F31"/>
    <w:rsid w:val="00036F46"/>
    <w:rsid w:val="00036F50"/>
    <w:rsid w:val="000371C6"/>
    <w:rsid w:val="000371E8"/>
    <w:rsid w:val="00037269"/>
    <w:rsid w:val="000373F3"/>
    <w:rsid w:val="0003754F"/>
    <w:rsid w:val="00037597"/>
    <w:rsid w:val="000375BA"/>
    <w:rsid w:val="000375F0"/>
    <w:rsid w:val="00037619"/>
    <w:rsid w:val="0003762E"/>
    <w:rsid w:val="0003768F"/>
    <w:rsid w:val="000376B5"/>
    <w:rsid w:val="000377B8"/>
    <w:rsid w:val="00037A95"/>
    <w:rsid w:val="00037B16"/>
    <w:rsid w:val="00037B22"/>
    <w:rsid w:val="00037B89"/>
    <w:rsid w:val="00037C65"/>
    <w:rsid w:val="00037C7F"/>
    <w:rsid w:val="00037CFE"/>
    <w:rsid w:val="00037FE8"/>
    <w:rsid w:val="00040063"/>
    <w:rsid w:val="0004007B"/>
    <w:rsid w:val="00040098"/>
    <w:rsid w:val="000400B2"/>
    <w:rsid w:val="00040118"/>
    <w:rsid w:val="00040169"/>
    <w:rsid w:val="0004028D"/>
    <w:rsid w:val="00040359"/>
    <w:rsid w:val="0004039D"/>
    <w:rsid w:val="000403A8"/>
    <w:rsid w:val="000403F5"/>
    <w:rsid w:val="000403FA"/>
    <w:rsid w:val="00040456"/>
    <w:rsid w:val="0004046C"/>
    <w:rsid w:val="0004047F"/>
    <w:rsid w:val="0004049D"/>
    <w:rsid w:val="00040500"/>
    <w:rsid w:val="00040531"/>
    <w:rsid w:val="0004061D"/>
    <w:rsid w:val="00040624"/>
    <w:rsid w:val="00040742"/>
    <w:rsid w:val="00040835"/>
    <w:rsid w:val="000408C0"/>
    <w:rsid w:val="00040939"/>
    <w:rsid w:val="00040991"/>
    <w:rsid w:val="00040A6B"/>
    <w:rsid w:val="00040BE1"/>
    <w:rsid w:val="00040E08"/>
    <w:rsid w:val="00040ED4"/>
    <w:rsid w:val="00040F08"/>
    <w:rsid w:val="00040FC4"/>
    <w:rsid w:val="000410CD"/>
    <w:rsid w:val="000410F5"/>
    <w:rsid w:val="000411C3"/>
    <w:rsid w:val="000412B3"/>
    <w:rsid w:val="000412D7"/>
    <w:rsid w:val="00041310"/>
    <w:rsid w:val="0004135C"/>
    <w:rsid w:val="00041373"/>
    <w:rsid w:val="0004138A"/>
    <w:rsid w:val="000415E3"/>
    <w:rsid w:val="00041604"/>
    <w:rsid w:val="00041709"/>
    <w:rsid w:val="000417AF"/>
    <w:rsid w:val="0004192B"/>
    <w:rsid w:val="00041964"/>
    <w:rsid w:val="0004196F"/>
    <w:rsid w:val="00041A2E"/>
    <w:rsid w:val="00041B21"/>
    <w:rsid w:val="00041B45"/>
    <w:rsid w:val="00041C1C"/>
    <w:rsid w:val="00041C63"/>
    <w:rsid w:val="00041C95"/>
    <w:rsid w:val="00041D26"/>
    <w:rsid w:val="00041DAC"/>
    <w:rsid w:val="00041DFC"/>
    <w:rsid w:val="00041E30"/>
    <w:rsid w:val="00041EDD"/>
    <w:rsid w:val="00041F33"/>
    <w:rsid w:val="00041F97"/>
    <w:rsid w:val="00041FCD"/>
    <w:rsid w:val="00041FCE"/>
    <w:rsid w:val="0004204F"/>
    <w:rsid w:val="00042098"/>
    <w:rsid w:val="000420F0"/>
    <w:rsid w:val="000420FF"/>
    <w:rsid w:val="00042123"/>
    <w:rsid w:val="00042124"/>
    <w:rsid w:val="00042142"/>
    <w:rsid w:val="0004217A"/>
    <w:rsid w:val="00042280"/>
    <w:rsid w:val="00042298"/>
    <w:rsid w:val="00042323"/>
    <w:rsid w:val="00042380"/>
    <w:rsid w:val="000425B7"/>
    <w:rsid w:val="000425CB"/>
    <w:rsid w:val="000425EE"/>
    <w:rsid w:val="000427B7"/>
    <w:rsid w:val="0004290A"/>
    <w:rsid w:val="00042A22"/>
    <w:rsid w:val="00042B06"/>
    <w:rsid w:val="00042BAE"/>
    <w:rsid w:val="00042C62"/>
    <w:rsid w:val="00042CAF"/>
    <w:rsid w:val="00042CC6"/>
    <w:rsid w:val="00042D36"/>
    <w:rsid w:val="00042D93"/>
    <w:rsid w:val="00042FA8"/>
    <w:rsid w:val="0004305E"/>
    <w:rsid w:val="00043116"/>
    <w:rsid w:val="000431DB"/>
    <w:rsid w:val="000431E4"/>
    <w:rsid w:val="0004323B"/>
    <w:rsid w:val="0004333E"/>
    <w:rsid w:val="000433D7"/>
    <w:rsid w:val="00043434"/>
    <w:rsid w:val="000434BD"/>
    <w:rsid w:val="000434F8"/>
    <w:rsid w:val="0004352E"/>
    <w:rsid w:val="00043603"/>
    <w:rsid w:val="00043621"/>
    <w:rsid w:val="000436E1"/>
    <w:rsid w:val="000437BB"/>
    <w:rsid w:val="00043834"/>
    <w:rsid w:val="00043865"/>
    <w:rsid w:val="00043894"/>
    <w:rsid w:val="00043981"/>
    <w:rsid w:val="0004398D"/>
    <w:rsid w:val="00043A16"/>
    <w:rsid w:val="00043A43"/>
    <w:rsid w:val="00043AED"/>
    <w:rsid w:val="00043B06"/>
    <w:rsid w:val="00043BAD"/>
    <w:rsid w:val="00043C06"/>
    <w:rsid w:val="00043C08"/>
    <w:rsid w:val="00043C15"/>
    <w:rsid w:val="00043C86"/>
    <w:rsid w:val="00043E21"/>
    <w:rsid w:val="00043E26"/>
    <w:rsid w:val="00043E81"/>
    <w:rsid w:val="00043F34"/>
    <w:rsid w:val="00044008"/>
    <w:rsid w:val="00044056"/>
    <w:rsid w:val="000440C7"/>
    <w:rsid w:val="000440D6"/>
    <w:rsid w:val="000440DE"/>
    <w:rsid w:val="0004418D"/>
    <w:rsid w:val="000441D4"/>
    <w:rsid w:val="000441E7"/>
    <w:rsid w:val="000441F9"/>
    <w:rsid w:val="0004426A"/>
    <w:rsid w:val="0004429E"/>
    <w:rsid w:val="000442C0"/>
    <w:rsid w:val="000443B7"/>
    <w:rsid w:val="000443F8"/>
    <w:rsid w:val="00044632"/>
    <w:rsid w:val="00044769"/>
    <w:rsid w:val="000447A2"/>
    <w:rsid w:val="000447B3"/>
    <w:rsid w:val="00044850"/>
    <w:rsid w:val="000448C9"/>
    <w:rsid w:val="0004499A"/>
    <w:rsid w:val="00044A3E"/>
    <w:rsid w:val="00044A47"/>
    <w:rsid w:val="00044A4C"/>
    <w:rsid w:val="00044A7C"/>
    <w:rsid w:val="00044B1A"/>
    <w:rsid w:val="00044C20"/>
    <w:rsid w:val="00044D54"/>
    <w:rsid w:val="00044D7C"/>
    <w:rsid w:val="00044DA2"/>
    <w:rsid w:val="00044E08"/>
    <w:rsid w:val="00044E79"/>
    <w:rsid w:val="00044E98"/>
    <w:rsid w:val="00044F00"/>
    <w:rsid w:val="00044F31"/>
    <w:rsid w:val="00044F64"/>
    <w:rsid w:val="00044F80"/>
    <w:rsid w:val="00044FAE"/>
    <w:rsid w:val="00045083"/>
    <w:rsid w:val="00045092"/>
    <w:rsid w:val="0004511B"/>
    <w:rsid w:val="000451D8"/>
    <w:rsid w:val="00045214"/>
    <w:rsid w:val="00045302"/>
    <w:rsid w:val="0004549A"/>
    <w:rsid w:val="00045520"/>
    <w:rsid w:val="00045591"/>
    <w:rsid w:val="000455C2"/>
    <w:rsid w:val="000455CC"/>
    <w:rsid w:val="00045614"/>
    <w:rsid w:val="00045623"/>
    <w:rsid w:val="00045719"/>
    <w:rsid w:val="000457FA"/>
    <w:rsid w:val="000458E8"/>
    <w:rsid w:val="00045A16"/>
    <w:rsid w:val="00045BCE"/>
    <w:rsid w:val="00045CA7"/>
    <w:rsid w:val="00045CAC"/>
    <w:rsid w:val="00045CD1"/>
    <w:rsid w:val="00045CFD"/>
    <w:rsid w:val="00045DE5"/>
    <w:rsid w:val="00045E2B"/>
    <w:rsid w:val="00045E47"/>
    <w:rsid w:val="00045F8C"/>
    <w:rsid w:val="00045FDF"/>
    <w:rsid w:val="000460C5"/>
    <w:rsid w:val="00046105"/>
    <w:rsid w:val="00046110"/>
    <w:rsid w:val="00046221"/>
    <w:rsid w:val="00046289"/>
    <w:rsid w:val="0004635A"/>
    <w:rsid w:val="000463B0"/>
    <w:rsid w:val="000463CE"/>
    <w:rsid w:val="000463E6"/>
    <w:rsid w:val="00046456"/>
    <w:rsid w:val="00046458"/>
    <w:rsid w:val="000464B9"/>
    <w:rsid w:val="00046605"/>
    <w:rsid w:val="00046642"/>
    <w:rsid w:val="00046644"/>
    <w:rsid w:val="00046744"/>
    <w:rsid w:val="00046828"/>
    <w:rsid w:val="000469DD"/>
    <w:rsid w:val="00046ABF"/>
    <w:rsid w:val="00046BD0"/>
    <w:rsid w:val="00046BDB"/>
    <w:rsid w:val="00046C05"/>
    <w:rsid w:val="00046C27"/>
    <w:rsid w:val="00046C75"/>
    <w:rsid w:val="00046CEF"/>
    <w:rsid w:val="00046D4A"/>
    <w:rsid w:val="00046DA5"/>
    <w:rsid w:val="00046EE6"/>
    <w:rsid w:val="00046EF8"/>
    <w:rsid w:val="00046F0E"/>
    <w:rsid w:val="00046F7F"/>
    <w:rsid w:val="0004708F"/>
    <w:rsid w:val="000470DC"/>
    <w:rsid w:val="000471B8"/>
    <w:rsid w:val="000471D8"/>
    <w:rsid w:val="0004732F"/>
    <w:rsid w:val="00047443"/>
    <w:rsid w:val="000474D4"/>
    <w:rsid w:val="000474FA"/>
    <w:rsid w:val="0004752F"/>
    <w:rsid w:val="0004753E"/>
    <w:rsid w:val="000475A5"/>
    <w:rsid w:val="00047644"/>
    <w:rsid w:val="0004767D"/>
    <w:rsid w:val="0004767F"/>
    <w:rsid w:val="000476F4"/>
    <w:rsid w:val="000476F7"/>
    <w:rsid w:val="00047740"/>
    <w:rsid w:val="0004777C"/>
    <w:rsid w:val="0004777F"/>
    <w:rsid w:val="000477E6"/>
    <w:rsid w:val="00047894"/>
    <w:rsid w:val="00047910"/>
    <w:rsid w:val="00047A69"/>
    <w:rsid w:val="00047A76"/>
    <w:rsid w:val="00047B0E"/>
    <w:rsid w:val="00047B31"/>
    <w:rsid w:val="00047B80"/>
    <w:rsid w:val="00047C36"/>
    <w:rsid w:val="00047D09"/>
    <w:rsid w:val="00047DA2"/>
    <w:rsid w:val="00047DE3"/>
    <w:rsid w:val="00047DE5"/>
    <w:rsid w:val="00047E56"/>
    <w:rsid w:val="00047F20"/>
    <w:rsid w:val="00047F72"/>
    <w:rsid w:val="00047F76"/>
    <w:rsid w:val="00050073"/>
    <w:rsid w:val="000500C3"/>
    <w:rsid w:val="000500F4"/>
    <w:rsid w:val="00050296"/>
    <w:rsid w:val="000502EA"/>
    <w:rsid w:val="00050315"/>
    <w:rsid w:val="000503C0"/>
    <w:rsid w:val="000504A9"/>
    <w:rsid w:val="000504B9"/>
    <w:rsid w:val="000504D3"/>
    <w:rsid w:val="00050500"/>
    <w:rsid w:val="000505A0"/>
    <w:rsid w:val="00050792"/>
    <w:rsid w:val="000507BB"/>
    <w:rsid w:val="000507D0"/>
    <w:rsid w:val="000508D7"/>
    <w:rsid w:val="00050963"/>
    <w:rsid w:val="00050A77"/>
    <w:rsid w:val="00050AB8"/>
    <w:rsid w:val="00050ADF"/>
    <w:rsid w:val="00050AE3"/>
    <w:rsid w:val="00050B47"/>
    <w:rsid w:val="00050BC0"/>
    <w:rsid w:val="00050C79"/>
    <w:rsid w:val="00050CA3"/>
    <w:rsid w:val="00050D01"/>
    <w:rsid w:val="00050D30"/>
    <w:rsid w:val="00050ED4"/>
    <w:rsid w:val="00050F9E"/>
    <w:rsid w:val="00050FE8"/>
    <w:rsid w:val="000510D9"/>
    <w:rsid w:val="000511A3"/>
    <w:rsid w:val="00051282"/>
    <w:rsid w:val="000513F9"/>
    <w:rsid w:val="0005143F"/>
    <w:rsid w:val="0005151B"/>
    <w:rsid w:val="00051527"/>
    <w:rsid w:val="00051596"/>
    <w:rsid w:val="000515A1"/>
    <w:rsid w:val="0005170F"/>
    <w:rsid w:val="00051710"/>
    <w:rsid w:val="00051743"/>
    <w:rsid w:val="0005175E"/>
    <w:rsid w:val="000517CC"/>
    <w:rsid w:val="000517CE"/>
    <w:rsid w:val="00051836"/>
    <w:rsid w:val="000518BB"/>
    <w:rsid w:val="000518F3"/>
    <w:rsid w:val="00051977"/>
    <w:rsid w:val="00051AF8"/>
    <w:rsid w:val="00051BAD"/>
    <w:rsid w:val="00051BEE"/>
    <w:rsid w:val="00051BFE"/>
    <w:rsid w:val="00051C05"/>
    <w:rsid w:val="00051C8B"/>
    <w:rsid w:val="00051CB0"/>
    <w:rsid w:val="00051CFF"/>
    <w:rsid w:val="00051E0B"/>
    <w:rsid w:val="00051E11"/>
    <w:rsid w:val="00051E3D"/>
    <w:rsid w:val="00051E50"/>
    <w:rsid w:val="00051EF3"/>
    <w:rsid w:val="00051F28"/>
    <w:rsid w:val="00051F32"/>
    <w:rsid w:val="00051FA1"/>
    <w:rsid w:val="0005216E"/>
    <w:rsid w:val="000521AA"/>
    <w:rsid w:val="000521ED"/>
    <w:rsid w:val="0005225E"/>
    <w:rsid w:val="00052262"/>
    <w:rsid w:val="000523A4"/>
    <w:rsid w:val="0005249B"/>
    <w:rsid w:val="00052600"/>
    <w:rsid w:val="00052626"/>
    <w:rsid w:val="00052644"/>
    <w:rsid w:val="0005273B"/>
    <w:rsid w:val="000527D3"/>
    <w:rsid w:val="0005294B"/>
    <w:rsid w:val="000529D4"/>
    <w:rsid w:val="00052AE5"/>
    <w:rsid w:val="00052DAD"/>
    <w:rsid w:val="00052E68"/>
    <w:rsid w:val="00052E86"/>
    <w:rsid w:val="00052EB5"/>
    <w:rsid w:val="00052FA2"/>
    <w:rsid w:val="00052FF6"/>
    <w:rsid w:val="0005306A"/>
    <w:rsid w:val="00053089"/>
    <w:rsid w:val="000530B6"/>
    <w:rsid w:val="000530C0"/>
    <w:rsid w:val="00053160"/>
    <w:rsid w:val="000531E6"/>
    <w:rsid w:val="00053226"/>
    <w:rsid w:val="000532CE"/>
    <w:rsid w:val="000532DC"/>
    <w:rsid w:val="00053418"/>
    <w:rsid w:val="00053425"/>
    <w:rsid w:val="00053478"/>
    <w:rsid w:val="00053741"/>
    <w:rsid w:val="00053808"/>
    <w:rsid w:val="00053898"/>
    <w:rsid w:val="00053AE1"/>
    <w:rsid w:val="00053AEF"/>
    <w:rsid w:val="00053BBB"/>
    <w:rsid w:val="00053C9A"/>
    <w:rsid w:val="00053CA3"/>
    <w:rsid w:val="00053CC6"/>
    <w:rsid w:val="00053D02"/>
    <w:rsid w:val="00053D07"/>
    <w:rsid w:val="00053E42"/>
    <w:rsid w:val="00053ED1"/>
    <w:rsid w:val="00053EF2"/>
    <w:rsid w:val="00054148"/>
    <w:rsid w:val="00054260"/>
    <w:rsid w:val="000542BD"/>
    <w:rsid w:val="00054446"/>
    <w:rsid w:val="00054467"/>
    <w:rsid w:val="0005447F"/>
    <w:rsid w:val="0005454A"/>
    <w:rsid w:val="0005458A"/>
    <w:rsid w:val="000545D9"/>
    <w:rsid w:val="00054686"/>
    <w:rsid w:val="000546F0"/>
    <w:rsid w:val="00054730"/>
    <w:rsid w:val="000547A8"/>
    <w:rsid w:val="000547C7"/>
    <w:rsid w:val="00054833"/>
    <w:rsid w:val="00054841"/>
    <w:rsid w:val="00054844"/>
    <w:rsid w:val="00054916"/>
    <w:rsid w:val="00054A28"/>
    <w:rsid w:val="00054A46"/>
    <w:rsid w:val="00054B23"/>
    <w:rsid w:val="00054B63"/>
    <w:rsid w:val="00054C8F"/>
    <w:rsid w:val="00054C95"/>
    <w:rsid w:val="00054C99"/>
    <w:rsid w:val="00054EB6"/>
    <w:rsid w:val="00054F1B"/>
    <w:rsid w:val="00054F24"/>
    <w:rsid w:val="00054F74"/>
    <w:rsid w:val="00055016"/>
    <w:rsid w:val="00055045"/>
    <w:rsid w:val="0005512F"/>
    <w:rsid w:val="00055174"/>
    <w:rsid w:val="000551FE"/>
    <w:rsid w:val="0005521F"/>
    <w:rsid w:val="00055342"/>
    <w:rsid w:val="000553D2"/>
    <w:rsid w:val="000553DD"/>
    <w:rsid w:val="000553F0"/>
    <w:rsid w:val="0005541E"/>
    <w:rsid w:val="00055516"/>
    <w:rsid w:val="00055573"/>
    <w:rsid w:val="0005557F"/>
    <w:rsid w:val="0005565A"/>
    <w:rsid w:val="000556B7"/>
    <w:rsid w:val="0005576E"/>
    <w:rsid w:val="00055956"/>
    <w:rsid w:val="00055976"/>
    <w:rsid w:val="00055B6D"/>
    <w:rsid w:val="00055BD0"/>
    <w:rsid w:val="00055C1F"/>
    <w:rsid w:val="00055CC5"/>
    <w:rsid w:val="00055CE7"/>
    <w:rsid w:val="00055D06"/>
    <w:rsid w:val="00055F4E"/>
    <w:rsid w:val="00055F5B"/>
    <w:rsid w:val="00055F6B"/>
    <w:rsid w:val="00055FC7"/>
    <w:rsid w:val="000561CF"/>
    <w:rsid w:val="0005623D"/>
    <w:rsid w:val="000562C1"/>
    <w:rsid w:val="000562D5"/>
    <w:rsid w:val="000563DE"/>
    <w:rsid w:val="0005649A"/>
    <w:rsid w:val="000564F4"/>
    <w:rsid w:val="000565CA"/>
    <w:rsid w:val="0005666A"/>
    <w:rsid w:val="000566A9"/>
    <w:rsid w:val="000566F3"/>
    <w:rsid w:val="0005682F"/>
    <w:rsid w:val="0005688F"/>
    <w:rsid w:val="000568FA"/>
    <w:rsid w:val="00056916"/>
    <w:rsid w:val="00056941"/>
    <w:rsid w:val="00056980"/>
    <w:rsid w:val="00056984"/>
    <w:rsid w:val="000569B3"/>
    <w:rsid w:val="00056A81"/>
    <w:rsid w:val="00056AB7"/>
    <w:rsid w:val="00056AF8"/>
    <w:rsid w:val="00056B1E"/>
    <w:rsid w:val="00056B88"/>
    <w:rsid w:val="00056C0F"/>
    <w:rsid w:val="00056D12"/>
    <w:rsid w:val="00056DB5"/>
    <w:rsid w:val="00056E2A"/>
    <w:rsid w:val="00056F5E"/>
    <w:rsid w:val="00056F6E"/>
    <w:rsid w:val="00056FAB"/>
    <w:rsid w:val="00057035"/>
    <w:rsid w:val="00057056"/>
    <w:rsid w:val="0005711D"/>
    <w:rsid w:val="00057215"/>
    <w:rsid w:val="00057224"/>
    <w:rsid w:val="0005723D"/>
    <w:rsid w:val="00057307"/>
    <w:rsid w:val="0005735C"/>
    <w:rsid w:val="00057468"/>
    <w:rsid w:val="000574CC"/>
    <w:rsid w:val="000574E9"/>
    <w:rsid w:val="00057603"/>
    <w:rsid w:val="00057646"/>
    <w:rsid w:val="0005766E"/>
    <w:rsid w:val="0005774F"/>
    <w:rsid w:val="000577EB"/>
    <w:rsid w:val="00057887"/>
    <w:rsid w:val="0005791C"/>
    <w:rsid w:val="0005793B"/>
    <w:rsid w:val="0005794D"/>
    <w:rsid w:val="00057A53"/>
    <w:rsid w:val="00057A92"/>
    <w:rsid w:val="00057BB4"/>
    <w:rsid w:val="00057C43"/>
    <w:rsid w:val="00057CD9"/>
    <w:rsid w:val="00057DBE"/>
    <w:rsid w:val="00057E21"/>
    <w:rsid w:val="00057E78"/>
    <w:rsid w:val="00057EF3"/>
    <w:rsid w:val="00057F2E"/>
    <w:rsid w:val="00057F9B"/>
    <w:rsid w:val="00057FB9"/>
    <w:rsid w:val="00060025"/>
    <w:rsid w:val="0006006F"/>
    <w:rsid w:val="000600AA"/>
    <w:rsid w:val="00060137"/>
    <w:rsid w:val="000601B2"/>
    <w:rsid w:val="00060294"/>
    <w:rsid w:val="0006029B"/>
    <w:rsid w:val="0006031E"/>
    <w:rsid w:val="000603F5"/>
    <w:rsid w:val="0006043A"/>
    <w:rsid w:val="00060556"/>
    <w:rsid w:val="00060786"/>
    <w:rsid w:val="00060803"/>
    <w:rsid w:val="00060892"/>
    <w:rsid w:val="0006089A"/>
    <w:rsid w:val="000608AA"/>
    <w:rsid w:val="0006095B"/>
    <w:rsid w:val="0006099E"/>
    <w:rsid w:val="000609D1"/>
    <w:rsid w:val="00060A6D"/>
    <w:rsid w:val="00060B9F"/>
    <w:rsid w:val="00060CC2"/>
    <w:rsid w:val="00060D0E"/>
    <w:rsid w:val="00060D7F"/>
    <w:rsid w:val="00060D91"/>
    <w:rsid w:val="00060D92"/>
    <w:rsid w:val="00060DCB"/>
    <w:rsid w:val="00060E1A"/>
    <w:rsid w:val="00060E62"/>
    <w:rsid w:val="00060EA3"/>
    <w:rsid w:val="00060EB4"/>
    <w:rsid w:val="00060F9E"/>
    <w:rsid w:val="00060FF0"/>
    <w:rsid w:val="00061094"/>
    <w:rsid w:val="0006111C"/>
    <w:rsid w:val="000611CE"/>
    <w:rsid w:val="000611E8"/>
    <w:rsid w:val="000611FA"/>
    <w:rsid w:val="0006126E"/>
    <w:rsid w:val="000612D9"/>
    <w:rsid w:val="00061307"/>
    <w:rsid w:val="00061321"/>
    <w:rsid w:val="00061351"/>
    <w:rsid w:val="000615AC"/>
    <w:rsid w:val="000615DE"/>
    <w:rsid w:val="00061651"/>
    <w:rsid w:val="000616AA"/>
    <w:rsid w:val="000616EA"/>
    <w:rsid w:val="000616FE"/>
    <w:rsid w:val="00061729"/>
    <w:rsid w:val="00061774"/>
    <w:rsid w:val="000618B1"/>
    <w:rsid w:val="000618D3"/>
    <w:rsid w:val="00061907"/>
    <w:rsid w:val="00061962"/>
    <w:rsid w:val="000619F9"/>
    <w:rsid w:val="00061BBF"/>
    <w:rsid w:val="00061BEE"/>
    <w:rsid w:val="00061C62"/>
    <w:rsid w:val="00061C64"/>
    <w:rsid w:val="00061DB1"/>
    <w:rsid w:val="00061E29"/>
    <w:rsid w:val="00061E80"/>
    <w:rsid w:val="00061EC2"/>
    <w:rsid w:val="00061EC3"/>
    <w:rsid w:val="00061EE7"/>
    <w:rsid w:val="00061EEF"/>
    <w:rsid w:val="00061F02"/>
    <w:rsid w:val="00061FCD"/>
    <w:rsid w:val="00061FDA"/>
    <w:rsid w:val="00062212"/>
    <w:rsid w:val="00062290"/>
    <w:rsid w:val="00062328"/>
    <w:rsid w:val="000623CC"/>
    <w:rsid w:val="000623D7"/>
    <w:rsid w:val="000623E9"/>
    <w:rsid w:val="000624BB"/>
    <w:rsid w:val="00062576"/>
    <w:rsid w:val="00062595"/>
    <w:rsid w:val="000625C3"/>
    <w:rsid w:val="000626C1"/>
    <w:rsid w:val="000626DF"/>
    <w:rsid w:val="0006270C"/>
    <w:rsid w:val="00062782"/>
    <w:rsid w:val="000627F2"/>
    <w:rsid w:val="00062846"/>
    <w:rsid w:val="000628EB"/>
    <w:rsid w:val="000629CC"/>
    <w:rsid w:val="00062A44"/>
    <w:rsid w:val="00062A76"/>
    <w:rsid w:val="00062A82"/>
    <w:rsid w:val="00062C78"/>
    <w:rsid w:val="00062D0E"/>
    <w:rsid w:val="00062D64"/>
    <w:rsid w:val="00062DF0"/>
    <w:rsid w:val="00062E43"/>
    <w:rsid w:val="00062ED3"/>
    <w:rsid w:val="00062F44"/>
    <w:rsid w:val="00062F8E"/>
    <w:rsid w:val="00062FA9"/>
    <w:rsid w:val="00062FD4"/>
    <w:rsid w:val="00063046"/>
    <w:rsid w:val="0006308A"/>
    <w:rsid w:val="000630AB"/>
    <w:rsid w:val="000630BC"/>
    <w:rsid w:val="00063107"/>
    <w:rsid w:val="0006316D"/>
    <w:rsid w:val="00063179"/>
    <w:rsid w:val="00063316"/>
    <w:rsid w:val="0006331E"/>
    <w:rsid w:val="0006335D"/>
    <w:rsid w:val="00063422"/>
    <w:rsid w:val="00063428"/>
    <w:rsid w:val="0006345E"/>
    <w:rsid w:val="00063566"/>
    <w:rsid w:val="000635A5"/>
    <w:rsid w:val="000635AE"/>
    <w:rsid w:val="000635C5"/>
    <w:rsid w:val="000635FB"/>
    <w:rsid w:val="0006370C"/>
    <w:rsid w:val="000638B0"/>
    <w:rsid w:val="000639FF"/>
    <w:rsid w:val="00063A03"/>
    <w:rsid w:val="00063AE0"/>
    <w:rsid w:val="00063C30"/>
    <w:rsid w:val="00063C63"/>
    <w:rsid w:val="00063C87"/>
    <w:rsid w:val="00063CEF"/>
    <w:rsid w:val="00063D20"/>
    <w:rsid w:val="00063E62"/>
    <w:rsid w:val="0006407E"/>
    <w:rsid w:val="00064097"/>
    <w:rsid w:val="000640C4"/>
    <w:rsid w:val="000640F6"/>
    <w:rsid w:val="00064185"/>
    <w:rsid w:val="000641C6"/>
    <w:rsid w:val="000642EB"/>
    <w:rsid w:val="00064335"/>
    <w:rsid w:val="00064338"/>
    <w:rsid w:val="00064367"/>
    <w:rsid w:val="00064402"/>
    <w:rsid w:val="00064442"/>
    <w:rsid w:val="00064488"/>
    <w:rsid w:val="000644DE"/>
    <w:rsid w:val="000644E3"/>
    <w:rsid w:val="00064521"/>
    <w:rsid w:val="00064535"/>
    <w:rsid w:val="0006458A"/>
    <w:rsid w:val="000645AC"/>
    <w:rsid w:val="00064626"/>
    <w:rsid w:val="00064632"/>
    <w:rsid w:val="000646C1"/>
    <w:rsid w:val="000646D9"/>
    <w:rsid w:val="000646DE"/>
    <w:rsid w:val="000646ED"/>
    <w:rsid w:val="00064714"/>
    <w:rsid w:val="00064737"/>
    <w:rsid w:val="000648A8"/>
    <w:rsid w:val="00064936"/>
    <w:rsid w:val="00064971"/>
    <w:rsid w:val="000649B0"/>
    <w:rsid w:val="000649DB"/>
    <w:rsid w:val="00064A1B"/>
    <w:rsid w:val="00064A3E"/>
    <w:rsid w:val="00064B1F"/>
    <w:rsid w:val="00064C1A"/>
    <w:rsid w:val="00064C66"/>
    <w:rsid w:val="00064CC2"/>
    <w:rsid w:val="00064CF3"/>
    <w:rsid w:val="00064D05"/>
    <w:rsid w:val="00064E56"/>
    <w:rsid w:val="00064EE4"/>
    <w:rsid w:val="00064EE5"/>
    <w:rsid w:val="00064F11"/>
    <w:rsid w:val="00064FAB"/>
    <w:rsid w:val="0006500F"/>
    <w:rsid w:val="00065131"/>
    <w:rsid w:val="00065178"/>
    <w:rsid w:val="000651C8"/>
    <w:rsid w:val="0006527A"/>
    <w:rsid w:val="000654B2"/>
    <w:rsid w:val="000654C8"/>
    <w:rsid w:val="000654F3"/>
    <w:rsid w:val="00065530"/>
    <w:rsid w:val="00065777"/>
    <w:rsid w:val="000657E1"/>
    <w:rsid w:val="000658BF"/>
    <w:rsid w:val="0006590E"/>
    <w:rsid w:val="00065986"/>
    <w:rsid w:val="00065A03"/>
    <w:rsid w:val="00065A0B"/>
    <w:rsid w:val="00065A68"/>
    <w:rsid w:val="00065B1A"/>
    <w:rsid w:val="00065B8D"/>
    <w:rsid w:val="00065BEF"/>
    <w:rsid w:val="00065BF8"/>
    <w:rsid w:val="00065D1F"/>
    <w:rsid w:val="00065DF7"/>
    <w:rsid w:val="00065E3E"/>
    <w:rsid w:val="00065EBC"/>
    <w:rsid w:val="00065ECD"/>
    <w:rsid w:val="00066020"/>
    <w:rsid w:val="0006605E"/>
    <w:rsid w:val="000660BF"/>
    <w:rsid w:val="0006619B"/>
    <w:rsid w:val="00066215"/>
    <w:rsid w:val="00066284"/>
    <w:rsid w:val="000662F4"/>
    <w:rsid w:val="000662F7"/>
    <w:rsid w:val="0006641C"/>
    <w:rsid w:val="00066429"/>
    <w:rsid w:val="00066669"/>
    <w:rsid w:val="00066744"/>
    <w:rsid w:val="000667A8"/>
    <w:rsid w:val="0006688B"/>
    <w:rsid w:val="0006689D"/>
    <w:rsid w:val="000668A0"/>
    <w:rsid w:val="000668A1"/>
    <w:rsid w:val="000668D1"/>
    <w:rsid w:val="00066916"/>
    <w:rsid w:val="00066952"/>
    <w:rsid w:val="00066974"/>
    <w:rsid w:val="000669ED"/>
    <w:rsid w:val="00066B1D"/>
    <w:rsid w:val="00066BAC"/>
    <w:rsid w:val="00066BC1"/>
    <w:rsid w:val="00066D6E"/>
    <w:rsid w:val="00066DEF"/>
    <w:rsid w:val="00066E72"/>
    <w:rsid w:val="00066E7C"/>
    <w:rsid w:val="00066ED8"/>
    <w:rsid w:val="00066FD6"/>
    <w:rsid w:val="00066FE1"/>
    <w:rsid w:val="00066FEE"/>
    <w:rsid w:val="00067068"/>
    <w:rsid w:val="0006718C"/>
    <w:rsid w:val="0006719D"/>
    <w:rsid w:val="00067220"/>
    <w:rsid w:val="00067419"/>
    <w:rsid w:val="00067492"/>
    <w:rsid w:val="00067493"/>
    <w:rsid w:val="000674FC"/>
    <w:rsid w:val="00067505"/>
    <w:rsid w:val="00067567"/>
    <w:rsid w:val="00067765"/>
    <w:rsid w:val="000678B6"/>
    <w:rsid w:val="00067980"/>
    <w:rsid w:val="0006799A"/>
    <w:rsid w:val="000679DD"/>
    <w:rsid w:val="00067AFF"/>
    <w:rsid w:val="00067B0F"/>
    <w:rsid w:val="00067B20"/>
    <w:rsid w:val="00067B67"/>
    <w:rsid w:val="00067B84"/>
    <w:rsid w:val="00067C18"/>
    <w:rsid w:val="00067C1E"/>
    <w:rsid w:val="00067CF3"/>
    <w:rsid w:val="00067D54"/>
    <w:rsid w:val="00067D81"/>
    <w:rsid w:val="00067E4A"/>
    <w:rsid w:val="00067E74"/>
    <w:rsid w:val="00067EF9"/>
    <w:rsid w:val="00067F4D"/>
    <w:rsid w:val="00067FAC"/>
    <w:rsid w:val="00070045"/>
    <w:rsid w:val="00070174"/>
    <w:rsid w:val="000701B7"/>
    <w:rsid w:val="0007022D"/>
    <w:rsid w:val="000702C6"/>
    <w:rsid w:val="000702D3"/>
    <w:rsid w:val="000702EC"/>
    <w:rsid w:val="0007031E"/>
    <w:rsid w:val="0007044D"/>
    <w:rsid w:val="000704E7"/>
    <w:rsid w:val="00070553"/>
    <w:rsid w:val="0007055E"/>
    <w:rsid w:val="0007059D"/>
    <w:rsid w:val="0007060B"/>
    <w:rsid w:val="000706FA"/>
    <w:rsid w:val="0007071E"/>
    <w:rsid w:val="00070789"/>
    <w:rsid w:val="000707B2"/>
    <w:rsid w:val="0007082C"/>
    <w:rsid w:val="00070830"/>
    <w:rsid w:val="0007093F"/>
    <w:rsid w:val="000709B4"/>
    <w:rsid w:val="00070A8D"/>
    <w:rsid w:val="00070A90"/>
    <w:rsid w:val="00070B11"/>
    <w:rsid w:val="00070C6C"/>
    <w:rsid w:val="00070C9D"/>
    <w:rsid w:val="00070D9B"/>
    <w:rsid w:val="00070DF7"/>
    <w:rsid w:val="00070E6F"/>
    <w:rsid w:val="00070EC8"/>
    <w:rsid w:val="00070EF7"/>
    <w:rsid w:val="00070F3D"/>
    <w:rsid w:val="00070F7B"/>
    <w:rsid w:val="00070F96"/>
    <w:rsid w:val="00071109"/>
    <w:rsid w:val="0007112B"/>
    <w:rsid w:val="00071135"/>
    <w:rsid w:val="000711C9"/>
    <w:rsid w:val="000711CF"/>
    <w:rsid w:val="000711EF"/>
    <w:rsid w:val="000711FB"/>
    <w:rsid w:val="000712F5"/>
    <w:rsid w:val="00071335"/>
    <w:rsid w:val="000713E2"/>
    <w:rsid w:val="0007141F"/>
    <w:rsid w:val="0007142F"/>
    <w:rsid w:val="0007149D"/>
    <w:rsid w:val="000714E2"/>
    <w:rsid w:val="000715E4"/>
    <w:rsid w:val="000715F5"/>
    <w:rsid w:val="00071655"/>
    <w:rsid w:val="000716B0"/>
    <w:rsid w:val="000716F5"/>
    <w:rsid w:val="00071700"/>
    <w:rsid w:val="00071713"/>
    <w:rsid w:val="00071828"/>
    <w:rsid w:val="00071869"/>
    <w:rsid w:val="00071924"/>
    <w:rsid w:val="00071A7C"/>
    <w:rsid w:val="00071AE9"/>
    <w:rsid w:val="00071B00"/>
    <w:rsid w:val="00071B8A"/>
    <w:rsid w:val="00071C0E"/>
    <w:rsid w:val="00071C65"/>
    <w:rsid w:val="00071C95"/>
    <w:rsid w:val="00071CF3"/>
    <w:rsid w:val="00071D67"/>
    <w:rsid w:val="00071D6A"/>
    <w:rsid w:val="00071DCC"/>
    <w:rsid w:val="00071E79"/>
    <w:rsid w:val="00071FE3"/>
    <w:rsid w:val="0007202F"/>
    <w:rsid w:val="000720A0"/>
    <w:rsid w:val="00072166"/>
    <w:rsid w:val="00072181"/>
    <w:rsid w:val="00072293"/>
    <w:rsid w:val="00072351"/>
    <w:rsid w:val="000723F8"/>
    <w:rsid w:val="0007241A"/>
    <w:rsid w:val="00072443"/>
    <w:rsid w:val="000724AE"/>
    <w:rsid w:val="00072552"/>
    <w:rsid w:val="00072714"/>
    <w:rsid w:val="00072767"/>
    <w:rsid w:val="0007278E"/>
    <w:rsid w:val="000727E0"/>
    <w:rsid w:val="0007285B"/>
    <w:rsid w:val="00072995"/>
    <w:rsid w:val="00072AEF"/>
    <w:rsid w:val="00072B25"/>
    <w:rsid w:val="00072B2D"/>
    <w:rsid w:val="00072B75"/>
    <w:rsid w:val="00072BB4"/>
    <w:rsid w:val="00072BE6"/>
    <w:rsid w:val="00072BED"/>
    <w:rsid w:val="00072BF7"/>
    <w:rsid w:val="00072C26"/>
    <w:rsid w:val="00072D91"/>
    <w:rsid w:val="00072DA5"/>
    <w:rsid w:val="00072F31"/>
    <w:rsid w:val="00072FE2"/>
    <w:rsid w:val="00073008"/>
    <w:rsid w:val="00073075"/>
    <w:rsid w:val="0007322E"/>
    <w:rsid w:val="00073378"/>
    <w:rsid w:val="000733E6"/>
    <w:rsid w:val="000734A7"/>
    <w:rsid w:val="00073589"/>
    <w:rsid w:val="00073609"/>
    <w:rsid w:val="00073652"/>
    <w:rsid w:val="000736EC"/>
    <w:rsid w:val="00073719"/>
    <w:rsid w:val="0007377C"/>
    <w:rsid w:val="000737A6"/>
    <w:rsid w:val="000737E8"/>
    <w:rsid w:val="00073891"/>
    <w:rsid w:val="000738FE"/>
    <w:rsid w:val="000738FF"/>
    <w:rsid w:val="00073AC7"/>
    <w:rsid w:val="00073AFB"/>
    <w:rsid w:val="00073B45"/>
    <w:rsid w:val="00073BA2"/>
    <w:rsid w:val="00073CDB"/>
    <w:rsid w:val="00073D08"/>
    <w:rsid w:val="00073D1A"/>
    <w:rsid w:val="00073D33"/>
    <w:rsid w:val="00073F04"/>
    <w:rsid w:val="00073F12"/>
    <w:rsid w:val="000740AC"/>
    <w:rsid w:val="00074155"/>
    <w:rsid w:val="00074200"/>
    <w:rsid w:val="000742A8"/>
    <w:rsid w:val="000742AC"/>
    <w:rsid w:val="00074397"/>
    <w:rsid w:val="00074410"/>
    <w:rsid w:val="00074441"/>
    <w:rsid w:val="00074509"/>
    <w:rsid w:val="00074531"/>
    <w:rsid w:val="0007458C"/>
    <w:rsid w:val="0007462E"/>
    <w:rsid w:val="00074690"/>
    <w:rsid w:val="000746BB"/>
    <w:rsid w:val="000746E2"/>
    <w:rsid w:val="00074784"/>
    <w:rsid w:val="00074801"/>
    <w:rsid w:val="00074845"/>
    <w:rsid w:val="0007484C"/>
    <w:rsid w:val="000748F7"/>
    <w:rsid w:val="00074948"/>
    <w:rsid w:val="00074952"/>
    <w:rsid w:val="00074A66"/>
    <w:rsid w:val="00074A7F"/>
    <w:rsid w:val="00074AD4"/>
    <w:rsid w:val="00074B9E"/>
    <w:rsid w:val="00074BA1"/>
    <w:rsid w:val="00074C7A"/>
    <w:rsid w:val="00074CD8"/>
    <w:rsid w:val="00074D8B"/>
    <w:rsid w:val="00074DD3"/>
    <w:rsid w:val="00074EA3"/>
    <w:rsid w:val="00074F11"/>
    <w:rsid w:val="00074FD0"/>
    <w:rsid w:val="00074FD7"/>
    <w:rsid w:val="00075055"/>
    <w:rsid w:val="0007514E"/>
    <w:rsid w:val="00075192"/>
    <w:rsid w:val="000751C4"/>
    <w:rsid w:val="000753A3"/>
    <w:rsid w:val="00075445"/>
    <w:rsid w:val="00075503"/>
    <w:rsid w:val="00075526"/>
    <w:rsid w:val="0007553B"/>
    <w:rsid w:val="000755E5"/>
    <w:rsid w:val="000756C8"/>
    <w:rsid w:val="00075747"/>
    <w:rsid w:val="00075754"/>
    <w:rsid w:val="0007579D"/>
    <w:rsid w:val="000757D9"/>
    <w:rsid w:val="00075847"/>
    <w:rsid w:val="00075893"/>
    <w:rsid w:val="00075999"/>
    <w:rsid w:val="0007599A"/>
    <w:rsid w:val="000759B6"/>
    <w:rsid w:val="00075A27"/>
    <w:rsid w:val="00075B29"/>
    <w:rsid w:val="00075CD7"/>
    <w:rsid w:val="00075D99"/>
    <w:rsid w:val="00075DE9"/>
    <w:rsid w:val="00075EDD"/>
    <w:rsid w:val="00075EEB"/>
    <w:rsid w:val="00075F20"/>
    <w:rsid w:val="00075F77"/>
    <w:rsid w:val="00075FC4"/>
    <w:rsid w:val="00075FD5"/>
    <w:rsid w:val="00076062"/>
    <w:rsid w:val="000761C0"/>
    <w:rsid w:val="00076274"/>
    <w:rsid w:val="000762EA"/>
    <w:rsid w:val="00076380"/>
    <w:rsid w:val="00076385"/>
    <w:rsid w:val="000763E8"/>
    <w:rsid w:val="00076561"/>
    <w:rsid w:val="00076593"/>
    <w:rsid w:val="00076639"/>
    <w:rsid w:val="00076697"/>
    <w:rsid w:val="0007674C"/>
    <w:rsid w:val="00076807"/>
    <w:rsid w:val="00076821"/>
    <w:rsid w:val="0007691E"/>
    <w:rsid w:val="00076957"/>
    <w:rsid w:val="000769E1"/>
    <w:rsid w:val="00076A22"/>
    <w:rsid w:val="00076B73"/>
    <w:rsid w:val="00076BAD"/>
    <w:rsid w:val="00076C1E"/>
    <w:rsid w:val="00076C2B"/>
    <w:rsid w:val="00076C2C"/>
    <w:rsid w:val="00076C88"/>
    <w:rsid w:val="00076CD9"/>
    <w:rsid w:val="00076D3B"/>
    <w:rsid w:val="00076E04"/>
    <w:rsid w:val="00076E4F"/>
    <w:rsid w:val="00076F70"/>
    <w:rsid w:val="00076F7D"/>
    <w:rsid w:val="000770CA"/>
    <w:rsid w:val="00077109"/>
    <w:rsid w:val="000772B0"/>
    <w:rsid w:val="0007738F"/>
    <w:rsid w:val="0007745C"/>
    <w:rsid w:val="000775F5"/>
    <w:rsid w:val="0007768F"/>
    <w:rsid w:val="00077765"/>
    <w:rsid w:val="0007776A"/>
    <w:rsid w:val="0007778A"/>
    <w:rsid w:val="000777DB"/>
    <w:rsid w:val="000778A5"/>
    <w:rsid w:val="000778BF"/>
    <w:rsid w:val="00077931"/>
    <w:rsid w:val="00077989"/>
    <w:rsid w:val="000779AE"/>
    <w:rsid w:val="00077A70"/>
    <w:rsid w:val="00077A76"/>
    <w:rsid w:val="00077ACE"/>
    <w:rsid w:val="00077BBD"/>
    <w:rsid w:val="00077C11"/>
    <w:rsid w:val="00077C88"/>
    <w:rsid w:val="00077D95"/>
    <w:rsid w:val="00077E0D"/>
    <w:rsid w:val="00077E3E"/>
    <w:rsid w:val="00077E73"/>
    <w:rsid w:val="00077ECC"/>
    <w:rsid w:val="00077F41"/>
    <w:rsid w:val="000801BD"/>
    <w:rsid w:val="000802EE"/>
    <w:rsid w:val="0008030A"/>
    <w:rsid w:val="00080347"/>
    <w:rsid w:val="0008037D"/>
    <w:rsid w:val="00080478"/>
    <w:rsid w:val="000804DA"/>
    <w:rsid w:val="000804F8"/>
    <w:rsid w:val="00080574"/>
    <w:rsid w:val="0008061B"/>
    <w:rsid w:val="000806D5"/>
    <w:rsid w:val="0008072F"/>
    <w:rsid w:val="000807E8"/>
    <w:rsid w:val="000808A1"/>
    <w:rsid w:val="000808B6"/>
    <w:rsid w:val="00080941"/>
    <w:rsid w:val="00080942"/>
    <w:rsid w:val="00080A67"/>
    <w:rsid w:val="00080B03"/>
    <w:rsid w:val="00080B07"/>
    <w:rsid w:val="00080B69"/>
    <w:rsid w:val="00080B8A"/>
    <w:rsid w:val="00080BD8"/>
    <w:rsid w:val="00080C1F"/>
    <w:rsid w:val="00080C45"/>
    <w:rsid w:val="00080C84"/>
    <w:rsid w:val="00080CB5"/>
    <w:rsid w:val="00080D46"/>
    <w:rsid w:val="00080DBA"/>
    <w:rsid w:val="00080DE0"/>
    <w:rsid w:val="00080FBB"/>
    <w:rsid w:val="00080FFF"/>
    <w:rsid w:val="0008101F"/>
    <w:rsid w:val="000810F6"/>
    <w:rsid w:val="00081183"/>
    <w:rsid w:val="00081377"/>
    <w:rsid w:val="000813A0"/>
    <w:rsid w:val="0008146E"/>
    <w:rsid w:val="000814B1"/>
    <w:rsid w:val="000815B7"/>
    <w:rsid w:val="0008164A"/>
    <w:rsid w:val="000816DF"/>
    <w:rsid w:val="000817A7"/>
    <w:rsid w:val="00081903"/>
    <w:rsid w:val="00081A78"/>
    <w:rsid w:val="00081B18"/>
    <w:rsid w:val="00081BF8"/>
    <w:rsid w:val="00081C04"/>
    <w:rsid w:val="00081CA1"/>
    <w:rsid w:val="00081CC0"/>
    <w:rsid w:val="00081D0C"/>
    <w:rsid w:val="00081D36"/>
    <w:rsid w:val="00081F7C"/>
    <w:rsid w:val="00081FAD"/>
    <w:rsid w:val="00081FBA"/>
    <w:rsid w:val="00082017"/>
    <w:rsid w:val="00082019"/>
    <w:rsid w:val="00082053"/>
    <w:rsid w:val="0008208E"/>
    <w:rsid w:val="00082149"/>
    <w:rsid w:val="00082171"/>
    <w:rsid w:val="000821EF"/>
    <w:rsid w:val="0008228F"/>
    <w:rsid w:val="000822FF"/>
    <w:rsid w:val="0008236A"/>
    <w:rsid w:val="00082383"/>
    <w:rsid w:val="00082426"/>
    <w:rsid w:val="000824A2"/>
    <w:rsid w:val="000824FE"/>
    <w:rsid w:val="0008252E"/>
    <w:rsid w:val="00082531"/>
    <w:rsid w:val="00082598"/>
    <w:rsid w:val="000825A3"/>
    <w:rsid w:val="00082690"/>
    <w:rsid w:val="00082747"/>
    <w:rsid w:val="0008277A"/>
    <w:rsid w:val="000827C3"/>
    <w:rsid w:val="00082841"/>
    <w:rsid w:val="00082897"/>
    <w:rsid w:val="000829DE"/>
    <w:rsid w:val="000829EB"/>
    <w:rsid w:val="000829FB"/>
    <w:rsid w:val="00082A3E"/>
    <w:rsid w:val="00082A9C"/>
    <w:rsid w:val="00082B59"/>
    <w:rsid w:val="00082C89"/>
    <w:rsid w:val="00082D2A"/>
    <w:rsid w:val="00082D33"/>
    <w:rsid w:val="00082DC8"/>
    <w:rsid w:val="00082E62"/>
    <w:rsid w:val="00082EBA"/>
    <w:rsid w:val="00082EC1"/>
    <w:rsid w:val="00082EE3"/>
    <w:rsid w:val="00082EED"/>
    <w:rsid w:val="00082F37"/>
    <w:rsid w:val="00082F8B"/>
    <w:rsid w:val="00082FA3"/>
    <w:rsid w:val="00083073"/>
    <w:rsid w:val="000830B8"/>
    <w:rsid w:val="000830FA"/>
    <w:rsid w:val="00083174"/>
    <w:rsid w:val="0008317A"/>
    <w:rsid w:val="00083302"/>
    <w:rsid w:val="0008330C"/>
    <w:rsid w:val="00083367"/>
    <w:rsid w:val="00083391"/>
    <w:rsid w:val="000833E8"/>
    <w:rsid w:val="000834B0"/>
    <w:rsid w:val="0008352B"/>
    <w:rsid w:val="00083531"/>
    <w:rsid w:val="0008354D"/>
    <w:rsid w:val="000835C1"/>
    <w:rsid w:val="0008361F"/>
    <w:rsid w:val="00083669"/>
    <w:rsid w:val="00083710"/>
    <w:rsid w:val="000837F2"/>
    <w:rsid w:val="00083801"/>
    <w:rsid w:val="00083888"/>
    <w:rsid w:val="000838C6"/>
    <w:rsid w:val="00083903"/>
    <w:rsid w:val="00083931"/>
    <w:rsid w:val="00083948"/>
    <w:rsid w:val="000839D6"/>
    <w:rsid w:val="00083A07"/>
    <w:rsid w:val="00083A5C"/>
    <w:rsid w:val="00083A9B"/>
    <w:rsid w:val="00083AAD"/>
    <w:rsid w:val="00083ACA"/>
    <w:rsid w:val="00083BB7"/>
    <w:rsid w:val="00083CD5"/>
    <w:rsid w:val="00083DAD"/>
    <w:rsid w:val="00083EEE"/>
    <w:rsid w:val="00083F29"/>
    <w:rsid w:val="00084007"/>
    <w:rsid w:val="000840DB"/>
    <w:rsid w:val="000840DE"/>
    <w:rsid w:val="000841F6"/>
    <w:rsid w:val="000842D5"/>
    <w:rsid w:val="00084302"/>
    <w:rsid w:val="00084373"/>
    <w:rsid w:val="0008439F"/>
    <w:rsid w:val="000843DA"/>
    <w:rsid w:val="00084401"/>
    <w:rsid w:val="00084502"/>
    <w:rsid w:val="000845AA"/>
    <w:rsid w:val="000845E1"/>
    <w:rsid w:val="0008460A"/>
    <w:rsid w:val="00084629"/>
    <w:rsid w:val="00084660"/>
    <w:rsid w:val="0008468E"/>
    <w:rsid w:val="00084692"/>
    <w:rsid w:val="00084814"/>
    <w:rsid w:val="00084875"/>
    <w:rsid w:val="000848AD"/>
    <w:rsid w:val="000848C3"/>
    <w:rsid w:val="00084909"/>
    <w:rsid w:val="00084915"/>
    <w:rsid w:val="000849E0"/>
    <w:rsid w:val="00084A98"/>
    <w:rsid w:val="00084AC8"/>
    <w:rsid w:val="00084B1D"/>
    <w:rsid w:val="00084B2D"/>
    <w:rsid w:val="00084BD3"/>
    <w:rsid w:val="00084C23"/>
    <w:rsid w:val="00084C2D"/>
    <w:rsid w:val="00084C3C"/>
    <w:rsid w:val="00084CD2"/>
    <w:rsid w:val="00084DAC"/>
    <w:rsid w:val="00084DED"/>
    <w:rsid w:val="00084E42"/>
    <w:rsid w:val="00084EB7"/>
    <w:rsid w:val="00084EBF"/>
    <w:rsid w:val="00084EEA"/>
    <w:rsid w:val="00084F12"/>
    <w:rsid w:val="00084F3E"/>
    <w:rsid w:val="00084F56"/>
    <w:rsid w:val="00084F5B"/>
    <w:rsid w:val="00084FAE"/>
    <w:rsid w:val="0008500A"/>
    <w:rsid w:val="00085040"/>
    <w:rsid w:val="00085085"/>
    <w:rsid w:val="000850B8"/>
    <w:rsid w:val="000850C3"/>
    <w:rsid w:val="000851A1"/>
    <w:rsid w:val="000851CF"/>
    <w:rsid w:val="0008534B"/>
    <w:rsid w:val="0008541E"/>
    <w:rsid w:val="0008545A"/>
    <w:rsid w:val="000854D4"/>
    <w:rsid w:val="000854F1"/>
    <w:rsid w:val="00085508"/>
    <w:rsid w:val="00085566"/>
    <w:rsid w:val="000855E9"/>
    <w:rsid w:val="00085619"/>
    <w:rsid w:val="00085681"/>
    <w:rsid w:val="000856F7"/>
    <w:rsid w:val="00085708"/>
    <w:rsid w:val="000857AD"/>
    <w:rsid w:val="000857E8"/>
    <w:rsid w:val="00085803"/>
    <w:rsid w:val="000858F0"/>
    <w:rsid w:val="0008595D"/>
    <w:rsid w:val="000859FB"/>
    <w:rsid w:val="00085A1C"/>
    <w:rsid w:val="00085A3E"/>
    <w:rsid w:val="00085A68"/>
    <w:rsid w:val="00085A86"/>
    <w:rsid w:val="00085C7E"/>
    <w:rsid w:val="00085CE1"/>
    <w:rsid w:val="00085E65"/>
    <w:rsid w:val="00085EB5"/>
    <w:rsid w:val="00085ED2"/>
    <w:rsid w:val="00085F04"/>
    <w:rsid w:val="00085FB9"/>
    <w:rsid w:val="00085FC1"/>
    <w:rsid w:val="00085FF6"/>
    <w:rsid w:val="000860A9"/>
    <w:rsid w:val="0008611B"/>
    <w:rsid w:val="0008611C"/>
    <w:rsid w:val="00086153"/>
    <w:rsid w:val="00086398"/>
    <w:rsid w:val="0008650D"/>
    <w:rsid w:val="0008650F"/>
    <w:rsid w:val="000865F4"/>
    <w:rsid w:val="0008671C"/>
    <w:rsid w:val="000867FF"/>
    <w:rsid w:val="00086830"/>
    <w:rsid w:val="000868CA"/>
    <w:rsid w:val="00086937"/>
    <w:rsid w:val="00086988"/>
    <w:rsid w:val="000869C9"/>
    <w:rsid w:val="000869E2"/>
    <w:rsid w:val="000869F0"/>
    <w:rsid w:val="00086B67"/>
    <w:rsid w:val="00086BF3"/>
    <w:rsid w:val="00086C72"/>
    <w:rsid w:val="00086C78"/>
    <w:rsid w:val="00086E1C"/>
    <w:rsid w:val="00086F7A"/>
    <w:rsid w:val="00087095"/>
    <w:rsid w:val="000870C3"/>
    <w:rsid w:val="0008730A"/>
    <w:rsid w:val="0008733B"/>
    <w:rsid w:val="0008733D"/>
    <w:rsid w:val="00087368"/>
    <w:rsid w:val="000874EE"/>
    <w:rsid w:val="00087513"/>
    <w:rsid w:val="0008751B"/>
    <w:rsid w:val="00087597"/>
    <w:rsid w:val="0008759F"/>
    <w:rsid w:val="00087628"/>
    <w:rsid w:val="000876CF"/>
    <w:rsid w:val="000876D5"/>
    <w:rsid w:val="000876EC"/>
    <w:rsid w:val="00087773"/>
    <w:rsid w:val="0008777B"/>
    <w:rsid w:val="000877D7"/>
    <w:rsid w:val="00087906"/>
    <w:rsid w:val="0008793A"/>
    <w:rsid w:val="0008794D"/>
    <w:rsid w:val="0008799C"/>
    <w:rsid w:val="000879B9"/>
    <w:rsid w:val="00087AED"/>
    <w:rsid w:val="00087B22"/>
    <w:rsid w:val="00087C97"/>
    <w:rsid w:val="00087CE9"/>
    <w:rsid w:val="00087E1A"/>
    <w:rsid w:val="00087F89"/>
    <w:rsid w:val="00087F95"/>
    <w:rsid w:val="00087F96"/>
    <w:rsid w:val="00087FFD"/>
    <w:rsid w:val="00087FFE"/>
    <w:rsid w:val="00090037"/>
    <w:rsid w:val="00090079"/>
    <w:rsid w:val="00090089"/>
    <w:rsid w:val="000900B2"/>
    <w:rsid w:val="000900CC"/>
    <w:rsid w:val="000901D9"/>
    <w:rsid w:val="00090201"/>
    <w:rsid w:val="00090314"/>
    <w:rsid w:val="0009052F"/>
    <w:rsid w:val="00090576"/>
    <w:rsid w:val="00090579"/>
    <w:rsid w:val="000905E8"/>
    <w:rsid w:val="000905EE"/>
    <w:rsid w:val="00090770"/>
    <w:rsid w:val="0009079C"/>
    <w:rsid w:val="000907C9"/>
    <w:rsid w:val="000908CF"/>
    <w:rsid w:val="000908EF"/>
    <w:rsid w:val="000909BE"/>
    <w:rsid w:val="00090A4E"/>
    <w:rsid w:val="00090AF5"/>
    <w:rsid w:val="00090AFC"/>
    <w:rsid w:val="00090B23"/>
    <w:rsid w:val="00090B36"/>
    <w:rsid w:val="00090B71"/>
    <w:rsid w:val="00090BFA"/>
    <w:rsid w:val="00090D17"/>
    <w:rsid w:val="00090D44"/>
    <w:rsid w:val="00090F0B"/>
    <w:rsid w:val="00090F46"/>
    <w:rsid w:val="00091010"/>
    <w:rsid w:val="0009103D"/>
    <w:rsid w:val="0009106C"/>
    <w:rsid w:val="00091092"/>
    <w:rsid w:val="000910C0"/>
    <w:rsid w:val="000910ED"/>
    <w:rsid w:val="00091170"/>
    <w:rsid w:val="00091215"/>
    <w:rsid w:val="00091286"/>
    <w:rsid w:val="000913B2"/>
    <w:rsid w:val="000913CE"/>
    <w:rsid w:val="0009161D"/>
    <w:rsid w:val="00091652"/>
    <w:rsid w:val="000916C6"/>
    <w:rsid w:val="000917C1"/>
    <w:rsid w:val="000918D9"/>
    <w:rsid w:val="000918F4"/>
    <w:rsid w:val="00091964"/>
    <w:rsid w:val="00091977"/>
    <w:rsid w:val="00091AC2"/>
    <w:rsid w:val="00091AD9"/>
    <w:rsid w:val="00091BAD"/>
    <w:rsid w:val="00091C14"/>
    <w:rsid w:val="00091E73"/>
    <w:rsid w:val="00091EA6"/>
    <w:rsid w:val="00091FD4"/>
    <w:rsid w:val="00092152"/>
    <w:rsid w:val="000921A7"/>
    <w:rsid w:val="000921C2"/>
    <w:rsid w:val="00092241"/>
    <w:rsid w:val="0009251E"/>
    <w:rsid w:val="00092650"/>
    <w:rsid w:val="00092699"/>
    <w:rsid w:val="000926E2"/>
    <w:rsid w:val="00092748"/>
    <w:rsid w:val="0009274B"/>
    <w:rsid w:val="00092765"/>
    <w:rsid w:val="00092813"/>
    <w:rsid w:val="00092821"/>
    <w:rsid w:val="000928D2"/>
    <w:rsid w:val="000928EB"/>
    <w:rsid w:val="000929AD"/>
    <w:rsid w:val="00092A0F"/>
    <w:rsid w:val="00092B98"/>
    <w:rsid w:val="00092BC7"/>
    <w:rsid w:val="00092BE7"/>
    <w:rsid w:val="00092C0A"/>
    <w:rsid w:val="00092C0B"/>
    <w:rsid w:val="00092C62"/>
    <w:rsid w:val="00092DC9"/>
    <w:rsid w:val="00092E25"/>
    <w:rsid w:val="00092E5D"/>
    <w:rsid w:val="00093073"/>
    <w:rsid w:val="00093081"/>
    <w:rsid w:val="00093363"/>
    <w:rsid w:val="000933A2"/>
    <w:rsid w:val="00093473"/>
    <w:rsid w:val="0009351A"/>
    <w:rsid w:val="0009364A"/>
    <w:rsid w:val="000936E5"/>
    <w:rsid w:val="00093723"/>
    <w:rsid w:val="00093744"/>
    <w:rsid w:val="00093796"/>
    <w:rsid w:val="000937C9"/>
    <w:rsid w:val="000937DF"/>
    <w:rsid w:val="00093871"/>
    <w:rsid w:val="000939FB"/>
    <w:rsid w:val="00093A1C"/>
    <w:rsid w:val="00093A59"/>
    <w:rsid w:val="00093B04"/>
    <w:rsid w:val="00093B18"/>
    <w:rsid w:val="00093B3D"/>
    <w:rsid w:val="00093B4C"/>
    <w:rsid w:val="00093BCA"/>
    <w:rsid w:val="00093BCD"/>
    <w:rsid w:val="00093CCC"/>
    <w:rsid w:val="00093CE2"/>
    <w:rsid w:val="00093D50"/>
    <w:rsid w:val="00093D6D"/>
    <w:rsid w:val="00093E22"/>
    <w:rsid w:val="00093FB0"/>
    <w:rsid w:val="0009401C"/>
    <w:rsid w:val="00094046"/>
    <w:rsid w:val="0009411E"/>
    <w:rsid w:val="000941C8"/>
    <w:rsid w:val="00094206"/>
    <w:rsid w:val="000943B2"/>
    <w:rsid w:val="00094527"/>
    <w:rsid w:val="00094578"/>
    <w:rsid w:val="000945AF"/>
    <w:rsid w:val="000945E4"/>
    <w:rsid w:val="0009463E"/>
    <w:rsid w:val="0009468B"/>
    <w:rsid w:val="00094870"/>
    <w:rsid w:val="000948B6"/>
    <w:rsid w:val="000948F9"/>
    <w:rsid w:val="00094A36"/>
    <w:rsid w:val="00094A92"/>
    <w:rsid w:val="00094AE2"/>
    <w:rsid w:val="00094B07"/>
    <w:rsid w:val="00094BAC"/>
    <w:rsid w:val="00094C64"/>
    <w:rsid w:val="00094D94"/>
    <w:rsid w:val="00094E03"/>
    <w:rsid w:val="00094E74"/>
    <w:rsid w:val="00094E7A"/>
    <w:rsid w:val="00094ED6"/>
    <w:rsid w:val="00094F3D"/>
    <w:rsid w:val="00094FD7"/>
    <w:rsid w:val="00094FDA"/>
    <w:rsid w:val="00095100"/>
    <w:rsid w:val="00095136"/>
    <w:rsid w:val="0009517A"/>
    <w:rsid w:val="000951B3"/>
    <w:rsid w:val="00095360"/>
    <w:rsid w:val="000954C7"/>
    <w:rsid w:val="000954CF"/>
    <w:rsid w:val="000954FD"/>
    <w:rsid w:val="00095561"/>
    <w:rsid w:val="000955D5"/>
    <w:rsid w:val="000955F6"/>
    <w:rsid w:val="000956CF"/>
    <w:rsid w:val="000956FE"/>
    <w:rsid w:val="000957B7"/>
    <w:rsid w:val="00095866"/>
    <w:rsid w:val="000958C5"/>
    <w:rsid w:val="00095A62"/>
    <w:rsid w:val="00095AB1"/>
    <w:rsid w:val="00095ADE"/>
    <w:rsid w:val="00095AFB"/>
    <w:rsid w:val="00095B1B"/>
    <w:rsid w:val="00095C12"/>
    <w:rsid w:val="00095C2B"/>
    <w:rsid w:val="00095D16"/>
    <w:rsid w:val="00095EC6"/>
    <w:rsid w:val="00095F34"/>
    <w:rsid w:val="00096009"/>
    <w:rsid w:val="000960B2"/>
    <w:rsid w:val="0009611C"/>
    <w:rsid w:val="00096141"/>
    <w:rsid w:val="000961AA"/>
    <w:rsid w:val="000961F9"/>
    <w:rsid w:val="0009627B"/>
    <w:rsid w:val="000962BC"/>
    <w:rsid w:val="0009648F"/>
    <w:rsid w:val="0009649A"/>
    <w:rsid w:val="0009649B"/>
    <w:rsid w:val="00096675"/>
    <w:rsid w:val="0009668C"/>
    <w:rsid w:val="0009669D"/>
    <w:rsid w:val="000966BF"/>
    <w:rsid w:val="000967D0"/>
    <w:rsid w:val="000967EF"/>
    <w:rsid w:val="0009685A"/>
    <w:rsid w:val="00096866"/>
    <w:rsid w:val="000968C0"/>
    <w:rsid w:val="000969FF"/>
    <w:rsid w:val="00096ACE"/>
    <w:rsid w:val="00096B25"/>
    <w:rsid w:val="00096B7B"/>
    <w:rsid w:val="00096BB0"/>
    <w:rsid w:val="00096BF7"/>
    <w:rsid w:val="00096C1E"/>
    <w:rsid w:val="00096C78"/>
    <w:rsid w:val="00096C88"/>
    <w:rsid w:val="00096D3B"/>
    <w:rsid w:val="00096D9C"/>
    <w:rsid w:val="00096DDF"/>
    <w:rsid w:val="00096F72"/>
    <w:rsid w:val="00096FF8"/>
    <w:rsid w:val="000971FB"/>
    <w:rsid w:val="00097277"/>
    <w:rsid w:val="00097391"/>
    <w:rsid w:val="000973B5"/>
    <w:rsid w:val="00097408"/>
    <w:rsid w:val="000974C5"/>
    <w:rsid w:val="000974E7"/>
    <w:rsid w:val="000975A1"/>
    <w:rsid w:val="000975C6"/>
    <w:rsid w:val="00097624"/>
    <w:rsid w:val="00097655"/>
    <w:rsid w:val="00097676"/>
    <w:rsid w:val="000976DE"/>
    <w:rsid w:val="0009776D"/>
    <w:rsid w:val="00097815"/>
    <w:rsid w:val="00097857"/>
    <w:rsid w:val="000978A6"/>
    <w:rsid w:val="000979A4"/>
    <w:rsid w:val="000979A7"/>
    <w:rsid w:val="000979BA"/>
    <w:rsid w:val="00097A7E"/>
    <w:rsid w:val="00097AA4"/>
    <w:rsid w:val="00097AA8"/>
    <w:rsid w:val="00097ABA"/>
    <w:rsid w:val="00097B03"/>
    <w:rsid w:val="00097B9B"/>
    <w:rsid w:val="00097BEE"/>
    <w:rsid w:val="00097C0B"/>
    <w:rsid w:val="00097C2F"/>
    <w:rsid w:val="00097C34"/>
    <w:rsid w:val="00097C77"/>
    <w:rsid w:val="00097C8A"/>
    <w:rsid w:val="00097D0A"/>
    <w:rsid w:val="00097D1C"/>
    <w:rsid w:val="00097D82"/>
    <w:rsid w:val="00097D84"/>
    <w:rsid w:val="00097DE4"/>
    <w:rsid w:val="00097E51"/>
    <w:rsid w:val="00097E8A"/>
    <w:rsid w:val="00097EBD"/>
    <w:rsid w:val="00097ECF"/>
    <w:rsid w:val="00097EF3"/>
    <w:rsid w:val="00097F94"/>
    <w:rsid w:val="000A014C"/>
    <w:rsid w:val="000A0225"/>
    <w:rsid w:val="000A0232"/>
    <w:rsid w:val="000A026F"/>
    <w:rsid w:val="000A02EA"/>
    <w:rsid w:val="000A02ED"/>
    <w:rsid w:val="000A0313"/>
    <w:rsid w:val="000A0362"/>
    <w:rsid w:val="000A0363"/>
    <w:rsid w:val="000A03FA"/>
    <w:rsid w:val="000A049A"/>
    <w:rsid w:val="000A04A9"/>
    <w:rsid w:val="000A04B5"/>
    <w:rsid w:val="000A04C6"/>
    <w:rsid w:val="000A0541"/>
    <w:rsid w:val="000A05A7"/>
    <w:rsid w:val="000A05C5"/>
    <w:rsid w:val="000A0631"/>
    <w:rsid w:val="000A0639"/>
    <w:rsid w:val="000A0661"/>
    <w:rsid w:val="000A0702"/>
    <w:rsid w:val="000A0781"/>
    <w:rsid w:val="000A07B3"/>
    <w:rsid w:val="000A092B"/>
    <w:rsid w:val="000A0931"/>
    <w:rsid w:val="000A0944"/>
    <w:rsid w:val="000A0951"/>
    <w:rsid w:val="000A0978"/>
    <w:rsid w:val="000A0A87"/>
    <w:rsid w:val="000A0ACE"/>
    <w:rsid w:val="000A0B60"/>
    <w:rsid w:val="000A0BD3"/>
    <w:rsid w:val="000A0BE7"/>
    <w:rsid w:val="000A0C11"/>
    <w:rsid w:val="000A0CAF"/>
    <w:rsid w:val="000A0F08"/>
    <w:rsid w:val="000A109D"/>
    <w:rsid w:val="000A1290"/>
    <w:rsid w:val="000A12A3"/>
    <w:rsid w:val="000A12E6"/>
    <w:rsid w:val="000A1391"/>
    <w:rsid w:val="000A146D"/>
    <w:rsid w:val="000A1554"/>
    <w:rsid w:val="000A1578"/>
    <w:rsid w:val="000A1627"/>
    <w:rsid w:val="000A163B"/>
    <w:rsid w:val="000A170B"/>
    <w:rsid w:val="000A17A5"/>
    <w:rsid w:val="000A1816"/>
    <w:rsid w:val="000A190B"/>
    <w:rsid w:val="000A1958"/>
    <w:rsid w:val="000A1966"/>
    <w:rsid w:val="000A19CC"/>
    <w:rsid w:val="000A1A2C"/>
    <w:rsid w:val="000A1A32"/>
    <w:rsid w:val="000A1AE1"/>
    <w:rsid w:val="000A1DB4"/>
    <w:rsid w:val="000A1ED2"/>
    <w:rsid w:val="000A1F16"/>
    <w:rsid w:val="000A1F1D"/>
    <w:rsid w:val="000A1F7F"/>
    <w:rsid w:val="000A1F9E"/>
    <w:rsid w:val="000A1FE3"/>
    <w:rsid w:val="000A1FE8"/>
    <w:rsid w:val="000A208A"/>
    <w:rsid w:val="000A20FE"/>
    <w:rsid w:val="000A213F"/>
    <w:rsid w:val="000A2183"/>
    <w:rsid w:val="000A22B1"/>
    <w:rsid w:val="000A2412"/>
    <w:rsid w:val="000A242C"/>
    <w:rsid w:val="000A24E5"/>
    <w:rsid w:val="000A2501"/>
    <w:rsid w:val="000A2509"/>
    <w:rsid w:val="000A25A4"/>
    <w:rsid w:val="000A2626"/>
    <w:rsid w:val="000A262E"/>
    <w:rsid w:val="000A263F"/>
    <w:rsid w:val="000A2646"/>
    <w:rsid w:val="000A266F"/>
    <w:rsid w:val="000A27F6"/>
    <w:rsid w:val="000A28C7"/>
    <w:rsid w:val="000A2906"/>
    <w:rsid w:val="000A2B0E"/>
    <w:rsid w:val="000A2B3C"/>
    <w:rsid w:val="000A2BBA"/>
    <w:rsid w:val="000A2BC8"/>
    <w:rsid w:val="000A2D09"/>
    <w:rsid w:val="000A2D24"/>
    <w:rsid w:val="000A2DC1"/>
    <w:rsid w:val="000A2E00"/>
    <w:rsid w:val="000A2FAB"/>
    <w:rsid w:val="000A306B"/>
    <w:rsid w:val="000A30EB"/>
    <w:rsid w:val="000A3171"/>
    <w:rsid w:val="000A3179"/>
    <w:rsid w:val="000A3231"/>
    <w:rsid w:val="000A3251"/>
    <w:rsid w:val="000A3341"/>
    <w:rsid w:val="000A3379"/>
    <w:rsid w:val="000A33AD"/>
    <w:rsid w:val="000A3453"/>
    <w:rsid w:val="000A3539"/>
    <w:rsid w:val="000A3548"/>
    <w:rsid w:val="000A36AA"/>
    <w:rsid w:val="000A36B0"/>
    <w:rsid w:val="000A36C6"/>
    <w:rsid w:val="000A376B"/>
    <w:rsid w:val="000A3861"/>
    <w:rsid w:val="000A38AA"/>
    <w:rsid w:val="000A398A"/>
    <w:rsid w:val="000A39D3"/>
    <w:rsid w:val="000A39E2"/>
    <w:rsid w:val="000A3A13"/>
    <w:rsid w:val="000A3A49"/>
    <w:rsid w:val="000A3A70"/>
    <w:rsid w:val="000A3B03"/>
    <w:rsid w:val="000A3B16"/>
    <w:rsid w:val="000A3C1F"/>
    <w:rsid w:val="000A3C80"/>
    <w:rsid w:val="000A3DA6"/>
    <w:rsid w:val="000A3E7D"/>
    <w:rsid w:val="000A3ECF"/>
    <w:rsid w:val="000A4010"/>
    <w:rsid w:val="000A40D4"/>
    <w:rsid w:val="000A41E3"/>
    <w:rsid w:val="000A41E8"/>
    <w:rsid w:val="000A4285"/>
    <w:rsid w:val="000A430E"/>
    <w:rsid w:val="000A4322"/>
    <w:rsid w:val="000A441B"/>
    <w:rsid w:val="000A44E1"/>
    <w:rsid w:val="000A4649"/>
    <w:rsid w:val="000A47C6"/>
    <w:rsid w:val="000A4820"/>
    <w:rsid w:val="000A4849"/>
    <w:rsid w:val="000A48DC"/>
    <w:rsid w:val="000A48DE"/>
    <w:rsid w:val="000A4938"/>
    <w:rsid w:val="000A4AA0"/>
    <w:rsid w:val="000A4B12"/>
    <w:rsid w:val="000A4B2F"/>
    <w:rsid w:val="000A4BAB"/>
    <w:rsid w:val="000A4C08"/>
    <w:rsid w:val="000A4C17"/>
    <w:rsid w:val="000A4C4A"/>
    <w:rsid w:val="000A4CB0"/>
    <w:rsid w:val="000A4CB7"/>
    <w:rsid w:val="000A4D1F"/>
    <w:rsid w:val="000A4D5D"/>
    <w:rsid w:val="000A4E05"/>
    <w:rsid w:val="000A4E18"/>
    <w:rsid w:val="000A4E30"/>
    <w:rsid w:val="000A4E68"/>
    <w:rsid w:val="000A4F84"/>
    <w:rsid w:val="000A4FB7"/>
    <w:rsid w:val="000A5037"/>
    <w:rsid w:val="000A506F"/>
    <w:rsid w:val="000A51A1"/>
    <w:rsid w:val="000A5384"/>
    <w:rsid w:val="000A538A"/>
    <w:rsid w:val="000A53A4"/>
    <w:rsid w:val="000A5426"/>
    <w:rsid w:val="000A5494"/>
    <w:rsid w:val="000A54B0"/>
    <w:rsid w:val="000A54DF"/>
    <w:rsid w:val="000A5565"/>
    <w:rsid w:val="000A5595"/>
    <w:rsid w:val="000A55F0"/>
    <w:rsid w:val="000A5689"/>
    <w:rsid w:val="000A56A6"/>
    <w:rsid w:val="000A57B3"/>
    <w:rsid w:val="000A5860"/>
    <w:rsid w:val="000A58E7"/>
    <w:rsid w:val="000A5960"/>
    <w:rsid w:val="000A597C"/>
    <w:rsid w:val="000A59BC"/>
    <w:rsid w:val="000A59F1"/>
    <w:rsid w:val="000A5A00"/>
    <w:rsid w:val="000A5B86"/>
    <w:rsid w:val="000A5C9F"/>
    <w:rsid w:val="000A5CDB"/>
    <w:rsid w:val="000A5D82"/>
    <w:rsid w:val="000A5DD6"/>
    <w:rsid w:val="000A5E42"/>
    <w:rsid w:val="000A5EF5"/>
    <w:rsid w:val="000A5F8F"/>
    <w:rsid w:val="000A606B"/>
    <w:rsid w:val="000A60A3"/>
    <w:rsid w:val="000A60B4"/>
    <w:rsid w:val="000A60EF"/>
    <w:rsid w:val="000A6135"/>
    <w:rsid w:val="000A61DA"/>
    <w:rsid w:val="000A62BD"/>
    <w:rsid w:val="000A648E"/>
    <w:rsid w:val="000A6492"/>
    <w:rsid w:val="000A656D"/>
    <w:rsid w:val="000A6817"/>
    <w:rsid w:val="000A6998"/>
    <w:rsid w:val="000A6A0C"/>
    <w:rsid w:val="000A6B09"/>
    <w:rsid w:val="000A6B41"/>
    <w:rsid w:val="000A6C2E"/>
    <w:rsid w:val="000A6C41"/>
    <w:rsid w:val="000A6C91"/>
    <w:rsid w:val="000A6CD2"/>
    <w:rsid w:val="000A6D95"/>
    <w:rsid w:val="000A6D9E"/>
    <w:rsid w:val="000A6E22"/>
    <w:rsid w:val="000A6E39"/>
    <w:rsid w:val="000A6EB5"/>
    <w:rsid w:val="000A6EBC"/>
    <w:rsid w:val="000A6F2A"/>
    <w:rsid w:val="000A7100"/>
    <w:rsid w:val="000A7103"/>
    <w:rsid w:val="000A727A"/>
    <w:rsid w:val="000A7330"/>
    <w:rsid w:val="000A735F"/>
    <w:rsid w:val="000A7368"/>
    <w:rsid w:val="000A73CC"/>
    <w:rsid w:val="000A7479"/>
    <w:rsid w:val="000A758F"/>
    <w:rsid w:val="000A75F7"/>
    <w:rsid w:val="000A768A"/>
    <w:rsid w:val="000A77B3"/>
    <w:rsid w:val="000A77C3"/>
    <w:rsid w:val="000A77D2"/>
    <w:rsid w:val="000A77F7"/>
    <w:rsid w:val="000A78A4"/>
    <w:rsid w:val="000A78D0"/>
    <w:rsid w:val="000A792A"/>
    <w:rsid w:val="000A7932"/>
    <w:rsid w:val="000A7A20"/>
    <w:rsid w:val="000A7A63"/>
    <w:rsid w:val="000A7BF3"/>
    <w:rsid w:val="000A7C78"/>
    <w:rsid w:val="000A7CBA"/>
    <w:rsid w:val="000A7CCA"/>
    <w:rsid w:val="000A7E68"/>
    <w:rsid w:val="000A7F0F"/>
    <w:rsid w:val="000A7FB3"/>
    <w:rsid w:val="000B005F"/>
    <w:rsid w:val="000B008F"/>
    <w:rsid w:val="000B012F"/>
    <w:rsid w:val="000B0143"/>
    <w:rsid w:val="000B0179"/>
    <w:rsid w:val="000B0281"/>
    <w:rsid w:val="000B0312"/>
    <w:rsid w:val="000B032B"/>
    <w:rsid w:val="000B043B"/>
    <w:rsid w:val="000B047C"/>
    <w:rsid w:val="000B04B1"/>
    <w:rsid w:val="000B04B7"/>
    <w:rsid w:val="000B058C"/>
    <w:rsid w:val="000B06B0"/>
    <w:rsid w:val="000B0783"/>
    <w:rsid w:val="000B07B3"/>
    <w:rsid w:val="000B07D2"/>
    <w:rsid w:val="000B0912"/>
    <w:rsid w:val="000B0944"/>
    <w:rsid w:val="000B0A70"/>
    <w:rsid w:val="000B0BBB"/>
    <w:rsid w:val="000B0BFA"/>
    <w:rsid w:val="000B0C3A"/>
    <w:rsid w:val="000B0D45"/>
    <w:rsid w:val="000B0E11"/>
    <w:rsid w:val="000B0E71"/>
    <w:rsid w:val="000B0F45"/>
    <w:rsid w:val="000B0FE1"/>
    <w:rsid w:val="000B0FEE"/>
    <w:rsid w:val="000B114C"/>
    <w:rsid w:val="000B11BE"/>
    <w:rsid w:val="000B1267"/>
    <w:rsid w:val="000B1275"/>
    <w:rsid w:val="000B128A"/>
    <w:rsid w:val="000B1326"/>
    <w:rsid w:val="000B13DE"/>
    <w:rsid w:val="000B13EF"/>
    <w:rsid w:val="000B152C"/>
    <w:rsid w:val="000B1537"/>
    <w:rsid w:val="000B15A0"/>
    <w:rsid w:val="000B15CE"/>
    <w:rsid w:val="000B1650"/>
    <w:rsid w:val="000B1715"/>
    <w:rsid w:val="000B17B2"/>
    <w:rsid w:val="000B17FA"/>
    <w:rsid w:val="000B1870"/>
    <w:rsid w:val="000B193B"/>
    <w:rsid w:val="000B1A13"/>
    <w:rsid w:val="000B1A80"/>
    <w:rsid w:val="000B1AAC"/>
    <w:rsid w:val="000B1D19"/>
    <w:rsid w:val="000B1E32"/>
    <w:rsid w:val="000B1E8F"/>
    <w:rsid w:val="000B1F07"/>
    <w:rsid w:val="000B1F0A"/>
    <w:rsid w:val="000B202E"/>
    <w:rsid w:val="000B212C"/>
    <w:rsid w:val="000B213E"/>
    <w:rsid w:val="000B230A"/>
    <w:rsid w:val="000B23A6"/>
    <w:rsid w:val="000B240D"/>
    <w:rsid w:val="000B241C"/>
    <w:rsid w:val="000B24DD"/>
    <w:rsid w:val="000B259E"/>
    <w:rsid w:val="000B25C4"/>
    <w:rsid w:val="000B2633"/>
    <w:rsid w:val="000B271A"/>
    <w:rsid w:val="000B271B"/>
    <w:rsid w:val="000B27A0"/>
    <w:rsid w:val="000B27E2"/>
    <w:rsid w:val="000B27F4"/>
    <w:rsid w:val="000B27F7"/>
    <w:rsid w:val="000B2834"/>
    <w:rsid w:val="000B2838"/>
    <w:rsid w:val="000B284D"/>
    <w:rsid w:val="000B2850"/>
    <w:rsid w:val="000B2858"/>
    <w:rsid w:val="000B286E"/>
    <w:rsid w:val="000B2928"/>
    <w:rsid w:val="000B292E"/>
    <w:rsid w:val="000B29EE"/>
    <w:rsid w:val="000B2A61"/>
    <w:rsid w:val="000B2BA0"/>
    <w:rsid w:val="000B2BEC"/>
    <w:rsid w:val="000B2C74"/>
    <w:rsid w:val="000B2C86"/>
    <w:rsid w:val="000B2D6D"/>
    <w:rsid w:val="000B2DC6"/>
    <w:rsid w:val="000B2E6A"/>
    <w:rsid w:val="000B2EB2"/>
    <w:rsid w:val="000B2F4C"/>
    <w:rsid w:val="000B2F62"/>
    <w:rsid w:val="000B2F6F"/>
    <w:rsid w:val="000B2F9F"/>
    <w:rsid w:val="000B2FA5"/>
    <w:rsid w:val="000B2FF1"/>
    <w:rsid w:val="000B304C"/>
    <w:rsid w:val="000B3066"/>
    <w:rsid w:val="000B3192"/>
    <w:rsid w:val="000B331E"/>
    <w:rsid w:val="000B338B"/>
    <w:rsid w:val="000B33BB"/>
    <w:rsid w:val="000B33F4"/>
    <w:rsid w:val="000B3403"/>
    <w:rsid w:val="000B3404"/>
    <w:rsid w:val="000B3423"/>
    <w:rsid w:val="000B35F3"/>
    <w:rsid w:val="000B3607"/>
    <w:rsid w:val="000B361C"/>
    <w:rsid w:val="000B3645"/>
    <w:rsid w:val="000B365C"/>
    <w:rsid w:val="000B36F4"/>
    <w:rsid w:val="000B3714"/>
    <w:rsid w:val="000B379A"/>
    <w:rsid w:val="000B3866"/>
    <w:rsid w:val="000B3871"/>
    <w:rsid w:val="000B38BD"/>
    <w:rsid w:val="000B38DD"/>
    <w:rsid w:val="000B3901"/>
    <w:rsid w:val="000B3908"/>
    <w:rsid w:val="000B3993"/>
    <w:rsid w:val="000B3A64"/>
    <w:rsid w:val="000B3AA6"/>
    <w:rsid w:val="000B3AC4"/>
    <w:rsid w:val="000B3B28"/>
    <w:rsid w:val="000B3BA7"/>
    <w:rsid w:val="000B3C18"/>
    <w:rsid w:val="000B3CE3"/>
    <w:rsid w:val="000B3D31"/>
    <w:rsid w:val="000B3DBE"/>
    <w:rsid w:val="000B3DC2"/>
    <w:rsid w:val="000B3E2E"/>
    <w:rsid w:val="000B3E5C"/>
    <w:rsid w:val="000B3EC8"/>
    <w:rsid w:val="000B40E5"/>
    <w:rsid w:val="000B4124"/>
    <w:rsid w:val="000B416A"/>
    <w:rsid w:val="000B42A6"/>
    <w:rsid w:val="000B42D3"/>
    <w:rsid w:val="000B42EC"/>
    <w:rsid w:val="000B44A4"/>
    <w:rsid w:val="000B4566"/>
    <w:rsid w:val="000B456F"/>
    <w:rsid w:val="000B4597"/>
    <w:rsid w:val="000B45C3"/>
    <w:rsid w:val="000B461D"/>
    <w:rsid w:val="000B4766"/>
    <w:rsid w:val="000B4786"/>
    <w:rsid w:val="000B4821"/>
    <w:rsid w:val="000B4848"/>
    <w:rsid w:val="000B48ED"/>
    <w:rsid w:val="000B497F"/>
    <w:rsid w:val="000B4A72"/>
    <w:rsid w:val="000B4AF2"/>
    <w:rsid w:val="000B4BA7"/>
    <w:rsid w:val="000B4BB9"/>
    <w:rsid w:val="000B4BBB"/>
    <w:rsid w:val="000B4BD8"/>
    <w:rsid w:val="000B4CD1"/>
    <w:rsid w:val="000B4D33"/>
    <w:rsid w:val="000B4DE2"/>
    <w:rsid w:val="000B4E44"/>
    <w:rsid w:val="000B4EC2"/>
    <w:rsid w:val="000B4F4C"/>
    <w:rsid w:val="000B4FA9"/>
    <w:rsid w:val="000B4FC6"/>
    <w:rsid w:val="000B4FDD"/>
    <w:rsid w:val="000B4FFD"/>
    <w:rsid w:val="000B50EA"/>
    <w:rsid w:val="000B5105"/>
    <w:rsid w:val="000B51D7"/>
    <w:rsid w:val="000B5209"/>
    <w:rsid w:val="000B53EE"/>
    <w:rsid w:val="000B53FC"/>
    <w:rsid w:val="000B553D"/>
    <w:rsid w:val="000B5555"/>
    <w:rsid w:val="000B559E"/>
    <w:rsid w:val="000B55AD"/>
    <w:rsid w:val="000B56C3"/>
    <w:rsid w:val="000B579A"/>
    <w:rsid w:val="000B5889"/>
    <w:rsid w:val="000B588A"/>
    <w:rsid w:val="000B591D"/>
    <w:rsid w:val="000B595B"/>
    <w:rsid w:val="000B599D"/>
    <w:rsid w:val="000B59CF"/>
    <w:rsid w:val="000B59D4"/>
    <w:rsid w:val="000B5A09"/>
    <w:rsid w:val="000B5A28"/>
    <w:rsid w:val="000B5A6F"/>
    <w:rsid w:val="000B5AF5"/>
    <w:rsid w:val="000B5B37"/>
    <w:rsid w:val="000B5B6D"/>
    <w:rsid w:val="000B5B9E"/>
    <w:rsid w:val="000B5BA1"/>
    <w:rsid w:val="000B5C45"/>
    <w:rsid w:val="000B5C66"/>
    <w:rsid w:val="000B5C72"/>
    <w:rsid w:val="000B5CCB"/>
    <w:rsid w:val="000B5D40"/>
    <w:rsid w:val="000B5E3D"/>
    <w:rsid w:val="000B5E46"/>
    <w:rsid w:val="000B5E77"/>
    <w:rsid w:val="000B5F46"/>
    <w:rsid w:val="000B5F7D"/>
    <w:rsid w:val="000B5FD8"/>
    <w:rsid w:val="000B5FF7"/>
    <w:rsid w:val="000B6067"/>
    <w:rsid w:val="000B616B"/>
    <w:rsid w:val="000B629F"/>
    <w:rsid w:val="000B62A8"/>
    <w:rsid w:val="000B634F"/>
    <w:rsid w:val="000B6360"/>
    <w:rsid w:val="000B64F4"/>
    <w:rsid w:val="000B659A"/>
    <w:rsid w:val="000B65BB"/>
    <w:rsid w:val="000B6603"/>
    <w:rsid w:val="000B669E"/>
    <w:rsid w:val="000B66AB"/>
    <w:rsid w:val="000B66B5"/>
    <w:rsid w:val="000B6727"/>
    <w:rsid w:val="000B673B"/>
    <w:rsid w:val="000B6782"/>
    <w:rsid w:val="000B67A9"/>
    <w:rsid w:val="000B6818"/>
    <w:rsid w:val="000B68A5"/>
    <w:rsid w:val="000B68F5"/>
    <w:rsid w:val="000B69B5"/>
    <w:rsid w:val="000B69D9"/>
    <w:rsid w:val="000B69F8"/>
    <w:rsid w:val="000B6B43"/>
    <w:rsid w:val="000B6D15"/>
    <w:rsid w:val="000B6D28"/>
    <w:rsid w:val="000B6DB0"/>
    <w:rsid w:val="000B6E11"/>
    <w:rsid w:val="000B6E14"/>
    <w:rsid w:val="000B6E55"/>
    <w:rsid w:val="000B6FC3"/>
    <w:rsid w:val="000B701C"/>
    <w:rsid w:val="000B7049"/>
    <w:rsid w:val="000B704D"/>
    <w:rsid w:val="000B7211"/>
    <w:rsid w:val="000B7238"/>
    <w:rsid w:val="000B7313"/>
    <w:rsid w:val="000B7319"/>
    <w:rsid w:val="000B735C"/>
    <w:rsid w:val="000B73C0"/>
    <w:rsid w:val="000B745E"/>
    <w:rsid w:val="000B74BE"/>
    <w:rsid w:val="000B74DD"/>
    <w:rsid w:val="000B763F"/>
    <w:rsid w:val="000B76CD"/>
    <w:rsid w:val="000B76FD"/>
    <w:rsid w:val="000B77AF"/>
    <w:rsid w:val="000B781C"/>
    <w:rsid w:val="000B7AF5"/>
    <w:rsid w:val="000B7B11"/>
    <w:rsid w:val="000B7B16"/>
    <w:rsid w:val="000B7B24"/>
    <w:rsid w:val="000B7B2E"/>
    <w:rsid w:val="000B7BF4"/>
    <w:rsid w:val="000B7C55"/>
    <w:rsid w:val="000B7CB0"/>
    <w:rsid w:val="000B7CD3"/>
    <w:rsid w:val="000B7D26"/>
    <w:rsid w:val="000B7DB0"/>
    <w:rsid w:val="000B7DB3"/>
    <w:rsid w:val="000B7F62"/>
    <w:rsid w:val="000C0041"/>
    <w:rsid w:val="000C00A0"/>
    <w:rsid w:val="000C0187"/>
    <w:rsid w:val="000C01C0"/>
    <w:rsid w:val="000C0259"/>
    <w:rsid w:val="000C02E5"/>
    <w:rsid w:val="000C033A"/>
    <w:rsid w:val="000C03EC"/>
    <w:rsid w:val="000C0448"/>
    <w:rsid w:val="000C049D"/>
    <w:rsid w:val="000C057B"/>
    <w:rsid w:val="000C06E1"/>
    <w:rsid w:val="000C072C"/>
    <w:rsid w:val="000C0830"/>
    <w:rsid w:val="000C089F"/>
    <w:rsid w:val="000C08F4"/>
    <w:rsid w:val="000C09F2"/>
    <w:rsid w:val="000C0A7E"/>
    <w:rsid w:val="000C0AA1"/>
    <w:rsid w:val="000C0AF3"/>
    <w:rsid w:val="000C0B92"/>
    <w:rsid w:val="000C0BDD"/>
    <w:rsid w:val="000C0BF7"/>
    <w:rsid w:val="000C0C50"/>
    <w:rsid w:val="000C0C7C"/>
    <w:rsid w:val="000C0D5F"/>
    <w:rsid w:val="000C0E7C"/>
    <w:rsid w:val="000C0EF0"/>
    <w:rsid w:val="000C104C"/>
    <w:rsid w:val="000C10FA"/>
    <w:rsid w:val="000C1170"/>
    <w:rsid w:val="000C123A"/>
    <w:rsid w:val="000C12B5"/>
    <w:rsid w:val="000C12FF"/>
    <w:rsid w:val="000C1396"/>
    <w:rsid w:val="000C13DB"/>
    <w:rsid w:val="000C1490"/>
    <w:rsid w:val="000C1534"/>
    <w:rsid w:val="000C1586"/>
    <w:rsid w:val="000C1612"/>
    <w:rsid w:val="000C173F"/>
    <w:rsid w:val="000C1776"/>
    <w:rsid w:val="000C179E"/>
    <w:rsid w:val="000C17B2"/>
    <w:rsid w:val="000C17D3"/>
    <w:rsid w:val="000C17E7"/>
    <w:rsid w:val="000C17FE"/>
    <w:rsid w:val="000C18E6"/>
    <w:rsid w:val="000C192E"/>
    <w:rsid w:val="000C1935"/>
    <w:rsid w:val="000C1962"/>
    <w:rsid w:val="000C19E0"/>
    <w:rsid w:val="000C1A37"/>
    <w:rsid w:val="000C1A9A"/>
    <w:rsid w:val="000C1AAB"/>
    <w:rsid w:val="000C1ACF"/>
    <w:rsid w:val="000C1B3E"/>
    <w:rsid w:val="000C1B83"/>
    <w:rsid w:val="000C20A9"/>
    <w:rsid w:val="000C20D3"/>
    <w:rsid w:val="000C20DC"/>
    <w:rsid w:val="000C20FA"/>
    <w:rsid w:val="000C2270"/>
    <w:rsid w:val="000C22B9"/>
    <w:rsid w:val="000C2351"/>
    <w:rsid w:val="000C23C1"/>
    <w:rsid w:val="000C23EC"/>
    <w:rsid w:val="000C2491"/>
    <w:rsid w:val="000C24C5"/>
    <w:rsid w:val="000C2536"/>
    <w:rsid w:val="000C25B8"/>
    <w:rsid w:val="000C25CE"/>
    <w:rsid w:val="000C26F0"/>
    <w:rsid w:val="000C27F8"/>
    <w:rsid w:val="000C282A"/>
    <w:rsid w:val="000C285F"/>
    <w:rsid w:val="000C2968"/>
    <w:rsid w:val="000C2988"/>
    <w:rsid w:val="000C2C5C"/>
    <w:rsid w:val="000C2C71"/>
    <w:rsid w:val="000C2D4B"/>
    <w:rsid w:val="000C2DAA"/>
    <w:rsid w:val="000C2E19"/>
    <w:rsid w:val="000C2F08"/>
    <w:rsid w:val="000C2FC9"/>
    <w:rsid w:val="000C2FDF"/>
    <w:rsid w:val="000C3044"/>
    <w:rsid w:val="000C30C3"/>
    <w:rsid w:val="000C30C8"/>
    <w:rsid w:val="000C3197"/>
    <w:rsid w:val="000C31C6"/>
    <w:rsid w:val="000C31C7"/>
    <w:rsid w:val="000C3248"/>
    <w:rsid w:val="000C3331"/>
    <w:rsid w:val="000C339C"/>
    <w:rsid w:val="000C33A5"/>
    <w:rsid w:val="000C33EA"/>
    <w:rsid w:val="000C3431"/>
    <w:rsid w:val="000C3432"/>
    <w:rsid w:val="000C3575"/>
    <w:rsid w:val="000C3676"/>
    <w:rsid w:val="000C368E"/>
    <w:rsid w:val="000C3718"/>
    <w:rsid w:val="000C378A"/>
    <w:rsid w:val="000C3928"/>
    <w:rsid w:val="000C39E0"/>
    <w:rsid w:val="000C3A34"/>
    <w:rsid w:val="000C3B18"/>
    <w:rsid w:val="000C3BE9"/>
    <w:rsid w:val="000C3C6D"/>
    <w:rsid w:val="000C3D1F"/>
    <w:rsid w:val="000C3E69"/>
    <w:rsid w:val="000C3FA3"/>
    <w:rsid w:val="000C402D"/>
    <w:rsid w:val="000C40A9"/>
    <w:rsid w:val="000C4142"/>
    <w:rsid w:val="000C4176"/>
    <w:rsid w:val="000C41C9"/>
    <w:rsid w:val="000C4277"/>
    <w:rsid w:val="000C43E2"/>
    <w:rsid w:val="000C4427"/>
    <w:rsid w:val="000C4539"/>
    <w:rsid w:val="000C4581"/>
    <w:rsid w:val="000C45F1"/>
    <w:rsid w:val="000C468C"/>
    <w:rsid w:val="000C471D"/>
    <w:rsid w:val="000C4770"/>
    <w:rsid w:val="000C4821"/>
    <w:rsid w:val="000C485C"/>
    <w:rsid w:val="000C485E"/>
    <w:rsid w:val="000C49AC"/>
    <w:rsid w:val="000C49E8"/>
    <w:rsid w:val="000C4AC4"/>
    <w:rsid w:val="000C4B8A"/>
    <w:rsid w:val="000C4C08"/>
    <w:rsid w:val="000C4C85"/>
    <w:rsid w:val="000C4CB9"/>
    <w:rsid w:val="000C4CE9"/>
    <w:rsid w:val="000C4CF9"/>
    <w:rsid w:val="000C4D35"/>
    <w:rsid w:val="000C4D48"/>
    <w:rsid w:val="000C4D4E"/>
    <w:rsid w:val="000C4D5F"/>
    <w:rsid w:val="000C4D82"/>
    <w:rsid w:val="000C4DB4"/>
    <w:rsid w:val="000C4DDD"/>
    <w:rsid w:val="000C4E3A"/>
    <w:rsid w:val="000C4E75"/>
    <w:rsid w:val="000C4EA7"/>
    <w:rsid w:val="000C4EC1"/>
    <w:rsid w:val="000C500B"/>
    <w:rsid w:val="000C507C"/>
    <w:rsid w:val="000C50AC"/>
    <w:rsid w:val="000C5301"/>
    <w:rsid w:val="000C5305"/>
    <w:rsid w:val="000C534C"/>
    <w:rsid w:val="000C535D"/>
    <w:rsid w:val="000C5362"/>
    <w:rsid w:val="000C53F8"/>
    <w:rsid w:val="000C5423"/>
    <w:rsid w:val="000C55DD"/>
    <w:rsid w:val="000C55EC"/>
    <w:rsid w:val="000C562E"/>
    <w:rsid w:val="000C57A4"/>
    <w:rsid w:val="000C57AA"/>
    <w:rsid w:val="000C57B5"/>
    <w:rsid w:val="000C5827"/>
    <w:rsid w:val="000C5900"/>
    <w:rsid w:val="000C5A33"/>
    <w:rsid w:val="000C5A71"/>
    <w:rsid w:val="000C5AF0"/>
    <w:rsid w:val="000C5B8D"/>
    <w:rsid w:val="000C5BB3"/>
    <w:rsid w:val="000C5BBE"/>
    <w:rsid w:val="000C5C06"/>
    <w:rsid w:val="000C5C20"/>
    <w:rsid w:val="000C5CBF"/>
    <w:rsid w:val="000C5DB6"/>
    <w:rsid w:val="000C5E38"/>
    <w:rsid w:val="000C5ED2"/>
    <w:rsid w:val="000C5F8E"/>
    <w:rsid w:val="000C611B"/>
    <w:rsid w:val="000C6206"/>
    <w:rsid w:val="000C6272"/>
    <w:rsid w:val="000C634B"/>
    <w:rsid w:val="000C636E"/>
    <w:rsid w:val="000C63B7"/>
    <w:rsid w:val="000C6463"/>
    <w:rsid w:val="000C64B4"/>
    <w:rsid w:val="000C64E1"/>
    <w:rsid w:val="000C6525"/>
    <w:rsid w:val="000C6526"/>
    <w:rsid w:val="000C6591"/>
    <w:rsid w:val="000C663B"/>
    <w:rsid w:val="000C666F"/>
    <w:rsid w:val="000C6676"/>
    <w:rsid w:val="000C66B4"/>
    <w:rsid w:val="000C66CC"/>
    <w:rsid w:val="000C66D9"/>
    <w:rsid w:val="000C679D"/>
    <w:rsid w:val="000C67CD"/>
    <w:rsid w:val="000C6982"/>
    <w:rsid w:val="000C6A0F"/>
    <w:rsid w:val="000C6AE1"/>
    <w:rsid w:val="000C6B77"/>
    <w:rsid w:val="000C6C40"/>
    <w:rsid w:val="000C6CBF"/>
    <w:rsid w:val="000C6DED"/>
    <w:rsid w:val="000C6E4F"/>
    <w:rsid w:val="000C6F10"/>
    <w:rsid w:val="000C7089"/>
    <w:rsid w:val="000C70E8"/>
    <w:rsid w:val="000C7174"/>
    <w:rsid w:val="000C719A"/>
    <w:rsid w:val="000C71E8"/>
    <w:rsid w:val="000C7269"/>
    <w:rsid w:val="000C72B0"/>
    <w:rsid w:val="000C747E"/>
    <w:rsid w:val="000C760E"/>
    <w:rsid w:val="000C7692"/>
    <w:rsid w:val="000C76A5"/>
    <w:rsid w:val="000C77ED"/>
    <w:rsid w:val="000C7818"/>
    <w:rsid w:val="000C78E4"/>
    <w:rsid w:val="000C78E7"/>
    <w:rsid w:val="000C7973"/>
    <w:rsid w:val="000C79C0"/>
    <w:rsid w:val="000C7A72"/>
    <w:rsid w:val="000C7C5A"/>
    <w:rsid w:val="000C7EA1"/>
    <w:rsid w:val="000C7EFF"/>
    <w:rsid w:val="000C7F8C"/>
    <w:rsid w:val="000C7FE9"/>
    <w:rsid w:val="000D0099"/>
    <w:rsid w:val="000D00BA"/>
    <w:rsid w:val="000D014A"/>
    <w:rsid w:val="000D018D"/>
    <w:rsid w:val="000D029C"/>
    <w:rsid w:val="000D031D"/>
    <w:rsid w:val="000D0453"/>
    <w:rsid w:val="000D04F7"/>
    <w:rsid w:val="000D0668"/>
    <w:rsid w:val="000D06EA"/>
    <w:rsid w:val="000D089A"/>
    <w:rsid w:val="000D08C7"/>
    <w:rsid w:val="000D0913"/>
    <w:rsid w:val="000D0942"/>
    <w:rsid w:val="000D0950"/>
    <w:rsid w:val="000D099E"/>
    <w:rsid w:val="000D09C2"/>
    <w:rsid w:val="000D09CD"/>
    <w:rsid w:val="000D09D2"/>
    <w:rsid w:val="000D0AD3"/>
    <w:rsid w:val="000D0CC7"/>
    <w:rsid w:val="000D0D0D"/>
    <w:rsid w:val="000D0D28"/>
    <w:rsid w:val="000D0D3F"/>
    <w:rsid w:val="000D0E63"/>
    <w:rsid w:val="000D0ED3"/>
    <w:rsid w:val="000D0EE4"/>
    <w:rsid w:val="000D0F1C"/>
    <w:rsid w:val="000D0F1F"/>
    <w:rsid w:val="000D0F5C"/>
    <w:rsid w:val="000D10EF"/>
    <w:rsid w:val="000D11D7"/>
    <w:rsid w:val="000D12E4"/>
    <w:rsid w:val="000D1333"/>
    <w:rsid w:val="000D14C9"/>
    <w:rsid w:val="000D1619"/>
    <w:rsid w:val="000D170F"/>
    <w:rsid w:val="000D183A"/>
    <w:rsid w:val="000D1A00"/>
    <w:rsid w:val="000D1A5C"/>
    <w:rsid w:val="000D1A9C"/>
    <w:rsid w:val="000D1C22"/>
    <w:rsid w:val="000D1CEB"/>
    <w:rsid w:val="000D1D17"/>
    <w:rsid w:val="000D1DAB"/>
    <w:rsid w:val="000D1DBA"/>
    <w:rsid w:val="000D1DD3"/>
    <w:rsid w:val="000D1E49"/>
    <w:rsid w:val="000D1E99"/>
    <w:rsid w:val="000D1EFB"/>
    <w:rsid w:val="000D1F04"/>
    <w:rsid w:val="000D1FC8"/>
    <w:rsid w:val="000D2019"/>
    <w:rsid w:val="000D202F"/>
    <w:rsid w:val="000D214C"/>
    <w:rsid w:val="000D2196"/>
    <w:rsid w:val="000D21C4"/>
    <w:rsid w:val="000D220C"/>
    <w:rsid w:val="000D2237"/>
    <w:rsid w:val="000D227D"/>
    <w:rsid w:val="000D22B6"/>
    <w:rsid w:val="000D22F9"/>
    <w:rsid w:val="000D23E3"/>
    <w:rsid w:val="000D2752"/>
    <w:rsid w:val="000D278D"/>
    <w:rsid w:val="000D2798"/>
    <w:rsid w:val="000D27DF"/>
    <w:rsid w:val="000D2806"/>
    <w:rsid w:val="000D28B4"/>
    <w:rsid w:val="000D298C"/>
    <w:rsid w:val="000D2AA1"/>
    <w:rsid w:val="000D2B07"/>
    <w:rsid w:val="000D2B25"/>
    <w:rsid w:val="000D2B3B"/>
    <w:rsid w:val="000D2B7D"/>
    <w:rsid w:val="000D2BAD"/>
    <w:rsid w:val="000D2BFB"/>
    <w:rsid w:val="000D2C49"/>
    <w:rsid w:val="000D2E6A"/>
    <w:rsid w:val="000D2F0D"/>
    <w:rsid w:val="000D2F1E"/>
    <w:rsid w:val="000D2F7F"/>
    <w:rsid w:val="000D2FDE"/>
    <w:rsid w:val="000D3053"/>
    <w:rsid w:val="000D3186"/>
    <w:rsid w:val="000D31B1"/>
    <w:rsid w:val="000D32D1"/>
    <w:rsid w:val="000D3307"/>
    <w:rsid w:val="000D344F"/>
    <w:rsid w:val="000D34DD"/>
    <w:rsid w:val="000D35BC"/>
    <w:rsid w:val="000D3603"/>
    <w:rsid w:val="000D3614"/>
    <w:rsid w:val="000D374A"/>
    <w:rsid w:val="000D377B"/>
    <w:rsid w:val="000D37CA"/>
    <w:rsid w:val="000D380D"/>
    <w:rsid w:val="000D3826"/>
    <w:rsid w:val="000D387D"/>
    <w:rsid w:val="000D3A6E"/>
    <w:rsid w:val="000D3A78"/>
    <w:rsid w:val="000D3AEE"/>
    <w:rsid w:val="000D3B5B"/>
    <w:rsid w:val="000D3C81"/>
    <w:rsid w:val="000D3CFF"/>
    <w:rsid w:val="000D3D16"/>
    <w:rsid w:val="000D3D87"/>
    <w:rsid w:val="000D3DE9"/>
    <w:rsid w:val="000D3FE7"/>
    <w:rsid w:val="000D4037"/>
    <w:rsid w:val="000D4168"/>
    <w:rsid w:val="000D424C"/>
    <w:rsid w:val="000D42E8"/>
    <w:rsid w:val="000D42F1"/>
    <w:rsid w:val="000D4434"/>
    <w:rsid w:val="000D443D"/>
    <w:rsid w:val="000D4463"/>
    <w:rsid w:val="000D459B"/>
    <w:rsid w:val="000D45E3"/>
    <w:rsid w:val="000D46D2"/>
    <w:rsid w:val="000D46EC"/>
    <w:rsid w:val="000D482C"/>
    <w:rsid w:val="000D49A2"/>
    <w:rsid w:val="000D4A3C"/>
    <w:rsid w:val="000D4A3F"/>
    <w:rsid w:val="000D4B1F"/>
    <w:rsid w:val="000D4B98"/>
    <w:rsid w:val="000D4BD3"/>
    <w:rsid w:val="000D4C8A"/>
    <w:rsid w:val="000D4DBE"/>
    <w:rsid w:val="000D4ED5"/>
    <w:rsid w:val="000D4F33"/>
    <w:rsid w:val="000D5081"/>
    <w:rsid w:val="000D513B"/>
    <w:rsid w:val="000D516B"/>
    <w:rsid w:val="000D51A9"/>
    <w:rsid w:val="000D51F2"/>
    <w:rsid w:val="000D5269"/>
    <w:rsid w:val="000D5297"/>
    <w:rsid w:val="000D542A"/>
    <w:rsid w:val="000D544E"/>
    <w:rsid w:val="000D5479"/>
    <w:rsid w:val="000D5497"/>
    <w:rsid w:val="000D5541"/>
    <w:rsid w:val="000D556B"/>
    <w:rsid w:val="000D55A0"/>
    <w:rsid w:val="000D55B3"/>
    <w:rsid w:val="000D55D5"/>
    <w:rsid w:val="000D55F4"/>
    <w:rsid w:val="000D55FF"/>
    <w:rsid w:val="000D56AA"/>
    <w:rsid w:val="000D5734"/>
    <w:rsid w:val="000D57A7"/>
    <w:rsid w:val="000D5827"/>
    <w:rsid w:val="000D58AC"/>
    <w:rsid w:val="000D59C4"/>
    <w:rsid w:val="000D59EA"/>
    <w:rsid w:val="000D5A68"/>
    <w:rsid w:val="000D5A81"/>
    <w:rsid w:val="000D5B41"/>
    <w:rsid w:val="000D5B6D"/>
    <w:rsid w:val="000D5BA3"/>
    <w:rsid w:val="000D5BC1"/>
    <w:rsid w:val="000D5BF2"/>
    <w:rsid w:val="000D5C14"/>
    <w:rsid w:val="000D5C35"/>
    <w:rsid w:val="000D5C84"/>
    <w:rsid w:val="000D5D30"/>
    <w:rsid w:val="000D5E5B"/>
    <w:rsid w:val="000D5EB3"/>
    <w:rsid w:val="000D5EE0"/>
    <w:rsid w:val="000D5F30"/>
    <w:rsid w:val="000D6182"/>
    <w:rsid w:val="000D627A"/>
    <w:rsid w:val="000D62EB"/>
    <w:rsid w:val="000D635B"/>
    <w:rsid w:val="000D63B7"/>
    <w:rsid w:val="000D63BA"/>
    <w:rsid w:val="000D63E3"/>
    <w:rsid w:val="000D63E6"/>
    <w:rsid w:val="000D6401"/>
    <w:rsid w:val="000D6437"/>
    <w:rsid w:val="000D6439"/>
    <w:rsid w:val="000D6450"/>
    <w:rsid w:val="000D64B2"/>
    <w:rsid w:val="000D65D0"/>
    <w:rsid w:val="000D6619"/>
    <w:rsid w:val="000D6763"/>
    <w:rsid w:val="000D6779"/>
    <w:rsid w:val="000D6801"/>
    <w:rsid w:val="000D6824"/>
    <w:rsid w:val="000D68B5"/>
    <w:rsid w:val="000D695C"/>
    <w:rsid w:val="000D6982"/>
    <w:rsid w:val="000D6A7A"/>
    <w:rsid w:val="000D6B88"/>
    <w:rsid w:val="000D6C3C"/>
    <w:rsid w:val="000D6C78"/>
    <w:rsid w:val="000D6C7A"/>
    <w:rsid w:val="000D6C93"/>
    <w:rsid w:val="000D6CD1"/>
    <w:rsid w:val="000D6D11"/>
    <w:rsid w:val="000D6D1C"/>
    <w:rsid w:val="000D6D7C"/>
    <w:rsid w:val="000D6EA0"/>
    <w:rsid w:val="000D7039"/>
    <w:rsid w:val="000D713D"/>
    <w:rsid w:val="000D716C"/>
    <w:rsid w:val="000D721B"/>
    <w:rsid w:val="000D7242"/>
    <w:rsid w:val="000D72A9"/>
    <w:rsid w:val="000D72F9"/>
    <w:rsid w:val="000D7463"/>
    <w:rsid w:val="000D75B4"/>
    <w:rsid w:val="000D7604"/>
    <w:rsid w:val="000D7664"/>
    <w:rsid w:val="000D76A0"/>
    <w:rsid w:val="000D772F"/>
    <w:rsid w:val="000D7785"/>
    <w:rsid w:val="000D77BB"/>
    <w:rsid w:val="000D7949"/>
    <w:rsid w:val="000D79D6"/>
    <w:rsid w:val="000D7A2C"/>
    <w:rsid w:val="000D7B64"/>
    <w:rsid w:val="000D7C35"/>
    <w:rsid w:val="000D7C7C"/>
    <w:rsid w:val="000D7CCA"/>
    <w:rsid w:val="000D7DB6"/>
    <w:rsid w:val="000D7F27"/>
    <w:rsid w:val="000D7F2C"/>
    <w:rsid w:val="000D7FD1"/>
    <w:rsid w:val="000D7FFA"/>
    <w:rsid w:val="000E00A4"/>
    <w:rsid w:val="000E00EA"/>
    <w:rsid w:val="000E0106"/>
    <w:rsid w:val="000E02BD"/>
    <w:rsid w:val="000E04B2"/>
    <w:rsid w:val="000E04D4"/>
    <w:rsid w:val="000E0519"/>
    <w:rsid w:val="000E0543"/>
    <w:rsid w:val="000E065F"/>
    <w:rsid w:val="000E06C9"/>
    <w:rsid w:val="000E0741"/>
    <w:rsid w:val="000E0784"/>
    <w:rsid w:val="000E0805"/>
    <w:rsid w:val="000E080F"/>
    <w:rsid w:val="000E083E"/>
    <w:rsid w:val="000E086F"/>
    <w:rsid w:val="000E0874"/>
    <w:rsid w:val="000E0888"/>
    <w:rsid w:val="000E09B3"/>
    <w:rsid w:val="000E0A5D"/>
    <w:rsid w:val="000E0C2A"/>
    <w:rsid w:val="000E0C48"/>
    <w:rsid w:val="000E0C4B"/>
    <w:rsid w:val="000E0C6D"/>
    <w:rsid w:val="000E0C8C"/>
    <w:rsid w:val="000E0DED"/>
    <w:rsid w:val="000E0E0B"/>
    <w:rsid w:val="000E0E33"/>
    <w:rsid w:val="000E0E3C"/>
    <w:rsid w:val="000E0E54"/>
    <w:rsid w:val="000E0E64"/>
    <w:rsid w:val="000E0F02"/>
    <w:rsid w:val="000E0FD7"/>
    <w:rsid w:val="000E106E"/>
    <w:rsid w:val="000E1099"/>
    <w:rsid w:val="000E10C0"/>
    <w:rsid w:val="000E10E5"/>
    <w:rsid w:val="000E11C5"/>
    <w:rsid w:val="000E122F"/>
    <w:rsid w:val="000E13DD"/>
    <w:rsid w:val="000E13EA"/>
    <w:rsid w:val="000E150E"/>
    <w:rsid w:val="000E1587"/>
    <w:rsid w:val="000E1615"/>
    <w:rsid w:val="000E1645"/>
    <w:rsid w:val="000E1828"/>
    <w:rsid w:val="000E189B"/>
    <w:rsid w:val="000E1908"/>
    <w:rsid w:val="000E191C"/>
    <w:rsid w:val="000E19B0"/>
    <w:rsid w:val="000E1A19"/>
    <w:rsid w:val="000E1ABB"/>
    <w:rsid w:val="000E1ABD"/>
    <w:rsid w:val="000E1B0C"/>
    <w:rsid w:val="000E1BA2"/>
    <w:rsid w:val="000E1C60"/>
    <w:rsid w:val="000E1CA3"/>
    <w:rsid w:val="000E1CA4"/>
    <w:rsid w:val="000E1D95"/>
    <w:rsid w:val="000E1E20"/>
    <w:rsid w:val="000E1EBE"/>
    <w:rsid w:val="000E1EC9"/>
    <w:rsid w:val="000E1F5D"/>
    <w:rsid w:val="000E2194"/>
    <w:rsid w:val="000E2260"/>
    <w:rsid w:val="000E22CB"/>
    <w:rsid w:val="000E230F"/>
    <w:rsid w:val="000E2365"/>
    <w:rsid w:val="000E250C"/>
    <w:rsid w:val="000E255C"/>
    <w:rsid w:val="000E2591"/>
    <w:rsid w:val="000E26B9"/>
    <w:rsid w:val="000E26D0"/>
    <w:rsid w:val="000E26FE"/>
    <w:rsid w:val="000E274A"/>
    <w:rsid w:val="000E2765"/>
    <w:rsid w:val="000E2786"/>
    <w:rsid w:val="000E284A"/>
    <w:rsid w:val="000E290B"/>
    <w:rsid w:val="000E29BC"/>
    <w:rsid w:val="000E2A16"/>
    <w:rsid w:val="000E2AA3"/>
    <w:rsid w:val="000E2ABC"/>
    <w:rsid w:val="000E2B4C"/>
    <w:rsid w:val="000E2D5B"/>
    <w:rsid w:val="000E2DEB"/>
    <w:rsid w:val="000E2EFD"/>
    <w:rsid w:val="000E2F47"/>
    <w:rsid w:val="000E2F51"/>
    <w:rsid w:val="000E2FB6"/>
    <w:rsid w:val="000E3013"/>
    <w:rsid w:val="000E3018"/>
    <w:rsid w:val="000E3135"/>
    <w:rsid w:val="000E316B"/>
    <w:rsid w:val="000E31A3"/>
    <w:rsid w:val="000E31E0"/>
    <w:rsid w:val="000E3258"/>
    <w:rsid w:val="000E3265"/>
    <w:rsid w:val="000E32B2"/>
    <w:rsid w:val="000E3317"/>
    <w:rsid w:val="000E34AD"/>
    <w:rsid w:val="000E353C"/>
    <w:rsid w:val="000E3547"/>
    <w:rsid w:val="000E358E"/>
    <w:rsid w:val="000E35B1"/>
    <w:rsid w:val="000E3621"/>
    <w:rsid w:val="000E372D"/>
    <w:rsid w:val="000E377C"/>
    <w:rsid w:val="000E3783"/>
    <w:rsid w:val="000E3930"/>
    <w:rsid w:val="000E39AC"/>
    <w:rsid w:val="000E39AD"/>
    <w:rsid w:val="000E39E7"/>
    <w:rsid w:val="000E3A60"/>
    <w:rsid w:val="000E3A6D"/>
    <w:rsid w:val="000E3AFC"/>
    <w:rsid w:val="000E3B64"/>
    <w:rsid w:val="000E3BA5"/>
    <w:rsid w:val="000E3C71"/>
    <w:rsid w:val="000E3C90"/>
    <w:rsid w:val="000E3CE0"/>
    <w:rsid w:val="000E3CFB"/>
    <w:rsid w:val="000E3E50"/>
    <w:rsid w:val="000E3ECF"/>
    <w:rsid w:val="000E3F00"/>
    <w:rsid w:val="000E3F08"/>
    <w:rsid w:val="000E3FB4"/>
    <w:rsid w:val="000E400D"/>
    <w:rsid w:val="000E40BB"/>
    <w:rsid w:val="000E419F"/>
    <w:rsid w:val="000E4215"/>
    <w:rsid w:val="000E428B"/>
    <w:rsid w:val="000E42D6"/>
    <w:rsid w:val="000E4336"/>
    <w:rsid w:val="000E4338"/>
    <w:rsid w:val="000E4373"/>
    <w:rsid w:val="000E43B0"/>
    <w:rsid w:val="000E43E7"/>
    <w:rsid w:val="000E473A"/>
    <w:rsid w:val="000E4749"/>
    <w:rsid w:val="000E4809"/>
    <w:rsid w:val="000E4823"/>
    <w:rsid w:val="000E4840"/>
    <w:rsid w:val="000E488A"/>
    <w:rsid w:val="000E48DD"/>
    <w:rsid w:val="000E48F0"/>
    <w:rsid w:val="000E4945"/>
    <w:rsid w:val="000E4A7A"/>
    <w:rsid w:val="000E4ADF"/>
    <w:rsid w:val="000E4BB0"/>
    <w:rsid w:val="000E4BD9"/>
    <w:rsid w:val="000E4C18"/>
    <w:rsid w:val="000E4C30"/>
    <w:rsid w:val="000E4D3F"/>
    <w:rsid w:val="000E4D74"/>
    <w:rsid w:val="000E4D88"/>
    <w:rsid w:val="000E4E75"/>
    <w:rsid w:val="000E4FAD"/>
    <w:rsid w:val="000E50C0"/>
    <w:rsid w:val="000E518A"/>
    <w:rsid w:val="000E519B"/>
    <w:rsid w:val="000E51CF"/>
    <w:rsid w:val="000E51F9"/>
    <w:rsid w:val="000E5261"/>
    <w:rsid w:val="000E533B"/>
    <w:rsid w:val="000E5368"/>
    <w:rsid w:val="000E54B4"/>
    <w:rsid w:val="000E551D"/>
    <w:rsid w:val="000E558A"/>
    <w:rsid w:val="000E55A6"/>
    <w:rsid w:val="000E5681"/>
    <w:rsid w:val="000E5739"/>
    <w:rsid w:val="000E589C"/>
    <w:rsid w:val="000E58AD"/>
    <w:rsid w:val="000E58F9"/>
    <w:rsid w:val="000E5B25"/>
    <w:rsid w:val="000E5B92"/>
    <w:rsid w:val="000E5CEC"/>
    <w:rsid w:val="000E5E1E"/>
    <w:rsid w:val="000E5ED8"/>
    <w:rsid w:val="000E5EDE"/>
    <w:rsid w:val="000E5F8A"/>
    <w:rsid w:val="000E600F"/>
    <w:rsid w:val="000E60A0"/>
    <w:rsid w:val="000E60B2"/>
    <w:rsid w:val="000E60F1"/>
    <w:rsid w:val="000E61A3"/>
    <w:rsid w:val="000E643E"/>
    <w:rsid w:val="000E647C"/>
    <w:rsid w:val="000E64F3"/>
    <w:rsid w:val="000E6584"/>
    <w:rsid w:val="000E6593"/>
    <w:rsid w:val="000E66B5"/>
    <w:rsid w:val="000E66BB"/>
    <w:rsid w:val="000E66EC"/>
    <w:rsid w:val="000E6733"/>
    <w:rsid w:val="000E6779"/>
    <w:rsid w:val="000E67C8"/>
    <w:rsid w:val="000E686B"/>
    <w:rsid w:val="000E6897"/>
    <w:rsid w:val="000E68EC"/>
    <w:rsid w:val="000E6975"/>
    <w:rsid w:val="000E6990"/>
    <w:rsid w:val="000E69A2"/>
    <w:rsid w:val="000E6ABE"/>
    <w:rsid w:val="000E6C39"/>
    <w:rsid w:val="000E6D8E"/>
    <w:rsid w:val="000E6DF6"/>
    <w:rsid w:val="000E6E26"/>
    <w:rsid w:val="000E6EB2"/>
    <w:rsid w:val="000E6EE9"/>
    <w:rsid w:val="000E70DD"/>
    <w:rsid w:val="000E711C"/>
    <w:rsid w:val="000E7208"/>
    <w:rsid w:val="000E7219"/>
    <w:rsid w:val="000E7293"/>
    <w:rsid w:val="000E72A2"/>
    <w:rsid w:val="000E72CE"/>
    <w:rsid w:val="000E72DB"/>
    <w:rsid w:val="000E73A8"/>
    <w:rsid w:val="000E74B9"/>
    <w:rsid w:val="000E74F0"/>
    <w:rsid w:val="000E7553"/>
    <w:rsid w:val="000E75C5"/>
    <w:rsid w:val="000E7647"/>
    <w:rsid w:val="000E7671"/>
    <w:rsid w:val="000E7675"/>
    <w:rsid w:val="000E7683"/>
    <w:rsid w:val="000E76FC"/>
    <w:rsid w:val="000E771B"/>
    <w:rsid w:val="000E771F"/>
    <w:rsid w:val="000E7726"/>
    <w:rsid w:val="000E773B"/>
    <w:rsid w:val="000E77A4"/>
    <w:rsid w:val="000E7848"/>
    <w:rsid w:val="000E7A08"/>
    <w:rsid w:val="000E7AF4"/>
    <w:rsid w:val="000E7B33"/>
    <w:rsid w:val="000E7B35"/>
    <w:rsid w:val="000E7BD7"/>
    <w:rsid w:val="000E7C66"/>
    <w:rsid w:val="000E7C74"/>
    <w:rsid w:val="000E7C80"/>
    <w:rsid w:val="000E7D0E"/>
    <w:rsid w:val="000E7D41"/>
    <w:rsid w:val="000E7DFA"/>
    <w:rsid w:val="000E7E24"/>
    <w:rsid w:val="000E7E45"/>
    <w:rsid w:val="000E7EDB"/>
    <w:rsid w:val="000E7EE5"/>
    <w:rsid w:val="000E7F65"/>
    <w:rsid w:val="000F00F4"/>
    <w:rsid w:val="000F0180"/>
    <w:rsid w:val="000F01E7"/>
    <w:rsid w:val="000F01EE"/>
    <w:rsid w:val="000F026D"/>
    <w:rsid w:val="000F030A"/>
    <w:rsid w:val="000F032D"/>
    <w:rsid w:val="000F03ED"/>
    <w:rsid w:val="000F0412"/>
    <w:rsid w:val="000F0542"/>
    <w:rsid w:val="000F05DC"/>
    <w:rsid w:val="000F0843"/>
    <w:rsid w:val="000F08DE"/>
    <w:rsid w:val="000F09EA"/>
    <w:rsid w:val="000F0A60"/>
    <w:rsid w:val="000F0A7C"/>
    <w:rsid w:val="000F0AD8"/>
    <w:rsid w:val="000F0B5F"/>
    <w:rsid w:val="000F0B98"/>
    <w:rsid w:val="000F0C6C"/>
    <w:rsid w:val="000F0C87"/>
    <w:rsid w:val="000F0CF1"/>
    <w:rsid w:val="000F0DEA"/>
    <w:rsid w:val="000F0E02"/>
    <w:rsid w:val="000F0ED3"/>
    <w:rsid w:val="000F0F72"/>
    <w:rsid w:val="000F0FAA"/>
    <w:rsid w:val="000F100C"/>
    <w:rsid w:val="000F10C0"/>
    <w:rsid w:val="000F10EA"/>
    <w:rsid w:val="000F1136"/>
    <w:rsid w:val="000F11A1"/>
    <w:rsid w:val="000F1217"/>
    <w:rsid w:val="000F1219"/>
    <w:rsid w:val="000F1227"/>
    <w:rsid w:val="000F1244"/>
    <w:rsid w:val="000F12AC"/>
    <w:rsid w:val="000F131B"/>
    <w:rsid w:val="000F1484"/>
    <w:rsid w:val="000F156C"/>
    <w:rsid w:val="000F1652"/>
    <w:rsid w:val="000F1751"/>
    <w:rsid w:val="000F1788"/>
    <w:rsid w:val="000F17B9"/>
    <w:rsid w:val="000F17BC"/>
    <w:rsid w:val="000F17D1"/>
    <w:rsid w:val="000F1815"/>
    <w:rsid w:val="000F1869"/>
    <w:rsid w:val="000F1880"/>
    <w:rsid w:val="000F1970"/>
    <w:rsid w:val="000F19EA"/>
    <w:rsid w:val="000F1A17"/>
    <w:rsid w:val="000F1CDB"/>
    <w:rsid w:val="000F1CF4"/>
    <w:rsid w:val="000F1D9A"/>
    <w:rsid w:val="000F1DB3"/>
    <w:rsid w:val="000F1FA5"/>
    <w:rsid w:val="000F1FB5"/>
    <w:rsid w:val="000F209B"/>
    <w:rsid w:val="000F20D6"/>
    <w:rsid w:val="000F20E8"/>
    <w:rsid w:val="000F2185"/>
    <w:rsid w:val="000F218C"/>
    <w:rsid w:val="000F218D"/>
    <w:rsid w:val="000F218E"/>
    <w:rsid w:val="000F223C"/>
    <w:rsid w:val="000F225A"/>
    <w:rsid w:val="000F237A"/>
    <w:rsid w:val="000F23C7"/>
    <w:rsid w:val="000F2456"/>
    <w:rsid w:val="000F247C"/>
    <w:rsid w:val="000F2497"/>
    <w:rsid w:val="000F24C3"/>
    <w:rsid w:val="000F24F4"/>
    <w:rsid w:val="000F263E"/>
    <w:rsid w:val="000F2664"/>
    <w:rsid w:val="000F2686"/>
    <w:rsid w:val="000F2723"/>
    <w:rsid w:val="000F272D"/>
    <w:rsid w:val="000F275B"/>
    <w:rsid w:val="000F2800"/>
    <w:rsid w:val="000F295D"/>
    <w:rsid w:val="000F29E9"/>
    <w:rsid w:val="000F2A88"/>
    <w:rsid w:val="000F2C5C"/>
    <w:rsid w:val="000F2C6A"/>
    <w:rsid w:val="000F2CC4"/>
    <w:rsid w:val="000F2D72"/>
    <w:rsid w:val="000F2DFA"/>
    <w:rsid w:val="000F31B1"/>
    <w:rsid w:val="000F325A"/>
    <w:rsid w:val="000F3267"/>
    <w:rsid w:val="000F32BB"/>
    <w:rsid w:val="000F345C"/>
    <w:rsid w:val="000F3471"/>
    <w:rsid w:val="000F347C"/>
    <w:rsid w:val="000F34D0"/>
    <w:rsid w:val="000F3535"/>
    <w:rsid w:val="000F3590"/>
    <w:rsid w:val="000F3594"/>
    <w:rsid w:val="000F3609"/>
    <w:rsid w:val="000F3692"/>
    <w:rsid w:val="000F36ED"/>
    <w:rsid w:val="000F3703"/>
    <w:rsid w:val="000F374F"/>
    <w:rsid w:val="000F37ED"/>
    <w:rsid w:val="000F384D"/>
    <w:rsid w:val="000F39C2"/>
    <w:rsid w:val="000F3B4C"/>
    <w:rsid w:val="000F3B4F"/>
    <w:rsid w:val="000F3B50"/>
    <w:rsid w:val="000F3B90"/>
    <w:rsid w:val="000F3BA7"/>
    <w:rsid w:val="000F3BA8"/>
    <w:rsid w:val="000F3BC4"/>
    <w:rsid w:val="000F3C0A"/>
    <w:rsid w:val="000F3C7B"/>
    <w:rsid w:val="000F3D3C"/>
    <w:rsid w:val="000F3D96"/>
    <w:rsid w:val="000F3E6D"/>
    <w:rsid w:val="000F3ED3"/>
    <w:rsid w:val="000F3ED5"/>
    <w:rsid w:val="000F405F"/>
    <w:rsid w:val="000F416F"/>
    <w:rsid w:val="000F4197"/>
    <w:rsid w:val="000F41D0"/>
    <w:rsid w:val="000F4245"/>
    <w:rsid w:val="000F43D2"/>
    <w:rsid w:val="000F441D"/>
    <w:rsid w:val="000F4488"/>
    <w:rsid w:val="000F448A"/>
    <w:rsid w:val="000F44AC"/>
    <w:rsid w:val="000F44B9"/>
    <w:rsid w:val="000F44EE"/>
    <w:rsid w:val="000F4572"/>
    <w:rsid w:val="000F4579"/>
    <w:rsid w:val="000F45A6"/>
    <w:rsid w:val="000F46A0"/>
    <w:rsid w:val="000F46EF"/>
    <w:rsid w:val="000F474C"/>
    <w:rsid w:val="000F476B"/>
    <w:rsid w:val="000F478F"/>
    <w:rsid w:val="000F4799"/>
    <w:rsid w:val="000F47F5"/>
    <w:rsid w:val="000F47FE"/>
    <w:rsid w:val="000F48A2"/>
    <w:rsid w:val="000F48AB"/>
    <w:rsid w:val="000F490A"/>
    <w:rsid w:val="000F499E"/>
    <w:rsid w:val="000F49AC"/>
    <w:rsid w:val="000F4A04"/>
    <w:rsid w:val="000F4A33"/>
    <w:rsid w:val="000F4A8B"/>
    <w:rsid w:val="000F4A8E"/>
    <w:rsid w:val="000F4ACD"/>
    <w:rsid w:val="000F4BA5"/>
    <w:rsid w:val="000F4C77"/>
    <w:rsid w:val="000F4D59"/>
    <w:rsid w:val="000F4D69"/>
    <w:rsid w:val="000F4F22"/>
    <w:rsid w:val="000F4F3F"/>
    <w:rsid w:val="000F4F63"/>
    <w:rsid w:val="000F5017"/>
    <w:rsid w:val="000F5028"/>
    <w:rsid w:val="000F5053"/>
    <w:rsid w:val="000F5068"/>
    <w:rsid w:val="000F5186"/>
    <w:rsid w:val="000F519E"/>
    <w:rsid w:val="000F5281"/>
    <w:rsid w:val="000F5375"/>
    <w:rsid w:val="000F53F0"/>
    <w:rsid w:val="000F54CF"/>
    <w:rsid w:val="000F555A"/>
    <w:rsid w:val="000F5603"/>
    <w:rsid w:val="000F56A3"/>
    <w:rsid w:val="000F56BF"/>
    <w:rsid w:val="000F56C4"/>
    <w:rsid w:val="000F57E6"/>
    <w:rsid w:val="000F584F"/>
    <w:rsid w:val="000F58BB"/>
    <w:rsid w:val="000F59BB"/>
    <w:rsid w:val="000F5BA3"/>
    <w:rsid w:val="000F5BDE"/>
    <w:rsid w:val="000F5BE1"/>
    <w:rsid w:val="000F5BF5"/>
    <w:rsid w:val="000F5C74"/>
    <w:rsid w:val="000F5D2B"/>
    <w:rsid w:val="000F5D2F"/>
    <w:rsid w:val="000F5DBA"/>
    <w:rsid w:val="000F5E06"/>
    <w:rsid w:val="000F5E40"/>
    <w:rsid w:val="000F5E48"/>
    <w:rsid w:val="000F5F54"/>
    <w:rsid w:val="000F60BC"/>
    <w:rsid w:val="000F6128"/>
    <w:rsid w:val="000F61D1"/>
    <w:rsid w:val="000F62E5"/>
    <w:rsid w:val="000F630E"/>
    <w:rsid w:val="000F63B0"/>
    <w:rsid w:val="000F640F"/>
    <w:rsid w:val="000F6462"/>
    <w:rsid w:val="000F6473"/>
    <w:rsid w:val="000F647C"/>
    <w:rsid w:val="000F65B2"/>
    <w:rsid w:val="000F67C0"/>
    <w:rsid w:val="000F67CD"/>
    <w:rsid w:val="000F67D0"/>
    <w:rsid w:val="000F685E"/>
    <w:rsid w:val="000F68BE"/>
    <w:rsid w:val="000F693C"/>
    <w:rsid w:val="000F6980"/>
    <w:rsid w:val="000F6A13"/>
    <w:rsid w:val="000F6AAE"/>
    <w:rsid w:val="000F6AE5"/>
    <w:rsid w:val="000F6BA5"/>
    <w:rsid w:val="000F6DB6"/>
    <w:rsid w:val="000F6DD6"/>
    <w:rsid w:val="000F6FC9"/>
    <w:rsid w:val="000F7031"/>
    <w:rsid w:val="000F705E"/>
    <w:rsid w:val="000F70EF"/>
    <w:rsid w:val="000F7106"/>
    <w:rsid w:val="000F71FF"/>
    <w:rsid w:val="000F7431"/>
    <w:rsid w:val="000F743B"/>
    <w:rsid w:val="000F7461"/>
    <w:rsid w:val="000F7478"/>
    <w:rsid w:val="000F74CE"/>
    <w:rsid w:val="000F75BE"/>
    <w:rsid w:val="000F75CD"/>
    <w:rsid w:val="000F75E8"/>
    <w:rsid w:val="000F762F"/>
    <w:rsid w:val="000F76A2"/>
    <w:rsid w:val="000F776B"/>
    <w:rsid w:val="000F7774"/>
    <w:rsid w:val="000F77DE"/>
    <w:rsid w:val="000F784E"/>
    <w:rsid w:val="000F785F"/>
    <w:rsid w:val="000F78ED"/>
    <w:rsid w:val="000F7930"/>
    <w:rsid w:val="000F7B0A"/>
    <w:rsid w:val="000F7B13"/>
    <w:rsid w:val="000F7BE1"/>
    <w:rsid w:val="000F7BE8"/>
    <w:rsid w:val="000F7C01"/>
    <w:rsid w:val="000F7C60"/>
    <w:rsid w:val="000F7CCB"/>
    <w:rsid w:val="000F7D58"/>
    <w:rsid w:val="000F7D6A"/>
    <w:rsid w:val="000F7DE8"/>
    <w:rsid w:val="000F7EBC"/>
    <w:rsid w:val="000F7F32"/>
    <w:rsid w:val="000F7FA8"/>
    <w:rsid w:val="000F7FB5"/>
    <w:rsid w:val="000FAA34"/>
    <w:rsid w:val="0010004C"/>
    <w:rsid w:val="00100186"/>
    <w:rsid w:val="00100206"/>
    <w:rsid w:val="00100271"/>
    <w:rsid w:val="0010027D"/>
    <w:rsid w:val="00100349"/>
    <w:rsid w:val="00100380"/>
    <w:rsid w:val="00100406"/>
    <w:rsid w:val="00100458"/>
    <w:rsid w:val="001004D3"/>
    <w:rsid w:val="0010051D"/>
    <w:rsid w:val="0010054F"/>
    <w:rsid w:val="0010056A"/>
    <w:rsid w:val="001006C4"/>
    <w:rsid w:val="00100720"/>
    <w:rsid w:val="00100750"/>
    <w:rsid w:val="001007EF"/>
    <w:rsid w:val="001008B1"/>
    <w:rsid w:val="001008C2"/>
    <w:rsid w:val="00100983"/>
    <w:rsid w:val="00100B8F"/>
    <w:rsid w:val="00100BB5"/>
    <w:rsid w:val="00100BC6"/>
    <w:rsid w:val="00100BCC"/>
    <w:rsid w:val="00100C4A"/>
    <w:rsid w:val="00100CE2"/>
    <w:rsid w:val="00100CE5"/>
    <w:rsid w:val="00100DC1"/>
    <w:rsid w:val="00100DE9"/>
    <w:rsid w:val="00100FAB"/>
    <w:rsid w:val="00101005"/>
    <w:rsid w:val="0010102F"/>
    <w:rsid w:val="00101065"/>
    <w:rsid w:val="00101079"/>
    <w:rsid w:val="001010B4"/>
    <w:rsid w:val="001011FD"/>
    <w:rsid w:val="0010124C"/>
    <w:rsid w:val="00101271"/>
    <w:rsid w:val="0010127F"/>
    <w:rsid w:val="001012B8"/>
    <w:rsid w:val="001012FF"/>
    <w:rsid w:val="00101320"/>
    <w:rsid w:val="00101338"/>
    <w:rsid w:val="00101352"/>
    <w:rsid w:val="00101385"/>
    <w:rsid w:val="00101394"/>
    <w:rsid w:val="001013C6"/>
    <w:rsid w:val="001013DA"/>
    <w:rsid w:val="001013FE"/>
    <w:rsid w:val="00101542"/>
    <w:rsid w:val="00101577"/>
    <w:rsid w:val="0010171B"/>
    <w:rsid w:val="0010177B"/>
    <w:rsid w:val="0010178F"/>
    <w:rsid w:val="001017C3"/>
    <w:rsid w:val="001018B1"/>
    <w:rsid w:val="001018F8"/>
    <w:rsid w:val="00101970"/>
    <w:rsid w:val="00101ADE"/>
    <w:rsid w:val="00101B3C"/>
    <w:rsid w:val="00101BC1"/>
    <w:rsid w:val="00101BF1"/>
    <w:rsid w:val="00101C3E"/>
    <w:rsid w:val="00101C58"/>
    <w:rsid w:val="00101CF8"/>
    <w:rsid w:val="00101D69"/>
    <w:rsid w:val="00101E45"/>
    <w:rsid w:val="00102065"/>
    <w:rsid w:val="0010213B"/>
    <w:rsid w:val="0010213E"/>
    <w:rsid w:val="001021E7"/>
    <w:rsid w:val="001021F7"/>
    <w:rsid w:val="00102215"/>
    <w:rsid w:val="00102392"/>
    <w:rsid w:val="00102485"/>
    <w:rsid w:val="00102509"/>
    <w:rsid w:val="0010254F"/>
    <w:rsid w:val="00102574"/>
    <w:rsid w:val="0010261F"/>
    <w:rsid w:val="00102748"/>
    <w:rsid w:val="00102843"/>
    <w:rsid w:val="0010285E"/>
    <w:rsid w:val="0010288E"/>
    <w:rsid w:val="001028B7"/>
    <w:rsid w:val="001028E7"/>
    <w:rsid w:val="00102964"/>
    <w:rsid w:val="0010296F"/>
    <w:rsid w:val="001029DE"/>
    <w:rsid w:val="001029EF"/>
    <w:rsid w:val="001029FF"/>
    <w:rsid w:val="00102B52"/>
    <w:rsid w:val="00102B6B"/>
    <w:rsid w:val="00102BE5"/>
    <w:rsid w:val="00102D1B"/>
    <w:rsid w:val="00102DC4"/>
    <w:rsid w:val="00102DE7"/>
    <w:rsid w:val="00102E3E"/>
    <w:rsid w:val="00102ED2"/>
    <w:rsid w:val="00102F24"/>
    <w:rsid w:val="00102F3E"/>
    <w:rsid w:val="00102F3F"/>
    <w:rsid w:val="00102FC7"/>
    <w:rsid w:val="0010301A"/>
    <w:rsid w:val="0010305C"/>
    <w:rsid w:val="0010316B"/>
    <w:rsid w:val="001031AE"/>
    <w:rsid w:val="00103218"/>
    <w:rsid w:val="0010322F"/>
    <w:rsid w:val="00103345"/>
    <w:rsid w:val="001033DB"/>
    <w:rsid w:val="001033E3"/>
    <w:rsid w:val="00103454"/>
    <w:rsid w:val="001034BB"/>
    <w:rsid w:val="001034C2"/>
    <w:rsid w:val="00103768"/>
    <w:rsid w:val="00103769"/>
    <w:rsid w:val="00103833"/>
    <w:rsid w:val="00103858"/>
    <w:rsid w:val="0010385E"/>
    <w:rsid w:val="001038A4"/>
    <w:rsid w:val="0010396B"/>
    <w:rsid w:val="00103A82"/>
    <w:rsid w:val="00103A8D"/>
    <w:rsid w:val="00103AB5"/>
    <w:rsid w:val="00103B3F"/>
    <w:rsid w:val="00103BB6"/>
    <w:rsid w:val="00103BE0"/>
    <w:rsid w:val="00103CBE"/>
    <w:rsid w:val="00103D03"/>
    <w:rsid w:val="00103D7D"/>
    <w:rsid w:val="00103D83"/>
    <w:rsid w:val="00103E71"/>
    <w:rsid w:val="00103F88"/>
    <w:rsid w:val="00103FAC"/>
    <w:rsid w:val="001041DE"/>
    <w:rsid w:val="001041F5"/>
    <w:rsid w:val="0010427B"/>
    <w:rsid w:val="001042FB"/>
    <w:rsid w:val="0010434F"/>
    <w:rsid w:val="00104398"/>
    <w:rsid w:val="001043A8"/>
    <w:rsid w:val="00104446"/>
    <w:rsid w:val="0010453C"/>
    <w:rsid w:val="00104623"/>
    <w:rsid w:val="00104653"/>
    <w:rsid w:val="00104681"/>
    <w:rsid w:val="00104803"/>
    <w:rsid w:val="0010499F"/>
    <w:rsid w:val="00104A44"/>
    <w:rsid w:val="00104AF2"/>
    <w:rsid w:val="00104AFA"/>
    <w:rsid w:val="00104C26"/>
    <w:rsid w:val="00104C99"/>
    <w:rsid w:val="00104CCC"/>
    <w:rsid w:val="00104D2C"/>
    <w:rsid w:val="00104DC7"/>
    <w:rsid w:val="00104EDE"/>
    <w:rsid w:val="001050B9"/>
    <w:rsid w:val="00105118"/>
    <w:rsid w:val="00105235"/>
    <w:rsid w:val="00105260"/>
    <w:rsid w:val="001052D3"/>
    <w:rsid w:val="0010534D"/>
    <w:rsid w:val="001054DF"/>
    <w:rsid w:val="00105564"/>
    <w:rsid w:val="001055CE"/>
    <w:rsid w:val="00105698"/>
    <w:rsid w:val="0010569B"/>
    <w:rsid w:val="001056A0"/>
    <w:rsid w:val="0010581F"/>
    <w:rsid w:val="0010583A"/>
    <w:rsid w:val="001058EF"/>
    <w:rsid w:val="001059D1"/>
    <w:rsid w:val="001059F7"/>
    <w:rsid w:val="00105AC4"/>
    <w:rsid w:val="00105ADA"/>
    <w:rsid w:val="00105B77"/>
    <w:rsid w:val="00105C2F"/>
    <w:rsid w:val="00105C3F"/>
    <w:rsid w:val="00105C8D"/>
    <w:rsid w:val="00105C93"/>
    <w:rsid w:val="00105CF5"/>
    <w:rsid w:val="00105D7E"/>
    <w:rsid w:val="00105E8E"/>
    <w:rsid w:val="00105E94"/>
    <w:rsid w:val="00106078"/>
    <w:rsid w:val="0010608E"/>
    <w:rsid w:val="00106161"/>
    <w:rsid w:val="001061BC"/>
    <w:rsid w:val="001061D4"/>
    <w:rsid w:val="00106294"/>
    <w:rsid w:val="001062A8"/>
    <w:rsid w:val="001062AA"/>
    <w:rsid w:val="001062AF"/>
    <w:rsid w:val="001062C1"/>
    <w:rsid w:val="00106407"/>
    <w:rsid w:val="001064D0"/>
    <w:rsid w:val="00106509"/>
    <w:rsid w:val="0010653C"/>
    <w:rsid w:val="001066F1"/>
    <w:rsid w:val="0010671F"/>
    <w:rsid w:val="00106729"/>
    <w:rsid w:val="00106795"/>
    <w:rsid w:val="0010685B"/>
    <w:rsid w:val="00106935"/>
    <w:rsid w:val="00106937"/>
    <w:rsid w:val="00106969"/>
    <w:rsid w:val="0010696B"/>
    <w:rsid w:val="0010699C"/>
    <w:rsid w:val="001069CE"/>
    <w:rsid w:val="001069DD"/>
    <w:rsid w:val="00106A22"/>
    <w:rsid w:val="00106ADD"/>
    <w:rsid w:val="00106BE7"/>
    <w:rsid w:val="00106BF9"/>
    <w:rsid w:val="00106BFF"/>
    <w:rsid w:val="00106C44"/>
    <w:rsid w:val="00106C62"/>
    <w:rsid w:val="00106CCB"/>
    <w:rsid w:val="00106D1C"/>
    <w:rsid w:val="00106D60"/>
    <w:rsid w:val="00106E4D"/>
    <w:rsid w:val="00106EAB"/>
    <w:rsid w:val="00106F64"/>
    <w:rsid w:val="00107033"/>
    <w:rsid w:val="00107090"/>
    <w:rsid w:val="001071C0"/>
    <w:rsid w:val="0010725B"/>
    <w:rsid w:val="0010728F"/>
    <w:rsid w:val="001072C1"/>
    <w:rsid w:val="00107467"/>
    <w:rsid w:val="00107493"/>
    <w:rsid w:val="00107544"/>
    <w:rsid w:val="0010757B"/>
    <w:rsid w:val="0010761F"/>
    <w:rsid w:val="00107739"/>
    <w:rsid w:val="00107771"/>
    <w:rsid w:val="0010793E"/>
    <w:rsid w:val="0010798B"/>
    <w:rsid w:val="00107A4F"/>
    <w:rsid w:val="00107ADD"/>
    <w:rsid w:val="00107B0C"/>
    <w:rsid w:val="00107B78"/>
    <w:rsid w:val="00107C32"/>
    <w:rsid w:val="00107D16"/>
    <w:rsid w:val="00107D69"/>
    <w:rsid w:val="00107DBA"/>
    <w:rsid w:val="00107E0E"/>
    <w:rsid w:val="00107ECC"/>
    <w:rsid w:val="00107ED9"/>
    <w:rsid w:val="00107EE0"/>
    <w:rsid w:val="00107EFE"/>
    <w:rsid w:val="00107F0E"/>
    <w:rsid w:val="00107F82"/>
    <w:rsid w:val="00107F9E"/>
    <w:rsid w:val="0011001C"/>
    <w:rsid w:val="00110173"/>
    <w:rsid w:val="00110191"/>
    <w:rsid w:val="001101AC"/>
    <w:rsid w:val="00110284"/>
    <w:rsid w:val="001102CD"/>
    <w:rsid w:val="0011030A"/>
    <w:rsid w:val="0011034A"/>
    <w:rsid w:val="001103B9"/>
    <w:rsid w:val="001103D3"/>
    <w:rsid w:val="001103F6"/>
    <w:rsid w:val="00110651"/>
    <w:rsid w:val="001107B1"/>
    <w:rsid w:val="0011092F"/>
    <w:rsid w:val="00110945"/>
    <w:rsid w:val="00110A7B"/>
    <w:rsid w:val="00110C32"/>
    <w:rsid w:val="00110C44"/>
    <w:rsid w:val="00110D09"/>
    <w:rsid w:val="00110D52"/>
    <w:rsid w:val="00110DF5"/>
    <w:rsid w:val="00110E8A"/>
    <w:rsid w:val="00110E90"/>
    <w:rsid w:val="00110EB7"/>
    <w:rsid w:val="00110F52"/>
    <w:rsid w:val="0011101E"/>
    <w:rsid w:val="00111142"/>
    <w:rsid w:val="00111179"/>
    <w:rsid w:val="00111230"/>
    <w:rsid w:val="00111235"/>
    <w:rsid w:val="00111241"/>
    <w:rsid w:val="00111254"/>
    <w:rsid w:val="00111296"/>
    <w:rsid w:val="001112CC"/>
    <w:rsid w:val="00111490"/>
    <w:rsid w:val="00111519"/>
    <w:rsid w:val="001115FE"/>
    <w:rsid w:val="00111692"/>
    <w:rsid w:val="001116CA"/>
    <w:rsid w:val="001116CF"/>
    <w:rsid w:val="00111713"/>
    <w:rsid w:val="00111772"/>
    <w:rsid w:val="001119F2"/>
    <w:rsid w:val="00111A8A"/>
    <w:rsid w:val="00111B25"/>
    <w:rsid w:val="00111B26"/>
    <w:rsid w:val="00111B4E"/>
    <w:rsid w:val="00111BB4"/>
    <w:rsid w:val="00111C16"/>
    <w:rsid w:val="00111CB5"/>
    <w:rsid w:val="00111D14"/>
    <w:rsid w:val="00111DB8"/>
    <w:rsid w:val="00111E11"/>
    <w:rsid w:val="00111F14"/>
    <w:rsid w:val="00111F3B"/>
    <w:rsid w:val="00111FFB"/>
    <w:rsid w:val="00112057"/>
    <w:rsid w:val="001120C3"/>
    <w:rsid w:val="0011217E"/>
    <w:rsid w:val="0011219F"/>
    <w:rsid w:val="001121BC"/>
    <w:rsid w:val="0011220A"/>
    <w:rsid w:val="00112228"/>
    <w:rsid w:val="00112306"/>
    <w:rsid w:val="00112333"/>
    <w:rsid w:val="001123B6"/>
    <w:rsid w:val="001123E6"/>
    <w:rsid w:val="0011241B"/>
    <w:rsid w:val="00112439"/>
    <w:rsid w:val="00112456"/>
    <w:rsid w:val="00112474"/>
    <w:rsid w:val="00112477"/>
    <w:rsid w:val="00112495"/>
    <w:rsid w:val="00112503"/>
    <w:rsid w:val="00112611"/>
    <w:rsid w:val="00112639"/>
    <w:rsid w:val="00112651"/>
    <w:rsid w:val="00112654"/>
    <w:rsid w:val="001126D8"/>
    <w:rsid w:val="0011270A"/>
    <w:rsid w:val="00112865"/>
    <w:rsid w:val="00112882"/>
    <w:rsid w:val="001128F2"/>
    <w:rsid w:val="00112966"/>
    <w:rsid w:val="001129E7"/>
    <w:rsid w:val="00112A77"/>
    <w:rsid w:val="00112BAA"/>
    <w:rsid w:val="00112BBB"/>
    <w:rsid w:val="00112BC0"/>
    <w:rsid w:val="00112C02"/>
    <w:rsid w:val="00112C62"/>
    <w:rsid w:val="00112CAF"/>
    <w:rsid w:val="00112CFD"/>
    <w:rsid w:val="00112DB2"/>
    <w:rsid w:val="00112DC7"/>
    <w:rsid w:val="00112E8F"/>
    <w:rsid w:val="00112EA1"/>
    <w:rsid w:val="00113004"/>
    <w:rsid w:val="00113092"/>
    <w:rsid w:val="001130B4"/>
    <w:rsid w:val="001130BD"/>
    <w:rsid w:val="0011315D"/>
    <w:rsid w:val="00113208"/>
    <w:rsid w:val="0011320D"/>
    <w:rsid w:val="00113303"/>
    <w:rsid w:val="00113355"/>
    <w:rsid w:val="0011348A"/>
    <w:rsid w:val="00113585"/>
    <w:rsid w:val="001135EE"/>
    <w:rsid w:val="00113648"/>
    <w:rsid w:val="001136F4"/>
    <w:rsid w:val="00113751"/>
    <w:rsid w:val="00113754"/>
    <w:rsid w:val="00113791"/>
    <w:rsid w:val="0011381F"/>
    <w:rsid w:val="001139AF"/>
    <w:rsid w:val="00113A35"/>
    <w:rsid w:val="00113B67"/>
    <w:rsid w:val="00113CAB"/>
    <w:rsid w:val="00113D06"/>
    <w:rsid w:val="00113D53"/>
    <w:rsid w:val="00113E06"/>
    <w:rsid w:val="00113E2A"/>
    <w:rsid w:val="00113E38"/>
    <w:rsid w:val="00113E3B"/>
    <w:rsid w:val="00113E81"/>
    <w:rsid w:val="00113ED2"/>
    <w:rsid w:val="00113FF1"/>
    <w:rsid w:val="00114130"/>
    <w:rsid w:val="0011417E"/>
    <w:rsid w:val="00114281"/>
    <w:rsid w:val="001142C9"/>
    <w:rsid w:val="0011431E"/>
    <w:rsid w:val="0011440F"/>
    <w:rsid w:val="0011443D"/>
    <w:rsid w:val="001144A2"/>
    <w:rsid w:val="00114579"/>
    <w:rsid w:val="001145FC"/>
    <w:rsid w:val="0011461A"/>
    <w:rsid w:val="00114879"/>
    <w:rsid w:val="0011490B"/>
    <w:rsid w:val="00114995"/>
    <w:rsid w:val="00114A1C"/>
    <w:rsid w:val="00114A33"/>
    <w:rsid w:val="00114A41"/>
    <w:rsid w:val="00114A71"/>
    <w:rsid w:val="00114A78"/>
    <w:rsid w:val="00114AE4"/>
    <w:rsid w:val="00114B17"/>
    <w:rsid w:val="00114B3E"/>
    <w:rsid w:val="00114B48"/>
    <w:rsid w:val="00114BA6"/>
    <w:rsid w:val="00114C39"/>
    <w:rsid w:val="00114C47"/>
    <w:rsid w:val="00114DB1"/>
    <w:rsid w:val="00114E07"/>
    <w:rsid w:val="00114E17"/>
    <w:rsid w:val="00114E92"/>
    <w:rsid w:val="00114EB5"/>
    <w:rsid w:val="00114F24"/>
    <w:rsid w:val="00115041"/>
    <w:rsid w:val="0011506C"/>
    <w:rsid w:val="001150A3"/>
    <w:rsid w:val="001150C6"/>
    <w:rsid w:val="001151A1"/>
    <w:rsid w:val="001151A7"/>
    <w:rsid w:val="001151B0"/>
    <w:rsid w:val="0011520C"/>
    <w:rsid w:val="00115261"/>
    <w:rsid w:val="00115319"/>
    <w:rsid w:val="0011547C"/>
    <w:rsid w:val="0011560A"/>
    <w:rsid w:val="0011562C"/>
    <w:rsid w:val="0011572D"/>
    <w:rsid w:val="00115787"/>
    <w:rsid w:val="001158FF"/>
    <w:rsid w:val="0011593F"/>
    <w:rsid w:val="001159A5"/>
    <w:rsid w:val="00115A13"/>
    <w:rsid w:val="00115A3C"/>
    <w:rsid w:val="00115A68"/>
    <w:rsid w:val="00115AEC"/>
    <w:rsid w:val="00115B1F"/>
    <w:rsid w:val="00115B54"/>
    <w:rsid w:val="00115C52"/>
    <w:rsid w:val="00115CC1"/>
    <w:rsid w:val="00115CDB"/>
    <w:rsid w:val="00115D1F"/>
    <w:rsid w:val="00115D9E"/>
    <w:rsid w:val="00115DF9"/>
    <w:rsid w:val="00115E1F"/>
    <w:rsid w:val="00115E96"/>
    <w:rsid w:val="001160A4"/>
    <w:rsid w:val="00116104"/>
    <w:rsid w:val="00116149"/>
    <w:rsid w:val="001161D7"/>
    <w:rsid w:val="00116267"/>
    <w:rsid w:val="001162B0"/>
    <w:rsid w:val="0011646B"/>
    <w:rsid w:val="001165F6"/>
    <w:rsid w:val="001166C6"/>
    <w:rsid w:val="001166CB"/>
    <w:rsid w:val="00116744"/>
    <w:rsid w:val="00116791"/>
    <w:rsid w:val="00116797"/>
    <w:rsid w:val="00116820"/>
    <w:rsid w:val="00116855"/>
    <w:rsid w:val="001168DD"/>
    <w:rsid w:val="001169A1"/>
    <w:rsid w:val="001169EE"/>
    <w:rsid w:val="00116A51"/>
    <w:rsid w:val="00116A53"/>
    <w:rsid w:val="00116A98"/>
    <w:rsid w:val="00116B59"/>
    <w:rsid w:val="00116BA5"/>
    <w:rsid w:val="00116BE6"/>
    <w:rsid w:val="00116C03"/>
    <w:rsid w:val="00116C65"/>
    <w:rsid w:val="00116D14"/>
    <w:rsid w:val="00116D98"/>
    <w:rsid w:val="00116E9C"/>
    <w:rsid w:val="00116F32"/>
    <w:rsid w:val="00116F7E"/>
    <w:rsid w:val="001170A7"/>
    <w:rsid w:val="001170F0"/>
    <w:rsid w:val="0011717E"/>
    <w:rsid w:val="00117186"/>
    <w:rsid w:val="001171D3"/>
    <w:rsid w:val="001171E9"/>
    <w:rsid w:val="001172FF"/>
    <w:rsid w:val="001173DF"/>
    <w:rsid w:val="00117458"/>
    <w:rsid w:val="001176B0"/>
    <w:rsid w:val="001176C0"/>
    <w:rsid w:val="001176D9"/>
    <w:rsid w:val="0011776D"/>
    <w:rsid w:val="001177F4"/>
    <w:rsid w:val="00117854"/>
    <w:rsid w:val="0011786D"/>
    <w:rsid w:val="001178B9"/>
    <w:rsid w:val="001178EC"/>
    <w:rsid w:val="0011790C"/>
    <w:rsid w:val="00117917"/>
    <w:rsid w:val="00117969"/>
    <w:rsid w:val="00117994"/>
    <w:rsid w:val="001179F4"/>
    <w:rsid w:val="00117BA5"/>
    <w:rsid w:val="00117C30"/>
    <w:rsid w:val="00117C7F"/>
    <w:rsid w:val="00117D70"/>
    <w:rsid w:val="00117D9B"/>
    <w:rsid w:val="00117E5E"/>
    <w:rsid w:val="00117E97"/>
    <w:rsid w:val="00117EB7"/>
    <w:rsid w:val="00117F02"/>
    <w:rsid w:val="00117F0A"/>
    <w:rsid w:val="00117F3F"/>
    <w:rsid w:val="00117FA1"/>
    <w:rsid w:val="00117FAB"/>
    <w:rsid w:val="00117FF6"/>
    <w:rsid w:val="00120039"/>
    <w:rsid w:val="00120051"/>
    <w:rsid w:val="00120083"/>
    <w:rsid w:val="001200DF"/>
    <w:rsid w:val="00120217"/>
    <w:rsid w:val="00120293"/>
    <w:rsid w:val="00120342"/>
    <w:rsid w:val="001204C9"/>
    <w:rsid w:val="001204FB"/>
    <w:rsid w:val="0012051F"/>
    <w:rsid w:val="00120623"/>
    <w:rsid w:val="00120690"/>
    <w:rsid w:val="0012072B"/>
    <w:rsid w:val="00120740"/>
    <w:rsid w:val="00120792"/>
    <w:rsid w:val="0012083C"/>
    <w:rsid w:val="00120842"/>
    <w:rsid w:val="001208D1"/>
    <w:rsid w:val="00120982"/>
    <w:rsid w:val="00120B4C"/>
    <w:rsid w:val="00120B74"/>
    <w:rsid w:val="00120BBB"/>
    <w:rsid w:val="00120BD7"/>
    <w:rsid w:val="00120BE5"/>
    <w:rsid w:val="00120BF7"/>
    <w:rsid w:val="00120C23"/>
    <w:rsid w:val="00120C42"/>
    <w:rsid w:val="00120C47"/>
    <w:rsid w:val="00120C85"/>
    <w:rsid w:val="00120CB4"/>
    <w:rsid w:val="00120CDB"/>
    <w:rsid w:val="00120D0F"/>
    <w:rsid w:val="00120D2B"/>
    <w:rsid w:val="00120E15"/>
    <w:rsid w:val="00120E3C"/>
    <w:rsid w:val="00120F39"/>
    <w:rsid w:val="00120F59"/>
    <w:rsid w:val="00120F6E"/>
    <w:rsid w:val="00120FFE"/>
    <w:rsid w:val="0012110F"/>
    <w:rsid w:val="00121153"/>
    <w:rsid w:val="00121224"/>
    <w:rsid w:val="001213B8"/>
    <w:rsid w:val="00121488"/>
    <w:rsid w:val="001215FD"/>
    <w:rsid w:val="00121624"/>
    <w:rsid w:val="00121656"/>
    <w:rsid w:val="0012167E"/>
    <w:rsid w:val="001216A4"/>
    <w:rsid w:val="00121804"/>
    <w:rsid w:val="001218B7"/>
    <w:rsid w:val="0012191B"/>
    <w:rsid w:val="00121951"/>
    <w:rsid w:val="00121B27"/>
    <w:rsid w:val="00121B2C"/>
    <w:rsid w:val="00121B66"/>
    <w:rsid w:val="00121CA1"/>
    <w:rsid w:val="00121CBB"/>
    <w:rsid w:val="00121CD5"/>
    <w:rsid w:val="00121DCF"/>
    <w:rsid w:val="00121DE0"/>
    <w:rsid w:val="00121E2B"/>
    <w:rsid w:val="00121E6E"/>
    <w:rsid w:val="00121EC2"/>
    <w:rsid w:val="00121EF6"/>
    <w:rsid w:val="00121F2B"/>
    <w:rsid w:val="001220C1"/>
    <w:rsid w:val="0012211C"/>
    <w:rsid w:val="00122342"/>
    <w:rsid w:val="00122380"/>
    <w:rsid w:val="001223CB"/>
    <w:rsid w:val="0012247C"/>
    <w:rsid w:val="0012264E"/>
    <w:rsid w:val="00122709"/>
    <w:rsid w:val="001227C8"/>
    <w:rsid w:val="0012294D"/>
    <w:rsid w:val="00122992"/>
    <w:rsid w:val="00122994"/>
    <w:rsid w:val="001229C8"/>
    <w:rsid w:val="00122ADC"/>
    <w:rsid w:val="00122B3E"/>
    <w:rsid w:val="00122B8A"/>
    <w:rsid w:val="00122BBC"/>
    <w:rsid w:val="00122BF9"/>
    <w:rsid w:val="00122C7B"/>
    <w:rsid w:val="00122C8E"/>
    <w:rsid w:val="00122CD0"/>
    <w:rsid w:val="00122D48"/>
    <w:rsid w:val="00122D54"/>
    <w:rsid w:val="00122D76"/>
    <w:rsid w:val="00122DAE"/>
    <w:rsid w:val="00122E22"/>
    <w:rsid w:val="00122E7E"/>
    <w:rsid w:val="00123023"/>
    <w:rsid w:val="001230F4"/>
    <w:rsid w:val="0012320D"/>
    <w:rsid w:val="0012321B"/>
    <w:rsid w:val="00123363"/>
    <w:rsid w:val="001233AD"/>
    <w:rsid w:val="001233EF"/>
    <w:rsid w:val="001234A4"/>
    <w:rsid w:val="001234F0"/>
    <w:rsid w:val="00123639"/>
    <w:rsid w:val="00123655"/>
    <w:rsid w:val="00123666"/>
    <w:rsid w:val="001237CE"/>
    <w:rsid w:val="00123804"/>
    <w:rsid w:val="00123920"/>
    <w:rsid w:val="0012397B"/>
    <w:rsid w:val="0012398D"/>
    <w:rsid w:val="00123ABF"/>
    <w:rsid w:val="00123AC7"/>
    <w:rsid w:val="00123B61"/>
    <w:rsid w:val="00123B68"/>
    <w:rsid w:val="00123B85"/>
    <w:rsid w:val="00123BA7"/>
    <w:rsid w:val="00123BF9"/>
    <w:rsid w:val="00123C72"/>
    <w:rsid w:val="00123D36"/>
    <w:rsid w:val="00123D6A"/>
    <w:rsid w:val="00123DAB"/>
    <w:rsid w:val="00123DF1"/>
    <w:rsid w:val="00123E75"/>
    <w:rsid w:val="00123E83"/>
    <w:rsid w:val="00123EC9"/>
    <w:rsid w:val="00123F36"/>
    <w:rsid w:val="00123FDA"/>
    <w:rsid w:val="00123FEB"/>
    <w:rsid w:val="00124077"/>
    <w:rsid w:val="00124123"/>
    <w:rsid w:val="00124269"/>
    <w:rsid w:val="001242AF"/>
    <w:rsid w:val="00124330"/>
    <w:rsid w:val="00124451"/>
    <w:rsid w:val="001244FC"/>
    <w:rsid w:val="0012454B"/>
    <w:rsid w:val="00124612"/>
    <w:rsid w:val="0012463B"/>
    <w:rsid w:val="00124661"/>
    <w:rsid w:val="001247B1"/>
    <w:rsid w:val="00124822"/>
    <w:rsid w:val="001248E3"/>
    <w:rsid w:val="001249BE"/>
    <w:rsid w:val="00124A08"/>
    <w:rsid w:val="00124A55"/>
    <w:rsid w:val="00124AFF"/>
    <w:rsid w:val="00124B85"/>
    <w:rsid w:val="00124BF1"/>
    <w:rsid w:val="00124C01"/>
    <w:rsid w:val="00124C53"/>
    <w:rsid w:val="00124CFE"/>
    <w:rsid w:val="00124D7D"/>
    <w:rsid w:val="00124DCA"/>
    <w:rsid w:val="00124E0E"/>
    <w:rsid w:val="00124E2F"/>
    <w:rsid w:val="00124E9F"/>
    <w:rsid w:val="00124F34"/>
    <w:rsid w:val="00124F4F"/>
    <w:rsid w:val="00124F7D"/>
    <w:rsid w:val="0012500F"/>
    <w:rsid w:val="0012501E"/>
    <w:rsid w:val="00125077"/>
    <w:rsid w:val="00125100"/>
    <w:rsid w:val="00125209"/>
    <w:rsid w:val="0012522D"/>
    <w:rsid w:val="001253FB"/>
    <w:rsid w:val="00125487"/>
    <w:rsid w:val="001254B5"/>
    <w:rsid w:val="0012557A"/>
    <w:rsid w:val="0012559A"/>
    <w:rsid w:val="001255C2"/>
    <w:rsid w:val="00125712"/>
    <w:rsid w:val="00125A60"/>
    <w:rsid w:val="00125AA6"/>
    <w:rsid w:val="00125B53"/>
    <w:rsid w:val="00125D25"/>
    <w:rsid w:val="00125D5A"/>
    <w:rsid w:val="00125E0D"/>
    <w:rsid w:val="00125F10"/>
    <w:rsid w:val="00125F5E"/>
    <w:rsid w:val="00125F62"/>
    <w:rsid w:val="00126059"/>
    <w:rsid w:val="001260DB"/>
    <w:rsid w:val="00126126"/>
    <w:rsid w:val="001261A9"/>
    <w:rsid w:val="001261B4"/>
    <w:rsid w:val="00126213"/>
    <w:rsid w:val="00126227"/>
    <w:rsid w:val="00126259"/>
    <w:rsid w:val="0012626E"/>
    <w:rsid w:val="001262C5"/>
    <w:rsid w:val="00126321"/>
    <w:rsid w:val="0012637A"/>
    <w:rsid w:val="001263CD"/>
    <w:rsid w:val="001263E6"/>
    <w:rsid w:val="001263F6"/>
    <w:rsid w:val="001264D4"/>
    <w:rsid w:val="001265A8"/>
    <w:rsid w:val="001265F5"/>
    <w:rsid w:val="00126698"/>
    <w:rsid w:val="001266B9"/>
    <w:rsid w:val="0012670A"/>
    <w:rsid w:val="001267D1"/>
    <w:rsid w:val="001267D5"/>
    <w:rsid w:val="001267D9"/>
    <w:rsid w:val="001268BC"/>
    <w:rsid w:val="00126978"/>
    <w:rsid w:val="0012698E"/>
    <w:rsid w:val="0012699D"/>
    <w:rsid w:val="00126A2A"/>
    <w:rsid w:val="00126B1A"/>
    <w:rsid w:val="00126B22"/>
    <w:rsid w:val="00126B62"/>
    <w:rsid w:val="00126D08"/>
    <w:rsid w:val="00126D8A"/>
    <w:rsid w:val="00126D94"/>
    <w:rsid w:val="00126DC2"/>
    <w:rsid w:val="00126DED"/>
    <w:rsid w:val="00126EB7"/>
    <w:rsid w:val="00126F34"/>
    <w:rsid w:val="00126F9F"/>
    <w:rsid w:val="00127094"/>
    <w:rsid w:val="00127099"/>
    <w:rsid w:val="001270A9"/>
    <w:rsid w:val="00127181"/>
    <w:rsid w:val="001271B4"/>
    <w:rsid w:val="00127236"/>
    <w:rsid w:val="00127243"/>
    <w:rsid w:val="00127436"/>
    <w:rsid w:val="0012754B"/>
    <w:rsid w:val="00127568"/>
    <w:rsid w:val="001276F1"/>
    <w:rsid w:val="001276F7"/>
    <w:rsid w:val="0012773D"/>
    <w:rsid w:val="001277FA"/>
    <w:rsid w:val="0012786D"/>
    <w:rsid w:val="00127899"/>
    <w:rsid w:val="00127900"/>
    <w:rsid w:val="00127974"/>
    <w:rsid w:val="001279BE"/>
    <w:rsid w:val="00127A1B"/>
    <w:rsid w:val="00127A90"/>
    <w:rsid w:val="00127AAC"/>
    <w:rsid w:val="00127AC9"/>
    <w:rsid w:val="00127AE2"/>
    <w:rsid w:val="00127B60"/>
    <w:rsid w:val="00127CA1"/>
    <w:rsid w:val="00127CC0"/>
    <w:rsid w:val="00127D9C"/>
    <w:rsid w:val="00127E78"/>
    <w:rsid w:val="00127E85"/>
    <w:rsid w:val="00127F79"/>
    <w:rsid w:val="00127FCF"/>
    <w:rsid w:val="0013005C"/>
    <w:rsid w:val="0013012D"/>
    <w:rsid w:val="0013027B"/>
    <w:rsid w:val="00130330"/>
    <w:rsid w:val="00130403"/>
    <w:rsid w:val="0013047B"/>
    <w:rsid w:val="001304D8"/>
    <w:rsid w:val="0013055B"/>
    <w:rsid w:val="001305B0"/>
    <w:rsid w:val="001305CA"/>
    <w:rsid w:val="001305E3"/>
    <w:rsid w:val="00130666"/>
    <w:rsid w:val="00130675"/>
    <w:rsid w:val="00130695"/>
    <w:rsid w:val="001306FC"/>
    <w:rsid w:val="0013075B"/>
    <w:rsid w:val="0013077F"/>
    <w:rsid w:val="001308AC"/>
    <w:rsid w:val="001308B5"/>
    <w:rsid w:val="0013092B"/>
    <w:rsid w:val="0013093E"/>
    <w:rsid w:val="00130963"/>
    <w:rsid w:val="00130B25"/>
    <w:rsid w:val="00130B78"/>
    <w:rsid w:val="00130C88"/>
    <w:rsid w:val="00130D34"/>
    <w:rsid w:val="00130D41"/>
    <w:rsid w:val="00130DC9"/>
    <w:rsid w:val="00130EED"/>
    <w:rsid w:val="00130F03"/>
    <w:rsid w:val="00130F6E"/>
    <w:rsid w:val="00130F79"/>
    <w:rsid w:val="00130F8E"/>
    <w:rsid w:val="0013100D"/>
    <w:rsid w:val="00131125"/>
    <w:rsid w:val="00131128"/>
    <w:rsid w:val="0013125B"/>
    <w:rsid w:val="001312A8"/>
    <w:rsid w:val="001312C5"/>
    <w:rsid w:val="00131308"/>
    <w:rsid w:val="00131386"/>
    <w:rsid w:val="001313E8"/>
    <w:rsid w:val="00131451"/>
    <w:rsid w:val="00131512"/>
    <w:rsid w:val="00131543"/>
    <w:rsid w:val="0013160F"/>
    <w:rsid w:val="0013161F"/>
    <w:rsid w:val="001316DF"/>
    <w:rsid w:val="001316F6"/>
    <w:rsid w:val="0013173E"/>
    <w:rsid w:val="001317AC"/>
    <w:rsid w:val="00131903"/>
    <w:rsid w:val="0013191A"/>
    <w:rsid w:val="00131A94"/>
    <w:rsid w:val="00131B51"/>
    <w:rsid w:val="00131B93"/>
    <w:rsid w:val="00131BC1"/>
    <w:rsid w:val="00131C29"/>
    <w:rsid w:val="00131C40"/>
    <w:rsid w:val="00131CC9"/>
    <w:rsid w:val="00131CEA"/>
    <w:rsid w:val="00131D16"/>
    <w:rsid w:val="00131D7B"/>
    <w:rsid w:val="00131DFD"/>
    <w:rsid w:val="00131E73"/>
    <w:rsid w:val="00131EE9"/>
    <w:rsid w:val="00131EFE"/>
    <w:rsid w:val="00131F04"/>
    <w:rsid w:val="00131F27"/>
    <w:rsid w:val="00131FDB"/>
    <w:rsid w:val="00131FE2"/>
    <w:rsid w:val="001320A9"/>
    <w:rsid w:val="0013213F"/>
    <w:rsid w:val="00132151"/>
    <w:rsid w:val="001321D5"/>
    <w:rsid w:val="00132268"/>
    <w:rsid w:val="0013237F"/>
    <w:rsid w:val="0013248C"/>
    <w:rsid w:val="001324B6"/>
    <w:rsid w:val="0013252C"/>
    <w:rsid w:val="001325B2"/>
    <w:rsid w:val="00132622"/>
    <w:rsid w:val="00132702"/>
    <w:rsid w:val="0013275D"/>
    <w:rsid w:val="001327C9"/>
    <w:rsid w:val="0013298E"/>
    <w:rsid w:val="001329DB"/>
    <w:rsid w:val="00132B9F"/>
    <w:rsid w:val="00132C5C"/>
    <w:rsid w:val="00132CF4"/>
    <w:rsid w:val="00132D38"/>
    <w:rsid w:val="00132D67"/>
    <w:rsid w:val="00132DB4"/>
    <w:rsid w:val="00132EFF"/>
    <w:rsid w:val="00132F21"/>
    <w:rsid w:val="00133073"/>
    <w:rsid w:val="0013316C"/>
    <w:rsid w:val="00133184"/>
    <w:rsid w:val="00133231"/>
    <w:rsid w:val="00133249"/>
    <w:rsid w:val="001332F3"/>
    <w:rsid w:val="0013334C"/>
    <w:rsid w:val="0013338F"/>
    <w:rsid w:val="001333DF"/>
    <w:rsid w:val="00133402"/>
    <w:rsid w:val="00133495"/>
    <w:rsid w:val="0013356D"/>
    <w:rsid w:val="001335B7"/>
    <w:rsid w:val="001335CE"/>
    <w:rsid w:val="0013366E"/>
    <w:rsid w:val="00133710"/>
    <w:rsid w:val="00133736"/>
    <w:rsid w:val="00133744"/>
    <w:rsid w:val="00133769"/>
    <w:rsid w:val="001337FD"/>
    <w:rsid w:val="00133843"/>
    <w:rsid w:val="0013386C"/>
    <w:rsid w:val="00133902"/>
    <w:rsid w:val="00133921"/>
    <w:rsid w:val="0013396C"/>
    <w:rsid w:val="00133A68"/>
    <w:rsid w:val="00133A85"/>
    <w:rsid w:val="00133ADE"/>
    <w:rsid w:val="00133B98"/>
    <w:rsid w:val="00133E31"/>
    <w:rsid w:val="00133EA9"/>
    <w:rsid w:val="00133EC1"/>
    <w:rsid w:val="00133EC8"/>
    <w:rsid w:val="00133EE1"/>
    <w:rsid w:val="00133EE4"/>
    <w:rsid w:val="00133F3A"/>
    <w:rsid w:val="00133F62"/>
    <w:rsid w:val="00133F63"/>
    <w:rsid w:val="00133FB9"/>
    <w:rsid w:val="00133FC5"/>
    <w:rsid w:val="00133FD0"/>
    <w:rsid w:val="00133FE5"/>
    <w:rsid w:val="001340CE"/>
    <w:rsid w:val="001341E1"/>
    <w:rsid w:val="00134239"/>
    <w:rsid w:val="0013435B"/>
    <w:rsid w:val="0013454A"/>
    <w:rsid w:val="00134555"/>
    <w:rsid w:val="00134573"/>
    <w:rsid w:val="00134583"/>
    <w:rsid w:val="00134597"/>
    <w:rsid w:val="0013477F"/>
    <w:rsid w:val="0013478E"/>
    <w:rsid w:val="001348D2"/>
    <w:rsid w:val="001349D1"/>
    <w:rsid w:val="00134A17"/>
    <w:rsid w:val="00134A80"/>
    <w:rsid w:val="00134AFE"/>
    <w:rsid w:val="00134B06"/>
    <w:rsid w:val="00134B2D"/>
    <w:rsid w:val="00134B55"/>
    <w:rsid w:val="00134B63"/>
    <w:rsid w:val="00134B78"/>
    <w:rsid w:val="00134C08"/>
    <w:rsid w:val="00134D45"/>
    <w:rsid w:val="00135050"/>
    <w:rsid w:val="0013508A"/>
    <w:rsid w:val="001351DB"/>
    <w:rsid w:val="001352A4"/>
    <w:rsid w:val="00135383"/>
    <w:rsid w:val="0013538D"/>
    <w:rsid w:val="00135407"/>
    <w:rsid w:val="00135442"/>
    <w:rsid w:val="0013550A"/>
    <w:rsid w:val="00135570"/>
    <w:rsid w:val="00135594"/>
    <w:rsid w:val="0013562E"/>
    <w:rsid w:val="00135700"/>
    <w:rsid w:val="0013581D"/>
    <w:rsid w:val="00135871"/>
    <w:rsid w:val="00135944"/>
    <w:rsid w:val="0013594C"/>
    <w:rsid w:val="00135997"/>
    <w:rsid w:val="001359BD"/>
    <w:rsid w:val="001359D4"/>
    <w:rsid w:val="001359EF"/>
    <w:rsid w:val="00135A71"/>
    <w:rsid w:val="00135ADF"/>
    <w:rsid w:val="00135B0F"/>
    <w:rsid w:val="00135B2B"/>
    <w:rsid w:val="00135BBB"/>
    <w:rsid w:val="00135C23"/>
    <w:rsid w:val="00135C65"/>
    <w:rsid w:val="00135D84"/>
    <w:rsid w:val="00135DCA"/>
    <w:rsid w:val="00135E18"/>
    <w:rsid w:val="00135E69"/>
    <w:rsid w:val="00136032"/>
    <w:rsid w:val="00136054"/>
    <w:rsid w:val="00136248"/>
    <w:rsid w:val="00136388"/>
    <w:rsid w:val="001363B0"/>
    <w:rsid w:val="001363FB"/>
    <w:rsid w:val="001364BE"/>
    <w:rsid w:val="001365A0"/>
    <w:rsid w:val="00136632"/>
    <w:rsid w:val="00136709"/>
    <w:rsid w:val="00136775"/>
    <w:rsid w:val="001368A7"/>
    <w:rsid w:val="00136A40"/>
    <w:rsid w:val="00136A50"/>
    <w:rsid w:val="00136AA2"/>
    <w:rsid w:val="00136ABB"/>
    <w:rsid w:val="00136B44"/>
    <w:rsid w:val="00136CB9"/>
    <w:rsid w:val="00136CEA"/>
    <w:rsid w:val="00136DF9"/>
    <w:rsid w:val="00136E48"/>
    <w:rsid w:val="00136EDE"/>
    <w:rsid w:val="00136EFB"/>
    <w:rsid w:val="00136F82"/>
    <w:rsid w:val="00136FE4"/>
    <w:rsid w:val="00137017"/>
    <w:rsid w:val="001370A0"/>
    <w:rsid w:val="001370E1"/>
    <w:rsid w:val="0013712C"/>
    <w:rsid w:val="001371AD"/>
    <w:rsid w:val="0013722E"/>
    <w:rsid w:val="001372C8"/>
    <w:rsid w:val="00137300"/>
    <w:rsid w:val="00137321"/>
    <w:rsid w:val="001373C5"/>
    <w:rsid w:val="0013746E"/>
    <w:rsid w:val="001374FD"/>
    <w:rsid w:val="00137589"/>
    <w:rsid w:val="00137602"/>
    <w:rsid w:val="00137683"/>
    <w:rsid w:val="001377D4"/>
    <w:rsid w:val="0013787D"/>
    <w:rsid w:val="00137A20"/>
    <w:rsid w:val="00137A27"/>
    <w:rsid w:val="00137ADA"/>
    <w:rsid w:val="00137B28"/>
    <w:rsid w:val="00137D12"/>
    <w:rsid w:val="00137DAC"/>
    <w:rsid w:val="00137DB0"/>
    <w:rsid w:val="00137DE8"/>
    <w:rsid w:val="00137DF5"/>
    <w:rsid w:val="00137EE8"/>
    <w:rsid w:val="00137F23"/>
    <w:rsid w:val="00137F44"/>
    <w:rsid w:val="00137FAB"/>
    <w:rsid w:val="0014000A"/>
    <w:rsid w:val="001400CC"/>
    <w:rsid w:val="001400F7"/>
    <w:rsid w:val="0014015C"/>
    <w:rsid w:val="0014023F"/>
    <w:rsid w:val="0014025B"/>
    <w:rsid w:val="001402BE"/>
    <w:rsid w:val="00140409"/>
    <w:rsid w:val="00140461"/>
    <w:rsid w:val="001404CC"/>
    <w:rsid w:val="001404EF"/>
    <w:rsid w:val="00140726"/>
    <w:rsid w:val="0014073B"/>
    <w:rsid w:val="00140746"/>
    <w:rsid w:val="00140797"/>
    <w:rsid w:val="001407C5"/>
    <w:rsid w:val="00140911"/>
    <w:rsid w:val="0014091A"/>
    <w:rsid w:val="001409BF"/>
    <w:rsid w:val="00140A32"/>
    <w:rsid w:val="00140A49"/>
    <w:rsid w:val="00140A67"/>
    <w:rsid w:val="00140AA4"/>
    <w:rsid w:val="00140AB8"/>
    <w:rsid w:val="00140AF0"/>
    <w:rsid w:val="00140BD9"/>
    <w:rsid w:val="00140C13"/>
    <w:rsid w:val="00140C24"/>
    <w:rsid w:val="00140CA6"/>
    <w:rsid w:val="00140DF2"/>
    <w:rsid w:val="00140E5E"/>
    <w:rsid w:val="00140ED3"/>
    <w:rsid w:val="00140FFC"/>
    <w:rsid w:val="00141140"/>
    <w:rsid w:val="0014115B"/>
    <w:rsid w:val="001411AB"/>
    <w:rsid w:val="001411C4"/>
    <w:rsid w:val="001411DB"/>
    <w:rsid w:val="00141213"/>
    <w:rsid w:val="001412E6"/>
    <w:rsid w:val="001413F4"/>
    <w:rsid w:val="00141487"/>
    <w:rsid w:val="001414F7"/>
    <w:rsid w:val="0014159A"/>
    <w:rsid w:val="001415F4"/>
    <w:rsid w:val="001415FC"/>
    <w:rsid w:val="0014161A"/>
    <w:rsid w:val="00141695"/>
    <w:rsid w:val="0014170F"/>
    <w:rsid w:val="00141762"/>
    <w:rsid w:val="00141789"/>
    <w:rsid w:val="00141790"/>
    <w:rsid w:val="001417A8"/>
    <w:rsid w:val="001417F3"/>
    <w:rsid w:val="00141811"/>
    <w:rsid w:val="001419F5"/>
    <w:rsid w:val="00141A6E"/>
    <w:rsid w:val="00141A79"/>
    <w:rsid w:val="00141AE3"/>
    <w:rsid w:val="00141B08"/>
    <w:rsid w:val="00141B34"/>
    <w:rsid w:val="00141B67"/>
    <w:rsid w:val="00141BE3"/>
    <w:rsid w:val="00141C1A"/>
    <w:rsid w:val="00141C8E"/>
    <w:rsid w:val="00141CA8"/>
    <w:rsid w:val="00141CCE"/>
    <w:rsid w:val="00141CDD"/>
    <w:rsid w:val="00141D3D"/>
    <w:rsid w:val="00141D6C"/>
    <w:rsid w:val="00141D83"/>
    <w:rsid w:val="00141D88"/>
    <w:rsid w:val="00141DD3"/>
    <w:rsid w:val="00141E19"/>
    <w:rsid w:val="00141EBE"/>
    <w:rsid w:val="00141ED4"/>
    <w:rsid w:val="00141FF2"/>
    <w:rsid w:val="00142064"/>
    <w:rsid w:val="00142228"/>
    <w:rsid w:val="001422CD"/>
    <w:rsid w:val="001422EA"/>
    <w:rsid w:val="001423E8"/>
    <w:rsid w:val="001424E6"/>
    <w:rsid w:val="0014250F"/>
    <w:rsid w:val="001426C8"/>
    <w:rsid w:val="00142738"/>
    <w:rsid w:val="0014273F"/>
    <w:rsid w:val="001428E3"/>
    <w:rsid w:val="00142915"/>
    <w:rsid w:val="00142927"/>
    <w:rsid w:val="00142A7E"/>
    <w:rsid w:val="00142B65"/>
    <w:rsid w:val="00142B6F"/>
    <w:rsid w:val="00142C19"/>
    <w:rsid w:val="00142CCE"/>
    <w:rsid w:val="00142CD8"/>
    <w:rsid w:val="00142D18"/>
    <w:rsid w:val="00142D66"/>
    <w:rsid w:val="00142D99"/>
    <w:rsid w:val="00142DBC"/>
    <w:rsid w:val="00142E1A"/>
    <w:rsid w:val="00142E1F"/>
    <w:rsid w:val="00142E3F"/>
    <w:rsid w:val="00142EB9"/>
    <w:rsid w:val="00142F21"/>
    <w:rsid w:val="00142F48"/>
    <w:rsid w:val="00142FF8"/>
    <w:rsid w:val="00143060"/>
    <w:rsid w:val="001430AB"/>
    <w:rsid w:val="0014312E"/>
    <w:rsid w:val="00143195"/>
    <w:rsid w:val="001432D9"/>
    <w:rsid w:val="0014330A"/>
    <w:rsid w:val="00143322"/>
    <w:rsid w:val="001433C9"/>
    <w:rsid w:val="0014353B"/>
    <w:rsid w:val="00143550"/>
    <w:rsid w:val="00143636"/>
    <w:rsid w:val="001436ED"/>
    <w:rsid w:val="00143777"/>
    <w:rsid w:val="00143778"/>
    <w:rsid w:val="0014378C"/>
    <w:rsid w:val="001437A5"/>
    <w:rsid w:val="00143873"/>
    <w:rsid w:val="0014389B"/>
    <w:rsid w:val="00143A92"/>
    <w:rsid w:val="00143AB6"/>
    <w:rsid w:val="00143AE2"/>
    <w:rsid w:val="00143B5B"/>
    <w:rsid w:val="00143CD1"/>
    <w:rsid w:val="00143D5A"/>
    <w:rsid w:val="00143D80"/>
    <w:rsid w:val="00143E68"/>
    <w:rsid w:val="00143F00"/>
    <w:rsid w:val="00143F5E"/>
    <w:rsid w:val="00144119"/>
    <w:rsid w:val="00144137"/>
    <w:rsid w:val="001441A8"/>
    <w:rsid w:val="001442FF"/>
    <w:rsid w:val="0014444D"/>
    <w:rsid w:val="001444A3"/>
    <w:rsid w:val="001445E1"/>
    <w:rsid w:val="001445F1"/>
    <w:rsid w:val="001445FE"/>
    <w:rsid w:val="001446B1"/>
    <w:rsid w:val="00144751"/>
    <w:rsid w:val="00144788"/>
    <w:rsid w:val="0014481E"/>
    <w:rsid w:val="0014487D"/>
    <w:rsid w:val="001448EC"/>
    <w:rsid w:val="00144948"/>
    <w:rsid w:val="00144A2A"/>
    <w:rsid w:val="00144A65"/>
    <w:rsid w:val="00144A9C"/>
    <w:rsid w:val="00144B60"/>
    <w:rsid w:val="00144BBA"/>
    <w:rsid w:val="00144C5B"/>
    <w:rsid w:val="00144C96"/>
    <w:rsid w:val="00144E84"/>
    <w:rsid w:val="00144F8B"/>
    <w:rsid w:val="00144FDF"/>
    <w:rsid w:val="00145036"/>
    <w:rsid w:val="00145086"/>
    <w:rsid w:val="001450A3"/>
    <w:rsid w:val="001450DD"/>
    <w:rsid w:val="00145139"/>
    <w:rsid w:val="00145184"/>
    <w:rsid w:val="001451B5"/>
    <w:rsid w:val="001451D7"/>
    <w:rsid w:val="001452AF"/>
    <w:rsid w:val="001452EB"/>
    <w:rsid w:val="001452FC"/>
    <w:rsid w:val="0014532A"/>
    <w:rsid w:val="00145378"/>
    <w:rsid w:val="0014541A"/>
    <w:rsid w:val="00145462"/>
    <w:rsid w:val="001454CA"/>
    <w:rsid w:val="00145574"/>
    <w:rsid w:val="00145591"/>
    <w:rsid w:val="00145727"/>
    <w:rsid w:val="001457A0"/>
    <w:rsid w:val="0014586B"/>
    <w:rsid w:val="00145892"/>
    <w:rsid w:val="001458EB"/>
    <w:rsid w:val="00145973"/>
    <w:rsid w:val="00145A04"/>
    <w:rsid w:val="00145A1D"/>
    <w:rsid w:val="00145BD8"/>
    <w:rsid w:val="00145C70"/>
    <w:rsid w:val="00145DDE"/>
    <w:rsid w:val="00145DF9"/>
    <w:rsid w:val="00145DFA"/>
    <w:rsid w:val="00145EC1"/>
    <w:rsid w:val="00145F36"/>
    <w:rsid w:val="00145F42"/>
    <w:rsid w:val="00145F4A"/>
    <w:rsid w:val="00145F74"/>
    <w:rsid w:val="00145FB1"/>
    <w:rsid w:val="00146026"/>
    <w:rsid w:val="001461EF"/>
    <w:rsid w:val="00146266"/>
    <w:rsid w:val="0014649A"/>
    <w:rsid w:val="001465AA"/>
    <w:rsid w:val="00146643"/>
    <w:rsid w:val="001466E3"/>
    <w:rsid w:val="00146704"/>
    <w:rsid w:val="00146709"/>
    <w:rsid w:val="00146722"/>
    <w:rsid w:val="00146804"/>
    <w:rsid w:val="0014682E"/>
    <w:rsid w:val="0014684C"/>
    <w:rsid w:val="00146896"/>
    <w:rsid w:val="00146940"/>
    <w:rsid w:val="00146A84"/>
    <w:rsid w:val="00146ADF"/>
    <w:rsid w:val="00146B09"/>
    <w:rsid w:val="00146B27"/>
    <w:rsid w:val="00146B61"/>
    <w:rsid w:val="00146C9E"/>
    <w:rsid w:val="00146D04"/>
    <w:rsid w:val="00146D93"/>
    <w:rsid w:val="00146DA9"/>
    <w:rsid w:val="00146DB1"/>
    <w:rsid w:val="00146DC8"/>
    <w:rsid w:val="00146EB9"/>
    <w:rsid w:val="00146F0F"/>
    <w:rsid w:val="00146FF0"/>
    <w:rsid w:val="0014702D"/>
    <w:rsid w:val="00147090"/>
    <w:rsid w:val="0014710E"/>
    <w:rsid w:val="001471B2"/>
    <w:rsid w:val="001471F1"/>
    <w:rsid w:val="00147222"/>
    <w:rsid w:val="001472C6"/>
    <w:rsid w:val="001472CE"/>
    <w:rsid w:val="001472F4"/>
    <w:rsid w:val="0014734A"/>
    <w:rsid w:val="00147384"/>
    <w:rsid w:val="001473A9"/>
    <w:rsid w:val="00147565"/>
    <w:rsid w:val="001475DE"/>
    <w:rsid w:val="00147632"/>
    <w:rsid w:val="00147658"/>
    <w:rsid w:val="0014769F"/>
    <w:rsid w:val="001476AF"/>
    <w:rsid w:val="001476C2"/>
    <w:rsid w:val="001476DE"/>
    <w:rsid w:val="00147736"/>
    <w:rsid w:val="001477AC"/>
    <w:rsid w:val="001478A3"/>
    <w:rsid w:val="00147984"/>
    <w:rsid w:val="0014798C"/>
    <w:rsid w:val="0014799B"/>
    <w:rsid w:val="00147A1E"/>
    <w:rsid w:val="00147B94"/>
    <w:rsid w:val="00147C36"/>
    <w:rsid w:val="00147D0F"/>
    <w:rsid w:val="00147DF0"/>
    <w:rsid w:val="00147E49"/>
    <w:rsid w:val="00147EA6"/>
    <w:rsid w:val="00147F80"/>
    <w:rsid w:val="00147F97"/>
    <w:rsid w:val="00147FAB"/>
    <w:rsid w:val="00150000"/>
    <w:rsid w:val="001500E9"/>
    <w:rsid w:val="001500F2"/>
    <w:rsid w:val="001500FA"/>
    <w:rsid w:val="001501F6"/>
    <w:rsid w:val="001502DC"/>
    <w:rsid w:val="0015030A"/>
    <w:rsid w:val="00150321"/>
    <w:rsid w:val="0015037B"/>
    <w:rsid w:val="001503EB"/>
    <w:rsid w:val="0015044A"/>
    <w:rsid w:val="001504C2"/>
    <w:rsid w:val="00150506"/>
    <w:rsid w:val="0015054A"/>
    <w:rsid w:val="001505A0"/>
    <w:rsid w:val="001505BC"/>
    <w:rsid w:val="0015061F"/>
    <w:rsid w:val="0015071F"/>
    <w:rsid w:val="00150800"/>
    <w:rsid w:val="00150842"/>
    <w:rsid w:val="00150AF4"/>
    <w:rsid w:val="00150B30"/>
    <w:rsid w:val="00150B31"/>
    <w:rsid w:val="00150B38"/>
    <w:rsid w:val="00150B52"/>
    <w:rsid w:val="00150C16"/>
    <w:rsid w:val="00150C57"/>
    <w:rsid w:val="00150C7A"/>
    <w:rsid w:val="00150D1D"/>
    <w:rsid w:val="00150D2A"/>
    <w:rsid w:val="00150E4D"/>
    <w:rsid w:val="00150E91"/>
    <w:rsid w:val="0015118C"/>
    <w:rsid w:val="00151192"/>
    <w:rsid w:val="001511B9"/>
    <w:rsid w:val="001511D1"/>
    <w:rsid w:val="001513B4"/>
    <w:rsid w:val="001513BB"/>
    <w:rsid w:val="0015148A"/>
    <w:rsid w:val="0015156A"/>
    <w:rsid w:val="001516D1"/>
    <w:rsid w:val="00151855"/>
    <w:rsid w:val="00151902"/>
    <w:rsid w:val="0015196A"/>
    <w:rsid w:val="00151A0B"/>
    <w:rsid w:val="00151A46"/>
    <w:rsid w:val="00151A8D"/>
    <w:rsid w:val="00151AAE"/>
    <w:rsid w:val="00151AF4"/>
    <w:rsid w:val="00151BB3"/>
    <w:rsid w:val="00151E61"/>
    <w:rsid w:val="00151E99"/>
    <w:rsid w:val="00151EA2"/>
    <w:rsid w:val="00151F07"/>
    <w:rsid w:val="00151F1F"/>
    <w:rsid w:val="00151F90"/>
    <w:rsid w:val="00151F93"/>
    <w:rsid w:val="00152023"/>
    <w:rsid w:val="0015203F"/>
    <w:rsid w:val="001520FC"/>
    <w:rsid w:val="00152114"/>
    <w:rsid w:val="0015214E"/>
    <w:rsid w:val="00152168"/>
    <w:rsid w:val="001522FF"/>
    <w:rsid w:val="00152433"/>
    <w:rsid w:val="0015246D"/>
    <w:rsid w:val="001524C4"/>
    <w:rsid w:val="001524D4"/>
    <w:rsid w:val="00152533"/>
    <w:rsid w:val="0015255F"/>
    <w:rsid w:val="0015257C"/>
    <w:rsid w:val="0015258E"/>
    <w:rsid w:val="00152590"/>
    <w:rsid w:val="001525B8"/>
    <w:rsid w:val="001525D9"/>
    <w:rsid w:val="001525FD"/>
    <w:rsid w:val="00152729"/>
    <w:rsid w:val="001528CC"/>
    <w:rsid w:val="0015293D"/>
    <w:rsid w:val="001529D0"/>
    <w:rsid w:val="00152AB4"/>
    <w:rsid w:val="00152B49"/>
    <w:rsid w:val="00152B77"/>
    <w:rsid w:val="00152BCF"/>
    <w:rsid w:val="00152BF1"/>
    <w:rsid w:val="00152C42"/>
    <w:rsid w:val="00152C51"/>
    <w:rsid w:val="00152C81"/>
    <w:rsid w:val="00152C87"/>
    <w:rsid w:val="00152D3D"/>
    <w:rsid w:val="00152D4E"/>
    <w:rsid w:val="00152D80"/>
    <w:rsid w:val="00152D9D"/>
    <w:rsid w:val="00152DD8"/>
    <w:rsid w:val="00152E4D"/>
    <w:rsid w:val="00152E70"/>
    <w:rsid w:val="00152EA5"/>
    <w:rsid w:val="00152ED6"/>
    <w:rsid w:val="00153074"/>
    <w:rsid w:val="00153097"/>
    <w:rsid w:val="001530A1"/>
    <w:rsid w:val="0015312B"/>
    <w:rsid w:val="001531D1"/>
    <w:rsid w:val="0015324A"/>
    <w:rsid w:val="00153325"/>
    <w:rsid w:val="0015333B"/>
    <w:rsid w:val="0015336D"/>
    <w:rsid w:val="00153379"/>
    <w:rsid w:val="001533AD"/>
    <w:rsid w:val="001534F7"/>
    <w:rsid w:val="00153533"/>
    <w:rsid w:val="0015364E"/>
    <w:rsid w:val="00153676"/>
    <w:rsid w:val="00153717"/>
    <w:rsid w:val="0015371C"/>
    <w:rsid w:val="00153824"/>
    <w:rsid w:val="00153832"/>
    <w:rsid w:val="00153839"/>
    <w:rsid w:val="001538A3"/>
    <w:rsid w:val="0015396C"/>
    <w:rsid w:val="0015397E"/>
    <w:rsid w:val="001539B1"/>
    <w:rsid w:val="00153C0D"/>
    <w:rsid w:val="00153D18"/>
    <w:rsid w:val="00153DDC"/>
    <w:rsid w:val="00153E26"/>
    <w:rsid w:val="00153E3D"/>
    <w:rsid w:val="00153EC1"/>
    <w:rsid w:val="00153F05"/>
    <w:rsid w:val="00153F16"/>
    <w:rsid w:val="00153F2B"/>
    <w:rsid w:val="0015401D"/>
    <w:rsid w:val="00154021"/>
    <w:rsid w:val="0015405F"/>
    <w:rsid w:val="00154063"/>
    <w:rsid w:val="00154097"/>
    <w:rsid w:val="001541A1"/>
    <w:rsid w:val="001541C5"/>
    <w:rsid w:val="00154276"/>
    <w:rsid w:val="0015430F"/>
    <w:rsid w:val="0015433E"/>
    <w:rsid w:val="00154340"/>
    <w:rsid w:val="0015434D"/>
    <w:rsid w:val="00154456"/>
    <w:rsid w:val="001545A9"/>
    <w:rsid w:val="00154602"/>
    <w:rsid w:val="00154748"/>
    <w:rsid w:val="00154872"/>
    <w:rsid w:val="00154892"/>
    <w:rsid w:val="001548CB"/>
    <w:rsid w:val="00154905"/>
    <w:rsid w:val="0015491D"/>
    <w:rsid w:val="00154974"/>
    <w:rsid w:val="00154A56"/>
    <w:rsid w:val="00154AFC"/>
    <w:rsid w:val="00154C8E"/>
    <w:rsid w:val="00154C95"/>
    <w:rsid w:val="00154D2F"/>
    <w:rsid w:val="00154D7B"/>
    <w:rsid w:val="00154E0D"/>
    <w:rsid w:val="00154E1C"/>
    <w:rsid w:val="00154F34"/>
    <w:rsid w:val="0015515F"/>
    <w:rsid w:val="00155168"/>
    <w:rsid w:val="0015519E"/>
    <w:rsid w:val="001551D3"/>
    <w:rsid w:val="001551E6"/>
    <w:rsid w:val="0015524E"/>
    <w:rsid w:val="00155288"/>
    <w:rsid w:val="001552B6"/>
    <w:rsid w:val="001552ED"/>
    <w:rsid w:val="00155345"/>
    <w:rsid w:val="001554C4"/>
    <w:rsid w:val="0015556F"/>
    <w:rsid w:val="00155600"/>
    <w:rsid w:val="0015562B"/>
    <w:rsid w:val="001556C4"/>
    <w:rsid w:val="001556EF"/>
    <w:rsid w:val="001557D2"/>
    <w:rsid w:val="0015598F"/>
    <w:rsid w:val="00155B22"/>
    <w:rsid w:val="00155C3D"/>
    <w:rsid w:val="00155CD1"/>
    <w:rsid w:val="00155CDF"/>
    <w:rsid w:val="00155D53"/>
    <w:rsid w:val="00155D86"/>
    <w:rsid w:val="00155EB2"/>
    <w:rsid w:val="00155F52"/>
    <w:rsid w:val="00155FD9"/>
    <w:rsid w:val="00156151"/>
    <w:rsid w:val="0015619F"/>
    <w:rsid w:val="001561C9"/>
    <w:rsid w:val="001561D7"/>
    <w:rsid w:val="0015625A"/>
    <w:rsid w:val="001562C6"/>
    <w:rsid w:val="001562EE"/>
    <w:rsid w:val="001563A2"/>
    <w:rsid w:val="001563F9"/>
    <w:rsid w:val="001564BC"/>
    <w:rsid w:val="001565E4"/>
    <w:rsid w:val="0015663A"/>
    <w:rsid w:val="001566A6"/>
    <w:rsid w:val="00156702"/>
    <w:rsid w:val="00156715"/>
    <w:rsid w:val="001567FC"/>
    <w:rsid w:val="0015683C"/>
    <w:rsid w:val="00156862"/>
    <w:rsid w:val="0015697F"/>
    <w:rsid w:val="00156B71"/>
    <w:rsid w:val="00156BC8"/>
    <w:rsid w:val="00156BE7"/>
    <w:rsid w:val="00156C6B"/>
    <w:rsid w:val="00156C6D"/>
    <w:rsid w:val="00156D5A"/>
    <w:rsid w:val="00156D8E"/>
    <w:rsid w:val="00156DC2"/>
    <w:rsid w:val="00156DF9"/>
    <w:rsid w:val="00156E22"/>
    <w:rsid w:val="00156E39"/>
    <w:rsid w:val="00156E70"/>
    <w:rsid w:val="00156EB2"/>
    <w:rsid w:val="00156ECD"/>
    <w:rsid w:val="00156F7C"/>
    <w:rsid w:val="00156FBD"/>
    <w:rsid w:val="0015705B"/>
    <w:rsid w:val="00157139"/>
    <w:rsid w:val="001571B6"/>
    <w:rsid w:val="001571D0"/>
    <w:rsid w:val="001571EB"/>
    <w:rsid w:val="00157215"/>
    <w:rsid w:val="00157244"/>
    <w:rsid w:val="0015724B"/>
    <w:rsid w:val="00157284"/>
    <w:rsid w:val="001572F9"/>
    <w:rsid w:val="0015737F"/>
    <w:rsid w:val="001573A5"/>
    <w:rsid w:val="001573BC"/>
    <w:rsid w:val="00157489"/>
    <w:rsid w:val="001574A9"/>
    <w:rsid w:val="00157540"/>
    <w:rsid w:val="00157548"/>
    <w:rsid w:val="0015758D"/>
    <w:rsid w:val="00157772"/>
    <w:rsid w:val="001577D9"/>
    <w:rsid w:val="00157869"/>
    <w:rsid w:val="001578E4"/>
    <w:rsid w:val="0015796C"/>
    <w:rsid w:val="001579B0"/>
    <w:rsid w:val="00157A18"/>
    <w:rsid w:val="00157A5C"/>
    <w:rsid w:val="00157B25"/>
    <w:rsid w:val="00157B37"/>
    <w:rsid w:val="00157BB0"/>
    <w:rsid w:val="00157C0F"/>
    <w:rsid w:val="00157CF4"/>
    <w:rsid w:val="00157D0A"/>
    <w:rsid w:val="00157EEA"/>
    <w:rsid w:val="00157F02"/>
    <w:rsid w:val="00157F14"/>
    <w:rsid w:val="00157F55"/>
    <w:rsid w:val="00157FF4"/>
    <w:rsid w:val="00160003"/>
    <w:rsid w:val="00160085"/>
    <w:rsid w:val="001600E8"/>
    <w:rsid w:val="001600E9"/>
    <w:rsid w:val="001600F0"/>
    <w:rsid w:val="0016030C"/>
    <w:rsid w:val="001603BB"/>
    <w:rsid w:val="001603DE"/>
    <w:rsid w:val="0016046E"/>
    <w:rsid w:val="001604EC"/>
    <w:rsid w:val="00160593"/>
    <w:rsid w:val="00160666"/>
    <w:rsid w:val="0016071C"/>
    <w:rsid w:val="0016079E"/>
    <w:rsid w:val="00160815"/>
    <w:rsid w:val="00160825"/>
    <w:rsid w:val="00160929"/>
    <w:rsid w:val="001609F9"/>
    <w:rsid w:val="00160A9B"/>
    <w:rsid w:val="00160AC2"/>
    <w:rsid w:val="00160ADA"/>
    <w:rsid w:val="00160BF1"/>
    <w:rsid w:val="00160C00"/>
    <w:rsid w:val="00160C0F"/>
    <w:rsid w:val="00160C5B"/>
    <w:rsid w:val="00160DE4"/>
    <w:rsid w:val="00160E42"/>
    <w:rsid w:val="00160FEC"/>
    <w:rsid w:val="0016100A"/>
    <w:rsid w:val="001610E5"/>
    <w:rsid w:val="00161117"/>
    <w:rsid w:val="00161141"/>
    <w:rsid w:val="001611A3"/>
    <w:rsid w:val="0016120F"/>
    <w:rsid w:val="00161221"/>
    <w:rsid w:val="0016128F"/>
    <w:rsid w:val="001612A3"/>
    <w:rsid w:val="001613C0"/>
    <w:rsid w:val="001613D3"/>
    <w:rsid w:val="0016144F"/>
    <w:rsid w:val="001614E9"/>
    <w:rsid w:val="001614FB"/>
    <w:rsid w:val="00161523"/>
    <w:rsid w:val="001615EE"/>
    <w:rsid w:val="00161602"/>
    <w:rsid w:val="00161653"/>
    <w:rsid w:val="001616F9"/>
    <w:rsid w:val="001616FB"/>
    <w:rsid w:val="001617D0"/>
    <w:rsid w:val="00161820"/>
    <w:rsid w:val="00161823"/>
    <w:rsid w:val="0016182E"/>
    <w:rsid w:val="0016187B"/>
    <w:rsid w:val="0016189E"/>
    <w:rsid w:val="00161A52"/>
    <w:rsid w:val="00161AD8"/>
    <w:rsid w:val="00161B05"/>
    <w:rsid w:val="00161BC8"/>
    <w:rsid w:val="00161BFC"/>
    <w:rsid w:val="00161CF3"/>
    <w:rsid w:val="00161E10"/>
    <w:rsid w:val="00161EFD"/>
    <w:rsid w:val="00162068"/>
    <w:rsid w:val="001620FF"/>
    <w:rsid w:val="0016239B"/>
    <w:rsid w:val="00162422"/>
    <w:rsid w:val="0016249E"/>
    <w:rsid w:val="001624B5"/>
    <w:rsid w:val="001625CD"/>
    <w:rsid w:val="001626D8"/>
    <w:rsid w:val="00162730"/>
    <w:rsid w:val="001628BF"/>
    <w:rsid w:val="0016290B"/>
    <w:rsid w:val="001629EB"/>
    <w:rsid w:val="00162A6A"/>
    <w:rsid w:val="00162A75"/>
    <w:rsid w:val="00162ADC"/>
    <w:rsid w:val="00162ADD"/>
    <w:rsid w:val="00162B51"/>
    <w:rsid w:val="00162BBB"/>
    <w:rsid w:val="00162BEC"/>
    <w:rsid w:val="00162CAE"/>
    <w:rsid w:val="00162CDE"/>
    <w:rsid w:val="00162D62"/>
    <w:rsid w:val="00162DAC"/>
    <w:rsid w:val="00162E7E"/>
    <w:rsid w:val="00162EB7"/>
    <w:rsid w:val="00162EE8"/>
    <w:rsid w:val="00162EFB"/>
    <w:rsid w:val="00162F0E"/>
    <w:rsid w:val="001630DE"/>
    <w:rsid w:val="001630E1"/>
    <w:rsid w:val="001630E4"/>
    <w:rsid w:val="00163112"/>
    <w:rsid w:val="00163152"/>
    <w:rsid w:val="00163179"/>
    <w:rsid w:val="001631B3"/>
    <w:rsid w:val="001631BA"/>
    <w:rsid w:val="00163348"/>
    <w:rsid w:val="001633AB"/>
    <w:rsid w:val="001633CB"/>
    <w:rsid w:val="00163420"/>
    <w:rsid w:val="00163490"/>
    <w:rsid w:val="001634B0"/>
    <w:rsid w:val="00163586"/>
    <w:rsid w:val="001635C4"/>
    <w:rsid w:val="00163752"/>
    <w:rsid w:val="00163820"/>
    <w:rsid w:val="00163865"/>
    <w:rsid w:val="001638E9"/>
    <w:rsid w:val="00163906"/>
    <w:rsid w:val="00163BD2"/>
    <w:rsid w:val="00163BDE"/>
    <w:rsid w:val="00163BE0"/>
    <w:rsid w:val="00163D69"/>
    <w:rsid w:val="00163DE9"/>
    <w:rsid w:val="00163ED1"/>
    <w:rsid w:val="00163F78"/>
    <w:rsid w:val="00163FC8"/>
    <w:rsid w:val="0016405D"/>
    <w:rsid w:val="001640D5"/>
    <w:rsid w:val="001640E5"/>
    <w:rsid w:val="001641A5"/>
    <w:rsid w:val="001641FF"/>
    <w:rsid w:val="0016432C"/>
    <w:rsid w:val="00164363"/>
    <w:rsid w:val="0016437A"/>
    <w:rsid w:val="001643BB"/>
    <w:rsid w:val="001645A6"/>
    <w:rsid w:val="001645FC"/>
    <w:rsid w:val="00164626"/>
    <w:rsid w:val="00164659"/>
    <w:rsid w:val="001646FA"/>
    <w:rsid w:val="001648A6"/>
    <w:rsid w:val="00164952"/>
    <w:rsid w:val="0016499F"/>
    <w:rsid w:val="001649E3"/>
    <w:rsid w:val="001649FC"/>
    <w:rsid w:val="00164AB3"/>
    <w:rsid w:val="00164B0A"/>
    <w:rsid w:val="00164BB7"/>
    <w:rsid w:val="00164BBB"/>
    <w:rsid w:val="00164BD2"/>
    <w:rsid w:val="00164CFB"/>
    <w:rsid w:val="00164D47"/>
    <w:rsid w:val="00164D58"/>
    <w:rsid w:val="00164D70"/>
    <w:rsid w:val="00164D99"/>
    <w:rsid w:val="00164DEE"/>
    <w:rsid w:val="00164DF7"/>
    <w:rsid w:val="00164E6B"/>
    <w:rsid w:val="00164F43"/>
    <w:rsid w:val="00164FAC"/>
    <w:rsid w:val="00164FFF"/>
    <w:rsid w:val="00165094"/>
    <w:rsid w:val="001650E8"/>
    <w:rsid w:val="00165144"/>
    <w:rsid w:val="001651A2"/>
    <w:rsid w:val="001651BA"/>
    <w:rsid w:val="001651DC"/>
    <w:rsid w:val="0016520A"/>
    <w:rsid w:val="00165274"/>
    <w:rsid w:val="0016541E"/>
    <w:rsid w:val="0016547D"/>
    <w:rsid w:val="001654EA"/>
    <w:rsid w:val="00165541"/>
    <w:rsid w:val="0016558F"/>
    <w:rsid w:val="00165723"/>
    <w:rsid w:val="00165892"/>
    <w:rsid w:val="00165940"/>
    <w:rsid w:val="00165A19"/>
    <w:rsid w:val="00165A4B"/>
    <w:rsid w:val="00165AA4"/>
    <w:rsid w:val="00165B05"/>
    <w:rsid w:val="00165B61"/>
    <w:rsid w:val="00165BBA"/>
    <w:rsid w:val="00165BE6"/>
    <w:rsid w:val="00165D08"/>
    <w:rsid w:val="00165D22"/>
    <w:rsid w:val="00165E15"/>
    <w:rsid w:val="00165EA3"/>
    <w:rsid w:val="00165F6B"/>
    <w:rsid w:val="00165F87"/>
    <w:rsid w:val="00166064"/>
    <w:rsid w:val="001660A2"/>
    <w:rsid w:val="001660D3"/>
    <w:rsid w:val="001660E5"/>
    <w:rsid w:val="001661C6"/>
    <w:rsid w:val="0016620E"/>
    <w:rsid w:val="001662D7"/>
    <w:rsid w:val="00166347"/>
    <w:rsid w:val="0016636A"/>
    <w:rsid w:val="001663C3"/>
    <w:rsid w:val="001665ED"/>
    <w:rsid w:val="0016667F"/>
    <w:rsid w:val="001666EB"/>
    <w:rsid w:val="00166747"/>
    <w:rsid w:val="001667C9"/>
    <w:rsid w:val="00166867"/>
    <w:rsid w:val="001668DF"/>
    <w:rsid w:val="00166926"/>
    <w:rsid w:val="0016698C"/>
    <w:rsid w:val="001669E5"/>
    <w:rsid w:val="00166A0D"/>
    <w:rsid w:val="00166A1B"/>
    <w:rsid w:val="00166A8F"/>
    <w:rsid w:val="00166AC0"/>
    <w:rsid w:val="00166BF4"/>
    <w:rsid w:val="00166C49"/>
    <w:rsid w:val="00166D82"/>
    <w:rsid w:val="00166E0C"/>
    <w:rsid w:val="00166F08"/>
    <w:rsid w:val="00166F5C"/>
    <w:rsid w:val="00166FEA"/>
    <w:rsid w:val="0016708A"/>
    <w:rsid w:val="001670C4"/>
    <w:rsid w:val="001670CB"/>
    <w:rsid w:val="001671EA"/>
    <w:rsid w:val="00167214"/>
    <w:rsid w:val="00167285"/>
    <w:rsid w:val="00167328"/>
    <w:rsid w:val="00167345"/>
    <w:rsid w:val="0016735D"/>
    <w:rsid w:val="00167367"/>
    <w:rsid w:val="001673FC"/>
    <w:rsid w:val="0016740F"/>
    <w:rsid w:val="0016745F"/>
    <w:rsid w:val="00167520"/>
    <w:rsid w:val="0016753B"/>
    <w:rsid w:val="00167549"/>
    <w:rsid w:val="001675F5"/>
    <w:rsid w:val="001675F7"/>
    <w:rsid w:val="001676C5"/>
    <w:rsid w:val="00167707"/>
    <w:rsid w:val="00167767"/>
    <w:rsid w:val="00167893"/>
    <w:rsid w:val="00167928"/>
    <w:rsid w:val="00167943"/>
    <w:rsid w:val="001679C8"/>
    <w:rsid w:val="00167A7B"/>
    <w:rsid w:val="00167B36"/>
    <w:rsid w:val="00167CB1"/>
    <w:rsid w:val="00167CFF"/>
    <w:rsid w:val="00167E35"/>
    <w:rsid w:val="00167EB0"/>
    <w:rsid w:val="00167EFF"/>
    <w:rsid w:val="001700D3"/>
    <w:rsid w:val="00170105"/>
    <w:rsid w:val="001702B1"/>
    <w:rsid w:val="001702C0"/>
    <w:rsid w:val="001702F1"/>
    <w:rsid w:val="0017040F"/>
    <w:rsid w:val="0017043F"/>
    <w:rsid w:val="001704DA"/>
    <w:rsid w:val="00170623"/>
    <w:rsid w:val="00170697"/>
    <w:rsid w:val="001706A2"/>
    <w:rsid w:val="001706AF"/>
    <w:rsid w:val="001708C5"/>
    <w:rsid w:val="001708E1"/>
    <w:rsid w:val="001709A1"/>
    <w:rsid w:val="001709D3"/>
    <w:rsid w:val="00170B57"/>
    <w:rsid w:val="00170B5E"/>
    <w:rsid w:val="00170B90"/>
    <w:rsid w:val="00170BF8"/>
    <w:rsid w:val="00170C07"/>
    <w:rsid w:val="00170CB0"/>
    <w:rsid w:val="00170CE8"/>
    <w:rsid w:val="00170D2E"/>
    <w:rsid w:val="00170D5C"/>
    <w:rsid w:val="00170D6C"/>
    <w:rsid w:val="00170E0D"/>
    <w:rsid w:val="00170E7A"/>
    <w:rsid w:val="00170EF2"/>
    <w:rsid w:val="00171086"/>
    <w:rsid w:val="001710F0"/>
    <w:rsid w:val="00171217"/>
    <w:rsid w:val="0017127C"/>
    <w:rsid w:val="0017129B"/>
    <w:rsid w:val="00171373"/>
    <w:rsid w:val="00171399"/>
    <w:rsid w:val="001713AD"/>
    <w:rsid w:val="001713C9"/>
    <w:rsid w:val="001714BA"/>
    <w:rsid w:val="001714F3"/>
    <w:rsid w:val="0017155D"/>
    <w:rsid w:val="001715A0"/>
    <w:rsid w:val="001715C0"/>
    <w:rsid w:val="001716A7"/>
    <w:rsid w:val="0017173B"/>
    <w:rsid w:val="0017177B"/>
    <w:rsid w:val="0017178B"/>
    <w:rsid w:val="00171813"/>
    <w:rsid w:val="00171848"/>
    <w:rsid w:val="00171857"/>
    <w:rsid w:val="00171879"/>
    <w:rsid w:val="001718F4"/>
    <w:rsid w:val="001719D0"/>
    <w:rsid w:val="00171A95"/>
    <w:rsid w:val="00171B4A"/>
    <w:rsid w:val="00171C93"/>
    <w:rsid w:val="00171CD4"/>
    <w:rsid w:val="00171CF1"/>
    <w:rsid w:val="00171CF5"/>
    <w:rsid w:val="00171D59"/>
    <w:rsid w:val="00171D7B"/>
    <w:rsid w:val="00171DFC"/>
    <w:rsid w:val="00171E43"/>
    <w:rsid w:val="00171E63"/>
    <w:rsid w:val="00171EB4"/>
    <w:rsid w:val="00171EF5"/>
    <w:rsid w:val="00171F20"/>
    <w:rsid w:val="00171F26"/>
    <w:rsid w:val="00171F2C"/>
    <w:rsid w:val="00171FAD"/>
    <w:rsid w:val="00171FE6"/>
    <w:rsid w:val="00172018"/>
    <w:rsid w:val="0017203F"/>
    <w:rsid w:val="00172050"/>
    <w:rsid w:val="00172057"/>
    <w:rsid w:val="0017206D"/>
    <w:rsid w:val="00172123"/>
    <w:rsid w:val="0017213B"/>
    <w:rsid w:val="00172165"/>
    <w:rsid w:val="001721C9"/>
    <w:rsid w:val="0017229A"/>
    <w:rsid w:val="00172311"/>
    <w:rsid w:val="0017231A"/>
    <w:rsid w:val="00172328"/>
    <w:rsid w:val="0017237C"/>
    <w:rsid w:val="001723D1"/>
    <w:rsid w:val="001723E0"/>
    <w:rsid w:val="00172427"/>
    <w:rsid w:val="001724F7"/>
    <w:rsid w:val="0017251D"/>
    <w:rsid w:val="00172629"/>
    <w:rsid w:val="0017271D"/>
    <w:rsid w:val="00172721"/>
    <w:rsid w:val="0017274B"/>
    <w:rsid w:val="0017288C"/>
    <w:rsid w:val="00172A72"/>
    <w:rsid w:val="00172A8C"/>
    <w:rsid w:val="00172AC0"/>
    <w:rsid w:val="00172C49"/>
    <w:rsid w:val="00172C69"/>
    <w:rsid w:val="00172CCC"/>
    <w:rsid w:val="00172E59"/>
    <w:rsid w:val="00172E76"/>
    <w:rsid w:val="00172F77"/>
    <w:rsid w:val="00172F7B"/>
    <w:rsid w:val="00172FEF"/>
    <w:rsid w:val="00172FFA"/>
    <w:rsid w:val="00173072"/>
    <w:rsid w:val="00173175"/>
    <w:rsid w:val="001731BE"/>
    <w:rsid w:val="001731C5"/>
    <w:rsid w:val="00173208"/>
    <w:rsid w:val="0017325D"/>
    <w:rsid w:val="00173296"/>
    <w:rsid w:val="001733A1"/>
    <w:rsid w:val="001733A5"/>
    <w:rsid w:val="00173459"/>
    <w:rsid w:val="00173495"/>
    <w:rsid w:val="0017358D"/>
    <w:rsid w:val="0017361F"/>
    <w:rsid w:val="0017376D"/>
    <w:rsid w:val="00173782"/>
    <w:rsid w:val="001737C2"/>
    <w:rsid w:val="001737CB"/>
    <w:rsid w:val="0017380B"/>
    <w:rsid w:val="00173824"/>
    <w:rsid w:val="00173948"/>
    <w:rsid w:val="001739E7"/>
    <w:rsid w:val="00173A56"/>
    <w:rsid w:val="00173B6B"/>
    <w:rsid w:val="00173B9F"/>
    <w:rsid w:val="00173C51"/>
    <w:rsid w:val="00173C81"/>
    <w:rsid w:val="00173CAF"/>
    <w:rsid w:val="00173CFF"/>
    <w:rsid w:val="00173D40"/>
    <w:rsid w:val="00173D94"/>
    <w:rsid w:val="00173E43"/>
    <w:rsid w:val="00173E4B"/>
    <w:rsid w:val="00173E5A"/>
    <w:rsid w:val="00173F53"/>
    <w:rsid w:val="00173F67"/>
    <w:rsid w:val="0017400D"/>
    <w:rsid w:val="00174118"/>
    <w:rsid w:val="001742D1"/>
    <w:rsid w:val="00174398"/>
    <w:rsid w:val="00174418"/>
    <w:rsid w:val="0017456E"/>
    <w:rsid w:val="00174634"/>
    <w:rsid w:val="001746E3"/>
    <w:rsid w:val="0017481D"/>
    <w:rsid w:val="001748C9"/>
    <w:rsid w:val="0017491A"/>
    <w:rsid w:val="0017491C"/>
    <w:rsid w:val="001749A2"/>
    <w:rsid w:val="001749C9"/>
    <w:rsid w:val="001749EB"/>
    <w:rsid w:val="00174A50"/>
    <w:rsid w:val="00174A56"/>
    <w:rsid w:val="00174A86"/>
    <w:rsid w:val="00174BFC"/>
    <w:rsid w:val="00174C78"/>
    <w:rsid w:val="00174C93"/>
    <w:rsid w:val="00174C98"/>
    <w:rsid w:val="00174D3A"/>
    <w:rsid w:val="00174D52"/>
    <w:rsid w:val="00174D97"/>
    <w:rsid w:val="00174E8B"/>
    <w:rsid w:val="00174EBC"/>
    <w:rsid w:val="00174F38"/>
    <w:rsid w:val="00174F6A"/>
    <w:rsid w:val="00174FE8"/>
    <w:rsid w:val="0017507C"/>
    <w:rsid w:val="00175136"/>
    <w:rsid w:val="0017516F"/>
    <w:rsid w:val="001751DB"/>
    <w:rsid w:val="0017527C"/>
    <w:rsid w:val="001752AD"/>
    <w:rsid w:val="00175337"/>
    <w:rsid w:val="0017536D"/>
    <w:rsid w:val="00175441"/>
    <w:rsid w:val="001754EE"/>
    <w:rsid w:val="00175566"/>
    <w:rsid w:val="001755E0"/>
    <w:rsid w:val="001755F1"/>
    <w:rsid w:val="0017561B"/>
    <w:rsid w:val="001757A4"/>
    <w:rsid w:val="001757C1"/>
    <w:rsid w:val="001757CD"/>
    <w:rsid w:val="001757E0"/>
    <w:rsid w:val="00175838"/>
    <w:rsid w:val="00175839"/>
    <w:rsid w:val="00175866"/>
    <w:rsid w:val="001758C8"/>
    <w:rsid w:val="001758E4"/>
    <w:rsid w:val="001758F9"/>
    <w:rsid w:val="00175933"/>
    <w:rsid w:val="001759A6"/>
    <w:rsid w:val="00175A77"/>
    <w:rsid w:val="00175ABF"/>
    <w:rsid w:val="00175AF2"/>
    <w:rsid w:val="00175BDE"/>
    <w:rsid w:val="00175BF8"/>
    <w:rsid w:val="00175C5C"/>
    <w:rsid w:val="00175D40"/>
    <w:rsid w:val="00175D7D"/>
    <w:rsid w:val="00175E90"/>
    <w:rsid w:val="00175F10"/>
    <w:rsid w:val="00175F32"/>
    <w:rsid w:val="00175FB8"/>
    <w:rsid w:val="00175FD8"/>
    <w:rsid w:val="0017601A"/>
    <w:rsid w:val="001760C1"/>
    <w:rsid w:val="00176134"/>
    <w:rsid w:val="00176137"/>
    <w:rsid w:val="0017613A"/>
    <w:rsid w:val="00176257"/>
    <w:rsid w:val="00176300"/>
    <w:rsid w:val="0017630A"/>
    <w:rsid w:val="00176443"/>
    <w:rsid w:val="0017648F"/>
    <w:rsid w:val="0017657B"/>
    <w:rsid w:val="0017659C"/>
    <w:rsid w:val="001765AE"/>
    <w:rsid w:val="001765BD"/>
    <w:rsid w:val="001765F4"/>
    <w:rsid w:val="00176676"/>
    <w:rsid w:val="001766DE"/>
    <w:rsid w:val="00176788"/>
    <w:rsid w:val="00176948"/>
    <w:rsid w:val="001769CD"/>
    <w:rsid w:val="00176AEE"/>
    <w:rsid w:val="00176BDE"/>
    <w:rsid w:val="00176BFB"/>
    <w:rsid w:val="00176C7B"/>
    <w:rsid w:val="00176CA4"/>
    <w:rsid w:val="00176E2A"/>
    <w:rsid w:val="00176E53"/>
    <w:rsid w:val="00176E82"/>
    <w:rsid w:val="00176EA9"/>
    <w:rsid w:val="00176EB6"/>
    <w:rsid w:val="00176F24"/>
    <w:rsid w:val="00176F79"/>
    <w:rsid w:val="00176FA0"/>
    <w:rsid w:val="00176FA2"/>
    <w:rsid w:val="00176FC3"/>
    <w:rsid w:val="00176FF1"/>
    <w:rsid w:val="00177011"/>
    <w:rsid w:val="0017705A"/>
    <w:rsid w:val="001770A7"/>
    <w:rsid w:val="0017711B"/>
    <w:rsid w:val="00177125"/>
    <w:rsid w:val="001771EA"/>
    <w:rsid w:val="001771F4"/>
    <w:rsid w:val="00177250"/>
    <w:rsid w:val="0017730F"/>
    <w:rsid w:val="00177422"/>
    <w:rsid w:val="001774CB"/>
    <w:rsid w:val="001774F8"/>
    <w:rsid w:val="00177527"/>
    <w:rsid w:val="0017758A"/>
    <w:rsid w:val="001776D1"/>
    <w:rsid w:val="0017775B"/>
    <w:rsid w:val="00177866"/>
    <w:rsid w:val="00177924"/>
    <w:rsid w:val="001779A0"/>
    <w:rsid w:val="001779C2"/>
    <w:rsid w:val="00177A5B"/>
    <w:rsid w:val="00177A6E"/>
    <w:rsid w:val="00177AC2"/>
    <w:rsid w:val="00177B09"/>
    <w:rsid w:val="00177B1B"/>
    <w:rsid w:val="00177C70"/>
    <w:rsid w:val="00177CAD"/>
    <w:rsid w:val="00177CAE"/>
    <w:rsid w:val="00177CE0"/>
    <w:rsid w:val="00177EC6"/>
    <w:rsid w:val="00177F5E"/>
    <w:rsid w:val="0018006B"/>
    <w:rsid w:val="001800AE"/>
    <w:rsid w:val="001801B9"/>
    <w:rsid w:val="001801FA"/>
    <w:rsid w:val="00180227"/>
    <w:rsid w:val="0018026D"/>
    <w:rsid w:val="00180323"/>
    <w:rsid w:val="001804EA"/>
    <w:rsid w:val="0018066B"/>
    <w:rsid w:val="0018079C"/>
    <w:rsid w:val="001807CC"/>
    <w:rsid w:val="00180909"/>
    <w:rsid w:val="0018093F"/>
    <w:rsid w:val="00180951"/>
    <w:rsid w:val="00180963"/>
    <w:rsid w:val="001809C5"/>
    <w:rsid w:val="001809DF"/>
    <w:rsid w:val="00180AC8"/>
    <w:rsid w:val="00180AD4"/>
    <w:rsid w:val="00180B10"/>
    <w:rsid w:val="00180B30"/>
    <w:rsid w:val="00180CAB"/>
    <w:rsid w:val="00180D7D"/>
    <w:rsid w:val="00180DA9"/>
    <w:rsid w:val="00180E92"/>
    <w:rsid w:val="00180EA6"/>
    <w:rsid w:val="00180EAF"/>
    <w:rsid w:val="00180F14"/>
    <w:rsid w:val="00180F2E"/>
    <w:rsid w:val="001810C9"/>
    <w:rsid w:val="00181108"/>
    <w:rsid w:val="00181151"/>
    <w:rsid w:val="001811BF"/>
    <w:rsid w:val="001811F1"/>
    <w:rsid w:val="00181214"/>
    <w:rsid w:val="0018128F"/>
    <w:rsid w:val="00181304"/>
    <w:rsid w:val="00181356"/>
    <w:rsid w:val="001813B9"/>
    <w:rsid w:val="001813C1"/>
    <w:rsid w:val="00181421"/>
    <w:rsid w:val="0018146E"/>
    <w:rsid w:val="00181531"/>
    <w:rsid w:val="00181566"/>
    <w:rsid w:val="001815B6"/>
    <w:rsid w:val="001815EF"/>
    <w:rsid w:val="0018161A"/>
    <w:rsid w:val="001816A3"/>
    <w:rsid w:val="001816A8"/>
    <w:rsid w:val="00181701"/>
    <w:rsid w:val="00181796"/>
    <w:rsid w:val="001817E6"/>
    <w:rsid w:val="00181921"/>
    <w:rsid w:val="00181961"/>
    <w:rsid w:val="00181AE1"/>
    <w:rsid w:val="00181B3E"/>
    <w:rsid w:val="00181B6E"/>
    <w:rsid w:val="00181CF6"/>
    <w:rsid w:val="00181D07"/>
    <w:rsid w:val="00181D0A"/>
    <w:rsid w:val="00181F2D"/>
    <w:rsid w:val="00181F37"/>
    <w:rsid w:val="00181F80"/>
    <w:rsid w:val="00181F8D"/>
    <w:rsid w:val="00181F91"/>
    <w:rsid w:val="00181FF2"/>
    <w:rsid w:val="00181FFC"/>
    <w:rsid w:val="00182014"/>
    <w:rsid w:val="00182150"/>
    <w:rsid w:val="001822A0"/>
    <w:rsid w:val="0018236E"/>
    <w:rsid w:val="001823F5"/>
    <w:rsid w:val="0018247F"/>
    <w:rsid w:val="00182490"/>
    <w:rsid w:val="00182538"/>
    <w:rsid w:val="00182682"/>
    <w:rsid w:val="001827CA"/>
    <w:rsid w:val="00182822"/>
    <w:rsid w:val="0018282B"/>
    <w:rsid w:val="0018284C"/>
    <w:rsid w:val="00182969"/>
    <w:rsid w:val="0018297A"/>
    <w:rsid w:val="00182982"/>
    <w:rsid w:val="00182A32"/>
    <w:rsid w:val="00182A33"/>
    <w:rsid w:val="00182ADA"/>
    <w:rsid w:val="00182B23"/>
    <w:rsid w:val="00182BAC"/>
    <w:rsid w:val="00182E60"/>
    <w:rsid w:val="00182E6A"/>
    <w:rsid w:val="00182EC2"/>
    <w:rsid w:val="00182F29"/>
    <w:rsid w:val="00182FB1"/>
    <w:rsid w:val="001830E4"/>
    <w:rsid w:val="001830F6"/>
    <w:rsid w:val="00183154"/>
    <w:rsid w:val="00183313"/>
    <w:rsid w:val="0018353E"/>
    <w:rsid w:val="00183569"/>
    <w:rsid w:val="00183647"/>
    <w:rsid w:val="00183653"/>
    <w:rsid w:val="00183654"/>
    <w:rsid w:val="001836BF"/>
    <w:rsid w:val="0018370A"/>
    <w:rsid w:val="00183776"/>
    <w:rsid w:val="001837D8"/>
    <w:rsid w:val="001837DA"/>
    <w:rsid w:val="00183801"/>
    <w:rsid w:val="00183828"/>
    <w:rsid w:val="00183971"/>
    <w:rsid w:val="00183A34"/>
    <w:rsid w:val="00183B6F"/>
    <w:rsid w:val="00183C01"/>
    <w:rsid w:val="00183C19"/>
    <w:rsid w:val="00183C2D"/>
    <w:rsid w:val="00183D2A"/>
    <w:rsid w:val="00183EB1"/>
    <w:rsid w:val="00184054"/>
    <w:rsid w:val="0018408B"/>
    <w:rsid w:val="001840A6"/>
    <w:rsid w:val="00184179"/>
    <w:rsid w:val="001841CE"/>
    <w:rsid w:val="00184232"/>
    <w:rsid w:val="0018437E"/>
    <w:rsid w:val="00184382"/>
    <w:rsid w:val="00184407"/>
    <w:rsid w:val="001844B4"/>
    <w:rsid w:val="00184524"/>
    <w:rsid w:val="001845D5"/>
    <w:rsid w:val="001845EF"/>
    <w:rsid w:val="00184710"/>
    <w:rsid w:val="0018481D"/>
    <w:rsid w:val="0018485D"/>
    <w:rsid w:val="00184891"/>
    <w:rsid w:val="001848A4"/>
    <w:rsid w:val="001848C4"/>
    <w:rsid w:val="0018490E"/>
    <w:rsid w:val="00184913"/>
    <w:rsid w:val="0018492F"/>
    <w:rsid w:val="00184A41"/>
    <w:rsid w:val="00184ABC"/>
    <w:rsid w:val="00184C3E"/>
    <w:rsid w:val="00184D06"/>
    <w:rsid w:val="00184DDC"/>
    <w:rsid w:val="00184E15"/>
    <w:rsid w:val="001850C2"/>
    <w:rsid w:val="0018510C"/>
    <w:rsid w:val="001851F8"/>
    <w:rsid w:val="00185224"/>
    <w:rsid w:val="001852FD"/>
    <w:rsid w:val="001852FF"/>
    <w:rsid w:val="0018537F"/>
    <w:rsid w:val="001853CF"/>
    <w:rsid w:val="001853E7"/>
    <w:rsid w:val="001853ED"/>
    <w:rsid w:val="00185438"/>
    <w:rsid w:val="00185464"/>
    <w:rsid w:val="001854B7"/>
    <w:rsid w:val="0018553C"/>
    <w:rsid w:val="001855F8"/>
    <w:rsid w:val="00185677"/>
    <w:rsid w:val="00185751"/>
    <w:rsid w:val="00185790"/>
    <w:rsid w:val="001858A0"/>
    <w:rsid w:val="001858DC"/>
    <w:rsid w:val="00185905"/>
    <w:rsid w:val="00185941"/>
    <w:rsid w:val="0018599F"/>
    <w:rsid w:val="001859A4"/>
    <w:rsid w:val="00185A3F"/>
    <w:rsid w:val="00185B05"/>
    <w:rsid w:val="00185B06"/>
    <w:rsid w:val="00185BC7"/>
    <w:rsid w:val="00185C18"/>
    <w:rsid w:val="00185C2C"/>
    <w:rsid w:val="00185C81"/>
    <w:rsid w:val="00185D7D"/>
    <w:rsid w:val="00185DC5"/>
    <w:rsid w:val="00185EB0"/>
    <w:rsid w:val="00185ED9"/>
    <w:rsid w:val="00185F60"/>
    <w:rsid w:val="00185FBA"/>
    <w:rsid w:val="00186199"/>
    <w:rsid w:val="001861E8"/>
    <w:rsid w:val="001861F3"/>
    <w:rsid w:val="00186217"/>
    <w:rsid w:val="0018626B"/>
    <w:rsid w:val="00186271"/>
    <w:rsid w:val="00186307"/>
    <w:rsid w:val="001863FC"/>
    <w:rsid w:val="0018641E"/>
    <w:rsid w:val="0018642A"/>
    <w:rsid w:val="001865C6"/>
    <w:rsid w:val="00186648"/>
    <w:rsid w:val="00186798"/>
    <w:rsid w:val="001867B1"/>
    <w:rsid w:val="00186858"/>
    <w:rsid w:val="0018685E"/>
    <w:rsid w:val="001869BB"/>
    <w:rsid w:val="00186A15"/>
    <w:rsid w:val="00186A37"/>
    <w:rsid w:val="00186AB1"/>
    <w:rsid w:val="00186B01"/>
    <w:rsid w:val="00186B14"/>
    <w:rsid w:val="00186C2A"/>
    <w:rsid w:val="00186C38"/>
    <w:rsid w:val="00186CAD"/>
    <w:rsid w:val="00186CF3"/>
    <w:rsid w:val="00186D72"/>
    <w:rsid w:val="00186D93"/>
    <w:rsid w:val="00186DC6"/>
    <w:rsid w:val="00186DD3"/>
    <w:rsid w:val="00186E8C"/>
    <w:rsid w:val="00186EA1"/>
    <w:rsid w:val="00186ED1"/>
    <w:rsid w:val="00186F9C"/>
    <w:rsid w:val="00187000"/>
    <w:rsid w:val="001870B2"/>
    <w:rsid w:val="00187134"/>
    <w:rsid w:val="00187228"/>
    <w:rsid w:val="001873DF"/>
    <w:rsid w:val="0018741C"/>
    <w:rsid w:val="001874EE"/>
    <w:rsid w:val="001876E0"/>
    <w:rsid w:val="00187783"/>
    <w:rsid w:val="0018780E"/>
    <w:rsid w:val="00187853"/>
    <w:rsid w:val="0018789F"/>
    <w:rsid w:val="001878A8"/>
    <w:rsid w:val="001878C6"/>
    <w:rsid w:val="00187B24"/>
    <w:rsid w:val="00187BF6"/>
    <w:rsid w:val="00187C59"/>
    <w:rsid w:val="00187D6E"/>
    <w:rsid w:val="00187E79"/>
    <w:rsid w:val="00187EC1"/>
    <w:rsid w:val="00187F05"/>
    <w:rsid w:val="00187F2C"/>
    <w:rsid w:val="00187F46"/>
    <w:rsid w:val="00187F79"/>
    <w:rsid w:val="00187FD7"/>
    <w:rsid w:val="00187FDA"/>
    <w:rsid w:val="00190012"/>
    <w:rsid w:val="00190065"/>
    <w:rsid w:val="0019011C"/>
    <w:rsid w:val="001901BE"/>
    <w:rsid w:val="0019020D"/>
    <w:rsid w:val="00190243"/>
    <w:rsid w:val="0019029F"/>
    <w:rsid w:val="001902E2"/>
    <w:rsid w:val="001902EC"/>
    <w:rsid w:val="00190320"/>
    <w:rsid w:val="00190652"/>
    <w:rsid w:val="0019067D"/>
    <w:rsid w:val="001906A5"/>
    <w:rsid w:val="001906E9"/>
    <w:rsid w:val="00190713"/>
    <w:rsid w:val="00190841"/>
    <w:rsid w:val="001908EC"/>
    <w:rsid w:val="00190918"/>
    <w:rsid w:val="00190953"/>
    <w:rsid w:val="00190A97"/>
    <w:rsid w:val="00190B7C"/>
    <w:rsid w:val="00190B85"/>
    <w:rsid w:val="00190BD0"/>
    <w:rsid w:val="00190D6B"/>
    <w:rsid w:val="00190DED"/>
    <w:rsid w:val="00190E88"/>
    <w:rsid w:val="00190EF7"/>
    <w:rsid w:val="00190FDA"/>
    <w:rsid w:val="00191027"/>
    <w:rsid w:val="001910E7"/>
    <w:rsid w:val="0019114E"/>
    <w:rsid w:val="001912DE"/>
    <w:rsid w:val="00191310"/>
    <w:rsid w:val="001913BB"/>
    <w:rsid w:val="001913C6"/>
    <w:rsid w:val="001914E0"/>
    <w:rsid w:val="00191612"/>
    <w:rsid w:val="00191687"/>
    <w:rsid w:val="0019172A"/>
    <w:rsid w:val="00191741"/>
    <w:rsid w:val="00191771"/>
    <w:rsid w:val="001917FE"/>
    <w:rsid w:val="00191891"/>
    <w:rsid w:val="001918E6"/>
    <w:rsid w:val="001919EE"/>
    <w:rsid w:val="00191A95"/>
    <w:rsid w:val="00191A98"/>
    <w:rsid w:val="00191AAD"/>
    <w:rsid w:val="00191B43"/>
    <w:rsid w:val="00191B60"/>
    <w:rsid w:val="00191BCB"/>
    <w:rsid w:val="00191BCD"/>
    <w:rsid w:val="00191BCE"/>
    <w:rsid w:val="00191C42"/>
    <w:rsid w:val="00191CBE"/>
    <w:rsid w:val="00191DF0"/>
    <w:rsid w:val="00191E4E"/>
    <w:rsid w:val="00191E58"/>
    <w:rsid w:val="00191EE9"/>
    <w:rsid w:val="00191FAF"/>
    <w:rsid w:val="0019201F"/>
    <w:rsid w:val="00192050"/>
    <w:rsid w:val="00192148"/>
    <w:rsid w:val="0019231F"/>
    <w:rsid w:val="001923A1"/>
    <w:rsid w:val="001923B9"/>
    <w:rsid w:val="001923C8"/>
    <w:rsid w:val="001924C7"/>
    <w:rsid w:val="001925F6"/>
    <w:rsid w:val="00192619"/>
    <w:rsid w:val="0019263E"/>
    <w:rsid w:val="00192686"/>
    <w:rsid w:val="001926A2"/>
    <w:rsid w:val="001927C6"/>
    <w:rsid w:val="001928BE"/>
    <w:rsid w:val="00192919"/>
    <w:rsid w:val="001929B2"/>
    <w:rsid w:val="001929BA"/>
    <w:rsid w:val="00192A14"/>
    <w:rsid w:val="00192C5D"/>
    <w:rsid w:val="00192C5E"/>
    <w:rsid w:val="00192C73"/>
    <w:rsid w:val="00192CA6"/>
    <w:rsid w:val="00192CD2"/>
    <w:rsid w:val="00192D48"/>
    <w:rsid w:val="00192EC2"/>
    <w:rsid w:val="00192F39"/>
    <w:rsid w:val="00192F95"/>
    <w:rsid w:val="0019300E"/>
    <w:rsid w:val="0019319D"/>
    <w:rsid w:val="001931BD"/>
    <w:rsid w:val="0019325F"/>
    <w:rsid w:val="001932A4"/>
    <w:rsid w:val="00193336"/>
    <w:rsid w:val="0019336C"/>
    <w:rsid w:val="001934D1"/>
    <w:rsid w:val="0019355B"/>
    <w:rsid w:val="001935DB"/>
    <w:rsid w:val="001936E5"/>
    <w:rsid w:val="001937D1"/>
    <w:rsid w:val="00193802"/>
    <w:rsid w:val="0019385A"/>
    <w:rsid w:val="001938AA"/>
    <w:rsid w:val="001938F8"/>
    <w:rsid w:val="0019393E"/>
    <w:rsid w:val="001939A4"/>
    <w:rsid w:val="001939EE"/>
    <w:rsid w:val="00193B7F"/>
    <w:rsid w:val="00193BB3"/>
    <w:rsid w:val="00193C21"/>
    <w:rsid w:val="00193DD6"/>
    <w:rsid w:val="00193DDD"/>
    <w:rsid w:val="00193DE8"/>
    <w:rsid w:val="00193E1E"/>
    <w:rsid w:val="00193E9C"/>
    <w:rsid w:val="00193F63"/>
    <w:rsid w:val="00193F84"/>
    <w:rsid w:val="00194087"/>
    <w:rsid w:val="00194172"/>
    <w:rsid w:val="00194197"/>
    <w:rsid w:val="001941E1"/>
    <w:rsid w:val="00194208"/>
    <w:rsid w:val="0019420F"/>
    <w:rsid w:val="0019434D"/>
    <w:rsid w:val="001943A9"/>
    <w:rsid w:val="00194424"/>
    <w:rsid w:val="00194428"/>
    <w:rsid w:val="001944C1"/>
    <w:rsid w:val="0019456B"/>
    <w:rsid w:val="00194614"/>
    <w:rsid w:val="0019461C"/>
    <w:rsid w:val="00194661"/>
    <w:rsid w:val="00194675"/>
    <w:rsid w:val="0019469F"/>
    <w:rsid w:val="001946D9"/>
    <w:rsid w:val="00194716"/>
    <w:rsid w:val="00194755"/>
    <w:rsid w:val="001947B2"/>
    <w:rsid w:val="001947D5"/>
    <w:rsid w:val="001948CF"/>
    <w:rsid w:val="001948EC"/>
    <w:rsid w:val="001948ED"/>
    <w:rsid w:val="001949BD"/>
    <w:rsid w:val="001949E5"/>
    <w:rsid w:val="00194AA8"/>
    <w:rsid w:val="00194B09"/>
    <w:rsid w:val="00194BA8"/>
    <w:rsid w:val="00194C08"/>
    <w:rsid w:val="00194C31"/>
    <w:rsid w:val="00194C34"/>
    <w:rsid w:val="00194C37"/>
    <w:rsid w:val="00194C6B"/>
    <w:rsid w:val="00194C80"/>
    <w:rsid w:val="00194CDA"/>
    <w:rsid w:val="00194F58"/>
    <w:rsid w:val="00195145"/>
    <w:rsid w:val="001951B9"/>
    <w:rsid w:val="00195230"/>
    <w:rsid w:val="00195249"/>
    <w:rsid w:val="001952D8"/>
    <w:rsid w:val="00195451"/>
    <w:rsid w:val="001954C7"/>
    <w:rsid w:val="0019566A"/>
    <w:rsid w:val="0019576A"/>
    <w:rsid w:val="001957BF"/>
    <w:rsid w:val="001957EF"/>
    <w:rsid w:val="00195800"/>
    <w:rsid w:val="001958CA"/>
    <w:rsid w:val="0019594B"/>
    <w:rsid w:val="001959E4"/>
    <w:rsid w:val="00195A1A"/>
    <w:rsid w:val="00195A9B"/>
    <w:rsid w:val="00195AE4"/>
    <w:rsid w:val="00195B65"/>
    <w:rsid w:val="00195C50"/>
    <w:rsid w:val="00195C9F"/>
    <w:rsid w:val="00195E7D"/>
    <w:rsid w:val="00195EDE"/>
    <w:rsid w:val="0019603A"/>
    <w:rsid w:val="0019610F"/>
    <w:rsid w:val="00196115"/>
    <w:rsid w:val="0019612C"/>
    <w:rsid w:val="00196134"/>
    <w:rsid w:val="0019614D"/>
    <w:rsid w:val="0019616E"/>
    <w:rsid w:val="0019622F"/>
    <w:rsid w:val="001962D9"/>
    <w:rsid w:val="00196321"/>
    <w:rsid w:val="001965C1"/>
    <w:rsid w:val="001965D0"/>
    <w:rsid w:val="0019663D"/>
    <w:rsid w:val="00196661"/>
    <w:rsid w:val="0019674A"/>
    <w:rsid w:val="0019684B"/>
    <w:rsid w:val="001968B4"/>
    <w:rsid w:val="00196951"/>
    <w:rsid w:val="001969AB"/>
    <w:rsid w:val="001969E6"/>
    <w:rsid w:val="00196A93"/>
    <w:rsid w:val="00196A9D"/>
    <w:rsid w:val="00196B60"/>
    <w:rsid w:val="00196B93"/>
    <w:rsid w:val="00196BAD"/>
    <w:rsid w:val="00196C57"/>
    <w:rsid w:val="00196C8A"/>
    <w:rsid w:val="00196CD6"/>
    <w:rsid w:val="00196E1D"/>
    <w:rsid w:val="00196E54"/>
    <w:rsid w:val="00196E6D"/>
    <w:rsid w:val="00196EF1"/>
    <w:rsid w:val="00196EFB"/>
    <w:rsid w:val="00196FB7"/>
    <w:rsid w:val="0019703B"/>
    <w:rsid w:val="00197066"/>
    <w:rsid w:val="00197191"/>
    <w:rsid w:val="001971D9"/>
    <w:rsid w:val="00197232"/>
    <w:rsid w:val="00197287"/>
    <w:rsid w:val="0019731A"/>
    <w:rsid w:val="00197354"/>
    <w:rsid w:val="00197381"/>
    <w:rsid w:val="001973FE"/>
    <w:rsid w:val="00197426"/>
    <w:rsid w:val="001974CB"/>
    <w:rsid w:val="00197506"/>
    <w:rsid w:val="0019756D"/>
    <w:rsid w:val="0019757A"/>
    <w:rsid w:val="001975A6"/>
    <w:rsid w:val="0019762B"/>
    <w:rsid w:val="00197679"/>
    <w:rsid w:val="00197730"/>
    <w:rsid w:val="00197731"/>
    <w:rsid w:val="00197748"/>
    <w:rsid w:val="00197798"/>
    <w:rsid w:val="00197849"/>
    <w:rsid w:val="0019785C"/>
    <w:rsid w:val="00197882"/>
    <w:rsid w:val="001978D0"/>
    <w:rsid w:val="001978E9"/>
    <w:rsid w:val="001979BD"/>
    <w:rsid w:val="00197A5A"/>
    <w:rsid w:val="00197AF9"/>
    <w:rsid w:val="00197B63"/>
    <w:rsid w:val="00197B80"/>
    <w:rsid w:val="00197C55"/>
    <w:rsid w:val="00197C92"/>
    <w:rsid w:val="00197CA8"/>
    <w:rsid w:val="00197D3E"/>
    <w:rsid w:val="00197D43"/>
    <w:rsid w:val="00197E12"/>
    <w:rsid w:val="00197F92"/>
    <w:rsid w:val="001A014A"/>
    <w:rsid w:val="001A0181"/>
    <w:rsid w:val="001A01C9"/>
    <w:rsid w:val="001A027B"/>
    <w:rsid w:val="001A0433"/>
    <w:rsid w:val="001A0489"/>
    <w:rsid w:val="001A0593"/>
    <w:rsid w:val="001A05E0"/>
    <w:rsid w:val="001A0610"/>
    <w:rsid w:val="001A0689"/>
    <w:rsid w:val="001A0712"/>
    <w:rsid w:val="001A0729"/>
    <w:rsid w:val="001A0802"/>
    <w:rsid w:val="001A08AF"/>
    <w:rsid w:val="001A09AE"/>
    <w:rsid w:val="001A09B5"/>
    <w:rsid w:val="001A0AC1"/>
    <w:rsid w:val="001A0B3A"/>
    <w:rsid w:val="001A0BA3"/>
    <w:rsid w:val="001A0D4F"/>
    <w:rsid w:val="001A0D77"/>
    <w:rsid w:val="001A0F28"/>
    <w:rsid w:val="001A0F2C"/>
    <w:rsid w:val="001A0F69"/>
    <w:rsid w:val="001A0F70"/>
    <w:rsid w:val="001A0FAD"/>
    <w:rsid w:val="001A10AF"/>
    <w:rsid w:val="001A10C8"/>
    <w:rsid w:val="001A1124"/>
    <w:rsid w:val="001A1153"/>
    <w:rsid w:val="001A1190"/>
    <w:rsid w:val="001A126D"/>
    <w:rsid w:val="001A127E"/>
    <w:rsid w:val="001A12EA"/>
    <w:rsid w:val="001A1339"/>
    <w:rsid w:val="001A13D1"/>
    <w:rsid w:val="001A1441"/>
    <w:rsid w:val="001A1567"/>
    <w:rsid w:val="001A1672"/>
    <w:rsid w:val="001A16C0"/>
    <w:rsid w:val="001A16DB"/>
    <w:rsid w:val="001A189A"/>
    <w:rsid w:val="001A196A"/>
    <w:rsid w:val="001A19B9"/>
    <w:rsid w:val="001A1A1D"/>
    <w:rsid w:val="001A1A50"/>
    <w:rsid w:val="001A1BAE"/>
    <w:rsid w:val="001A1C7F"/>
    <w:rsid w:val="001A1CEE"/>
    <w:rsid w:val="001A1D51"/>
    <w:rsid w:val="001A1D63"/>
    <w:rsid w:val="001A1D91"/>
    <w:rsid w:val="001A1D95"/>
    <w:rsid w:val="001A1DCE"/>
    <w:rsid w:val="001A1E4B"/>
    <w:rsid w:val="001A1E99"/>
    <w:rsid w:val="001A2077"/>
    <w:rsid w:val="001A20F9"/>
    <w:rsid w:val="001A20FB"/>
    <w:rsid w:val="001A2218"/>
    <w:rsid w:val="001A22E1"/>
    <w:rsid w:val="001A2302"/>
    <w:rsid w:val="001A2369"/>
    <w:rsid w:val="001A2373"/>
    <w:rsid w:val="001A2379"/>
    <w:rsid w:val="001A2434"/>
    <w:rsid w:val="001A2537"/>
    <w:rsid w:val="001A2565"/>
    <w:rsid w:val="001A264F"/>
    <w:rsid w:val="001A28BC"/>
    <w:rsid w:val="001A28C1"/>
    <w:rsid w:val="001A2975"/>
    <w:rsid w:val="001A2998"/>
    <w:rsid w:val="001A2A9C"/>
    <w:rsid w:val="001A2ACD"/>
    <w:rsid w:val="001A2AEB"/>
    <w:rsid w:val="001A2B29"/>
    <w:rsid w:val="001A2B4E"/>
    <w:rsid w:val="001A2B81"/>
    <w:rsid w:val="001A2C0C"/>
    <w:rsid w:val="001A2C86"/>
    <w:rsid w:val="001A2C99"/>
    <w:rsid w:val="001A2D3E"/>
    <w:rsid w:val="001A2D77"/>
    <w:rsid w:val="001A2E0C"/>
    <w:rsid w:val="001A2E34"/>
    <w:rsid w:val="001A2EDB"/>
    <w:rsid w:val="001A2F0C"/>
    <w:rsid w:val="001A2F2B"/>
    <w:rsid w:val="001A2F6B"/>
    <w:rsid w:val="001A300F"/>
    <w:rsid w:val="001A303F"/>
    <w:rsid w:val="001A308B"/>
    <w:rsid w:val="001A31A4"/>
    <w:rsid w:val="001A327A"/>
    <w:rsid w:val="001A328E"/>
    <w:rsid w:val="001A333D"/>
    <w:rsid w:val="001A3357"/>
    <w:rsid w:val="001A353B"/>
    <w:rsid w:val="001A3554"/>
    <w:rsid w:val="001A363B"/>
    <w:rsid w:val="001A3687"/>
    <w:rsid w:val="001A3727"/>
    <w:rsid w:val="001A3791"/>
    <w:rsid w:val="001A37A2"/>
    <w:rsid w:val="001A3883"/>
    <w:rsid w:val="001A39BC"/>
    <w:rsid w:val="001A39E0"/>
    <w:rsid w:val="001A3A43"/>
    <w:rsid w:val="001A3A7A"/>
    <w:rsid w:val="001A3BD5"/>
    <w:rsid w:val="001A3C1C"/>
    <w:rsid w:val="001A3CB9"/>
    <w:rsid w:val="001A3D46"/>
    <w:rsid w:val="001A3F03"/>
    <w:rsid w:val="001A41FD"/>
    <w:rsid w:val="001A425E"/>
    <w:rsid w:val="001A4340"/>
    <w:rsid w:val="001A4372"/>
    <w:rsid w:val="001A44B9"/>
    <w:rsid w:val="001A450F"/>
    <w:rsid w:val="001A4594"/>
    <w:rsid w:val="001A459C"/>
    <w:rsid w:val="001A45C7"/>
    <w:rsid w:val="001A467F"/>
    <w:rsid w:val="001A4788"/>
    <w:rsid w:val="001A47F3"/>
    <w:rsid w:val="001A4812"/>
    <w:rsid w:val="001A48B7"/>
    <w:rsid w:val="001A48FF"/>
    <w:rsid w:val="001A4905"/>
    <w:rsid w:val="001A493D"/>
    <w:rsid w:val="001A494D"/>
    <w:rsid w:val="001A4951"/>
    <w:rsid w:val="001A4956"/>
    <w:rsid w:val="001A49B0"/>
    <w:rsid w:val="001A4A10"/>
    <w:rsid w:val="001A4A12"/>
    <w:rsid w:val="001A4A2A"/>
    <w:rsid w:val="001A4B43"/>
    <w:rsid w:val="001A4B67"/>
    <w:rsid w:val="001A4B7A"/>
    <w:rsid w:val="001A4CB0"/>
    <w:rsid w:val="001A4CE6"/>
    <w:rsid w:val="001A4D2F"/>
    <w:rsid w:val="001A4DB8"/>
    <w:rsid w:val="001A4E87"/>
    <w:rsid w:val="001A4EAF"/>
    <w:rsid w:val="001A4F3C"/>
    <w:rsid w:val="001A50F9"/>
    <w:rsid w:val="001A515F"/>
    <w:rsid w:val="001A5299"/>
    <w:rsid w:val="001A52CB"/>
    <w:rsid w:val="001A5303"/>
    <w:rsid w:val="001A5429"/>
    <w:rsid w:val="001A5458"/>
    <w:rsid w:val="001A5487"/>
    <w:rsid w:val="001A54B8"/>
    <w:rsid w:val="001A54CB"/>
    <w:rsid w:val="001A5523"/>
    <w:rsid w:val="001A56B4"/>
    <w:rsid w:val="001A5749"/>
    <w:rsid w:val="001A578E"/>
    <w:rsid w:val="001A5821"/>
    <w:rsid w:val="001A586B"/>
    <w:rsid w:val="001A5A45"/>
    <w:rsid w:val="001A5A83"/>
    <w:rsid w:val="001A5B0E"/>
    <w:rsid w:val="001A5BAC"/>
    <w:rsid w:val="001A5BF9"/>
    <w:rsid w:val="001A5C53"/>
    <w:rsid w:val="001A5CB2"/>
    <w:rsid w:val="001A5CD4"/>
    <w:rsid w:val="001A5CEB"/>
    <w:rsid w:val="001A5D45"/>
    <w:rsid w:val="001A5D84"/>
    <w:rsid w:val="001A5DB2"/>
    <w:rsid w:val="001A5DE7"/>
    <w:rsid w:val="001A5E03"/>
    <w:rsid w:val="001A5E37"/>
    <w:rsid w:val="001A5E9D"/>
    <w:rsid w:val="001A5ED9"/>
    <w:rsid w:val="001A5F21"/>
    <w:rsid w:val="001A5F51"/>
    <w:rsid w:val="001A5FE8"/>
    <w:rsid w:val="001A602D"/>
    <w:rsid w:val="001A6041"/>
    <w:rsid w:val="001A621F"/>
    <w:rsid w:val="001A6278"/>
    <w:rsid w:val="001A62B3"/>
    <w:rsid w:val="001A62FA"/>
    <w:rsid w:val="001A6346"/>
    <w:rsid w:val="001A637F"/>
    <w:rsid w:val="001A63CC"/>
    <w:rsid w:val="001A63E3"/>
    <w:rsid w:val="001A63EF"/>
    <w:rsid w:val="001A6567"/>
    <w:rsid w:val="001A65B4"/>
    <w:rsid w:val="001A65C9"/>
    <w:rsid w:val="001A6607"/>
    <w:rsid w:val="001A6619"/>
    <w:rsid w:val="001A66C1"/>
    <w:rsid w:val="001A67F8"/>
    <w:rsid w:val="001A68BF"/>
    <w:rsid w:val="001A6A55"/>
    <w:rsid w:val="001A6ADA"/>
    <w:rsid w:val="001A6B39"/>
    <w:rsid w:val="001A6B5C"/>
    <w:rsid w:val="001A6B9A"/>
    <w:rsid w:val="001A6C19"/>
    <w:rsid w:val="001A6C25"/>
    <w:rsid w:val="001A6C2C"/>
    <w:rsid w:val="001A6C7F"/>
    <w:rsid w:val="001A6C94"/>
    <w:rsid w:val="001A6D16"/>
    <w:rsid w:val="001A6DD5"/>
    <w:rsid w:val="001A6E6B"/>
    <w:rsid w:val="001A6EF5"/>
    <w:rsid w:val="001A6F77"/>
    <w:rsid w:val="001A70BE"/>
    <w:rsid w:val="001A71CF"/>
    <w:rsid w:val="001A73E8"/>
    <w:rsid w:val="001A7440"/>
    <w:rsid w:val="001A756C"/>
    <w:rsid w:val="001A7776"/>
    <w:rsid w:val="001A77FB"/>
    <w:rsid w:val="001A7889"/>
    <w:rsid w:val="001A78E8"/>
    <w:rsid w:val="001A7926"/>
    <w:rsid w:val="001A79E9"/>
    <w:rsid w:val="001A79FC"/>
    <w:rsid w:val="001A7A34"/>
    <w:rsid w:val="001A7AC7"/>
    <w:rsid w:val="001A7BD2"/>
    <w:rsid w:val="001A7C1C"/>
    <w:rsid w:val="001A7C72"/>
    <w:rsid w:val="001A7CD8"/>
    <w:rsid w:val="001A7CE7"/>
    <w:rsid w:val="001A7D0A"/>
    <w:rsid w:val="001A7D6E"/>
    <w:rsid w:val="001A7E3F"/>
    <w:rsid w:val="001A7E6D"/>
    <w:rsid w:val="001A7E7E"/>
    <w:rsid w:val="001A7EFE"/>
    <w:rsid w:val="001A7FDC"/>
    <w:rsid w:val="001B00FE"/>
    <w:rsid w:val="001B0220"/>
    <w:rsid w:val="001B02A0"/>
    <w:rsid w:val="001B02DC"/>
    <w:rsid w:val="001B0361"/>
    <w:rsid w:val="001B03B3"/>
    <w:rsid w:val="001B04E4"/>
    <w:rsid w:val="001B05BC"/>
    <w:rsid w:val="001B0609"/>
    <w:rsid w:val="001B0680"/>
    <w:rsid w:val="001B0769"/>
    <w:rsid w:val="001B0891"/>
    <w:rsid w:val="001B089B"/>
    <w:rsid w:val="001B0925"/>
    <w:rsid w:val="001B09A8"/>
    <w:rsid w:val="001B09C5"/>
    <w:rsid w:val="001B0C37"/>
    <w:rsid w:val="001B0CAF"/>
    <w:rsid w:val="001B0CD6"/>
    <w:rsid w:val="001B0D02"/>
    <w:rsid w:val="001B0D6A"/>
    <w:rsid w:val="001B0DF2"/>
    <w:rsid w:val="001B0E54"/>
    <w:rsid w:val="001B0EC6"/>
    <w:rsid w:val="001B0F98"/>
    <w:rsid w:val="001B0FD3"/>
    <w:rsid w:val="001B101A"/>
    <w:rsid w:val="001B102F"/>
    <w:rsid w:val="001B105D"/>
    <w:rsid w:val="001B10A8"/>
    <w:rsid w:val="001B1116"/>
    <w:rsid w:val="001B1180"/>
    <w:rsid w:val="001B11F1"/>
    <w:rsid w:val="001B12D9"/>
    <w:rsid w:val="001B12EA"/>
    <w:rsid w:val="001B13EC"/>
    <w:rsid w:val="001B1470"/>
    <w:rsid w:val="001B14C5"/>
    <w:rsid w:val="001B14DD"/>
    <w:rsid w:val="001B1505"/>
    <w:rsid w:val="001B1539"/>
    <w:rsid w:val="001B1658"/>
    <w:rsid w:val="001B16CD"/>
    <w:rsid w:val="001B16EE"/>
    <w:rsid w:val="001B1762"/>
    <w:rsid w:val="001B17AC"/>
    <w:rsid w:val="001B17CB"/>
    <w:rsid w:val="001B18C8"/>
    <w:rsid w:val="001B18FB"/>
    <w:rsid w:val="001B1C83"/>
    <w:rsid w:val="001B1CF7"/>
    <w:rsid w:val="001B1DB0"/>
    <w:rsid w:val="001B1E32"/>
    <w:rsid w:val="001B1E87"/>
    <w:rsid w:val="001B1EB9"/>
    <w:rsid w:val="001B1F79"/>
    <w:rsid w:val="001B1F88"/>
    <w:rsid w:val="001B1FB1"/>
    <w:rsid w:val="001B1FF6"/>
    <w:rsid w:val="001B2079"/>
    <w:rsid w:val="001B20CB"/>
    <w:rsid w:val="001B210C"/>
    <w:rsid w:val="001B2143"/>
    <w:rsid w:val="001B2187"/>
    <w:rsid w:val="001B22C8"/>
    <w:rsid w:val="001B2306"/>
    <w:rsid w:val="001B23D8"/>
    <w:rsid w:val="001B2488"/>
    <w:rsid w:val="001B24AA"/>
    <w:rsid w:val="001B2592"/>
    <w:rsid w:val="001B25FF"/>
    <w:rsid w:val="001B2612"/>
    <w:rsid w:val="001B2696"/>
    <w:rsid w:val="001B26AE"/>
    <w:rsid w:val="001B26F0"/>
    <w:rsid w:val="001B2793"/>
    <w:rsid w:val="001B282A"/>
    <w:rsid w:val="001B297D"/>
    <w:rsid w:val="001B2999"/>
    <w:rsid w:val="001B29C3"/>
    <w:rsid w:val="001B2AA3"/>
    <w:rsid w:val="001B2AA4"/>
    <w:rsid w:val="001B2AAA"/>
    <w:rsid w:val="001B2B1F"/>
    <w:rsid w:val="001B2B34"/>
    <w:rsid w:val="001B2B67"/>
    <w:rsid w:val="001B2BE6"/>
    <w:rsid w:val="001B2BF3"/>
    <w:rsid w:val="001B2C1E"/>
    <w:rsid w:val="001B3038"/>
    <w:rsid w:val="001B3043"/>
    <w:rsid w:val="001B3073"/>
    <w:rsid w:val="001B309B"/>
    <w:rsid w:val="001B30CF"/>
    <w:rsid w:val="001B3165"/>
    <w:rsid w:val="001B32EF"/>
    <w:rsid w:val="001B3386"/>
    <w:rsid w:val="001B33DC"/>
    <w:rsid w:val="001B341E"/>
    <w:rsid w:val="001B34C3"/>
    <w:rsid w:val="001B34EC"/>
    <w:rsid w:val="001B34FA"/>
    <w:rsid w:val="001B3546"/>
    <w:rsid w:val="001B3588"/>
    <w:rsid w:val="001B35BA"/>
    <w:rsid w:val="001B363F"/>
    <w:rsid w:val="001B3666"/>
    <w:rsid w:val="001B37BA"/>
    <w:rsid w:val="001B3855"/>
    <w:rsid w:val="001B3860"/>
    <w:rsid w:val="001B38B3"/>
    <w:rsid w:val="001B38C3"/>
    <w:rsid w:val="001B3939"/>
    <w:rsid w:val="001B3983"/>
    <w:rsid w:val="001B3AED"/>
    <w:rsid w:val="001B3B44"/>
    <w:rsid w:val="001B3B83"/>
    <w:rsid w:val="001B3CAA"/>
    <w:rsid w:val="001B3CCE"/>
    <w:rsid w:val="001B3D0B"/>
    <w:rsid w:val="001B3D59"/>
    <w:rsid w:val="001B3F11"/>
    <w:rsid w:val="001B3F46"/>
    <w:rsid w:val="001B3F5B"/>
    <w:rsid w:val="001B3F72"/>
    <w:rsid w:val="001B40F6"/>
    <w:rsid w:val="001B415E"/>
    <w:rsid w:val="001B41E2"/>
    <w:rsid w:val="001B43CD"/>
    <w:rsid w:val="001B43FA"/>
    <w:rsid w:val="001B44D3"/>
    <w:rsid w:val="001B44F7"/>
    <w:rsid w:val="001B44F8"/>
    <w:rsid w:val="001B4630"/>
    <w:rsid w:val="001B46CE"/>
    <w:rsid w:val="001B4727"/>
    <w:rsid w:val="001B475B"/>
    <w:rsid w:val="001B476D"/>
    <w:rsid w:val="001B47B4"/>
    <w:rsid w:val="001B493B"/>
    <w:rsid w:val="001B497F"/>
    <w:rsid w:val="001B4980"/>
    <w:rsid w:val="001B4A61"/>
    <w:rsid w:val="001B4ADE"/>
    <w:rsid w:val="001B4B05"/>
    <w:rsid w:val="001B4B6B"/>
    <w:rsid w:val="001B4C00"/>
    <w:rsid w:val="001B4C25"/>
    <w:rsid w:val="001B4C4F"/>
    <w:rsid w:val="001B4E5A"/>
    <w:rsid w:val="001B4E77"/>
    <w:rsid w:val="001B4EF5"/>
    <w:rsid w:val="001B4F73"/>
    <w:rsid w:val="001B4FBA"/>
    <w:rsid w:val="001B4FD4"/>
    <w:rsid w:val="001B5028"/>
    <w:rsid w:val="001B5078"/>
    <w:rsid w:val="001B5109"/>
    <w:rsid w:val="001B526D"/>
    <w:rsid w:val="001B532D"/>
    <w:rsid w:val="001B5427"/>
    <w:rsid w:val="001B5575"/>
    <w:rsid w:val="001B55FE"/>
    <w:rsid w:val="001B564C"/>
    <w:rsid w:val="001B564D"/>
    <w:rsid w:val="001B5657"/>
    <w:rsid w:val="001B566D"/>
    <w:rsid w:val="001B5780"/>
    <w:rsid w:val="001B582D"/>
    <w:rsid w:val="001B588D"/>
    <w:rsid w:val="001B58C2"/>
    <w:rsid w:val="001B593E"/>
    <w:rsid w:val="001B5A54"/>
    <w:rsid w:val="001B5BE6"/>
    <w:rsid w:val="001B5C42"/>
    <w:rsid w:val="001B5D0B"/>
    <w:rsid w:val="001B5D79"/>
    <w:rsid w:val="001B5DA2"/>
    <w:rsid w:val="001B5E30"/>
    <w:rsid w:val="001B5E40"/>
    <w:rsid w:val="001B5E84"/>
    <w:rsid w:val="001B5EC6"/>
    <w:rsid w:val="001B5EF9"/>
    <w:rsid w:val="001B5F72"/>
    <w:rsid w:val="001B5F92"/>
    <w:rsid w:val="001B610D"/>
    <w:rsid w:val="001B6122"/>
    <w:rsid w:val="001B618C"/>
    <w:rsid w:val="001B619C"/>
    <w:rsid w:val="001B61BC"/>
    <w:rsid w:val="001B61DF"/>
    <w:rsid w:val="001B62DC"/>
    <w:rsid w:val="001B6304"/>
    <w:rsid w:val="001B638E"/>
    <w:rsid w:val="001B63B7"/>
    <w:rsid w:val="001B640D"/>
    <w:rsid w:val="001B64EF"/>
    <w:rsid w:val="001B6573"/>
    <w:rsid w:val="001B6645"/>
    <w:rsid w:val="001B66D4"/>
    <w:rsid w:val="001B68B1"/>
    <w:rsid w:val="001B696F"/>
    <w:rsid w:val="001B69AE"/>
    <w:rsid w:val="001B6A67"/>
    <w:rsid w:val="001B6AEB"/>
    <w:rsid w:val="001B6B52"/>
    <w:rsid w:val="001B6C36"/>
    <w:rsid w:val="001B6CA1"/>
    <w:rsid w:val="001B6CD5"/>
    <w:rsid w:val="001B6CFA"/>
    <w:rsid w:val="001B6D41"/>
    <w:rsid w:val="001B6E50"/>
    <w:rsid w:val="001B6F6D"/>
    <w:rsid w:val="001B6F86"/>
    <w:rsid w:val="001B6FE9"/>
    <w:rsid w:val="001B6FF2"/>
    <w:rsid w:val="001B709B"/>
    <w:rsid w:val="001B70A5"/>
    <w:rsid w:val="001B729D"/>
    <w:rsid w:val="001B730F"/>
    <w:rsid w:val="001B7329"/>
    <w:rsid w:val="001B7481"/>
    <w:rsid w:val="001B74E4"/>
    <w:rsid w:val="001B7509"/>
    <w:rsid w:val="001B7576"/>
    <w:rsid w:val="001B761B"/>
    <w:rsid w:val="001B7695"/>
    <w:rsid w:val="001B76AB"/>
    <w:rsid w:val="001B76AC"/>
    <w:rsid w:val="001B76FD"/>
    <w:rsid w:val="001B7701"/>
    <w:rsid w:val="001B772D"/>
    <w:rsid w:val="001B77DF"/>
    <w:rsid w:val="001B77F6"/>
    <w:rsid w:val="001B7846"/>
    <w:rsid w:val="001B784C"/>
    <w:rsid w:val="001B785F"/>
    <w:rsid w:val="001B786C"/>
    <w:rsid w:val="001B78AE"/>
    <w:rsid w:val="001B78DF"/>
    <w:rsid w:val="001B797C"/>
    <w:rsid w:val="001B7985"/>
    <w:rsid w:val="001B798E"/>
    <w:rsid w:val="001B79F0"/>
    <w:rsid w:val="001B7A4B"/>
    <w:rsid w:val="001B7A60"/>
    <w:rsid w:val="001B7A95"/>
    <w:rsid w:val="001B7A9B"/>
    <w:rsid w:val="001B7B76"/>
    <w:rsid w:val="001B7BA1"/>
    <w:rsid w:val="001B7BBB"/>
    <w:rsid w:val="001B7BCC"/>
    <w:rsid w:val="001B7CF9"/>
    <w:rsid w:val="001B7D27"/>
    <w:rsid w:val="001B7D3D"/>
    <w:rsid w:val="001B7E03"/>
    <w:rsid w:val="001B7E21"/>
    <w:rsid w:val="001B7E59"/>
    <w:rsid w:val="001B7F9E"/>
    <w:rsid w:val="001B7FED"/>
    <w:rsid w:val="001C0013"/>
    <w:rsid w:val="001C0023"/>
    <w:rsid w:val="001C0134"/>
    <w:rsid w:val="001C013F"/>
    <w:rsid w:val="001C0252"/>
    <w:rsid w:val="001C0272"/>
    <w:rsid w:val="001C03A4"/>
    <w:rsid w:val="001C048D"/>
    <w:rsid w:val="001C0501"/>
    <w:rsid w:val="001C058C"/>
    <w:rsid w:val="001C05BF"/>
    <w:rsid w:val="001C0777"/>
    <w:rsid w:val="001C077E"/>
    <w:rsid w:val="001C0790"/>
    <w:rsid w:val="001C0797"/>
    <w:rsid w:val="001C07B3"/>
    <w:rsid w:val="001C07DE"/>
    <w:rsid w:val="001C0910"/>
    <w:rsid w:val="001C0994"/>
    <w:rsid w:val="001C09D4"/>
    <w:rsid w:val="001C0A25"/>
    <w:rsid w:val="001C0A46"/>
    <w:rsid w:val="001C0A78"/>
    <w:rsid w:val="001C0ABB"/>
    <w:rsid w:val="001C0AF3"/>
    <w:rsid w:val="001C0B32"/>
    <w:rsid w:val="001C0B4C"/>
    <w:rsid w:val="001C0B68"/>
    <w:rsid w:val="001C0CA2"/>
    <w:rsid w:val="001C0D1D"/>
    <w:rsid w:val="001C0E23"/>
    <w:rsid w:val="001C0E84"/>
    <w:rsid w:val="001C0EC4"/>
    <w:rsid w:val="001C0ED4"/>
    <w:rsid w:val="001C0F03"/>
    <w:rsid w:val="001C0F7C"/>
    <w:rsid w:val="001C0F85"/>
    <w:rsid w:val="001C1126"/>
    <w:rsid w:val="001C11FF"/>
    <w:rsid w:val="001C138F"/>
    <w:rsid w:val="001C13B5"/>
    <w:rsid w:val="001C144E"/>
    <w:rsid w:val="001C1532"/>
    <w:rsid w:val="001C160B"/>
    <w:rsid w:val="001C1684"/>
    <w:rsid w:val="001C168B"/>
    <w:rsid w:val="001C16BC"/>
    <w:rsid w:val="001C16E8"/>
    <w:rsid w:val="001C1712"/>
    <w:rsid w:val="001C1811"/>
    <w:rsid w:val="001C1842"/>
    <w:rsid w:val="001C1891"/>
    <w:rsid w:val="001C1A56"/>
    <w:rsid w:val="001C1B05"/>
    <w:rsid w:val="001C1BA5"/>
    <w:rsid w:val="001C1C78"/>
    <w:rsid w:val="001C1CA9"/>
    <w:rsid w:val="001C1CAA"/>
    <w:rsid w:val="001C1D9C"/>
    <w:rsid w:val="001C1F30"/>
    <w:rsid w:val="001C1F61"/>
    <w:rsid w:val="001C1FF1"/>
    <w:rsid w:val="001C1FFD"/>
    <w:rsid w:val="001C2355"/>
    <w:rsid w:val="001C2360"/>
    <w:rsid w:val="001C23B3"/>
    <w:rsid w:val="001C23E5"/>
    <w:rsid w:val="001C23FD"/>
    <w:rsid w:val="001C256D"/>
    <w:rsid w:val="001C264E"/>
    <w:rsid w:val="001C2735"/>
    <w:rsid w:val="001C27EF"/>
    <w:rsid w:val="001C284B"/>
    <w:rsid w:val="001C2901"/>
    <w:rsid w:val="001C2903"/>
    <w:rsid w:val="001C2913"/>
    <w:rsid w:val="001C29D6"/>
    <w:rsid w:val="001C2A33"/>
    <w:rsid w:val="001C2A64"/>
    <w:rsid w:val="001C2A65"/>
    <w:rsid w:val="001C2A7A"/>
    <w:rsid w:val="001C2A8A"/>
    <w:rsid w:val="001C2AF0"/>
    <w:rsid w:val="001C2B1E"/>
    <w:rsid w:val="001C2B65"/>
    <w:rsid w:val="001C2BD0"/>
    <w:rsid w:val="001C2C42"/>
    <w:rsid w:val="001C2C60"/>
    <w:rsid w:val="001C2D47"/>
    <w:rsid w:val="001C2D6D"/>
    <w:rsid w:val="001C2DB4"/>
    <w:rsid w:val="001C2E1A"/>
    <w:rsid w:val="001C2E8D"/>
    <w:rsid w:val="001C2EAB"/>
    <w:rsid w:val="001C2ECD"/>
    <w:rsid w:val="001C2ECE"/>
    <w:rsid w:val="001C2ED8"/>
    <w:rsid w:val="001C2F29"/>
    <w:rsid w:val="001C3027"/>
    <w:rsid w:val="001C304F"/>
    <w:rsid w:val="001C30BE"/>
    <w:rsid w:val="001C30DF"/>
    <w:rsid w:val="001C3166"/>
    <w:rsid w:val="001C31A7"/>
    <w:rsid w:val="001C31AE"/>
    <w:rsid w:val="001C32DC"/>
    <w:rsid w:val="001C3309"/>
    <w:rsid w:val="001C33D7"/>
    <w:rsid w:val="001C344B"/>
    <w:rsid w:val="001C3491"/>
    <w:rsid w:val="001C34D5"/>
    <w:rsid w:val="001C35DD"/>
    <w:rsid w:val="001C35E3"/>
    <w:rsid w:val="001C3748"/>
    <w:rsid w:val="001C3749"/>
    <w:rsid w:val="001C37B2"/>
    <w:rsid w:val="001C38C6"/>
    <w:rsid w:val="001C39D7"/>
    <w:rsid w:val="001C39E9"/>
    <w:rsid w:val="001C3A93"/>
    <w:rsid w:val="001C3B3B"/>
    <w:rsid w:val="001C3C59"/>
    <w:rsid w:val="001C3CAE"/>
    <w:rsid w:val="001C3CC8"/>
    <w:rsid w:val="001C3CFE"/>
    <w:rsid w:val="001C3D5B"/>
    <w:rsid w:val="001C3D77"/>
    <w:rsid w:val="001C3DCC"/>
    <w:rsid w:val="001C3E8D"/>
    <w:rsid w:val="001C4005"/>
    <w:rsid w:val="001C4057"/>
    <w:rsid w:val="001C4082"/>
    <w:rsid w:val="001C40A0"/>
    <w:rsid w:val="001C40C9"/>
    <w:rsid w:val="001C4123"/>
    <w:rsid w:val="001C41D1"/>
    <w:rsid w:val="001C4377"/>
    <w:rsid w:val="001C43A2"/>
    <w:rsid w:val="001C4410"/>
    <w:rsid w:val="001C443C"/>
    <w:rsid w:val="001C4469"/>
    <w:rsid w:val="001C446E"/>
    <w:rsid w:val="001C4478"/>
    <w:rsid w:val="001C44C5"/>
    <w:rsid w:val="001C4528"/>
    <w:rsid w:val="001C4638"/>
    <w:rsid w:val="001C46F4"/>
    <w:rsid w:val="001C4705"/>
    <w:rsid w:val="001C47B9"/>
    <w:rsid w:val="001C47E3"/>
    <w:rsid w:val="001C47FE"/>
    <w:rsid w:val="001C48A9"/>
    <w:rsid w:val="001C48AF"/>
    <w:rsid w:val="001C48CB"/>
    <w:rsid w:val="001C49A8"/>
    <w:rsid w:val="001C4AA0"/>
    <w:rsid w:val="001C4AD7"/>
    <w:rsid w:val="001C4AE3"/>
    <w:rsid w:val="001C4B8A"/>
    <w:rsid w:val="001C4BBB"/>
    <w:rsid w:val="001C4C07"/>
    <w:rsid w:val="001C4DA3"/>
    <w:rsid w:val="001C4DE7"/>
    <w:rsid w:val="001C4E1D"/>
    <w:rsid w:val="001C4F53"/>
    <w:rsid w:val="001C4FCB"/>
    <w:rsid w:val="001C5022"/>
    <w:rsid w:val="001C5030"/>
    <w:rsid w:val="001C503F"/>
    <w:rsid w:val="001C5096"/>
    <w:rsid w:val="001C50BE"/>
    <w:rsid w:val="001C5242"/>
    <w:rsid w:val="001C54BA"/>
    <w:rsid w:val="001C54CD"/>
    <w:rsid w:val="001C553B"/>
    <w:rsid w:val="001C55C5"/>
    <w:rsid w:val="001C5630"/>
    <w:rsid w:val="001C5640"/>
    <w:rsid w:val="001C5708"/>
    <w:rsid w:val="001C5851"/>
    <w:rsid w:val="001C5877"/>
    <w:rsid w:val="001C5934"/>
    <w:rsid w:val="001C5961"/>
    <w:rsid w:val="001C59B6"/>
    <w:rsid w:val="001C5A0A"/>
    <w:rsid w:val="001C5A5A"/>
    <w:rsid w:val="001C5A7D"/>
    <w:rsid w:val="001C5AAA"/>
    <w:rsid w:val="001C5B8C"/>
    <w:rsid w:val="001C5C19"/>
    <w:rsid w:val="001C5D28"/>
    <w:rsid w:val="001C5E11"/>
    <w:rsid w:val="001C5EC2"/>
    <w:rsid w:val="001C5EE1"/>
    <w:rsid w:val="001C5EFB"/>
    <w:rsid w:val="001C5F03"/>
    <w:rsid w:val="001C5F22"/>
    <w:rsid w:val="001C6082"/>
    <w:rsid w:val="001C6161"/>
    <w:rsid w:val="001C62C0"/>
    <w:rsid w:val="001C62F0"/>
    <w:rsid w:val="001C6327"/>
    <w:rsid w:val="001C636E"/>
    <w:rsid w:val="001C63B4"/>
    <w:rsid w:val="001C6461"/>
    <w:rsid w:val="001C6478"/>
    <w:rsid w:val="001C64DA"/>
    <w:rsid w:val="001C6551"/>
    <w:rsid w:val="001C65B2"/>
    <w:rsid w:val="001C65C2"/>
    <w:rsid w:val="001C6612"/>
    <w:rsid w:val="001C678C"/>
    <w:rsid w:val="001C67EE"/>
    <w:rsid w:val="001C6826"/>
    <w:rsid w:val="001C6840"/>
    <w:rsid w:val="001C6896"/>
    <w:rsid w:val="001C6970"/>
    <w:rsid w:val="001C6A06"/>
    <w:rsid w:val="001C6A12"/>
    <w:rsid w:val="001C6A4A"/>
    <w:rsid w:val="001C6AA6"/>
    <w:rsid w:val="001C6B1B"/>
    <w:rsid w:val="001C6B20"/>
    <w:rsid w:val="001C6C3F"/>
    <w:rsid w:val="001C6C46"/>
    <w:rsid w:val="001C6DAF"/>
    <w:rsid w:val="001C6DD4"/>
    <w:rsid w:val="001C6E7A"/>
    <w:rsid w:val="001C6E8F"/>
    <w:rsid w:val="001C6ECF"/>
    <w:rsid w:val="001C6F69"/>
    <w:rsid w:val="001C70B8"/>
    <w:rsid w:val="001C7239"/>
    <w:rsid w:val="001C735D"/>
    <w:rsid w:val="001C73CA"/>
    <w:rsid w:val="001C73D2"/>
    <w:rsid w:val="001C7402"/>
    <w:rsid w:val="001C7580"/>
    <w:rsid w:val="001C7666"/>
    <w:rsid w:val="001C7767"/>
    <w:rsid w:val="001C7815"/>
    <w:rsid w:val="001C7835"/>
    <w:rsid w:val="001C7969"/>
    <w:rsid w:val="001C7A7A"/>
    <w:rsid w:val="001C7AA4"/>
    <w:rsid w:val="001C7B5A"/>
    <w:rsid w:val="001C7B96"/>
    <w:rsid w:val="001C7BF6"/>
    <w:rsid w:val="001C7C1D"/>
    <w:rsid w:val="001C7C85"/>
    <w:rsid w:val="001C7CFC"/>
    <w:rsid w:val="001C7CFF"/>
    <w:rsid w:val="001C7D59"/>
    <w:rsid w:val="001C7E58"/>
    <w:rsid w:val="001C7E66"/>
    <w:rsid w:val="001C7E69"/>
    <w:rsid w:val="001C7E70"/>
    <w:rsid w:val="001C7E9A"/>
    <w:rsid w:val="001C7EAB"/>
    <w:rsid w:val="001C7F07"/>
    <w:rsid w:val="001C7F10"/>
    <w:rsid w:val="001C7FB2"/>
    <w:rsid w:val="001D0095"/>
    <w:rsid w:val="001D014B"/>
    <w:rsid w:val="001D01F4"/>
    <w:rsid w:val="001D0243"/>
    <w:rsid w:val="001D0246"/>
    <w:rsid w:val="001D0306"/>
    <w:rsid w:val="001D0347"/>
    <w:rsid w:val="001D03C6"/>
    <w:rsid w:val="001D03CE"/>
    <w:rsid w:val="001D0446"/>
    <w:rsid w:val="001D04F0"/>
    <w:rsid w:val="001D0517"/>
    <w:rsid w:val="001D051E"/>
    <w:rsid w:val="001D0576"/>
    <w:rsid w:val="001D0651"/>
    <w:rsid w:val="001D0692"/>
    <w:rsid w:val="001D0849"/>
    <w:rsid w:val="001D097C"/>
    <w:rsid w:val="001D09A1"/>
    <w:rsid w:val="001D0A88"/>
    <w:rsid w:val="001D0AC1"/>
    <w:rsid w:val="001D0B8E"/>
    <w:rsid w:val="001D0B94"/>
    <w:rsid w:val="001D0C10"/>
    <w:rsid w:val="001D0C5E"/>
    <w:rsid w:val="001D0C5F"/>
    <w:rsid w:val="001D0D71"/>
    <w:rsid w:val="001D0ED8"/>
    <w:rsid w:val="001D0F1E"/>
    <w:rsid w:val="001D0F27"/>
    <w:rsid w:val="001D0F93"/>
    <w:rsid w:val="001D10FA"/>
    <w:rsid w:val="001D110A"/>
    <w:rsid w:val="001D11DD"/>
    <w:rsid w:val="001D1267"/>
    <w:rsid w:val="001D12A0"/>
    <w:rsid w:val="001D1302"/>
    <w:rsid w:val="001D132E"/>
    <w:rsid w:val="001D135B"/>
    <w:rsid w:val="001D1470"/>
    <w:rsid w:val="001D14AF"/>
    <w:rsid w:val="001D14F3"/>
    <w:rsid w:val="001D1546"/>
    <w:rsid w:val="001D1652"/>
    <w:rsid w:val="001D173A"/>
    <w:rsid w:val="001D175C"/>
    <w:rsid w:val="001D1788"/>
    <w:rsid w:val="001D17F3"/>
    <w:rsid w:val="001D18B1"/>
    <w:rsid w:val="001D18C9"/>
    <w:rsid w:val="001D18DF"/>
    <w:rsid w:val="001D192E"/>
    <w:rsid w:val="001D19C0"/>
    <w:rsid w:val="001D19D6"/>
    <w:rsid w:val="001D1A7E"/>
    <w:rsid w:val="001D1A99"/>
    <w:rsid w:val="001D1B1B"/>
    <w:rsid w:val="001D1DB9"/>
    <w:rsid w:val="001D1DC5"/>
    <w:rsid w:val="001D1EBB"/>
    <w:rsid w:val="001D1F10"/>
    <w:rsid w:val="001D1F99"/>
    <w:rsid w:val="001D2000"/>
    <w:rsid w:val="001D20C0"/>
    <w:rsid w:val="001D211F"/>
    <w:rsid w:val="001D2171"/>
    <w:rsid w:val="001D218F"/>
    <w:rsid w:val="001D21C9"/>
    <w:rsid w:val="001D21EC"/>
    <w:rsid w:val="001D2216"/>
    <w:rsid w:val="001D2233"/>
    <w:rsid w:val="001D2308"/>
    <w:rsid w:val="001D23A2"/>
    <w:rsid w:val="001D2412"/>
    <w:rsid w:val="001D2424"/>
    <w:rsid w:val="001D24F6"/>
    <w:rsid w:val="001D2519"/>
    <w:rsid w:val="001D252D"/>
    <w:rsid w:val="001D2549"/>
    <w:rsid w:val="001D25D3"/>
    <w:rsid w:val="001D2603"/>
    <w:rsid w:val="001D26E6"/>
    <w:rsid w:val="001D26F3"/>
    <w:rsid w:val="001D2780"/>
    <w:rsid w:val="001D281D"/>
    <w:rsid w:val="001D289C"/>
    <w:rsid w:val="001D28B6"/>
    <w:rsid w:val="001D28E8"/>
    <w:rsid w:val="001D2900"/>
    <w:rsid w:val="001D291A"/>
    <w:rsid w:val="001D291C"/>
    <w:rsid w:val="001D2935"/>
    <w:rsid w:val="001D29DB"/>
    <w:rsid w:val="001D29F8"/>
    <w:rsid w:val="001D2A40"/>
    <w:rsid w:val="001D2A62"/>
    <w:rsid w:val="001D2BC2"/>
    <w:rsid w:val="001D2D67"/>
    <w:rsid w:val="001D2D6D"/>
    <w:rsid w:val="001D2DC8"/>
    <w:rsid w:val="001D2DF3"/>
    <w:rsid w:val="001D2E1D"/>
    <w:rsid w:val="001D2FAB"/>
    <w:rsid w:val="001D2FED"/>
    <w:rsid w:val="001D3023"/>
    <w:rsid w:val="001D319C"/>
    <w:rsid w:val="001D31EE"/>
    <w:rsid w:val="001D33A4"/>
    <w:rsid w:val="001D3474"/>
    <w:rsid w:val="001D34CA"/>
    <w:rsid w:val="001D3556"/>
    <w:rsid w:val="001D3567"/>
    <w:rsid w:val="001D35CB"/>
    <w:rsid w:val="001D3634"/>
    <w:rsid w:val="001D364B"/>
    <w:rsid w:val="001D3673"/>
    <w:rsid w:val="001D388A"/>
    <w:rsid w:val="001D3921"/>
    <w:rsid w:val="001D3AD0"/>
    <w:rsid w:val="001D3ADD"/>
    <w:rsid w:val="001D3BB6"/>
    <w:rsid w:val="001D3C3D"/>
    <w:rsid w:val="001D3C6D"/>
    <w:rsid w:val="001D3C6E"/>
    <w:rsid w:val="001D3D1F"/>
    <w:rsid w:val="001D3D22"/>
    <w:rsid w:val="001D3DBB"/>
    <w:rsid w:val="001D3E17"/>
    <w:rsid w:val="001D3E42"/>
    <w:rsid w:val="001D3E67"/>
    <w:rsid w:val="001D3EF7"/>
    <w:rsid w:val="001D4044"/>
    <w:rsid w:val="001D4050"/>
    <w:rsid w:val="001D41CC"/>
    <w:rsid w:val="001D41EF"/>
    <w:rsid w:val="001D43C8"/>
    <w:rsid w:val="001D4508"/>
    <w:rsid w:val="001D4556"/>
    <w:rsid w:val="001D4590"/>
    <w:rsid w:val="001D45BE"/>
    <w:rsid w:val="001D45F0"/>
    <w:rsid w:val="001D4665"/>
    <w:rsid w:val="001D475D"/>
    <w:rsid w:val="001D482D"/>
    <w:rsid w:val="001D4835"/>
    <w:rsid w:val="001D4900"/>
    <w:rsid w:val="001D4964"/>
    <w:rsid w:val="001D4A53"/>
    <w:rsid w:val="001D4A5B"/>
    <w:rsid w:val="001D4A80"/>
    <w:rsid w:val="001D4B07"/>
    <w:rsid w:val="001D4BA3"/>
    <w:rsid w:val="001D4BBB"/>
    <w:rsid w:val="001D4BED"/>
    <w:rsid w:val="001D4BF4"/>
    <w:rsid w:val="001D4C2A"/>
    <w:rsid w:val="001D4C4E"/>
    <w:rsid w:val="001D4E5C"/>
    <w:rsid w:val="001D4FBA"/>
    <w:rsid w:val="001D50E1"/>
    <w:rsid w:val="001D5169"/>
    <w:rsid w:val="001D51B3"/>
    <w:rsid w:val="001D51E6"/>
    <w:rsid w:val="001D520A"/>
    <w:rsid w:val="001D5242"/>
    <w:rsid w:val="001D532E"/>
    <w:rsid w:val="001D5414"/>
    <w:rsid w:val="001D553B"/>
    <w:rsid w:val="001D555A"/>
    <w:rsid w:val="001D5639"/>
    <w:rsid w:val="001D5641"/>
    <w:rsid w:val="001D56D0"/>
    <w:rsid w:val="001D56F7"/>
    <w:rsid w:val="001D583C"/>
    <w:rsid w:val="001D5859"/>
    <w:rsid w:val="001D59F8"/>
    <w:rsid w:val="001D5A53"/>
    <w:rsid w:val="001D5A8A"/>
    <w:rsid w:val="001D5B0F"/>
    <w:rsid w:val="001D5BEA"/>
    <w:rsid w:val="001D5C66"/>
    <w:rsid w:val="001D5CA4"/>
    <w:rsid w:val="001D5CAE"/>
    <w:rsid w:val="001D5CAF"/>
    <w:rsid w:val="001D5D5F"/>
    <w:rsid w:val="001D5DB8"/>
    <w:rsid w:val="001D5E0D"/>
    <w:rsid w:val="001D5EC0"/>
    <w:rsid w:val="001D5F87"/>
    <w:rsid w:val="001D5FC3"/>
    <w:rsid w:val="001D60DE"/>
    <w:rsid w:val="001D62B2"/>
    <w:rsid w:val="001D62CA"/>
    <w:rsid w:val="001D62F4"/>
    <w:rsid w:val="001D6320"/>
    <w:rsid w:val="001D6425"/>
    <w:rsid w:val="001D643A"/>
    <w:rsid w:val="001D64A7"/>
    <w:rsid w:val="001D64AA"/>
    <w:rsid w:val="001D65F9"/>
    <w:rsid w:val="001D6657"/>
    <w:rsid w:val="001D677A"/>
    <w:rsid w:val="001D679D"/>
    <w:rsid w:val="001D679E"/>
    <w:rsid w:val="001D6848"/>
    <w:rsid w:val="001D6884"/>
    <w:rsid w:val="001D6889"/>
    <w:rsid w:val="001D68A8"/>
    <w:rsid w:val="001D690A"/>
    <w:rsid w:val="001D6914"/>
    <w:rsid w:val="001D692A"/>
    <w:rsid w:val="001D694A"/>
    <w:rsid w:val="001D6A0B"/>
    <w:rsid w:val="001D6A14"/>
    <w:rsid w:val="001D6A56"/>
    <w:rsid w:val="001D6AAF"/>
    <w:rsid w:val="001D6B00"/>
    <w:rsid w:val="001D6B4D"/>
    <w:rsid w:val="001D6C83"/>
    <w:rsid w:val="001D6E7B"/>
    <w:rsid w:val="001D6EAB"/>
    <w:rsid w:val="001D6EC7"/>
    <w:rsid w:val="001D6EDB"/>
    <w:rsid w:val="001D6EEF"/>
    <w:rsid w:val="001D6F1A"/>
    <w:rsid w:val="001D6F6D"/>
    <w:rsid w:val="001D6FCC"/>
    <w:rsid w:val="001D70B6"/>
    <w:rsid w:val="001D70CF"/>
    <w:rsid w:val="001D71A3"/>
    <w:rsid w:val="001D71E3"/>
    <w:rsid w:val="001D7212"/>
    <w:rsid w:val="001D7258"/>
    <w:rsid w:val="001D7264"/>
    <w:rsid w:val="001D728D"/>
    <w:rsid w:val="001D7339"/>
    <w:rsid w:val="001D7378"/>
    <w:rsid w:val="001D73FB"/>
    <w:rsid w:val="001D743C"/>
    <w:rsid w:val="001D7483"/>
    <w:rsid w:val="001D75B8"/>
    <w:rsid w:val="001D7604"/>
    <w:rsid w:val="001D76CC"/>
    <w:rsid w:val="001D773F"/>
    <w:rsid w:val="001D7761"/>
    <w:rsid w:val="001D7856"/>
    <w:rsid w:val="001D787B"/>
    <w:rsid w:val="001D78E8"/>
    <w:rsid w:val="001D7927"/>
    <w:rsid w:val="001D79A1"/>
    <w:rsid w:val="001D7A47"/>
    <w:rsid w:val="001D7B11"/>
    <w:rsid w:val="001D7C18"/>
    <w:rsid w:val="001D7D02"/>
    <w:rsid w:val="001D7D9B"/>
    <w:rsid w:val="001D7D9F"/>
    <w:rsid w:val="001D7DB8"/>
    <w:rsid w:val="001D7DFC"/>
    <w:rsid w:val="001D7E17"/>
    <w:rsid w:val="001D7E7D"/>
    <w:rsid w:val="001D7E8D"/>
    <w:rsid w:val="001D7E97"/>
    <w:rsid w:val="001D7EC5"/>
    <w:rsid w:val="001D7ED2"/>
    <w:rsid w:val="001D7F75"/>
    <w:rsid w:val="001D7F7D"/>
    <w:rsid w:val="001E014D"/>
    <w:rsid w:val="001E01B5"/>
    <w:rsid w:val="001E0246"/>
    <w:rsid w:val="001E02A0"/>
    <w:rsid w:val="001E02B2"/>
    <w:rsid w:val="001E02D1"/>
    <w:rsid w:val="001E0458"/>
    <w:rsid w:val="001E0514"/>
    <w:rsid w:val="001E0528"/>
    <w:rsid w:val="001E053B"/>
    <w:rsid w:val="001E0585"/>
    <w:rsid w:val="001E0682"/>
    <w:rsid w:val="001E06BD"/>
    <w:rsid w:val="001E074D"/>
    <w:rsid w:val="001E076B"/>
    <w:rsid w:val="001E084C"/>
    <w:rsid w:val="001E0A2F"/>
    <w:rsid w:val="001E0A31"/>
    <w:rsid w:val="001E0ADA"/>
    <w:rsid w:val="001E0B6C"/>
    <w:rsid w:val="001E0BA6"/>
    <w:rsid w:val="001E0BB2"/>
    <w:rsid w:val="001E0E40"/>
    <w:rsid w:val="001E0EB7"/>
    <w:rsid w:val="001E0F4E"/>
    <w:rsid w:val="001E0F88"/>
    <w:rsid w:val="001E0FC6"/>
    <w:rsid w:val="001E100F"/>
    <w:rsid w:val="001E1093"/>
    <w:rsid w:val="001E10A3"/>
    <w:rsid w:val="001E10F4"/>
    <w:rsid w:val="001E1109"/>
    <w:rsid w:val="001E12F6"/>
    <w:rsid w:val="001E1399"/>
    <w:rsid w:val="001E13B9"/>
    <w:rsid w:val="001E13F4"/>
    <w:rsid w:val="001E148B"/>
    <w:rsid w:val="001E1493"/>
    <w:rsid w:val="001E151A"/>
    <w:rsid w:val="001E158A"/>
    <w:rsid w:val="001E1593"/>
    <w:rsid w:val="001E16B0"/>
    <w:rsid w:val="001E16C1"/>
    <w:rsid w:val="001E172B"/>
    <w:rsid w:val="001E1801"/>
    <w:rsid w:val="001E1812"/>
    <w:rsid w:val="001E1828"/>
    <w:rsid w:val="001E1895"/>
    <w:rsid w:val="001E18F4"/>
    <w:rsid w:val="001E1912"/>
    <w:rsid w:val="001E193C"/>
    <w:rsid w:val="001E1A5A"/>
    <w:rsid w:val="001E1AC8"/>
    <w:rsid w:val="001E1C69"/>
    <w:rsid w:val="001E1C89"/>
    <w:rsid w:val="001E1C92"/>
    <w:rsid w:val="001E1D8B"/>
    <w:rsid w:val="001E1E25"/>
    <w:rsid w:val="001E1EB9"/>
    <w:rsid w:val="001E1EDD"/>
    <w:rsid w:val="001E2078"/>
    <w:rsid w:val="001E210F"/>
    <w:rsid w:val="001E21D8"/>
    <w:rsid w:val="001E2215"/>
    <w:rsid w:val="001E2217"/>
    <w:rsid w:val="001E22EB"/>
    <w:rsid w:val="001E2304"/>
    <w:rsid w:val="001E246B"/>
    <w:rsid w:val="001E24A4"/>
    <w:rsid w:val="001E24FF"/>
    <w:rsid w:val="001E26FD"/>
    <w:rsid w:val="001E2709"/>
    <w:rsid w:val="001E27B5"/>
    <w:rsid w:val="001E2802"/>
    <w:rsid w:val="001E2890"/>
    <w:rsid w:val="001E28E9"/>
    <w:rsid w:val="001E290B"/>
    <w:rsid w:val="001E2929"/>
    <w:rsid w:val="001E2981"/>
    <w:rsid w:val="001E2982"/>
    <w:rsid w:val="001E29C5"/>
    <w:rsid w:val="001E29D0"/>
    <w:rsid w:val="001E2A31"/>
    <w:rsid w:val="001E2A35"/>
    <w:rsid w:val="001E2A96"/>
    <w:rsid w:val="001E2B87"/>
    <w:rsid w:val="001E2B9A"/>
    <w:rsid w:val="001E2BDB"/>
    <w:rsid w:val="001E2CA6"/>
    <w:rsid w:val="001E2CC5"/>
    <w:rsid w:val="001E2CD8"/>
    <w:rsid w:val="001E2D15"/>
    <w:rsid w:val="001E2E45"/>
    <w:rsid w:val="001E2E5B"/>
    <w:rsid w:val="001E2E6D"/>
    <w:rsid w:val="001E2F44"/>
    <w:rsid w:val="001E2F7A"/>
    <w:rsid w:val="001E305E"/>
    <w:rsid w:val="001E319C"/>
    <w:rsid w:val="001E31A2"/>
    <w:rsid w:val="001E31C7"/>
    <w:rsid w:val="001E31D1"/>
    <w:rsid w:val="001E320E"/>
    <w:rsid w:val="001E3248"/>
    <w:rsid w:val="001E32B1"/>
    <w:rsid w:val="001E32F7"/>
    <w:rsid w:val="001E347F"/>
    <w:rsid w:val="001E358E"/>
    <w:rsid w:val="001E35D7"/>
    <w:rsid w:val="001E35ED"/>
    <w:rsid w:val="001E3611"/>
    <w:rsid w:val="001E372D"/>
    <w:rsid w:val="001E3767"/>
    <w:rsid w:val="001E3776"/>
    <w:rsid w:val="001E383D"/>
    <w:rsid w:val="001E3866"/>
    <w:rsid w:val="001E38A6"/>
    <w:rsid w:val="001E38DE"/>
    <w:rsid w:val="001E393E"/>
    <w:rsid w:val="001E3948"/>
    <w:rsid w:val="001E3BC2"/>
    <w:rsid w:val="001E3C4A"/>
    <w:rsid w:val="001E3CED"/>
    <w:rsid w:val="001E3EBE"/>
    <w:rsid w:val="001E3F46"/>
    <w:rsid w:val="001E3FA0"/>
    <w:rsid w:val="001E405B"/>
    <w:rsid w:val="001E4272"/>
    <w:rsid w:val="001E42E5"/>
    <w:rsid w:val="001E4408"/>
    <w:rsid w:val="001E445E"/>
    <w:rsid w:val="001E44E1"/>
    <w:rsid w:val="001E454F"/>
    <w:rsid w:val="001E4568"/>
    <w:rsid w:val="001E4635"/>
    <w:rsid w:val="001E4638"/>
    <w:rsid w:val="001E475D"/>
    <w:rsid w:val="001E4814"/>
    <w:rsid w:val="001E4893"/>
    <w:rsid w:val="001E4984"/>
    <w:rsid w:val="001E4A22"/>
    <w:rsid w:val="001E4B56"/>
    <w:rsid w:val="001E4C50"/>
    <w:rsid w:val="001E4CBC"/>
    <w:rsid w:val="001E4D67"/>
    <w:rsid w:val="001E4DCC"/>
    <w:rsid w:val="001E4E06"/>
    <w:rsid w:val="001E4E25"/>
    <w:rsid w:val="001E4EAC"/>
    <w:rsid w:val="001E4EE3"/>
    <w:rsid w:val="001E4F46"/>
    <w:rsid w:val="001E4FD9"/>
    <w:rsid w:val="001E5022"/>
    <w:rsid w:val="001E50B7"/>
    <w:rsid w:val="001E515E"/>
    <w:rsid w:val="001E51AB"/>
    <w:rsid w:val="001E52C5"/>
    <w:rsid w:val="001E5394"/>
    <w:rsid w:val="001E53DA"/>
    <w:rsid w:val="001E5478"/>
    <w:rsid w:val="001E5544"/>
    <w:rsid w:val="001E5606"/>
    <w:rsid w:val="001E567A"/>
    <w:rsid w:val="001E5682"/>
    <w:rsid w:val="001E57DD"/>
    <w:rsid w:val="001E5846"/>
    <w:rsid w:val="001E5901"/>
    <w:rsid w:val="001E59D8"/>
    <w:rsid w:val="001E5A15"/>
    <w:rsid w:val="001E5A33"/>
    <w:rsid w:val="001E5B5B"/>
    <w:rsid w:val="001E5BBB"/>
    <w:rsid w:val="001E5BFD"/>
    <w:rsid w:val="001E5CF0"/>
    <w:rsid w:val="001E5D0A"/>
    <w:rsid w:val="001E5D77"/>
    <w:rsid w:val="001E5DA0"/>
    <w:rsid w:val="001E5DC5"/>
    <w:rsid w:val="001E5F2F"/>
    <w:rsid w:val="001E5F90"/>
    <w:rsid w:val="001E5FA0"/>
    <w:rsid w:val="001E600B"/>
    <w:rsid w:val="001E60B9"/>
    <w:rsid w:val="001E6155"/>
    <w:rsid w:val="001E6156"/>
    <w:rsid w:val="001E6166"/>
    <w:rsid w:val="001E622F"/>
    <w:rsid w:val="001E6333"/>
    <w:rsid w:val="001E6473"/>
    <w:rsid w:val="001E647A"/>
    <w:rsid w:val="001E64F0"/>
    <w:rsid w:val="001E662B"/>
    <w:rsid w:val="001E6768"/>
    <w:rsid w:val="001E6774"/>
    <w:rsid w:val="001E6823"/>
    <w:rsid w:val="001E6A3D"/>
    <w:rsid w:val="001E6BC7"/>
    <w:rsid w:val="001E6C63"/>
    <w:rsid w:val="001E6DDE"/>
    <w:rsid w:val="001E6E3C"/>
    <w:rsid w:val="001E6F31"/>
    <w:rsid w:val="001E6F91"/>
    <w:rsid w:val="001E702D"/>
    <w:rsid w:val="001E7089"/>
    <w:rsid w:val="001E70F0"/>
    <w:rsid w:val="001E7131"/>
    <w:rsid w:val="001E725F"/>
    <w:rsid w:val="001E7334"/>
    <w:rsid w:val="001E7351"/>
    <w:rsid w:val="001E7442"/>
    <w:rsid w:val="001E74C3"/>
    <w:rsid w:val="001E765C"/>
    <w:rsid w:val="001E76A4"/>
    <w:rsid w:val="001E76AC"/>
    <w:rsid w:val="001E76AE"/>
    <w:rsid w:val="001E76BE"/>
    <w:rsid w:val="001E76E6"/>
    <w:rsid w:val="001E76FA"/>
    <w:rsid w:val="001E7717"/>
    <w:rsid w:val="001E774F"/>
    <w:rsid w:val="001E79B8"/>
    <w:rsid w:val="001E79C1"/>
    <w:rsid w:val="001E7A48"/>
    <w:rsid w:val="001E7C2E"/>
    <w:rsid w:val="001E7C36"/>
    <w:rsid w:val="001E7D8C"/>
    <w:rsid w:val="001E7E04"/>
    <w:rsid w:val="001E7E44"/>
    <w:rsid w:val="001E7E69"/>
    <w:rsid w:val="001E7EFA"/>
    <w:rsid w:val="001E7FB4"/>
    <w:rsid w:val="001F0169"/>
    <w:rsid w:val="001F0202"/>
    <w:rsid w:val="001F02DD"/>
    <w:rsid w:val="001F0403"/>
    <w:rsid w:val="001F0501"/>
    <w:rsid w:val="001F052A"/>
    <w:rsid w:val="001F0757"/>
    <w:rsid w:val="001F076A"/>
    <w:rsid w:val="001F07E4"/>
    <w:rsid w:val="001F08FE"/>
    <w:rsid w:val="001F0994"/>
    <w:rsid w:val="001F0A1E"/>
    <w:rsid w:val="001F0AE8"/>
    <w:rsid w:val="001F0B0E"/>
    <w:rsid w:val="001F0B90"/>
    <w:rsid w:val="001F0BB8"/>
    <w:rsid w:val="001F0C43"/>
    <w:rsid w:val="001F0CC1"/>
    <w:rsid w:val="001F0D59"/>
    <w:rsid w:val="001F0DAC"/>
    <w:rsid w:val="001F0E21"/>
    <w:rsid w:val="001F0E4F"/>
    <w:rsid w:val="001F0F60"/>
    <w:rsid w:val="001F0FD5"/>
    <w:rsid w:val="001F0FE9"/>
    <w:rsid w:val="001F105C"/>
    <w:rsid w:val="001F108D"/>
    <w:rsid w:val="001F10E8"/>
    <w:rsid w:val="001F111F"/>
    <w:rsid w:val="001F112D"/>
    <w:rsid w:val="001F115C"/>
    <w:rsid w:val="001F1171"/>
    <w:rsid w:val="001F11D1"/>
    <w:rsid w:val="001F11E4"/>
    <w:rsid w:val="001F125B"/>
    <w:rsid w:val="001F13C1"/>
    <w:rsid w:val="001F13E8"/>
    <w:rsid w:val="001F1494"/>
    <w:rsid w:val="001F1521"/>
    <w:rsid w:val="001F15AB"/>
    <w:rsid w:val="001F15E0"/>
    <w:rsid w:val="001F164D"/>
    <w:rsid w:val="001F173C"/>
    <w:rsid w:val="001F17D9"/>
    <w:rsid w:val="001F181A"/>
    <w:rsid w:val="001F1889"/>
    <w:rsid w:val="001F193D"/>
    <w:rsid w:val="001F196A"/>
    <w:rsid w:val="001F19E3"/>
    <w:rsid w:val="001F1A0C"/>
    <w:rsid w:val="001F1A9D"/>
    <w:rsid w:val="001F1E56"/>
    <w:rsid w:val="001F1E9A"/>
    <w:rsid w:val="001F1FAE"/>
    <w:rsid w:val="001F1FF6"/>
    <w:rsid w:val="001F207E"/>
    <w:rsid w:val="001F2085"/>
    <w:rsid w:val="001F208F"/>
    <w:rsid w:val="001F2114"/>
    <w:rsid w:val="001F2133"/>
    <w:rsid w:val="001F2168"/>
    <w:rsid w:val="001F2185"/>
    <w:rsid w:val="001F234F"/>
    <w:rsid w:val="001F23B3"/>
    <w:rsid w:val="001F240B"/>
    <w:rsid w:val="001F2476"/>
    <w:rsid w:val="001F2521"/>
    <w:rsid w:val="001F2602"/>
    <w:rsid w:val="001F26E0"/>
    <w:rsid w:val="001F2702"/>
    <w:rsid w:val="001F2722"/>
    <w:rsid w:val="001F27E9"/>
    <w:rsid w:val="001F2865"/>
    <w:rsid w:val="001F2876"/>
    <w:rsid w:val="001F288B"/>
    <w:rsid w:val="001F2935"/>
    <w:rsid w:val="001F2A43"/>
    <w:rsid w:val="001F2A46"/>
    <w:rsid w:val="001F2AC6"/>
    <w:rsid w:val="001F2B1D"/>
    <w:rsid w:val="001F2BE7"/>
    <w:rsid w:val="001F2BFE"/>
    <w:rsid w:val="001F2C5D"/>
    <w:rsid w:val="001F2C93"/>
    <w:rsid w:val="001F2CA1"/>
    <w:rsid w:val="001F2CB0"/>
    <w:rsid w:val="001F2D74"/>
    <w:rsid w:val="001F2D8E"/>
    <w:rsid w:val="001F2DFC"/>
    <w:rsid w:val="001F2EA5"/>
    <w:rsid w:val="001F315E"/>
    <w:rsid w:val="001F3189"/>
    <w:rsid w:val="001F318A"/>
    <w:rsid w:val="001F324D"/>
    <w:rsid w:val="001F32CE"/>
    <w:rsid w:val="001F33AD"/>
    <w:rsid w:val="001F33B8"/>
    <w:rsid w:val="001F33DA"/>
    <w:rsid w:val="001F3463"/>
    <w:rsid w:val="001F346B"/>
    <w:rsid w:val="001F351A"/>
    <w:rsid w:val="001F36C7"/>
    <w:rsid w:val="001F36DF"/>
    <w:rsid w:val="001F3798"/>
    <w:rsid w:val="001F394C"/>
    <w:rsid w:val="001F397D"/>
    <w:rsid w:val="001F3A32"/>
    <w:rsid w:val="001F3AA0"/>
    <w:rsid w:val="001F3AF1"/>
    <w:rsid w:val="001F3AFE"/>
    <w:rsid w:val="001F3B27"/>
    <w:rsid w:val="001F3B50"/>
    <w:rsid w:val="001F3BC1"/>
    <w:rsid w:val="001F3C48"/>
    <w:rsid w:val="001F3CB9"/>
    <w:rsid w:val="001F3CF2"/>
    <w:rsid w:val="001F3DA6"/>
    <w:rsid w:val="001F3EA8"/>
    <w:rsid w:val="001F3F45"/>
    <w:rsid w:val="001F3F55"/>
    <w:rsid w:val="001F404D"/>
    <w:rsid w:val="001F41C0"/>
    <w:rsid w:val="001F423B"/>
    <w:rsid w:val="001F425C"/>
    <w:rsid w:val="001F433C"/>
    <w:rsid w:val="001F438C"/>
    <w:rsid w:val="001F446D"/>
    <w:rsid w:val="001F4604"/>
    <w:rsid w:val="001F461C"/>
    <w:rsid w:val="001F4646"/>
    <w:rsid w:val="001F469E"/>
    <w:rsid w:val="001F4748"/>
    <w:rsid w:val="001F4788"/>
    <w:rsid w:val="001F4826"/>
    <w:rsid w:val="001F48EB"/>
    <w:rsid w:val="001F4919"/>
    <w:rsid w:val="001F4976"/>
    <w:rsid w:val="001F499F"/>
    <w:rsid w:val="001F49A8"/>
    <w:rsid w:val="001F4B95"/>
    <w:rsid w:val="001F4BF1"/>
    <w:rsid w:val="001F4C59"/>
    <w:rsid w:val="001F4C97"/>
    <w:rsid w:val="001F4D6E"/>
    <w:rsid w:val="001F4D9D"/>
    <w:rsid w:val="001F4E99"/>
    <w:rsid w:val="001F4E9F"/>
    <w:rsid w:val="001F4EA8"/>
    <w:rsid w:val="001F4FEB"/>
    <w:rsid w:val="001F5123"/>
    <w:rsid w:val="001F51D0"/>
    <w:rsid w:val="001F51FE"/>
    <w:rsid w:val="001F5242"/>
    <w:rsid w:val="001F5317"/>
    <w:rsid w:val="001F550A"/>
    <w:rsid w:val="001F5616"/>
    <w:rsid w:val="001F5780"/>
    <w:rsid w:val="001F5829"/>
    <w:rsid w:val="001F5895"/>
    <w:rsid w:val="001F596E"/>
    <w:rsid w:val="001F5996"/>
    <w:rsid w:val="001F59C4"/>
    <w:rsid w:val="001F5A67"/>
    <w:rsid w:val="001F5A8B"/>
    <w:rsid w:val="001F5D0A"/>
    <w:rsid w:val="001F5D4D"/>
    <w:rsid w:val="001F5D7F"/>
    <w:rsid w:val="001F5DD8"/>
    <w:rsid w:val="001F5E3C"/>
    <w:rsid w:val="001F5E91"/>
    <w:rsid w:val="001F5EF9"/>
    <w:rsid w:val="001F5F31"/>
    <w:rsid w:val="001F601F"/>
    <w:rsid w:val="001F6033"/>
    <w:rsid w:val="001F6109"/>
    <w:rsid w:val="001F61B8"/>
    <w:rsid w:val="001F6222"/>
    <w:rsid w:val="001F624F"/>
    <w:rsid w:val="001F62A3"/>
    <w:rsid w:val="001F6345"/>
    <w:rsid w:val="001F63BC"/>
    <w:rsid w:val="001F6440"/>
    <w:rsid w:val="001F6530"/>
    <w:rsid w:val="001F6566"/>
    <w:rsid w:val="001F66C9"/>
    <w:rsid w:val="001F6712"/>
    <w:rsid w:val="001F67D8"/>
    <w:rsid w:val="001F6874"/>
    <w:rsid w:val="001F687F"/>
    <w:rsid w:val="001F68AE"/>
    <w:rsid w:val="001F68DE"/>
    <w:rsid w:val="001F696B"/>
    <w:rsid w:val="001F6A36"/>
    <w:rsid w:val="001F6A43"/>
    <w:rsid w:val="001F6A44"/>
    <w:rsid w:val="001F6A6F"/>
    <w:rsid w:val="001F6A74"/>
    <w:rsid w:val="001F6B0A"/>
    <w:rsid w:val="001F6B0D"/>
    <w:rsid w:val="001F6B3F"/>
    <w:rsid w:val="001F6B43"/>
    <w:rsid w:val="001F6B4D"/>
    <w:rsid w:val="001F6C16"/>
    <w:rsid w:val="001F6D61"/>
    <w:rsid w:val="001F6D7D"/>
    <w:rsid w:val="001F6D94"/>
    <w:rsid w:val="001F6D96"/>
    <w:rsid w:val="001F6E0D"/>
    <w:rsid w:val="001F6E6E"/>
    <w:rsid w:val="001F7098"/>
    <w:rsid w:val="001F7168"/>
    <w:rsid w:val="001F71DC"/>
    <w:rsid w:val="001F7220"/>
    <w:rsid w:val="001F723B"/>
    <w:rsid w:val="001F7266"/>
    <w:rsid w:val="001F7278"/>
    <w:rsid w:val="001F74A0"/>
    <w:rsid w:val="001F7555"/>
    <w:rsid w:val="001F7601"/>
    <w:rsid w:val="001F762C"/>
    <w:rsid w:val="001F76AE"/>
    <w:rsid w:val="001F76CB"/>
    <w:rsid w:val="001F76D6"/>
    <w:rsid w:val="001F7869"/>
    <w:rsid w:val="001F787E"/>
    <w:rsid w:val="001F7896"/>
    <w:rsid w:val="001F7897"/>
    <w:rsid w:val="001F791D"/>
    <w:rsid w:val="001F7A11"/>
    <w:rsid w:val="001F7B07"/>
    <w:rsid w:val="001F7C05"/>
    <w:rsid w:val="001F7CC7"/>
    <w:rsid w:val="001F7D33"/>
    <w:rsid w:val="001F7E36"/>
    <w:rsid w:val="001F7EFE"/>
    <w:rsid w:val="001F7F13"/>
    <w:rsid w:val="001F7FC3"/>
    <w:rsid w:val="001F7FF9"/>
    <w:rsid w:val="001F8BE3"/>
    <w:rsid w:val="0020003B"/>
    <w:rsid w:val="002000FA"/>
    <w:rsid w:val="00200129"/>
    <w:rsid w:val="0020014E"/>
    <w:rsid w:val="0020019C"/>
    <w:rsid w:val="002001AE"/>
    <w:rsid w:val="002001F4"/>
    <w:rsid w:val="00200268"/>
    <w:rsid w:val="002002D3"/>
    <w:rsid w:val="00200428"/>
    <w:rsid w:val="00200499"/>
    <w:rsid w:val="0020052E"/>
    <w:rsid w:val="00200561"/>
    <w:rsid w:val="00200575"/>
    <w:rsid w:val="00200592"/>
    <w:rsid w:val="0020064F"/>
    <w:rsid w:val="00200656"/>
    <w:rsid w:val="002006C4"/>
    <w:rsid w:val="002006EF"/>
    <w:rsid w:val="00200792"/>
    <w:rsid w:val="002007A1"/>
    <w:rsid w:val="002007F1"/>
    <w:rsid w:val="00200888"/>
    <w:rsid w:val="00200943"/>
    <w:rsid w:val="00200956"/>
    <w:rsid w:val="00200991"/>
    <w:rsid w:val="00200A92"/>
    <w:rsid w:val="00200ABB"/>
    <w:rsid w:val="00200AD3"/>
    <w:rsid w:val="00200B0F"/>
    <w:rsid w:val="00200B42"/>
    <w:rsid w:val="00200B72"/>
    <w:rsid w:val="00200C2A"/>
    <w:rsid w:val="00200C6D"/>
    <w:rsid w:val="00200C73"/>
    <w:rsid w:val="00200CC8"/>
    <w:rsid w:val="00200E05"/>
    <w:rsid w:val="00200EE9"/>
    <w:rsid w:val="00200FB5"/>
    <w:rsid w:val="00200FFA"/>
    <w:rsid w:val="00201118"/>
    <w:rsid w:val="0020112D"/>
    <w:rsid w:val="00201185"/>
    <w:rsid w:val="0020124B"/>
    <w:rsid w:val="0020129B"/>
    <w:rsid w:val="00201320"/>
    <w:rsid w:val="00201333"/>
    <w:rsid w:val="0020133F"/>
    <w:rsid w:val="00201388"/>
    <w:rsid w:val="00201417"/>
    <w:rsid w:val="0020154A"/>
    <w:rsid w:val="00201681"/>
    <w:rsid w:val="002017EF"/>
    <w:rsid w:val="0020184F"/>
    <w:rsid w:val="00201850"/>
    <w:rsid w:val="00201965"/>
    <w:rsid w:val="00201B9D"/>
    <w:rsid w:val="00201D05"/>
    <w:rsid w:val="00201D06"/>
    <w:rsid w:val="00201EC3"/>
    <w:rsid w:val="00201F06"/>
    <w:rsid w:val="00201F08"/>
    <w:rsid w:val="00201F1A"/>
    <w:rsid w:val="00201F98"/>
    <w:rsid w:val="00201FE7"/>
    <w:rsid w:val="00202008"/>
    <w:rsid w:val="0020203C"/>
    <w:rsid w:val="0020204A"/>
    <w:rsid w:val="002020C0"/>
    <w:rsid w:val="002020C4"/>
    <w:rsid w:val="00202197"/>
    <w:rsid w:val="002021FE"/>
    <w:rsid w:val="002022DF"/>
    <w:rsid w:val="002022EE"/>
    <w:rsid w:val="00202363"/>
    <w:rsid w:val="002024D9"/>
    <w:rsid w:val="002024F9"/>
    <w:rsid w:val="00202525"/>
    <w:rsid w:val="00202543"/>
    <w:rsid w:val="002026A5"/>
    <w:rsid w:val="00202718"/>
    <w:rsid w:val="002027E6"/>
    <w:rsid w:val="00202801"/>
    <w:rsid w:val="00202844"/>
    <w:rsid w:val="00202A9E"/>
    <w:rsid w:val="00202BA0"/>
    <w:rsid w:val="00202BF7"/>
    <w:rsid w:val="00202C1B"/>
    <w:rsid w:val="00202DAE"/>
    <w:rsid w:val="00202F4B"/>
    <w:rsid w:val="00202F4C"/>
    <w:rsid w:val="0020302C"/>
    <w:rsid w:val="00203081"/>
    <w:rsid w:val="002030A4"/>
    <w:rsid w:val="002030AD"/>
    <w:rsid w:val="0020316B"/>
    <w:rsid w:val="0020319E"/>
    <w:rsid w:val="002031C8"/>
    <w:rsid w:val="00203253"/>
    <w:rsid w:val="00203277"/>
    <w:rsid w:val="002033B5"/>
    <w:rsid w:val="00203534"/>
    <w:rsid w:val="00203605"/>
    <w:rsid w:val="002036A9"/>
    <w:rsid w:val="002036ED"/>
    <w:rsid w:val="002036FD"/>
    <w:rsid w:val="00203741"/>
    <w:rsid w:val="002037D9"/>
    <w:rsid w:val="00203934"/>
    <w:rsid w:val="00203943"/>
    <w:rsid w:val="00203A21"/>
    <w:rsid w:val="00203A52"/>
    <w:rsid w:val="00203ADE"/>
    <w:rsid w:val="00203B22"/>
    <w:rsid w:val="00203B2B"/>
    <w:rsid w:val="00203B2C"/>
    <w:rsid w:val="00203B47"/>
    <w:rsid w:val="00203B7F"/>
    <w:rsid w:val="00203BD7"/>
    <w:rsid w:val="00203C30"/>
    <w:rsid w:val="00203C48"/>
    <w:rsid w:val="00203C7B"/>
    <w:rsid w:val="00203D37"/>
    <w:rsid w:val="00203E89"/>
    <w:rsid w:val="00203E91"/>
    <w:rsid w:val="00203EDB"/>
    <w:rsid w:val="00203EDE"/>
    <w:rsid w:val="00203EF8"/>
    <w:rsid w:val="00203F5C"/>
    <w:rsid w:val="00204033"/>
    <w:rsid w:val="0020406D"/>
    <w:rsid w:val="00204159"/>
    <w:rsid w:val="00204199"/>
    <w:rsid w:val="00204218"/>
    <w:rsid w:val="0020424A"/>
    <w:rsid w:val="002042D7"/>
    <w:rsid w:val="002042D9"/>
    <w:rsid w:val="00204339"/>
    <w:rsid w:val="002043A1"/>
    <w:rsid w:val="0020440B"/>
    <w:rsid w:val="002044F1"/>
    <w:rsid w:val="0020454D"/>
    <w:rsid w:val="0020457F"/>
    <w:rsid w:val="00204595"/>
    <w:rsid w:val="0020459F"/>
    <w:rsid w:val="002045E0"/>
    <w:rsid w:val="0020461E"/>
    <w:rsid w:val="00204662"/>
    <w:rsid w:val="0020469E"/>
    <w:rsid w:val="00204725"/>
    <w:rsid w:val="0020476B"/>
    <w:rsid w:val="0020488C"/>
    <w:rsid w:val="002048AE"/>
    <w:rsid w:val="002048CC"/>
    <w:rsid w:val="0020498C"/>
    <w:rsid w:val="002049E3"/>
    <w:rsid w:val="00204AC2"/>
    <w:rsid w:val="00204B4B"/>
    <w:rsid w:val="00204B77"/>
    <w:rsid w:val="00204B7B"/>
    <w:rsid w:val="00204C7F"/>
    <w:rsid w:val="00204D1F"/>
    <w:rsid w:val="00204DA2"/>
    <w:rsid w:val="00204E04"/>
    <w:rsid w:val="00204F0C"/>
    <w:rsid w:val="00205017"/>
    <w:rsid w:val="0020502D"/>
    <w:rsid w:val="002050BA"/>
    <w:rsid w:val="0020523B"/>
    <w:rsid w:val="0020529F"/>
    <w:rsid w:val="0020532A"/>
    <w:rsid w:val="002053C8"/>
    <w:rsid w:val="00205462"/>
    <w:rsid w:val="0020556F"/>
    <w:rsid w:val="0020565A"/>
    <w:rsid w:val="0020573F"/>
    <w:rsid w:val="002058CF"/>
    <w:rsid w:val="002058E3"/>
    <w:rsid w:val="0020595C"/>
    <w:rsid w:val="00205981"/>
    <w:rsid w:val="002059AC"/>
    <w:rsid w:val="002059F4"/>
    <w:rsid w:val="00205AD8"/>
    <w:rsid w:val="00205ADF"/>
    <w:rsid w:val="00205B14"/>
    <w:rsid w:val="00205B96"/>
    <w:rsid w:val="00205C69"/>
    <w:rsid w:val="00205CE9"/>
    <w:rsid w:val="00205D36"/>
    <w:rsid w:val="00205E4B"/>
    <w:rsid w:val="00205F72"/>
    <w:rsid w:val="00205F88"/>
    <w:rsid w:val="00205F96"/>
    <w:rsid w:val="00205FA4"/>
    <w:rsid w:val="00206048"/>
    <w:rsid w:val="0020615B"/>
    <w:rsid w:val="002061FE"/>
    <w:rsid w:val="00206247"/>
    <w:rsid w:val="0020625C"/>
    <w:rsid w:val="00206280"/>
    <w:rsid w:val="00206359"/>
    <w:rsid w:val="002063C2"/>
    <w:rsid w:val="002063F8"/>
    <w:rsid w:val="00206420"/>
    <w:rsid w:val="002064BE"/>
    <w:rsid w:val="002064FD"/>
    <w:rsid w:val="002065D2"/>
    <w:rsid w:val="002065E0"/>
    <w:rsid w:val="0020661A"/>
    <w:rsid w:val="0020676B"/>
    <w:rsid w:val="002067A6"/>
    <w:rsid w:val="00206909"/>
    <w:rsid w:val="0020691D"/>
    <w:rsid w:val="00206987"/>
    <w:rsid w:val="002069DF"/>
    <w:rsid w:val="00206A1E"/>
    <w:rsid w:val="00206A60"/>
    <w:rsid w:val="00206AAE"/>
    <w:rsid w:val="00206AC4"/>
    <w:rsid w:val="00206AD6"/>
    <w:rsid w:val="00206B6E"/>
    <w:rsid w:val="00206BAF"/>
    <w:rsid w:val="00206BE8"/>
    <w:rsid w:val="00206C73"/>
    <w:rsid w:val="00206C7E"/>
    <w:rsid w:val="00206D99"/>
    <w:rsid w:val="00206DE4"/>
    <w:rsid w:val="00206EAF"/>
    <w:rsid w:val="00207026"/>
    <w:rsid w:val="002070F5"/>
    <w:rsid w:val="00207110"/>
    <w:rsid w:val="0020715C"/>
    <w:rsid w:val="0020724E"/>
    <w:rsid w:val="002072C7"/>
    <w:rsid w:val="0020736E"/>
    <w:rsid w:val="00207412"/>
    <w:rsid w:val="0020743E"/>
    <w:rsid w:val="002074AA"/>
    <w:rsid w:val="002074B4"/>
    <w:rsid w:val="00207589"/>
    <w:rsid w:val="00207733"/>
    <w:rsid w:val="002077B9"/>
    <w:rsid w:val="002077E5"/>
    <w:rsid w:val="00207811"/>
    <w:rsid w:val="00207855"/>
    <w:rsid w:val="002078D6"/>
    <w:rsid w:val="00207A2F"/>
    <w:rsid w:val="00207AB0"/>
    <w:rsid w:val="00207AF7"/>
    <w:rsid w:val="00207B0F"/>
    <w:rsid w:val="00207B2A"/>
    <w:rsid w:val="00207BAD"/>
    <w:rsid w:val="00207C16"/>
    <w:rsid w:val="00207C31"/>
    <w:rsid w:val="00207D47"/>
    <w:rsid w:val="00207DF3"/>
    <w:rsid w:val="00207E97"/>
    <w:rsid w:val="00207F3E"/>
    <w:rsid w:val="00210021"/>
    <w:rsid w:val="0021002E"/>
    <w:rsid w:val="0021004C"/>
    <w:rsid w:val="002100B0"/>
    <w:rsid w:val="002100DA"/>
    <w:rsid w:val="002101AD"/>
    <w:rsid w:val="002101B6"/>
    <w:rsid w:val="002101CC"/>
    <w:rsid w:val="0021020F"/>
    <w:rsid w:val="002103AD"/>
    <w:rsid w:val="00210420"/>
    <w:rsid w:val="002105A5"/>
    <w:rsid w:val="00210671"/>
    <w:rsid w:val="002106D8"/>
    <w:rsid w:val="00210820"/>
    <w:rsid w:val="002108B1"/>
    <w:rsid w:val="0021096D"/>
    <w:rsid w:val="00210989"/>
    <w:rsid w:val="00210AAD"/>
    <w:rsid w:val="00210AFE"/>
    <w:rsid w:val="00210BB5"/>
    <w:rsid w:val="00210C4D"/>
    <w:rsid w:val="00210C6B"/>
    <w:rsid w:val="00210E70"/>
    <w:rsid w:val="00210E78"/>
    <w:rsid w:val="00210FBE"/>
    <w:rsid w:val="00210FE7"/>
    <w:rsid w:val="002111A1"/>
    <w:rsid w:val="002112EC"/>
    <w:rsid w:val="00211313"/>
    <w:rsid w:val="002114DB"/>
    <w:rsid w:val="00211568"/>
    <w:rsid w:val="00211579"/>
    <w:rsid w:val="00211599"/>
    <w:rsid w:val="002115CA"/>
    <w:rsid w:val="00211661"/>
    <w:rsid w:val="00211886"/>
    <w:rsid w:val="002118AD"/>
    <w:rsid w:val="002118D1"/>
    <w:rsid w:val="0021191D"/>
    <w:rsid w:val="00211955"/>
    <w:rsid w:val="00211A04"/>
    <w:rsid w:val="00211AC4"/>
    <w:rsid w:val="00211B08"/>
    <w:rsid w:val="00211B9A"/>
    <w:rsid w:val="00211CA2"/>
    <w:rsid w:val="00211CE3"/>
    <w:rsid w:val="00211DE0"/>
    <w:rsid w:val="00211E0A"/>
    <w:rsid w:val="00211E20"/>
    <w:rsid w:val="00211FD8"/>
    <w:rsid w:val="002120BF"/>
    <w:rsid w:val="0021219E"/>
    <w:rsid w:val="0021220C"/>
    <w:rsid w:val="002122E8"/>
    <w:rsid w:val="0021233F"/>
    <w:rsid w:val="002123C3"/>
    <w:rsid w:val="002123CA"/>
    <w:rsid w:val="0021246D"/>
    <w:rsid w:val="0021248A"/>
    <w:rsid w:val="00212557"/>
    <w:rsid w:val="002125A9"/>
    <w:rsid w:val="002125CA"/>
    <w:rsid w:val="00212744"/>
    <w:rsid w:val="00212782"/>
    <w:rsid w:val="00212829"/>
    <w:rsid w:val="00212844"/>
    <w:rsid w:val="002128A0"/>
    <w:rsid w:val="002128AA"/>
    <w:rsid w:val="002128B5"/>
    <w:rsid w:val="0021295F"/>
    <w:rsid w:val="00212A22"/>
    <w:rsid w:val="00212B12"/>
    <w:rsid w:val="00212B71"/>
    <w:rsid w:val="00212B74"/>
    <w:rsid w:val="00212C1D"/>
    <w:rsid w:val="00212D41"/>
    <w:rsid w:val="00212D7F"/>
    <w:rsid w:val="00212E1D"/>
    <w:rsid w:val="00212EE8"/>
    <w:rsid w:val="00212EF5"/>
    <w:rsid w:val="00212F69"/>
    <w:rsid w:val="00212F71"/>
    <w:rsid w:val="00213082"/>
    <w:rsid w:val="002130B0"/>
    <w:rsid w:val="0021310D"/>
    <w:rsid w:val="0021314F"/>
    <w:rsid w:val="0021319D"/>
    <w:rsid w:val="002131AE"/>
    <w:rsid w:val="002131C6"/>
    <w:rsid w:val="00213238"/>
    <w:rsid w:val="0021330C"/>
    <w:rsid w:val="002133BA"/>
    <w:rsid w:val="00213495"/>
    <w:rsid w:val="0021359F"/>
    <w:rsid w:val="002135BD"/>
    <w:rsid w:val="00213716"/>
    <w:rsid w:val="00213721"/>
    <w:rsid w:val="00213732"/>
    <w:rsid w:val="00213771"/>
    <w:rsid w:val="00213806"/>
    <w:rsid w:val="00213827"/>
    <w:rsid w:val="0021385D"/>
    <w:rsid w:val="00213A30"/>
    <w:rsid w:val="00213AA7"/>
    <w:rsid w:val="00213AB6"/>
    <w:rsid w:val="00213ADF"/>
    <w:rsid w:val="00213B67"/>
    <w:rsid w:val="00213B8E"/>
    <w:rsid w:val="00213B99"/>
    <w:rsid w:val="00213C3E"/>
    <w:rsid w:val="00213C40"/>
    <w:rsid w:val="00213E1D"/>
    <w:rsid w:val="00213E9E"/>
    <w:rsid w:val="00214078"/>
    <w:rsid w:val="002140A1"/>
    <w:rsid w:val="002141A5"/>
    <w:rsid w:val="0021432C"/>
    <w:rsid w:val="00214342"/>
    <w:rsid w:val="00214425"/>
    <w:rsid w:val="002144EE"/>
    <w:rsid w:val="0021453C"/>
    <w:rsid w:val="002145BB"/>
    <w:rsid w:val="002146D9"/>
    <w:rsid w:val="0021472E"/>
    <w:rsid w:val="00214737"/>
    <w:rsid w:val="002147C0"/>
    <w:rsid w:val="002147E9"/>
    <w:rsid w:val="00214802"/>
    <w:rsid w:val="00214812"/>
    <w:rsid w:val="0021485B"/>
    <w:rsid w:val="002148F6"/>
    <w:rsid w:val="00214B09"/>
    <w:rsid w:val="00214B13"/>
    <w:rsid w:val="00214B28"/>
    <w:rsid w:val="00214B3F"/>
    <w:rsid w:val="00214BAC"/>
    <w:rsid w:val="00214C1F"/>
    <w:rsid w:val="00214C21"/>
    <w:rsid w:val="00214C2F"/>
    <w:rsid w:val="00214C94"/>
    <w:rsid w:val="00214D81"/>
    <w:rsid w:val="00214DC8"/>
    <w:rsid w:val="00214DD1"/>
    <w:rsid w:val="00214E33"/>
    <w:rsid w:val="00214EB6"/>
    <w:rsid w:val="0021501B"/>
    <w:rsid w:val="002150B1"/>
    <w:rsid w:val="002150C8"/>
    <w:rsid w:val="002150CA"/>
    <w:rsid w:val="0021511F"/>
    <w:rsid w:val="00215162"/>
    <w:rsid w:val="00215168"/>
    <w:rsid w:val="00215194"/>
    <w:rsid w:val="002151C8"/>
    <w:rsid w:val="0021521A"/>
    <w:rsid w:val="00215242"/>
    <w:rsid w:val="0021537A"/>
    <w:rsid w:val="002154F1"/>
    <w:rsid w:val="002154F5"/>
    <w:rsid w:val="00215501"/>
    <w:rsid w:val="002156BE"/>
    <w:rsid w:val="0021572D"/>
    <w:rsid w:val="00215737"/>
    <w:rsid w:val="002157D8"/>
    <w:rsid w:val="00215850"/>
    <w:rsid w:val="002158BD"/>
    <w:rsid w:val="00215913"/>
    <w:rsid w:val="0021593D"/>
    <w:rsid w:val="00215979"/>
    <w:rsid w:val="0021597D"/>
    <w:rsid w:val="00215AA0"/>
    <w:rsid w:val="00215C08"/>
    <w:rsid w:val="00215C5D"/>
    <w:rsid w:val="00215C6A"/>
    <w:rsid w:val="00215C72"/>
    <w:rsid w:val="00215C99"/>
    <w:rsid w:val="00215D7E"/>
    <w:rsid w:val="00215DA3"/>
    <w:rsid w:val="00215E7B"/>
    <w:rsid w:val="00215EA0"/>
    <w:rsid w:val="00215EE3"/>
    <w:rsid w:val="00215FD0"/>
    <w:rsid w:val="00216024"/>
    <w:rsid w:val="00216057"/>
    <w:rsid w:val="00216086"/>
    <w:rsid w:val="0021609D"/>
    <w:rsid w:val="00216121"/>
    <w:rsid w:val="00216127"/>
    <w:rsid w:val="002161CA"/>
    <w:rsid w:val="00216355"/>
    <w:rsid w:val="0021647F"/>
    <w:rsid w:val="00216583"/>
    <w:rsid w:val="0021658A"/>
    <w:rsid w:val="002166FF"/>
    <w:rsid w:val="002167FD"/>
    <w:rsid w:val="00216ADD"/>
    <w:rsid w:val="00216B3C"/>
    <w:rsid w:val="00216C7F"/>
    <w:rsid w:val="00216C8B"/>
    <w:rsid w:val="00216CFB"/>
    <w:rsid w:val="00216D5B"/>
    <w:rsid w:val="00216E35"/>
    <w:rsid w:val="00216E52"/>
    <w:rsid w:val="00216F25"/>
    <w:rsid w:val="00216F38"/>
    <w:rsid w:val="00216FAD"/>
    <w:rsid w:val="00217055"/>
    <w:rsid w:val="0021707C"/>
    <w:rsid w:val="0021709F"/>
    <w:rsid w:val="002170A3"/>
    <w:rsid w:val="0021717A"/>
    <w:rsid w:val="002172D4"/>
    <w:rsid w:val="002172E2"/>
    <w:rsid w:val="002172E4"/>
    <w:rsid w:val="0021737E"/>
    <w:rsid w:val="002173E7"/>
    <w:rsid w:val="00217407"/>
    <w:rsid w:val="0021740F"/>
    <w:rsid w:val="002174BD"/>
    <w:rsid w:val="002175A2"/>
    <w:rsid w:val="002175F6"/>
    <w:rsid w:val="002175FF"/>
    <w:rsid w:val="002176D8"/>
    <w:rsid w:val="0021781D"/>
    <w:rsid w:val="00217835"/>
    <w:rsid w:val="00217843"/>
    <w:rsid w:val="0021784C"/>
    <w:rsid w:val="002178E4"/>
    <w:rsid w:val="00217A3B"/>
    <w:rsid w:val="00217B06"/>
    <w:rsid w:val="00217B89"/>
    <w:rsid w:val="00217C79"/>
    <w:rsid w:val="00217D3C"/>
    <w:rsid w:val="00217D59"/>
    <w:rsid w:val="00217D84"/>
    <w:rsid w:val="00217DAD"/>
    <w:rsid w:val="00217DB8"/>
    <w:rsid w:val="00217E4B"/>
    <w:rsid w:val="00217E79"/>
    <w:rsid w:val="00217EBF"/>
    <w:rsid w:val="00217FA6"/>
    <w:rsid w:val="00220020"/>
    <w:rsid w:val="00220067"/>
    <w:rsid w:val="002200F6"/>
    <w:rsid w:val="002200FD"/>
    <w:rsid w:val="002200FF"/>
    <w:rsid w:val="0022020C"/>
    <w:rsid w:val="00220277"/>
    <w:rsid w:val="00220287"/>
    <w:rsid w:val="0022028F"/>
    <w:rsid w:val="002202A1"/>
    <w:rsid w:val="002202B2"/>
    <w:rsid w:val="002202F4"/>
    <w:rsid w:val="002203FD"/>
    <w:rsid w:val="00220464"/>
    <w:rsid w:val="002204AA"/>
    <w:rsid w:val="00220543"/>
    <w:rsid w:val="0022056D"/>
    <w:rsid w:val="00220629"/>
    <w:rsid w:val="0022068E"/>
    <w:rsid w:val="002206E2"/>
    <w:rsid w:val="0022070A"/>
    <w:rsid w:val="002207CD"/>
    <w:rsid w:val="00220821"/>
    <w:rsid w:val="00220865"/>
    <w:rsid w:val="00220875"/>
    <w:rsid w:val="002208F4"/>
    <w:rsid w:val="0022094A"/>
    <w:rsid w:val="00220990"/>
    <w:rsid w:val="002209A2"/>
    <w:rsid w:val="002209C6"/>
    <w:rsid w:val="00220A14"/>
    <w:rsid w:val="00220AD4"/>
    <w:rsid w:val="00220AEA"/>
    <w:rsid w:val="00220BB7"/>
    <w:rsid w:val="00220C60"/>
    <w:rsid w:val="00220C93"/>
    <w:rsid w:val="00220CDF"/>
    <w:rsid w:val="00220D19"/>
    <w:rsid w:val="00220D86"/>
    <w:rsid w:val="00220DBC"/>
    <w:rsid w:val="00220DD0"/>
    <w:rsid w:val="00220F13"/>
    <w:rsid w:val="00221055"/>
    <w:rsid w:val="00221087"/>
    <w:rsid w:val="002211F9"/>
    <w:rsid w:val="00221265"/>
    <w:rsid w:val="0022128F"/>
    <w:rsid w:val="002212A2"/>
    <w:rsid w:val="002212A5"/>
    <w:rsid w:val="00221302"/>
    <w:rsid w:val="00221308"/>
    <w:rsid w:val="00221324"/>
    <w:rsid w:val="00221356"/>
    <w:rsid w:val="0022136F"/>
    <w:rsid w:val="0022139C"/>
    <w:rsid w:val="00221468"/>
    <w:rsid w:val="002214FE"/>
    <w:rsid w:val="002216E7"/>
    <w:rsid w:val="00221746"/>
    <w:rsid w:val="00221751"/>
    <w:rsid w:val="00221777"/>
    <w:rsid w:val="00221800"/>
    <w:rsid w:val="0022188A"/>
    <w:rsid w:val="0022189B"/>
    <w:rsid w:val="002218AF"/>
    <w:rsid w:val="00221921"/>
    <w:rsid w:val="00221924"/>
    <w:rsid w:val="00221997"/>
    <w:rsid w:val="002219BC"/>
    <w:rsid w:val="002219EB"/>
    <w:rsid w:val="00221A20"/>
    <w:rsid w:val="00221A3E"/>
    <w:rsid w:val="00221A77"/>
    <w:rsid w:val="00221AB7"/>
    <w:rsid w:val="00221ABE"/>
    <w:rsid w:val="00221B1B"/>
    <w:rsid w:val="00221C42"/>
    <w:rsid w:val="00221C9E"/>
    <w:rsid w:val="00221D1E"/>
    <w:rsid w:val="00221D5C"/>
    <w:rsid w:val="00221E4F"/>
    <w:rsid w:val="00221EE7"/>
    <w:rsid w:val="00221F4C"/>
    <w:rsid w:val="00221F52"/>
    <w:rsid w:val="00222034"/>
    <w:rsid w:val="00222171"/>
    <w:rsid w:val="00222192"/>
    <w:rsid w:val="002221A6"/>
    <w:rsid w:val="002221BD"/>
    <w:rsid w:val="002221F6"/>
    <w:rsid w:val="002222B5"/>
    <w:rsid w:val="00222331"/>
    <w:rsid w:val="00222405"/>
    <w:rsid w:val="002224A4"/>
    <w:rsid w:val="002224CA"/>
    <w:rsid w:val="002224F7"/>
    <w:rsid w:val="00222607"/>
    <w:rsid w:val="002226BD"/>
    <w:rsid w:val="0022273E"/>
    <w:rsid w:val="0022277F"/>
    <w:rsid w:val="00222795"/>
    <w:rsid w:val="002227B9"/>
    <w:rsid w:val="0022287C"/>
    <w:rsid w:val="00222B73"/>
    <w:rsid w:val="00222BAC"/>
    <w:rsid w:val="00222BD1"/>
    <w:rsid w:val="00222D10"/>
    <w:rsid w:val="00222E75"/>
    <w:rsid w:val="00222EFB"/>
    <w:rsid w:val="00222F7D"/>
    <w:rsid w:val="002231A0"/>
    <w:rsid w:val="002231B7"/>
    <w:rsid w:val="002231DB"/>
    <w:rsid w:val="002232EA"/>
    <w:rsid w:val="00223360"/>
    <w:rsid w:val="0022342D"/>
    <w:rsid w:val="00223585"/>
    <w:rsid w:val="002235C3"/>
    <w:rsid w:val="002235E5"/>
    <w:rsid w:val="0022360D"/>
    <w:rsid w:val="0022361C"/>
    <w:rsid w:val="0022368A"/>
    <w:rsid w:val="002236EF"/>
    <w:rsid w:val="002236F8"/>
    <w:rsid w:val="00223760"/>
    <w:rsid w:val="00223763"/>
    <w:rsid w:val="002237A7"/>
    <w:rsid w:val="0022380E"/>
    <w:rsid w:val="00223834"/>
    <w:rsid w:val="002238A1"/>
    <w:rsid w:val="002238B4"/>
    <w:rsid w:val="002239FC"/>
    <w:rsid w:val="00223A77"/>
    <w:rsid w:val="00223A98"/>
    <w:rsid w:val="00223A9A"/>
    <w:rsid w:val="00223B27"/>
    <w:rsid w:val="00223B67"/>
    <w:rsid w:val="00223CC1"/>
    <w:rsid w:val="00223CD9"/>
    <w:rsid w:val="00223D38"/>
    <w:rsid w:val="00223E22"/>
    <w:rsid w:val="00223E77"/>
    <w:rsid w:val="00223FA1"/>
    <w:rsid w:val="00223FAC"/>
    <w:rsid w:val="00223FC6"/>
    <w:rsid w:val="00223FF9"/>
    <w:rsid w:val="0022402F"/>
    <w:rsid w:val="00224085"/>
    <w:rsid w:val="00224088"/>
    <w:rsid w:val="002240F1"/>
    <w:rsid w:val="0022413A"/>
    <w:rsid w:val="002241BB"/>
    <w:rsid w:val="002241F4"/>
    <w:rsid w:val="00224253"/>
    <w:rsid w:val="002242EF"/>
    <w:rsid w:val="0022435C"/>
    <w:rsid w:val="00224394"/>
    <w:rsid w:val="002243CF"/>
    <w:rsid w:val="0022440F"/>
    <w:rsid w:val="0022441A"/>
    <w:rsid w:val="00224435"/>
    <w:rsid w:val="002244A9"/>
    <w:rsid w:val="002244BB"/>
    <w:rsid w:val="00224578"/>
    <w:rsid w:val="00224706"/>
    <w:rsid w:val="00224756"/>
    <w:rsid w:val="002247A7"/>
    <w:rsid w:val="0022484D"/>
    <w:rsid w:val="00224979"/>
    <w:rsid w:val="00224AA9"/>
    <w:rsid w:val="00224B3A"/>
    <w:rsid w:val="00224B3F"/>
    <w:rsid w:val="00224B4C"/>
    <w:rsid w:val="00224BD7"/>
    <w:rsid w:val="00224C6B"/>
    <w:rsid w:val="00224C92"/>
    <w:rsid w:val="00224C96"/>
    <w:rsid w:val="00224CB2"/>
    <w:rsid w:val="00224D61"/>
    <w:rsid w:val="00224D69"/>
    <w:rsid w:val="00224EA5"/>
    <w:rsid w:val="00224F95"/>
    <w:rsid w:val="00224FF3"/>
    <w:rsid w:val="0022507F"/>
    <w:rsid w:val="0022520E"/>
    <w:rsid w:val="00225240"/>
    <w:rsid w:val="002252D9"/>
    <w:rsid w:val="00225311"/>
    <w:rsid w:val="0022542B"/>
    <w:rsid w:val="002254B1"/>
    <w:rsid w:val="00225560"/>
    <w:rsid w:val="0022558D"/>
    <w:rsid w:val="00225596"/>
    <w:rsid w:val="0022561F"/>
    <w:rsid w:val="00225634"/>
    <w:rsid w:val="0022565C"/>
    <w:rsid w:val="00225830"/>
    <w:rsid w:val="002258DD"/>
    <w:rsid w:val="00225992"/>
    <w:rsid w:val="002259CA"/>
    <w:rsid w:val="00225A05"/>
    <w:rsid w:val="00225A86"/>
    <w:rsid w:val="00225AF8"/>
    <w:rsid w:val="00225B2B"/>
    <w:rsid w:val="00225BF5"/>
    <w:rsid w:val="00225F30"/>
    <w:rsid w:val="00225FD2"/>
    <w:rsid w:val="002261D1"/>
    <w:rsid w:val="00226225"/>
    <w:rsid w:val="00226278"/>
    <w:rsid w:val="00226309"/>
    <w:rsid w:val="002264AA"/>
    <w:rsid w:val="00226516"/>
    <w:rsid w:val="002265B3"/>
    <w:rsid w:val="0022663A"/>
    <w:rsid w:val="002266BA"/>
    <w:rsid w:val="00226772"/>
    <w:rsid w:val="002267C1"/>
    <w:rsid w:val="0022687C"/>
    <w:rsid w:val="0022694A"/>
    <w:rsid w:val="00226959"/>
    <w:rsid w:val="002269CA"/>
    <w:rsid w:val="00226B77"/>
    <w:rsid w:val="00226BF7"/>
    <w:rsid w:val="00226C04"/>
    <w:rsid w:val="00226D28"/>
    <w:rsid w:val="00226DD2"/>
    <w:rsid w:val="00226E52"/>
    <w:rsid w:val="00226E85"/>
    <w:rsid w:val="00226EDE"/>
    <w:rsid w:val="00226EFD"/>
    <w:rsid w:val="00226F57"/>
    <w:rsid w:val="00226F71"/>
    <w:rsid w:val="00226FCB"/>
    <w:rsid w:val="00226FEC"/>
    <w:rsid w:val="0022700D"/>
    <w:rsid w:val="0022700E"/>
    <w:rsid w:val="002270B9"/>
    <w:rsid w:val="002271C2"/>
    <w:rsid w:val="0022730D"/>
    <w:rsid w:val="0022740B"/>
    <w:rsid w:val="00227474"/>
    <w:rsid w:val="00227479"/>
    <w:rsid w:val="00227499"/>
    <w:rsid w:val="0022768E"/>
    <w:rsid w:val="00227712"/>
    <w:rsid w:val="00227762"/>
    <w:rsid w:val="00227846"/>
    <w:rsid w:val="0022789F"/>
    <w:rsid w:val="00227A45"/>
    <w:rsid w:val="00227C19"/>
    <w:rsid w:val="00227C21"/>
    <w:rsid w:val="00227D13"/>
    <w:rsid w:val="00227D60"/>
    <w:rsid w:val="00227E34"/>
    <w:rsid w:val="002301D0"/>
    <w:rsid w:val="0023020D"/>
    <w:rsid w:val="00230264"/>
    <w:rsid w:val="00230312"/>
    <w:rsid w:val="00230329"/>
    <w:rsid w:val="002303D9"/>
    <w:rsid w:val="0023048F"/>
    <w:rsid w:val="00230642"/>
    <w:rsid w:val="00230663"/>
    <w:rsid w:val="002307F8"/>
    <w:rsid w:val="00230822"/>
    <w:rsid w:val="00230868"/>
    <w:rsid w:val="00230A1C"/>
    <w:rsid w:val="00230A81"/>
    <w:rsid w:val="00230A9B"/>
    <w:rsid w:val="00230AE5"/>
    <w:rsid w:val="00230B54"/>
    <w:rsid w:val="00230BD9"/>
    <w:rsid w:val="00230C7F"/>
    <w:rsid w:val="00230CD8"/>
    <w:rsid w:val="00230CE8"/>
    <w:rsid w:val="00230F09"/>
    <w:rsid w:val="00231109"/>
    <w:rsid w:val="00231140"/>
    <w:rsid w:val="002311A6"/>
    <w:rsid w:val="00231204"/>
    <w:rsid w:val="00231217"/>
    <w:rsid w:val="0023130F"/>
    <w:rsid w:val="002313ED"/>
    <w:rsid w:val="002315BA"/>
    <w:rsid w:val="00231650"/>
    <w:rsid w:val="0023166F"/>
    <w:rsid w:val="002316A1"/>
    <w:rsid w:val="002316BA"/>
    <w:rsid w:val="00231741"/>
    <w:rsid w:val="00231769"/>
    <w:rsid w:val="002317C5"/>
    <w:rsid w:val="002317ED"/>
    <w:rsid w:val="00231931"/>
    <w:rsid w:val="00231952"/>
    <w:rsid w:val="00231A3F"/>
    <w:rsid w:val="00231CA2"/>
    <w:rsid w:val="00231D1D"/>
    <w:rsid w:val="00231D48"/>
    <w:rsid w:val="00231DFB"/>
    <w:rsid w:val="00231EF6"/>
    <w:rsid w:val="00231F6D"/>
    <w:rsid w:val="00231F6E"/>
    <w:rsid w:val="00231F90"/>
    <w:rsid w:val="00232007"/>
    <w:rsid w:val="002320D8"/>
    <w:rsid w:val="00232224"/>
    <w:rsid w:val="0023222A"/>
    <w:rsid w:val="0023223C"/>
    <w:rsid w:val="0023226E"/>
    <w:rsid w:val="002322A4"/>
    <w:rsid w:val="002322EA"/>
    <w:rsid w:val="00232440"/>
    <w:rsid w:val="00232451"/>
    <w:rsid w:val="0023249C"/>
    <w:rsid w:val="002324AE"/>
    <w:rsid w:val="002325A4"/>
    <w:rsid w:val="0023261D"/>
    <w:rsid w:val="0023262D"/>
    <w:rsid w:val="00232668"/>
    <w:rsid w:val="00232680"/>
    <w:rsid w:val="0023270C"/>
    <w:rsid w:val="00232719"/>
    <w:rsid w:val="0023276D"/>
    <w:rsid w:val="002327F7"/>
    <w:rsid w:val="00232818"/>
    <w:rsid w:val="00232868"/>
    <w:rsid w:val="002328A6"/>
    <w:rsid w:val="002328AC"/>
    <w:rsid w:val="002328DC"/>
    <w:rsid w:val="002329C7"/>
    <w:rsid w:val="00232A09"/>
    <w:rsid w:val="00232A1B"/>
    <w:rsid w:val="00232A1E"/>
    <w:rsid w:val="00232A2E"/>
    <w:rsid w:val="00232B21"/>
    <w:rsid w:val="00232B54"/>
    <w:rsid w:val="00232BC8"/>
    <w:rsid w:val="00232C0F"/>
    <w:rsid w:val="00232C9C"/>
    <w:rsid w:val="00232CC7"/>
    <w:rsid w:val="00232CD9"/>
    <w:rsid w:val="00232CDE"/>
    <w:rsid w:val="00232CED"/>
    <w:rsid w:val="00232D57"/>
    <w:rsid w:val="00232DAD"/>
    <w:rsid w:val="00232E0F"/>
    <w:rsid w:val="00232E17"/>
    <w:rsid w:val="00232E22"/>
    <w:rsid w:val="00232E28"/>
    <w:rsid w:val="00232E2E"/>
    <w:rsid w:val="00232EB4"/>
    <w:rsid w:val="00232FAD"/>
    <w:rsid w:val="00232FBD"/>
    <w:rsid w:val="00232FF5"/>
    <w:rsid w:val="00233085"/>
    <w:rsid w:val="002330E9"/>
    <w:rsid w:val="00233119"/>
    <w:rsid w:val="0023311C"/>
    <w:rsid w:val="002331C3"/>
    <w:rsid w:val="0023322F"/>
    <w:rsid w:val="00233245"/>
    <w:rsid w:val="002333BD"/>
    <w:rsid w:val="00233495"/>
    <w:rsid w:val="002334F1"/>
    <w:rsid w:val="00233554"/>
    <w:rsid w:val="00233571"/>
    <w:rsid w:val="002335EA"/>
    <w:rsid w:val="0023361B"/>
    <w:rsid w:val="0023374A"/>
    <w:rsid w:val="002337B0"/>
    <w:rsid w:val="0023385F"/>
    <w:rsid w:val="00233997"/>
    <w:rsid w:val="00233A09"/>
    <w:rsid w:val="00233A9C"/>
    <w:rsid w:val="00233AB9"/>
    <w:rsid w:val="00233BCF"/>
    <w:rsid w:val="00233C11"/>
    <w:rsid w:val="00233C4F"/>
    <w:rsid w:val="00233DCC"/>
    <w:rsid w:val="00233E20"/>
    <w:rsid w:val="00233E5F"/>
    <w:rsid w:val="00233F52"/>
    <w:rsid w:val="00233F70"/>
    <w:rsid w:val="00234014"/>
    <w:rsid w:val="002341B8"/>
    <w:rsid w:val="00234208"/>
    <w:rsid w:val="0023421A"/>
    <w:rsid w:val="00234293"/>
    <w:rsid w:val="002342AD"/>
    <w:rsid w:val="0023436C"/>
    <w:rsid w:val="0023437B"/>
    <w:rsid w:val="002343C1"/>
    <w:rsid w:val="00234410"/>
    <w:rsid w:val="0023444D"/>
    <w:rsid w:val="002346B5"/>
    <w:rsid w:val="00234860"/>
    <w:rsid w:val="00234910"/>
    <w:rsid w:val="002349DE"/>
    <w:rsid w:val="00234A92"/>
    <w:rsid w:val="00234B7A"/>
    <w:rsid w:val="00234BAE"/>
    <w:rsid w:val="00234CD1"/>
    <w:rsid w:val="00234CFE"/>
    <w:rsid w:val="00234D03"/>
    <w:rsid w:val="00234D15"/>
    <w:rsid w:val="00234D25"/>
    <w:rsid w:val="00234D2F"/>
    <w:rsid w:val="00234DED"/>
    <w:rsid w:val="00234E33"/>
    <w:rsid w:val="00234E55"/>
    <w:rsid w:val="00234F09"/>
    <w:rsid w:val="00234F38"/>
    <w:rsid w:val="00234F5F"/>
    <w:rsid w:val="0023504F"/>
    <w:rsid w:val="00235061"/>
    <w:rsid w:val="002350A5"/>
    <w:rsid w:val="002350E4"/>
    <w:rsid w:val="002351BB"/>
    <w:rsid w:val="002352DA"/>
    <w:rsid w:val="00235357"/>
    <w:rsid w:val="002353EE"/>
    <w:rsid w:val="0023549D"/>
    <w:rsid w:val="00235596"/>
    <w:rsid w:val="002355CC"/>
    <w:rsid w:val="00235601"/>
    <w:rsid w:val="002356EC"/>
    <w:rsid w:val="002357DC"/>
    <w:rsid w:val="00235861"/>
    <w:rsid w:val="0023587D"/>
    <w:rsid w:val="00235898"/>
    <w:rsid w:val="002358A8"/>
    <w:rsid w:val="002358EB"/>
    <w:rsid w:val="0023593A"/>
    <w:rsid w:val="00235943"/>
    <w:rsid w:val="0023597E"/>
    <w:rsid w:val="00235A1A"/>
    <w:rsid w:val="00235ACB"/>
    <w:rsid w:val="00235B55"/>
    <w:rsid w:val="00235B7A"/>
    <w:rsid w:val="00235BA7"/>
    <w:rsid w:val="00235BCF"/>
    <w:rsid w:val="00235D1B"/>
    <w:rsid w:val="00235E1B"/>
    <w:rsid w:val="00235E30"/>
    <w:rsid w:val="00235E52"/>
    <w:rsid w:val="00235ED8"/>
    <w:rsid w:val="00235F42"/>
    <w:rsid w:val="00236009"/>
    <w:rsid w:val="002360C6"/>
    <w:rsid w:val="002361B3"/>
    <w:rsid w:val="00236277"/>
    <w:rsid w:val="00236283"/>
    <w:rsid w:val="002362D1"/>
    <w:rsid w:val="002362E0"/>
    <w:rsid w:val="002362F0"/>
    <w:rsid w:val="00236333"/>
    <w:rsid w:val="00236371"/>
    <w:rsid w:val="002364AD"/>
    <w:rsid w:val="0023651A"/>
    <w:rsid w:val="00236594"/>
    <w:rsid w:val="002365B9"/>
    <w:rsid w:val="00236656"/>
    <w:rsid w:val="0023669B"/>
    <w:rsid w:val="002366AB"/>
    <w:rsid w:val="002366E9"/>
    <w:rsid w:val="0023674C"/>
    <w:rsid w:val="002367D6"/>
    <w:rsid w:val="002367ED"/>
    <w:rsid w:val="0023682B"/>
    <w:rsid w:val="00236864"/>
    <w:rsid w:val="00236900"/>
    <w:rsid w:val="00236945"/>
    <w:rsid w:val="0023694B"/>
    <w:rsid w:val="002369DD"/>
    <w:rsid w:val="00236A01"/>
    <w:rsid w:val="00236A67"/>
    <w:rsid w:val="00236AA5"/>
    <w:rsid w:val="00236AC1"/>
    <w:rsid w:val="00236B00"/>
    <w:rsid w:val="00236B7C"/>
    <w:rsid w:val="00236BFB"/>
    <w:rsid w:val="00236C3B"/>
    <w:rsid w:val="0023722D"/>
    <w:rsid w:val="00237236"/>
    <w:rsid w:val="00237350"/>
    <w:rsid w:val="002373A0"/>
    <w:rsid w:val="002373C0"/>
    <w:rsid w:val="002373F6"/>
    <w:rsid w:val="0023746E"/>
    <w:rsid w:val="00237546"/>
    <w:rsid w:val="0023758C"/>
    <w:rsid w:val="002376C4"/>
    <w:rsid w:val="00237989"/>
    <w:rsid w:val="00237A0C"/>
    <w:rsid w:val="00237A97"/>
    <w:rsid w:val="00237AAB"/>
    <w:rsid w:val="00237AFC"/>
    <w:rsid w:val="00237B20"/>
    <w:rsid w:val="00237C02"/>
    <w:rsid w:val="00237CF2"/>
    <w:rsid w:val="00237E00"/>
    <w:rsid w:val="00237EE4"/>
    <w:rsid w:val="00237F19"/>
    <w:rsid w:val="00237F7F"/>
    <w:rsid w:val="00240025"/>
    <w:rsid w:val="0024006C"/>
    <w:rsid w:val="002400F6"/>
    <w:rsid w:val="002401F7"/>
    <w:rsid w:val="00240205"/>
    <w:rsid w:val="0024026C"/>
    <w:rsid w:val="002402DB"/>
    <w:rsid w:val="00240310"/>
    <w:rsid w:val="0024052A"/>
    <w:rsid w:val="0024059D"/>
    <w:rsid w:val="0024069C"/>
    <w:rsid w:val="0024084A"/>
    <w:rsid w:val="002409B0"/>
    <w:rsid w:val="002409DA"/>
    <w:rsid w:val="00240B1F"/>
    <w:rsid w:val="00240BE6"/>
    <w:rsid w:val="00240BED"/>
    <w:rsid w:val="00240D2B"/>
    <w:rsid w:val="00240DF6"/>
    <w:rsid w:val="00240E4E"/>
    <w:rsid w:val="00240F3F"/>
    <w:rsid w:val="00240F9E"/>
    <w:rsid w:val="002410FD"/>
    <w:rsid w:val="002411F5"/>
    <w:rsid w:val="00241203"/>
    <w:rsid w:val="00241240"/>
    <w:rsid w:val="00241268"/>
    <w:rsid w:val="0024126E"/>
    <w:rsid w:val="0024133B"/>
    <w:rsid w:val="0024137B"/>
    <w:rsid w:val="0024139C"/>
    <w:rsid w:val="002413A2"/>
    <w:rsid w:val="002413B7"/>
    <w:rsid w:val="002413C6"/>
    <w:rsid w:val="002413F2"/>
    <w:rsid w:val="002413FD"/>
    <w:rsid w:val="002414B9"/>
    <w:rsid w:val="002414FC"/>
    <w:rsid w:val="00241518"/>
    <w:rsid w:val="0024151C"/>
    <w:rsid w:val="00241549"/>
    <w:rsid w:val="00241629"/>
    <w:rsid w:val="00241668"/>
    <w:rsid w:val="0024176C"/>
    <w:rsid w:val="00241923"/>
    <w:rsid w:val="0024197B"/>
    <w:rsid w:val="00241AA8"/>
    <w:rsid w:val="00241B24"/>
    <w:rsid w:val="00241B3F"/>
    <w:rsid w:val="00241B82"/>
    <w:rsid w:val="00241C92"/>
    <w:rsid w:val="00241CFE"/>
    <w:rsid w:val="00241D04"/>
    <w:rsid w:val="00241D33"/>
    <w:rsid w:val="00241DBE"/>
    <w:rsid w:val="00241DCE"/>
    <w:rsid w:val="00241E1E"/>
    <w:rsid w:val="00241E35"/>
    <w:rsid w:val="00241EDE"/>
    <w:rsid w:val="00241F00"/>
    <w:rsid w:val="00241F38"/>
    <w:rsid w:val="00242047"/>
    <w:rsid w:val="0024204C"/>
    <w:rsid w:val="00242055"/>
    <w:rsid w:val="0024214B"/>
    <w:rsid w:val="002421A4"/>
    <w:rsid w:val="002421CA"/>
    <w:rsid w:val="00242314"/>
    <w:rsid w:val="0024232D"/>
    <w:rsid w:val="0024233C"/>
    <w:rsid w:val="00242352"/>
    <w:rsid w:val="0024237B"/>
    <w:rsid w:val="00242499"/>
    <w:rsid w:val="0024258B"/>
    <w:rsid w:val="002425A1"/>
    <w:rsid w:val="002426B8"/>
    <w:rsid w:val="0024278D"/>
    <w:rsid w:val="002427A7"/>
    <w:rsid w:val="002427EC"/>
    <w:rsid w:val="002427F6"/>
    <w:rsid w:val="0024282E"/>
    <w:rsid w:val="002428B0"/>
    <w:rsid w:val="00242939"/>
    <w:rsid w:val="00242941"/>
    <w:rsid w:val="00242A59"/>
    <w:rsid w:val="00242A96"/>
    <w:rsid w:val="00242AF3"/>
    <w:rsid w:val="00242B18"/>
    <w:rsid w:val="00242C8A"/>
    <w:rsid w:val="00242DAD"/>
    <w:rsid w:val="00242E5C"/>
    <w:rsid w:val="00242FD1"/>
    <w:rsid w:val="002430BC"/>
    <w:rsid w:val="002430F6"/>
    <w:rsid w:val="00243135"/>
    <w:rsid w:val="0024314A"/>
    <w:rsid w:val="00243189"/>
    <w:rsid w:val="002433DE"/>
    <w:rsid w:val="00243635"/>
    <w:rsid w:val="00243663"/>
    <w:rsid w:val="0024368A"/>
    <w:rsid w:val="002437B3"/>
    <w:rsid w:val="0024382D"/>
    <w:rsid w:val="00243919"/>
    <w:rsid w:val="00243A0E"/>
    <w:rsid w:val="00243A32"/>
    <w:rsid w:val="00243A59"/>
    <w:rsid w:val="00243A77"/>
    <w:rsid w:val="00243B5C"/>
    <w:rsid w:val="00243B90"/>
    <w:rsid w:val="00243BEE"/>
    <w:rsid w:val="00243C3D"/>
    <w:rsid w:val="00243D41"/>
    <w:rsid w:val="00243DAB"/>
    <w:rsid w:val="00243F6C"/>
    <w:rsid w:val="00243F76"/>
    <w:rsid w:val="00244008"/>
    <w:rsid w:val="002440D9"/>
    <w:rsid w:val="00244164"/>
    <w:rsid w:val="002441BB"/>
    <w:rsid w:val="002441EC"/>
    <w:rsid w:val="00244273"/>
    <w:rsid w:val="00244416"/>
    <w:rsid w:val="002444BA"/>
    <w:rsid w:val="002444E3"/>
    <w:rsid w:val="002445DB"/>
    <w:rsid w:val="002446AF"/>
    <w:rsid w:val="002447C8"/>
    <w:rsid w:val="002447D8"/>
    <w:rsid w:val="00244877"/>
    <w:rsid w:val="002448F1"/>
    <w:rsid w:val="002448F8"/>
    <w:rsid w:val="00244907"/>
    <w:rsid w:val="00244986"/>
    <w:rsid w:val="00244B16"/>
    <w:rsid w:val="00244B60"/>
    <w:rsid w:val="00244D2C"/>
    <w:rsid w:val="00244E45"/>
    <w:rsid w:val="00244FBA"/>
    <w:rsid w:val="0024500C"/>
    <w:rsid w:val="00245176"/>
    <w:rsid w:val="002451EB"/>
    <w:rsid w:val="0024521A"/>
    <w:rsid w:val="002452EC"/>
    <w:rsid w:val="0024531D"/>
    <w:rsid w:val="002453FE"/>
    <w:rsid w:val="0024559E"/>
    <w:rsid w:val="002455A2"/>
    <w:rsid w:val="002455EB"/>
    <w:rsid w:val="002455F4"/>
    <w:rsid w:val="002455FD"/>
    <w:rsid w:val="002456FF"/>
    <w:rsid w:val="002457D8"/>
    <w:rsid w:val="002457DE"/>
    <w:rsid w:val="0024583E"/>
    <w:rsid w:val="002458C6"/>
    <w:rsid w:val="002458D1"/>
    <w:rsid w:val="00245A63"/>
    <w:rsid w:val="00245AE8"/>
    <w:rsid w:val="00245B17"/>
    <w:rsid w:val="00245B45"/>
    <w:rsid w:val="00245B63"/>
    <w:rsid w:val="00245B7D"/>
    <w:rsid w:val="00245BFE"/>
    <w:rsid w:val="00245CD4"/>
    <w:rsid w:val="00245DF5"/>
    <w:rsid w:val="00245E4B"/>
    <w:rsid w:val="00245E65"/>
    <w:rsid w:val="00245ECC"/>
    <w:rsid w:val="00245F07"/>
    <w:rsid w:val="00245FE7"/>
    <w:rsid w:val="00246004"/>
    <w:rsid w:val="00246072"/>
    <w:rsid w:val="0024610E"/>
    <w:rsid w:val="00246171"/>
    <w:rsid w:val="0024627D"/>
    <w:rsid w:val="00246334"/>
    <w:rsid w:val="0024636A"/>
    <w:rsid w:val="00246405"/>
    <w:rsid w:val="00246435"/>
    <w:rsid w:val="002464BD"/>
    <w:rsid w:val="002464F8"/>
    <w:rsid w:val="002464FC"/>
    <w:rsid w:val="0024654E"/>
    <w:rsid w:val="0024655D"/>
    <w:rsid w:val="002466FE"/>
    <w:rsid w:val="0024676A"/>
    <w:rsid w:val="0024680D"/>
    <w:rsid w:val="0024687F"/>
    <w:rsid w:val="00246945"/>
    <w:rsid w:val="00246946"/>
    <w:rsid w:val="00246A17"/>
    <w:rsid w:val="00246A20"/>
    <w:rsid w:val="00246B05"/>
    <w:rsid w:val="00246B27"/>
    <w:rsid w:val="00246B35"/>
    <w:rsid w:val="00246BC5"/>
    <w:rsid w:val="00246BCF"/>
    <w:rsid w:val="00246C1E"/>
    <w:rsid w:val="00246CBC"/>
    <w:rsid w:val="00246F34"/>
    <w:rsid w:val="00246F8B"/>
    <w:rsid w:val="00246FE6"/>
    <w:rsid w:val="00246FF3"/>
    <w:rsid w:val="0024708F"/>
    <w:rsid w:val="00247120"/>
    <w:rsid w:val="00247126"/>
    <w:rsid w:val="0024714D"/>
    <w:rsid w:val="002471B9"/>
    <w:rsid w:val="002472BE"/>
    <w:rsid w:val="0024730B"/>
    <w:rsid w:val="002473BF"/>
    <w:rsid w:val="00247511"/>
    <w:rsid w:val="00247542"/>
    <w:rsid w:val="0024756F"/>
    <w:rsid w:val="00247579"/>
    <w:rsid w:val="00247582"/>
    <w:rsid w:val="00247584"/>
    <w:rsid w:val="0024759B"/>
    <w:rsid w:val="00247609"/>
    <w:rsid w:val="0024767F"/>
    <w:rsid w:val="002476BD"/>
    <w:rsid w:val="002476E7"/>
    <w:rsid w:val="00247704"/>
    <w:rsid w:val="00247790"/>
    <w:rsid w:val="00247918"/>
    <w:rsid w:val="00247A1D"/>
    <w:rsid w:val="00247A47"/>
    <w:rsid w:val="00247B5E"/>
    <w:rsid w:val="00247CC8"/>
    <w:rsid w:val="00247E72"/>
    <w:rsid w:val="00247EF3"/>
    <w:rsid w:val="00247F05"/>
    <w:rsid w:val="00247F2F"/>
    <w:rsid w:val="00247F5D"/>
    <w:rsid w:val="00247FA0"/>
    <w:rsid w:val="00247FBF"/>
    <w:rsid w:val="00247FF4"/>
    <w:rsid w:val="00248E27"/>
    <w:rsid w:val="0025003B"/>
    <w:rsid w:val="00250057"/>
    <w:rsid w:val="00250060"/>
    <w:rsid w:val="002500EB"/>
    <w:rsid w:val="00250106"/>
    <w:rsid w:val="00250225"/>
    <w:rsid w:val="002502CD"/>
    <w:rsid w:val="002502FD"/>
    <w:rsid w:val="0025033F"/>
    <w:rsid w:val="00250382"/>
    <w:rsid w:val="0025039C"/>
    <w:rsid w:val="002504FC"/>
    <w:rsid w:val="002504FE"/>
    <w:rsid w:val="0025065C"/>
    <w:rsid w:val="00250726"/>
    <w:rsid w:val="00250841"/>
    <w:rsid w:val="0025084F"/>
    <w:rsid w:val="00250872"/>
    <w:rsid w:val="002508BD"/>
    <w:rsid w:val="002508FB"/>
    <w:rsid w:val="002508FD"/>
    <w:rsid w:val="002509B5"/>
    <w:rsid w:val="00250A2B"/>
    <w:rsid w:val="00250A98"/>
    <w:rsid w:val="00250AC1"/>
    <w:rsid w:val="00250AE3"/>
    <w:rsid w:val="00250B76"/>
    <w:rsid w:val="00250BAD"/>
    <w:rsid w:val="00250BE6"/>
    <w:rsid w:val="00250CB9"/>
    <w:rsid w:val="00250E01"/>
    <w:rsid w:val="00250EFE"/>
    <w:rsid w:val="00250F11"/>
    <w:rsid w:val="00250FA5"/>
    <w:rsid w:val="00251008"/>
    <w:rsid w:val="0025103E"/>
    <w:rsid w:val="002510A0"/>
    <w:rsid w:val="00251245"/>
    <w:rsid w:val="002512E3"/>
    <w:rsid w:val="002513F2"/>
    <w:rsid w:val="00251412"/>
    <w:rsid w:val="0025149E"/>
    <w:rsid w:val="002514AF"/>
    <w:rsid w:val="00251698"/>
    <w:rsid w:val="002516A0"/>
    <w:rsid w:val="00251807"/>
    <w:rsid w:val="00251936"/>
    <w:rsid w:val="002519BC"/>
    <w:rsid w:val="00251B44"/>
    <w:rsid w:val="00251BA1"/>
    <w:rsid w:val="00251C68"/>
    <w:rsid w:val="00251CA2"/>
    <w:rsid w:val="00251D28"/>
    <w:rsid w:val="00251D2A"/>
    <w:rsid w:val="00251D35"/>
    <w:rsid w:val="00251D80"/>
    <w:rsid w:val="00251E01"/>
    <w:rsid w:val="00251F35"/>
    <w:rsid w:val="00251FEA"/>
    <w:rsid w:val="00252065"/>
    <w:rsid w:val="002520B4"/>
    <w:rsid w:val="00252156"/>
    <w:rsid w:val="0025219C"/>
    <w:rsid w:val="0025233E"/>
    <w:rsid w:val="00252355"/>
    <w:rsid w:val="002524E6"/>
    <w:rsid w:val="0025256A"/>
    <w:rsid w:val="00252592"/>
    <w:rsid w:val="002525C2"/>
    <w:rsid w:val="0025261B"/>
    <w:rsid w:val="00252744"/>
    <w:rsid w:val="002527E7"/>
    <w:rsid w:val="002527ED"/>
    <w:rsid w:val="002528B0"/>
    <w:rsid w:val="002529AA"/>
    <w:rsid w:val="002529DA"/>
    <w:rsid w:val="00252A3A"/>
    <w:rsid w:val="00252AC5"/>
    <w:rsid w:val="00252B69"/>
    <w:rsid w:val="00252BB4"/>
    <w:rsid w:val="00252BD1"/>
    <w:rsid w:val="00252C06"/>
    <w:rsid w:val="00252C13"/>
    <w:rsid w:val="00252C38"/>
    <w:rsid w:val="00252CA0"/>
    <w:rsid w:val="00252E39"/>
    <w:rsid w:val="00252E63"/>
    <w:rsid w:val="00252E80"/>
    <w:rsid w:val="00252E8D"/>
    <w:rsid w:val="00252EBB"/>
    <w:rsid w:val="00252EF1"/>
    <w:rsid w:val="002530A5"/>
    <w:rsid w:val="00253214"/>
    <w:rsid w:val="0025323C"/>
    <w:rsid w:val="0025326E"/>
    <w:rsid w:val="00253349"/>
    <w:rsid w:val="002533E0"/>
    <w:rsid w:val="00253525"/>
    <w:rsid w:val="0025354A"/>
    <w:rsid w:val="002535D9"/>
    <w:rsid w:val="002535FE"/>
    <w:rsid w:val="0025362E"/>
    <w:rsid w:val="00253661"/>
    <w:rsid w:val="002537B9"/>
    <w:rsid w:val="00253823"/>
    <w:rsid w:val="002538FF"/>
    <w:rsid w:val="00253918"/>
    <w:rsid w:val="00253BCF"/>
    <w:rsid w:val="00253BE7"/>
    <w:rsid w:val="00253C12"/>
    <w:rsid w:val="00253C15"/>
    <w:rsid w:val="00253C1E"/>
    <w:rsid w:val="00253C27"/>
    <w:rsid w:val="00253CC4"/>
    <w:rsid w:val="00253CED"/>
    <w:rsid w:val="00253CFE"/>
    <w:rsid w:val="00253D63"/>
    <w:rsid w:val="00253DE4"/>
    <w:rsid w:val="00253E2F"/>
    <w:rsid w:val="00253E72"/>
    <w:rsid w:val="00253F9D"/>
    <w:rsid w:val="00253FDE"/>
    <w:rsid w:val="00254041"/>
    <w:rsid w:val="00254098"/>
    <w:rsid w:val="0025409C"/>
    <w:rsid w:val="002540FC"/>
    <w:rsid w:val="00254192"/>
    <w:rsid w:val="00254193"/>
    <w:rsid w:val="002541ED"/>
    <w:rsid w:val="00254283"/>
    <w:rsid w:val="0025431A"/>
    <w:rsid w:val="0025436C"/>
    <w:rsid w:val="002543C4"/>
    <w:rsid w:val="0025475F"/>
    <w:rsid w:val="0025476D"/>
    <w:rsid w:val="00254771"/>
    <w:rsid w:val="002547A5"/>
    <w:rsid w:val="002547B0"/>
    <w:rsid w:val="002547DE"/>
    <w:rsid w:val="002548B9"/>
    <w:rsid w:val="00254A66"/>
    <w:rsid w:val="00254A70"/>
    <w:rsid w:val="00254AB2"/>
    <w:rsid w:val="00254BA5"/>
    <w:rsid w:val="00254C4F"/>
    <w:rsid w:val="00254C7E"/>
    <w:rsid w:val="00254D79"/>
    <w:rsid w:val="00254DEB"/>
    <w:rsid w:val="00254E5E"/>
    <w:rsid w:val="00254E75"/>
    <w:rsid w:val="00254F86"/>
    <w:rsid w:val="00254FA2"/>
    <w:rsid w:val="00255095"/>
    <w:rsid w:val="002550D5"/>
    <w:rsid w:val="002551D5"/>
    <w:rsid w:val="002552AE"/>
    <w:rsid w:val="0025530B"/>
    <w:rsid w:val="002553F2"/>
    <w:rsid w:val="00255479"/>
    <w:rsid w:val="002554CA"/>
    <w:rsid w:val="00255568"/>
    <w:rsid w:val="0025561A"/>
    <w:rsid w:val="002556FF"/>
    <w:rsid w:val="00255713"/>
    <w:rsid w:val="0025578C"/>
    <w:rsid w:val="002557A5"/>
    <w:rsid w:val="002557DD"/>
    <w:rsid w:val="00255821"/>
    <w:rsid w:val="00255834"/>
    <w:rsid w:val="00255842"/>
    <w:rsid w:val="002558EB"/>
    <w:rsid w:val="00255947"/>
    <w:rsid w:val="0025596E"/>
    <w:rsid w:val="00255A3E"/>
    <w:rsid w:val="00255AFC"/>
    <w:rsid w:val="00255CFB"/>
    <w:rsid w:val="00255DCF"/>
    <w:rsid w:val="00255ED2"/>
    <w:rsid w:val="00255FC3"/>
    <w:rsid w:val="00255FC9"/>
    <w:rsid w:val="00255FF9"/>
    <w:rsid w:val="00256025"/>
    <w:rsid w:val="002562C3"/>
    <w:rsid w:val="002563E6"/>
    <w:rsid w:val="0025642E"/>
    <w:rsid w:val="0025648E"/>
    <w:rsid w:val="0025649A"/>
    <w:rsid w:val="002566BD"/>
    <w:rsid w:val="002567CA"/>
    <w:rsid w:val="002567F3"/>
    <w:rsid w:val="00256810"/>
    <w:rsid w:val="00256831"/>
    <w:rsid w:val="00256855"/>
    <w:rsid w:val="0025687B"/>
    <w:rsid w:val="002568FB"/>
    <w:rsid w:val="00256981"/>
    <w:rsid w:val="00256A29"/>
    <w:rsid w:val="00256A79"/>
    <w:rsid w:val="00256A96"/>
    <w:rsid w:val="00256BCC"/>
    <w:rsid w:val="00256C3E"/>
    <w:rsid w:val="00256CD6"/>
    <w:rsid w:val="00256D6B"/>
    <w:rsid w:val="00256D8D"/>
    <w:rsid w:val="00256D9D"/>
    <w:rsid w:val="00256F02"/>
    <w:rsid w:val="00256FBC"/>
    <w:rsid w:val="00257003"/>
    <w:rsid w:val="00257005"/>
    <w:rsid w:val="00257011"/>
    <w:rsid w:val="00257064"/>
    <w:rsid w:val="002571D1"/>
    <w:rsid w:val="002571D6"/>
    <w:rsid w:val="002571FD"/>
    <w:rsid w:val="00257286"/>
    <w:rsid w:val="002572D2"/>
    <w:rsid w:val="002574AB"/>
    <w:rsid w:val="0025768C"/>
    <w:rsid w:val="002576D6"/>
    <w:rsid w:val="002576D9"/>
    <w:rsid w:val="0025770C"/>
    <w:rsid w:val="00257953"/>
    <w:rsid w:val="0025797C"/>
    <w:rsid w:val="002579BC"/>
    <w:rsid w:val="00257A1E"/>
    <w:rsid w:val="00257A4C"/>
    <w:rsid w:val="00257A6B"/>
    <w:rsid w:val="00257A84"/>
    <w:rsid w:val="00257A98"/>
    <w:rsid w:val="00257A9F"/>
    <w:rsid w:val="00257ACA"/>
    <w:rsid w:val="00257B67"/>
    <w:rsid w:val="00257B9F"/>
    <w:rsid w:val="00257C1C"/>
    <w:rsid w:val="00257CB5"/>
    <w:rsid w:val="00257D85"/>
    <w:rsid w:val="00257DF2"/>
    <w:rsid w:val="00257E03"/>
    <w:rsid w:val="00257F55"/>
    <w:rsid w:val="00260102"/>
    <w:rsid w:val="0026016B"/>
    <w:rsid w:val="00260184"/>
    <w:rsid w:val="002601BB"/>
    <w:rsid w:val="00260247"/>
    <w:rsid w:val="0026030D"/>
    <w:rsid w:val="0026033F"/>
    <w:rsid w:val="002603F1"/>
    <w:rsid w:val="00260410"/>
    <w:rsid w:val="00260482"/>
    <w:rsid w:val="002604B6"/>
    <w:rsid w:val="00260501"/>
    <w:rsid w:val="002605E1"/>
    <w:rsid w:val="00260629"/>
    <w:rsid w:val="002606CB"/>
    <w:rsid w:val="0026086D"/>
    <w:rsid w:val="0026091C"/>
    <w:rsid w:val="002609E2"/>
    <w:rsid w:val="00260B95"/>
    <w:rsid w:val="00260BB3"/>
    <w:rsid w:val="00260BE3"/>
    <w:rsid w:val="00260CBF"/>
    <w:rsid w:val="00260CEB"/>
    <w:rsid w:val="00260D26"/>
    <w:rsid w:val="00260D72"/>
    <w:rsid w:val="00260D89"/>
    <w:rsid w:val="00260D9E"/>
    <w:rsid w:val="00260DA8"/>
    <w:rsid w:val="00260E9F"/>
    <w:rsid w:val="00260F29"/>
    <w:rsid w:val="00260F66"/>
    <w:rsid w:val="00260F7F"/>
    <w:rsid w:val="00261039"/>
    <w:rsid w:val="0026103C"/>
    <w:rsid w:val="002611BB"/>
    <w:rsid w:val="00261214"/>
    <w:rsid w:val="00261236"/>
    <w:rsid w:val="002612A1"/>
    <w:rsid w:val="002612A8"/>
    <w:rsid w:val="002612FC"/>
    <w:rsid w:val="00261309"/>
    <w:rsid w:val="002613A1"/>
    <w:rsid w:val="002613AC"/>
    <w:rsid w:val="002613B3"/>
    <w:rsid w:val="002613E9"/>
    <w:rsid w:val="00261464"/>
    <w:rsid w:val="00261492"/>
    <w:rsid w:val="002614E9"/>
    <w:rsid w:val="0026155E"/>
    <w:rsid w:val="002616AF"/>
    <w:rsid w:val="002616B2"/>
    <w:rsid w:val="002616C2"/>
    <w:rsid w:val="002618F8"/>
    <w:rsid w:val="00261918"/>
    <w:rsid w:val="0026197D"/>
    <w:rsid w:val="00261AEA"/>
    <w:rsid w:val="00261B35"/>
    <w:rsid w:val="00261C09"/>
    <w:rsid w:val="00261CCC"/>
    <w:rsid w:val="00261CFA"/>
    <w:rsid w:val="00261D54"/>
    <w:rsid w:val="00261D5E"/>
    <w:rsid w:val="00261F31"/>
    <w:rsid w:val="0026208C"/>
    <w:rsid w:val="002620C4"/>
    <w:rsid w:val="002620D8"/>
    <w:rsid w:val="0026216E"/>
    <w:rsid w:val="002621B1"/>
    <w:rsid w:val="002621B9"/>
    <w:rsid w:val="002621D6"/>
    <w:rsid w:val="00262226"/>
    <w:rsid w:val="0026226E"/>
    <w:rsid w:val="002622A5"/>
    <w:rsid w:val="002622D4"/>
    <w:rsid w:val="002622FE"/>
    <w:rsid w:val="00262418"/>
    <w:rsid w:val="00262429"/>
    <w:rsid w:val="00262454"/>
    <w:rsid w:val="002624B1"/>
    <w:rsid w:val="0026256C"/>
    <w:rsid w:val="00262735"/>
    <w:rsid w:val="0026276D"/>
    <w:rsid w:val="002627AA"/>
    <w:rsid w:val="002627BE"/>
    <w:rsid w:val="00262815"/>
    <w:rsid w:val="002629A1"/>
    <w:rsid w:val="00262A3E"/>
    <w:rsid w:val="00262BA1"/>
    <w:rsid w:val="00262BA5"/>
    <w:rsid w:val="00262C9F"/>
    <w:rsid w:val="00262CFB"/>
    <w:rsid w:val="00262D42"/>
    <w:rsid w:val="00262D74"/>
    <w:rsid w:val="00262DB0"/>
    <w:rsid w:val="00262E8A"/>
    <w:rsid w:val="00262E9B"/>
    <w:rsid w:val="00262F76"/>
    <w:rsid w:val="00263102"/>
    <w:rsid w:val="0026329E"/>
    <w:rsid w:val="002632A9"/>
    <w:rsid w:val="002632F4"/>
    <w:rsid w:val="00263311"/>
    <w:rsid w:val="002634B5"/>
    <w:rsid w:val="002635D9"/>
    <w:rsid w:val="002636CD"/>
    <w:rsid w:val="00263855"/>
    <w:rsid w:val="002638CE"/>
    <w:rsid w:val="0026395B"/>
    <w:rsid w:val="00263A58"/>
    <w:rsid w:val="00263AC9"/>
    <w:rsid w:val="00263AE9"/>
    <w:rsid w:val="00263B12"/>
    <w:rsid w:val="00263B15"/>
    <w:rsid w:val="00263B31"/>
    <w:rsid w:val="00263B90"/>
    <w:rsid w:val="00263BAC"/>
    <w:rsid w:val="00263BD2"/>
    <w:rsid w:val="00263D5F"/>
    <w:rsid w:val="00263DA5"/>
    <w:rsid w:val="00263DB2"/>
    <w:rsid w:val="00263EAF"/>
    <w:rsid w:val="00263ECA"/>
    <w:rsid w:val="00263ED6"/>
    <w:rsid w:val="00263F89"/>
    <w:rsid w:val="00263FD0"/>
    <w:rsid w:val="00263FD1"/>
    <w:rsid w:val="00264032"/>
    <w:rsid w:val="00264075"/>
    <w:rsid w:val="00264083"/>
    <w:rsid w:val="00264105"/>
    <w:rsid w:val="0026414E"/>
    <w:rsid w:val="00264164"/>
    <w:rsid w:val="002641E8"/>
    <w:rsid w:val="00264258"/>
    <w:rsid w:val="00264292"/>
    <w:rsid w:val="00264304"/>
    <w:rsid w:val="00264335"/>
    <w:rsid w:val="00264380"/>
    <w:rsid w:val="002643A2"/>
    <w:rsid w:val="002643C8"/>
    <w:rsid w:val="002643D2"/>
    <w:rsid w:val="00264439"/>
    <w:rsid w:val="00264441"/>
    <w:rsid w:val="0026448B"/>
    <w:rsid w:val="00264572"/>
    <w:rsid w:val="002645BD"/>
    <w:rsid w:val="002645DE"/>
    <w:rsid w:val="002646CC"/>
    <w:rsid w:val="002647E8"/>
    <w:rsid w:val="00264830"/>
    <w:rsid w:val="00264889"/>
    <w:rsid w:val="00264899"/>
    <w:rsid w:val="00264955"/>
    <w:rsid w:val="002649EA"/>
    <w:rsid w:val="00264A78"/>
    <w:rsid w:val="00264AF7"/>
    <w:rsid w:val="00264B91"/>
    <w:rsid w:val="00264C26"/>
    <w:rsid w:val="00264C2D"/>
    <w:rsid w:val="00264CD6"/>
    <w:rsid w:val="00264D56"/>
    <w:rsid w:val="002650BB"/>
    <w:rsid w:val="002650DA"/>
    <w:rsid w:val="00265157"/>
    <w:rsid w:val="002651A7"/>
    <w:rsid w:val="002651DB"/>
    <w:rsid w:val="002653C3"/>
    <w:rsid w:val="002653CA"/>
    <w:rsid w:val="0026546B"/>
    <w:rsid w:val="00265501"/>
    <w:rsid w:val="00265545"/>
    <w:rsid w:val="0026563A"/>
    <w:rsid w:val="00265737"/>
    <w:rsid w:val="00265762"/>
    <w:rsid w:val="002657DC"/>
    <w:rsid w:val="002657E0"/>
    <w:rsid w:val="002657FD"/>
    <w:rsid w:val="00265823"/>
    <w:rsid w:val="0026589D"/>
    <w:rsid w:val="00265918"/>
    <w:rsid w:val="00265992"/>
    <w:rsid w:val="002659C1"/>
    <w:rsid w:val="00265AB4"/>
    <w:rsid w:val="00265B3D"/>
    <w:rsid w:val="00265B79"/>
    <w:rsid w:val="00265B7B"/>
    <w:rsid w:val="00265BA4"/>
    <w:rsid w:val="00265C90"/>
    <w:rsid w:val="00265CB4"/>
    <w:rsid w:val="00265CD3"/>
    <w:rsid w:val="00265D97"/>
    <w:rsid w:val="00265E8C"/>
    <w:rsid w:val="00265E9B"/>
    <w:rsid w:val="00265EE0"/>
    <w:rsid w:val="00265F37"/>
    <w:rsid w:val="00265F93"/>
    <w:rsid w:val="00265FC0"/>
    <w:rsid w:val="0026604C"/>
    <w:rsid w:val="0026612B"/>
    <w:rsid w:val="002661B5"/>
    <w:rsid w:val="002661EB"/>
    <w:rsid w:val="0026620F"/>
    <w:rsid w:val="0026622D"/>
    <w:rsid w:val="00266320"/>
    <w:rsid w:val="00266329"/>
    <w:rsid w:val="002663BA"/>
    <w:rsid w:val="002663CF"/>
    <w:rsid w:val="0026650A"/>
    <w:rsid w:val="002665DE"/>
    <w:rsid w:val="00266601"/>
    <w:rsid w:val="0026663A"/>
    <w:rsid w:val="00266655"/>
    <w:rsid w:val="0026666D"/>
    <w:rsid w:val="00266699"/>
    <w:rsid w:val="002667F0"/>
    <w:rsid w:val="0026684F"/>
    <w:rsid w:val="00266920"/>
    <w:rsid w:val="00266B07"/>
    <w:rsid w:val="00266B55"/>
    <w:rsid w:val="00266BCF"/>
    <w:rsid w:val="00266CC4"/>
    <w:rsid w:val="00266CE8"/>
    <w:rsid w:val="00266D26"/>
    <w:rsid w:val="00266D60"/>
    <w:rsid w:val="00266DD3"/>
    <w:rsid w:val="00266F15"/>
    <w:rsid w:val="002670B2"/>
    <w:rsid w:val="002670FA"/>
    <w:rsid w:val="00267110"/>
    <w:rsid w:val="00267121"/>
    <w:rsid w:val="00267135"/>
    <w:rsid w:val="00267293"/>
    <w:rsid w:val="00267323"/>
    <w:rsid w:val="002673B5"/>
    <w:rsid w:val="002673FF"/>
    <w:rsid w:val="00267485"/>
    <w:rsid w:val="00267568"/>
    <w:rsid w:val="002675CB"/>
    <w:rsid w:val="00267606"/>
    <w:rsid w:val="002676EF"/>
    <w:rsid w:val="002677A3"/>
    <w:rsid w:val="002678B9"/>
    <w:rsid w:val="002678C4"/>
    <w:rsid w:val="002678F6"/>
    <w:rsid w:val="0026791A"/>
    <w:rsid w:val="00267920"/>
    <w:rsid w:val="00267959"/>
    <w:rsid w:val="00267AB1"/>
    <w:rsid w:val="00267AF5"/>
    <w:rsid w:val="00267B43"/>
    <w:rsid w:val="00267B8D"/>
    <w:rsid w:val="00267BC4"/>
    <w:rsid w:val="00267BCC"/>
    <w:rsid w:val="00267C11"/>
    <w:rsid w:val="00267C8B"/>
    <w:rsid w:val="00267C92"/>
    <w:rsid w:val="00267CAA"/>
    <w:rsid w:val="00267E71"/>
    <w:rsid w:val="002688B7"/>
    <w:rsid w:val="00270073"/>
    <w:rsid w:val="002700DF"/>
    <w:rsid w:val="00270120"/>
    <w:rsid w:val="00270180"/>
    <w:rsid w:val="0027019E"/>
    <w:rsid w:val="002701CF"/>
    <w:rsid w:val="0027025A"/>
    <w:rsid w:val="00270352"/>
    <w:rsid w:val="00270370"/>
    <w:rsid w:val="002703A0"/>
    <w:rsid w:val="002703AE"/>
    <w:rsid w:val="002703D3"/>
    <w:rsid w:val="002704FF"/>
    <w:rsid w:val="0027062A"/>
    <w:rsid w:val="002706B9"/>
    <w:rsid w:val="002706E2"/>
    <w:rsid w:val="00270757"/>
    <w:rsid w:val="00270834"/>
    <w:rsid w:val="00270873"/>
    <w:rsid w:val="00270983"/>
    <w:rsid w:val="00270B29"/>
    <w:rsid w:val="00270CE1"/>
    <w:rsid w:val="00270D45"/>
    <w:rsid w:val="00270E18"/>
    <w:rsid w:val="00270E24"/>
    <w:rsid w:val="002710AC"/>
    <w:rsid w:val="002710BD"/>
    <w:rsid w:val="002710E7"/>
    <w:rsid w:val="0027111E"/>
    <w:rsid w:val="002711AF"/>
    <w:rsid w:val="00271226"/>
    <w:rsid w:val="0027123F"/>
    <w:rsid w:val="00271245"/>
    <w:rsid w:val="0027130F"/>
    <w:rsid w:val="00271326"/>
    <w:rsid w:val="00271351"/>
    <w:rsid w:val="002713B3"/>
    <w:rsid w:val="002715A2"/>
    <w:rsid w:val="002717BA"/>
    <w:rsid w:val="002717F3"/>
    <w:rsid w:val="00271860"/>
    <w:rsid w:val="00271911"/>
    <w:rsid w:val="0027194D"/>
    <w:rsid w:val="00271A53"/>
    <w:rsid w:val="00271A57"/>
    <w:rsid w:val="00271AFD"/>
    <w:rsid w:val="00271B02"/>
    <w:rsid w:val="00271CBB"/>
    <w:rsid w:val="00271CFD"/>
    <w:rsid w:val="00271E20"/>
    <w:rsid w:val="00271EC0"/>
    <w:rsid w:val="00271F22"/>
    <w:rsid w:val="00272012"/>
    <w:rsid w:val="00272017"/>
    <w:rsid w:val="00272061"/>
    <w:rsid w:val="00272067"/>
    <w:rsid w:val="00272077"/>
    <w:rsid w:val="0027207C"/>
    <w:rsid w:val="002720AA"/>
    <w:rsid w:val="002720BE"/>
    <w:rsid w:val="002720D7"/>
    <w:rsid w:val="002720EA"/>
    <w:rsid w:val="0027211A"/>
    <w:rsid w:val="002723D8"/>
    <w:rsid w:val="002723F5"/>
    <w:rsid w:val="00272409"/>
    <w:rsid w:val="00272476"/>
    <w:rsid w:val="002725F8"/>
    <w:rsid w:val="0027268F"/>
    <w:rsid w:val="00272696"/>
    <w:rsid w:val="002726AF"/>
    <w:rsid w:val="00272708"/>
    <w:rsid w:val="002727CB"/>
    <w:rsid w:val="0027283B"/>
    <w:rsid w:val="002729CD"/>
    <w:rsid w:val="002729DA"/>
    <w:rsid w:val="00272A23"/>
    <w:rsid w:val="00272A87"/>
    <w:rsid w:val="00272B35"/>
    <w:rsid w:val="00272B3B"/>
    <w:rsid w:val="00272B5D"/>
    <w:rsid w:val="00272B7F"/>
    <w:rsid w:val="00272B9C"/>
    <w:rsid w:val="00272BC0"/>
    <w:rsid w:val="00272CFB"/>
    <w:rsid w:val="00272D4B"/>
    <w:rsid w:val="00272DC2"/>
    <w:rsid w:val="00272E29"/>
    <w:rsid w:val="00272EEC"/>
    <w:rsid w:val="00272FB1"/>
    <w:rsid w:val="00273158"/>
    <w:rsid w:val="0027315E"/>
    <w:rsid w:val="00273179"/>
    <w:rsid w:val="0027326A"/>
    <w:rsid w:val="002732A0"/>
    <w:rsid w:val="002733B9"/>
    <w:rsid w:val="00273447"/>
    <w:rsid w:val="002734AA"/>
    <w:rsid w:val="0027355F"/>
    <w:rsid w:val="00273560"/>
    <w:rsid w:val="00273570"/>
    <w:rsid w:val="002735CD"/>
    <w:rsid w:val="002737BF"/>
    <w:rsid w:val="00273876"/>
    <w:rsid w:val="002738E2"/>
    <w:rsid w:val="00273950"/>
    <w:rsid w:val="00273978"/>
    <w:rsid w:val="00273A16"/>
    <w:rsid w:val="00273AB1"/>
    <w:rsid w:val="00273AFF"/>
    <w:rsid w:val="00273CD4"/>
    <w:rsid w:val="00273D80"/>
    <w:rsid w:val="00273E86"/>
    <w:rsid w:val="00273E87"/>
    <w:rsid w:val="00273EC5"/>
    <w:rsid w:val="00273EE5"/>
    <w:rsid w:val="00273F47"/>
    <w:rsid w:val="00273F78"/>
    <w:rsid w:val="00273FDD"/>
    <w:rsid w:val="00273FFF"/>
    <w:rsid w:val="002740E0"/>
    <w:rsid w:val="00274115"/>
    <w:rsid w:val="0027415B"/>
    <w:rsid w:val="002741BF"/>
    <w:rsid w:val="00274227"/>
    <w:rsid w:val="00274244"/>
    <w:rsid w:val="0027425A"/>
    <w:rsid w:val="002742E8"/>
    <w:rsid w:val="002742F5"/>
    <w:rsid w:val="0027433A"/>
    <w:rsid w:val="00274393"/>
    <w:rsid w:val="002743C4"/>
    <w:rsid w:val="002743EA"/>
    <w:rsid w:val="0027443A"/>
    <w:rsid w:val="00274602"/>
    <w:rsid w:val="00274630"/>
    <w:rsid w:val="00274717"/>
    <w:rsid w:val="00274729"/>
    <w:rsid w:val="00274861"/>
    <w:rsid w:val="00274946"/>
    <w:rsid w:val="00274995"/>
    <w:rsid w:val="00274AB7"/>
    <w:rsid w:val="00274ACD"/>
    <w:rsid w:val="00274AD3"/>
    <w:rsid w:val="00274AE1"/>
    <w:rsid w:val="00274B27"/>
    <w:rsid w:val="00274C17"/>
    <w:rsid w:val="00274C8F"/>
    <w:rsid w:val="00274D15"/>
    <w:rsid w:val="00274DF8"/>
    <w:rsid w:val="00274E74"/>
    <w:rsid w:val="00274E84"/>
    <w:rsid w:val="00274FC0"/>
    <w:rsid w:val="00275032"/>
    <w:rsid w:val="00275045"/>
    <w:rsid w:val="0027508E"/>
    <w:rsid w:val="0027508F"/>
    <w:rsid w:val="002750C8"/>
    <w:rsid w:val="00275101"/>
    <w:rsid w:val="00275117"/>
    <w:rsid w:val="0027525B"/>
    <w:rsid w:val="0027526F"/>
    <w:rsid w:val="002752A2"/>
    <w:rsid w:val="00275337"/>
    <w:rsid w:val="002754B6"/>
    <w:rsid w:val="002755C4"/>
    <w:rsid w:val="002755D8"/>
    <w:rsid w:val="0027572F"/>
    <w:rsid w:val="00275765"/>
    <w:rsid w:val="00275829"/>
    <w:rsid w:val="00275841"/>
    <w:rsid w:val="0027592C"/>
    <w:rsid w:val="00275947"/>
    <w:rsid w:val="002759C2"/>
    <w:rsid w:val="002759D2"/>
    <w:rsid w:val="00275AC9"/>
    <w:rsid w:val="00275BBE"/>
    <w:rsid w:val="00275BEA"/>
    <w:rsid w:val="00275BF8"/>
    <w:rsid w:val="00275D20"/>
    <w:rsid w:val="00275D49"/>
    <w:rsid w:val="00275D6D"/>
    <w:rsid w:val="00275E99"/>
    <w:rsid w:val="00275EB7"/>
    <w:rsid w:val="00275F6A"/>
    <w:rsid w:val="00275F71"/>
    <w:rsid w:val="00275FC6"/>
    <w:rsid w:val="00275FE9"/>
    <w:rsid w:val="0027601B"/>
    <w:rsid w:val="0027610E"/>
    <w:rsid w:val="00276221"/>
    <w:rsid w:val="00276263"/>
    <w:rsid w:val="002762D9"/>
    <w:rsid w:val="00276462"/>
    <w:rsid w:val="0027646B"/>
    <w:rsid w:val="0027659C"/>
    <w:rsid w:val="002765D0"/>
    <w:rsid w:val="002765FA"/>
    <w:rsid w:val="00276634"/>
    <w:rsid w:val="002766AE"/>
    <w:rsid w:val="002766D0"/>
    <w:rsid w:val="00276720"/>
    <w:rsid w:val="002767C2"/>
    <w:rsid w:val="00276848"/>
    <w:rsid w:val="002768A7"/>
    <w:rsid w:val="0027693F"/>
    <w:rsid w:val="0027694C"/>
    <w:rsid w:val="00276A3E"/>
    <w:rsid w:val="00276A44"/>
    <w:rsid w:val="00276A68"/>
    <w:rsid w:val="00276AD6"/>
    <w:rsid w:val="00276B07"/>
    <w:rsid w:val="00276B5D"/>
    <w:rsid w:val="00276C02"/>
    <w:rsid w:val="00276CC1"/>
    <w:rsid w:val="00276D28"/>
    <w:rsid w:val="00276D30"/>
    <w:rsid w:val="00276DAC"/>
    <w:rsid w:val="00276E34"/>
    <w:rsid w:val="00276F2C"/>
    <w:rsid w:val="00276F8D"/>
    <w:rsid w:val="00277025"/>
    <w:rsid w:val="0027708C"/>
    <w:rsid w:val="0027715D"/>
    <w:rsid w:val="002771E1"/>
    <w:rsid w:val="002771E6"/>
    <w:rsid w:val="0027732D"/>
    <w:rsid w:val="0027733A"/>
    <w:rsid w:val="0027735E"/>
    <w:rsid w:val="002773F2"/>
    <w:rsid w:val="00277446"/>
    <w:rsid w:val="0027754E"/>
    <w:rsid w:val="002775B2"/>
    <w:rsid w:val="002775D4"/>
    <w:rsid w:val="002776C0"/>
    <w:rsid w:val="002776EA"/>
    <w:rsid w:val="002777BD"/>
    <w:rsid w:val="002777D8"/>
    <w:rsid w:val="00277828"/>
    <w:rsid w:val="0027785A"/>
    <w:rsid w:val="00277A23"/>
    <w:rsid w:val="00277BE4"/>
    <w:rsid w:val="00277BE9"/>
    <w:rsid w:val="00277CF0"/>
    <w:rsid w:val="00277D8C"/>
    <w:rsid w:val="00277DEC"/>
    <w:rsid w:val="00277DF3"/>
    <w:rsid w:val="00277E1E"/>
    <w:rsid w:val="00277E4C"/>
    <w:rsid w:val="00277EAA"/>
    <w:rsid w:val="0028004E"/>
    <w:rsid w:val="00280085"/>
    <w:rsid w:val="0028018B"/>
    <w:rsid w:val="002802EF"/>
    <w:rsid w:val="002803F6"/>
    <w:rsid w:val="0028047F"/>
    <w:rsid w:val="002804AB"/>
    <w:rsid w:val="0028054D"/>
    <w:rsid w:val="002807CE"/>
    <w:rsid w:val="002807D1"/>
    <w:rsid w:val="002807DF"/>
    <w:rsid w:val="00280986"/>
    <w:rsid w:val="00280994"/>
    <w:rsid w:val="002809D7"/>
    <w:rsid w:val="00280A3A"/>
    <w:rsid w:val="00280AB6"/>
    <w:rsid w:val="00280AC0"/>
    <w:rsid w:val="00280B28"/>
    <w:rsid w:val="00280B40"/>
    <w:rsid w:val="00280BF0"/>
    <w:rsid w:val="00280C0C"/>
    <w:rsid w:val="00280C24"/>
    <w:rsid w:val="00280C4A"/>
    <w:rsid w:val="00280CED"/>
    <w:rsid w:val="00280E43"/>
    <w:rsid w:val="00280EB0"/>
    <w:rsid w:val="00280F15"/>
    <w:rsid w:val="00280F9A"/>
    <w:rsid w:val="00280FC3"/>
    <w:rsid w:val="0028104E"/>
    <w:rsid w:val="0028106B"/>
    <w:rsid w:val="00281259"/>
    <w:rsid w:val="002812AD"/>
    <w:rsid w:val="002812DE"/>
    <w:rsid w:val="00281388"/>
    <w:rsid w:val="002813FD"/>
    <w:rsid w:val="00281423"/>
    <w:rsid w:val="00281472"/>
    <w:rsid w:val="00281484"/>
    <w:rsid w:val="002814A8"/>
    <w:rsid w:val="002814E6"/>
    <w:rsid w:val="002814E7"/>
    <w:rsid w:val="002814EC"/>
    <w:rsid w:val="0028156B"/>
    <w:rsid w:val="002815CA"/>
    <w:rsid w:val="00281667"/>
    <w:rsid w:val="002816BC"/>
    <w:rsid w:val="0028176F"/>
    <w:rsid w:val="0028190F"/>
    <w:rsid w:val="00281A54"/>
    <w:rsid w:val="00281A9F"/>
    <w:rsid w:val="00281AE7"/>
    <w:rsid w:val="00281B33"/>
    <w:rsid w:val="00281B7E"/>
    <w:rsid w:val="00281BE7"/>
    <w:rsid w:val="00281C20"/>
    <w:rsid w:val="00281C2B"/>
    <w:rsid w:val="00281D6F"/>
    <w:rsid w:val="00281EAC"/>
    <w:rsid w:val="00281FA3"/>
    <w:rsid w:val="0028211B"/>
    <w:rsid w:val="00282176"/>
    <w:rsid w:val="00282191"/>
    <w:rsid w:val="00282199"/>
    <w:rsid w:val="00282254"/>
    <w:rsid w:val="00282294"/>
    <w:rsid w:val="002822A3"/>
    <w:rsid w:val="002822C5"/>
    <w:rsid w:val="00282380"/>
    <w:rsid w:val="002825C0"/>
    <w:rsid w:val="0028264D"/>
    <w:rsid w:val="0028276E"/>
    <w:rsid w:val="00282793"/>
    <w:rsid w:val="002827DA"/>
    <w:rsid w:val="00282870"/>
    <w:rsid w:val="002828E9"/>
    <w:rsid w:val="0028293E"/>
    <w:rsid w:val="00282963"/>
    <w:rsid w:val="00282AE5"/>
    <w:rsid w:val="00282B01"/>
    <w:rsid w:val="00282B96"/>
    <w:rsid w:val="00282C6F"/>
    <w:rsid w:val="00282CB6"/>
    <w:rsid w:val="00282D37"/>
    <w:rsid w:val="00282D3D"/>
    <w:rsid w:val="00282D68"/>
    <w:rsid w:val="00282E00"/>
    <w:rsid w:val="00282E04"/>
    <w:rsid w:val="00282E3B"/>
    <w:rsid w:val="00282E5B"/>
    <w:rsid w:val="00282FCB"/>
    <w:rsid w:val="00283049"/>
    <w:rsid w:val="00283220"/>
    <w:rsid w:val="0028330F"/>
    <w:rsid w:val="0028336A"/>
    <w:rsid w:val="002833D9"/>
    <w:rsid w:val="00283460"/>
    <w:rsid w:val="00283494"/>
    <w:rsid w:val="00283533"/>
    <w:rsid w:val="0028361D"/>
    <w:rsid w:val="002836E5"/>
    <w:rsid w:val="002836F1"/>
    <w:rsid w:val="00283706"/>
    <w:rsid w:val="0028372C"/>
    <w:rsid w:val="0028385C"/>
    <w:rsid w:val="00283863"/>
    <w:rsid w:val="002838A5"/>
    <w:rsid w:val="002838F4"/>
    <w:rsid w:val="00283A54"/>
    <w:rsid w:val="00283AA5"/>
    <w:rsid w:val="00283ABB"/>
    <w:rsid w:val="00283D5B"/>
    <w:rsid w:val="00283F79"/>
    <w:rsid w:val="00283F8D"/>
    <w:rsid w:val="00283FE6"/>
    <w:rsid w:val="00283FF4"/>
    <w:rsid w:val="00284092"/>
    <w:rsid w:val="00284196"/>
    <w:rsid w:val="00284215"/>
    <w:rsid w:val="0028431D"/>
    <w:rsid w:val="00284338"/>
    <w:rsid w:val="002844F8"/>
    <w:rsid w:val="0028454C"/>
    <w:rsid w:val="00284569"/>
    <w:rsid w:val="00284591"/>
    <w:rsid w:val="002845EC"/>
    <w:rsid w:val="0028469F"/>
    <w:rsid w:val="00284A68"/>
    <w:rsid w:val="00284A74"/>
    <w:rsid w:val="00284ABF"/>
    <w:rsid w:val="00284B2B"/>
    <w:rsid w:val="00284B67"/>
    <w:rsid w:val="00284BB4"/>
    <w:rsid w:val="00284BCF"/>
    <w:rsid w:val="00284BE0"/>
    <w:rsid w:val="00284C7A"/>
    <w:rsid w:val="00284D5A"/>
    <w:rsid w:val="00284F3F"/>
    <w:rsid w:val="00284F8D"/>
    <w:rsid w:val="00284FB4"/>
    <w:rsid w:val="00285029"/>
    <w:rsid w:val="00285036"/>
    <w:rsid w:val="0028515D"/>
    <w:rsid w:val="00285166"/>
    <w:rsid w:val="00285364"/>
    <w:rsid w:val="002853AC"/>
    <w:rsid w:val="002854E9"/>
    <w:rsid w:val="00285515"/>
    <w:rsid w:val="00285541"/>
    <w:rsid w:val="002855E6"/>
    <w:rsid w:val="002855E7"/>
    <w:rsid w:val="00285610"/>
    <w:rsid w:val="00285716"/>
    <w:rsid w:val="00285727"/>
    <w:rsid w:val="00285762"/>
    <w:rsid w:val="002857A6"/>
    <w:rsid w:val="0028582E"/>
    <w:rsid w:val="002858BD"/>
    <w:rsid w:val="00285903"/>
    <w:rsid w:val="00285943"/>
    <w:rsid w:val="00285A61"/>
    <w:rsid w:val="00285B27"/>
    <w:rsid w:val="00285BC3"/>
    <w:rsid w:val="00285BD9"/>
    <w:rsid w:val="00285BDF"/>
    <w:rsid w:val="00285C0F"/>
    <w:rsid w:val="00285C25"/>
    <w:rsid w:val="00285CE5"/>
    <w:rsid w:val="00285D63"/>
    <w:rsid w:val="00285DC8"/>
    <w:rsid w:val="00285DEB"/>
    <w:rsid w:val="00285DF9"/>
    <w:rsid w:val="00285E90"/>
    <w:rsid w:val="00285F04"/>
    <w:rsid w:val="00285F60"/>
    <w:rsid w:val="00285FAF"/>
    <w:rsid w:val="00285FD5"/>
    <w:rsid w:val="0028606C"/>
    <w:rsid w:val="00286115"/>
    <w:rsid w:val="00286166"/>
    <w:rsid w:val="002861B0"/>
    <w:rsid w:val="002861FD"/>
    <w:rsid w:val="0028623B"/>
    <w:rsid w:val="00286272"/>
    <w:rsid w:val="00286393"/>
    <w:rsid w:val="002863D8"/>
    <w:rsid w:val="002864F2"/>
    <w:rsid w:val="0028652E"/>
    <w:rsid w:val="0028654D"/>
    <w:rsid w:val="002865B8"/>
    <w:rsid w:val="0028668C"/>
    <w:rsid w:val="002866CC"/>
    <w:rsid w:val="00286903"/>
    <w:rsid w:val="002869B1"/>
    <w:rsid w:val="00286ABC"/>
    <w:rsid w:val="00286B1F"/>
    <w:rsid w:val="00286BE2"/>
    <w:rsid w:val="00286C5E"/>
    <w:rsid w:val="00286D92"/>
    <w:rsid w:val="00286DF0"/>
    <w:rsid w:val="00286E1E"/>
    <w:rsid w:val="00286F4A"/>
    <w:rsid w:val="00286FA8"/>
    <w:rsid w:val="00286FB3"/>
    <w:rsid w:val="00287037"/>
    <w:rsid w:val="00287114"/>
    <w:rsid w:val="0028721D"/>
    <w:rsid w:val="00287231"/>
    <w:rsid w:val="002873DE"/>
    <w:rsid w:val="0028749C"/>
    <w:rsid w:val="00287535"/>
    <w:rsid w:val="0028755B"/>
    <w:rsid w:val="00287564"/>
    <w:rsid w:val="002875DF"/>
    <w:rsid w:val="00287669"/>
    <w:rsid w:val="002876BB"/>
    <w:rsid w:val="0028772E"/>
    <w:rsid w:val="0028781C"/>
    <w:rsid w:val="00287846"/>
    <w:rsid w:val="00287895"/>
    <w:rsid w:val="002878E2"/>
    <w:rsid w:val="00287997"/>
    <w:rsid w:val="002879D4"/>
    <w:rsid w:val="002879FA"/>
    <w:rsid w:val="00287AA1"/>
    <w:rsid w:val="00287AB1"/>
    <w:rsid w:val="00287AFE"/>
    <w:rsid w:val="00287C03"/>
    <w:rsid w:val="00287C15"/>
    <w:rsid w:val="00287C21"/>
    <w:rsid w:val="00287C93"/>
    <w:rsid w:val="00287CA1"/>
    <w:rsid w:val="00287F37"/>
    <w:rsid w:val="00287F63"/>
    <w:rsid w:val="00287F6D"/>
    <w:rsid w:val="002900E8"/>
    <w:rsid w:val="00290154"/>
    <w:rsid w:val="00290189"/>
    <w:rsid w:val="00290210"/>
    <w:rsid w:val="00290242"/>
    <w:rsid w:val="0029032B"/>
    <w:rsid w:val="0029036F"/>
    <w:rsid w:val="002903C1"/>
    <w:rsid w:val="002903CC"/>
    <w:rsid w:val="002903EE"/>
    <w:rsid w:val="00290433"/>
    <w:rsid w:val="00290450"/>
    <w:rsid w:val="002904E3"/>
    <w:rsid w:val="00290577"/>
    <w:rsid w:val="00290634"/>
    <w:rsid w:val="002906BA"/>
    <w:rsid w:val="0029072A"/>
    <w:rsid w:val="00290732"/>
    <w:rsid w:val="00290769"/>
    <w:rsid w:val="002907EC"/>
    <w:rsid w:val="00290815"/>
    <w:rsid w:val="0029086C"/>
    <w:rsid w:val="0029088D"/>
    <w:rsid w:val="002908EC"/>
    <w:rsid w:val="00290958"/>
    <w:rsid w:val="00290A31"/>
    <w:rsid w:val="00290ADF"/>
    <w:rsid w:val="00290B29"/>
    <w:rsid w:val="00290C97"/>
    <w:rsid w:val="00290D19"/>
    <w:rsid w:val="00290D3B"/>
    <w:rsid w:val="00290D5A"/>
    <w:rsid w:val="00290D94"/>
    <w:rsid w:val="00290DB6"/>
    <w:rsid w:val="00290DD6"/>
    <w:rsid w:val="00290E79"/>
    <w:rsid w:val="00290F01"/>
    <w:rsid w:val="00290F3B"/>
    <w:rsid w:val="00290F98"/>
    <w:rsid w:val="00290FA3"/>
    <w:rsid w:val="00290FC4"/>
    <w:rsid w:val="00291105"/>
    <w:rsid w:val="0029118E"/>
    <w:rsid w:val="002911A3"/>
    <w:rsid w:val="002912AE"/>
    <w:rsid w:val="002912F3"/>
    <w:rsid w:val="00291333"/>
    <w:rsid w:val="0029136C"/>
    <w:rsid w:val="002914B9"/>
    <w:rsid w:val="002914F7"/>
    <w:rsid w:val="00291551"/>
    <w:rsid w:val="0029161F"/>
    <w:rsid w:val="0029167D"/>
    <w:rsid w:val="00291702"/>
    <w:rsid w:val="0029179E"/>
    <w:rsid w:val="002918B0"/>
    <w:rsid w:val="00291A66"/>
    <w:rsid w:val="00291A81"/>
    <w:rsid w:val="00291B12"/>
    <w:rsid w:val="00291B32"/>
    <w:rsid w:val="00291B68"/>
    <w:rsid w:val="00291BA7"/>
    <w:rsid w:val="00291BAF"/>
    <w:rsid w:val="00291BF1"/>
    <w:rsid w:val="00291DA8"/>
    <w:rsid w:val="00291DB6"/>
    <w:rsid w:val="00291DBF"/>
    <w:rsid w:val="00291EAB"/>
    <w:rsid w:val="00291FB0"/>
    <w:rsid w:val="00291FFE"/>
    <w:rsid w:val="00292000"/>
    <w:rsid w:val="00292236"/>
    <w:rsid w:val="00292267"/>
    <w:rsid w:val="002922A7"/>
    <w:rsid w:val="00292313"/>
    <w:rsid w:val="0029232D"/>
    <w:rsid w:val="0029240B"/>
    <w:rsid w:val="00292416"/>
    <w:rsid w:val="00292596"/>
    <w:rsid w:val="00292783"/>
    <w:rsid w:val="0029280D"/>
    <w:rsid w:val="00292820"/>
    <w:rsid w:val="00292835"/>
    <w:rsid w:val="00292997"/>
    <w:rsid w:val="00292A6E"/>
    <w:rsid w:val="00292AA5"/>
    <w:rsid w:val="00292B1A"/>
    <w:rsid w:val="00292B65"/>
    <w:rsid w:val="00292B95"/>
    <w:rsid w:val="00292BF2"/>
    <w:rsid w:val="00292C0A"/>
    <w:rsid w:val="00292C62"/>
    <w:rsid w:val="00292C71"/>
    <w:rsid w:val="00292CEE"/>
    <w:rsid w:val="00292E0A"/>
    <w:rsid w:val="00292E65"/>
    <w:rsid w:val="00292EFB"/>
    <w:rsid w:val="00292F09"/>
    <w:rsid w:val="00292FDD"/>
    <w:rsid w:val="00293080"/>
    <w:rsid w:val="00293087"/>
    <w:rsid w:val="0029317C"/>
    <w:rsid w:val="0029327D"/>
    <w:rsid w:val="002933CD"/>
    <w:rsid w:val="002934B8"/>
    <w:rsid w:val="00293501"/>
    <w:rsid w:val="002935B4"/>
    <w:rsid w:val="002935C7"/>
    <w:rsid w:val="00293638"/>
    <w:rsid w:val="0029367B"/>
    <w:rsid w:val="002936B4"/>
    <w:rsid w:val="00293813"/>
    <w:rsid w:val="00293885"/>
    <w:rsid w:val="002938DB"/>
    <w:rsid w:val="00293905"/>
    <w:rsid w:val="00293A0D"/>
    <w:rsid w:val="00293A20"/>
    <w:rsid w:val="00293B1F"/>
    <w:rsid w:val="00293B6B"/>
    <w:rsid w:val="00293B8B"/>
    <w:rsid w:val="00293C28"/>
    <w:rsid w:val="00293C4F"/>
    <w:rsid w:val="00293C81"/>
    <w:rsid w:val="00293CA2"/>
    <w:rsid w:val="00293D18"/>
    <w:rsid w:val="00293D43"/>
    <w:rsid w:val="00293D87"/>
    <w:rsid w:val="00293E2A"/>
    <w:rsid w:val="00293ED3"/>
    <w:rsid w:val="00293F0B"/>
    <w:rsid w:val="002940E5"/>
    <w:rsid w:val="002940FA"/>
    <w:rsid w:val="0029415A"/>
    <w:rsid w:val="0029416C"/>
    <w:rsid w:val="00294242"/>
    <w:rsid w:val="00294248"/>
    <w:rsid w:val="002942A7"/>
    <w:rsid w:val="0029431C"/>
    <w:rsid w:val="0029440B"/>
    <w:rsid w:val="0029452C"/>
    <w:rsid w:val="00294560"/>
    <w:rsid w:val="00294579"/>
    <w:rsid w:val="00294773"/>
    <w:rsid w:val="002947FB"/>
    <w:rsid w:val="0029482C"/>
    <w:rsid w:val="00294912"/>
    <w:rsid w:val="00294A8A"/>
    <w:rsid w:val="00294A94"/>
    <w:rsid w:val="00294AAD"/>
    <w:rsid w:val="00294AE5"/>
    <w:rsid w:val="00294B5E"/>
    <w:rsid w:val="00294B86"/>
    <w:rsid w:val="00294BC8"/>
    <w:rsid w:val="00294BFB"/>
    <w:rsid w:val="00294C6A"/>
    <w:rsid w:val="00294C7C"/>
    <w:rsid w:val="00294CA4"/>
    <w:rsid w:val="00294D44"/>
    <w:rsid w:val="00294D5A"/>
    <w:rsid w:val="00294EFB"/>
    <w:rsid w:val="00294F60"/>
    <w:rsid w:val="00294F67"/>
    <w:rsid w:val="00294F7E"/>
    <w:rsid w:val="00294FC4"/>
    <w:rsid w:val="0029515D"/>
    <w:rsid w:val="002951E6"/>
    <w:rsid w:val="00295257"/>
    <w:rsid w:val="0029530D"/>
    <w:rsid w:val="00295330"/>
    <w:rsid w:val="0029533B"/>
    <w:rsid w:val="002953B3"/>
    <w:rsid w:val="00295418"/>
    <w:rsid w:val="00295431"/>
    <w:rsid w:val="002954DE"/>
    <w:rsid w:val="00295796"/>
    <w:rsid w:val="002957F9"/>
    <w:rsid w:val="0029580A"/>
    <w:rsid w:val="0029583C"/>
    <w:rsid w:val="00295912"/>
    <w:rsid w:val="00295A19"/>
    <w:rsid w:val="00295A49"/>
    <w:rsid w:val="00295ABF"/>
    <w:rsid w:val="00295B3F"/>
    <w:rsid w:val="00295DAD"/>
    <w:rsid w:val="00295F64"/>
    <w:rsid w:val="00295FC2"/>
    <w:rsid w:val="002960F1"/>
    <w:rsid w:val="0029621C"/>
    <w:rsid w:val="0029630C"/>
    <w:rsid w:val="0029641D"/>
    <w:rsid w:val="00296477"/>
    <w:rsid w:val="00296528"/>
    <w:rsid w:val="00296536"/>
    <w:rsid w:val="002965AA"/>
    <w:rsid w:val="002965F9"/>
    <w:rsid w:val="00296679"/>
    <w:rsid w:val="002966BC"/>
    <w:rsid w:val="00296744"/>
    <w:rsid w:val="0029676A"/>
    <w:rsid w:val="0029679E"/>
    <w:rsid w:val="002967AF"/>
    <w:rsid w:val="00296803"/>
    <w:rsid w:val="00296966"/>
    <w:rsid w:val="0029697D"/>
    <w:rsid w:val="00296A61"/>
    <w:rsid w:val="00296ACD"/>
    <w:rsid w:val="00296C34"/>
    <w:rsid w:val="00296C41"/>
    <w:rsid w:val="00296CF5"/>
    <w:rsid w:val="00296EF2"/>
    <w:rsid w:val="00296F2D"/>
    <w:rsid w:val="00296F3D"/>
    <w:rsid w:val="00296F45"/>
    <w:rsid w:val="00296F96"/>
    <w:rsid w:val="00296FA3"/>
    <w:rsid w:val="0029700F"/>
    <w:rsid w:val="00297038"/>
    <w:rsid w:val="0029705D"/>
    <w:rsid w:val="0029709B"/>
    <w:rsid w:val="00297118"/>
    <w:rsid w:val="00297159"/>
    <w:rsid w:val="0029726B"/>
    <w:rsid w:val="002972DF"/>
    <w:rsid w:val="002972E6"/>
    <w:rsid w:val="00297302"/>
    <w:rsid w:val="00297394"/>
    <w:rsid w:val="0029740D"/>
    <w:rsid w:val="0029742C"/>
    <w:rsid w:val="00297442"/>
    <w:rsid w:val="00297480"/>
    <w:rsid w:val="00297553"/>
    <w:rsid w:val="002975E1"/>
    <w:rsid w:val="0029766E"/>
    <w:rsid w:val="00297747"/>
    <w:rsid w:val="0029778D"/>
    <w:rsid w:val="002977B6"/>
    <w:rsid w:val="00297855"/>
    <w:rsid w:val="00297879"/>
    <w:rsid w:val="00297880"/>
    <w:rsid w:val="002978A0"/>
    <w:rsid w:val="002978D8"/>
    <w:rsid w:val="00297945"/>
    <w:rsid w:val="002979C6"/>
    <w:rsid w:val="00297A1E"/>
    <w:rsid w:val="00297A60"/>
    <w:rsid w:val="00297AA9"/>
    <w:rsid w:val="00297B46"/>
    <w:rsid w:val="00297BC7"/>
    <w:rsid w:val="00297C97"/>
    <w:rsid w:val="00297D06"/>
    <w:rsid w:val="00297D42"/>
    <w:rsid w:val="00297D5F"/>
    <w:rsid w:val="00297D8B"/>
    <w:rsid w:val="00297DBA"/>
    <w:rsid w:val="00297E36"/>
    <w:rsid w:val="00297E4A"/>
    <w:rsid w:val="00297E7B"/>
    <w:rsid w:val="00297E8E"/>
    <w:rsid w:val="00297EB4"/>
    <w:rsid w:val="00297EBC"/>
    <w:rsid w:val="00297F25"/>
    <w:rsid w:val="00297FA3"/>
    <w:rsid w:val="002A0094"/>
    <w:rsid w:val="002A00F9"/>
    <w:rsid w:val="002A0147"/>
    <w:rsid w:val="002A01BA"/>
    <w:rsid w:val="002A020D"/>
    <w:rsid w:val="002A02BC"/>
    <w:rsid w:val="002A034B"/>
    <w:rsid w:val="002A03D2"/>
    <w:rsid w:val="002A0481"/>
    <w:rsid w:val="002A04C4"/>
    <w:rsid w:val="002A04D4"/>
    <w:rsid w:val="002A04EC"/>
    <w:rsid w:val="002A0523"/>
    <w:rsid w:val="002A064A"/>
    <w:rsid w:val="002A06A7"/>
    <w:rsid w:val="002A06B4"/>
    <w:rsid w:val="002A06F7"/>
    <w:rsid w:val="002A076D"/>
    <w:rsid w:val="002A088E"/>
    <w:rsid w:val="002A095D"/>
    <w:rsid w:val="002A0966"/>
    <w:rsid w:val="002A098F"/>
    <w:rsid w:val="002A09F7"/>
    <w:rsid w:val="002A0A0A"/>
    <w:rsid w:val="002A0A17"/>
    <w:rsid w:val="002A0A3B"/>
    <w:rsid w:val="002A0AAD"/>
    <w:rsid w:val="002A0ADE"/>
    <w:rsid w:val="002A0B89"/>
    <w:rsid w:val="002A0CA7"/>
    <w:rsid w:val="002A0E24"/>
    <w:rsid w:val="002A0E42"/>
    <w:rsid w:val="002A0E89"/>
    <w:rsid w:val="002A0F14"/>
    <w:rsid w:val="002A1015"/>
    <w:rsid w:val="002A1073"/>
    <w:rsid w:val="002A1153"/>
    <w:rsid w:val="002A11A3"/>
    <w:rsid w:val="002A11C0"/>
    <w:rsid w:val="002A131B"/>
    <w:rsid w:val="002A1321"/>
    <w:rsid w:val="002A135F"/>
    <w:rsid w:val="002A1386"/>
    <w:rsid w:val="002A13B1"/>
    <w:rsid w:val="002A1425"/>
    <w:rsid w:val="002A1441"/>
    <w:rsid w:val="002A1461"/>
    <w:rsid w:val="002A14C5"/>
    <w:rsid w:val="002A1540"/>
    <w:rsid w:val="002A1604"/>
    <w:rsid w:val="002A171B"/>
    <w:rsid w:val="002A17FE"/>
    <w:rsid w:val="002A180C"/>
    <w:rsid w:val="002A18F8"/>
    <w:rsid w:val="002A19CD"/>
    <w:rsid w:val="002A1A2B"/>
    <w:rsid w:val="002A1A4D"/>
    <w:rsid w:val="002A1A9B"/>
    <w:rsid w:val="002A1AC1"/>
    <w:rsid w:val="002A1BC1"/>
    <w:rsid w:val="002A1BE6"/>
    <w:rsid w:val="002A1D5C"/>
    <w:rsid w:val="002A1D76"/>
    <w:rsid w:val="002A1D79"/>
    <w:rsid w:val="002A1DCA"/>
    <w:rsid w:val="002A1DF1"/>
    <w:rsid w:val="002A1E70"/>
    <w:rsid w:val="002A2019"/>
    <w:rsid w:val="002A2050"/>
    <w:rsid w:val="002A216D"/>
    <w:rsid w:val="002A21F5"/>
    <w:rsid w:val="002A21F7"/>
    <w:rsid w:val="002A2204"/>
    <w:rsid w:val="002A2250"/>
    <w:rsid w:val="002A22F4"/>
    <w:rsid w:val="002A22FF"/>
    <w:rsid w:val="002A2318"/>
    <w:rsid w:val="002A24E0"/>
    <w:rsid w:val="002A2501"/>
    <w:rsid w:val="002A2507"/>
    <w:rsid w:val="002A25F9"/>
    <w:rsid w:val="002A2687"/>
    <w:rsid w:val="002A26CB"/>
    <w:rsid w:val="002A2734"/>
    <w:rsid w:val="002A275F"/>
    <w:rsid w:val="002A27B0"/>
    <w:rsid w:val="002A280B"/>
    <w:rsid w:val="002A2812"/>
    <w:rsid w:val="002A290C"/>
    <w:rsid w:val="002A298B"/>
    <w:rsid w:val="002A2A26"/>
    <w:rsid w:val="002A2A4D"/>
    <w:rsid w:val="002A2A73"/>
    <w:rsid w:val="002A2A7A"/>
    <w:rsid w:val="002A2A98"/>
    <w:rsid w:val="002A2ACD"/>
    <w:rsid w:val="002A2B5A"/>
    <w:rsid w:val="002A2BCA"/>
    <w:rsid w:val="002A2C47"/>
    <w:rsid w:val="002A2D3B"/>
    <w:rsid w:val="002A2D9A"/>
    <w:rsid w:val="002A2DB4"/>
    <w:rsid w:val="002A2E05"/>
    <w:rsid w:val="002A2E13"/>
    <w:rsid w:val="002A2E37"/>
    <w:rsid w:val="002A2FB8"/>
    <w:rsid w:val="002A303D"/>
    <w:rsid w:val="002A314D"/>
    <w:rsid w:val="002A319B"/>
    <w:rsid w:val="002A31AC"/>
    <w:rsid w:val="002A31AD"/>
    <w:rsid w:val="002A323A"/>
    <w:rsid w:val="002A3256"/>
    <w:rsid w:val="002A32CB"/>
    <w:rsid w:val="002A33C2"/>
    <w:rsid w:val="002A3431"/>
    <w:rsid w:val="002A3527"/>
    <w:rsid w:val="002A353C"/>
    <w:rsid w:val="002A3568"/>
    <w:rsid w:val="002A3587"/>
    <w:rsid w:val="002A35DE"/>
    <w:rsid w:val="002A35E2"/>
    <w:rsid w:val="002A370A"/>
    <w:rsid w:val="002A3862"/>
    <w:rsid w:val="002A3899"/>
    <w:rsid w:val="002A39D2"/>
    <w:rsid w:val="002A3AD2"/>
    <w:rsid w:val="002A3B12"/>
    <w:rsid w:val="002A3C7D"/>
    <w:rsid w:val="002A3CCA"/>
    <w:rsid w:val="002A3D1E"/>
    <w:rsid w:val="002A3D59"/>
    <w:rsid w:val="002A3D9C"/>
    <w:rsid w:val="002A3DB0"/>
    <w:rsid w:val="002A3EBA"/>
    <w:rsid w:val="002A3EBC"/>
    <w:rsid w:val="002A3F2E"/>
    <w:rsid w:val="002A3F58"/>
    <w:rsid w:val="002A3FC2"/>
    <w:rsid w:val="002A4110"/>
    <w:rsid w:val="002A418D"/>
    <w:rsid w:val="002A423B"/>
    <w:rsid w:val="002A42E7"/>
    <w:rsid w:val="002A4302"/>
    <w:rsid w:val="002A4311"/>
    <w:rsid w:val="002A4334"/>
    <w:rsid w:val="002A4369"/>
    <w:rsid w:val="002A43D9"/>
    <w:rsid w:val="002A44D3"/>
    <w:rsid w:val="002A44DC"/>
    <w:rsid w:val="002A4539"/>
    <w:rsid w:val="002A492A"/>
    <w:rsid w:val="002A4942"/>
    <w:rsid w:val="002A49D4"/>
    <w:rsid w:val="002A4A4E"/>
    <w:rsid w:val="002A4AD1"/>
    <w:rsid w:val="002A4BD1"/>
    <w:rsid w:val="002A4C17"/>
    <w:rsid w:val="002A4C48"/>
    <w:rsid w:val="002A4E57"/>
    <w:rsid w:val="002A4EAF"/>
    <w:rsid w:val="002A4ECE"/>
    <w:rsid w:val="002A4F3A"/>
    <w:rsid w:val="002A4F69"/>
    <w:rsid w:val="002A4FC2"/>
    <w:rsid w:val="002A5196"/>
    <w:rsid w:val="002A51D6"/>
    <w:rsid w:val="002A51F1"/>
    <w:rsid w:val="002A5248"/>
    <w:rsid w:val="002A52B8"/>
    <w:rsid w:val="002A5304"/>
    <w:rsid w:val="002A5310"/>
    <w:rsid w:val="002A5315"/>
    <w:rsid w:val="002A53A4"/>
    <w:rsid w:val="002A53CB"/>
    <w:rsid w:val="002A5423"/>
    <w:rsid w:val="002A5479"/>
    <w:rsid w:val="002A5506"/>
    <w:rsid w:val="002A5594"/>
    <w:rsid w:val="002A5629"/>
    <w:rsid w:val="002A566F"/>
    <w:rsid w:val="002A570D"/>
    <w:rsid w:val="002A5749"/>
    <w:rsid w:val="002A57AC"/>
    <w:rsid w:val="002A5936"/>
    <w:rsid w:val="002A596B"/>
    <w:rsid w:val="002A59D5"/>
    <w:rsid w:val="002A5A2E"/>
    <w:rsid w:val="002A5A6F"/>
    <w:rsid w:val="002A5AAD"/>
    <w:rsid w:val="002A5B5B"/>
    <w:rsid w:val="002A5B83"/>
    <w:rsid w:val="002A5BB1"/>
    <w:rsid w:val="002A5C6E"/>
    <w:rsid w:val="002A5D24"/>
    <w:rsid w:val="002A5D5F"/>
    <w:rsid w:val="002A5D88"/>
    <w:rsid w:val="002A5EA3"/>
    <w:rsid w:val="002A5F3E"/>
    <w:rsid w:val="002A5F50"/>
    <w:rsid w:val="002A5F96"/>
    <w:rsid w:val="002A5FCF"/>
    <w:rsid w:val="002A6057"/>
    <w:rsid w:val="002A6076"/>
    <w:rsid w:val="002A60AD"/>
    <w:rsid w:val="002A615A"/>
    <w:rsid w:val="002A6175"/>
    <w:rsid w:val="002A61B8"/>
    <w:rsid w:val="002A61C7"/>
    <w:rsid w:val="002A6241"/>
    <w:rsid w:val="002A6315"/>
    <w:rsid w:val="002A6374"/>
    <w:rsid w:val="002A63F0"/>
    <w:rsid w:val="002A64E2"/>
    <w:rsid w:val="002A64E8"/>
    <w:rsid w:val="002A65CB"/>
    <w:rsid w:val="002A67FA"/>
    <w:rsid w:val="002A681F"/>
    <w:rsid w:val="002A6872"/>
    <w:rsid w:val="002A68C6"/>
    <w:rsid w:val="002A68DC"/>
    <w:rsid w:val="002A69C2"/>
    <w:rsid w:val="002A6A81"/>
    <w:rsid w:val="002A6A87"/>
    <w:rsid w:val="002A6B17"/>
    <w:rsid w:val="002A6B63"/>
    <w:rsid w:val="002A6B95"/>
    <w:rsid w:val="002A6C5D"/>
    <w:rsid w:val="002A6C8E"/>
    <w:rsid w:val="002A6CD0"/>
    <w:rsid w:val="002A6D55"/>
    <w:rsid w:val="002A6D8D"/>
    <w:rsid w:val="002A6E9F"/>
    <w:rsid w:val="002A6EC7"/>
    <w:rsid w:val="002A6ED3"/>
    <w:rsid w:val="002A7006"/>
    <w:rsid w:val="002A7054"/>
    <w:rsid w:val="002A7055"/>
    <w:rsid w:val="002A705D"/>
    <w:rsid w:val="002A7125"/>
    <w:rsid w:val="002A715C"/>
    <w:rsid w:val="002A71B6"/>
    <w:rsid w:val="002A725F"/>
    <w:rsid w:val="002A7309"/>
    <w:rsid w:val="002A73CD"/>
    <w:rsid w:val="002A743F"/>
    <w:rsid w:val="002A752B"/>
    <w:rsid w:val="002A775C"/>
    <w:rsid w:val="002A7796"/>
    <w:rsid w:val="002A77C4"/>
    <w:rsid w:val="002A781E"/>
    <w:rsid w:val="002A783A"/>
    <w:rsid w:val="002A7926"/>
    <w:rsid w:val="002A7A23"/>
    <w:rsid w:val="002A7BA0"/>
    <w:rsid w:val="002A7C79"/>
    <w:rsid w:val="002A7DB7"/>
    <w:rsid w:val="002A7E8F"/>
    <w:rsid w:val="002A7F6F"/>
    <w:rsid w:val="002A7FAB"/>
    <w:rsid w:val="002A7FE2"/>
    <w:rsid w:val="002A7FF5"/>
    <w:rsid w:val="002B0004"/>
    <w:rsid w:val="002B007A"/>
    <w:rsid w:val="002B0107"/>
    <w:rsid w:val="002B013F"/>
    <w:rsid w:val="002B0170"/>
    <w:rsid w:val="002B0178"/>
    <w:rsid w:val="002B01C3"/>
    <w:rsid w:val="002B0234"/>
    <w:rsid w:val="002B028D"/>
    <w:rsid w:val="002B0375"/>
    <w:rsid w:val="002B03AA"/>
    <w:rsid w:val="002B0440"/>
    <w:rsid w:val="002B0577"/>
    <w:rsid w:val="002B0650"/>
    <w:rsid w:val="002B070F"/>
    <w:rsid w:val="002B071B"/>
    <w:rsid w:val="002B074A"/>
    <w:rsid w:val="002B07C4"/>
    <w:rsid w:val="002B07E4"/>
    <w:rsid w:val="002B07F7"/>
    <w:rsid w:val="002B0806"/>
    <w:rsid w:val="002B0855"/>
    <w:rsid w:val="002B0861"/>
    <w:rsid w:val="002B08D2"/>
    <w:rsid w:val="002B08F5"/>
    <w:rsid w:val="002B098E"/>
    <w:rsid w:val="002B0ABA"/>
    <w:rsid w:val="002B0ADE"/>
    <w:rsid w:val="002B0B42"/>
    <w:rsid w:val="002B0B6D"/>
    <w:rsid w:val="002B0C0A"/>
    <w:rsid w:val="002B0D09"/>
    <w:rsid w:val="002B0DC9"/>
    <w:rsid w:val="002B0E50"/>
    <w:rsid w:val="002B0E9C"/>
    <w:rsid w:val="002B0ED5"/>
    <w:rsid w:val="002B0F24"/>
    <w:rsid w:val="002B0F27"/>
    <w:rsid w:val="002B0F2D"/>
    <w:rsid w:val="002B1020"/>
    <w:rsid w:val="002B1054"/>
    <w:rsid w:val="002B10B1"/>
    <w:rsid w:val="002B1171"/>
    <w:rsid w:val="002B11E9"/>
    <w:rsid w:val="002B123E"/>
    <w:rsid w:val="002B126C"/>
    <w:rsid w:val="002B159F"/>
    <w:rsid w:val="002B1631"/>
    <w:rsid w:val="002B17D0"/>
    <w:rsid w:val="002B1875"/>
    <w:rsid w:val="002B1936"/>
    <w:rsid w:val="002B1980"/>
    <w:rsid w:val="002B19D3"/>
    <w:rsid w:val="002B1A01"/>
    <w:rsid w:val="002B1A7B"/>
    <w:rsid w:val="002B1ACE"/>
    <w:rsid w:val="002B1B42"/>
    <w:rsid w:val="002B1BCE"/>
    <w:rsid w:val="002B1C14"/>
    <w:rsid w:val="002B1C35"/>
    <w:rsid w:val="002B1C79"/>
    <w:rsid w:val="002B1CEC"/>
    <w:rsid w:val="002B1F54"/>
    <w:rsid w:val="002B1FE9"/>
    <w:rsid w:val="002B2067"/>
    <w:rsid w:val="002B2073"/>
    <w:rsid w:val="002B2109"/>
    <w:rsid w:val="002B21C9"/>
    <w:rsid w:val="002B223D"/>
    <w:rsid w:val="002B229D"/>
    <w:rsid w:val="002B2331"/>
    <w:rsid w:val="002B2353"/>
    <w:rsid w:val="002B23CB"/>
    <w:rsid w:val="002B23D8"/>
    <w:rsid w:val="002B2451"/>
    <w:rsid w:val="002B24CC"/>
    <w:rsid w:val="002B2609"/>
    <w:rsid w:val="002B2617"/>
    <w:rsid w:val="002B268F"/>
    <w:rsid w:val="002B27E8"/>
    <w:rsid w:val="002B2817"/>
    <w:rsid w:val="002B2855"/>
    <w:rsid w:val="002B296F"/>
    <w:rsid w:val="002B2B18"/>
    <w:rsid w:val="002B2BDF"/>
    <w:rsid w:val="002B2C38"/>
    <w:rsid w:val="002B2C45"/>
    <w:rsid w:val="002B2C57"/>
    <w:rsid w:val="002B2C68"/>
    <w:rsid w:val="002B2C6C"/>
    <w:rsid w:val="002B2D9F"/>
    <w:rsid w:val="002B2E89"/>
    <w:rsid w:val="002B2E92"/>
    <w:rsid w:val="002B2EAE"/>
    <w:rsid w:val="002B2EC5"/>
    <w:rsid w:val="002B2FA2"/>
    <w:rsid w:val="002B2FFF"/>
    <w:rsid w:val="002B301C"/>
    <w:rsid w:val="002B3187"/>
    <w:rsid w:val="002B323A"/>
    <w:rsid w:val="002B323C"/>
    <w:rsid w:val="002B32CA"/>
    <w:rsid w:val="002B3347"/>
    <w:rsid w:val="002B3355"/>
    <w:rsid w:val="002B3381"/>
    <w:rsid w:val="002B3464"/>
    <w:rsid w:val="002B3526"/>
    <w:rsid w:val="002B3556"/>
    <w:rsid w:val="002B35CA"/>
    <w:rsid w:val="002B3674"/>
    <w:rsid w:val="002B369C"/>
    <w:rsid w:val="002B373C"/>
    <w:rsid w:val="002B382C"/>
    <w:rsid w:val="002B385D"/>
    <w:rsid w:val="002B3896"/>
    <w:rsid w:val="002B3911"/>
    <w:rsid w:val="002B39D3"/>
    <w:rsid w:val="002B3B25"/>
    <w:rsid w:val="002B3BA0"/>
    <w:rsid w:val="002B3BF9"/>
    <w:rsid w:val="002B3C45"/>
    <w:rsid w:val="002B3D7B"/>
    <w:rsid w:val="002B3E28"/>
    <w:rsid w:val="002B3E2F"/>
    <w:rsid w:val="002B3E9F"/>
    <w:rsid w:val="002B3EA2"/>
    <w:rsid w:val="002B3F13"/>
    <w:rsid w:val="002B3F3B"/>
    <w:rsid w:val="002B3F5F"/>
    <w:rsid w:val="002B3FBB"/>
    <w:rsid w:val="002B401C"/>
    <w:rsid w:val="002B4093"/>
    <w:rsid w:val="002B40A2"/>
    <w:rsid w:val="002B4122"/>
    <w:rsid w:val="002B414F"/>
    <w:rsid w:val="002B43AB"/>
    <w:rsid w:val="002B43EF"/>
    <w:rsid w:val="002B44A3"/>
    <w:rsid w:val="002B4518"/>
    <w:rsid w:val="002B453C"/>
    <w:rsid w:val="002B453E"/>
    <w:rsid w:val="002B46A2"/>
    <w:rsid w:val="002B46A7"/>
    <w:rsid w:val="002B4757"/>
    <w:rsid w:val="002B4809"/>
    <w:rsid w:val="002B4857"/>
    <w:rsid w:val="002B4866"/>
    <w:rsid w:val="002B4893"/>
    <w:rsid w:val="002B48D0"/>
    <w:rsid w:val="002B490C"/>
    <w:rsid w:val="002B49A0"/>
    <w:rsid w:val="002B49EE"/>
    <w:rsid w:val="002B49FD"/>
    <w:rsid w:val="002B4A82"/>
    <w:rsid w:val="002B4AC2"/>
    <w:rsid w:val="002B4AF8"/>
    <w:rsid w:val="002B4C32"/>
    <w:rsid w:val="002B4C92"/>
    <w:rsid w:val="002B4CEB"/>
    <w:rsid w:val="002B4DBE"/>
    <w:rsid w:val="002B4DDE"/>
    <w:rsid w:val="002B4E3C"/>
    <w:rsid w:val="002B4E97"/>
    <w:rsid w:val="002B4EDB"/>
    <w:rsid w:val="002B4F5C"/>
    <w:rsid w:val="002B4F78"/>
    <w:rsid w:val="002B4F88"/>
    <w:rsid w:val="002B5063"/>
    <w:rsid w:val="002B50F7"/>
    <w:rsid w:val="002B5128"/>
    <w:rsid w:val="002B5139"/>
    <w:rsid w:val="002B51D0"/>
    <w:rsid w:val="002B51E8"/>
    <w:rsid w:val="002B5249"/>
    <w:rsid w:val="002B5386"/>
    <w:rsid w:val="002B53DB"/>
    <w:rsid w:val="002B53E6"/>
    <w:rsid w:val="002B543A"/>
    <w:rsid w:val="002B54A0"/>
    <w:rsid w:val="002B580B"/>
    <w:rsid w:val="002B59B9"/>
    <w:rsid w:val="002B59BD"/>
    <w:rsid w:val="002B5A3A"/>
    <w:rsid w:val="002B5A6C"/>
    <w:rsid w:val="002B5B09"/>
    <w:rsid w:val="002B5B8E"/>
    <w:rsid w:val="002B5C4D"/>
    <w:rsid w:val="002B5C53"/>
    <w:rsid w:val="002B5C67"/>
    <w:rsid w:val="002B5DA6"/>
    <w:rsid w:val="002B5DAC"/>
    <w:rsid w:val="002B5EE0"/>
    <w:rsid w:val="002B5EEE"/>
    <w:rsid w:val="002B5F99"/>
    <w:rsid w:val="002B5FF9"/>
    <w:rsid w:val="002B6262"/>
    <w:rsid w:val="002B638D"/>
    <w:rsid w:val="002B63B5"/>
    <w:rsid w:val="002B6416"/>
    <w:rsid w:val="002B6493"/>
    <w:rsid w:val="002B65F0"/>
    <w:rsid w:val="002B6715"/>
    <w:rsid w:val="002B6781"/>
    <w:rsid w:val="002B6788"/>
    <w:rsid w:val="002B67BF"/>
    <w:rsid w:val="002B6930"/>
    <w:rsid w:val="002B6A0E"/>
    <w:rsid w:val="002B6A1A"/>
    <w:rsid w:val="002B6A45"/>
    <w:rsid w:val="002B6B95"/>
    <w:rsid w:val="002B6B9F"/>
    <w:rsid w:val="002B6BF3"/>
    <w:rsid w:val="002B6C38"/>
    <w:rsid w:val="002B6D43"/>
    <w:rsid w:val="002B6E19"/>
    <w:rsid w:val="002B6E5C"/>
    <w:rsid w:val="002B6F4A"/>
    <w:rsid w:val="002B6F6B"/>
    <w:rsid w:val="002B6F7E"/>
    <w:rsid w:val="002B7109"/>
    <w:rsid w:val="002B715B"/>
    <w:rsid w:val="002B7232"/>
    <w:rsid w:val="002B7287"/>
    <w:rsid w:val="002B72AE"/>
    <w:rsid w:val="002B73A6"/>
    <w:rsid w:val="002B73B3"/>
    <w:rsid w:val="002B743A"/>
    <w:rsid w:val="002B748A"/>
    <w:rsid w:val="002B7621"/>
    <w:rsid w:val="002B7626"/>
    <w:rsid w:val="002B76EF"/>
    <w:rsid w:val="002B7741"/>
    <w:rsid w:val="002B7804"/>
    <w:rsid w:val="002B7832"/>
    <w:rsid w:val="002B7A11"/>
    <w:rsid w:val="002B7A38"/>
    <w:rsid w:val="002B7B0B"/>
    <w:rsid w:val="002B7B42"/>
    <w:rsid w:val="002B7B45"/>
    <w:rsid w:val="002B7B4D"/>
    <w:rsid w:val="002B7BC7"/>
    <w:rsid w:val="002B7C24"/>
    <w:rsid w:val="002B7D2D"/>
    <w:rsid w:val="002B7DEE"/>
    <w:rsid w:val="002B7E30"/>
    <w:rsid w:val="002B7E48"/>
    <w:rsid w:val="002B7E68"/>
    <w:rsid w:val="002B7F7F"/>
    <w:rsid w:val="002C0003"/>
    <w:rsid w:val="002C0066"/>
    <w:rsid w:val="002C0174"/>
    <w:rsid w:val="002C0341"/>
    <w:rsid w:val="002C0546"/>
    <w:rsid w:val="002C056F"/>
    <w:rsid w:val="002C0664"/>
    <w:rsid w:val="002C070B"/>
    <w:rsid w:val="002C07D0"/>
    <w:rsid w:val="002C07D9"/>
    <w:rsid w:val="002C0804"/>
    <w:rsid w:val="002C0818"/>
    <w:rsid w:val="002C08D3"/>
    <w:rsid w:val="002C08DE"/>
    <w:rsid w:val="002C08E2"/>
    <w:rsid w:val="002C0940"/>
    <w:rsid w:val="002C09E9"/>
    <w:rsid w:val="002C09F6"/>
    <w:rsid w:val="002C09FB"/>
    <w:rsid w:val="002C0AAF"/>
    <w:rsid w:val="002C0AC0"/>
    <w:rsid w:val="002C0B72"/>
    <w:rsid w:val="002C0BE7"/>
    <w:rsid w:val="002C0C22"/>
    <w:rsid w:val="002C0CDA"/>
    <w:rsid w:val="002C0D91"/>
    <w:rsid w:val="002C0D95"/>
    <w:rsid w:val="002C0DC0"/>
    <w:rsid w:val="002C0F54"/>
    <w:rsid w:val="002C0FE3"/>
    <w:rsid w:val="002C105F"/>
    <w:rsid w:val="002C119A"/>
    <w:rsid w:val="002C119B"/>
    <w:rsid w:val="002C11D3"/>
    <w:rsid w:val="002C122E"/>
    <w:rsid w:val="002C1285"/>
    <w:rsid w:val="002C12EB"/>
    <w:rsid w:val="002C1310"/>
    <w:rsid w:val="002C1429"/>
    <w:rsid w:val="002C142D"/>
    <w:rsid w:val="002C144C"/>
    <w:rsid w:val="002C14BD"/>
    <w:rsid w:val="002C14C5"/>
    <w:rsid w:val="002C155E"/>
    <w:rsid w:val="002C162E"/>
    <w:rsid w:val="002C16FB"/>
    <w:rsid w:val="002C1768"/>
    <w:rsid w:val="002C1782"/>
    <w:rsid w:val="002C17B3"/>
    <w:rsid w:val="002C17D6"/>
    <w:rsid w:val="002C1819"/>
    <w:rsid w:val="002C188E"/>
    <w:rsid w:val="002C1935"/>
    <w:rsid w:val="002C193F"/>
    <w:rsid w:val="002C19A1"/>
    <w:rsid w:val="002C1AD3"/>
    <w:rsid w:val="002C1AF8"/>
    <w:rsid w:val="002C1BBF"/>
    <w:rsid w:val="002C1C52"/>
    <w:rsid w:val="002C1C8D"/>
    <w:rsid w:val="002C1CDC"/>
    <w:rsid w:val="002C1D07"/>
    <w:rsid w:val="002C1D26"/>
    <w:rsid w:val="002C1D8F"/>
    <w:rsid w:val="002C1DBD"/>
    <w:rsid w:val="002C20AC"/>
    <w:rsid w:val="002C2150"/>
    <w:rsid w:val="002C215E"/>
    <w:rsid w:val="002C219E"/>
    <w:rsid w:val="002C21C7"/>
    <w:rsid w:val="002C2277"/>
    <w:rsid w:val="002C229B"/>
    <w:rsid w:val="002C245B"/>
    <w:rsid w:val="002C2472"/>
    <w:rsid w:val="002C24FF"/>
    <w:rsid w:val="002C2581"/>
    <w:rsid w:val="002C261D"/>
    <w:rsid w:val="002C271E"/>
    <w:rsid w:val="002C2770"/>
    <w:rsid w:val="002C283A"/>
    <w:rsid w:val="002C2872"/>
    <w:rsid w:val="002C287D"/>
    <w:rsid w:val="002C2900"/>
    <w:rsid w:val="002C2930"/>
    <w:rsid w:val="002C293D"/>
    <w:rsid w:val="002C2B33"/>
    <w:rsid w:val="002C2BAE"/>
    <w:rsid w:val="002C2C09"/>
    <w:rsid w:val="002C2C71"/>
    <w:rsid w:val="002C2D0E"/>
    <w:rsid w:val="002C2D2C"/>
    <w:rsid w:val="002C2D76"/>
    <w:rsid w:val="002C2E01"/>
    <w:rsid w:val="002C2ED5"/>
    <w:rsid w:val="002C2EDF"/>
    <w:rsid w:val="002C2F1E"/>
    <w:rsid w:val="002C314A"/>
    <w:rsid w:val="002C31DD"/>
    <w:rsid w:val="002C3212"/>
    <w:rsid w:val="002C32E2"/>
    <w:rsid w:val="002C3309"/>
    <w:rsid w:val="002C331C"/>
    <w:rsid w:val="002C332F"/>
    <w:rsid w:val="002C33B6"/>
    <w:rsid w:val="002C33BC"/>
    <w:rsid w:val="002C34F0"/>
    <w:rsid w:val="002C354B"/>
    <w:rsid w:val="002C35A8"/>
    <w:rsid w:val="002C36FE"/>
    <w:rsid w:val="002C37CE"/>
    <w:rsid w:val="002C37F1"/>
    <w:rsid w:val="002C3A06"/>
    <w:rsid w:val="002C3A1C"/>
    <w:rsid w:val="002C3A50"/>
    <w:rsid w:val="002C3A9D"/>
    <w:rsid w:val="002C3B51"/>
    <w:rsid w:val="002C3B66"/>
    <w:rsid w:val="002C3BC7"/>
    <w:rsid w:val="002C3BF3"/>
    <w:rsid w:val="002C3D11"/>
    <w:rsid w:val="002C3D37"/>
    <w:rsid w:val="002C3D96"/>
    <w:rsid w:val="002C3F54"/>
    <w:rsid w:val="002C3F55"/>
    <w:rsid w:val="002C3FDA"/>
    <w:rsid w:val="002C3FE7"/>
    <w:rsid w:val="002C4094"/>
    <w:rsid w:val="002C41A0"/>
    <w:rsid w:val="002C41A1"/>
    <w:rsid w:val="002C41B9"/>
    <w:rsid w:val="002C41C1"/>
    <w:rsid w:val="002C41DF"/>
    <w:rsid w:val="002C42F7"/>
    <w:rsid w:val="002C4399"/>
    <w:rsid w:val="002C43E9"/>
    <w:rsid w:val="002C4451"/>
    <w:rsid w:val="002C4452"/>
    <w:rsid w:val="002C4478"/>
    <w:rsid w:val="002C44B4"/>
    <w:rsid w:val="002C44E0"/>
    <w:rsid w:val="002C4558"/>
    <w:rsid w:val="002C4779"/>
    <w:rsid w:val="002C482F"/>
    <w:rsid w:val="002C490B"/>
    <w:rsid w:val="002C4941"/>
    <w:rsid w:val="002C49CD"/>
    <w:rsid w:val="002C4A69"/>
    <w:rsid w:val="002C4AA1"/>
    <w:rsid w:val="002C4B2B"/>
    <w:rsid w:val="002C4B3D"/>
    <w:rsid w:val="002C4B85"/>
    <w:rsid w:val="002C4BEE"/>
    <w:rsid w:val="002C4CB1"/>
    <w:rsid w:val="002C4CD5"/>
    <w:rsid w:val="002C4D3B"/>
    <w:rsid w:val="002C4D73"/>
    <w:rsid w:val="002C4F3F"/>
    <w:rsid w:val="002C4F55"/>
    <w:rsid w:val="002C504C"/>
    <w:rsid w:val="002C5154"/>
    <w:rsid w:val="002C5169"/>
    <w:rsid w:val="002C518D"/>
    <w:rsid w:val="002C51B6"/>
    <w:rsid w:val="002C5249"/>
    <w:rsid w:val="002C52CD"/>
    <w:rsid w:val="002C52CE"/>
    <w:rsid w:val="002C5357"/>
    <w:rsid w:val="002C5435"/>
    <w:rsid w:val="002C54F6"/>
    <w:rsid w:val="002C5536"/>
    <w:rsid w:val="002C55C5"/>
    <w:rsid w:val="002C56AA"/>
    <w:rsid w:val="002C5706"/>
    <w:rsid w:val="002C5722"/>
    <w:rsid w:val="002C574D"/>
    <w:rsid w:val="002C5791"/>
    <w:rsid w:val="002C57D3"/>
    <w:rsid w:val="002C582A"/>
    <w:rsid w:val="002C5844"/>
    <w:rsid w:val="002C59DD"/>
    <w:rsid w:val="002C5A68"/>
    <w:rsid w:val="002C5A8A"/>
    <w:rsid w:val="002C5A93"/>
    <w:rsid w:val="002C5AD3"/>
    <w:rsid w:val="002C5CDB"/>
    <w:rsid w:val="002C5D5C"/>
    <w:rsid w:val="002C5D6C"/>
    <w:rsid w:val="002C5E26"/>
    <w:rsid w:val="002C5E81"/>
    <w:rsid w:val="002C5FFD"/>
    <w:rsid w:val="002C6006"/>
    <w:rsid w:val="002C6035"/>
    <w:rsid w:val="002C6063"/>
    <w:rsid w:val="002C6099"/>
    <w:rsid w:val="002C6121"/>
    <w:rsid w:val="002C6136"/>
    <w:rsid w:val="002C614B"/>
    <w:rsid w:val="002C6158"/>
    <w:rsid w:val="002C6191"/>
    <w:rsid w:val="002C6198"/>
    <w:rsid w:val="002C619C"/>
    <w:rsid w:val="002C61E1"/>
    <w:rsid w:val="002C62DD"/>
    <w:rsid w:val="002C63BE"/>
    <w:rsid w:val="002C6461"/>
    <w:rsid w:val="002C6491"/>
    <w:rsid w:val="002C6511"/>
    <w:rsid w:val="002C6555"/>
    <w:rsid w:val="002C65B2"/>
    <w:rsid w:val="002C65BC"/>
    <w:rsid w:val="002C6623"/>
    <w:rsid w:val="002C66CD"/>
    <w:rsid w:val="002C671C"/>
    <w:rsid w:val="002C680C"/>
    <w:rsid w:val="002C688F"/>
    <w:rsid w:val="002C691B"/>
    <w:rsid w:val="002C6B6B"/>
    <w:rsid w:val="002C6CA0"/>
    <w:rsid w:val="002C6D41"/>
    <w:rsid w:val="002C6DCE"/>
    <w:rsid w:val="002C6E66"/>
    <w:rsid w:val="002C6EAC"/>
    <w:rsid w:val="002C6F55"/>
    <w:rsid w:val="002C7002"/>
    <w:rsid w:val="002C7064"/>
    <w:rsid w:val="002C70BE"/>
    <w:rsid w:val="002C7273"/>
    <w:rsid w:val="002C72C8"/>
    <w:rsid w:val="002C7313"/>
    <w:rsid w:val="002C740E"/>
    <w:rsid w:val="002C7411"/>
    <w:rsid w:val="002C745F"/>
    <w:rsid w:val="002C74F9"/>
    <w:rsid w:val="002C762E"/>
    <w:rsid w:val="002C766B"/>
    <w:rsid w:val="002C7684"/>
    <w:rsid w:val="002C7867"/>
    <w:rsid w:val="002C787C"/>
    <w:rsid w:val="002C78DC"/>
    <w:rsid w:val="002C797E"/>
    <w:rsid w:val="002C79D0"/>
    <w:rsid w:val="002C7AB3"/>
    <w:rsid w:val="002C7AC2"/>
    <w:rsid w:val="002C7AEB"/>
    <w:rsid w:val="002C7BF9"/>
    <w:rsid w:val="002C7CB5"/>
    <w:rsid w:val="002C7D14"/>
    <w:rsid w:val="002C7E8C"/>
    <w:rsid w:val="002C7EDE"/>
    <w:rsid w:val="002C7F0C"/>
    <w:rsid w:val="002C7F0D"/>
    <w:rsid w:val="002C7F84"/>
    <w:rsid w:val="002D001E"/>
    <w:rsid w:val="002D008B"/>
    <w:rsid w:val="002D00B5"/>
    <w:rsid w:val="002D01BC"/>
    <w:rsid w:val="002D01F6"/>
    <w:rsid w:val="002D0230"/>
    <w:rsid w:val="002D0235"/>
    <w:rsid w:val="002D02DF"/>
    <w:rsid w:val="002D0334"/>
    <w:rsid w:val="002D034F"/>
    <w:rsid w:val="002D0359"/>
    <w:rsid w:val="002D0362"/>
    <w:rsid w:val="002D0415"/>
    <w:rsid w:val="002D056E"/>
    <w:rsid w:val="002D063E"/>
    <w:rsid w:val="002D065B"/>
    <w:rsid w:val="002D06AF"/>
    <w:rsid w:val="002D06F0"/>
    <w:rsid w:val="002D0731"/>
    <w:rsid w:val="002D07A9"/>
    <w:rsid w:val="002D07B9"/>
    <w:rsid w:val="002D0930"/>
    <w:rsid w:val="002D0B82"/>
    <w:rsid w:val="002D0C85"/>
    <w:rsid w:val="002D0CFA"/>
    <w:rsid w:val="002D0DB1"/>
    <w:rsid w:val="002D0E2C"/>
    <w:rsid w:val="002D0E56"/>
    <w:rsid w:val="002D0ED5"/>
    <w:rsid w:val="002D0FBB"/>
    <w:rsid w:val="002D0FCA"/>
    <w:rsid w:val="002D102E"/>
    <w:rsid w:val="002D10CF"/>
    <w:rsid w:val="002D118D"/>
    <w:rsid w:val="002D12F3"/>
    <w:rsid w:val="002D131E"/>
    <w:rsid w:val="002D1368"/>
    <w:rsid w:val="002D13BE"/>
    <w:rsid w:val="002D13D9"/>
    <w:rsid w:val="002D141E"/>
    <w:rsid w:val="002D145F"/>
    <w:rsid w:val="002D1469"/>
    <w:rsid w:val="002D1552"/>
    <w:rsid w:val="002D1599"/>
    <w:rsid w:val="002D15A0"/>
    <w:rsid w:val="002D162B"/>
    <w:rsid w:val="002D17A7"/>
    <w:rsid w:val="002D184C"/>
    <w:rsid w:val="002D1868"/>
    <w:rsid w:val="002D18C2"/>
    <w:rsid w:val="002D190F"/>
    <w:rsid w:val="002D1A10"/>
    <w:rsid w:val="002D1A59"/>
    <w:rsid w:val="002D1B23"/>
    <w:rsid w:val="002D1C96"/>
    <w:rsid w:val="002D1CD0"/>
    <w:rsid w:val="002D1CF6"/>
    <w:rsid w:val="002D1D27"/>
    <w:rsid w:val="002D1E93"/>
    <w:rsid w:val="002D1EAB"/>
    <w:rsid w:val="002D1F87"/>
    <w:rsid w:val="002D2023"/>
    <w:rsid w:val="002D211A"/>
    <w:rsid w:val="002D211E"/>
    <w:rsid w:val="002D21BA"/>
    <w:rsid w:val="002D2210"/>
    <w:rsid w:val="002D2216"/>
    <w:rsid w:val="002D222C"/>
    <w:rsid w:val="002D227B"/>
    <w:rsid w:val="002D228D"/>
    <w:rsid w:val="002D23EE"/>
    <w:rsid w:val="002D2456"/>
    <w:rsid w:val="002D2619"/>
    <w:rsid w:val="002D267C"/>
    <w:rsid w:val="002D26AA"/>
    <w:rsid w:val="002D2742"/>
    <w:rsid w:val="002D2768"/>
    <w:rsid w:val="002D284A"/>
    <w:rsid w:val="002D288C"/>
    <w:rsid w:val="002D28E1"/>
    <w:rsid w:val="002D2A0F"/>
    <w:rsid w:val="002D2A31"/>
    <w:rsid w:val="002D2A3C"/>
    <w:rsid w:val="002D2ACB"/>
    <w:rsid w:val="002D2C79"/>
    <w:rsid w:val="002D2C91"/>
    <w:rsid w:val="002D2E57"/>
    <w:rsid w:val="002D2E6B"/>
    <w:rsid w:val="002D2E97"/>
    <w:rsid w:val="002D2F90"/>
    <w:rsid w:val="002D302F"/>
    <w:rsid w:val="002D303E"/>
    <w:rsid w:val="002D30ED"/>
    <w:rsid w:val="002D3139"/>
    <w:rsid w:val="002D31C9"/>
    <w:rsid w:val="002D3277"/>
    <w:rsid w:val="002D3292"/>
    <w:rsid w:val="002D3349"/>
    <w:rsid w:val="002D3352"/>
    <w:rsid w:val="002D342C"/>
    <w:rsid w:val="002D3458"/>
    <w:rsid w:val="002D3467"/>
    <w:rsid w:val="002D34B6"/>
    <w:rsid w:val="002D34DD"/>
    <w:rsid w:val="002D34E0"/>
    <w:rsid w:val="002D354C"/>
    <w:rsid w:val="002D392F"/>
    <w:rsid w:val="002D393B"/>
    <w:rsid w:val="002D3A1D"/>
    <w:rsid w:val="002D3AC9"/>
    <w:rsid w:val="002D3B9F"/>
    <w:rsid w:val="002D3C09"/>
    <w:rsid w:val="002D3C10"/>
    <w:rsid w:val="002D3C54"/>
    <w:rsid w:val="002D3D44"/>
    <w:rsid w:val="002D3D5E"/>
    <w:rsid w:val="002D3E22"/>
    <w:rsid w:val="002D3E29"/>
    <w:rsid w:val="002D3EC7"/>
    <w:rsid w:val="002D3EE7"/>
    <w:rsid w:val="002D4198"/>
    <w:rsid w:val="002D41D2"/>
    <w:rsid w:val="002D41F0"/>
    <w:rsid w:val="002D425E"/>
    <w:rsid w:val="002D4323"/>
    <w:rsid w:val="002D441D"/>
    <w:rsid w:val="002D443A"/>
    <w:rsid w:val="002D4586"/>
    <w:rsid w:val="002D4665"/>
    <w:rsid w:val="002D46AB"/>
    <w:rsid w:val="002D46D5"/>
    <w:rsid w:val="002D46DB"/>
    <w:rsid w:val="002D47BE"/>
    <w:rsid w:val="002D47CA"/>
    <w:rsid w:val="002D47D5"/>
    <w:rsid w:val="002D489C"/>
    <w:rsid w:val="002D48D9"/>
    <w:rsid w:val="002D4935"/>
    <w:rsid w:val="002D4B4E"/>
    <w:rsid w:val="002D4B68"/>
    <w:rsid w:val="002D4CB9"/>
    <w:rsid w:val="002D4CC2"/>
    <w:rsid w:val="002D4CFD"/>
    <w:rsid w:val="002D4D09"/>
    <w:rsid w:val="002D4D24"/>
    <w:rsid w:val="002D4D38"/>
    <w:rsid w:val="002D4E0D"/>
    <w:rsid w:val="002D4E90"/>
    <w:rsid w:val="002D4E9B"/>
    <w:rsid w:val="002D501E"/>
    <w:rsid w:val="002D509F"/>
    <w:rsid w:val="002D50BF"/>
    <w:rsid w:val="002D50CB"/>
    <w:rsid w:val="002D51C9"/>
    <w:rsid w:val="002D5226"/>
    <w:rsid w:val="002D531D"/>
    <w:rsid w:val="002D5352"/>
    <w:rsid w:val="002D5370"/>
    <w:rsid w:val="002D54BB"/>
    <w:rsid w:val="002D550F"/>
    <w:rsid w:val="002D5583"/>
    <w:rsid w:val="002D558C"/>
    <w:rsid w:val="002D55A9"/>
    <w:rsid w:val="002D55D5"/>
    <w:rsid w:val="002D5750"/>
    <w:rsid w:val="002D5777"/>
    <w:rsid w:val="002D57AC"/>
    <w:rsid w:val="002D58DB"/>
    <w:rsid w:val="002D5902"/>
    <w:rsid w:val="002D59D5"/>
    <w:rsid w:val="002D5A53"/>
    <w:rsid w:val="002D5AC1"/>
    <w:rsid w:val="002D5B04"/>
    <w:rsid w:val="002D5BA7"/>
    <w:rsid w:val="002D5BA8"/>
    <w:rsid w:val="002D5BBA"/>
    <w:rsid w:val="002D5C22"/>
    <w:rsid w:val="002D5C92"/>
    <w:rsid w:val="002D5CC3"/>
    <w:rsid w:val="002D5CFB"/>
    <w:rsid w:val="002D5D38"/>
    <w:rsid w:val="002D5E87"/>
    <w:rsid w:val="002D5E8B"/>
    <w:rsid w:val="002D5F1A"/>
    <w:rsid w:val="002D5F5E"/>
    <w:rsid w:val="002D62B3"/>
    <w:rsid w:val="002D6352"/>
    <w:rsid w:val="002D63E3"/>
    <w:rsid w:val="002D63E8"/>
    <w:rsid w:val="002D6529"/>
    <w:rsid w:val="002D655C"/>
    <w:rsid w:val="002D658A"/>
    <w:rsid w:val="002D65D0"/>
    <w:rsid w:val="002D660A"/>
    <w:rsid w:val="002D6705"/>
    <w:rsid w:val="002D6722"/>
    <w:rsid w:val="002D679C"/>
    <w:rsid w:val="002D67C0"/>
    <w:rsid w:val="002D67E9"/>
    <w:rsid w:val="002D68A8"/>
    <w:rsid w:val="002D6973"/>
    <w:rsid w:val="002D69A8"/>
    <w:rsid w:val="002D6A24"/>
    <w:rsid w:val="002D6A44"/>
    <w:rsid w:val="002D6CB2"/>
    <w:rsid w:val="002D6CD5"/>
    <w:rsid w:val="002D6D26"/>
    <w:rsid w:val="002D6D9B"/>
    <w:rsid w:val="002D6DB5"/>
    <w:rsid w:val="002D6E33"/>
    <w:rsid w:val="002D6E38"/>
    <w:rsid w:val="002D6E64"/>
    <w:rsid w:val="002D6EF0"/>
    <w:rsid w:val="002D6F8D"/>
    <w:rsid w:val="002D6F9A"/>
    <w:rsid w:val="002D6FEB"/>
    <w:rsid w:val="002D7027"/>
    <w:rsid w:val="002D706C"/>
    <w:rsid w:val="002D70A0"/>
    <w:rsid w:val="002D70ED"/>
    <w:rsid w:val="002D7179"/>
    <w:rsid w:val="002D71D5"/>
    <w:rsid w:val="002D720B"/>
    <w:rsid w:val="002D729B"/>
    <w:rsid w:val="002D72B5"/>
    <w:rsid w:val="002D72E8"/>
    <w:rsid w:val="002D7368"/>
    <w:rsid w:val="002D73B0"/>
    <w:rsid w:val="002D73B8"/>
    <w:rsid w:val="002D741A"/>
    <w:rsid w:val="002D74F5"/>
    <w:rsid w:val="002D7546"/>
    <w:rsid w:val="002D7585"/>
    <w:rsid w:val="002D7675"/>
    <w:rsid w:val="002D76F2"/>
    <w:rsid w:val="002D779B"/>
    <w:rsid w:val="002D7814"/>
    <w:rsid w:val="002D79D9"/>
    <w:rsid w:val="002D7B02"/>
    <w:rsid w:val="002D7C57"/>
    <w:rsid w:val="002D7C76"/>
    <w:rsid w:val="002D7C9D"/>
    <w:rsid w:val="002D7CAE"/>
    <w:rsid w:val="002D7D0B"/>
    <w:rsid w:val="002D7D10"/>
    <w:rsid w:val="002D7E7F"/>
    <w:rsid w:val="002D7E93"/>
    <w:rsid w:val="002D7EAF"/>
    <w:rsid w:val="002D7EF8"/>
    <w:rsid w:val="002D7F4C"/>
    <w:rsid w:val="002D7F8D"/>
    <w:rsid w:val="002D7FBC"/>
    <w:rsid w:val="002D7FF0"/>
    <w:rsid w:val="002E0089"/>
    <w:rsid w:val="002E00DD"/>
    <w:rsid w:val="002E01CC"/>
    <w:rsid w:val="002E01E3"/>
    <w:rsid w:val="002E01F4"/>
    <w:rsid w:val="002E0268"/>
    <w:rsid w:val="002E0377"/>
    <w:rsid w:val="002E037E"/>
    <w:rsid w:val="002E03DE"/>
    <w:rsid w:val="002E0400"/>
    <w:rsid w:val="002E043E"/>
    <w:rsid w:val="002E0442"/>
    <w:rsid w:val="002E04B4"/>
    <w:rsid w:val="002E0535"/>
    <w:rsid w:val="002E05AE"/>
    <w:rsid w:val="002E05DD"/>
    <w:rsid w:val="002E0638"/>
    <w:rsid w:val="002E0682"/>
    <w:rsid w:val="002E06FF"/>
    <w:rsid w:val="002E0719"/>
    <w:rsid w:val="002E0795"/>
    <w:rsid w:val="002E07C6"/>
    <w:rsid w:val="002E0881"/>
    <w:rsid w:val="002E08A4"/>
    <w:rsid w:val="002E093B"/>
    <w:rsid w:val="002E09BE"/>
    <w:rsid w:val="002E0A59"/>
    <w:rsid w:val="002E0AA2"/>
    <w:rsid w:val="002E0AB0"/>
    <w:rsid w:val="002E0B57"/>
    <w:rsid w:val="002E0B64"/>
    <w:rsid w:val="002E0B82"/>
    <w:rsid w:val="002E0B8E"/>
    <w:rsid w:val="002E0C62"/>
    <w:rsid w:val="002E0CDF"/>
    <w:rsid w:val="002E0E16"/>
    <w:rsid w:val="002E0ECA"/>
    <w:rsid w:val="002E0F3B"/>
    <w:rsid w:val="002E0F4C"/>
    <w:rsid w:val="002E0FE0"/>
    <w:rsid w:val="002E0FE7"/>
    <w:rsid w:val="002E1018"/>
    <w:rsid w:val="002E101D"/>
    <w:rsid w:val="002E1070"/>
    <w:rsid w:val="002E10C6"/>
    <w:rsid w:val="002E10CA"/>
    <w:rsid w:val="002E11CF"/>
    <w:rsid w:val="002E11DC"/>
    <w:rsid w:val="002E1224"/>
    <w:rsid w:val="002E12FB"/>
    <w:rsid w:val="002E1342"/>
    <w:rsid w:val="002E134E"/>
    <w:rsid w:val="002E13ED"/>
    <w:rsid w:val="002E1445"/>
    <w:rsid w:val="002E144B"/>
    <w:rsid w:val="002E1512"/>
    <w:rsid w:val="002E1520"/>
    <w:rsid w:val="002E1581"/>
    <w:rsid w:val="002E15A4"/>
    <w:rsid w:val="002E1635"/>
    <w:rsid w:val="002E1645"/>
    <w:rsid w:val="002E17C9"/>
    <w:rsid w:val="002E17D1"/>
    <w:rsid w:val="002E17E7"/>
    <w:rsid w:val="002E17EB"/>
    <w:rsid w:val="002E1824"/>
    <w:rsid w:val="002E183B"/>
    <w:rsid w:val="002E18AE"/>
    <w:rsid w:val="002E19A5"/>
    <w:rsid w:val="002E1A59"/>
    <w:rsid w:val="002E1BD5"/>
    <w:rsid w:val="002E1BD8"/>
    <w:rsid w:val="002E1D19"/>
    <w:rsid w:val="002E1DCC"/>
    <w:rsid w:val="002E1DFC"/>
    <w:rsid w:val="002E1E54"/>
    <w:rsid w:val="002E1E92"/>
    <w:rsid w:val="002E1F84"/>
    <w:rsid w:val="002E1FC0"/>
    <w:rsid w:val="002E1FE2"/>
    <w:rsid w:val="002E2079"/>
    <w:rsid w:val="002E20AF"/>
    <w:rsid w:val="002E216F"/>
    <w:rsid w:val="002E217C"/>
    <w:rsid w:val="002E21E6"/>
    <w:rsid w:val="002E21E8"/>
    <w:rsid w:val="002E222C"/>
    <w:rsid w:val="002E239F"/>
    <w:rsid w:val="002E2419"/>
    <w:rsid w:val="002E243F"/>
    <w:rsid w:val="002E2476"/>
    <w:rsid w:val="002E248E"/>
    <w:rsid w:val="002E24AE"/>
    <w:rsid w:val="002E2501"/>
    <w:rsid w:val="002E2505"/>
    <w:rsid w:val="002E2570"/>
    <w:rsid w:val="002E25C3"/>
    <w:rsid w:val="002E25CB"/>
    <w:rsid w:val="002E2612"/>
    <w:rsid w:val="002E263F"/>
    <w:rsid w:val="002E2885"/>
    <w:rsid w:val="002E28C5"/>
    <w:rsid w:val="002E291F"/>
    <w:rsid w:val="002E2AF0"/>
    <w:rsid w:val="002E2AFA"/>
    <w:rsid w:val="002E2B69"/>
    <w:rsid w:val="002E2B6D"/>
    <w:rsid w:val="002E2C82"/>
    <w:rsid w:val="002E2CD4"/>
    <w:rsid w:val="002E2D12"/>
    <w:rsid w:val="002E2E44"/>
    <w:rsid w:val="002E3055"/>
    <w:rsid w:val="002E3078"/>
    <w:rsid w:val="002E310D"/>
    <w:rsid w:val="002E3124"/>
    <w:rsid w:val="002E321C"/>
    <w:rsid w:val="002E3248"/>
    <w:rsid w:val="002E325C"/>
    <w:rsid w:val="002E3341"/>
    <w:rsid w:val="002E3448"/>
    <w:rsid w:val="002E362D"/>
    <w:rsid w:val="002E3676"/>
    <w:rsid w:val="002E3678"/>
    <w:rsid w:val="002E3773"/>
    <w:rsid w:val="002E37CB"/>
    <w:rsid w:val="002E384E"/>
    <w:rsid w:val="002E389C"/>
    <w:rsid w:val="002E3915"/>
    <w:rsid w:val="002E3AA3"/>
    <w:rsid w:val="002E3ABF"/>
    <w:rsid w:val="002E3B37"/>
    <w:rsid w:val="002E3B4B"/>
    <w:rsid w:val="002E3B96"/>
    <w:rsid w:val="002E3B9A"/>
    <w:rsid w:val="002E3C2E"/>
    <w:rsid w:val="002E3CDD"/>
    <w:rsid w:val="002E3D62"/>
    <w:rsid w:val="002E3DCE"/>
    <w:rsid w:val="002E3F19"/>
    <w:rsid w:val="002E3F21"/>
    <w:rsid w:val="002E3FE7"/>
    <w:rsid w:val="002E419E"/>
    <w:rsid w:val="002E41B9"/>
    <w:rsid w:val="002E4228"/>
    <w:rsid w:val="002E432E"/>
    <w:rsid w:val="002E441C"/>
    <w:rsid w:val="002E4498"/>
    <w:rsid w:val="002E44E6"/>
    <w:rsid w:val="002E454A"/>
    <w:rsid w:val="002E462F"/>
    <w:rsid w:val="002E47ED"/>
    <w:rsid w:val="002E4856"/>
    <w:rsid w:val="002E48B9"/>
    <w:rsid w:val="002E4944"/>
    <w:rsid w:val="002E49A0"/>
    <w:rsid w:val="002E49B4"/>
    <w:rsid w:val="002E49CB"/>
    <w:rsid w:val="002E4B52"/>
    <w:rsid w:val="002E4BC4"/>
    <w:rsid w:val="002E4BFB"/>
    <w:rsid w:val="002E4C61"/>
    <w:rsid w:val="002E4C91"/>
    <w:rsid w:val="002E4CF5"/>
    <w:rsid w:val="002E4D41"/>
    <w:rsid w:val="002E4F73"/>
    <w:rsid w:val="002E4F79"/>
    <w:rsid w:val="002E4F7D"/>
    <w:rsid w:val="002E4FE1"/>
    <w:rsid w:val="002E5120"/>
    <w:rsid w:val="002E518A"/>
    <w:rsid w:val="002E51D2"/>
    <w:rsid w:val="002E54ED"/>
    <w:rsid w:val="002E5614"/>
    <w:rsid w:val="002E57F2"/>
    <w:rsid w:val="002E584C"/>
    <w:rsid w:val="002E58BF"/>
    <w:rsid w:val="002E58D3"/>
    <w:rsid w:val="002E59A4"/>
    <w:rsid w:val="002E59BB"/>
    <w:rsid w:val="002E5A08"/>
    <w:rsid w:val="002E5A6F"/>
    <w:rsid w:val="002E5A9F"/>
    <w:rsid w:val="002E5AE4"/>
    <w:rsid w:val="002E5CE9"/>
    <w:rsid w:val="002E5DBC"/>
    <w:rsid w:val="002E5E6C"/>
    <w:rsid w:val="002E5E89"/>
    <w:rsid w:val="002E5F0D"/>
    <w:rsid w:val="002E5F17"/>
    <w:rsid w:val="002E5F29"/>
    <w:rsid w:val="002E5F64"/>
    <w:rsid w:val="002E5F86"/>
    <w:rsid w:val="002E5F97"/>
    <w:rsid w:val="002E5FD0"/>
    <w:rsid w:val="002E60F4"/>
    <w:rsid w:val="002E61AD"/>
    <w:rsid w:val="002E633D"/>
    <w:rsid w:val="002E6351"/>
    <w:rsid w:val="002E635D"/>
    <w:rsid w:val="002E6361"/>
    <w:rsid w:val="002E63D0"/>
    <w:rsid w:val="002E6479"/>
    <w:rsid w:val="002E647E"/>
    <w:rsid w:val="002E6579"/>
    <w:rsid w:val="002E6771"/>
    <w:rsid w:val="002E67FB"/>
    <w:rsid w:val="002E6816"/>
    <w:rsid w:val="002E6840"/>
    <w:rsid w:val="002E68A2"/>
    <w:rsid w:val="002E68AD"/>
    <w:rsid w:val="002E68F4"/>
    <w:rsid w:val="002E69EB"/>
    <w:rsid w:val="002E69FA"/>
    <w:rsid w:val="002E6A88"/>
    <w:rsid w:val="002E6AEC"/>
    <w:rsid w:val="002E6B09"/>
    <w:rsid w:val="002E6B4F"/>
    <w:rsid w:val="002E6B51"/>
    <w:rsid w:val="002E6B61"/>
    <w:rsid w:val="002E6BDC"/>
    <w:rsid w:val="002E6C52"/>
    <w:rsid w:val="002E6CCB"/>
    <w:rsid w:val="002E6DDF"/>
    <w:rsid w:val="002E6F14"/>
    <w:rsid w:val="002E6F91"/>
    <w:rsid w:val="002E6F9D"/>
    <w:rsid w:val="002E6FAD"/>
    <w:rsid w:val="002E700B"/>
    <w:rsid w:val="002E7191"/>
    <w:rsid w:val="002E71C7"/>
    <w:rsid w:val="002E71E2"/>
    <w:rsid w:val="002E72C9"/>
    <w:rsid w:val="002E72E0"/>
    <w:rsid w:val="002E741B"/>
    <w:rsid w:val="002E7486"/>
    <w:rsid w:val="002E7526"/>
    <w:rsid w:val="002E7585"/>
    <w:rsid w:val="002E758C"/>
    <w:rsid w:val="002E7629"/>
    <w:rsid w:val="002E7633"/>
    <w:rsid w:val="002E7754"/>
    <w:rsid w:val="002E7762"/>
    <w:rsid w:val="002E7778"/>
    <w:rsid w:val="002E78C0"/>
    <w:rsid w:val="002E7A0E"/>
    <w:rsid w:val="002E7A72"/>
    <w:rsid w:val="002E7A83"/>
    <w:rsid w:val="002E7C47"/>
    <w:rsid w:val="002E7E5F"/>
    <w:rsid w:val="002E7EFA"/>
    <w:rsid w:val="002E7F27"/>
    <w:rsid w:val="002E7F9D"/>
    <w:rsid w:val="002E7FDD"/>
    <w:rsid w:val="002F000A"/>
    <w:rsid w:val="002F0085"/>
    <w:rsid w:val="002F0197"/>
    <w:rsid w:val="002F032B"/>
    <w:rsid w:val="002F03C7"/>
    <w:rsid w:val="002F0428"/>
    <w:rsid w:val="002F052C"/>
    <w:rsid w:val="002F057F"/>
    <w:rsid w:val="002F0596"/>
    <w:rsid w:val="002F060A"/>
    <w:rsid w:val="002F06E3"/>
    <w:rsid w:val="002F084F"/>
    <w:rsid w:val="002F0888"/>
    <w:rsid w:val="002F09EB"/>
    <w:rsid w:val="002F09FE"/>
    <w:rsid w:val="002F0A3B"/>
    <w:rsid w:val="002F0A8C"/>
    <w:rsid w:val="002F0AC6"/>
    <w:rsid w:val="002F0B47"/>
    <w:rsid w:val="002F0BC3"/>
    <w:rsid w:val="002F0BE2"/>
    <w:rsid w:val="002F0C5A"/>
    <w:rsid w:val="002F0CFF"/>
    <w:rsid w:val="002F0E3C"/>
    <w:rsid w:val="002F0EA1"/>
    <w:rsid w:val="002F0EA7"/>
    <w:rsid w:val="002F0EBD"/>
    <w:rsid w:val="002F0EF3"/>
    <w:rsid w:val="002F0EF7"/>
    <w:rsid w:val="002F0F73"/>
    <w:rsid w:val="002F1046"/>
    <w:rsid w:val="002F1048"/>
    <w:rsid w:val="002F1056"/>
    <w:rsid w:val="002F10C1"/>
    <w:rsid w:val="002F10CB"/>
    <w:rsid w:val="002F1148"/>
    <w:rsid w:val="002F114C"/>
    <w:rsid w:val="002F1359"/>
    <w:rsid w:val="002F13F3"/>
    <w:rsid w:val="002F1414"/>
    <w:rsid w:val="002F146B"/>
    <w:rsid w:val="002F1477"/>
    <w:rsid w:val="002F1482"/>
    <w:rsid w:val="002F151B"/>
    <w:rsid w:val="002F1656"/>
    <w:rsid w:val="002F174E"/>
    <w:rsid w:val="002F17A3"/>
    <w:rsid w:val="002F185C"/>
    <w:rsid w:val="002F18DB"/>
    <w:rsid w:val="002F19B7"/>
    <w:rsid w:val="002F1AAC"/>
    <w:rsid w:val="002F1C2A"/>
    <w:rsid w:val="002F1C72"/>
    <w:rsid w:val="002F1C7F"/>
    <w:rsid w:val="002F1CC6"/>
    <w:rsid w:val="002F1CE1"/>
    <w:rsid w:val="002F1D84"/>
    <w:rsid w:val="002F1E2F"/>
    <w:rsid w:val="002F209E"/>
    <w:rsid w:val="002F2110"/>
    <w:rsid w:val="002F211D"/>
    <w:rsid w:val="002F2134"/>
    <w:rsid w:val="002F222E"/>
    <w:rsid w:val="002F23C0"/>
    <w:rsid w:val="002F23C4"/>
    <w:rsid w:val="002F2567"/>
    <w:rsid w:val="002F27D6"/>
    <w:rsid w:val="002F2820"/>
    <w:rsid w:val="002F2844"/>
    <w:rsid w:val="002F2857"/>
    <w:rsid w:val="002F28A3"/>
    <w:rsid w:val="002F28AA"/>
    <w:rsid w:val="002F2A98"/>
    <w:rsid w:val="002F2AA6"/>
    <w:rsid w:val="002F2BBA"/>
    <w:rsid w:val="002F2C29"/>
    <w:rsid w:val="002F2C3B"/>
    <w:rsid w:val="002F2CC2"/>
    <w:rsid w:val="002F2D23"/>
    <w:rsid w:val="002F2D2B"/>
    <w:rsid w:val="002F2DCC"/>
    <w:rsid w:val="002F2E42"/>
    <w:rsid w:val="002F2E77"/>
    <w:rsid w:val="002F2EEF"/>
    <w:rsid w:val="002F2F4B"/>
    <w:rsid w:val="002F2F77"/>
    <w:rsid w:val="002F2F87"/>
    <w:rsid w:val="002F2FA0"/>
    <w:rsid w:val="002F2FB2"/>
    <w:rsid w:val="002F3010"/>
    <w:rsid w:val="002F3014"/>
    <w:rsid w:val="002F301A"/>
    <w:rsid w:val="002F3020"/>
    <w:rsid w:val="002F3026"/>
    <w:rsid w:val="002F3063"/>
    <w:rsid w:val="002F316B"/>
    <w:rsid w:val="002F331B"/>
    <w:rsid w:val="002F3452"/>
    <w:rsid w:val="002F3480"/>
    <w:rsid w:val="002F350E"/>
    <w:rsid w:val="002F357D"/>
    <w:rsid w:val="002F3667"/>
    <w:rsid w:val="002F3750"/>
    <w:rsid w:val="002F378B"/>
    <w:rsid w:val="002F37CA"/>
    <w:rsid w:val="002F38D7"/>
    <w:rsid w:val="002F38DC"/>
    <w:rsid w:val="002F396B"/>
    <w:rsid w:val="002F39B2"/>
    <w:rsid w:val="002F3A1E"/>
    <w:rsid w:val="002F3A33"/>
    <w:rsid w:val="002F3B28"/>
    <w:rsid w:val="002F3CB2"/>
    <w:rsid w:val="002F3CE8"/>
    <w:rsid w:val="002F3D26"/>
    <w:rsid w:val="002F3D7A"/>
    <w:rsid w:val="002F3E19"/>
    <w:rsid w:val="002F3E4D"/>
    <w:rsid w:val="002F3FB6"/>
    <w:rsid w:val="002F4053"/>
    <w:rsid w:val="002F42AF"/>
    <w:rsid w:val="002F42B4"/>
    <w:rsid w:val="002F42C5"/>
    <w:rsid w:val="002F42DF"/>
    <w:rsid w:val="002F4367"/>
    <w:rsid w:val="002F43C1"/>
    <w:rsid w:val="002F4412"/>
    <w:rsid w:val="002F4598"/>
    <w:rsid w:val="002F4654"/>
    <w:rsid w:val="002F480A"/>
    <w:rsid w:val="002F48CF"/>
    <w:rsid w:val="002F4903"/>
    <w:rsid w:val="002F4A7D"/>
    <w:rsid w:val="002F4C0F"/>
    <w:rsid w:val="002F4CD8"/>
    <w:rsid w:val="002F4D14"/>
    <w:rsid w:val="002F4F59"/>
    <w:rsid w:val="002F4F8B"/>
    <w:rsid w:val="002F5017"/>
    <w:rsid w:val="002F503F"/>
    <w:rsid w:val="002F5063"/>
    <w:rsid w:val="002F5086"/>
    <w:rsid w:val="002F50AB"/>
    <w:rsid w:val="002F515F"/>
    <w:rsid w:val="002F5168"/>
    <w:rsid w:val="002F5205"/>
    <w:rsid w:val="002F5410"/>
    <w:rsid w:val="002F5411"/>
    <w:rsid w:val="002F5432"/>
    <w:rsid w:val="002F54A7"/>
    <w:rsid w:val="002F551F"/>
    <w:rsid w:val="002F55BE"/>
    <w:rsid w:val="002F5647"/>
    <w:rsid w:val="002F5650"/>
    <w:rsid w:val="002F5731"/>
    <w:rsid w:val="002F5757"/>
    <w:rsid w:val="002F57E7"/>
    <w:rsid w:val="002F5819"/>
    <w:rsid w:val="002F598C"/>
    <w:rsid w:val="002F5A63"/>
    <w:rsid w:val="002F5B3C"/>
    <w:rsid w:val="002F5B82"/>
    <w:rsid w:val="002F5C7F"/>
    <w:rsid w:val="002F5CF5"/>
    <w:rsid w:val="002F5DF9"/>
    <w:rsid w:val="002F5EC6"/>
    <w:rsid w:val="002F5EEC"/>
    <w:rsid w:val="002F6007"/>
    <w:rsid w:val="002F608F"/>
    <w:rsid w:val="002F60DB"/>
    <w:rsid w:val="002F61CC"/>
    <w:rsid w:val="002F627D"/>
    <w:rsid w:val="002F6282"/>
    <w:rsid w:val="002F628B"/>
    <w:rsid w:val="002F62BB"/>
    <w:rsid w:val="002F6382"/>
    <w:rsid w:val="002F6386"/>
    <w:rsid w:val="002F6479"/>
    <w:rsid w:val="002F6491"/>
    <w:rsid w:val="002F649E"/>
    <w:rsid w:val="002F6559"/>
    <w:rsid w:val="002F65C2"/>
    <w:rsid w:val="002F67B1"/>
    <w:rsid w:val="002F67C7"/>
    <w:rsid w:val="002F684B"/>
    <w:rsid w:val="002F68B6"/>
    <w:rsid w:val="002F68EE"/>
    <w:rsid w:val="002F68F4"/>
    <w:rsid w:val="002F6985"/>
    <w:rsid w:val="002F698E"/>
    <w:rsid w:val="002F6A30"/>
    <w:rsid w:val="002F6B64"/>
    <w:rsid w:val="002F6BEC"/>
    <w:rsid w:val="002F6C05"/>
    <w:rsid w:val="002F6C56"/>
    <w:rsid w:val="002F6C5D"/>
    <w:rsid w:val="002F6C64"/>
    <w:rsid w:val="002F6CB7"/>
    <w:rsid w:val="002F6D81"/>
    <w:rsid w:val="002F6D97"/>
    <w:rsid w:val="002F6DA0"/>
    <w:rsid w:val="002F6E5D"/>
    <w:rsid w:val="002F6F22"/>
    <w:rsid w:val="002F6F6A"/>
    <w:rsid w:val="002F6FAC"/>
    <w:rsid w:val="002F715B"/>
    <w:rsid w:val="002F72E5"/>
    <w:rsid w:val="002F7336"/>
    <w:rsid w:val="002F73E8"/>
    <w:rsid w:val="002F7432"/>
    <w:rsid w:val="002F7442"/>
    <w:rsid w:val="002F7478"/>
    <w:rsid w:val="002F74DA"/>
    <w:rsid w:val="002F7508"/>
    <w:rsid w:val="002F76BA"/>
    <w:rsid w:val="002F7723"/>
    <w:rsid w:val="002F7754"/>
    <w:rsid w:val="002F7788"/>
    <w:rsid w:val="002F7789"/>
    <w:rsid w:val="002F7811"/>
    <w:rsid w:val="002F78D0"/>
    <w:rsid w:val="002F798E"/>
    <w:rsid w:val="002F7A38"/>
    <w:rsid w:val="002F7A9E"/>
    <w:rsid w:val="002F7AAE"/>
    <w:rsid w:val="002F7B25"/>
    <w:rsid w:val="002F7B41"/>
    <w:rsid w:val="002F7B42"/>
    <w:rsid w:val="002F7BD7"/>
    <w:rsid w:val="002F7CF1"/>
    <w:rsid w:val="002F7DD3"/>
    <w:rsid w:val="002F7EB9"/>
    <w:rsid w:val="002F7F12"/>
    <w:rsid w:val="002F7F49"/>
    <w:rsid w:val="002F7FDB"/>
    <w:rsid w:val="0030003B"/>
    <w:rsid w:val="003000CD"/>
    <w:rsid w:val="0030010B"/>
    <w:rsid w:val="003001B1"/>
    <w:rsid w:val="00300345"/>
    <w:rsid w:val="003004A3"/>
    <w:rsid w:val="003004C8"/>
    <w:rsid w:val="0030050A"/>
    <w:rsid w:val="00300624"/>
    <w:rsid w:val="0030075F"/>
    <w:rsid w:val="003007D6"/>
    <w:rsid w:val="00300813"/>
    <w:rsid w:val="00300949"/>
    <w:rsid w:val="0030098D"/>
    <w:rsid w:val="00300AAC"/>
    <w:rsid w:val="00300B8A"/>
    <w:rsid w:val="00300BE1"/>
    <w:rsid w:val="00300C3C"/>
    <w:rsid w:val="00300C52"/>
    <w:rsid w:val="00300C87"/>
    <w:rsid w:val="00300D5E"/>
    <w:rsid w:val="00300D73"/>
    <w:rsid w:val="00300DDF"/>
    <w:rsid w:val="00300E66"/>
    <w:rsid w:val="00301035"/>
    <w:rsid w:val="00301057"/>
    <w:rsid w:val="00301071"/>
    <w:rsid w:val="00301117"/>
    <w:rsid w:val="003011E3"/>
    <w:rsid w:val="0030136B"/>
    <w:rsid w:val="003013D9"/>
    <w:rsid w:val="00301406"/>
    <w:rsid w:val="00301444"/>
    <w:rsid w:val="00301484"/>
    <w:rsid w:val="003014C1"/>
    <w:rsid w:val="00301516"/>
    <w:rsid w:val="0030158A"/>
    <w:rsid w:val="003015A5"/>
    <w:rsid w:val="003015A6"/>
    <w:rsid w:val="00301673"/>
    <w:rsid w:val="00301714"/>
    <w:rsid w:val="0030190F"/>
    <w:rsid w:val="00301922"/>
    <w:rsid w:val="003019D3"/>
    <w:rsid w:val="003019D4"/>
    <w:rsid w:val="00301BE5"/>
    <w:rsid w:val="00301CCD"/>
    <w:rsid w:val="00301E5D"/>
    <w:rsid w:val="00301E91"/>
    <w:rsid w:val="00301FAE"/>
    <w:rsid w:val="00302105"/>
    <w:rsid w:val="0030222C"/>
    <w:rsid w:val="00302268"/>
    <w:rsid w:val="00302274"/>
    <w:rsid w:val="0030234A"/>
    <w:rsid w:val="003025BC"/>
    <w:rsid w:val="003025E5"/>
    <w:rsid w:val="003026F0"/>
    <w:rsid w:val="003026F2"/>
    <w:rsid w:val="003027BA"/>
    <w:rsid w:val="00302800"/>
    <w:rsid w:val="0030288D"/>
    <w:rsid w:val="00302892"/>
    <w:rsid w:val="00302A2D"/>
    <w:rsid w:val="00302B2B"/>
    <w:rsid w:val="00302C4A"/>
    <w:rsid w:val="00302CC3"/>
    <w:rsid w:val="00302D5F"/>
    <w:rsid w:val="00302D9C"/>
    <w:rsid w:val="00302DCB"/>
    <w:rsid w:val="00302DF8"/>
    <w:rsid w:val="00302E5E"/>
    <w:rsid w:val="00302E9B"/>
    <w:rsid w:val="00302EB7"/>
    <w:rsid w:val="00302F24"/>
    <w:rsid w:val="00302F66"/>
    <w:rsid w:val="0030305E"/>
    <w:rsid w:val="0030320A"/>
    <w:rsid w:val="00303257"/>
    <w:rsid w:val="0030329C"/>
    <w:rsid w:val="0030339B"/>
    <w:rsid w:val="003033E4"/>
    <w:rsid w:val="00303453"/>
    <w:rsid w:val="00303456"/>
    <w:rsid w:val="003034D7"/>
    <w:rsid w:val="00303541"/>
    <w:rsid w:val="003035A5"/>
    <w:rsid w:val="003036C2"/>
    <w:rsid w:val="00303704"/>
    <w:rsid w:val="00303706"/>
    <w:rsid w:val="0030370B"/>
    <w:rsid w:val="003037CE"/>
    <w:rsid w:val="003038CA"/>
    <w:rsid w:val="003038DB"/>
    <w:rsid w:val="003038E3"/>
    <w:rsid w:val="00303A88"/>
    <w:rsid w:val="00303B2A"/>
    <w:rsid w:val="00303B9D"/>
    <w:rsid w:val="00303BF6"/>
    <w:rsid w:val="00303C1F"/>
    <w:rsid w:val="00303CAA"/>
    <w:rsid w:val="00303CCA"/>
    <w:rsid w:val="00303D31"/>
    <w:rsid w:val="00303D73"/>
    <w:rsid w:val="00303D9A"/>
    <w:rsid w:val="00303DC4"/>
    <w:rsid w:val="00303DEC"/>
    <w:rsid w:val="00303F25"/>
    <w:rsid w:val="00303F36"/>
    <w:rsid w:val="00303F40"/>
    <w:rsid w:val="00303F7D"/>
    <w:rsid w:val="00303FBE"/>
    <w:rsid w:val="003040A2"/>
    <w:rsid w:val="00304171"/>
    <w:rsid w:val="0030417B"/>
    <w:rsid w:val="003041DD"/>
    <w:rsid w:val="0030424A"/>
    <w:rsid w:val="003042C8"/>
    <w:rsid w:val="00304305"/>
    <w:rsid w:val="003043EA"/>
    <w:rsid w:val="00304512"/>
    <w:rsid w:val="00304513"/>
    <w:rsid w:val="00304569"/>
    <w:rsid w:val="003045B0"/>
    <w:rsid w:val="00304640"/>
    <w:rsid w:val="00304743"/>
    <w:rsid w:val="0030477B"/>
    <w:rsid w:val="003047BE"/>
    <w:rsid w:val="003047D8"/>
    <w:rsid w:val="003048C1"/>
    <w:rsid w:val="003048CF"/>
    <w:rsid w:val="003048D1"/>
    <w:rsid w:val="003048DF"/>
    <w:rsid w:val="0030494D"/>
    <w:rsid w:val="0030499E"/>
    <w:rsid w:val="003049FE"/>
    <w:rsid w:val="00304A3A"/>
    <w:rsid w:val="00304A47"/>
    <w:rsid w:val="00304A6B"/>
    <w:rsid w:val="00304A7D"/>
    <w:rsid w:val="00304AFC"/>
    <w:rsid w:val="00304B18"/>
    <w:rsid w:val="00304B86"/>
    <w:rsid w:val="00304B8D"/>
    <w:rsid w:val="00304B99"/>
    <w:rsid w:val="00304C5E"/>
    <w:rsid w:val="00304CA0"/>
    <w:rsid w:val="00304CAE"/>
    <w:rsid w:val="00304CC2"/>
    <w:rsid w:val="00304D8E"/>
    <w:rsid w:val="00304E05"/>
    <w:rsid w:val="00304E2C"/>
    <w:rsid w:val="00304E74"/>
    <w:rsid w:val="00304E98"/>
    <w:rsid w:val="00304F01"/>
    <w:rsid w:val="003050C2"/>
    <w:rsid w:val="003050DE"/>
    <w:rsid w:val="00305171"/>
    <w:rsid w:val="00305242"/>
    <w:rsid w:val="0030533C"/>
    <w:rsid w:val="00305569"/>
    <w:rsid w:val="00305575"/>
    <w:rsid w:val="003055BA"/>
    <w:rsid w:val="0030560F"/>
    <w:rsid w:val="00305692"/>
    <w:rsid w:val="003056ED"/>
    <w:rsid w:val="003057DD"/>
    <w:rsid w:val="003057F0"/>
    <w:rsid w:val="003058DE"/>
    <w:rsid w:val="00305958"/>
    <w:rsid w:val="00305981"/>
    <w:rsid w:val="00305989"/>
    <w:rsid w:val="003059C7"/>
    <w:rsid w:val="003059E6"/>
    <w:rsid w:val="00305A20"/>
    <w:rsid w:val="00305A81"/>
    <w:rsid w:val="00305A98"/>
    <w:rsid w:val="00305AE7"/>
    <w:rsid w:val="00305B91"/>
    <w:rsid w:val="00305BAD"/>
    <w:rsid w:val="00305BB2"/>
    <w:rsid w:val="00305BBD"/>
    <w:rsid w:val="00305BF1"/>
    <w:rsid w:val="00305C53"/>
    <w:rsid w:val="00305D7E"/>
    <w:rsid w:val="00305E14"/>
    <w:rsid w:val="00305F29"/>
    <w:rsid w:val="0030601A"/>
    <w:rsid w:val="00306085"/>
    <w:rsid w:val="00306102"/>
    <w:rsid w:val="0030620E"/>
    <w:rsid w:val="00306243"/>
    <w:rsid w:val="003062B5"/>
    <w:rsid w:val="003063F8"/>
    <w:rsid w:val="00306435"/>
    <w:rsid w:val="0030658C"/>
    <w:rsid w:val="003065C5"/>
    <w:rsid w:val="003065CC"/>
    <w:rsid w:val="00306664"/>
    <w:rsid w:val="00306671"/>
    <w:rsid w:val="0030669B"/>
    <w:rsid w:val="00306735"/>
    <w:rsid w:val="003067E4"/>
    <w:rsid w:val="00306805"/>
    <w:rsid w:val="00306825"/>
    <w:rsid w:val="003068C5"/>
    <w:rsid w:val="0030699F"/>
    <w:rsid w:val="003069C7"/>
    <w:rsid w:val="00306AD4"/>
    <w:rsid w:val="00306B41"/>
    <w:rsid w:val="00306CB9"/>
    <w:rsid w:val="00306D23"/>
    <w:rsid w:val="00306F75"/>
    <w:rsid w:val="00306F8E"/>
    <w:rsid w:val="00307042"/>
    <w:rsid w:val="003070E3"/>
    <w:rsid w:val="00307173"/>
    <w:rsid w:val="003071DB"/>
    <w:rsid w:val="0030728B"/>
    <w:rsid w:val="003072FB"/>
    <w:rsid w:val="003073D2"/>
    <w:rsid w:val="00307445"/>
    <w:rsid w:val="00307493"/>
    <w:rsid w:val="0030754E"/>
    <w:rsid w:val="003075EF"/>
    <w:rsid w:val="003076CD"/>
    <w:rsid w:val="003077B6"/>
    <w:rsid w:val="003077B8"/>
    <w:rsid w:val="00307827"/>
    <w:rsid w:val="003079F7"/>
    <w:rsid w:val="00307A33"/>
    <w:rsid w:val="00307B65"/>
    <w:rsid w:val="00307D01"/>
    <w:rsid w:val="00307D46"/>
    <w:rsid w:val="00307D66"/>
    <w:rsid w:val="00307D84"/>
    <w:rsid w:val="00307DE1"/>
    <w:rsid w:val="00307E18"/>
    <w:rsid w:val="00307F02"/>
    <w:rsid w:val="00307F2E"/>
    <w:rsid w:val="00307F4C"/>
    <w:rsid w:val="00307FB5"/>
    <w:rsid w:val="00307FD8"/>
    <w:rsid w:val="0031002D"/>
    <w:rsid w:val="0031009F"/>
    <w:rsid w:val="003100AB"/>
    <w:rsid w:val="003101B3"/>
    <w:rsid w:val="003101C2"/>
    <w:rsid w:val="00310204"/>
    <w:rsid w:val="00310208"/>
    <w:rsid w:val="003103D8"/>
    <w:rsid w:val="00310447"/>
    <w:rsid w:val="00310454"/>
    <w:rsid w:val="00310487"/>
    <w:rsid w:val="00310488"/>
    <w:rsid w:val="00310586"/>
    <w:rsid w:val="003106E9"/>
    <w:rsid w:val="0031077D"/>
    <w:rsid w:val="003107A5"/>
    <w:rsid w:val="003107E2"/>
    <w:rsid w:val="003107FC"/>
    <w:rsid w:val="0031092D"/>
    <w:rsid w:val="003109EB"/>
    <w:rsid w:val="00310AEE"/>
    <w:rsid w:val="00310B95"/>
    <w:rsid w:val="00310C10"/>
    <w:rsid w:val="00310C6A"/>
    <w:rsid w:val="00310CAA"/>
    <w:rsid w:val="00310D3F"/>
    <w:rsid w:val="00310DA5"/>
    <w:rsid w:val="00310DBB"/>
    <w:rsid w:val="00310E22"/>
    <w:rsid w:val="00310E2E"/>
    <w:rsid w:val="00310E66"/>
    <w:rsid w:val="00310EB5"/>
    <w:rsid w:val="00310EC3"/>
    <w:rsid w:val="00310F3E"/>
    <w:rsid w:val="00311035"/>
    <w:rsid w:val="003110CD"/>
    <w:rsid w:val="003111DC"/>
    <w:rsid w:val="00311235"/>
    <w:rsid w:val="00311276"/>
    <w:rsid w:val="00311317"/>
    <w:rsid w:val="00311459"/>
    <w:rsid w:val="00311485"/>
    <w:rsid w:val="003114F7"/>
    <w:rsid w:val="00311547"/>
    <w:rsid w:val="003115A9"/>
    <w:rsid w:val="00311609"/>
    <w:rsid w:val="003116DF"/>
    <w:rsid w:val="003116EA"/>
    <w:rsid w:val="0031184C"/>
    <w:rsid w:val="0031184F"/>
    <w:rsid w:val="003118E9"/>
    <w:rsid w:val="00311945"/>
    <w:rsid w:val="00311977"/>
    <w:rsid w:val="00311A22"/>
    <w:rsid w:val="00311A45"/>
    <w:rsid w:val="00311ACC"/>
    <w:rsid w:val="00311B10"/>
    <w:rsid w:val="00311B6C"/>
    <w:rsid w:val="00311BA3"/>
    <w:rsid w:val="00311CBE"/>
    <w:rsid w:val="00311D16"/>
    <w:rsid w:val="00311D87"/>
    <w:rsid w:val="00311DB9"/>
    <w:rsid w:val="00311F9C"/>
    <w:rsid w:val="00311FC4"/>
    <w:rsid w:val="003121F2"/>
    <w:rsid w:val="0031222B"/>
    <w:rsid w:val="003122A2"/>
    <w:rsid w:val="003122E1"/>
    <w:rsid w:val="003122ED"/>
    <w:rsid w:val="003123CF"/>
    <w:rsid w:val="00312428"/>
    <w:rsid w:val="0031245F"/>
    <w:rsid w:val="0031248F"/>
    <w:rsid w:val="00312493"/>
    <w:rsid w:val="003125B6"/>
    <w:rsid w:val="003126AF"/>
    <w:rsid w:val="00312857"/>
    <w:rsid w:val="003128DF"/>
    <w:rsid w:val="00312A20"/>
    <w:rsid w:val="00312A28"/>
    <w:rsid w:val="00312ADB"/>
    <w:rsid w:val="00312AFD"/>
    <w:rsid w:val="00312C69"/>
    <w:rsid w:val="00312D83"/>
    <w:rsid w:val="00312D9D"/>
    <w:rsid w:val="00312DAC"/>
    <w:rsid w:val="00312E0A"/>
    <w:rsid w:val="00312E84"/>
    <w:rsid w:val="00312EB1"/>
    <w:rsid w:val="00312EDC"/>
    <w:rsid w:val="00312F1D"/>
    <w:rsid w:val="00312F78"/>
    <w:rsid w:val="00312FF9"/>
    <w:rsid w:val="00313024"/>
    <w:rsid w:val="00313134"/>
    <w:rsid w:val="0031329A"/>
    <w:rsid w:val="0031336F"/>
    <w:rsid w:val="00313379"/>
    <w:rsid w:val="0031357D"/>
    <w:rsid w:val="003135F1"/>
    <w:rsid w:val="003135FE"/>
    <w:rsid w:val="003136DE"/>
    <w:rsid w:val="00313734"/>
    <w:rsid w:val="003137F1"/>
    <w:rsid w:val="00313862"/>
    <w:rsid w:val="00313876"/>
    <w:rsid w:val="003138A2"/>
    <w:rsid w:val="003138DA"/>
    <w:rsid w:val="00313B3D"/>
    <w:rsid w:val="00313B95"/>
    <w:rsid w:val="00313BF8"/>
    <w:rsid w:val="00313C77"/>
    <w:rsid w:val="00313D1C"/>
    <w:rsid w:val="00313D7D"/>
    <w:rsid w:val="00313DC4"/>
    <w:rsid w:val="00313F33"/>
    <w:rsid w:val="00313F62"/>
    <w:rsid w:val="0031411B"/>
    <w:rsid w:val="0031417F"/>
    <w:rsid w:val="00314205"/>
    <w:rsid w:val="0031421F"/>
    <w:rsid w:val="003143AE"/>
    <w:rsid w:val="0031449B"/>
    <w:rsid w:val="00314556"/>
    <w:rsid w:val="0031460D"/>
    <w:rsid w:val="003149ED"/>
    <w:rsid w:val="00314A27"/>
    <w:rsid w:val="00314AD4"/>
    <w:rsid w:val="00314AFA"/>
    <w:rsid w:val="00314B12"/>
    <w:rsid w:val="00314D09"/>
    <w:rsid w:val="00314DEA"/>
    <w:rsid w:val="00314E5D"/>
    <w:rsid w:val="00314E60"/>
    <w:rsid w:val="00314FAC"/>
    <w:rsid w:val="00314FB4"/>
    <w:rsid w:val="00314FD6"/>
    <w:rsid w:val="003151DF"/>
    <w:rsid w:val="00315239"/>
    <w:rsid w:val="003152BA"/>
    <w:rsid w:val="0031546B"/>
    <w:rsid w:val="00315598"/>
    <w:rsid w:val="0031571A"/>
    <w:rsid w:val="0031571D"/>
    <w:rsid w:val="00315776"/>
    <w:rsid w:val="0031577F"/>
    <w:rsid w:val="003158A3"/>
    <w:rsid w:val="00315969"/>
    <w:rsid w:val="00315995"/>
    <w:rsid w:val="00315A39"/>
    <w:rsid w:val="00315A56"/>
    <w:rsid w:val="00315AD5"/>
    <w:rsid w:val="00315B01"/>
    <w:rsid w:val="00315B7A"/>
    <w:rsid w:val="00315BA5"/>
    <w:rsid w:val="00315D05"/>
    <w:rsid w:val="00315D61"/>
    <w:rsid w:val="00315E17"/>
    <w:rsid w:val="00316058"/>
    <w:rsid w:val="00316067"/>
    <w:rsid w:val="003161F9"/>
    <w:rsid w:val="0031634F"/>
    <w:rsid w:val="003163AD"/>
    <w:rsid w:val="003163D5"/>
    <w:rsid w:val="00316490"/>
    <w:rsid w:val="003165AE"/>
    <w:rsid w:val="003165B2"/>
    <w:rsid w:val="0031677D"/>
    <w:rsid w:val="003167C2"/>
    <w:rsid w:val="003168A3"/>
    <w:rsid w:val="003168B3"/>
    <w:rsid w:val="00316966"/>
    <w:rsid w:val="003169D9"/>
    <w:rsid w:val="00316A35"/>
    <w:rsid w:val="00316A4B"/>
    <w:rsid w:val="00316A9E"/>
    <w:rsid w:val="00316AF5"/>
    <w:rsid w:val="00316B16"/>
    <w:rsid w:val="00316CBD"/>
    <w:rsid w:val="00316D28"/>
    <w:rsid w:val="00316E2B"/>
    <w:rsid w:val="00316E2E"/>
    <w:rsid w:val="00316E33"/>
    <w:rsid w:val="00316EC9"/>
    <w:rsid w:val="0031701A"/>
    <w:rsid w:val="0031701B"/>
    <w:rsid w:val="00317037"/>
    <w:rsid w:val="003170F3"/>
    <w:rsid w:val="0031719F"/>
    <w:rsid w:val="00317296"/>
    <w:rsid w:val="003172C7"/>
    <w:rsid w:val="003172EC"/>
    <w:rsid w:val="003173B6"/>
    <w:rsid w:val="00317412"/>
    <w:rsid w:val="00317457"/>
    <w:rsid w:val="003174B1"/>
    <w:rsid w:val="00317502"/>
    <w:rsid w:val="0031756F"/>
    <w:rsid w:val="003175AC"/>
    <w:rsid w:val="003175D8"/>
    <w:rsid w:val="003175F4"/>
    <w:rsid w:val="00317666"/>
    <w:rsid w:val="00317718"/>
    <w:rsid w:val="0031772F"/>
    <w:rsid w:val="0031773A"/>
    <w:rsid w:val="0031777E"/>
    <w:rsid w:val="00317885"/>
    <w:rsid w:val="00317911"/>
    <w:rsid w:val="0031795E"/>
    <w:rsid w:val="0031798E"/>
    <w:rsid w:val="003179EC"/>
    <w:rsid w:val="00317A24"/>
    <w:rsid w:val="00317A2C"/>
    <w:rsid w:val="00317A54"/>
    <w:rsid w:val="00317AEC"/>
    <w:rsid w:val="00317B65"/>
    <w:rsid w:val="00317BB8"/>
    <w:rsid w:val="00317C4D"/>
    <w:rsid w:val="00317CE1"/>
    <w:rsid w:val="00317E34"/>
    <w:rsid w:val="00317E6D"/>
    <w:rsid w:val="0032025E"/>
    <w:rsid w:val="00320314"/>
    <w:rsid w:val="003203D4"/>
    <w:rsid w:val="0032043F"/>
    <w:rsid w:val="0032058C"/>
    <w:rsid w:val="00320590"/>
    <w:rsid w:val="003205E9"/>
    <w:rsid w:val="00320716"/>
    <w:rsid w:val="00320741"/>
    <w:rsid w:val="00320772"/>
    <w:rsid w:val="00320795"/>
    <w:rsid w:val="00320843"/>
    <w:rsid w:val="00320897"/>
    <w:rsid w:val="00320927"/>
    <w:rsid w:val="00320AB9"/>
    <w:rsid w:val="00320B25"/>
    <w:rsid w:val="00320C9F"/>
    <w:rsid w:val="00320D61"/>
    <w:rsid w:val="00320E93"/>
    <w:rsid w:val="00320F6F"/>
    <w:rsid w:val="003210F3"/>
    <w:rsid w:val="0032119C"/>
    <w:rsid w:val="0032119E"/>
    <w:rsid w:val="003211B4"/>
    <w:rsid w:val="003211D3"/>
    <w:rsid w:val="0032129C"/>
    <w:rsid w:val="00321312"/>
    <w:rsid w:val="0032131F"/>
    <w:rsid w:val="0032132A"/>
    <w:rsid w:val="0032136E"/>
    <w:rsid w:val="00321397"/>
    <w:rsid w:val="003215BE"/>
    <w:rsid w:val="00321668"/>
    <w:rsid w:val="00321681"/>
    <w:rsid w:val="0032188F"/>
    <w:rsid w:val="003218E3"/>
    <w:rsid w:val="003219E0"/>
    <w:rsid w:val="003219FD"/>
    <w:rsid w:val="00321BCF"/>
    <w:rsid w:val="00321BD2"/>
    <w:rsid w:val="00321D16"/>
    <w:rsid w:val="00321D39"/>
    <w:rsid w:val="00321D49"/>
    <w:rsid w:val="00321D82"/>
    <w:rsid w:val="00321D8D"/>
    <w:rsid w:val="00321D92"/>
    <w:rsid w:val="00321DD4"/>
    <w:rsid w:val="00321DFE"/>
    <w:rsid w:val="00321E00"/>
    <w:rsid w:val="00321E51"/>
    <w:rsid w:val="00321E71"/>
    <w:rsid w:val="00321E8E"/>
    <w:rsid w:val="0032209F"/>
    <w:rsid w:val="00322114"/>
    <w:rsid w:val="00322226"/>
    <w:rsid w:val="003222BF"/>
    <w:rsid w:val="003222C7"/>
    <w:rsid w:val="003223A6"/>
    <w:rsid w:val="003223C4"/>
    <w:rsid w:val="003223E7"/>
    <w:rsid w:val="0032255B"/>
    <w:rsid w:val="00322636"/>
    <w:rsid w:val="00322760"/>
    <w:rsid w:val="00322925"/>
    <w:rsid w:val="0032292F"/>
    <w:rsid w:val="00322962"/>
    <w:rsid w:val="00322B22"/>
    <w:rsid w:val="00322C96"/>
    <w:rsid w:val="00322CCC"/>
    <w:rsid w:val="00322D1D"/>
    <w:rsid w:val="00322DC9"/>
    <w:rsid w:val="00322E79"/>
    <w:rsid w:val="003230DC"/>
    <w:rsid w:val="0032312D"/>
    <w:rsid w:val="003231E5"/>
    <w:rsid w:val="00323203"/>
    <w:rsid w:val="00323269"/>
    <w:rsid w:val="0032327E"/>
    <w:rsid w:val="0032338C"/>
    <w:rsid w:val="00323400"/>
    <w:rsid w:val="00323448"/>
    <w:rsid w:val="00323461"/>
    <w:rsid w:val="00323496"/>
    <w:rsid w:val="00323508"/>
    <w:rsid w:val="0032351D"/>
    <w:rsid w:val="00323577"/>
    <w:rsid w:val="003235A7"/>
    <w:rsid w:val="003236CF"/>
    <w:rsid w:val="00323AA1"/>
    <w:rsid w:val="00323B84"/>
    <w:rsid w:val="00323B98"/>
    <w:rsid w:val="00323BEE"/>
    <w:rsid w:val="00323CC6"/>
    <w:rsid w:val="00323CF9"/>
    <w:rsid w:val="00323E00"/>
    <w:rsid w:val="00323E60"/>
    <w:rsid w:val="00323FC4"/>
    <w:rsid w:val="00324039"/>
    <w:rsid w:val="0032412F"/>
    <w:rsid w:val="00324189"/>
    <w:rsid w:val="00324241"/>
    <w:rsid w:val="00324325"/>
    <w:rsid w:val="00324345"/>
    <w:rsid w:val="00324399"/>
    <w:rsid w:val="003243D7"/>
    <w:rsid w:val="0032460F"/>
    <w:rsid w:val="0032467E"/>
    <w:rsid w:val="003247A5"/>
    <w:rsid w:val="003247CC"/>
    <w:rsid w:val="003247DC"/>
    <w:rsid w:val="0032480B"/>
    <w:rsid w:val="00324836"/>
    <w:rsid w:val="00324848"/>
    <w:rsid w:val="003248C2"/>
    <w:rsid w:val="003249FF"/>
    <w:rsid w:val="00324AD0"/>
    <w:rsid w:val="00324B6D"/>
    <w:rsid w:val="00324B9E"/>
    <w:rsid w:val="00324BA5"/>
    <w:rsid w:val="00324BDE"/>
    <w:rsid w:val="00324CA8"/>
    <w:rsid w:val="00324E49"/>
    <w:rsid w:val="00324E73"/>
    <w:rsid w:val="00324F21"/>
    <w:rsid w:val="00324F2E"/>
    <w:rsid w:val="00325088"/>
    <w:rsid w:val="0032508D"/>
    <w:rsid w:val="00325308"/>
    <w:rsid w:val="0032532C"/>
    <w:rsid w:val="003253D6"/>
    <w:rsid w:val="00325426"/>
    <w:rsid w:val="00325482"/>
    <w:rsid w:val="0032549F"/>
    <w:rsid w:val="003254CA"/>
    <w:rsid w:val="003254D5"/>
    <w:rsid w:val="00325512"/>
    <w:rsid w:val="00325552"/>
    <w:rsid w:val="0032564C"/>
    <w:rsid w:val="003256A8"/>
    <w:rsid w:val="003256F9"/>
    <w:rsid w:val="0032575A"/>
    <w:rsid w:val="00325779"/>
    <w:rsid w:val="003257B4"/>
    <w:rsid w:val="0032581E"/>
    <w:rsid w:val="003258C0"/>
    <w:rsid w:val="00325963"/>
    <w:rsid w:val="00325A0C"/>
    <w:rsid w:val="00325C33"/>
    <w:rsid w:val="00325C37"/>
    <w:rsid w:val="00325C7B"/>
    <w:rsid w:val="00325CAF"/>
    <w:rsid w:val="00325D05"/>
    <w:rsid w:val="00325E15"/>
    <w:rsid w:val="00325E44"/>
    <w:rsid w:val="00325ECC"/>
    <w:rsid w:val="00326022"/>
    <w:rsid w:val="0032603B"/>
    <w:rsid w:val="003261F4"/>
    <w:rsid w:val="00326237"/>
    <w:rsid w:val="0032624F"/>
    <w:rsid w:val="003262F1"/>
    <w:rsid w:val="0032631F"/>
    <w:rsid w:val="00326403"/>
    <w:rsid w:val="003265C2"/>
    <w:rsid w:val="003266A8"/>
    <w:rsid w:val="003266A9"/>
    <w:rsid w:val="0032670D"/>
    <w:rsid w:val="00326757"/>
    <w:rsid w:val="00326847"/>
    <w:rsid w:val="0032685E"/>
    <w:rsid w:val="003268A3"/>
    <w:rsid w:val="003268E8"/>
    <w:rsid w:val="00326917"/>
    <w:rsid w:val="00326924"/>
    <w:rsid w:val="00326A24"/>
    <w:rsid w:val="00326A36"/>
    <w:rsid w:val="00326A5B"/>
    <w:rsid w:val="00326A5E"/>
    <w:rsid w:val="00326C30"/>
    <w:rsid w:val="00326E06"/>
    <w:rsid w:val="00326E5A"/>
    <w:rsid w:val="0032701A"/>
    <w:rsid w:val="0032702E"/>
    <w:rsid w:val="003270B0"/>
    <w:rsid w:val="003270BD"/>
    <w:rsid w:val="0032712C"/>
    <w:rsid w:val="003272BF"/>
    <w:rsid w:val="0032732F"/>
    <w:rsid w:val="00327399"/>
    <w:rsid w:val="003273F1"/>
    <w:rsid w:val="00327439"/>
    <w:rsid w:val="0032750C"/>
    <w:rsid w:val="0032755B"/>
    <w:rsid w:val="00327576"/>
    <w:rsid w:val="0032759A"/>
    <w:rsid w:val="003275F3"/>
    <w:rsid w:val="0032784D"/>
    <w:rsid w:val="0032785A"/>
    <w:rsid w:val="00327880"/>
    <w:rsid w:val="00327908"/>
    <w:rsid w:val="00327983"/>
    <w:rsid w:val="00327A8B"/>
    <w:rsid w:val="00327AFF"/>
    <w:rsid w:val="00327B5A"/>
    <w:rsid w:val="00327B70"/>
    <w:rsid w:val="00327B9C"/>
    <w:rsid w:val="00327C25"/>
    <w:rsid w:val="00327DE6"/>
    <w:rsid w:val="00327E43"/>
    <w:rsid w:val="00327E72"/>
    <w:rsid w:val="00327F4A"/>
    <w:rsid w:val="003300AD"/>
    <w:rsid w:val="003300C3"/>
    <w:rsid w:val="00330151"/>
    <w:rsid w:val="0033043B"/>
    <w:rsid w:val="0033048C"/>
    <w:rsid w:val="003304C7"/>
    <w:rsid w:val="00330599"/>
    <w:rsid w:val="0033059E"/>
    <w:rsid w:val="003307A3"/>
    <w:rsid w:val="00330845"/>
    <w:rsid w:val="00330847"/>
    <w:rsid w:val="00330867"/>
    <w:rsid w:val="0033089C"/>
    <w:rsid w:val="0033096F"/>
    <w:rsid w:val="00330984"/>
    <w:rsid w:val="00330997"/>
    <w:rsid w:val="003309B0"/>
    <w:rsid w:val="00330A1D"/>
    <w:rsid w:val="00330A72"/>
    <w:rsid w:val="00330B9E"/>
    <w:rsid w:val="00330C9A"/>
    <w:rsid w:val="00330CF7"/>
    <w:rsid w:val="00330CFE"/>
    <w:rsid w:val="00330D15"/>
    <w:rsid w:val="00330D2A"/>
    <w:rsid w:val="00330D91"/>
    <w:rsid w:val="00330D99"/>
    <w:rsid w:val="00330E09"/>
    <w:rsid w:val="00330F0B"/>
    <w:rsid w:val="00330FFA"/>
    <w:rsid w:val="003310A1"/>
    <w:rsid w:val="00331143"/>
    <w:rsid w:val="003311E7"/>
    <w:rsid w:val="0033126B"/>
    <w:rsid w:val="00331281"/>
    <w:rsid w:val="00331333"/>
    <w:rsid w:val="00331374"/>
    <w:rsid w:val="0033138E"/>
    <w:rsid w:val="003313F4"/>
    <w:rsid w:val="003314B1"/>
    <w:rsid w:val="003314D2"/>
    <w:rsid w:val="0033150D"/>
    <w:rsid w:val="00331522"/>
    <w:rsid w:val="00331578"/>
    <w:rsid w:val="0033157D"/>
    <w:rsid w:val="00331652"/>
    <w:rsid w:val="00331660"/>
    <w:rsid w:val="003316FF"/>
    <w:rsid w:val="00331788"/>
    <w:rsid w:val="003317AC"/>
    <w:rsid w:val="003317E2"/>
    <w:rsid w:val="003317EF"/>
    <w:rsid w:val="003318DF"/>
    <w:rsid w:val="0033197A"/>
    <w:rsid w:val="00331A0D"/>
    <w:rsid w:val="00331A39"/>
    <w:rsid w:val="00331A3E"/>
    <w:rsid w:val="00331A9F"/>
    <w:rsid w:val="00331AD6"/>
    <w:rsid w:val="00331C9A"/>
    <w:rsid w:val="00331DD1"/>
    <w:rsid w:val="00331F43"/>
    <w:rsid w:val="00331F44"/>
    <w:rsid w:val="00331FD4"/>
    <w:rsid w:val="00332005"/>
    <w:rsid w:val="00332145"/>
    <w:rsid w:val="00332228"/>
    <w:rsid w:val="003324CE"/>
    <w:rsid w:val="003324E3"/>
    <w:rsid w:val="00332541"/>
    <w:rsid w:val="00332560"/>
    <w:rsid w:val="00332595"/>
    <w:rsid w:val="003325D1"/>
    <w:rsid w:val="00332600"/>
    <w:rsid w:val="0033263F"/>
    <w:rsid w:val="0033266A"/>
    <w:rsid w:val="003327C9"/>
    <w:rsid w:val="00332815"/>
    <w:rsid w:val="00332820"/>
    <w:rsid w:val="00332885"/>
    <w:rsid w:val="003328C3"/>
    <w:rsid w:val="0033299C"/>
    <w:rsid w:val="00332AE9"/>
    <w:rsid w:val="00332B0B"/>
    <w:rsid w:val="00332B3B"/>
    <w:rsid w:val="00332B4D"/>
    <w:rsid w:val="00332BC9"/>
    <w:rsid w:val="00332C0B"/>
    <w:rsid w:val="00332C1C"/>
    <w:rsid w:val="00332CAC"/>
    <w:rsid w:val="00332CF2"/>
    <w:rsid w:val="00332D90"/>
    <w:rsid w:val="00332E3B"/>
    <w:rsid w:val="00332EB3"/>
    <w:rsid w:val="00332F1B"/>
    <w:rsid w:val="0033303D"/>
    <w:rsid w:val="0033306F"/>
    <w:rsid w:val="0033321F"/>
    <w:rsid w:val="00333453"/>
    <w:rsid w:val="0033345F"/>
    <w:rsid w:val="003334B1"/>
    <w:rsid w:val="003334F9"/>
    <w:rsid w:val="0033352A"/>
    <w:rsid w:val="003335A9"/>
    <w:rsid w:val="003335DB"/>
    <w:rsid w:val="0033361A"/>
    <w:rsid w:val="00333620"/>
    <w:rsid w:val="00333685"/>
    <w:rsid w:val="003336B2"/>
    <w:rsid w:val="00333700"/>
    <w:rsid w:val="00333770"/>
    <w:rsid w:val="0033385A"/>
    <w:rsid w:val="003338A9"/>
    <w:rsid w:val="00333923"/>
    <w:rsid w:val="00333A07"/>
    <w:rsid w:val="00333B86"/>
    <w:rsid w:val="00333B9D"/>
    <w:rsid w:val="00333BCC"/>
    <w:rsid w:val="00333C50"/>
    <w:rsid w:val="00333C62"/>
    <w:rsid w:val="00333C80"/>
    <w:rsid w:val="00333CBA"/>
    <w:rsid w:val="00333D67"/>
    <w:rsid w:val="00333D95"/>
    <w:rsid w:val="00333DCF"/>
    <w:rsid w:val="00333DE2"/>
    <w:rsid w:val="00333E36"/>
    <w:rsid w:val="00333E67"/>
    <w:rsid w:val="00333EB0"/>
    <w:rsid w:val="00333F6C"/>
    <w:rsid w:val="00334097"/>
    <w:rsid w:val="003340DD"/>
    <w:rsid w:val="003341C2"/>
    <w:rsid w:val="0033424E"/>
    <w:rsid w:val="003342A6"/>
    <w:rsid w:val="003342B8"/>
    <w:rsid w:val="003342D5"/>
    <w:rsid w:val="00334388"/>
    <w:rsid w:val="0033444D"/>
    <w:rsid w:val="00334539"/>
    <w:rsid w:val="003345B9"/>
    <w:rsid w:val="0033483D"/>
    <w:rsid w:val="003348DF"/>
    <w:rsid w:val="00334932"/>
    <w:rsid w:val="00334A4E"/>
    <w:rsid w:val="00334A51"/>
    <w:rsid w:val="00334A72"/>
    <w:rsid w:val="00334A94"/>
    <w:rsid w:val="00334ABD"/>
    <w:rsid w:val="00334ADA"/>
    <w:rsid w:val="00334B73"/>
    <w:rsid w:val="00334BA9"/>
    <w:rsid w:val="00334C2F"/>
    <w:rsid w:val="00334CEC"/>
    <w:rsid w:val="00334F62"/>
    <w:rsid w:val="00334F64"/>
    <w:rsid w:val="00334FDB"/>
    <w:rsid w:val="00335073"/>
    <w:rsid w:val="003350EB"/>
    <w:rsid w:val="0033526C"/>
    <w:rsid w:val="0033529A"/>
    <w:rsid w:val="003352C1"/>
    <w:rsid w:val="0033535D"/>
    <w:rsid w:val="0033538F"/>
    <w:rsid w:val="00335396"/>
    <w:rsid w:val="003353B3"/>
    <w:rsid w:val="00335417"/>
    <w:rsid w:val="00335453"/>
    <w:rsid w:val="00335480"/>
    <w:rsid w:val="003354A6"/>
    <w:rsid w:val="0033557B"/>
    <w:rsid w:val="003355CC"/>
    <w:rsid w:val="003355E2"/>
    <w:rsid w:val="00335631"/>
    <w:rsid w:val="0033565F"/>
    <w:rsid w:val="00335667"/>
    <w:rsid w:val="0033580B"/>
    <w:rsid w:val="0033583C"/>
    <w:rsid w:val="003359D7"/>
    <w:rsid w:val="00335A93"/>
    <w:rsid w:val="00335B11"/>
    <w:rsid w:val="00335BCA"/>
    <w:rsid w:val="00335BD0"/>
    <w:rsid w:val="00335D28"/>
    <w:rsid w:val="00335DC4"/>
    <w:rsid w:val="00335DF2"/>
    <w:rsid w:val="00335E01"/>
    <w:rsid w:val="00335F50"/>
    <w:rsid w:val="00335F7E"/>
    <w:rsid w:val="00335F97"/>
    <w:rsid w:val="00336073"/>
    <w:rsid w:val="003360FF"/>
    <w:rsid w:val="003361CE"/>
    <w:rsid w:val="00336236"/>
    <w:rsid w:val="0033625F"/>
    <w:rsid w:val="0033634B"/>
    <w:rsid w:val="0033637F"/>
    <w:rsid w:val="003363E9"/>
    <w:rsid w:val="003363F8"/>
    <w:rsid w:val="0033652F"/>
    <w:rsid w:val="0033655B"/>
    <w:rsid w:val="00336576"/>
    <w:rsid w:val="003365A8"/>
    <w:rsid w:val="003366E5"/>
    <w:rsid w:val="0033670C"/>
    <w:rsid w:val="003368E3"/>
    <w:rsid w:val="00336913"/>
    <w:rsid w:val="00336B81"/>
    <w:rsid w:val="00336B9A"/>
    <w:rsid w:val="00336C72"/>
    <w:rsid w:val="00336C90"/>
    <w:rsid w:val="00336CD4"/>
    <w:rsid w:val="00336CEA"/>
    <w:rsid w:val="00336E3A"/>
    <w:rsid w:val="00336ECB"/>
    <w:rsid w:val="00336F1F"/>
    <w:rsid w:val="00337035"/>
    <w:rsid w:val="00337058"/>
    <w:rsid w:val="0033714C"/>
    <w:rsid w:val="00337154"/>
    <w:rsid w:val="003371C9"/>
    <w:rsid w:val="003372BA"/>
    <w:rsid w:val="00337319"/>
    <w:rsid w:val="00337337"/>
    <w:rsid w:val="003373C5"/>
    <w:rsid w:val="00337451"/>
    <w:rsid w:val="00337452"/>
    <w:rsid w:val="0033747F"/>
    <w:rsid w:val="00337750"/>
    <w:rsid w:val="0033776A"/>
    <w:rsid w:val="003377AC"/>
    <w:rsid w:val="003377E1"/>
    <w:rsid w:val="00337850"/>
    <w:rsid w:val="00337961"/>
    <w:rsid w:val="00337A20"/>
    <w:rsid w:val="00337A63"/>
    <w:rsid w:val="00337A93"/>
    <w:rsid w:val="00337AD1"/>
    <w:rsid w:val="00337B29"/>
    <w:rsid w:val="00337BF5"/>
    <w:rsid w:val="00337D21"/>
    <w:rsid w:val="00337D2C"/>
    <w:rsid w:val="00337F7E"/>
    <w:rsid w:val="00337FC4"/>
    <w:rsid w:val="00340032"/>
    <w:rsid w:val="00340082"/>
    <w:rsid w:val="0034009E"/>
    <w:rsid w:val="003400E6"/>
    <w:rsid w:val="00340156"/>
    <w:rsid w:val="00340184"/>
    <w:rsid w:val="003401BE"/>
    <w:rsid w:val="00340217"/>
    <w:rsid w:val="0034026B"/>
    <w:rsid w:val="0034055B"/>
    <w:rsid w:val="0034055C"/>
    <w:rsid w:val="0034058C"/>
    <w:rsid w:val="003405BD"/>
    <w:rsid w:val="003406B6"/>
    <w:rsid w:val="0034078E"/>
    <w:rsid w:val="003407DB"/>
    <w:rsid w:val="003407DD"/>
    <w:rsid w:val="00340826"/>
    <w:rsid w:val="0034082A"/>
    <w:rsid w:val="003408BC"/>
    <w:rsid w:val="003408E6"/>
    <w:rsid w:val="00340906"/>
    <w:rsid w:val="00340A17"/>
    <w:rsid w:val="00340B3F"/>
    <w:rsid w:val="00340BA6"/>
    <w:rsid w:val="00340BA9"/>
    <w:rsid w:val="00340FB3"/>
    <w:rsid w:val="00341097"/>
    <w:rsid w:val="00341126"/>
    <w:rsid w:val="00341166"/>
    <w:rsid w:val="003412AE"/>
    <w:rsid w:val="003412FF"/>
    <w:rsid w:val="003413A9"/>
    <w:rsid w:val="003413E5"/>
    <w:rsid w:val="003415BA"/>
    <w:rsid w:val="003415C4"/>
    <w:rsid w:val="00341675"/>
    <w:rsid w:val="003417A5"/>
    <w:rsid w:val="003419BF"/>
    <w:rsid w:val="003419C3"/>
    <w:rsid w:val="003419EC"/>
    <w:rsid w:val="00341A7F"/>
    <w:rsid w:val="00341AE9"/>
    <w:rsid w:val="00341C20"/>
    <w:rsid w:val="00341CC6"/>
    <w:rsid w:val="00341CCB"/>
    <w:rsid w:val="00341CF4"/>
    <w:rsid w:val="00341D24"/>
    <w:rsid w:val="00341D6A"/>
    <w:rsid w:val="00341D73"/>
    <w:rsid w:val="00341DA1"/>
    <w:rsid w:val="00341E23"/>
    <w:rsid w:val="00341E32"/>
    <w:rsid w:val="00341E3F"/>
    <w:rsid w:val="00341E44"/>
    <w:rsid w:val="00341EC3"/>
    <w:rsid w:val="00341EC6"/>
    <w:rsid w:val="00341EE4"/>
    <w:rsid w:val="00341F6B"/>
    <w:rsid w:val="00342001"/>
    <w:rsid w:val="0034209A"/>
    <w:rsid w:val="003420CE"/>
    <w:rsid w:val="00342363"/>
    <w:rsid w:val="003423C4"/>
    <w:rsid w:val="003423C9"/>
    <w:rsid w:val="003424A3"/>
    <w:rsid w:val="003424EA"/>
    <w:rsid w:val="00342565"/>
    <w:rsid w:val="003425B8"/>
    <w:rsid w:val="00342684"/>
    <w:rsid w:val="0034269C"/>
    <w:rsid w:val="003426E2"/>
    <w:rsid w:val="00342746"/>
    <w:rsid w:val="003427AB"/>
    <w:rsid w:val="003427E1"/>
    <w:rsid w:val="003428F0"/>
    <w:rsid w:val="003429DB"/>
    <w:rsid w:val="00342A29"/>
    <w:rsid w:val="00342A77"/>
    <w:rsid w:val="00342A7A"/>
    <w:rsid w:val="00342B28"/>
    <w:rsid w:val="00342BB7"/>
    <w:rsid w:val="00342C71"/>
    <w:rsid w:val="00342CBD"/>
    <w:rsid w:val="00342D3A"/>
    <w:rsid w:val="00342D55"/>
    <w:rsid w:val="00342E7D"/>
    <w:rsid w:val="00342E95"/>
    <w:rsid w:val="00342F42"/>
    <w:rsid w:val="00342FA2"/>
    <w:rsid w:val="0034305C"/>
    <w:rsid w:val="0034307A"/>
    <w:rsid w:val="00343097"/>
    <w:rsid w:val="00343151"/>
    <w:rsid w:val="003431AA"/>
    <w:rsid w:val="00343278"/>
    <w:rsid w:val="00343283"/>
    <w:rsid w:val="0034338B"/>
    <w:rsid w:val="00343417"/>
    <w:rsid w:val="00343427"/>
    <w:rsid w:val="003435AA"/>
    <w:rsid w:val="003435E4"/>
    <w:rsid w:val="003435FF"/>
    <w:rsid w:val="0034370C"/>
    <w:rsid w:val="00343749"/>
    <w:rsid w:val="00343752"/>
    <w:rsid w:val="00343766"/>
    <w:rsid w:val="003437C9"/>
    <w:rsid w:val="00343802"/>
    <w:rsid w:val="003438C9"/>
    <w:rsid w:val="0034399D"/>
    <w:rsid w:val="00343AEE"/>
    <w:rsid w:val="00343B14"/>
    <w:rsid w:val="00343B94"/>
    <w:rsid w:val="00343BBB"/>
    <w:rsid w:val="00343C29"/>
    <w:rsid w:val="00343C2A"/>
    <w:rsid w:val="00343C91"/>
    <w:rsid w:val="00343DCC"/>
    <w:rsid w:val="00343EBA"/>
    <w:rsid w:val="00343F65"/>
    <w:rsid w:val="00343FCF"/>
    <w:rsid w:val="00344000"/>
    <w:rsid w:val="00344020"/>
    <w:rsid w:val="0034404E"/>
    <w:rsid w:val="00344067"/>
    <w:rsid w:val="00344112"/>
    <w:rsid w:val="003442F6"/>
    <w:rsid w:val="00344403"/>
    <w:rsid w:val="00344452"/>
    <w:rsid w:val="00344552"/>
    <w:rsid w:val="00344569"/>
    <w:rsid w:val="003446D8"/>
    <w:rsid w:val="0034470A"/>
    <w:rsid w:val="00344717"/>
    <w:rsid w:val="00344727"/>
    <w:rsid w:val="0034477E"/>
    <w:rsid w:val="003447EE"/>
    <w:rsid w:val="00344821"/>
    <w:rsid w:val="0034486E"/>
    <w:rsid w:val="00344872"/>
    <w:rsid w:val="003448F4"/>
    <w:rsid w:val="00344A39"/>
    <w:rsid w:val="00344AD5"/>
    <w:rsid w:val="00344B47"/>
    <w:rsid w:val="00344DDA"/>
    <w:rsid w:val="00344DFD"/>
    <w:rsid w:val="00344F4F"/>
    <w:rsid w:val="0034508C"/>
    <w:rsid w:val="00345136"/>
    <w:rsid w:val="00345275"/>
    <w:rsid w:val="00345375"/>
    <w:rsid w:val="0034542E"/>
    <w:rsid w:val="00345438"/>
    <w:rsid w:val="003454D8"/>
    <w:rsid w:val="0034559B"/>
    <w:rsid w:val="00345647"/>
    <w:rsid w:val="0034567B"/>
    <w:rsid w:val="0034575F"/>
    <w:rsid w:val="00345769"/>
    <w:rsid w:val="00345828"/>
    <w:rsid w:val="0034583A"/>
    <w:rsid w:val="0034583C"/>
    <w:rsid w:val="00345893"/>
    <w:rsid w:val="003458BC"/>
    <w:rsid w:val="003459C1"/>
    <w:rsid w:val="003459CB"/>
    <w:rsid w:val="003459FF"/>
    <w:rsid w:val="00345A08"/>
    <w:rsid w:val="00345A62"/>
    <w:rsid w:val="00345AB4"/>
    <w:rsid w:val="00345AEA"/>
    <w:rsid w:val="00345C61"/>
    <w:rsid w:val="00345D13"/>
    <w:rsid w:val="00345D9B"/>
    <w:rsid w:val="00345DE1"/>
    <w:rsid w:val="00345E6A"/>
    <w:rsid w:val="00345FA5"/>
    <w:rsid w:val="00346020"/>
    <w:rsid w:val="003460A3"/>
    <w:rsid w:val="0034618B"/>
    <w:rsid w:val="00346222"/>
    <w:rsid w:val="003462DC"/>
    <w:rsid w:val="0034630B"/>
    <w:rsid w:val="00346387"/>
    <w:rsid w:val="0034643E"/>
    <w:rsid w:val="003464A3"/>
    <w:rsid w:val="00346622"/>
    <w:rsid w:val="00346632"/>
    <w:rsid w:val="003466BF"/>
    <w:rsid w:val="003466E2"/>
    <w:rsid w:val="00346704"/>
    <w:rsid w:val="003467BF"/>
    <w:rsid w:val="0034680A"/>
    <w:rsid w:val="0034684F"/>
    <w:rsid w:val="00346ABF"/>
    <w:rsid w:val="00346C5C"/>
    <w:rsid w:val="00346CE1"/>
    <w:rsid w:val="00346E80"/>
    <w:rsid w:val="00346F15"/>
    <w:rsid w:val="00347043"/>
    <w:rsid w:val="00347074"/>
    <w:rsid w:val="003470B9"/>
    <w:rsid w:val="003470C4"/>
    <w:rsid w:val="003470E4"/>
    <w:rsid w:val="003471C4"/>
    <w:rsid w:val="003471DF"/>
    <w:rsid w:val="0034723E"/>
    <w:rsid w:val="00347269"/>
    <w:rsid w:val="00347327"/>
    <w:rsid w:val="003474F0"/>
    <w:rsid w:val="0034750F"/>
    <w:rsid w:val="0034751A"/>
    <w:rsid w:val="00347567"/>
    <w:rsid w:val="003476AA"/>
    <w:rsid w:val="003476D8"/>
    <w:rsid w:val="00347939"/>
    <w:rsid w:val="003479C2"/>
    <w:rsid w:val="00347A56"/>
    <w:rsid w:val="00347A84"/>
    <w:rsid w:val="00347B2D"/>
    <w:rsid w:val="00347BF0"/>
    <w:rsid w:val="00347CE6"/>
    <w:rsid w:val="00347E83"/>
    <w:rsid w:val="00347EA6"/>
    <w:rsid w:val="00347EB3"/>
    <w:rsid w:val="00347EF8"/>
    <w:rsid w:val="00347F49"/>
    <w:rsid w:val="0034C712"/>
    <w:rsid w:val="00350023"/>
    <w:rsid w:val="0035013F"/>
    <w:rsid w:val="00350161"/>
    <w:rsid w:val="0035020A"/>
    <w:rsid w:val="0035037A"/>
    <w:rsid w:val="0035046C"/>
    <w:rsid w:val="003504EE"/>
    <w:rsid w:val="00350502"/>
    <w:rsid w:val="00350529"/>
    <w:rsid w:val="0035055F"/>
    <w:rsid w:val="003505E7"/>
    <w:rsid w:val="00350642"/>
    <w:rsid w:val="00350658"/>
    <w:rsid w:val="003506C2"/>
    <w:rsid w:val="003506D4"/>
    <w:rsid w:val="0035072C"/>
    <w:rsid w:val="003507BE"/>
    <w:rsid w:val="003508C3"/>
    <w:rsid w:val="003508CA"/>
    <w:rsid w:val="0035090B"/>
    <w:rsid w:val="003509AF"/>
    <w:rsid w:val="003509EF"/>
    <w:rsid w:val="00350B01"/>
    <w:rsid w:val="00350B0C"/>
    <w:rsid w:val="00350B22"/>
    <w:rsid w:val="00350B31"/>
    <w:rsid w:val="00350B50"/>
    <w:rsid w:val="00350C39"/>
    <w:rsid w:val="00350CB9"/>
    <w:rsid w:val="00350CD8"/>
    <w:rsid w:val="00350DE8"/>
    <w:rsid w:val="00350E4D"/>
    <w:rsid w:val="00350E9C"/>
    <w:rsid w:val="00350EF0"/>
    <w:rsid w:val="00350EF6"/>
    <w:rsid w:val="00350F8C"/>
    <w:rsid w:val="00351069"/>
    <w:rsid w:val="00351119"/>
    <w:rsid w:val="00351132"/>
    <w:rsid w:val="00351137"/>
    <w:rsid w:val="00351151"/>
    <w:rsid w:val="0035119A"/>
    <w:rsid w:val="00351283"/>
    <w:rsid w:val="003512AB"/>
    <w:rsid w:val="0035131D"/>
    <w:rsid w:val="00351332"/>
    <w:rsid w:val="003514B2"/>
    <w:rsid w:val="00351504"/>
    <w:rsid w:val="00351591"/>
    <w:rsid w:val="003515A9"/>
    <w:rsid w:val="0035164D"/>
    <w:rsid w:val="003516DF"/>
    <w:rsid w:val="00351844"/>
    <w:rsid w:val="00351885"/>
    <w:rsid w:val="00351A21"/>
    <w:rsid w:val="00351ABB"/>
    <w:rsid w:val="00351ADE"/>
    <w:rsid w:val="00351B5A"/>
    <w:rsid w:val="00351C16"/>
    <w:rsid w:val="00351CEA"/>
    <w:rsid w:val="00351D1C"/>
    <w:rsid w:val="00351D43"/>
    <w:rsid w:val="00351DDA"/>
    <w:rsid w:val="00351E72"/>
    <w:rsid w:val="00351F7D"/>
    <w:rsid w:val="00352033"/>
    <w:rsid w:val="0035211B"/>
    <w:rsid w:val="00352189"/>
    <w:rsid w:val="0035219D"/>
    <w:rsid w:val="003521F5"/>
    <w:rsid w:val="0035229E"/>
    <w:rsid w:val="00352367"/>
    <w:rsid w:val="003523C8"/>
    <w:rsid w:val="003523F9"/>
    <w:rsid w:val="00352411"/>
    <w:rsid w:val="003524AA"/>
    <w:rsid w:val="003524D2"/>
    <w:rsid w:val="00352528"/>
    <w:rsid w:val="00352551"/>
    <w:rsid w:val="00352643"/>
    <w:rsid w:val="003526D2"/>
    <w:rsid w:val="0035272D"/>
    <w:rsid w:val="003527A4"/>
    <w:rsid w:val="00352872"/>
    <w:rsid w:val="0035289A"/>
    <w:rsid w:val="0035294E"/>
    <w:rsid w:val="00352983"/>
    <w:rsid w:val="003529BA"/>
    <w:rsid w:val="00352A1A"/>
    <w:rsid w:val="00352AE0"/>
    <w:rsid w:val="00352B26"/>
    <w:rsid w:val="00352B38"/>
    <w:rsid w:val="00352BCC"/>
    <w:rsid w:val="00352BCD"/>
    <w:rsid w:val="00352D77"/>
    <w:rsid w:val="00352D88"/>
    <w:rsid w:val="00352E80"/>
    <w:rsid w:val="00352F80"/>
    <w:rsid w:val="00353028"/>
    <w:rsid w:val="00353043"/>
    <w:rsid w:val="00353106"/>
    <w:rsid w:val="00353133"/>
    <w:rsid w:val="00353229"/>
    <w:rsid w:val="0035323F"/>
    <w:rsid w:val="003532E5"/>
    <w:rsid w:val="003533A9"/>
    <w:rsid w:val="00353497"/>
    <w:rsid w:val="0035355E"/>
    <w:rsid w:val="0035364A"/>
    <w:rsid w:val="00353732"/>
    <w:rsid w:val="00353890"/>
    <w:rsid w:val="0035395F"/>
    <w:rsid w:val="00353A55"/>
    <w:rsid w:val="00353AA6"/>
    <w:rsid w:val="00353AB8"/>
    <w:rsid w:val="00353AC1"/>
    <w:rsid w:val="00353B4B"/>
    <w:rsid w:val="00353B58"/>
    <w:rsid w:val="00353B77"/>
    <w:rsid w:val="00353B8E"/>
    <w:rsid w:val="00353BE6"/>
    <w:rsid w:val="00353D21"/>
    <w:rsid w:val="00353D45"/>
    <w:rsid w:val="00353E67"/>
    <w:rsid w:val="00353FBE"/>
    <w:rsid w:val="00354146"/>
    <w:rsid w:val="00354290"/>
    <w:rsid w:val="0035431C"/>
    <w:rsid w:val="00354352"/>
    <w:rsid w:val="00354361"/>
    <w:rsid w:val="00354377"/>
    <w:rsid w:val="003544C7"/>
    <w:rsid w:val="00354588"/>
    <w:rsid w:val="003545C1"/>
    <w:rsid w:val="00354686"/>
    <w:rsid w:val="00354696"/>
    <w:rsid w:val="003546E0"/>
    <w:rsid w:val="00354791"/>
    <w:rsid w:val="0035489A"/>
    <w:rsid w:val="00354972"/>
    <w:rsid w:val="00354973"/>
    <w:rsid w:val="00354A44"/>
    <w:rsid w:val="00354A7E"/>
    <w:rsid w:val="00354AA6"/>
    <w:rsid w:val="00354B2C"/>
    <w:rsid w:val="00354BB7"/>
    <w:rsid w:val="00354C2C"/>
    <w:rsid w:val="00354C66"/>
    <w:rsid w:val="00354D1E"/>
    <w:rsid w:val="00354DAA"/>
    <w:rsid w:val="00354DE9"/>
    <w:rsid w:val="00354DF8"/>
    <w:rsid w:val="00354F07"/>
    <w:rsid w:val="00354F67"/>
    <w:rsid w:val="00354FB9"/>
    <w:rsid w:val="00355021"/>
    <w:rsid w:val="00355086"/>
    <w:rsid w:val="003550E0"/>
    <w:rsid w:val="0035519A"/>
    <w:rsid w:val="003551B1"/>
    <w:rsid w:val="0035525C"/>
    <w:rsid w:val="003552F6"/>
    <w:rsid w:val="003552FD"/>
    <w:rsid w:val="00355306"/>
    <w:rsid w:val="003553A2"/>
    <w:rsid w:val="003553B0"/>
    <w:rsid w:val="003553D3"/>
    <w:rsid w:val="00355416"/>
    <w:rsid w:val="00355427"/>
    <w:rsid w:val="003556A3"/>
    <w:rsid w:val="003557A9"/>
    <w:rsid w:val="00355880"/>
    <w:rsid w:val="00355913"/>
    <w:rsid w:val="0035596C"/>
    <w:rsid w:val="00355991"/>
    <w:rsid w:val="003559B9"/>
    <w:rsid w:val="003559C6"/>
    <w:rsid w:val="003559CF"/>
    <w:rsid w:val="00355A07"/>
    <w:rsid w:val="00355B1D"/>
    <w:rsid w:val="00355B46"/>
    <w:rsid w:val="00355C6D"/>
    <w:rsid w:val="00355D07"/>
    <w:rsid w:val="00355F42"/>
    <w:rsid w:val="00355F47"/>
    <w:rsid w:val="00355F60"/>
    <w:rsid w:val="00355FD1"/>
    <w:rsid w:val="00355FEB"/>
    <w:rsid w:val="003560C3"/>
    <w:rsid w:val="003560D4"/>
    <w:rsid w:val="0035615B"/>
    <w:rsid w:val="0035618E"/>
    <w:rsid w:val="003561BD"/>
    <w:rsid w:val="003561E9"/>
    <w:rsid w:val="0035626C"/>
    <w:rsid w:val="003562F2"/>
    <w:rsid w:val="003563D9"/>
    <w:rsid w:val="00356489"/>
    <w:rsid w:val="003564C1"/>
    <w:rsid w:val="003565D8"/>
    <w:rsid w:val="00356611"/>
    <w:rsid w:val="003566CC"/>
    <w:rsid w:val="003566F4"/>
    <w:rsid w:val="00356726"/>
    <w:rsid w:val="003567FA"/>
    <w:rsid w:val="00356802"/>
    <w:rsid w:val="0035684F"/>
    <w:rsid w:val="00356924"/>
    <w:rsid w:val="00356B15"/>
    <w:rsid w:val="00356B43"/>
    <w:rsid w:val="00356B58"/>
    <w:rsid w:val="00356B80"/>
    <w:rsid w:val="00356BD0"/>
    <w:rsid w:val="00356BDA"/>
    <w:rsid w:val="00356CA8"/>
    <w:rsid w:val="00356D13"/>
    <w:rsid w:val="00356DD5"/>
    <w:rsid w:val="00356DE1"/>
    <w:rsid w:val="00356E2F"/>
    <w:rsid w:val="00356E8E"/>
    <w:rsid w:val="00356EE2"/>
    <w:rsid w:val="00356F11"/>
    <w:rsid w:val="00356F25"/>
    <w:rsid w:val="00356F2F"/>
    <w:rsid w:val="00356F78"/>
    <w:rsid w:val="00356F7E"/>
    <w:rsid w:val="00356F97"/>
    <w:rsid w:val="00357022"/>
    <w:rsid w:val="003570FA"/>
    <w:rsid w:val="00357108"/>
    <w:rsid w:val="0035729C"/>
    <w:rsid w:val="003572FD"/>
    <w:rsid w:val="00357390"/>
    <w:rsid w:val="00357396"/>
    <w:rsid w:val="003573BC"/>
    <w:rsid w:val="003573FA"/>
    <w:rsid w:val="00357565"/>
    <w:rsid w:val="003575B9"/>
    <w:rsid w:val="0035763A"/>
    <w:rsid w:val="00357693"/>
    <w:rsid w:val="00357738"/>
    <w:rsid w:val="0035782B"/>
    <w:rsid w:val="0035793A"/>
    <w:rsid w:val="0035794C"/>
    <w:rsid w:val="003579B7"/>
    <w:rsid w:val="00357A1D"/>
    <w:rsid w:val="00357A3D"/>
    <w:rsid w:val="00357A51"/>
    <w:rsid w:val="00357A54"/>
    <w:rsid w:val="00357CAD"/>
    <w:rsid w:val="00357D52"/>
    <w:rsid w:val="00357D54"/>
    <w:rsid w:val="00357E4A"/>
    <w:rsid w:val="00357E65"/>
    <w:rsid w:val="00357F65"/>
    <w:rsid w:val="00357F66"/>
    <w:rsid w:val="00357F77"/>
    <w:rsid w:val="00357F79"/>
    <w:rsid w:val="00357F82"/>
    <w:rsid w:val="00357F8B"/>
    <w:rsid w:val="00357FB5"/>
    <w:rsid w:val="003600D8"/>
    <w:rsid w:val="00360160"/>
    <w:rsid w:val="003601AC"/>
    <w:rsid w:val="003601BF"/>
    <w:rsid w:val="00360236"/>
    <w:rsid w:val="00360264"/>
    <w:rsid w:val="00360356"/>
    <w:rsid w:val="003603B7"/>
    <w:rsid w:val="0036040F"/>
    <w:rsid w:val="00360470"/>
    <w:rsid w:val="00360497"/>
    <w:rsid w:val="003604EB"/>
    <w:rsid w:val="0036059A"/>
    <w:rsid w:val="003605C2"/>
    <w:rsid w:val="0036066B"/>
    <w:rsid w:val="00360675"/>
    <w:rsid w:val="00360768"/>
    <w:rsid w:val="00360818"/>
    <w:rsid w:val="0036089A"/>
    <w:rsid w:val="00360905"/>
    <w:rsid w:val="0036096B"/>
    <w:rsid w:val="003609C6"/>
    <w:rsid w:val="003609EE"/>
    <w:rsid w:val="00360A1E"/>
    <w:rsid w:val="00360AA4"/>
    <w:rsid w:val="00360BAC"/>
    <w:rsid w:val="00360BDB"/>
    <w:rsid w:val="00360C35"/>
    <w:rsid w:val="00360C8D"/>
    <w:rsid w:val="00360C91"/>
    <w:rsid w:val="00360E23"/>
    <w:rsid w:val="00360E89"/>
    <w:rsid w:val="00360EC9"/>
    <w:rsid w:val="00360FFC"/>
    <w:rsid w:val="003611A3"/>
    <w:rsid w:val="0036126A"/>
    <w:rsid w:val="003612B7"/>
    <w:rsid w:val="00361349"/>
    <w:rsid w:val="00361385"/>
    <w:rsid w:val="003613C7"/>
    <w:rsid w:val="0036143C"/>
    <w:rsid w:val="00361446"/>
    <w:rsid w:val="00361495"/>
    <w:rsid w:val="003614AF"/>
    <w:rsid w:val="00361553"/>
    <w:rsid w:val="0036156C"/>
    <w:rsid w:val="003615DD"/>
    <w:rsid w:val="003616E4"/>
    <w:rsid w:val="00361717"/>
    <w:rsid w:val="0036189C"/>
    <w:rsid w:val="003618F2"/>
    <w:rsid w:val="00361939"/>
    <w:rsid w:val="003619E2"/>
    <w:rsid w:val="00361ADD"/>
    <w:rsid w:val="00361AE5"/>
    <w:rsid w:val="00361B04"/>
    <w:rsid w:val="00361B14"/>
    <w:rsid w:val="00361B15"/>
    <w:rsid w:val="00361B57"/>
    <w:rsid w:val="00361BE8"/>
    <w:rsid w:val="00361C39"/>
    <w:rsid w:val="00361C49"/>
    <w:rsid w:val="00361CA9"/>
    <w:rsid w:val="00361CC4"/>
    <w:rsid w:val="00361D30"/>
    <w:rsid w:val="00361D41"/>
    <w:rsid w:val="00361D63"/>
    <w:rsid w:val="00361D67"/>
    <w:rsid w:val="00361DDD"/>
    <w:rsid w:val="00361DE4"/>
    <w:rsid w:val="00361DEA"/>
    <w:rsid w:val="00361EB0"/>
    <w:rsid w:val="00362144"/>
    <w:rsid w:val="00362205"/>
    <w:rsid w:val="00362206"/>
    <w:rsid w:val="00362292"/>
    <w:rsid w:val="003622C1"/>
    <w:rsid w:val="00362383"/>
    <w:rsid w:val="00362388"/>
    <w:rsid w:val="0036242B"/>
    <w:rsid w:val="00362597"/>
    <w:rsid w:val="003625F6"/>
    <w:rsid w:val="00362609"/>
    <w:rsid w:val="0036261D"/>
    <w:rsid w:val="00362629"/>
    <w:rsid w:val="00362676"/>
    <w:rsid w:val="00362810"/>
    <w:rsid w:val="00362857"/>
    <w:rsid w:val="00362973"/>
    <w:rsid w:val="00362A33"/>
    <w:rsid w:val="00362B29"/>
    <w:rsid w:val="00362C44"/>
    <w:rsid w:val="00362DEA"/>
    <w:rsid w:val="00362E3D"/>
    <w:rsid w:val="00362EA3"/>
    <w:rsid w:val="00362EAF"/>
    <w:rsid w:val="00362F40"/>
    <w:rsid w:val="003630AB"/>
    <w:rsid w:val="00363145"/>
    <w:rsid w:val="00363168"/>
    <w:rsid w:val="0036320F"/>
    <w:rsid w:val="0036329C"/>
    <w:rsid w:val="00363334"/>
    <w:rsid w:val="0036338C"/>
    <w:rsid w:val="00363507"/>
    <w:rsid w:val="00363598"/>
    <w:rsid w:val="003635F3"/>
    <w:rsid w:val="00363612"/>
    <w:rsid w:val="003636C2"/>
    <w:rsid w:val="003636EF"/>
    <w:rsid w:val="00363794"/>
    <w:rsid w:val="003637D9"/>
    <w:rsid w:val="003637E1"/>
    <w:rsid w:val="00363946"/>
    <w:rsid w:val="00363970"/>
    <w:rsid w:val="0036399F"/>
    <w:rsid w:val="003639C7"/>
    <w:rsid w:val="00363AB5"/>
    <w:rsid w:val="00363AD3"/>
    <w:rsid w:val="00363D1A"/>
    <w:rsid w:val="00363D1B"/>
    <w:rsid w:val="00363D78"/>
    <w:rsid w:val="00363E09"/>
    <w:rsid w:val="00363E96"/>
    <w:rsid w:val="00363F6C"/>
    <w:rsid w:val="00363FD7"/>
    <w:rsid w:val="00363FF8"/>
    <w:rsid w:val="0036401F"/>
    <w:rsid w:val="003640B0"/>
    <w:rsid w:val="003640E1"/>
    <w:rsid w:val="003640F8"/>
    <w:rsid w:val="00364207"/>
    <w:rsid w:val="00364271"/>
    <w:rsid w:val="00364304"/>
    <w:rsid w:val="003643DC"/>
    <w:rsid w:val="003643F4"/>
    <w:rsid w:val="0036442E"/>
    <w:rsid w:val="00364478"/>
    <w:rsid w:val="0036453B"/>
    <w:rsid w:val="00364710"/>
    <w:rsid w:val="00364793"/>
    <w:rsid w:val="003647D0"/>
    <w:rsid w:val="003647FB"/>
    <w:rsid w:val="00364856"/>
    <w:rsid w:val="00364A54"/>
    <w:rsid w:val="00364A61"/>
    <w:rsid w:val="00364AD6"/>
    <w:rsid w:val="00364AEF"/>
    <w:rsid w:val="00364B16"/>
    <w:rsid w:val="00364B96"/>
    <w:rsid w:val="00364C8F"/>
    <w:rsid w:val="00364CEA"/>
    <w:rsid w:val="00364D67"/>
    <w:rsid w:val="00364D9A"/>
    <w:rsid w:val="00364DBE"/>
    <w:rsid w:val="00364DC0"/>
    <w:rsid w:val="00364DFA"/>
    <w:rsid w:val="00364E0A"/>
    <w:rsid w:val="00364FBA"/>
    <w:rsid w:val="0036503C"/>
    <w:rsid w:val="0036511B"/>
    <w:rsid w:val="0036517E"/>
    <w:rsid w:val="00365318"/>
    <w:rsid w:val="0036532A"/>
    <w:rsid w:val="003653F3"/>
    <w:rsid w:val="0036545D"/>
    <w:rsid w:val="003654D0"/>
    <w:rsid w:val="003654F3"/>
    <w:rsid w:val="003655D7"/>
    <w:rsid w:val="00365631"/>
    <w:rsid w:val="0036565A"/>
    <w:rsid w:val="00365718"/>
    <w:rsid w:val="0036574F"/>
    <w:rsid w:val="00365785"/>
    <w:rsid w:val="003657FD"/>
    <w:rsid w:val="0036593B"/>
    <w:rsid w:val="00365987"/>
    <w:rsid w:val="00365992"/>
    <w:rsid w:val="0036599D"/>
    <w:rsid w:val="003659C5"/>
    <w:rsid w:val="003659EA"/>
    <w:rsid w:val="00365A5A"/>
    <w:rsid w:val="00365A91"/>
    <w:rsid w:val="00365B02"/>
    <w:rsid w:val="00365BD8"/>
    <w:rsid w:val="00365BDB"/>
    <w:rsid w:val="00365C28"/>
    <w:rsid w:val="00365D69"/>
    <w:rsid w:val="00365D7C"/>
    <w:rsid w:val="00365D90"/>
    <w:rsid w:val="00365E53"/>
    <w:rsid w:val="00365E8D"/>
    <w:rsid w:val="00365EC4"/>
    <w:rsid w:val="00365EF5"/>
    <w:rsid w:val="00365F88"/>
    <w:rsid w:val="00365F97"/>
    <w:rsid w:val="00365FC4"/>
    <w:rsid w:val="00366054"/>
    <w:rsid w:val="003660CB"/>
    <w:rsid w:val="003661F2"/>
    <w:rsid w:val="0036626E"/>
    <w:rsid w:val="00366274"/>
    <w:rsid w:val="00366327"/>
    <w:rsid w:val="00366334"/>
    <w:rsid w:val="00366398"/>
    <w:rsid w:val="0036639C"/>
    <w:rsid w:val="0036640A"/>
    <w:rsid w:val="003664F4"/>
    <w:rsid w:val="00366553"/>
    <w:rsid w:val="0036668C"/>
    <w:rsid w:val="0036676B"/>
    <w:rsid w:val="00366790"/>
    <w:rsid w:val="0036690F"/>
    <w:rsid w:val="003669FB"/>
    <w:rsid w:val="00366A2C"/>
    <w:rsid w:val="00366A32"/>
    <w:rsid w:val="00366A33"/>
    <w:rsid w:val="00366B39"/>
    <w:rsid w:val="00366B64"/>
    <w:rsid w:val="00366BC9"/>
    <w:rsid w:val="00366CC7"/>
    <w:rsid w:val="00366CE4"/>
    <w:rsid w:val="00366DF9"/>
    <w:rsid w:val="00366E36"/>
    <w:rsid w:val="00366E45"/>
    <w:rsid w:val="00366E86"/>
    <w:rsid w:val="00366F12"/>
    <w:rsid w:val="00367057"/>
    <w:rsid w:val="00367135"/>
    <w:rsid w:val="00367240"/>
    <w:rsid w:val="0036728B"/>
    <w:rsid w:val="003674C6"/>
    <w:rsid w:val="00367627"/>
    <w:rsid w:val="00367630"/>
    <w:rsid w:val="003677B4"/>
    <w:rsid w:val="0036780C"/>
    <w:rsid w:val="00367848"/>
    <w:rsid w:val="003678A0"/>
    <w:rsid w:val="003678AD"/>
    <w:rsid w:val="003678AF"/>
    <w:rsid w:val="003678CD"/>
    <w:rsid w:val="003679EB"/>
    <w:rsid w:val="00367AB5"/>
    <w:rsid w:val="00367AFE"/>
    <w:rsid w:val="00367BC0"/>
    <w:rsid w:val="00367C1A"/>
    <w:rsid w:val="00367C1C"/>
    <w:rsid w:val="00367C94"/>
    <w:rsid w:val="00367D40"/>
    <w:rsid w:val="00367DB6"/>
    <w:rsid w:val="00367E28"/>
    <w:rsid w:val="00367E98"/>
    <w:rsid w:val="00367EA5"/>
    <w:rsid w:val="00367F0B"/>
    <w:rsid w:val="00367F8B"/>
    <w:rsid w:val="00367FA5"/>
    <w:rsid w:val="003700B4"/>
    <w:rsid w:val="0037013D"/>
    <w:rsid w:val="003701E5"/>
    <w:rsid w:val="0037020A"/>
    <w:rsid w:val="00370212"/>
    <w:rsid w:val="00370299"/>
    <w:rsid w:val="003704DF"/>
    <w:rsid w:val="00370527"/>
    <w:rsid w:val="0037053B"/>
    <w:rsid w:val="003706EE"/>
    <w:rsid w:val="00370723"/>
    <w:rsid w:val="00370746"/>
    <w:rsid w:val="0037074E"/>
    <w:rsid w:val="003707EC"/>
    <w:rsid w:val="0037085C"/>
    <w:rsid w:val="00370899"/>
    <w:rsid w:val="003708BD"/>
    <w:rsid w:val="003708CB"/>
    <w:rsid w:val="00370AD8"/>
    <w:rsid w:val="00370AFC"/>
    <w:rsid w:val="00370BC8"/>
    <w:rsid w:val="00370BEA"/>
    <w:rsid w:val="00370C79"/>
    <w:rsid w:val="00370CAD"/>
    <w:rsid w:val="00370CB2"/>
    <w:rsid w:val="00370D15"/>
    <w:rsid w:val="00370D63"/>
    <w:rsid w:val="00370F10"/>
    <w:rsid w:val="00371014"/>
    <w:rsid w:val="003710ED"/>
    <w:rsid w:val="003710F3"/>
    <w:rsid w:val="00371172"/>
    <w:rsid w:val="00371259"/>
    <w:rsid w:val="003712A1"/>
    <w:rsid w:val="003712A9"/>
    <w:rsid w:val="0037132D"/>
    <w:rsid w:val="003713F6"/>
    <w:rsid w:val="003714A1"/>
    <w:rsid w:val="00371520"/>
    <w:rsid w:val="003716D5"/>
    <w:rsid w:val="00371772"/>
    <w:rsid w:val="003717AB"/>
    <w:rsid w:val="003717C0"/>
    <w:rsid w:val="003717CB"/>
    <w:rsid w:val="00371846"/>
    <w:rsid w:val="0037185E"/>
    <w:rsid w:val="00371886"/>
    <w:rsid w:val="0037190D"/>
    <w:rsid w:val="00371929"/>
    <w:rsid w:val="00371A79"/>
    <w:rsid w:val="00371A86"/>
    <w:rsid w:val="00371C99"/>
    <w:rsid w:val="00371CEB"/>
    <w:rsid w:val="00371D33"/>
    <w:rsid w:val="00371D4D"/>
    <w:rsid w:val="00371DFA"/>
    <w:rsid w:val="00371E52"/>
    <w:rsid w:val="00371E91"/>
    <w:rsid w:val="00371EB7"/>
    <w:rsid w:val="00371FE3"/>
    <w:rsid w:val="00372050"/>
    <w:rsid w:val="0037205A"/>
    <w:rsid w:val="003720E7"/>
    <w:rsid w:val="00372207"/>
    <w:rsid w:val="00372209"/>
    <w:rsid w:val="003722D5"/>
    <w:rsid w:val="00372434"/>
    <w:rsid w:val="003724D4"/>
    <w:rsid w:val="003725FD"/>
    <w:rsid w:val="0037261B"/>
    <w:rsid w:val="00372676"/>
    <w:rsid w:val="003726D8"/>
    <w:rsid w:val="003726E6"/>
    <w:rsid w:val="0037275B"/>
    <w:rsid w:val="0037277B"/>
    <w:rsid w:val="00372801"/>
    <w:rsid w:val="0037287B"/>
    <w:rsid w:val="0037287E"/>
    <w:rsid w:val="00372945"/>
    <w:rsid w:val="003729AE"/>
    <w:rsid w:val="00372B29"/>
    <w:rsid w:val="00372B7B"/>
    <w:rsid w:val="00372C1F"/>
    <w:rsid w:val="00372C6C"/>
    <w:rsid w:val="00372C97"/>
    <w:rsid w:val="00372CAA"/>
    <w:rsid w:val="00372CD9"/>
    <w:rsid w:val="00372CF4"/>
    <w:rsid w:val="00372E10"/>
    <w:rsid w:val="00372E36"/>
    <w:rsid w:val="00372E44"/>
    <w:rsid w:val="00372E98"/>
    <w:rsid w:val="00372EDE"/>
    <w:rsid w:val="00372F8A"/>
    <w:rsid w:val="00372FC4"/>
    <w:rsid w:val="00372FCA"/>
    <w:rsid w:val="00373050"/>
    <w:rsid w:val="00373077"/>
    <w:rsid w:val="00373122"/>
    <w:rsid w:val="0037316B"/>
    <w:rsid w:val="00373190"/>
    <w:rsid w:val="00373191"/>
    <w:rsid w:val="003731E1"/>
    <w:rsid w:val="00373205"/>
    <w:rsid w:val="00373210"/>
    <w:rsid w:val="0037328C"/>
    <w:rsid w:val="00373324"/>
    <w:rsid w:val="00373334"/>
    <w:rsid w:val="0037341F"/>
    <w:rsid w:val="0037351A"/>
    <w:rsid w:val="0037353A"/>
    <w:rsid w:val="0037359B"/>
    <w:rsid w:val="003736CE"/>
    <w:rsid w:val="00373702"/>
    <w:rsid w:val="003737D0"/>
    <w:rsid w:val="0037380B"/>
    <w:rsid w:val="003738BE"/>
    <w:rsid w:val="0037396F"/>
    <w:rsid w:val="00373A45"/>
    <w:rsid w:val="00373A65"/>
    <w:rsid w:val="00373B4C"/>
    <w:rsid w:val="00373B5D"/>
    <w:rsid w:val="00373B83"/>
    <w:rsid w:val="00373CE7"/>
    <w:rsid w:val="00373D4D"/>
    <w:rsid w:val="00373DE8"/>
    <w:rsid w:val="00373F25"/>
    <w:rsid w:val="00373F3E"/>
    <w:rsid w:val="00373FAF"/>
    <w:rsid w:val="00374039"/>
    <w:rsid w:val="003741B8"/>
    <w:rsid w:val="003741C3"/>
    <w:rsid w:val="003741CD"/>
    <w:rsid w:val="003741E5"/>
    <w:rsid w:val="0037424F"/>
    <w:rsid w:val="00374310"/>
    <w:rsid w:val="0037443A"/>
    <w:rsid w:val="00374450"/>
    <w:rsid w:val="0037449E"/>
    <w:rsid w:val="00374569"/>
    <w:rsid w:val="003745B3"/>
    <w:rsid w:val="0037460F"/>
    <w:rsid w:val="00374616"/>
    <w:rsid w:val="00374687"/>
    <w:rsid w:val="00374817"/>
    <w:rsid w:val="00374848"/>
    <w:rsid w:val="00374880"/>
    <w:rsid w:val="003748CA"/>
    <w:rsid w:val="003748FA"/>
    <w:rsid w:val="00374930"/>
    <w:rsid w:val="00374932"/>
    <w:rsid w:val="00374934"/>
    <w:rsid w:val="00374B35"/>
    <w:rsid w:val="00374CA4"/>
    <w:rsid w:val="00374F2E"/>
    <w:rsid w:val="00374F83"/>
    <w:rsid w:val="00374FE6"/>
    <w:rsid w:val="0037506C"/>
    <w:rsid w:val="003750E3"/>
    <w:rsid w:val="003750E4"/>
    <w:rsid w:val="003750EE"/>
    <w:rsid w:val="003750F3"/>
    <w:rsid w:val="00375119"/>
    <w:rsid w:val="003751EF"/>
    <w:rsid w:val="00375341"/>
    <w:rsid w:val="00375377"/>
    <w:rsid w:val="003753A9"/>
    <w:rsid w:val="003753FA"/>
    <w:rsid w:val="00375480"/>
    <w:rsid w:val="00375491"/>
    <w:rsid w:val="00375580"/>
    <w:rsid w:val="0037567C"/>
    <w:rsid w:val="003756AB"/>
    <w:rsid w:val="003756C2"/>
    <w:rsid w:val="00375713"/>
    <w:rsid w:val="003757A1"/>
    <w:rsid w:val="003757AC"/>
    <w:rsid w:val="0037581F"/>
    <w:rsid w:val="003759E6"/>
    <w:rsid w:val="00375B0C"/>
    <w:rsid w:val="00375B69"/>
    <w:rsid w:val="00375C75"/>
    <w:rsid w:val="00375CED"/>
    <w:rsid w:val="00375CF7"/>
    <w:rsid w:val="00375D11"/>
    <w:rsid w:val="00375D3E"/>
    <w:rsid w:val="00375D90"/>
    <w:rsid w:val="00375E3F"/>
    <w:rsid w:val="00375E5C"/>
    <w:rsid w:val="00375E6B"/>
    <w:rsid w:val="00375EE2"/>
    <w:rsid w:val="00375F48"/>
    <w:rsid w:val="00375FF5"/>
    <w:rsid w:val="00375FFA"/>
    <w:rsid w:val="003760A1"/>
    <w:rsid w:val="003760DB"/>
    <w:rsid w:val="003760FD"/>
    <w:rsid w:val="0037619B"/>
    <w:rsid w:val="00376252"/>
    <w:rsid w:val="00376296"/>
    <w:rsid w:val="003762D1"/>
    <w:rsid w:val="003763DD"/>
    <w:rsid w:val="00376491"/>
    <w:rsid w:val="00376494"/>
    <w:rsid w:val="00376509"/>
    <w:rsid w:val="0037650F"/>
    <w:rsid w:val="0037653C"/>
    <w:rsid w:val="00376613"/>
    <w:rsid w:val="0037666D"/>
    <w:rsid w:val="003767C4"/>
    <w:rsid w:val="003767DC"/>
    <w:rsid w:val="003767F8"/>
    <w:rsid w:val="00376817"/>
    <w:rsid w:val="0037686C"/>
    <w:rsid w:val="00376871"/>
    <w:rsid w:val="003768BF"/>
    <w:rsid w:val="003768D1"/>
    <w:rsid w:val="003769CD"/>
    <w:rsid w:val="00376B18"/>
    <w:rsid w:val="00376B68"/>
    <w:rsid w:val="00376B85"/>
    <w:rsid w:val="00376D8B"/>
    <w:rsid w:val="00376E6D"/>
    <w:rsid w:val="00376E98"/>
    <w:rsid w:val="00376EA4"/>
    <w:rsid w:val="00376EAC"/>
    <w:rsid w:val="00376F94"/>
    <w:rsid w:val="0037700B"/>
    <w:rsid w:val="0037711A"/>
    <w:rsid w:val="00377151"/>
    <w:rsid w:val="0037721D"/>
    <w:rsid w:val="00377278"/>
    <w:rsid w:val="0037727F"/>
    <w:rsid w:val="003772A9"/>
    <w:rsid w:val="003772CC"/>
    <w:rsid w:val="0037736A"/>
    <w:rsid w:val="0037739C"/>
    <w:rsid w:val="00377476"/>
    <w:rsid w:val="0037749B"/>
    <w:rsid w:val="003774C2"/>
    <w:rsid w:val="003775BB"/>
    <w:rsid w:val="00377758"/>
    <w:rsid w:val="003777B5"/>
    <w:rsid w:val="003777ED"/>
    <w:rsid w:val="003778BC"/>
    <w:rsid w:val="00377902"/>
    <w:rsid w:val="00377941"/>
    <w:rsid w:val="003779B9"/>
    <w:rsid w:val="003779EC"/>
    <w:rsid w:val="00377A2E"/>
    <w:rsid w:val="00377AC2"/>
    <w:rsid w:val="00377BA5"/>
    <w:rsid w:val="00377CE4"/>
    <w:rsid w:val="00377D3C"/>
    <w:rsid w:val="00377DB0"/>
    <w:rsid w:val="00377DC2"/>
    <w:rsid w:val="00377E6C"/>
    <w:rsid w:val="00377EFC"/>
    <w:rsid w:val="00377F67"/>
    <w:rsid w:val="00377F74"/>
    <w:rsid w:val="00377F93"/>
    <w:rsid w:val="00377FB6"/>
    <w:rsid w:val="00377FB8"/>
    <w:rsid w:val="00377FD4"/>
    <w:rsid w:val="0038008D"/>
    <w:rsid w:val="003800A4"/>
    <w:rsid w:val="0038011E"/>
    <w:rsid w:val="00380176"/>
    <w:rsid w:val="00380190"/>
    <w:rsid w:val="003801E2"/>
    <w:rsid w:val="003803C1"/>
    <w:rsid w:val="00380416"/>
    <w:rsid w:val="0038043B"/>
    <w:rsid w:val="00380478"/>
    <w:rsid w:val="0038049B"/>
    <w:rsid w:val="00380669"/>
    <w:rsid w:val="0038075A"/>
    <w:rsid w:val="0038085C"/>
    <w:rsid w:val="003808D5"/>
    <w:rsid w:val="00380906"/>
    <w:rsid w:val="00380997"/>
    <w:rsid w:val="003809C4"/>
    <w:rsid w:val="00380AEB"/>
    <w:rsid w:val="00380B0E"/>
    <w:rsid w:val="00380B6A"/>
    <w:rsid w:val="00380BB6"/>
    <w:rsid w:val="00380BD7"/>
    <w:rsid w:val="00380C69"/>
    <w:rsid w:val="00380CB0"/>
    <w:rsid w:val="00380D48"/>
    <w:rsid w:val="00380D57"/>
    <w:rsid w:val="00380D85"/>
    <w:rsid w:val="00380DCA"/>
    <w:rsid w:val="00380E06"/>
    <w:rsid w:val="00380E1D"/>
    <w:rsid w:val="00380E24"/>
    <w:rsid w:val="00380E91"/>
    <w:rsid w:val="00380EE8"/>
    <w:rsid w:val="00380FEA"/>
    <w:rsid w:val="0038102A"/>
    <w:rsid w:val="0038108A"/>
    <w:rsid w:val="003810CB"/>
    <w:rsid w:val="0038115D"/>
    <w:rsid w:val="00381197"/>
    <w:rsid w:val="003811FB"/>
    <w:rsid w:val="00381219"/>
    <w:rsid w:val="00381389"/>
    <w:rsid w:val="0038149E"/>
    <w:rsid w:val="00381590"/>
    <w:rsid w:val="00381614"/>
    <w:rsid w:val="0038166A"/>
    <w:rsid w:val="003816C5"/>
    <w:rsid w:val="003816DE"/>
    <w:rsid w:val="00381734"/>
    <w:rsid w:val="003817A2"/>
    <w:rsid w:val="003818A2"/>
    <w:rsid w:val="003818DF"/>
    <w:rsid w:val="00381935"/>
    <w:rsid w:val="003819B9"/>
    <w:rsid w:val="003819EB"/>
    <w:rsid w:val="00381A9B"/>
    <w:rsid w:val="00381AB6"/>
    <w:rsid w:val="00381B0A"/>
    <w:rsid w:val="00381BA1"/>
    <w:rsid w:val="00381BE4"/>
    <w:rsid w:val="00381CA2"/>
    <w:rsid w:val="00381CB1"/>
    <w:rsid w:val="00381D2A"/>
    <w:rsid w:val="00381E75"/>
    <w:rsid w:val="00381F16"/>
    <w:rsid w:val="00381F76"/>
    <w:rsid w:val="00381F8E"/>
    <w:rsid w:val="00381FEC"/>
    <w:rsid w:val="0038207E"/>
    <w:rsid w:val="00382282"/>
    <w:rsid w:val="00382340"/>
    <w:rsid w:val="00382384"/>
    <w:rsid w:val="003823AB"/>
    <w:rsid w:val="003823CE"/>
    <w:rsid w:val="0038244C"/>
    <w:rsid w:val="00382501"/>
    <w:rsid w:val="0038250A"/>
    <w:rsid w:val="0038262D"/>
    <w:rsid w:val="00382637"/>
    <w:rsid w:val="003826E0"/>
    <w:rsid w:val="003827F3"/>
    <w:rsid w:val="003827F4"/>
    <w:rsid w:val="0038280E"/>
    <w:rsid w:val="00382824"/>
    <w:rsid w:val="00382873"/>
    <w:rsid w:val="00382881"/>
    <w:rsid w:val="003828D9"/>
    <w:rsid w:val="003829D8"/>
    <w:rsid w:val="00382A19"/>
    <w:rsid w:val="00382B8B"/>
    <w:rsid w:val="00382DAA"/>
    <w:rsid w:val="00382DFA"/>
    <w:rsid w:val="00382F6F"/>
    <w:rsid w:val="00382FDE"/>
    <w:rsid w:val="003830B9"/>
    <w:rsid w:val="003831FE"/>
    <w:rsid w:val="003832A5"/>
    <w:rsid w:val="003833B4"/>
    <w:rsid w:val="003833FF"/>
    <w:rsid w:val="00383451"/>
    <w:rsid w:val="003834DA"/>
    <w:rsid w:val="0038359F"/>
    <w:rsid w:val="00383630"/>
    <w:rsid w:val="0038372A"/>
    <w:rsid w:val="0038372D"/>
    <w:rsid w:val="00383A05"/>
    <w:rsid w:val="00383A8D"/>
    <w:rsid w:val="00383B9F"/>
    <w:rsid w:val="00383C0A"/>
    <w:rsid w:val="00383C2D"/>
    <w:rsid w:val="00383D95"/>
    <w:rsid w:val="00383E5C"/>
    <w:rsid w:val="00383ED4"/>
    <w:rsid w:val="00383F3C"/>
    <w:rsid w:val="00383F41"/>
    <w:rsid w:val="00383F93"/>
    <w:rsid w:val="003840AC"/>
    <w:rsid w:val="0038413A"/>
    <w:rsid w:val="0038418E"/>
    <w:rsid w:val="003841F2"/>
    <w:rsid w:val="00384203"/>
    <w:rsid w:val="003842AD"/>
    <w:rsid w:val="00384377"/>
    <w:rsid w:val="0038438B"/>
    <w:rsid w:val="00384397"/>
    <w:rsid w:val="00384418"/>
    <w:rsid w:val="00384444"/>
    <w:rsid w:val="003844A3"/>
    <w:rsid w:val="003844B0"/>
    <w:rsid w:val="0038456E"/>
    <w:rsid w:val="003845E7"/>
    <w:rsid w:val="003846C5"/>
    <w:rsid w:val="003846D0"/>
    <w:rsid w:val="00384717"/>
    <w:rsid w:val="0038478F"/>
    <w:rsid w:val="0038479C"/>
    <w:rsid w:val="0038498B"/>
    <w:rsid w:val="00384A54"/>
    <w:rsid w:val="00384A9C"/>
    <w:rsid w:val="00384AF8"/>
    <w:rsid w:val="00384B85"/>
    <w:rsid w:val="00384CB6"/>
    <w:rsid w:val="00384D12"/>
    <w:rsid w:val="00384D14"/>
    <w:rsid w:val="00384D7F"/>
    <w:rsid w:val="00384DF2"/>
    <w:rsid w:val="00384E5D"/>
    <w:rsid w:val="00384E8A"/>
    <w:rsid w:val="00384ED6"/>
    <w:rsid w:val="00384FB7"/>
    <w:rsid w:val="00384FCC"/>
    <w:rsid w:val="00385008"/>
    <w:rsid w:val="00385016"/>
    <w:rsid w:val="0038502F"/>
    <w:rsid w:val="0038503A"/>
    <w:rsid w:val="00385186"/>
    <w:rsid w:val="003851CA"/>
    <w:rsid w:val="00385228"/>
    <w:rsid w:val="0038522F"/>
    <w:rsid w:val="00385293"/>
    <w:rsid w:val="003852DF"/>
    <w:rsid w:val="0038531C"/>
    <w:rsid w:val="0038539F"/>
    <w:rsid w:val="003853B9"/>
    <w:rsid w:val="003853CC"/>
    <w:rsid w:val="00385424"/>
    <w:rsid w:val="0038543F"/>
    <w:rsid w:val="00385544"/>
    <w:rsid w:val="00385571"/>
    <w:rsid w:val="003855C4"/>
    <w:rsid w:val="003855CE"/>
    <w:rsid w:val="00385609"/>
    <w:rsid w:val="003856DE"/>
    <w:rsid w:val="0038587A"/>
    <w:rsid w:val="003858CE"/>
    <w:rsid w:val="0038590D"/>
    <w:rsid w:val="0038595F"/>
    <w:rsid w:val="00385977"/>
    <w:rsid w:val="003859C5"/>
    <w:rsid w:val="003859E8"/>
    <w:rsid w:val="00385B5C"/>
    <w:rsid w:val="00385B5E"/>
    <w:rsid w:val="00385B95"/>
    <w:rsid w:val="00385BB1"/>
    <w:rsid w:val="00385BB3"/>
    <w:rsid w:val="00385BF8"/>
    <w:rsid w:val="00385CC3"/>
    <w:rsid w:val="00385CFF"/>
    <w:rsid w:val="00385D5F"/>
    <w:rsid w:val="00385E2A"/>
    <w:rsid w:val="00385E42"/>
    <w:rsid w:val="00385E4E"/>
    <w:rsid w:val="00385E67"/>
    <w:rsid w:val="00385E90"/>
    <w:rsid w:val="00385F43"/>
    <w:rsid w:val="00385FB7"/>
    <w:rsid w:val="00385FEC"/>
    <w:rsid w:val="00386024"/>
    <w:rsid w:val="0038603B"/>
    <w:rsid w:val="0038607C"/>
    <w:rsid w:val="003861E7"/>
    <w:rsid w:val="003862CE"/>
    <w:rsid w:val="003862DE"/>
    <w:rsid w:val="0038634B"/>
    <w:rsid w:val="0038636C"/>
    <w:rsid w:val="0038636D"/>
    <w:rsid w:val="00386378"/>
    <w:rsid w:val="0038647A"/>
    <w:rsid w:val="0038647D"/>
    <w:rsid w:val="00386693"/>
    <w:rsid w:val="003866C6"/>
    <w:rsid w:val="0038670C"/>
    <w:rsid w:val="0038675A"/>
    <w:rsid w:val="0038676A"/>
    <w:rsid w:val="003867D1"/>
    <w:rsid w:val="003867E3"/>
    <w:rsid w:val="0038682D"/>
    <w:rsid w:val="00386849"/>
    <w:rsid w:val="003868BC"/>
    <w:rsid w:val="003868CA"/>
    <w:rsid w:val="00386913"/>
    <w:rsid w:val="00386A14"/>
    <w:rsid w:val="00386A1E"/>
    <w:rsid w:val="00386A43"/>
    <w:rsid w:val="00386BAF"/>
    <w:rsid w:val="00386BC1"/>
    <w:rsid w:val="00386BC2"/>
    <w:rsid w:val="00386CD4"/>
    <w:rsid w:val="00386CE3"/>
    <w:rsid w:val="00386D6C"/>
    <w:rsid w:val="00386EF7"/>
    <w:rsid w:val="00386F1C"/>
    <w:rsid w:val="00386F3D"/>
    <w:rsid w:val="00386F6D"/>
    <w:rsid w:val="00386FD9"/>
    <w:rsid w:val="00386FEC"/>
    <w:rsid w:val="003870EF"/>
    <w:rsid w:val="0038718B"/>
    <w:rsid w:val="003872B4"/>
    <w:rsid w:val="0038733A"/>
    <w:rsid w:val="00387370"/>
    <w:rsid w:val="003874C2"/>
    <w:rsid w:val="003874E3"/>
    <w:rsid w:val="003874F1"/>
    <w:rsid w:val="00387576"/>
    <w:rsid w:val="00387627"/>
    <w:rsid w:val="0038763F"/>
    <w:rsid w:val="0038772F"/>
    <w:rsid w:val="00387827"/>
    <w:rsid w:val="00387893"/>
    <w:rsid w:val="003878B1"/>
    <w:rsid w:val="003878EE"/>
    <w:rsid w:val="00387A5E"/>
    <w:rsid w:val="00387ACB"/>
    <w:rsid w:val="00387BF4"/>
    <w:rsid w:val="00387CF4"/>
    <w:rsid w:val="00387D18"/>
    <w:rsid w:val="00387D27"/>
    <w:rsid w:val="00387D47"/>
    <w:rsid w:val="00387D56"/>
    <w:rsid w:val="00387E42"/>
    <w:rsid w:val="00387E7F"/>
    <w:rsid w:val="00387F05"/>
    <w:rsid w:val="00387F9B"/>
    <w:rsid w:val="00387FB5"/>
    <w:rsid w:val="00387FBE"/>
    <w:rsid w:val="00387FC9"/>
    <w:rsid w:val="0039009C"/>
    <w:rsid w:val="00390114"/>
    <w:rsid w:val="00390117"/>
    <w:rsid w:val="0039011C"/>
    <w:rsid w:val="00390167"/>
    <w:rsid w:val="003901B2"/>
    <w:rsid w:val="003901EB"/>
    <w:rsid w:val="00390385"/>
    <w:rsid w:val="003904D8"/>
    <w:rsid w:val="00390568"/>
    <w:rsid w:val="0039065F"/>
    <w:rsid w:val="0039076D"/>
    <w:rsid w:val="00390785"/>
    <w:rsid w:val="00390803"/>
    <w:rsid w:val="003908AD"/>
    <w:rsid w:val="003908B2"/>
    <w:rsid w:val="003909D8"/>
    <w:rsid w:val="003909F8"/>
    <w:rsid w:val="00390AC1"/>
    <w:rsid w:val="00390BDF"/>
    <w:rsid w:val="00390C1E"/>
    <w:rsid w:val="00390C22"/>
    <w:rsid w:val="00390CCC"/>
    <w:rsid w:val="00390D77"/>
    <w:rsid w:val="00390E02"/>
    <w:rsid w:val="00390E34"/>
    <w:rsid w:val="00390E7C"/>
    <w:rsid w:val="00390F88"/>
    <w:rsid w:val="00391169"/>
    <w:rsid w:val="003911AD"/>
    <w:rsid w:val="00391202"/>
    <w:rsid w:val="00391260"/>
    <w:rsid w:val="00391315"/>
    <w:rsid w:val="0039131A"/>
    <w:rsid w:val="0039131B"/>
    <w:rsid w:val="00391331"/>
    <w:rsid w:val="003913D5"/>
    <w:rsid w:val="0039148A"/>
    <w:rsid w:val="003915AA"/>
    <w:rsid w:val="003915B9"/>
    <w:rsid w:val="00391630"/>
    <w:rsid w:val="003916E5"/>
    <w:rsid w:val="00391777"/>
    <w:rsid w:val="003917F3"/>
    <w:rsid w:val="00391920"/>
    <w:rsid w:val="0039193A"/>
    <w:rsid w:val="003919E1"/>
    <w:rsid w:val="00391A63"/>
    <w:rsid w:val="00391AB9"/>
    <w:rsid w:val="00391B54"/>
    <w:rsid w:val="00391C76"/>
    <w:rsid w:val="00391D81"/>
    <w:rsid w:val="00391DAA"/>
    <w:rsid w:val="00391E21"/>
    <w:rsid w:val="00391E4C"/>
    <w:rsid w:val="00391ED5"/>
    <w:rsid w:val="00391F4A"/>
    <w:rsid w:val="00391F53"/>
    <w:rsid w:val="00391F7E"/>
    <w:rsid w:val="003922E2"/>
    <w:rsid w:val="00392406"/>
    <w:rsid w:val="00392466"/>
    <w:rsid w:val="003924E1"/>
    <w:rsid w:val="00392579"/>
    <w:rsid w:val="003925E9"/>
    <w:rsid w:val="00392626"/>
    <w:rsid w:val="0039262C"/>
    <w:rsid w:val="003927C8"/>
    <w:rsid w:val="0039280C"/>
    <w:rsid w:val="0039284A"/>
    <w:rsid w:val="00392894"/>
    <w:rsid w:val="003928A6"/>
    <w:rsid w:val="003928C2"/>
    <w:rsid w:val="00392927"/>
    <w:rsid w:val="00392CF8"/>
    <w:rsid w:val="00392D92"/>
    <w:rsid w:val="00392E99"/>
    <w:rsid w:val="00392EBD"/>
    <w:rsid w:val="00392ECF"/>
    <w:rsid w:val="00392F06"/>
    <w:rsid w:val="00392FD4"/>
    <w:rsid w:val="0039302D"/>
    <w:rsid w:val="0039304A"/>
    <w:rsid w:val="00393094"/>
    <w:rsid w:val="00393134"/>
    <w:rsid w:val="003931E6"/>
    <w:rsid w:val="0039336F"/>
    <w:rsid w:val="003933E2"/>
    <w:rsid w:val="003934D9"/>
    <w:rsid w:val="003934EB"/>
    <w:rsid w:val="003934FB"/>
    <w:rsid w:val="00393614"/>
    <w:rsid w:val="00393619"/>
    <w:rsid w:val="00393658"/>
    <w:rsid w:val="00393666"/>
    <w:rsid w:val="00393685"/>
    <w:rsid w:val="003936FC"/>
    <w:rsid w:val="0039381A"/>
    <w:rsid w:val="0039391D"/>
    <w:rsid w:val="0039393B"/>
    <w:rsid w:val="00393945"/>
    <w:rsid w:val="0039398E"/>
    <w:rsid w:val="0039399E"/>
    <w:rsid w:val="003939EE"/>
    <w:rsid w:val="00393A0F"/>
    <w:rsid w:val="00393A11"/>
    <w:rsid w:val="00393A75"/>
    <w:rsid w:val="00393AB7"/>
    <w:rsid w:val="00393ACE"/>
    <w:rsid w:val="00393AEA"/>
    <w:rsid w:val="00393B28"/>
    <w:rsid w:val="00393B86"/>
    <w:rsid w:val="00393B8A"/>
    <w:rsid w:val="00393C58"/>
    <w:rsid w:val="00393CCE"/>
    <w:rsid w:val="00393D5A"/>
    <w:rsid w:val="00393D99"/>
    <w:rsid w:val="00393E0F"/>
    <w:rsid w:val="00393EAE"/>
    <w:rsid w:val="00393F50"/>
    <w:rsid w:val="00394011"/>
    <w:rsid w:val="003940BA"/>
    <w:rsid w:val="0039411D"/>
    <w:rsid w:val="00394191"/>
    <w:rsid w:val="00394265"/>
    <w:rsid w:val="0039429B"/>
    <w:rsid w:val="003942C3"/>
    <w:rsid w:val="0039442F"/>
    <w:rsid w:val="0039446E"/>
    <w:rsid w:val="003944C6"/>
    <w:rsid w:val="003944CA"/>
    <w:rsid w:val="00394577"/>
    <w:rsid w:val="003945B6"/>
    <w:rsid w:val="0039470B"/>
    <w:rsid w:val="0039484D"/>
    <w:rsid w:val="003948AB"/>
    <w:rsid w:val="003949C6"/>
    <w:rsid w:val="00394A91"/>
    <w:rsid w:val="00394AAA"/>
    <w:rsid w:val="00394AF0"/>
    <w:rsid w:val="00394BA7"/>
    <w:rsid w:val="00394BB0"/>
    <w:rsid w:val="00394C1C"/>
    <w:rsid w:val="00394CA4"/>
    <w:rsid w:val="00394CCF"/>
    <w:rsid w:val="00394CD0"/>
    <w:rsid w:val="00394CD1"/>
    <w:rsid w:val="00394D3F"/>
    <w:rsid w:val="00394F6E"/>
    <w:rsid w:val="0039500B"/>
    <w:rsid w:val="00395077"/>
    <w:rsid w:val="003950A0"/>
    <w:rsid w:val="003950E6"/>
    <w:rsid w:val="00395198"/>
    <w:rsid w:val="003951E7"/>
    <w:rsid w:val="0039520A"/>
    <w:rsid w:val="00395278"/>
    <w:rsid w:val="003952BF"/>
    <w:rsid w:val="003952F1"/>
    <w:rsid w:val="00395413"/>
    <w:rsid w:val="003954CB"/>
    <w:rsid w:val="003954F9"/>
    <w:rsid w:val="003956DD"/>
    <w:rsid w:val="0039578E"/>
    <w:rsid w:val="003957AD"/>
    <w:rsid w:val="0039584C"/>
    <w:rsid w:val="0039589F"/>
    <w:rsid w:val="003958B2"/>
    <w:rsid w:val="003958F2"/>
    <w:rsid w:val="00395AD8"/>
    <w:rsid w:val="00395B15"/>
    <w:rsid w:val="00395B1D"/>
    <w:rsid w:val="00395B27"/>
    <w:rsid w:val="00395BAC"/>
    <w:rsid w:val="00395CEE"/>
    <w:rsid w:val="00395EB2"/>
    <w:rsid w:val="00395EB6"/>
    <w:rsid w:val="00395ECD"/>
    <w:rsid w:val="00395F1F"/>
    <w:rsid w:val="00395FAE"/>
    <w:rsid w:val="0039600F"/>
    <w:rsid w:val="0039615E"/>
    <w:rsid w:val="003961D6"/>
    <w:rsid w:val="003961E6"/>
    <w:rsid w:val="00396207"/>
    <w:rsid w:val="00396214"/>
    <w:rsid w:val="00396284"/>
    <w:rsid w:val="00396300"/>
    <w:rsid w:val="003963F4"/>
    <w:rsid w:val="00396432"/>
    <w:rsid w:val="0039652C"/>
    <w:rsid w:val="003965E4"/>
    <w:rsid w:val="00396651"/>
    <w:rsid w:val="003966D5"/>
    <w:rsid w:val="0039670B"/>
    <w:rsid w:val="00396844"/>
    <w:rsid w:val="00396982"/>
    <w:rsid w:val="0039699C"/>
    <w:rsid w:val="003969E9"/>
    <w:rsid w:val="00396A13"/>
    <w:rsid w:val="00396A1B"/>
    <w:rsid w:val="00396B46"/>
    <w:rsid w:val="00396B8F"/>
    <w:rsid w:val="00396C45"/>
    <w:rsid w:val="00396C76"/>
    <w:rsid w:val="00396CC4"/>
    <w:rsid w:val="00396D37"/>
    <w:rsid w:val="00396D64"/>
    <w:rsid w:val="00396DF7"/>
    <w:rsid w:val="00396E1C"/>
    <w:rsid w:val="00396F4C"/>
    <w:rsid w:val="00396F90"/>
    <w:rsid w:val="00397097"/>
    <w:rsid w:val="00397207"/>
    <w:rsid w:val="0039722C"/>
    <w:rsid w:val="0039723D"/>
    <w:rsid w:val="00397250"/>
    <w:rsid w:val="00397494"/>
    <w:rsid w:val="003974FD"/>
    <w:rsid w:val="003974FF"/>
    <w:rsid w:val="003975C3"/>
    <w:rsid w:val="003975E8"/>
    <w:rsid w:val="003975ED"/>
    <w:rsid w:val="003975F8"/>
    <w:rsid w:val="00397715"/>
    <w:rsid w:val="00397788"/>
    <w:rsid w:val="003977AD"/>
    <w:rsid w:val="003977DD"/>
    <w:rsid w:val="0039780C"/>
    <w:rsid w:val="0039783E"/>
    <w:rsid w:val="003978EC"/>
    <w:rsid w:val="003979ED"/>
    <w:rsid w:val="003979FC"/>
    <w:rsid w:val="00397A4B"/>
    <w:rsid w:val="00397A6B"/>
    <w:rsid w:val="00397CEC"/>
    <w:rsid w:val="00397CFB"/>
    <w:rsid w:val="00397E3A"/>
    <w:rsid w:val="00397E6E"/>
    <w:rsid w:val="00397EE6"/>
    <w:rsid w:val="00397F45"/>
    <w:rsid w:val="00397FD1"/>
    <w:rsid w:val="003A0041"/>
    <w:rsid w:val="003A0087"/>
    <w:rsid w:val="003A00AD"/>
    <w:rsid w:val="003A0277"/>
    <w:rsid w:val="003A0372"/>
    <w:rsid w:val="003A03AB"/>
    <w:rsid w:val="003A03DB"/>
    <w:rsid w:val="003A0402"/>
    <w:rsid w:val="003A04E6"/>
    <w:rsid w:val="003A056E"/>
    <w:rsid w:val="003A05EC"/>
    <w:rsid w:val="003A0617"/>
    <w:rsid w:val="003A064E"/>
    <w:rsid w:val="003A0705"/>
    <w:rsid w:val="003A0793"/>
    <w:rsid w:val="003A07AE"/>
    <w:rsid w:val="003A0860"/>
    <w:rsid w:val="003A096B"/>
    <w:rsid w:val="003A0A39"/>
    <w:rsid w:val="003A0A4E"/>
    <w:rsid w:val="003A0A56"/>
    <w:rsid w:val="003A0A6F"/>
    <w:rsid w:val="003A0AA9"/>
    <w:rsid w:val="003A0B43"/>
    <w:rsid w:val="003A0B4C"/>
    <w:rsid w:val="003A0B84"/>
    <w:rsid w:val="003A0B9B"/>
    <w:rsid w:val="003A0BBF"/>
    <w:rsid w:val="003A0C1B"/>
    <w:rsid w:val="003A0C2A"/>
    <w:rsid w:val="003A0C86"/>
    <w:rsid w:val="003A0CB0"/>
    <w:rsid w:val="003A0DC5"/>
    <w:rsid w:val="003A0E99"/>
    <w:rsid w:val="003A0E9B"/>
    <w:rsid w:val="003A0F70"/>
    <w:rsid w:val="003A0FB1"/>
    <w:rsid w:val="003A0FDE"/>
    <w:rsid w:val="003A103A"/>
    <w:rsid w:val="003A11B7"/>
    <w:rsid w:val="003A11D1"/>
    <w:rsid w:val="003A12A8"/>
    <w:rsid w:val="003A1315"/>
    <w:rsid w:val="003A132C"/>
    <w:rsid w:val="003A1383"/>
    <w:rsid w:val="003A1427"/>
    <w:rsid w:val="003A1462"/>
    <w:rsid w:val="003A1468"/>
    <w:rsid w:val="003A14F3"/>
    <w:rsid w:val="003A15C1"/>
    <w:rsid w:val="003A15F3"/>
    <w:rsid w:val="003A17EA"/>
    <w:rsid w:val="003A17FD"/>
    <w:rsid w:val="003A18E5"/>
    <w:rsid w:val="003A190D"/>
    <w:rsid w:val="003A1A06"/>
    <w:rsid w:val="003A1A61"/>
    <w:rsid w:val="003A1C81"/>
    <w:rsid w:val="003A1D36"/>
    <w:rsid w:val="003A1D63"/>
    <w:rsid w:val="003A1DCB"/>
    <w:rsid w:val="003A1DDF"/>
    <w:rsid w:val="003A1DF3"/>
    <w:rsid w:val="003A1E75"/>
    <w:rsid w:val="003A1E7A"/>
    <w:rsid w:val="003A1EB4"/>
    <w:rsid w:val="003A2015"/>
    <w:rsid w:val="003A206F"/>
    <w:rsid w:val="003A209F"/>
    <w:rsid w:val="003A20E7"/>
    <w:rsid w:val="003A21C3"/>
    <w:rsid w:val="003A21F3"/>
    <w:rsid w:val="003A2385"/>
    <w:rsid w:val="003A23EF"/>
    <w:rsid w:val="003A2445"/>
    <w:rsid w:val="003A24AA"/>
    <w:rsid w:val="003A2545"/>
    <w:rsid w:val="003A2553"/>
    <w:rsid w:val="003A2639"/>
    <w:rsid w:val="003A270B"/>
    <w:rsid w:val="003A271A"/>
    <w:rsid w:val="003A2733"/>
    <w:rsid w:val="003A27D9"/>
    <w:rsid w:val="003A27FE"/>
    <w:rsid w:val="003A280C"/>
    <w:rsid w:val="003A2830"/>
    <w:rsid w:val="003A2846"/>
    <w:rsid w:val="003A2975"/>
    <w:rsid w:val="003A29FE"/>
    <w:rsid w:val="003A2AF0"/>
    <w:rsid w:val="003A2BD8"/>
    <w:rsid w:val="003A2C62"/>
    <w:rsid w:val="003A2EAE"/>
    <w:rsid w:val="003A2EC9"/>
    <w:rsid w:val="003A2F98"/>
    <w:rsid w:val="003A3020"/>
    <w:rsid w:val="003A30EB"/>
    <w:rsid w:val="003A3151"/>
    <w:rsid w:val="003A3157"/>
    <w:rsid w:val="003A31B6"/>
    <w:rsid w:val="003A3241"/>
    <w:rsid w:val="003A32A8"/>
    <w:rsid w:val="003A339F"/>
    <w:rsid w:val="003A33B0"/>
    <w:rsid w:val="003A33D1"/>
    <w:rsid w:val="003A341F"/>
    <w:rsid w:val="003A345A"/>
    <w:rsid w:val="003A3479"/>
    <w:rsid w:val="003A34BB"/>
    <w:rsid w:val="003A3535"/>
    <w:rsid w:val="003A357C"/>
    <w:rsid w:val="003A36BF"/>
    <w:rsid w:val="003A3730"/>
    <w:rsid w:val="003A3788"/>
    <w:rsid w:val="003A3810"/>
    <w:rsid w:val="003A3817"/>
    <w:rsid w:val="003A38B0"/>
    <w:rsid w:val="003A395B"/>
    <w:rsid w:val="003A397A"/>
    <w:rsid w:val="003A3B02"/>
    <w:rsid w:val="003A3B87"/>
    <w:rsid w:val="003A3BA7"/>
    <w:rsid w:val="003A3D78"/>
    <w:rsid w:val="003A3DBA"/>
    <w:rsid w:val="003A3E28"/>
    <w:rsid w:val="003A3E45"/>
    <w:rsid w:val="003A3E4C"/>
    <w:rsid w:val="003A3FBD"/>
    <w:rsid w:val="003A3FE7"/>
    <w:rsid w:val="003A4077"/>
    <w:rsid w:val="003A408B"/>
    <w:rsid w:val="003A4175"/>
    <w:rsid w:val="003A41B6"/>
    <w:rsid w:val="003A4206"/>
    <w:rsid w:val="003A4267"/>
    <w:rsid w:val="003A4284"/>
    <w:rsid w:val="003A4395"/>
    <w:rsid w:val="003A4415"/>
    <w:rsid w:val="003A44B8"/>
    <w:rsid w:val="003A44C8"/>
    <w:rsid w:val="003A46EF"/>
    <w:rsid w:val="003A4706"/>
    <w:rsid w:val="003A4720"/>
    <w:rsid w:val="003A476A"/>
    <w:rsid w:val="003A4826"/>
    <w:rsid w:val="003A48E4"/>
    <w:rsid w:val="003A495C"/>
    <w:rsid w:val="003A49E4"/>
    <w:rsid w:val="003A49FB"/>
    <w:rsid w:val="003A4B23"/>
    <w:rsid w:val="003A4B67"/>
    <w:rsid w:val="003A4B6D"/>
    <w:rsid w:val="003A4BF1"/>
    <w:rsid w:val="003A4C0D"/>
    <w:rsid w:val="003A4C27"/>
    <w:rsid w:val="003A4C51"/>
    <w:rsid w:val="003A4D1C"/>
    <w:rsid w:val="003A4D46"/>
    <w:rsid w:val="003A4D69"/>
    <w:rsid w:val="003A4DB6"/>
    <w:rsid w:val="003A4E1E"/>
    <w:rsid w:val="003A4E43"/>
    <w:rsid w:val="003A4E4C"/>
    <w:rsid w:val="003A4E90"/>
    <w:rsid w:val="003A4EC2"/>
    <w:rsid w:val="003A4EE1"/>
    <w:rsid w:val="003A4F50"/>
    <w:rsid w:val="003A4F64"/>
    <w:rsid w:val="003A4F6D"/>
    <w:rsid w:val="003A4FAC"/>
    <w:rsid w:val="003A5000"/>
    <w:rsid w:val="003A5012"/>
    <w:rsid w:val="003A5125"/>
    <w:rsid w:val="003A518C"/>
    <w:rsid w:val="003A52F0"/>
    <w:rsid w:val="003A5306"/>
    <w:rsid w:val="003A542E"/>
    <w:rsid w:val="003A544B"/>
    <w:rsid w:val="003A555F"/>
    <w:rsid w:val="003A558D"/>
    <w:rsid w:val="003A55C7"/>
    <w:rsid w:val="003A55F8"/>
    <w:rsid w:val="003A5666"/>
    <w:rsid w:val="003A56BC"/>
    <w:rsid w:val="003A587E"/>
    <w:rsid w:val="003A589E"/>
    <w:rsid w:val="003A5975"/>
    <w:rsid w:val="003A59CE"/>
    <w:rsid w:val="003A5A00"/>
    <w:rsid w:val="003A5A19"/>
    <w:rsid w:val="003A5ACA"/>
    <w:rsid w:val="003A5BF1"/>
    <w:rsid w:val="003A5CCF"/>
    <w:rsid w:val="003A5DD8"/>
    <w:rsid w:val="003A5EF0"/>
    <w:rsid w:val="003A5EFC"/>
    <w:rsid w:val="003A6001"/>
    <w:rsid w:val="003A601E"/>
    <w:rsid w:val="003A6074"/>
    <w:rsid w:val="003A60E9"/>
    <w:rsid w:val="003A618A"/>
    <w:rsid w:val="003A61BE"/>
    <w:rsid w:val="003A61F9"/>
    <w:rsid w:val="003A6229"/>
    <w:rsid w:val="003A62D0"/>
    <w:rsid w:val="003A62F7"/>
    <w:rsid w:val="003A6325"/>
    <w:rsid w:val="003A6333"/>
    <w:rsid w:val="003A654A"/>
    <w:rsid w:val="003A6626"/>
    <w:rsid w:val="003A6645"/>
    <w:rsid w:val="003A671C"/>
    <w:rsid w:val="003A672A"/>
    <w:rsid w:val="003A6730"/>
    <w:rsid w:val="003A6759"/>
    <w:rsid w:val="003A6859"/>
    <w:rsid w:val="003A6949"/>
    <w:rsid w:val="003A69A8"/>
    <w:rsid w:val="003A69BF"/>
    <w:rsid w:val="003A69F2"/>
    <w:rsid w:val="003A6A38"/>
    <w:rsid w:val="003A6A4B"/>
    <w:rsid w:val="003A6AB3"/>
    <w:rsid w:val="003A6AB5"/>
    <w:rsid w:val="003A6ABC"/>
    <w:rsid w:val="003A6B08"/>
    <w:rsid w:val="003A6B60"/>
    <w:rsid w:val="003A6B8F"/>
    <w:rsid w:val="003A6CD7"/>
    <w:rsid w:val="003A6D60"/>
    <w:rsid w:val="003A6DB6"/>
    <w:rsid w:val="003A6E61"/>
    <w:rsid w:val="003A6EC4"/>
    <w:rsid w:val="003A6F71"/>
    <w:rsid w:val="003A6FF9"/>
    <w:rsid w:val="003A7027"/>
    <w:rsid w:val="003A70C4"/>
    <w:rsid w:val="003A70CE"/>
    <w:rsid w:val="003A7111"/>
    <w:rsid w:val="003A7189"/>
    <w:rsid w:val="003A71E0"/>
    <w:rsid w:val="003A721F"/>
    <w:rsid w:val="003A736A"/>
    <w:rsid w:val="003A738B"/>
    <w:rsid w:val="003A73B0"/>
    <w:rsid w:val="003A741A"/>
    <w:rsid w:val="003A743E"/>
    <w:rsid w:val="003A74B2"/>
    <w:rsid w:val="003A74EB"/>
    <w:rsid w:val="003A7700"/>
    <w:rsid w:val="003A77FF"/>
    <w:rsid w:val="003A783B"/>
    <w:rsid w:val="003A7860"/>
    <w:rsid w:val="003A78F0"/>
    <w:rsid w:val="003A797B"/>
    <w:rsid w:val="003A79ED"/>
    <w:rsid w:val="003A7A30"/>
    <w:rsid w:val="003A7A34"/>
    <w:rsid w:val="003A7A5E"/>
    <w:rsid w:val="003A7ADE"/>
    <w:rsid w:val="003A7B6C"/>
    <w:rsid w:val="003A7BF7"/>
    <w:rsid w:val="003A7C03"/>
    <w:rsid w:val="003A7C05"/>
    <w:rsid w:val="003A7C0E"/>
    <w:rsid w:val="003A7C43"/>
    <w:rsid w:val="003A7EDA"/>
    <w:rsid w:val="003A7FB2"/>
    <w:rsid w:val="003A7FCC"/>
    <w:rsid w:val="003B007A"/>
    <w:rsid w:val="003B00E7"/>
    <w:rsid w:val="003B0181"/>
    <w:rsid w:val="003B02FF"/>
    <w:rsid w:val="003B033C"/>
    <w:rsid w:val="003B03E2"/>
    <w:rsid w:val="003B0481"/>
    <w:rsid w:val="003B0482"/>
    <w:rsid w:val="003B0594"/>
    <w:rsid w:val="003B062C"/>
    <w:rsid w:val="003B0649"/>
    <w:rsid w:val="003B064D"/>
    <w:rsid w:val="003B06BE"/>
    <w:rsid w:val="003B07BD"/>
    <w:rsid w:val="003B08D8"/>
    <w:rsid w:val="003B08F2"/>
    <w:rsid w:val="003B08FD"/>
    <w:rsid w:val="003B0907"/>
    <w:rsid w:val="003B091F"/>
    <w:rsid w:val="003B09DE"/>
    <w:rsid w:val="003B0A48"/>
    <w:rsid w:val="003B0AA0"/>
    <w:rsid w:val="003B0AA7"/>
    <w:rsid w:val="003B0C1F"/>
    <w:rsid w:val="003B0CCD"/>
    <w:rsid w:val="003B0E54"/>
    <w:rsid w:val="003B0E95"/>
    <w:rsid w:val="003B0F81"/>
    <w:rsid w:val="003B0FA6"/>
    <w:rsid w:val="003B114C"/>
    <w:rsid w:val="003B11EA"/>
    <w:rsid w:val="003B128D"/>
    <w:rsid w:val="003B1404"/>
    <w:rsid w:val="003B1407"/>
    <w:rsid w:val="003B1494"/>
    <w:rsid w:val="003B14A7"/>
    <w:rsid w:val="003B157C"/>
    <w:rsid w:val="003B15AB"/>
    <w:rsid w:val="003B167B"/>
    <w:rsid w:val="003B16AD"/>
    <w:rsid w:val="003B16EB"/>
    <w:rsid w:val="003B171A"/>
    <w:rsid w:val="003B1752"/>
    <w:rsid w:val="003B1893"/>
    <w:rsid w:val="003B1E7D"/>
    <w:rsid w:val="003B1EEA"/>
    <w:rsid w:val="003B1F4D"/>
    <w:rsid w:val="003B2117"/>
    <w:rsid w:val="003B2179"/>
    <w:rsid w:val="003B219E"/>
    <w:rsid w:val="003B23B6"/>
    <w:rsid w:val="003B23D2"/>
    <w:rsid w:val="003B244A"/>
    <w:rsid w:val="003B2475"/>
    <w:rsid w:val="003B2569"/>
    <w:rsid w:val="003B25A2"/>
    <w:rsid w:val="003B2680"/>
    <w:rsid w:val="003B26CA"/>
    <w:rsid w:val="003B26EF"/>
    <w:rsid w:val="003B2719"/>
    <w:rsid w:val="003B275D"/>
    <w:rsid w:val="003B2760"/>
    <w:rsid w:val="003B2845"/>
    <w:rsid w:val="003B284D"/>
    <w:rsid w:val="003B28B0"/>
    <w:rsid w:val="003B2953"/>
    <w:rsid w:val="003B29D1"/>
    <w:rsid w:val="003B29E6"/>
    <w:rsid w:val="003B29F0"/>
    <w:rsid w:val="003B29FC"/>
    <w:rsid w:val="003B2A2F"/>
    <w:rsid w:val="003B2A34"/>
    <w:rsid w:val="003B2A93"/>
    <w:rsid w:val="003B2B01"/>
    <w:rsid w:val="003B2C3A"/>
    <w:rsid w:val="003B2C6E"/>
    <w:rsid w:val="003B2D1A"/>
    <w:rsid w:val="003B2E02"/>
    <w:rsid w:val="003B2E11"/>
    <w:rsid w:val="003B2E18"/>
    <w:rsid w:val="003B2E7F"/>
    <w:rsid w:val="003B2FCC"/>
    <w:rsid w:val="003B2FD0"/>
    <w:rsid w:val="003B3236"/>
    <w:rsid w:val="003B32D0"/>
    <w:rsid w:val="003B3311"/>
    <w:rsid w:val="003B3363"/>
    <w:rsid w:val="003B365F"/>
    <w:rsid w:val="003B3916"/>
    <w:rsid w:val="003B3994"/>
    <w:rsid w:val="003B39A6"/>
    <w:rsid w:val="003B39D5"/>
    <w:rsid w:val="003B3BBC"/>
    <w:rsid w:val="003B3C1A"/>
    <w:rsid w:val="003B3CA7"/>
    <w:rsid w:val="003B3D3B"/>
    <w:rsid w:val="003B3DEF"/>
    <w:rsid w:val="003B3E02"/>
    <w:rsid w:val="003B3E70"/>
    <w:rsid w:val="003B3E8A"/>
    <w:rsid w:val="003B3F79"/>
    <w:rsid w:val="003B409D"/>
    <w:rsid w:val="003B42BF"/>
    <w:rsid w:val="003B42F4"/>
    <w:rsid w:val="003B43A4"/>
    <w:rsid w:val="003B4437"/>
    <w:rsid w:val="003B4529"/>
    <w:rsid w:val="003B4634"/>
    <w:rsid w:val="003B46F0"/>
    <w:rsid w:val="003B47F9"/>
    <w:rsid w:val="003B486A"/>
    <w:rsid w:val="003B4890"/>
    <w:rsid w:val="003B48BF"/>
    <w:rsid w:val="003B4A9E"/>
    <w:rsid w:val="003B4AA5"/>
    <w:rsid w:val="003B4B18"/>
    <w:rsid w:val="003B4B7C"/>
    <w:rsid w:val="003B4BCD"/>
    <w:rsid w:val="003B4C5A"/>
    <w:rsid w:val="003B4CCC"/>
    <w:rsid w:val="003B4CD2"/>
    <w:rsid w:val="003B4D41"/>
    <w:rsid w:val="003B4E55"/>
    <w:rsid w:val="003B4F22"/>
    <w:rsid w:val="003B50F8"/>
    <w:rsid w:val="003B5262"/>
    <w:rsid w:val="003B526D"/>
    <w:rsid w:val="003B53E6"/>
    <w:rsid w:val="003B543D"/>
    <w:rsid w:val="003B546C"/>
    <w:rsid w:val="003B54FC"/>
    <w:rsid w:val="003B5557"/>
    <w:rsid w:val="003B561D"/>
    <w:rsid w:val="003B5629"/>
    <w:rsid w:val="003B5675"/>
    <w:rsid w:val="003B5695"/>
    <w:rsid w:val="003B56C8"/>
    <w:rsid w:val="003B5732"/>
    <w:rsid w:val="003B5747"/>
    <w:rsid w:val="003B5847"/>
    <w:rsid w:val="003B5869"/>
    <w:rsid w:val="003B59A7"/>
    <w:rsid w:val="003B59E9"/>
    <w:rsid w:val="003B5AD3"/>
    <w:rsid w:val="003B5AF4"/>
    <w:rsid w:val="003B5BFB"/>
    <w:rsid w:val="003B5DCF"/>
    <w:rsid w:val="003B5DEF"/>
    <w:rsid w:val="003B5E13"/>
    <w:rsid w:val="003B5E72"/>
    <w:rsid w:val="003B5EA7"/>
    <w:rsid w:val="003B6098"/>
    <w:rsid w:val="003B61E0"/>
    <w:rsid w:val="003B6220"/>
    <w:rsid w:val="003B6260"/>
    <w:rsid w:val="003B6284"/>
    <w:rsid w:val="003B6353"/>
    <w:rsid w:val="003B645F"/>
    <w:rsid w:val="003B6551"/>
    <w:rsid w:val="003B6552"/>
    <w:rsid w:val="003B6578"/>
    <w:rsid w:val="003B65A3"/>
    <w:rsid w:val="003B6642"/>
    <w:rsid w:val="003B6670"/>
    <w:rsid w:val="003B6730"/>
    <w:rsid w:val="003B677F"/>
    <w:rsid w:val="003B67AB"/>
    <w:rsid w:val="003B67B0"/>
    <w:rsid w:val="003B67E1"/>
    <w:rsid w:val="003B682F"/>
    <w:rsid w:val="003B69AA"/>
    <w:rsid w:val="003B6A22"/>
    <w:rsid w:val="003B6A27"/>
    <w:rsid w:val="003B6BCF"/>
    <w:rsid w:val="003B6C5D"/>
    <w:rsid w:val="003B6C8B"/>
    <w:rsid w:val="003B6CF4"/>
    <w:rsid w:val="003B6D05"/>
    <w:rsid w:val="003B6D13"/>
    <w:rsid w:val="003B6D57"/>
    <w:rsid w:val="003B6DD7"/>
    <w:rsid w:val="003B6E19"/>
    <w:rsid w:val="003B6E2C"/>
    <w:rsid w:val="003B702F"/>
    <w:rsid w:val="003B7115"/>
    <w:rsid w:val="003B7154"/>
    <w:rsid w:val="003B72B5"/>
    <w:rsid w:val="003B7368"/>
    <w:rsid w:val="003B736C"/>
    <w:rsid w:val="003B73A7"/>
    <w:rsid w:val="003B7491"/>
    <w:rsid w:val="003B74AF"/>
    <w:rsid w:val="003B74EC"/>
    <w:rsid w:val="003B7543"/>
    <w:rsid w:val="003B75DF"/>
    <w:rsid w:val="003B7635"/>
    <w:rsid w:val="003B763F"/>
    <w:rsid w:val="003B76BE"/>
    <w:rsid w:val="003B76D5"/>
    <w:rsid w:val="003B770E"/>
    <w:rsid w:val="003B7725"/>
    <w:rsid w:val="003B7734"/>
    <w:rsid w:val="003B7736"/>
    <w:rsid w:val="003B77A5"/>
    <w:rsid w:val="003B77D4"/>
    <w:rsid w:val="003B7808"/>
    <w:rsid w:val="003B7824"/>
    <w:rsid w:val="003B7831"/>
    <w:rsid w:val="003B791E"/>
    <w:rsid w:val="003B7938"/>
    <w:rsid w:val="003B7991"/>
    <w:rsid w:val="003B7AB3"/>
    <w:rsid w:val="003B7D92"/>
    <w:rsid w:val="003B7DB1"/>
    <w:rsid w:val="003B7DDE"/>
    <w:rsid w:val="003B7DEA"/>
    <w:rsid w:val="003B7ED4"/>
    <w:rsid w:val="003C006D"/>
    <w:rsid w:val="003C00C1"/>
    <w:rsid w:val="003C011F"/>
    <w:rsid w:val="003C0131"/>
    <w:rsid w:val="003C01D4"/>
    <w:rsid w:val="003C0245"/>
    <w:rsid w:val="003C0332"/>
    <w:rsid w:val="003C036C"/>
    <w:rsid w:val="003C038E"/>
    <w:rsid w:val="003C04A1"/>
    <w:rsid w:val="003C04F3"/>
    <w:rsid w:val="003C0547"/>
    <w:rsid w:val="003C05EA"/>
    <w:rsid w:val="003C0628"/>
    <w:rsid w:val="003C066E"/>
    <w:rsid w:val="003C067D"/>
    <w:rsid w:val="003C06B0"/>
    <w:rsid w:val="003C0701"/>
    <w:rsid w:val="003C079A"/>
    <w:rsid w:val="003C09C3"/>
    <w:rsid w:val="003C0BB4"/>
    <w:rsid w:val="003C0CC7"/>
    <w:rsid w:val="003C0D7F"/>
    <w:rsid w:val="003C0DC5"/>
    <w:rsid w:val="003C0DDC"/>
    <w:rsid w:val="003C0E70"/>
    <w:rsid w:val="003C0E94"/>
    <w:rsid w:val="003C0EA5"/>
    <w:rsid w:val="003C0F01"/>
    <w:rsid w:val="003C0F63"/>
    <w:rsid w:val="003C0FE1"/>
    <w:rsid w:val="003C0FE2"/>
    <w:rsid w:val="003C10B0"/>
    <w:rsid w:val="003C10F3"/>
    <w:rsid w:val="003C1170"/>
    <w:rsid w:val="003C11C7"/>
    <w:rsid w:val="003C1246"/>
    <w:rsid w:val="003C1285"/>
    <w:rsid w:val="003C12D8"/>
    <w:rsid w:val="003C12DB"/>
    <w:rsid w:val="003C141A"/>
    <w:rsid w:val="003C151A"/>
    <w:rsid w:val="003C1607"/>
    <w:rsid w:val="003C161A"/>
    <w:rsid w:val="003C161D"/>
    <w:rsid w:val="003C170A"/>
    <w:rsid w:val="003C1734"/>
    <w:rsid w:val="003C177A"/>
    <w:rsid w:val="003C1783"/>
    <w:rsid w:val="003C18A1"/>
    <w:rsid w:val="003C18EB"/>
    <w:rsid w:val="003C1A90"/>
    <w:rsid w:val="003C1CAB"/>
    <w:rsid w:val="003C1CF2"/>
    <w:rsid w:val="003C1DD8"/>
    <w:rsid w:val="003C1E2C"/>
    <w:rsid w:val="003C1EA3"/>
    <w:rsid w:val="003C1ECD"/>
    <w:rsid w:val="003C1F57"/>
    <w:rsid w:val="003C200B"/>
    <w:rsid w:val="003C203B"/>
    <w:rsid w:val="003C20AE"/>
    <w:rsid w:val="003C2155"/>
    <w:rsid w:val="003C21B4"/>
    <w:rsid w:val="003C256D"/>
    <w:rsid w:val="003C25F7"/>
    <w:rsid w:val="003C26DB"/>
    <w:rsid w:val="003C2774"/>
    <w:rsid w:val="003C27C1"/>
    <w:rsid w:val="003C27EB"/>
    <w:rsid w:val="003C2869"/>
    <w:rsid w:val="003C2A6E"/>
    <w:rsid w:val="003C2A88"/>
    <w:rsid w:val="003C2A9F"/>
    <w:rsid w:val="003C2ABE"/>
    <w:rsid w:val="003C2C25"/>
    <w:rsid w:val="003C2C86"/>
    <w:rsid w:val="003C2CC3"/>
    <w:rsid w:val="003C2CCF"/>
    <w:rsid w:val="003C2DC3"/>
    <w:rsid w:val="003C2DF2"/>
    <w:rsid w:val="003C2E5D"/>
    <w:rsid w:val="003C2E64"/>
    <w:rsid w:val="003C2ED8"/>
    <w:rsid w:val="003C2F1C"/>
    <w:rsid w:val="003C2F82"/>
    <w:rsid w:val="003C2FA8"/>
    <w:rsid w:val="003C309F"/>
    <w:rsid w:val="003C30C1"/>
    <w:rsid w:val="003C30C3"/>
    <w:rsid w:val="003C30C5"/>
    <w:rsid w:val="003C30DB"/>
    <w:rsid w:val="003C3194"/>
    <w:rsid w:val="003C31AD"/>
    <w:rsid w:val="003C31F1"/>
    <w:rsid w:val="003C31FE"/>
    <w:rsid w:val="003C32FE"/>
    <w:rsid w:val="003C3388"/>
    <w:rsid w:val="003C3393"/>
    <w:rsid w:val="003C33E6"/>
    <w:rsid w:val="003C3457"/>
    <w:rsid w:val="003C347F"/>
    <w:rsid w:val="003C34AD"/>
    <w:rsid w:val="003C34D3"/>
    <w:rsid w:val="003C34DB"/>
    <w:rsid w:val="003C3592"/>
    <w:rsid w:val="003C3763"/>
    <w:rsid w:val="003C38DC"/>
    <w:rsid w:val="003C39AD"/>
    <w:rsid w:val="003C3ABA"/>
    <w:rsid w:val="003C3B77"/>
    <w:rsid w:val="003C3C52"/>
    <w:rsid w:val="003C3CD3"/>
    <w:rsid w:val="003C3D18"/>
    <w:rsid w:val="003C3DCB"/>
    <w:rsid w:val="003C3E5F"/>
    <w:rsid w:val="003C3EA5"/>
    <w:rsid w:val="003C3EF0"/>
    <w:rsid w:val="003C3F47"/>
    <w:rsid w:val="003C408C"/>
    <w:rsid w:val="003C40DB"/>
    <w:rsid w:val="003C41B1"/>
    <w:rsid w:val="003C42F4"/>
    <w:rsid w:val="003C432D"/>
    <w:rsid w:val="003C433E"/>
    <w:rsid w:val="003C439F"/>
    <w:rsid w:val="003C43A8"/>
    <w:rsid w:val="003C43D9"/>
    <w:rsid w:val="003C443A"/>
    <w:rsid w:val="003C44AC"/>
    <w:rsid w:val="003C44BE"/>
    <w:rsid w:val="003C459B"/>
    <w:rsid w:val="003C45EF"/>
    <w:rsid w:val="003C4705"/>
    <w:rsid w:val="003C4732"/>
    <w:rsid w:val="003C48B4"/>
    <w:rsid w:val="003C4906"/>
    <w:rsid w:val="003C4989"/>
    <w:rsid w:val="003C4B64"/>
    <w:rsid w:val="003C4C7D"/>
    <w:rsid w:val="003C4D59"/>
    <w:rsid w:val="003C4DDF"/>
    <w:rsid w:val="003C4E41"/>
    <w:rsid w:val="003C4E5E"/>
    <w:rsid w:val="003C4F5E"/>
    <w:rsid w:val="003C504C"/>
    <w:rsid w:val="003C51D1"/>
    <w:rsid w:val="003C5223"/>
    <w:rsid w:val="003C53CD"/>
    <w:rsid w:val="003C54D1"/>
    <w:rsid w:val="003C5540"/>
    <w:rsid w:val="003C56F3"/>
    <w:rsid w:val="003C5748"/>
    <w:rsid w:val="003C57F8"/>
    <w:rsid w:val="003C5807"/>
    <w:rsid w:val="003C5937"/>
    <w:rsid w:val="003C59DA"/>
    <w:rsid w:val="003C5B12"/>
    <w:rsid w:val="003C5B7B"/>
    <w:rsid w:val="003C5D06"/>
    <w:rsid w:val="003C5DE1"/>
    <w:rsid w:val="003C5E23"/>
    <w:rsid w:val="003C5F37"/>
    <w:rsid w:val="003C5FFF"/>
    <w:rsid w:val="003C6092"/>
    <w:rsid w:val="003C6141"/>
    <w:rsid w:val="003C6184"/>
    <w:rsid w:val="003C61B3"/>
    <w:rsid w:val="003C61C8"/>
    <w:rsid w:val="003C625B"/>
    <w:rsid w:val="003C6373"/>
    <w:rsid w:val="003C6557"/>
    <w:rsid w:val="003C6574"/>
    <w:rsid w:val="003C6590"/>
    <w:rsid w:val="003C66B8"/>
    <w:rsid w:val="003C66E4"/>
    <w:rsid w:val="003C689D"/>
    <w:rsid w:val="003C6939"/>
    <w:rsid w:val="003C69BF"/>
    <w:rsid w:val="003C69C0"/>
    <w:rsid w:val="003C69DB"/>
    <w:rsid w:val="003C6A7F"/>
    <w:rsid w:val="003C6BE5"/>
    <w:rsid w:val="003C6CAC"/>
    <w:rsid w:val="003C6CCF"/>
    <w:rsid w:val="003C6D2B"/>
    <w:rsid w:val="003C6D59"/>
    <w:rsid w:val="003C6E9A"/>
    <w:rsid w:val="003C6F1A"/>
    <w:rsid w:val="003C6F49"/>
    <w:rsid w:val="003C6FF8"/>
    <w:rsid w:val="003C7038"/>
    <w:rsid w:val="003C7094"/>
    <w:rsid w:val="003C7138"/>
    <w:rsid w:val="003C724A"/>
    <w:rsid w:val="003C7359"/>
    <w:rsid w:val="003C7377"/>
    <w:rsid w:val="003C7756"/>
    <w:rsid w:val="003C77DB"/>
    <w:rsid w:val="003C77EA"/>
    <w:rsid w:val="003C7822"/>
    <w:rsid w:val="003C7939"/>
    <w:rsid w:val="003C7946"/>
    <w:rsid w:val="003C79BE"/>
    <w:rsid w:val="003C7AAD"/>
    <w:rsid w:val="003C7AB2"/>
    <w:rsid w:val="003C7B6E"/>
    <w:rsid w:val="003C7BB9"/>
    <w:rsid w:val="003C7CA2"/>
    <w:rsid w:val="003C7CB7"/>
    <w:rsid w:val="003C7CFE"/>
    <w:rsid w:val="003C7D43"/>
    <w:rsid w:val="003C7E15"/>
    <w:rsid w:val="003C7E85"/>
    <w:rsid w:val="003C7F47"/>
    <w:rsid w:val="003D002F"/>
    <w:rsid w:val="003D00B4"/>
    <w:rsid w:val="003D0151"/>
    <w:rsid w:val="003D0223"/>
    <w:rsid w:val="003D042A"/>
    <w:rsid w:val="003D04BB"/>
    <w:rsid w:val="003D06CC"/>
    <w:rsid w:val="003D07AE"/>
    <w:rsid w:val="003D086A"/>
    <w:rsid w:val="003D0873"/>
    <w:rsid w:val="003D08BA"/>
    <w:rsid w:val="003D09C3"/>
    <w:rsid w:val="003D09EE"/>
    <w:rsid w:val="003D0A11"/>
    <w:rsid w:val="003D0AD3"/>
    <w:rsid w:val="003D0B9B"/>
    <w:rsid w:val="003D0CE7"/>
    <w:rsid w:val="003D0DC6"/>
    <w:rsid w:val="003D0DCE"/>
    <w:rsid w:val="003D0DDD"/>
    <w:rsid w:val="003D0E26"/>
    <w:rsid w:val="003D0F7D"/>
    <w:rsid w:val="003D0FDF"/>
    <w:rsid w:val="003D103D"/>
    <w:rsid w:val="003D111B"/>
    <w:rsid w:val="003D1124"/>
    <w:rsid w:val="003D1150"/>
    <w:rsid w:val="003D11AD"/>
    <w:rsid w:val="003D1220"/>
    <w:rsid w:val="003D1374"/>
    <w:rsid w:val="003D1439"/>
    <w:rsid w:val="003D157B"/>
    <w:rsid w:val="003D1587"/>
    <w:rsid w:val="003D15DB"/>
    <w:rsid w:val="003D1618"/>
    <w:rsid w:val="003D1670"/>
    <w:rsid w:val="003D1678"/>
    <w:rsid w:val="003D167D"/>
    <w:rsid w:val="003D18E8"/>
    <w:rsid w:val="003D1904"/>
    <w:rsid w:val="003D194C"/>
    <w:rsid w:val="003D19B0"/>
    <w:rsid w:val="003D1A99"/>
    <w:rsid w:val="003D1B8C"/>
    <w:rsid w:val="003D1BC9"/>
    <w:rsid w:val="003D1CB2"/>
    <w:rsid w:val="003D1CCE"/>
    <w:rsid w:val="003D1D5F"/>
    <w:rsid w:val="003D1D60"/>
    <w:rsid w:val="003D1E32"/>
    <w:rsid w:val="003D1F50"/>
    <w:rsid w:val="003D1F77"/>
    <w:rsid w:val="003D1FCF"/>
    <w:rsid w:val="003D1FF4"/>
    <w:rsid w:val="003D20DA"/>
    <w:rsid w:val="003D2155"/>
    <w:rsid w:val="003D21FE"/>
    <w:rsid w:val="003D23A3"/>
    <w:rsid w:val="003D2401"/>
    <w:rsid w:val="003D2604"/>
    <w:rsid w:val="003D26A2"/>
    <w:rsid w:val="003D272A"/>
    <w:rsid w:val="003D27CA"/>
    <w:rsid w:val="003D2930"/>
    <w:rsid w:val="003D2990"/>
    <w:rsid w:val="003D29A7"/>
    <w:rsid w:val="003D2A14"/>
    <w:rsid w:val="003D2A21"/>
    <w:rsid w:val="003D2A6B"/>
    <w:rsid w:val="003D2B87"/>
    <w:rsid w:val="003D2BC4"/>
    <w:rsid w:val="003D2BDB"/>
    <w:rsid w:val="003D2DC5"/>
    <w:rsid w:val="003D2DE2"/>
    <w:rsid w:val="003D2ECA"/>
    <w:rsid w:val="003D2EFD"/>
    <w:rsid w:val="003D2F05"/>
    <w:rsid w:val="003D31E3"/>
    <w:rsid w:val="003D32F6"/>
    <w:rsid w:val="003D348A"/>
    <w:rsid w:val="003D34F0"/>
    <w:rsid w:val="003D3526"/>
    <w:rsid w:val="003D3908"/>
    <w:rsid w:val="003D3A2B"/>
    <w:rsid w:val="003D3A60"/>
    <w:rsid w:val="003D3A99"/>
    <w:rsid w:val="003D3CFA"/>
    <w:rsid w:val="003D3D1F"/>
    <w:rsid w:val="003D3D2D"/>
    <w:rsid w:val="003D3D51"/>
    <w:rsid w:val="003D3D7E"/>
    <w:rsid w:val="003D3DB2"/>
    <w:rsid w:val="003D3DBF"/>
    <w:rsid w:val="003D4082"/>
    <w:rsid w:val="003D416A"/>
    <w:rsid w:val="003D41A2"/>
    <w:rsid w:val="003D41AA"/>
    <w:rsid w:val="003D42AE"/>
    <w:rsid w:val="003D4311"/>
    <w:rsid w:val="003D4377"/>
    <w:rsid w:val="003D44E4"/>
    <w:rsid w:val="003D45F9"/>
    <w:rsid w:val="003D465E"/>
    <w:rsid w:val="003D466F"/>
    <w:rsid w:val="003D46FB"/>
    <w:rsid w:val="003D46FE"/>
    <w:rsid w:val="003D48AB"/>
    <w:rsid w:val="003D48B5"/>
    <w:rsid w:val="003D48CE"/>
    <w:rsid w:val="003D48DF"/>
    <w:rsid w:val="003D48E8"/>
    <w:rsid w:val="003D4965"/>
    <w:rsid w:val="003D497B"/>
    <w:rsid w:val="003D49A5"/>
    <w:rsid w:val="003D4BC3"/>
    <w:rsid w:val="003D4C49"/>
    <w:rsid w:val="003D4D1D"/>
    <w:rsid w:val="003D4D2B"/>
    <w:rsid w:val="003D4D8E"/>
    <w:rsid w:val="003D4E43"/>
    <w:rsid w:val="003D4F24"/>
    <w:rsid w:val="003D4F48"/>
    <w:rsid w:val="003D4F50"/>
    <w:rsid w:val="003D500D"/>
    <w:rsid w:val="003D5011"/>
    <w:rsid w:val="003D5020"/>
    <w:rsid w:val="003D512D"/>
    <w:rsid w:val="003D51B3"/>
    <w:rsid w:val="003D51EB"/>
    <w:rsid w:val="003D5228"/>
    <w:rsid w:val="003D5240"/>
    <w:rsid w:val="003D526A"/>
    <w:rsid w:val="003D5344"/>
    <w:rsid w:val="003D5354"/>
    <w:rsid w:val="003D5389"/>
    <w:rsid w:val="003D53A9"/>
    <w:rsid w:val="003D53EC"/>
    <w:rsid w:val="003D5446"/>
    <w:rsid w:val="003D5531"/>
    <w:rsid w:val="003D55B6"/>
    <w:rsid w:val="003D571C"/>
    <w:rsid w:val="003D578E"/>
    <w:rsid w:val="003D57AE"/>
    <w:rsid w:val="003D57FB"/>
    <w:rsid w:val="003D5833"/>
    <w:rsid w:val="003D583A"/>
    <w:rsid w:val="003D5846"/>
    <w:rsid w:val="003D5856"/>
    <w:rsid w:val="003D5A0C"/>
    <w:rsid w:val="003D5AD4"/>
    <w:rsid w:val="003D5B65"/>
    <w:rsid w:val="003D5B8E"/>
    <w:rsid w:val="003D5E04"/>
    <w:rsid w:val="003D604B"/>
    <w:rsid w:val="003D60E0"/>
    <w:rsid w:val="003D6101"/>
    <w:rsid w:val="003D6129"/>
    <w:rsid w:val="003D6215"/>
    <w:rsid w:val="003D62DD"/>
    <w:rsid w:val="003D6380"/>
    <w:rsid w:val="003D63A6"/>
    <w:rsid w:val="003D6409"/>
    <w:rsid w:val="003D6448"/>
    <w:rsid w:val="003D65DC"/>
    <w:rsid w:val="003D661D"/>
    <w:rsid w:val="003D66C7"/>
    <w:rsid w:val="003D66E8"/>
    <w:rsid w:val="003D6700"/>
    <w:rsid w:val="003D6709"/>
    <w:rsid w:val="003D67CD"/>
    <w:rsid w:val="003D6819"/>
    <w:rsid w:val="003D688D"/>
    <w:rsid w:val="003D69C3"/>
    <w:rsid w:val="003D6A28"/>
    <w:rsid w:val="003D6B06"/>
    <w:rsid w:val="003D6B2B"/>
    <w:rsid w:val="003D6E0C"/>
    <w:rsid w:val="003D6EE6"/>
    <w:rsid w:val="003D7091"/>
    <w:rsid w:val="003D70C9"/>
    <w:rsid w:val="003D7147"/>
    <w:rsid w:val="003D71FD"/>
    <w:rsid w:val="003D7259"/>
    <w:rsid w:val="003D728C"/>
    <w:rsid w:val="003D72A0"/>
    <w:rsid w:val="003D73CC"/>
    <w:rsid w:val="003D7461"/>
    <w:rsid w:val="003D7479"/>
    <w:rsid w:val="003D7480"/>
    <w:rsid w:val="003D74BE"/>
    <w:rsid w:val="003D7507"/>
    <w:rsid w:val="003D75AC"/>
    <w:rsid w:val="003D75D7"/>
    <w:rsid w:val="003D76FB"/>
    <w:rsid w:val="003D772B"/>
    <w:rsid w:val="003D7776"/>
    <w:rsid w:val="003D77CB"/>
    <w:rsid w:val="003D783A"/>
    <w:rsid w:val="003D7853"/>
    <w:rsid w:val="003D787A"/>
    <w:rsid w:val="003D78A9"/>
    <w:rsid w:val="003D78CD"/>
    <w:rsid w:val="003D78DE"/>
    <w:rsid w:val="003D7938"/>
    <w:rsid w:val="003D796C"/>
    <w:rsid w:val="003D7AF3"/>
    <w:rsid w:val="003D7B50"/>
    <w:rsid w:val="003D7B74"/>
    <w:rsid w:val="003D7BAB"/>
    <w:rsid w:val="003D7D30"/>
    <w:rsid w:val="003D7D3D"/>
    <w:rsid w:val="003D7DCE"/>
    <w:rsid w:val="003D7DD3"/>
    <w:rsid w:val="003D7E29"/>
    <w:rsid w:val="003D7E7E"/>
    <w:rsid w:val="003D7ED8"/>
    <w:rsid w:val="003D7FA7"/>
    <w:rsid w:val="003D7FDA"/>
    <w:rsid w:val="003D7FE1"/>
    <w:rsid w:val="003E000B"/>
    <w:rsid w:val="003E023A"/>
    <w:rsid w:val="003E029C"/>
    <w:rsid w:val="003E02F4"/>
    <w:rsid w:val="003E039D"/>
    <w:rsid w:val="003E0480"/>
    <w:rsid w:val="003E0484"/>
    <w:rsid w:val="003E0496"/>
    <w:rsid w:val="003E04F3"/>
    <w:rsid w:val="003E0536"/>
    <w:rsid w:val="003E07FB"/>
    <w:rsid w:val="003E09AD"/>
    <w:rsid w:val="003E0A1B"/>
    <w:rsid w:val="003E0A20"/>
    <w:rsid w:val="003E0A3B"/>
    <w:rsid w:val="003E0A42"/>
    <w:rsid w:val="003E0A43"/>
    <w:rsid w:val="003E0AF0"/>
    <w:rsid w:val="003E0B56"/>
    <w:rsid w:val="003E0C22"/>
    <w:rsid w:val="003E0C9A"/>
    <w:rsid w:val="003E0CC3"/>
    <w:rsid w:val="003E0EC2"/>
    <w:rsid w:val="003E0F44"/>
    <w:rsid w:val="003E0FB6"/>
    <w:rsid w:val="003E0FDF"/>
    <w:rsid w:val="003E11DC"/>
    <w:rsid w:val="003E11FF"/>
    <w:rsid w:val="003E128E"/>
    <w:rsid w:val="003E13B5"/>
    <w:rsid w:val="003E1407"/>
    <w:rsid w:val="003E1498"/>
    <w:rsid w:val="003E14C7"/>
    <w:rsid w:val="003E150D"/>
    <w:rsid w:val="003E1974"/>
    <w:rsid w:val="003E1A3E"/>
    <w:rsid w:val="003E1A60"/>
    <w:rsid w:val="003E1C64"/>
    <w:rsid w:val="003E1CE0"/>
    <w:rsid w:val="003E1DFF"/>
    <w:rsid w:val="003E1E55"/>
    <w:rsid w:val="003E1EE9"/>
    <w:rsid w:val="003E1FAE"/>
    <w:rsid w:val="003E1FBE"/>
    <w:rsid w:val="003E1FFC"/>
    <w:rsid w:val="003E201F"/>
    <w:rsid w:val="003E2128"/>
    <w:rsid w:val="003E226D"/>
    <w:rsid w:val="003E236F"/>
    <w:rsid w:val="003E2554"/>
    <w:rsid w:val="003E2559"/>
    <w:rsid w:val="003E2584"/>
    <w:rsid w:val="003E2631"/>
    <w:rsid w:val="003E26E6"/>
    <w:rsid w:val="003E26FD"/>
    <w:rsid w:val="003E283B"/>
    <w:rsid w:val="003E28EA"/>
    <w:rsid w:val="003E29CD"/>
    <w:rsid w:val="003E2ABB"/>
    <w:rsid w:val="003E2B17"/>
    <w:rsid w:val="003E2BA7"/>
    <w:rsid w:val="003E2C39"/>
    <w:rsid w:val="003E2D10"/>
    <w:rsid w:val="003E2DAA"/>
    <w:rsid w:val="003E2DC2"/>
    <w:rsid w:val="003E2DD5"/>
    <w:rsid w:val="003E2F22"/>
    <w:rsid w:val="003E2F55"/>
    <w:rsid w:val="003E2F65"/>
    <w:rsid w:val="003E2FB0"/>
    <w:rsid w:val="003E306B"/>
    <w:rsid w:val="003E3097"/>
    <w:rsid w:val="003E30E2"/>
    <w:rsid w:val="003E3163"/>
    <w:rsid w:val="003E316D"/>
    <w:rsid w:val="003E31C7"/>
    <w:rsid w:val="003E31E0"/>
    <w:rsid w:val="003E31FA"/>
    <w:rsid w:val="003E3209"/>
    <w:rsid w:val="003E3255"/>
    <w:rsid w:val="003E3294"/>
    <w:rsid w:val="003E3296"/>
    <w:rsid w:val="003E3359"/>
    <w:rsid w:val="003E33FE"/>
    <w:rsid w:val="003E3457"/>
    <w:rsid w:val="003E346D"/>
    <w:rsid w:val="003E34D3"/>
    <w:rsid w:val="003E35B9"/>
    <w:rsid w:val="003E3631"/>
    <w:rsid w:val="003E3695"/>
    <w:rsid w:val="003E3698"/>
    <w:rsid w:val="003E36D4"/>
    <w:rsid w:val="003E3735"/>
    <w:rsid w:val="003E377E"/>
    <w:rsid w:val="003E37C6"/>
    <w:rsid w:val="003E380F"/>
    <w:rsid w:val="003E3A1D"/>
    <w:rsid w:val="003E3A29"/>
    <w:rsid w:val="003E3ABC"/>
    <w:rsid w:val="003E3ADA"/>
    <w:rsid w:val="003E3ADC"/>
    <w:rsid w:val="003E3B37"/>
    <w:rsid w:val="003E3B8B"/>
    <w:rsid w:val="003E3CE8"/>
    <w:rsid w:val="003E3D65"/>
    <w:rsid w:val="003E3D85"/>
    <w:rsid w:val="003E3E38"/>
    <w:rsid w:val="003E3E95"/>
    <w:rsid w:val="003E3EB6"/>
    <w:rsid w:val="003E3F8A"/>
    <w:rsid w:val="003E3FE3"/>
    <w:rsid w:val="003E4020"/>
    <w:rsid w:val="003E407A"/>
    <w:rsid w:val="003E417A"/>
    <w:rsid w:val="003E4257"/>
    <w:rsid w:val="003E427C"/>
    <w:rsid w:val="003E4280"/>
    <w:rsid w:val="003E42DD"/>
    <w:rsid w:val="003E431B"/>
    <w:rsid w:val="003E4387"/>
    <w:rsid w:val="003E4437"/>
    <w:rsid w:val="003E4462"/>
    <w:rsid w:val="003E448C"/>
    <w:rsid w:val="003E44F4"/>
    <w:rsid w:val="003E463F"/>
    <w:rsid w:val="003E46F3"/>
    <w:rsid w:val="003E472B"/>
    <w:rsid w:val="003E4800"/>
    <w:rsid w:val="003E4852"/>
    <w:rsid w:val="003E4883"/>
    <w:rsid w:val="003E4912"/>
    <w:rsid w:val="003E4985"/>
    <w:rsid w:val="003E4998"/>
    <w:rsid w:val="003E49F8"/>
    <w:rsid w:val="003E4A14"/>
    <w:rsid w:val="003E4A20"/>
    <w:rsid w:val="003E4AE4"/>
    <w:rsid w:val="003E4C01"/>
    <w:rsid w:val="003E4C7B"/>
    <w:rsid w:val="003E4D0B"/>
    <w:rsid w:val="003E4EBB"/>
    <w:rsid w:val="003E4F18"/>
    <w:rsid w:val="003E4F2D"/>
    <w:rsid w:val="003E5059"/>
    <w:rsid w:val="003E5130"/>
    <w:rsid w:val="003E5233"/>
    <w:rsid w:val="003E5291"/>
    <w:rsid w:val="003E52F7"/>
    <w:rsid w:val="003E55E7"/>
    <w:rsid w:val="003E564A"/>
    <w:rsid w:val="003E56B1"/>
    <w:rsid w:val="003E572C"/>
    <w:rsid w:val="003E57B3"/>
    <w:rsid w:val="003E59AB"/>
    <w:rsid w:val="003E59CD"/>
    <w:rsid w:val="003E5A34"/>
    <w:rsid w:val="003E5ADA"/>
    <w:rsid w:val="003E5B38"/>
    <w:rsid w:val="003E5BD9"/>
    <w:rsid w:val="003E5D00"/>
    <w:rsid w:val="003E5E09"/>
    <w:rsid w:val="003E5E62"/>
    <w:rsid w:val="003E5ED9"/>
    <w:rsid w:val="003E5EF3"/>
    <w:rsid w:val="003E5F5F"/>
    <w:rsid w:val="003E6008"/>
    <w:rsid w:val="003E6055"/>
    <w:rsid w:val="003E612E"/>
    <w:rsid w:val="003E61DB"/>
    <w:rsid w:val="003E627C"/>
    <w:rsid w:val="003E628C"/>
    <w:rsid w:val="003E629F"/>
    <w:rsid w:val="003E62AA"/>
    <w:rsid w:val="003E6348"/>
    <w:rsid w:val="003E6355"/>
    <w:rsid w:val="003E6418"/>
    <w:rsid w:val="003E6455"/>
    <w:rsid w:val="003E65EA"/>
    <w:rsid w:val="003E662B"/>
    <w:rsid w:val="003E66CC"/>
    <w:rsid w:val="003E6756"/>
    <w:rsid w:val="003E691A"/>
    <w:rsid w:val="003E69C8"/>
    <w:rsid w:val="003E69DD"/>
    <w:rsid w:val="003E6A8D"/>
    <w:rsid w:val="003E6A9F"/>
    <w:rsid w:val="003E6B5A"/>
    <w:rsid w:val="003E6B8D"/>
    <w:rsid w:val="003E6B9C"/>
    <w:rsid w:val="003E6BAC"/>
    <w:rsid w:val="003E6BCB"/>
    <w:rsid w:val="003E6C5E"/>
    <w:rsid w:val="003E6D6C"/>
    <w:rsid w:val="003E6E13"/>
    <w:rsid w:val="003E6E4E"/>
    <w:rsid w:val="003E6F85"/>
    <w:rsid w:val="003E6F9B"/>
    <w:rsid w:val="003E701E"/>
    <w:rsid w:val="003E717D"/>
    <w:rsid w:val="003E71D4"/>
    <w:rsid w:val="003E727F"/>
    <w:rsid w:val="003E72B7"/>
    <w:rsid w:val="003E730A"/>
    <w:rsid w:val="003E73F0"/>
    <w:rsid w:val="003E7460"/>
    <w:rsid w:val="003E7463"/>
    <w:rsid w:val="003E74A3"/>
    <w:rsid w:val="003E74C5"/>
    <w:rsid w:val="003E7520"/>
    <w:rsid w:val="003E75D3"/>
    <w:rsid w:val="003E7668"/>
    <w:rsid w:val="003E76B4"/>
    <w:rsid w:val="003E7704"/>
    <w:rsid w:val="003E774D"/>
    <w:rsid w:val="003E77A9"/>
    <w:rsid w:val="003E77AD"/>
    <w:rsid w:val="003E7874"/>
    <w:rsid w:val="003E7895"/>
    <w:rsid w:val="003E78B8"/>
    <w:rsid w:val="003E78D3"/>
    <w:rsid w:val="003E7908"/>
    <w:rsid w:val="003E799F"/>
    <w:rsid w:val="003E79F9"/>
    <w:rsid w:val="003E7C15"/>
    <w:rsid w:val="003E7CE6"/>
    <w:rsid w:val="003E7D1B"/>
    <w:rsid w:val="003E7DA6"/>
    <w:rsid w:val="003E7DD4"/>
    <w:rsid w:val="003E7DFB"/>
    <w:rsid w:val="003E7E9A"/>
    <w:rsid w:val="003E7E9B"/>
    <w:rsid w:val="003E7F74"/>
    <w:rsid w:val="003E7F77"/>
    <w:rsid w:val="003EAABD"/>
    <w:rsid w:val="003F003C"/>
    <w:rsid w:val="003F00B9"/>
    <w:rsid w:val="003F00BD"/>
    <w:rsid w:val="003F011E"/>
    <w:rsid w:val="003F0160"/>
    <w:rsid w:val="003F0226"/>
    <w:rsid w:val="003F02F2"/>
    <w:rsid w:val="003F0356"/>
    <w:rsid w:val="003F03CF"/>
    <w:rsid w:val="003F0478"/>
    <w:rsid w:val="003F04B0"/>
    <w:rsid w:val="003F0573"/>
    <w:rsid w:val="003F057B"/>
    <w:rsid w:val="003F0620"/>
    <w:rsid w:val="003F0638"/>
    <w:rsid w:val="003F063D"/>
    <w:rsid w:val="003F0694"/>
    <w:rsid w:val="003F06A1"/>
    <w:rsid w:val="003F06B6"/>
    <w:rsid w:val="003F0717"/>
    <w:rsid w:val="003F07B6"/>
    <w:rsid w:val="003F07FD"/>
    <w:rsid w:val="003F0883"/>
    <w:rsid w:val="003F088D"/>
    <w:rsid w:val="003F08BA"/>
    <w:rsid w:val="003F08C5"/>
    <w:rsid w:val="003F093A"/>
    <w:rsid w:val="003F0949"/>
    <w:rsid w:val="003F09E9"/>
    <w:rsid w:val="003F0A2D"/>
    <w:rsid w:val="003F0A61"/>
    <w:rsid w:val="003F0A72"/>
    <w:rsid w:val="003F0BCD"/>
    <w:rsid w:val="003F0C2D"/>
    <w:rsid w:val="003F0D52"/>
    <w:rsid w:val="003F0E1F"/>
    <w:rsid w:val="003F0E74"/>
    <w:rsid w:val="003F0E86"/>
    <w:rsid w:val="003F0EAE"/>
    <w:rsid w:val="003F0ED1"/>
    <w:rsid w:val="003F0EFF"/>
    <w:rsid w:val="003F1075"/>
    <w:rsid w:val="003F1105"/>
    <w:rsid w:val="003F1134"/>
    <w:rsid w:val="003F119F"/>
    <w:rsid w:val="003F122A"/>
    <w:rsid w:val="003F1391"/>
    <w:rsid w:val="003F1484"/>
    <w:rsid w:val="003F1552"/>
    <w:rsid w:val="003F1693"/>
    <w:rsid w:val="003F1732"/>
    <w:rsid w:val="003F1766"/>
    <w:rsid w:val="003F1771"/>
    <w:rsid w:val="003F191D"/>
    <w:rsid w:val="003F1968"/>
    <w:rsid w:val="003F19C4"/>
    <w:rsid w:val="003F1B97"/>
    <w:rsid w:val="003F1C24"/>
    <w:rsid w:val="003F1C37"/>
    <w:rsid w:val="003F1C3A"/>
    <w:rsid w:val="003F1CF2"/>
    <w:rsid w:val="003F1E16"/>
    <w:rsid w:val="003F1E4D"/>
    <w:rsid w:val="003F1FFC"/>
    <w:rsid w:val="003F200D"/>
    <w:rsid w:val="003F205B"/>
    <w:rsid w:val="003F2086"/>
    <w:rsid w:val="003F20DC"/>
    <w:rsid w:val="003F2136"/>
    <w:rsid w:val="003F2141"/>
    <w:rsid w:val="003F220B"/>
    <w:rsid w:val="003F2274"/>
    <w:rsid w:val="003F229C"/>
    <w:rsid w:val="003F231B"/>
    <w:rsid w:val="003F23C1"/>
    <w:rsid w:val="003F23C7"/>
    <w:rsid w:val="003F2437"/>
    <w:rsid w:val="003F247B"/>
    <w:rsid w:val="003F24EC"/>
    <w:rsid w:val="003F2569"/>
    <w:rsid w:val="003F262C"/>
    <w:rsid w:val="003F26B9"/>
    <w:rsid w:val="003F26FF"/>
    <w:rsid w:val="003F270A"/>
    <w:rsid w:val="003F275D"/>
    <w:rsid w:val="003F279E"/>
    <w:rsid w:val="003F27D8"/>
    <w:rsid w:val="003F292A"/>
    <w:rsid w:val="003F292B"/>
    <w:rsid w:val="003F2983"/>
    <w:rsid w:val="003F29F1"/>
    <w:rsid w:val="003F2A2C"/>
    <w:rsid w:val="003F2A9C"/>
    <w:rsid w:val="003F2AB7"/>
    <w:rsid w:val="003F2AC9"/>
    <w:rsid w:val="003F2B04"/>
    <w:rsid w:val="003F2BE4"/>
    <w:rsid w:val="003F2C91"/>
    <w:rsid w:val="003F2CF1"/>
    <w:rsid w:val="003F2E6E"/>
    <w:rsid w:val="003F2F3D"/>
    <w:rsid w:val="003F3059"/>
    <w:rsid w:val="003F317F"/>
    <w:rsid w:val="003F31A3"/>
    <w:rsid w:val="003F3347"/>
    <w:rsid w:val="003F3479"/>
    <w:rsid w:val="003F34C0"/>
    <w:rsid w:val="003F34C8"/>
    <w:rsid w:val="003F3552"/>
    <w:rsid w:val="003F359C"/>
    <w:rsid w:val="003F35FA"/>
    <w:rsid w:val="003F36F5"/>
    <w:rsid w:val="003F379F"/>
    <w:rsid w:val="003F37EB"/>
    <w:rsid w:val="003F38E0"/>
    <w:rsid w:val="003F390D"/>
    <w:rsid w:val="003F3926"/>
    <w:rsid w:val="003F393D"/>
    <w:rsid w:val="003F3957"/>
    <w:rsid w:val="003F3A20"/>
    <w:rsid w:val="003F3A47"/>
    <w:rsid w:val="003F3AC1"/>
    <w:rsid w:val="003F3C98"/>
    <w:rsid w:val="003F3D51"/>
    <w:rsid w:val="003F3E07"/>
    <w:rsid w:val="003F3E09"/>
    <w:rsid w:val="003F3E8E"/>
    <w:rsid w:val="003F40A6"/>
    <w:rsid w:val="003F4195"/>
    <w:rsid w:val="003F4198"/>
    <w:rsid w:val="003F41CF"/>
    <w:rsid w:val="003F4386"/>
    <w:rsid w:val="003F4404"/>
    <w:rsid w:val="003F4477"/>
    <w:rsid w:val="003F44A3"/>
    <w:rsid w:val="003F463C"/>
    <w:rsid w:val="003F4658"/>
    <w:rsid w:val="003F4691"/>
    <w:rsid w:val="003F46BA"/>
    <w:rsid w:val="003F46E4"/>
    <w:rsid w:val="003F47A4"/>
    <w:rsid w:val="003F47A6"/>
    <w:rsid w:val="003F47D6"/>
    <w:rsid w:val="003F48DD"/>
    <w:rsid w:val="003F4929"/>
    <w:rsid w:val="003F49CA"/>
    <w:rsid w:val="003F4A91"/>
    <w:rsid w:val="003F4B16"/>
    <w:rsid w:val="003F4B28"/>
    <w:rsid w:val="003F4B3E"/>
    <w:rsid w:val="003F4CA3"/>
    <w:rsid w:val="003F4CFA"/>
    <w:rsid w:val="003F4E6F"/>
    <w:rsid w:val="003F4E87"/>
    <w:rsid w:val="003F4F1B"/>
    <w:rsid w:val="003F4F7B"/>
    <w:rsid w:val="003F4FD6"/>
    <w:rsid w:val="003F5062"/>
    <w:rsid w:val="003F5083"/>
    <w:rsid w:val="003F5330"/>
    <w:rsid w:val="003F5365"/>
    <w:rsid w:val="003F544B"/>
    <w:rsid w:val="003F54D0"/>
    <w:rsid w:val="003F54E8"/>
    <w:rsid w:val="003F5503"/>
    <w:rsid w:val="003F55AA"/>
    <w:rsid w:val="003F572A"/>
    <w:rsid w:val="003F5771"/>
    <w:rsid w:val="003F5830"/>
    <w:rsid w:val="003F59A6"/>
    <w:rsid w:val="003F5A14"/>
    <w:rsid w:val="003F5A9B"/>
    <w:rsid w:val="003F5AA4"/>
    <w:rsid w:val="003F5BDF"/>
    <w:rsid w:val="003F5EDF"/>
    <w:rsid w:val="003F5F42"/>
    <w:rsid w:val="003F5F7F"/>
    <w:rsid w:val="003F5FB7"/>
    <w:rsid w:val="003F610F"/>
    <w:rsid w:val="003F61BA"/>
    <w:rsid w:val="003F6219"/>
    <w:rsid w:val="003F6249"/>
    <w:rsid w:val="003F62CB"/>
    <w:rsid w:val="003F6325"/>
    <w:rsid w:val="003F637A"/>
    <w:rsid w:val="003F63AD"/>
    <w:rsid w:val="003F644A"/>
    <w:rsid w:val="003F64C1"/>
    <w:rsid w:val="003F6636"/>
    <w:rsid w:val="003F663B"/>
    <w:rsid w:val="003F666F"/>
    <w:rsid w:val="003F6767"/>
    <w:rsid w:val="003F676B"/>
    <w:rsid w:val="003F676C"/>
    <w:rsid w:val="003F6907"/>
    <w:rsid w:val="003F6952"/>
    <w:rsid w:val="003F696A"/>
    <w:rsid w:val="003F6A2D"/>
    <w:rsid w:val="003F6A3D"/>
    <w:rsid w:val="003F6A43"/>
    <w:rsid w:val="003F6A79"/>
    <w:rsid w:val="003F6AE6"/>
    <w:rsid w:val="003F6BD8"/>
    <w:rsid w:val="003F6C7B"/>
    <w:rsid w:val="003F6EF8"/>
    <w:rsid w:val="003F6F1A"/>
    <w:rsid w:val="003F6F35"/>
    <w:rsid w:val="003F704C"/>
    <w:rsid w:val="003F7144"/>
    <w:rsid w:val="003F724D"/>
    <w:rsid w:val="003F731F"/>
    <w:rsid w:val="003F7390"/>
    <w:rsid w:val="003F742E"/>
    <w:rsid w:val="003F74C8"/>
    <w:rsid w:val="003F7535"/>
    <w:rsid w:val="003F755B"/>
    <w:rsid w:val="003F759F"/>
    <w:rsid w:val="003F760F"/>
    <w:rsid w:val="003F76C2"/>
    <w:rsid w:val="003F76DA"/>
    <w:rsid w:val="003F7727"/>
    <w:rsid w:val="003F778C"/>
    <w:rsid w:val="003F77EB"/>
    <w:rsid w:val="003F7891"/>
    <w:rsid w:val="003F78F4"/>
    <w:rsid w:val="003F7906"/>
    <w:rsid w:val="003F798E"/>
    <w:rsid w:val="003F7990"/>
    <w:rsid w:val="003F79D2"/>
    <w:rsid w:val="003F7A6D"/>
    <w:rsid w:val="003F7ADC"/>
    <w:rsid w:val="003F7AF7"/>
    <w:rsid w:val="003F7B6D"/>
    <w:rsid w:val="003F7D06"/>
    <w:rsid w:val="003F7E65"/>
    <w:rsid w:val="003F7EBC"/>
    <w:rsid w:val="004001D5"/>
    <w:rsid w:val="00400209"/>
    <w:rsid w:val="00400248"/>
    <w:rsid w:val="0040027D"/>
    <w:rsid w:val="0040035C"/>
    <w:rsid w:val="004003B1"/>
    <w:rsid w:val="004004F5"/>
    <w:rsid w:val="0040060F"/>
    <w:rsid w:val="00400624"/>
    <w:rsid w:val="00400664"/>
    <w:rsid w:val="00400693"/>
    <w:rsid w:val="00400775"/>
    <w:rsid w:val="00400981"/>
    <w:rsid w:val="00400A14"/>
    <w:rsid w:val="00400AD7"/>
    <w:rsid w:val="00400B7C"/>
    <w:rsid w:val="00400BBF"/>
    <w:rsid w:val="00400BD7"/>
    <w:rsid w:val="00400D3D"/>
    <w:rsid w:val="00400E4D"/>
    <w:rsid w:val="00400E78"/>
    <w:rsid w:val="00400EBA"/>
    <w:rsid w:val="00400F80"/>
    <w:rsid w:val="00400FFB"/>
    <w:rsid w:val="0040102F"/>
    <w:rsid w:val="00401199"/>
    <w:rsid w:val="0040122A"/>
    <w:rsid w:val="0040125A"/>
    <w:rsid w:val="0040128D"/>
    <w:rsid w:val="004013C2"/>
    <w:rsid w:val="0040142E"/>
    <w:rsid w:val="0040144F"/>
    <w:rsid w:val="004014FF"/>
    <w:rsid w:val="0040159E"/>
    <w:rsid w:val="004015E3"/>
    <w:rsid w:val="004015F3"/>
    <w:rsid w:val="00401615"/>
    <w:rsid w:val="00401618"/>
    <w:rsid w:val="0040161C"/>
    <w:rsid w:val="0040169B"/>
    <w:rsid w:val="004016D8"/>
    <w:rsid w:val="004017BA"/>
    <w:rsid w:val="0040182F"/>
    <w:rsid w:val="00401851"/>
    <w:rsid w:val="004018CD"/>
    <w:rsid w:val="00401A15"/>
    <w:rsid w:val="00401AB5"/>
    <w:rsid w:val="00401ABC"/>
    <w:rsid w:val="00401AFE"/>
    <w:rsid w:val="00401BDD"/>
    <w:rsid w:val="00401C3D"/>
    <w:rsid w:val="00401C55"/>
    <w:rsid w:val="00401C5C"/>
    <w:rsid w:val="00401CF0"/>
    <w:rsid w:val="00401D7C"/>
    <w:rsid w:val="00401D9E"/>
    <w:rsid w:val="00401DBE"/>
    <w:rsid w:val="00401DD8"/>
    <w:rsid w:val="00401DF0"/>
    <w:rsid w:val="00401DF4"/>
    <w:rsid w:val="00401EB6"/>
    <w:rsid w:val="00401F3A"/>
    <w:rsid w:val="00401FC2"/>
    <w:rsid w:val="00401FE9"/>
    <w:rsid w:val="00401FFC"/>
    <w:rsid w:val="00402019"/>
    <w:rsid w:val="00402026"/>
    <w:rsid w:val="00402057"/>
    <w:rsid w:val="004020D8"/>
    <w:rsid w:val="00402196"/>
    <w:rsid w:val="004021D5"/>
    <w:rsid w:val="004021F5"/>
    <w:rsid w:val="0040228B"/>
    <w:rsid w:val="00402319"/>
    <w:rsid w:val="0040231D"/>
    <w:rsid w:val="00402431"/>
    <w:rsid w:val="004024D6"/>
    <w:rsid w:val="00402520"/>
    <w:rsid w:val="0040253D"/>
    <w:rsid w:val="00402688"/>
    <w:rsid w:val="004026AD"/>
    <w:rsid w:val="00402780"/>
    <w:rsid w:val="004028BC"/>
    <w:rsid w:val="00402967"/>
    <w:rsid w:val="00402AB8"/>
    <w:rsid w:val="00402AD8"/>
    <w:rsid w:val="00402B3A"/>
    <w:rsid w:val="00402C30"/>
    <w:rsid w:val="00402C3D"/>
    <w:rsid w:val="00402C75"/>
    <w:rsid w:val="00402CBB"/>
    <w:rsid w:val="00402CD3"/>
    <w:rsid w:val="00402D76"/>
    <w:rsid w:val="00402DAB"/>
    <w:rsid w:val="00403103"/>
    <w:rsid w:val="004031F5"/>
    <w:rsid w:val="00403243"/>
    <w:rsid w:val="00403299"/>
    <w:rsid w:val="004032B6"/>
    <w:rsid w:val="004032E6"/>
    <w:rsid w:val="00403307"/>
    <w:rsid w:val="00403314"/>
    <w:rsid w:val="00403410"/>
    <w:rsid w:val="00403475"/>
    <w:rsid w:val="00403482"/>
    <w:rsid w:val="0040348A"/>
    <w:rsid w:val="0040349C"/>
    <w:rsid w:val="00403571"/>
    <w:rsid w:val="004036FE"/>
    <w:rsid w:val="00403738"/>
    <w:rsid w:val="0040388B"/>
    <w:rsid w:val="00403943"/>
    <w:rsid w:val="0040395C"/>
    <w:rsid w:val="00403966"/>
    <w:rsid w:val="004039C5"/>
    <w:rsid w:val="004039E5"/>
    <w:rsid w:val="00403A6E"/>
    <w:rsid w:val="00403A6F"/>
    <w:rsid w:val="00403A85"/>
    <w:rsid w:val="00403B1F"/>
    <w:rsid w:val="00403BB6"/>
    <w:rsid w:val="00403BEF"/>
    <w:rsid w:val="00403BF5"/>
    <w:rsid w:val="00403C92"/>
    <w:rsid w:val="00403CBF"/>
    <w:rsid w:val="00403E5B"/>
    <w:rsid w:val="0040408F"/>
    <w:rsid w:val="004040CD"/>
    <w:rsid w:val="004040FA"/>
    <w:rsid w:val="0040414A"/>
    <w:rsid w:val="0040417E"/>
    <w:rsid w:val="004041F0"/>
    <w:rsid w:val="004042E3"/>
    <w:rsid w:val="00404362"/>
    <w:rsid w:val="00404393"/>
    <w:rsid w:val="0040441D"/>
    <w:rsid w:val="00404454"/>
    <w:rsid w:val="004045F3"/>
    <w:rsid w:val="004046EC"/>
    <w:rsid w:val="00404706"/>
    <w:rsid w:val="00404713"/>
    <w:rsid w:val="00404755"/>
    <w:rsid w:val="004047D8"/>
    <w:rsid w:val="00404877"/>
    <w:rsid w:val="004048BD"/>
    <w:rsid w:val="00404943"/>
    <w:rsid w:val="00404A05"/>
    <w:rsid w:val="00404A20"/>
    <w:rsid w:val="00404A5B"/>
    <w:rsid w:val="00404A8D"/>
    <w:rsid w:val="00404B68"/>
    <w:rsid w:val="00404CD5"/>
    <w:rsid w:val="00404D42"/>
    <w:rsid w:val="00404D63"/>
    <w:rsid w:val="00404D78"/>
    <w:rsid w:val="00404DC4"/>
    <w:rsid w:val="00404E21"/>
    <w:rsid w:val="00404E37"/>
    <w:rsid w:val="00404E4F"/>
    <w:rsid w:val="00404F68"/>
    <w:rsid w:val="00404FE9"/>
    <w:rsid w:val="00405079"/>
    <w:rsid w:val="004050C4"/>
    <w:rsid w:val="0040523A"/>
    <w:rsid w:val="00405245"/>
    <w:rsid w:val="0040524F"/>
    <w:rsid w:val="004052B5"/>
    <w:rsid w:val="004052C1"/>
    <w:rsid w:val="00405415"/>
    <w:rsid w:val="00405429"/>
    <w:rsid w:val="00405483"/>
    <w:rsid w:val="004054B8"/>
    <w:rsid w:val="0040554D"/>
    <w:rsid w:val="004055B5"/>
    <w:rsid w:val="004055E4"/>
    <w:rsid w:val="0040569E"/>
    <w:rsid w:val="004056EE"/>
    <w:rsid w:val="00405783"/>
    <w:rsid w:val="004057FA"/>
    <w:rsid w:val="0040583E"/>
    <w:rsid w:val="0040586E"/>
    <w:rsid w:val="00405893"/>
    <w:rsid w:val="00405AA6"/>
    <w:rsid w:val="00405AD5"/>
    <w:rsid w:val="00405B25"/>
    <w:rsid w:val="00405B62"/>
    <w:rsid w:val="00405BC2"/>
    <w:rsid w:val="00405CCB"/>
    <w:rsid w:val="00405CD1"/>
    <w:rsid w:val="00405E0A"/>
    <w:rsid w:val="00405E5C"/>
    <w:rsid w:val="00405EC8"/>
    <w:rsid w:val="00406044"/>
    <w:rsid w:val="00406098"/>
    <w:rsid w:val="004060DC"/>
    <w:rsid w:val="004061EB"/>
    <w:rsid w:val="00406230"/>
    <w:rsid w:val="004062C7"/>
    <w:rsid w:val="004062CA"/>
    <w:rsid w:val="004062F0"/>
    <w:rsid w:val="004062F8"/>
    <w:rsid w:val="004064D0"/>
    <w:rsid w:val="004064F7"/>
    <w:rsid w:val="004064FB"/>
    <w:rsid w:val="0040650A"/>
    <w:rsid w:val="004065D3"/>
    <w:rsid w:val="004065FD"/>
    <w:rsid w:val="00406863"/>
    <w:rsid w:val="00406894"/>
    <w:rsid w:val="00406899"/>
    <w:rsid w:val="00406904"/>
    <w:rsid w:val="0040698D"/>
    <w:rsid w:val="00406A1B"/>
    <w:rsid w:val="00406AB5"/>
    <w:rsid w:val="00406AC2"/>
    <w:rsid w:val="00406AFF"/>
    <w:rsid w:val="00406B8F"/>
    <w:rsid w:val="00406C58"/>
    <w:rsid w:val="00406CB8"/>
    <w:rsid w:val="00406CBA"/>
    <w:rsid w:val="00406D5C"/>
    <w:rsid w:val="00406D9A"/>
    <w:rsid w:val="00406DCD"/>
    <w:rsid w:val="00406E3A"/>
    <w:rsid w:val="00406E9C"/>
    <w:rsid w:val="00406EA9"/>
    <w:rsid w:val="00406F36"/>
    <w:rsid w:val="00406F7B"/>
    <w:rsid w:val="00406F7D"/>
    <w:rsid w:val="00407038"/>
    <w:rsid w:val="004071A2"/>
    <w:rsid w:val="004071F0"/>
    <w:rsid w:val="00407245"/>
    <w:rsid w:val="004074A1"/>
    <w:rsid w:val="004074F1"/>
    <w:rsid w:val="0040753C"/>
    <w:rsid w:val="004075D6"/>
    <w:rsid w:val="00407648"/>
    <w:rsid w:val="00407654"/>
    <w:rsid w:val="0040768C"/>
    <w:rsid w:val="004076BB"/>
    <w:rsid w:val="004076BF"/>
    <w:rsid w:val="004078B6"/>
    <w:rsid w:val="004078CE"/>
    <w:rsid w:val="004078E1"/>
    <w:rsid w:val="00407945"/>
    <w:rsid w:val="004079A1"/>
    <w:rsid w:val="004079D3"/>
    <w:rsid w:val="00407A6C"/>
    <w:rsid w:val="00407B24"/>
    <w:rsid w:val="00407B45"/>
    <w:rsid w:val="00407B89"/>
    <w:rsid w:val="00407CB0"/>
    <w:rsid w:val="00407DB2"/>
    <w:rsid w:val="00407DEE"/>
    <w:rsid w:val="00407EB6"/>
    <w:rsid w:val="00407EE2"/>
    <w:rsid w:val="00407F69"/>
    <w:rsid w:val="00407FD8"/>
    <w:rsid w:val="00410038"/>
    <w:rsid w:val="0041003B"/>
    <w:rsid w:val="00410195"/>
    <w:rsid w:val="004101C6"/>
    <w:rsid w:val="00410252"/>
    <w:rsid w:val="004102F7"/>
    <w:rsid w:val="004103BF"/>
    <w:rsid w:val="004103D7"/>
    <w:rsid w:val="00410404"/>
    <w:rsid w:val="0041045E"/>
    <w:rsid w:val="00410524"/>
    <w:rsid w:val="00410623"/>
    <w:rsid w:val="00410690"/>
    <w:rsid w:val="00410780"/>
    <w:rsid w:val="004107C9"/>
    <w:rsid w:val="004107CF"/>
    <w:rsid w:val="00410876"/>
    <w:rsid w:val="004109B8"/>
    <w:rsid w:val="00410A66"/>
    <w:rsid w:val="00410A85"/>
    <w:rsid w:val="00410BB8"/>
    <w:rsid w:val="00410BDB"/>
    <w:rsid w:val="00410CEC"/>
    <w:rsid w:val="00410D03"/>
    <w:rsid w:val="00410D0E"/>
    <w:rsid w:val="00410D18"/>
    <w:rsid w:val="00410E0C"/>
    <w:rsid w:val="00410ED8"/>
    <w:rsid w:val="00410EF0"/>
    <w:rsid w:val="00410EF9"/>
    <w:rsid w:val="00410F27"/>
    <w:rsid w:val="00410F4A"/>
    <w:rsid w:val="00410F62"/>
    <w:rsid w:val="00410F84"/>
    <w:rsid w:val="00410FD6"/>
    <w:rsid w:val="004110A5"/>
    <w:rsid w:val="004110BC"/>
    <w:rsid w:val="004110ED"/>
    <w:rsid w:val="004110FF"/>
    <w:rsid w:val="0041111C"/>
    <w:rsid w:val="0041115E"/>
    <w:rsid w:val="004111C6"/>
    <w:rsid w:val="0041121D"/>
    <w:rsid w:val="00411279"/>
    <w:rsid w:val="004112BC"/>
    <w:rsid w:val="0041130E"/>
    <w:rsid w:val="00411319"/>
    <w:rsid w:val="00411367"/>
    <w:rsid w:val="004113FA"/>
    <w:rsid w:val="004114D7"/>
    <w:rsid w:val="004114DF"/>
    <w:rsid w:val="00411534"/>
    <w:rsid w:val="00411582"/>
    <w:rsid w:val="00411707"/>
    <w:rsid w:val="00411752"/>
    <w:rsid w:val="004118AC"/>
    <w:rsid w:val="004118D4"/>
    <w:rsid w:val="004119E6"/>
    <w:rsid w:val="00411AAF"/>
    <w:rsid w:val="00411ABA"/>
    <w:rsid w:val="00411D26"/>
    <w:rsid w:val="00411F0D"/>
    <w:rsid w:val="00412002"/>
    <w:rsid w:val="00412180"/>
    <w:rsid w:val="004121D6"/>
    <w:rsid w:val="00412235"/>
    <w:rsid w:val="00412239"/>
    <w:rsid w:val="0041229D"/>
    <w:rsid w:val="00412439"/>
    <w:rsid w:val="00412460"/>
    <w:rsid w:val="004124C8"/>
    <w:rsid w:val="00412502"/>
    <w:rsid w:val="004125E5"/>
    <w:rsid w:val="00412606"/>
    <w:rsid w:val="00412672"/>
    <w:rsid w:val="004126AE"/>
    <w:rsid w:val="00412762"/>
    <w:rsid w:val="00412815"/>
    <w:rsid w:val="00412979"/>
    <w:rsid w:val="00412AA6"/>
    <w:rsid w:val="00412AEA"/>
    <w:rsid w:val="00412B51"/>
    <w:rsid w:val="00412B71"/>
    <w:rsid w:val="00412B92"/>
    <w:rsid w:val="00412C61"/>
    <w:rsid w:val="00412CEB"/>
    <w:rsid w:val="00412D84"/>
    <w:rsid w:val="00412E21"/>
    <w:rsid w:val="00412EAC"/>
    <w:rsid w:val="00413005"/>
    <w:rsid w:val="0041302B"/>
    <w:rsid w:val="004130A2"/>
    <w:rsid w:val="004130A5"/>
    <w:rsid w:val="00413135"/>
    <w:rsid w:val="00413156"/>
    <w:rsid w:val="00413179"/>
    <w:rsid w:val="004131A0"/>
    <w:rsid w:val="004131F0"/>
    <w:rsid w:val="00413216"/>
    <w:rsid w:val="00413276"/>
    <w:rsid w:val="004132C2"/>
    <w:rsid w:val="00413306"/>
    <w:rsid w:val="00413345"/>
    <w:rsid w:val="0041341F"/>
    <w:rsid w:val="00413466"/>
    <w:rsid w:val="0041346A"/>
    <w:rsid w:val="0041346B"/>
    <w:rsid w:val="00413588"/>
    <w:rsid w:val="0041360F"/>
    <w:rsid w:val="0041367E"/>
    <w:rsid w:val="0041370E"/>
    <w:rsid w:val="00413775"/>
    <w:rsid w:val="00413839"/>
    <w:rsid w:val="00413881"/>
    <w:rsid w:val="004138AF"/>
    <w:rsid w:val="004138B6"/>
    <w:rsid w:val="004138CD"/>
    <w:rsid w:val="00413986"/>
    <w:rsid w:val="00413B62"/>
    <w:rsid w:val="00413C2D"/>
    <w:rsid w:val="00413C8C"/>
    <w:rsid w:val="00413C93"/>
    <w:rsid w:val="00413CE8"/>
    <w:rsid w:val="00413D0D"/>
    <w:rsid w:val="00413F17"/>
    <w:rsid w:val="00413F19"/>
    <w:rsid w:val="00413F44"/>
    <w:rsid w:val="00413F67"/>
    <w:rsid w:val="0041406E"/>
    <w:rsid w:val="004140BD"/>
    <w:rsid w:val="004140CC"/>
    <w:rsid w:val="00414164"/>
    <w:rsid w:val="004141F8"/>
    <w:rsid w:val="004142FB"/>
    <w:rsid w:val="004143C5"/>
    <w:rsid w:val="004143E5"/>
    <w:rsid w:val="004144EF"/>
    <w:rsid w:val="00414547"/>
    <w:rsid w:val="00414557"/>
    <w:rsid w:val="004145CF"/>
    <w:rsid w:val="00414600"/>
    <w:rsid w:val="00414671"/>
    <w:rsid w:val="004146AF"/>
    <w:rsid w:val="00414728"/>
    <w:rsid w:val="004147AE"/>
    <w:rsid w:val="004147F3"/>
    <w:rsid w:val="00414845"/>
    <w:rsid w:val="00414897"/>
    <w:rsid w:val="004148AE"/>
    <w:rsid w:val="004148D7"/>
    <w:rsid w:val="0041495C"/>
    <w:rsid w:val="004149B4"/>
    <w:rsid w:val="004149CB"/>
    <w:rsid w:val="004149CC"/>
    <w:rsid w:val="00414A05"/>
    <w:rsid w:val="00414A95"/>
    <w:rsid w:val="00414ABC"/>
    <w:rsid w:val="00414B11"/>
    <w:rsid w:val="00414B23"/>
    <w:rsid w:val="00414B4E"/>
    <w:rsid w:val="00414B50"/>
    <w:rsid w:val="00414B74"/>
    <w:rsid w:val="00414BEE"/>
    <w:rsid w:val="00414BFF"/>
    <w:rsid w:val="00414C66"/>
    <w:rsid w:val="00414D35"/>
    <w:rsid w:val="00414E3F"/>
    <w:rsid w:val="00414E62"/>
    <w:rsid w:val="00414E7A"/>
    <w:rsid w:val="00414EE9"/>
    <w:rsid w:val="00414F33"/>
    <w:rsid w:val="00415014"/>
    <w:rsid w:val="0041502F"/>
    <w:rsid w:val="0041509F"/>
    <w:rsid w:val="004150CF"/>
    <w:rsid w:val="00415138"/>
    <w:rsid w:val="004152AD"/>
    <w:rsid w:val="00415375"/>
    <w:rsid w:val="004153A7"/>
    <w:rsid w:val="0041546A"/>
    <w:rsid w:val="004154B8"/>
    <w:rsid w:val="00415578"/>
    <w:rsid w:val="00415585"/>
    <w:rsid w:val="0041561C"/>
    <w:rsid w:val="00415627"/>
    <w:rsid w:val="00415727"/>
    <w:rsid w:val="004157B5"/>
    <w:rsid w:val="00415860"/>
    <w:rsid w:val="0041588D"/>
    <w:rsid w:val="0041590D"/>
    <w:rsid w:val="00415938"/>
    <w:rsid w:val="0041595F"/>
    <w:rsid w:val="00415A0E"/>
    <w:rsid w:val="00415A4A"/>
    <w:rsid w:val="00415A6C"/>
    <w:rsid w:val="00415B5A"/>
    <w:rsid w:val="00415B84"/>
    <w:rsid w:val="00415CBD"/>
    <w:rsid w:val="00415D9A"/>
    <w:rsid w:val="00415DA4"/>
    <w:rsid w:val="00415E9D"/>
    <w:rsid w:val="00415EB3"/>
    <w:rsid w:val="00415EE8"/>
    <w:rsid w:val="00416049"/>
    <w:rsid w:val="0041619A"/>
    <w:rsid w:val="00416244"/>
    <w:rsid w:val="004162DA"/>
    <w:rsid w:val="0041633A"/>
    <w:rsid w:val="00416359"/>
    <w:rsid w:val="00416362"/>
    <w:rsid w:val="00416386"/>
    <w:rsid w:val="0041638A"/>
    <w:rsid w:val="004163E7"/>
    <w:rsid w:val="004163FD"/>
    <w:rsid w:val="00416489"/>
    <w:rsid w:val="0041648D"/>
    <w:rsid w:val="004164A0"/>
    <w:rsid w:val="00416502"/>
    <w:rsid w:val="0041652A"/>
    <w:rsid w:val="00416544"/>
    <w:rsid w:val="0041664D"/>
    <w:rsid w:val="00416680"/>
    <w:rsid w:val="004166DF"/>
    <w:rsid w:val="00416704"/>
    <w:rsid w:val="0041670F"/>
    <w:rsid w:val="00416721"/>
    <w:rsid w:val="004167C8"/>
    <w:rsid w:val="0041684F"/>
    <w:rsid w:val="0041686E"/>
    <w:rsid w:val="004168F2"/>
    <w:rsid w:val="0041692B"/>
    <w:rsid w:val="00416949"/>
    <w:rsid w:val="00416A39"/>
    <w:rsid w:val="00416ABA"/>
    <w:rsid w:val="00416BA7"/>
    <w:rsid w:val="00416BFD"/>
    <w:rsid w:val="00416C2C"/>
    <w:rsid w:val="00416C9A"/>
    <w:rsid w:val="00416CC0"/>
    <w:rsid w:val="00416E4A"/>
    <w:rsid w:val="00416E8D"/>
    <w:rsid w:val="00416ED9"/>
    <w:rsid w:val="004170D6"/>
    <w:rsid w:val="00417131"/>
    <w:rsid w:val="0041714F"/>
    <w:rsid w:val="0041717E"/>
    <w:rsid w:val="0041720D"/>
    <w:rsid w:val="0041721F"/>
    <w:rsid w:val="00417242"/>
    <w:rsid w:val="0041732E"/>
    <w:rsid w:val="004174D4"/>
    <w:rsid w:val="004175A4"/>
    <w:rsid w:val="00417600"/>
    <w:rsid w:val="0041761B"/>
    <w:rsid w:val="00417646"/>
    <w:rsid w:val="00417748"/>
    <w:rsid w:val="0041776C"/>
    <w:rsid w:val="00417794"/>
    <w:rsid w:val="0041779F"/>
    <w:rsid w:val="004178B4"/>
    <w:rsid w:val="0041790A"/>
    <w:rsid w:val="00417971"/>
    <w:rsid w:val="0041799E"/>
    <w:rsid w:val="00417A2A"/>
    <w:rsid w:val="00417A67"/>
    <w:rsid w:val="00417A73"/>
    <w:rsid w:val="00417A8F"/>
    <w:rsid w:val="00417B75"/>
    <w:rsid w:val="00417B84"/>
    <w:rsid w:val="00417BAB"/>
    <w:rsid w:val="00417C32"/>
    <w:rsid w:val="00417CC0"/>
    <w:rsid w:val="00417CD4"/>
    <w:rsid w:val="00417DA6"/>
    <w:rsid w:val="00417EE7"/>
    <w:rsid w:val="00417F02"/>
    <w:rsid w:val="00417F51"/>
    <w:rsid w:val="00420021"/>
    <w:rsid w:val="00420038"/>
    <w:rsid w:val="00420043"/>
    <w:rsid w:val="00420097"/>
    <w:rsid w:val="004202C0"/>
    <w:rsid w:val="0042067E"/>
    <w:rsid w:val="00420686"/>
    <w:rsid w:val="004206F9"/>
    <w:rsid w:val="004207BF"/>
    <w:rsid w:val="004208C4"/>
    <w:rsid w:val="004208F3"/>
    <w:rsid w:val="00420900"/>
    <w:rsid w:val="00420B02"/>
    <w:rsid w:val="00420B22"/>
    <w:rsid w:val="00420B5B"/>
    <w:rsid w:val="00420C0F"/>
    <w:rsid w:val="00420C34"/>
    <w:rsid w:val="00420CD8"/>
    <w:rsid w:val="00420D52"/>
    <w:rsid w:val="00420D59"/>
    <w:rsid w:val="00420D7A"/>
    <w:rsid w:val="00420DDF"/>
    <w:rsid w:val="00420EC7"/>
    <w:rsid w:val="00420F0E"/>
    <w:rsid w:val="00420FD6"/>
    <w:rsid w:val="00421009"/>
    <w:rsid w:val="0042112A"/>
    <w:rsid w:val="0042123D"/>
    <w:rsid w:val="004212CC"/>
    <w:rsid w:val="00421327"/>
    <w:rsid w:val="004213BD"/>
    <w:rsid w:val="00421449"/>
    <w:rsid w:val="00421457"/>
    <w:rsid w:val="0042147D"/>
    <w:rsid w:val="0042152E"/>
    <w:rsid w:val="004215D2"/>
    <w:rsid w:val="00421962"/>
    <w:rsid w:val="004219A3"/>
    <w:rsid w:val="00421A20"/>
    <w:rsid w:val="00421A85"/>
    <w:rsid w:val="00421B0B"/>
    <w:rsid w:val="00421B24"/>
    <w:rsid w:val="00421BC3"/>
    <w:rsid w:val="00421C18"/>
    <w:rsid w:val="00421C3D"/>
    <w:rsid w:val="00421D17"/>
    <w:rsid w:val="00421D86"/>
    <w:rsid w:val="00421E06"/>
    <w:rsid w:val="00421F44"/>
    <w:rsid w:val="00421FFB"/>
    <w:rsid w:val="004220B2"/>
    <w:rsid w:val="00422197"/>
    <w:rsid w:val="004221A7"/>
    <w:rsid w:val="004221F8"/>
    <w:rsid w:val="00422305"/>
    <w:rsid w:val="00422335"/>
    <w:rsid w:val="0042242A"/>
    <w:rsid w:val="00422468"/>
    <w:rsid w:val="004224DC"/>
    <w:rsid w:val="00422644"/>
    <w:rsid w:val="00422681"/>
    <w:rsid w:val="004226BF"/>
    <w:rsid w:val="004226F4"/>
    <w:rsid w:val="0042283E"/>
    <w:rsid w:val="00422966"/>
    <w:rsid w:val="004229C3"/>
    <w:rsid w:val="004229D0"/>
    <w:rsid w:val="00422A4E"/>
    <w:rsid w:val="00422B08"/>
    <w:rsid w:val="00422B9B"/>
    <w:rsid w:val="00422BB7"/>
    <w:rsid w:val="00422BDB"/>
    <w:rsid w:val="00422CC4"/>
    <w:rsid w:val="00422D20"/>
    <w:rsid w:val="00422D3B"/>
    <w:rsid w:val="00422D49"/>
    <w:rsid w:val="00422DA5"/>
    <w:rsid w:val="00422E04"/>
    <w:rsid w:val="00422F60"/>
    <w:rsid w:val="00422F8E"/>
    <w:rsid w:val="00422FDE"/>
    <w:rsid w:val="00423131"/>
    <w:rsid w:val="0042319D"/>
    <w:rsid w:val="004231F6"/>
    <w:rsid w:val="0042325E"/>
    <w:rsid w:val="004232FA"/>
    <w:rsid w:val="0042330A"/>
    <w:rsid w:val="00423366"/>
    <w:rsid w:val="00423378"/>
    <w:rsid w:val="0042339A"/>
    <w:rsid w:val="0042340F"/>
    <w:rsid w:val="00423432"/>
    <w:rsid w:val="0042365D"/>
    <w:rsid w:val="004236B8"/>
    <w:rsid w:val="004236C9"/>
    <w:rsid w:val="00423808"/>
    <w:rsid w:val="004238C1"/>
    <w:rsid w:val="004238D4"/>
    <w:rsid w:val="00423A93"/>
    <w:rsid w:val="00423ABD"/>
    <w:rsid w:val="00423B15"/>
    <w:rsid w:val="00423B79"/>
    <w:rsid w:val="00423BB1"/>
    <w:rsid w:val="00423C18"/>
    <w:rsid w:val="00423D04"/>
    <w:rsid w:val="00423D65"/>
    <w:rsid w:val="00423D7D"/>
    <w:rsid w:val="00423D9B"/>
    <w:rsid w:val="00423E8E"/>
    <w:rsid w:val="00423F14"/>
    <w:rsid w:val="00423FCB"/>
    <w:rsid w:val="00423FFD"/>
    <w:rsid w:val="0042408F"/>
    <w:rsid w:val="00424149"/>
    <w:rsid w:val="0042417E"/>
    <w:rsid w:val="004241B5"/>
    <w:rsid w:val="004242A4"/>
    <w:rsid w:val="004242BC"/>
    <w:rsid w:val="004242DB"/>
    <w:rsid w:val="00424450"/>
    <w:rsid w:val="00424636"/>
    <w:rsid w:val="00424947"/>
    <w:rsid w:val="0042498B"/>
    <w:rsid w:val="0042498D"/>
    <w:rsid w:val="00424A35"/>
    <w:rsid w:val="00424A41"/>
    <w:rsid w:val="00424AF6"/>
    <w:rsid w:val="00424B4B"/>
    <w:rsid w:val="00424B4C"/>
    <w:rsid w:val="00424BD3"/>
    <w:rsid w:val="00424BE6"/>
    <w:rsid w:val="00424C20"/>
    <w:rsid w:val="00424CB8"/>
    <w:rsid w:val="00424DC8"/>
    <w:rsid w:val="00424E6D"/>
    <w:rsid w:val="00424F0E"/>
    <w:rsid w:val="00424F23"/>
    <w:rsid w:val="00424F2E"/>
    <w:rsid w:val="00424F53"/>
    <w:rsid w:val="00424FBA"/>
    <w:rsid w:val="0042506A"/>
    <w:rsid w:val="0042508F"/>
    <w:rsid w:val="004250E1"/>
    <w:rsid w:val="004250E4"/>
    <w:rsid w:val="004250EF"/>
    <w:rsid w:val="004250F6"/>
    <w:rsid w:val="00425209"/>
    <w:rsid w:val="004252E3"/>
    <w:rsid w:val="004252EB"/>
    <w:rsid w:val="00425319"/>
    <w:rsid w:val="00425330"/>
    <w:rsid w:val="004254E4"/>
    <w:rsid w:val="0042550B"/>
    <w:rsid w:val="00425549"/>
    <w:rsid w:val="004255EB"/>
    <w:rsid w:val="004255F6"/>
    <w:rsid w:val="00425676"/>
    <w:rsid w:val="004256A0"/>
    <w:rsid w:val="004256C3"/>
    <w:rsid w:val="004257D2"/>
    <w:rsid w:val="0042585F"/>
    <w:rsid w:val="0042586A"/>
    <w:rsid w:val="004259C9"/>
    <w:rsid w:val="004259DF"/>
    <w:rsid w:val="004259E7"/>
    <w:rsid w:val="00425A29"/>
    <w:rsid w:val="00425A90"/>
    <w:rsid w:val="00425A9B"/>
    <w:rsid w:val="00425AB5"/>
    <w:rsid w:val="00425ACE"/>
    <w:rsid w:val="00425B0B"/>
    <w:rsid w:val="00425B7D"/>
    <w:rsid w:val="00425BA4"/>
    <w:rsid w:val="00425C47"/>
    <w:rsid w:val="00425CA0"/>
    <w:rsid w:val="00425D5E"/>
    <w:rsid w:val="00425E21"/>
    <w:rsid w:val="00425EC9"/>
    <w:rsid w:val="00425EF4"/>
    <w:rsid w:val="00425F07"/>
    <w:rsid w:val="00425F3A"/>
    <w:rsid w:val="00425FC9"/>
    <w:rsid w:val="00425FE3"/>
    <w:rsid w:val="0042613F"/>
    <w:rsid w:val="00426211"/>
    <w:rsid w:val="00426259"/>
    <w:rsid w:val="004262ED"/>
    <w:rsid w:val="00426305"/>
    <w:rsid w:val="004263BD"/>
    <w:rsid w:val="004264C7"/>
    <w:rsid w:val="004264EE"/>
    <w:rsid w:val="00426500"/>
    <w:rsid w:val="004265DD"/>
    <w:rsid w:val="00426668"/>
    <w:rsid w:val="0042669A"/>
    <w:rsid w:val="004267C5"/>
    <w:rsid w:val="004267CE"/>
    <w:rsid w:val="00426856"/>
    <w:rsid w:val="004268A1"/>
    <w:rsid w:val="004268E9"/>
    <w:rsid w:val="0042694B"/>
    <w:rsid w:val="004269F6"/>
    <w:rsid w:val="00426A9C"/>
    <w:rsid w:val="00426AE3"/>
    <w:rsid w:val="00426AE7"/>
    <w:rsid w:val="00426BDC"/>
    <w:rsid w:val="00426BE0"/>
    <w:rsid w:val="00426BE3"/>
    <w:rsid w:val="00426BF5"/>
    <w:rsid w:val="00426C28"/>
    <w:rsid w:val="00426C7A"/>
    <w:rsid w:val="00426C91"/>
    <w:rsid w:val="00426D94"/>
    <w:rsid w:val="00426F09"/>
    <w:rsid w:val="00427090"/>
    <w:rsid w:val="00427130"/>
    <w:rsid w:val="00427209"/>
    <w:rsid w:val="00427215"/>
    <w:rsid w:val="00427316"/>
    <w:rsid w:val="00427328"/>
    <w:rsid w:val="0042734D"/>
    <w:rsid w:val="004273E7"/>
    <w:rsid w:val="00427471"/>
    <w:rsid w:val="00427476"/>
    <w:rsid w:val="0042753C"/>
    <w:rsid w:val="0042755E"/>
    <w:rsid w:val="00427620"/>
    <w:rsid w:val="0042767D"/>
    <w:rsid w:val="0042767F"/>
    <w:rsid w:val="0042777D"/>
    <w:rsid w:val="004277E6"/>
    <w:rsid w:val="004277ED"/>
    <w:rsid w:val="00427886"/>
    <w:rsid w:val="004278F4"/>
    <w:rsid w:val="00427A28"/>
    <w:rsid w:val="00427AB0"/>
    <w:rsid w:val="00427AE4"/>
    <w:rsid w:val="00427CCC"/>
    <w:rsid w:val="00427D7D"/>
    <w:rsid w:val="00427ED7"/>
    <w:rsid w:val="00427F0E"/>
    <w:rsid w:val="00427FA5"/>
    <w:rsid w:val="00430048"/>
    <w:rsid w:val="0043007A"/>
    <w:rsid w:val="004300B3"/>
    <w:rsid w:val="00430190"/>
    <w:rsid w:val="00430242"/>
    <w:rsid w:val="00430294"/>
    <w:rsid w:val="00430483"/>
    <w:rsid w:val="00430511"/>
    <w:rsid w:val="004305E5"/>
    <w:rsid w:val="00430667"/>
    <w:rsid w:val="00430684"/>
    <w:rsid w:val="00430686"/>
    <w:rsid w:val="0043074F"/>
    <w:rsid w:val="004307C3"/>
    <w:rsid w:val="004308E7"/>
    <w:rsid w:val="004309B7"/>
    <w:rsid w:val="00430A86"/>
    <w:rsid w:val="00430BAC"/>
    <w:rsid w:val="00430D2F"/>
    <w:rsid w:val="00430DBD"/>
    <w:rsid w:val="00430DE5"/>
    <w:rsid w:val="00430E02"/>
    <w:rsid w:val="00430E8D"/>
    <w:rsid w:val="004310F2"/>
    <w:rsid w:val="00431185"/>
    <w:rsid w:val="004311E6"/>
    <w:rsid w:val="00431219"/>
    <w:rsid w:val="0043128C"/>
    <w:rsid w:val="00431372"/>
    <w:rsid w:val="004313FE"/>
    <w:rsid w:val="00431488"/>
    <w:rsid w:val="0043148E"/>
    <w:rsid w:val="00431494"/>
    <w:rsid w:val="004314B5"/>
    <w:rsid w:val="004317D3"/>
    <w:rsid w:val="0043184E"/>
    <w:rsid w:val="0043185D"/>
    <w:rsid w:val="0043189D"/>
    <w:rsid w:val="004318C0"/>
    <w:rsid w:val="004318DB"/>
    <w:rsid w:val="004319D8"/>
    <w:rsid w:val="00431A21"/>
    <w:rsid w:val="00431AAC"/>
    <w:rsid w:val="00431AC1"/>
    <w:rsid w:val="00431AC3"/>
    <w:rsid w:val="00431AC4"/>
    <w:rsid w:val="00431AD9"/>
    <w:rsid w:val="00431B25"/>
    <w:rsid w:val="00431F3E"/>
    <w:rsid w:val="00431F6D"/>
    <w:rsid w:val="00431F70"/>
    <w:rsid w:val="00431FC7"/>
    <w:rsid w:val="004320F3"/>
    <w:rsid w:val="00432287"/>
    <w:rsid w:val="00432319"/>
    <w:rsid w:val="0043233A"/>
    <w:rsid w:val="004323EC"/>
    <w:rsid w:val="00432419"/>
    <w:rsid w:val="00432474"/>
    <w:rsid w:val="00432479"/>
    <w:rsid w:val="004324F3"/>
    <w:rsid w:val="00432558"/>
    <w:rsid w:val="00432591"/>
    <w:rsid w:val="004325C7"/>
    <w:rsid w:val="00432719"/>
    <w:rsid w:val="00432747"/>
    <w:rsid w:val="0043279E"/>
    <w:rsid w:val="00432984"/>
    <w:rsid w:val="004329C5"/>
    <w:rsid w:val="004329F9"/>
    <w:rsid w:val="00432A02"/>
    <w:rsid w:val="00432AC7"/>
    <w:rsid w:val="00432CB9"/>
    <w:rsid w:val="00432E28"/>
    <w:rsid w:val="00432E83"/>
    <w:rsid w:val="00432FB4"/>
    <w:rsid w:val="004330A8"/>
    <w:rsid w:val="0043326D"/>
    <w:rsid w:val="004332C0"/>
    <w:rsid w:val="004332C5"/>
    <w:rsid w:val="0043330D"/>
    <w:rsid w:val="004333AC"/>
    <w:rsid w:val="00433453"/>
    <w:rsid w:val="0043346F"/>
    <w:rsid w:val="004334CC"/>
    <w:rsid w:val="00433545"/>
    <w:rsid w:val="004335A3"/>
    <w:rsid w:val="004336F9"/>
    <w:rsid w:val="00433739"/>
    <w:rsid w:val="00433764"/>
    <w:rsid w:val="00433851"/>
    <w:rsid w:val="0043387E"/>
    <w:rsid w:val="0043392A"/>
    <w:rsid w:val="00433959"/>
    <w:rsid w:val="0043395C"/>
    <w:rsid w:val="004339BF"/>
    <w:rsid w:val="00433A34"/>
    <w:rsid w:val="00433A60"/>
    <w:rsid w:val="00433AC2"/>
    <w:rsid w:val="00433B0D"/>
    <w:rsid w:val="00433B5D"/>
    <w:rsid w:val="00433B6C"/>
    <w:rsid w:val="00433B6E"/>
    <w:rsid w:val="00433BA8"/>
    <w:rsid w:val="00433BB2"/>
    <w:rsid w:val="00433C04"/>
    <w:rsid w:val="00433C0E"/>
    <w:rsid w:val="00433C6F"/>
    <w:rsid w:val="00433D01"/>
    <w:rsid w:val="00433D8B"/>
    <w:rsid w:val="00433F29"/>
    <w:rsid w:val="00433F74"/>
    <w:rsid w:val="00434030"/>
    <w:rsid w:val="004340C8"/>
    <w:rsid w:val="0043412F"/>
    <w:rsid w:val="00434186"/>
    <w:rsid w:val="004341DC"/>
    <w:rsid w:val="00434248"/>
    <w:rsid w:val="00434273"/>
    <w:rsid w:val="004343AE"/>
    <w:rsid w:val="004345C7"/>
    <w:rsid w:val="00434617"/>
    <w:rsid w:val="004346C1"/>
    <w:rsid w:val="004346D4"/>
    <w:rsid w:val="0043475D"/>
    <w:rsid w:val="00434786"/>
    <w:rsid w:val="004347C7"/>
    <w:rsid w:val="004347CE"/>
    <w:rsid w:val="0043480F"/>
    <w:rsid w:val="004348AE"/>
    <w:rsid w:val="004348DE"/>
    <w:rsid w:val="00434932"/>
    <w:rsid w:val="004349C6"/>
    <w:rsid w:val="004349C9"/>
    <w:rsid w:val="004349E0"/>
    <w:rsid w:val="00434A30"/>
    <w:rsid w:val="00434B28"/>
    <w:rsid w:val="00434BBD"/>
    <w:rsid w:val="00434C09"/>
    <w:rsid w:val="00434D22"/>
    <w:rsid w:val="00434EBB"/>
    <w:rsid w:val="00434F4B"/>
    <w:rsid w:val="00434F7A"/>
    <w:rsid w:val="00434FEC"/>
    <w:rsid w:val="0043511B"/>
    <w:rsid w:val="00435122"/>
    <w:rsid w:val="0043515D"/>
    <w:rsid w:val="004352FA"/>
    <w:rsid w:val="00435361"/>
    <w:rsid w:val="00435398"/>
    <w:rsid w:val="00435447"/>
    <w:rsid w:val="004355D7"/>
    <w:rsid w:val="0043561F"/>
    <w:rsid w:val="00435631"/>
    <w:rsid w:val="00435643"/>
    <w:rsid w:val="00435695"/>
    <w:rsid w:val="0043569F"/>
    <w:rsid w:val="004356B9"/>
    <w:rsid w:val="0043577F"/>
    <w:rsid w:val="0043587D"/>
    <w:rsid w:val="0043591B"/>
    <w:rsid w:val="00435AD5"/>
    <w:rsid w:val="00435AE4"/>
    <w:rsid w:val="00435B57"/>
    <w:rsid w:val="00435CA9"/>
    <w:rsid w:val="00435DD8"/>
    <w:rsid w:val="00435EBC"/>
    <w:rsid w:val="00435F4B"/>
    <w:rsid w:val="00435F8F"/>
    <w:rsid w:val="0043604B"/>
    <w:rsid w:val="00436122"/>
    <w:rsid w:val="004361E3"/>
    <w:rsid w:val="00436203"/>
    <w:rsid w:val="00436247"/>
    <w:rsid w:val="00436315"/>
    <w:rsid w:val="004364DE"/>
    <w:rsid w:val="00436512"/>
    <w:rsid w:val="00436531"/>
    <w:rsid w:val="004365DB"/>
    <w:rsid w:val="004365E1"/>
    <w:rsid w:val="0043661B"/>
    <w:rsid w:val="0043663A"/>
    <w:rsid w:val="0043663C"/>
    <w:rsid w:val="004366CF"/>
    <w:rsid w:val="004366E0"/>
    <w:rsid w:val="00436716"/>
    <w:rsid w:val="0043694E"/>
    <w:rsid w:val="0043697E"/>
    <w:rsid w:val="00436AD3"/>
    <w:rsid w:val="00436AE5"/>
    <w:rsid w:val="00436BCF"/>
    <w:rsid w:val="00436C27"/>
    <w:rsid w:val="00436CFE"/>
    <w:rsid w:val="00436D0E"/>
    <w:rsid w:val="00436D4B"/>
    <w:rsid w:val="00436D52"/>
    <w:rsid w:val="00436D79"/>
    <w:rsid w:val="00436E7E"/>
    <w:rsid w:val="00436EA7"/>
    <w:rsid w:val="00436F4E"/>
    <w:rsid w:val="004372ED"/>
    <w:rsid w:val="004373DC"/>
    <w:rsid w:val="004373FE"/>
    <w:rsid w:val="0043743B"/>
    <w:rsid w:val="0043748A"/>
    <w:rsid w:val="004374CC"/>
    <w:rsid w:val="00437632"/>
    <w:rsid w:val="004376E1"/>
    <w:rsid w:val="004378AF"/>
    <w:rsid w:val="004378F5"/>
    <w:rsid w:val="004379C2"/>
    <w:rsid w:val="00437A38"/>
    <w:rsid w:val="00437B8D"/>
    <w:rsid w:val="00437BF6"/>
    <w:rsid w:val="00437C10"/>
    <w:rsid w:val="00437C28"/>
    <w:rsid w:val="00437C92"/>
    <w:rsid w:val="00437D07"/>
    <w:rsid w:val="00437D0F"/>
    <w:rsid w:val="00437D60"/>
    <w:rsid w:val="00437E2C"/>
    <w:rsid w:val="00437EC5"/>
    <w:rsid w:val="004400E8"/>
    <w:rsid w:val="004400E9"/>
    <w:rsid w:val="0044012E"/>
    <w:rsid w:val="0044016E"/>
    <w:rsid w:val="004401A6"/>
    <w:rsid w:val="00440203"/>
    <w:rsid w:val="0044027C"/>
    <w:rsid w:val="004402A8"/>
    <w:rsid w:val="00440389"/>
    <w:rsid w:val="00440441"/>
    <w:rsid w:val="0044051B"/>
    <w:rsid w:val="00440656"/>
    <w:rsid w:val="0044069A"/>
    <w:rsid w:val="004406E6"/>
    <w:rsid w:val="0044071A"/>
    <w:rsid w:val="00440733"/>
    <w:rsid w:val="00440774"/>
    <w:rsid w:val="004407A9"/>
    <w:rsid w:val="004407FC"/>
    <w:rsid w:val="004408E3"/>
    <w:rsid w:val="0044094A"/>
    <w:rsid w:val="00440AB6"/>
    <w:rsid w:val="00440AC0"/>
    <w:rsid w:val="00440BA9"/>
    <w:rsid w:val="00440BEC"/>
    <w:rsid w:val="00440C20"/>
    <w:rsid w:val="00440D73"/>
    <w:rsid w:val="00440E6F"/>
    <w:rsid w:val="00440EC6"/>
    <w:rsid w:val="00440FB4"/>
    <w:rsid w:val="004410B4"/>
    <w:rsid w:val="004410E5"/>
    <w:rsid w:val="00441209"/>
    <w:rsid w:val="004412E4"/>
    <w:rsid w:val="00441308"/>
    <w:rsid w:val="004414CD"/>
    <w:rsid w:val="00441522"/>
    <w:rsid w:val="00441526"/>
    <w:rsid w:val="0044158E"/>
    <w:rsid w:val="00441592"/>
    <w:rsid w:val="00441721"/>
    <w:rsid w:val="00441744"/>
    <w:rsid w:val="00441799"/>
    <w:rsid w:val="0044183F"/>
    <w:rsid w:val="0044192A"/>
    <w:rsid w:val="0044194E"/>
    <w:rsid w:val="00441960"/>
    <w:rsid w:val="0044198F"/>
    <w:rsid w:val="004419F8"/>
    <w:rsid w:val="00441AF4"/>
    <w:rsid w:val="00441B22"/>
    <w:rsid w:val="00441B4C"/>
    <w:rsid w:val="00441B9D"/>
    <w:rsid w:val="00441CB3"/>
    <w:rsid w:val="00441D9D"/>
    <w:rsid w:val="00441E8C"/>
    <w:rsid w:val="00441EA6"/>
    <w:rsid w:val="00441F42"/>
    <w:rsid w:val="0044207C"/>
    <w:rsid w:val="0044208B"/>
    <w:rsid w:val="004420D6"/>
    <w:rsid w:val="004420E9"/>
    <w:rsid w:val="00442159"/>
    <w:rsid w:val="0044219E"/>
    <w:rsid w:val="00442268"/>
    <w:rsid w:val="0044237D"/>
    <w:rsid w:val="004423A3"/>
    <w:rsid w:val="004423B0"/>
    <w:rsid w:val="004424CA"/>
    <w:rsid w:val="00442527"/>
    <w:rsid w:val="0044253A"/>
    <w:rsid w:val="00442569"/>
    <w:rsid w:val="00442572"/>
    <w:rsid w:val="004425E7"/>
    <w:rsid w:val="00442865"/>
    <w:rsid w:val="00442880"/>
    <w:rsid w:val="004428DE"/>
    <w:rsid w:val="00442978"/>
    <w:rsid w:val="00442995"/>
    <w:rsid w:val="004429A2"/>
    <w:rsid w:val="00442A07"/>
    <w:rsid w:val="00442B1E"/>
    <w:rsid w:val="00442BCA"/>
    <w:rsid w:val="00442BE1"/>
    <w:rsid w:val="00442C7E"/>
    <w:rsid w:val="00442C8E"/>
    <w:rsid w:val="00442C95"/>
    <w:rsid w:val="00442CA8"/>
    <w:rsid w:val="00442D29"/>
    <w:rsid w:val="00442D3E"/>
    <w:rsid w:val="00442D7F"/>
    <w:rsid w:val="00442DD4"/>
    <w:rsid w:val="00442E5E"/>
    <w:rsid w:val="00442F2E"/>
    <w:rsid w:val="00442FBF"/>
    <w:rsid w:val="0044303D"/>
    <w:rsid w:val="00443072"/>
    <w:rsid w:val="004430D5"/>
    <w:rsid w:val="0044310F"/>
    <w:rsid w:val="0044312F"/>
    <w:rsid w:val="00443137"/>
    <w:rsid w:val="0044314A"/>
    <w:rsid w:val="004431B6"/>
    <w:rsid w:val="004431D0"/>
    <w:rsid w:val="0044336A"/>
    <w:rsid w:val="00443474"/>
    <w:rsid w:val="004434F7"/>
    <w:rsid w:val="00443635"/>
    <w:rsid w:val="0044369B"/>
    <w:rsid w:val="00443703"/>
    <w:rsid w:val="0044372A"/>
    <w:rsid w:val="00443731"/>
    <w:rsid w:val="004437AB"/>
    <w:rsid w:val="004437E8"/>
    <w:rsid w:val="00443813"/>
    <w:rsid w:val="0044384B"/>
    <w:rsid w:val="00443858"/>
    <w:rsid w:val="004438F8"/>
    <w:rsid w:val="004439FF"/>
    <w:rsid w:val="00443A52"/>
    <w:rsid w:val="00443A95"/>
    <w:rsid w:val="00443AC7"/>
    <w:rsid w:val="00443AFD"/>
    <w:rsid w:val="00443B3F"/>
    <w:rsid w:val="00443B7C"/>
    <w:rsid w:val="00443C3E"/>
    <w:rsid w:val="00443CCC"/>
    <w:rsid w:val="00443D49"/>
    <w:rsid w:val="00443D8E"/>
    <w:rsid w:val="00443EDE"/>
    <w:rsid w:val="00443F34"/>
    <w:rsid w:val="00443F6F"/>
    <w:rsid w:val="00444089"/>
    <w:rsid w:val="00444107"/>
    <w:rsid w:val="00444120"/>
    <w:rsid w:val="0044412B"/>
    <w:rsid w:val="00444162"/>
    <w:rsid w:val="00444201"/>
    <w:rsid w:val="00444287"/>
    <w:rsid w:val="00444292"/>
    <w:rsid w:val="004442EB"/>
    <w:rsid w:val="00444396"/>
    <w:rsid w:val="00444412"/>
    <w:rsid w:val="004444F8"/>
    <w:rsid w:val="0044450A"/>
    <w:rsid w:val="0044450C"/>
    <w:rsid w:val="00444568"/>
    <w:rsid w:val="004445A4"/>
    <w:rsid w:val="00444614"/>
    <w:rsid w:val="00444648"/>
    <w:rsid w:val="00444728"/>
    <w:rsid w:val="00444739"/>
    <w:rsid w:val="0044475D"/>
    <w:rsid w:val="004448D4"/>
    <w:rsid w:val="00444A9D"/>
    <w:rsid w:val="00444AB6"/>
    <w:rsid w:val="00444BE9"/>
    <w:rsid w:val="00444C26"/>
    <w:rsid w:val="00444DBD"/>
    <w:rsid w:val="00444E0D"/>
    <w:rsid w:val="00444EC7"/>
    <w:rsid w:val="00444EFB"/>
    <w:rsid w:val="00444F37"/>
    <w:rsid w:val="00444F6C"/>
    <w:rsid w:val="00444FA4"/>
    <w:rsid w:val="00444FF0"/>
    <w:rsid w:val="00445201"/>
    <w:rsid w:val="00445245"/>
    <w:rsid w:val="00445277"/>
    <w:rsid w:val="004452B7"/>
    <w:rsid w:val="004452D9"/>
    <w:rsid w:val="0044535A"/>
    <w:rsid w:val="0044542B"/>
    <w:rsid w:val="00445470"/>
    <w:rsid w:val="004454F4"/>
    <w:rsid w:val="004454F8"/>
    <w:rsid w:val="00445651"/>
    <w:rsid w:val="004456F6"/>
    <w:rsid w:val="00445802"/>
    <w:rsid w:val="0044582C"/>
    <w:rsid w:val="0044584B"/>
    <w:rsid w:val="004458A0"/>
    <w:rsid w:val="0044592B"/>
    <w:rsid w:val="00445963"/>
    <w:rsid w:val="00445B63"/>
    <w:rsid w:val="00445BC8"/>
    <w:rsid w:val="00445C92"/>
    <w:rsid w:val="00445CAD"/>
    <w:rsid w:val="00445D33"/>
    <w:rsid w:val="00445D61"/>
    <w:rsid w:val="00445D96"/>
    <w:rsid w:val="00445E9C"/>
    <w:rsid w:val="00445F76"/>
    <w:rsid w:val="00446088"/>
    <w:rsid w:val="00446241"/>
    <w:rsid w:val="004462DE"/>
    <w:rsid w:val="0044631C"/>
    <w:rsid w:val="00446337"/>
    <w:rsid w:val="00446342"/>
    <w:rsid w:val="004463CF"/>
    <w:rsid w:val="0044651E"/>
    <w:rsid w:val="00446535"/>
    <w:rsid w:val="004465BE"/>
    <w:rsid w:val="00446677"/>
    <w:rsid w:val="00446698"/>
    <w:rsid w:val="004466A9"/>
    <w:rsid w:val="004466DD"/>
    <w:rsid w:val="004466E5"/>
    <w:rsid w:val="00446911"/>
    <w:rsid w:val="0044695E"/>
    <w:rsid w:val="00446962"/>
    <w:rsid w:val="00446A0C"/>
    <w:rsid w:val="00446B33"/>
    <w:rsid w:val="00446B90"/>
    <w:rsid w:val="00446BB4"/>
    <w:rsid w:val="00446BC1"/>
    <w:rsid w:val="00446EEC"/>
    <w:rsid w:val="00446F39"/>
    <w:rsid w:val="0044701E"/>
    <w:rsid w:val="0044708C"/>
    <w:rsid w:val="0044709D"/>
    <w:rsid w:val="00447159"/>
    <w:rsid w:val="004471C9"/>
    <w:rsid w:val="00447416"/>
    <w:rsid w:val="00447523"/>
    <w:rsid w:val="0044753E"/>
    <w:rsid w:val="00447594"/>
    <w:rsid w:val="004476AC"/>
    <w:rsid w:val="00447771"/>
    <w:rsid w:val="0044777D"/>
    <w:rsid w:val="00447786"/>
    <w:rsid w:val="00447852"/>
    <w:rsid w:val="00447896"/>
    <w:rsid w:val="004478E5"/>
    <w:rsid w:val="004478F6"/>
    <w:rsid w:val="00447A26"/>
    <w:rsid w:val="00447BB1"/>
    <w:rsid w:val="00447CC9"/>
    <w:rsid w:val="00447CED"/>
    <w:rsid w:val="00447D7B"/>
    <w:rsid w:val="00447DE3"/>
    <w:rsid w:val="00447EE1"/>
    <w:rsid w:val="00447F28"/>
    <w:rsid w:val="00447FA8"/>
    <w:rsid w:val="00447FF4"/>
    <w:rsid w:val="004500B6"/>
    <w:rsid w:val="0045013E"/>
    <w:rsid w:val="0045015B"/>
    <w:rsid w:val="0045028E"/>
    <w:rsid w:val="004502E4"/>
    <w:rsid w:val="004503A8"/>
    <w:rsid w:val="00450475"/>
    <w:rsid w:val="0045055D"/>
    <w:rsid w:val="004507A3"/>
    <w:rsid w:val="004507C6"/>
    <w:rsid w:val="0045092C"/>
    <w:rsid w:val="0045095F"/>
    <w:rsid w:val="00450967"/>
    <w:rsid w:val="004509CA"/>
    <w:rsid w:val="00450A4E"/>
    <w:rsid w:val="00450A7F"/>
    <w:rsid w:val="00450A9E"/>
    <w:rsid w:val="00450B65"/>
    <w:rsid w:val="00450BDF"/>
    <w:rsid w:val="00450C77"/>
    <w:rsid w:val="00450C80"/>
    <w:rsid w:val="00450CEE"/>
    <w:rsid w:val="00450DFC"/>
    <w:rsid w:val="00450E20"/>
    <w:rsid w:val="00450E2B"/>
    <w:rsid w:val="00450E74"/>
    <w:rsid w:val="00450EBB"/>
    <w:rsid w:val="00450EBC"/>
    <w:rsid w:val="00450F16"/>
    <w:rsid w:val="00450F45"/>
    <w:rsid w:val="0045104D"/>
    <w:rsid w:val="00451102"/>
    <w:rsid w:val="00451127"/>
    <w:rsid w:val="0045119E"/>
    <w:rsid w:val="0045123C"/>
    <w:rsid w:val="004512E2"/>
    <w:rsid w:val="0045132A"/>
    <w:rsid w:val="00451361"/>
    <w:rsid w:val="00451400"/>
    <w:rsid w:val="004514CE"/>
    <w:rsid w:val="0045150B"/>
    <w:rsid w:val="00451722"/>
    <w:rsid w:val="004517DC"/>
    <w:rsid w:val="004517F9"/>
    <w:rsid w:val="0045183B"/>
    <w:rsid w:val="0045192D"/>
    <w:rsid w:val="0045196C"/>
    <w:rsid w:val="00451A06"/>
    <w:rsid w:val="00451B67"/>
    <w:rsid w:val="00451BDF"/>
    <w:rsid w:val="00451C5F"/>
    <w:rsid w:val="00451C8D"/>
    <w:rsid w:val="00451C9D"/>
    <w:rsid w:val="00451D53"/>
    <w:rsid w:val="00451D54"/>
    <w:rsid w:val="00451E86"/>
    <w:rsid w:val="00451EE6"/>
    <w:rsid w:val="00451F50"/>
    <w:rsid w:val="00451FF5"/>
    <w:rsid w:val="00452031"/>
    <w:rsid w:val="0045206C"/>
    <w:rsid w:val="004520C0"/>
    <w:rsid w:val="004520D2"/>
    <w:rsid w:val="004521EC"/>
    <w:rsid w:val="0045226B"/>
    <w:rsid w:val="004522A1"/>
    <w:rsid w:val="0045235E"/>
    <w:rsid w:val="0045238F"/>
    <w:rsid w:val="004525E5"/>
    <w:rsid w:val="0045268D"/>
    <w:rsid w:val="004526D7"/>
    <w:rsid w:val="00452751"/>
    <w:rsid w:val="00452790"/>
    <w:rsid w:val="004527D3"/>
    <w:rsid w:val="00452807"/>
    <w:rsid w:val="00452885"/>
    <w:rsid w:val="00452923"/>
    <w:rsid w:val="00452B15"/>
    <w:rsid w:val="00452C04"/>
    <w:rsid w:val="00452CA3"/>
    <w:rsid w:val="00452DA2"/>
    <w:rsid w:val="00452E08"/>
    <w:rsid w:val="00452E2A"/>
    <w:rsid w:val="00452F97"/>
    <w:rsid w:val="00452FAB"/>
    <w:rsid w:val="00452FF8"/>
    <w:rsid w:val="00453029"/>
    <w:rsid w:val="00453074"/>
    <w:rsid w:val="0045311D"/>
    <w:rsid w:val="00453231"/>
    <w:rsid w:val="004532AA"/>
    <w:rsid w:val="004532E7"/>
    <w:rsid w:val="0045331A"/>
    <w:rsid w:val="0045334D"/>
    <w:rsid w:val="0045336F"/>
    <w:rsid w:val="00453395"/>
    <w:rsid w:val="0045339F"/>
    <w:rsid w:val="004533DA"/>
    <w:rsid w:val="004534C5"/>
    <w:rsid w:val="004534CC"/>
    <w:rsid w:val="004535F6"/>
    <w:rsid w:val="00453635"/>
    <w:rsid w:val="00453649"/>
    <w:rsid w:val="004536E1"/>
    <w:rsid w:val="0045387D"/>
    <w:rsid w:val="004539DD"/>
    <w:rsid w:val="00453A19"/>
    <w:rsid w:val="00453A46"/>
    <w:rsid w:val="00453B31"/>
    <w:rsid w:val="00453B3A"/>
    <w:rsid w:val="00453B84"/>
    <w:rsid w:val="00453BA4"/>
    <w:rsid w:val="00453C14"/>
    <w:rsid w:val="00453C39"/>
    <w:rsid w:val="00453C81"/>
    <w:rsid w:val="00453D51"/>
    <w:rsid w:val="00453D6C"/>
    <w:rsid w:val="00453D92"/>
    <w:rsid w:val="00453F31"/>
    <w:rsid w:val="0045401F"/>
    <w:rsid w:val="004541C6"/>
    <w:rsid w:val="004541CB"/>
    <w:rsid w:val="0045428A"/>
    <w:rsid w:val="0045429F"/>
    <w:rsid w:val="004542AF"/>
    <w:rsid w:val="00454423"/>
    <w:rsid w:val="004544D6"/>
    <w:rsid w:val="0045456A"/>
    <w:rsid w:val="004545DB"/>
    <w:rsid w:val="004546D2"/>
    <w:rsid w:val="0045477D"/>
    <w:rsid w:val="0045481F"/>
    <w:rsid w:val="0045484C"/>
    <w:rsid w:val="00454896"/>
    <w:rsid w:val="004548F9"/>
    <w:rsid w:val="00454939"/>
    <w:rsid w:val="0045497B"/>
    <w:rsid w:val="00454983"/>
    <w:rsid w:val="00454A1B"/>
    <w:rsid w:val="00454BCF"/>
    <w:rsid w:val="00454CBE"/>
    <w:rsid w:val="00454CCA"/>
    <w:rsid w:val="00454D6C"/>
    <w:rsid w:val="00454D7C"/>
    <w:rsid w:val="00454D8B"/>
    <w:rsid w:val="00454E2E"/>
    <w:rsid w:val="00454E62"/>
    <w:rsid w:val="00454EB0"/>
    <w:rsid w:val="00454EB5"/>
    <w:rsid w:val="00454EF5"/>
    <w:rsid w:val="00454F62"/>
    <w:rsid w:val="00455027"/>
    <w:rsid w:val="004550A7"/>
    <w:rsid w:val="004550C5"/>
    <w:rsid w:val="0045513E"/>
    <w:rsid w:val="00455147"/>
    <w:rsid w:val="00455154"/>
    <w:rsid w:val="004551A1"/>
    <w:rsid w:val="004551B3"/>
    <w:rsid w:val="004551D9"/>
    <w:rsid w:val="004552DF"/>
    <w:rsid w:val="00455300"/>
    <w:rsid w:val="0045536F"/>
    <w:rsid w:val="004553A9"/>
    <w:rsid w:val="0045546E"/>
    <w:rsid w:val="004554DB"/>
    <w:rsid w:val="00455691"/>
    <w:rsid w:val="004556A9"/>
    <w:rsid w:val="004556E4"/>
    <w:rsid w:val="004557D4"/>
    <w:rsid w:val="004557D8"/>
    <w:rsid w:val="004557F3"/>
    <w:rsid w:val="004559B3"/>
    <w:rsid w:val="004559D8"/>
    <w:rsid w:val="00455ACC"/>
    <w:rsid w:val="00455BAC"/>
    <w:rsid w:val="00455C16"/>
    <w:rsid w:val="00455C39"/>
    <w:rsid w:val="00455C51"/>
    <w:rsid w:val="00455C9B"/>
    <w:rsid w:val="00455CC4"/>
    <w:rsid w:val="00455D7D"/>
    <w:rsid w:val="00455DA7"/>
    <w:rsid w:val="00455DC7"/>
    <w:rsid w:val="00455DF8"/>
    <w:rsid w:val="00455E2C"/>
    <w:rsid w:val="00455E6F"/>
    <w:rsid w:val="00455EC2"/>
    <w:rsid w:val="00455F1B"/>
    <w:rsid w:val="00455F1D"/>
    <w:rsid w:val="00455F9D"/>
    <w:rsid w:val="00456087"/>
    <w:rsid w:val="004560C4"/>
    <w:rsid w:val="00456254"/>
    <w:rsid w:val="004562DC"/>
    <w:rsid w:val="0045633A"/>
    <w:rsid w:val="004563BB"/>
    <w:rsid w:val="00456445"/>
    <w:rsid w:val="00456490"/>
    <w:rsid w:val="00456528"/>
    <w:rsid w:val="004565B0"/>
    <w:rsid w:val="004566C0"/>
    <w:rsid w:val="004568B9"/>
    <w:rsid w:val="00456943"/>
    <w:rsid w:val="00456A14"/>
    <w:rsid w:val="00456B52"/>
    <w:rsid w:val="00456BBA"/>
    <w:rsid w:val="00456CB0"/>
    <w:rsid w:val="00456CD4"/>
    <w:rsid w:val="00456CE8"/>
    <w:rsid w:val="00456D87"/>
    <w:rsid w:val="00456DAE"/>
    <w:rsid w:val="00456DBE"/>
    <w:rsid w:val="00456DC2"/>
    <w:rsid w:val="00456DFE"/>
    <w:rsid w:val="00456E1C"/>
    <w:rsid w:val="00456E3F"/>
    <w:rsid w:val="00456EF0"/>
    <w:rsid w:val="00456F12"/>
    <w:rsid w:val="00456F29"/>
    <w:rsid w:val="00456F5F"/>
    <w:rsid w:val="0045718E"/>
    <w:rsid w:val="0045722F"/>
    <w:rsid w:val="00457280"/>
    <w:rsid w:val="0045734B"/>
    <w:rsid w:val="00457385"/>
    <w:rsid w:val="00457388"/>
    <w:rsid w:val="004573AA"/>
    <w:rsid w:val="004573C7"/>
    <w:rsid w:val="004573F2"/>
    <w:rsid w:val="00457411"/>
    <w:rsid w:val="004574B9"/>
    <w:rsid w:val="004574BD"/>
    <w:rsid w:val="00457509"/>
    <w:rsid w:val="0045758D"/>
    <w:rsid w:val="00457630"/>
    <w:rsid w:val="00457662"/>
    <w:rsid w:val="004576A8"/>
    <w:rsid w:val="004576DA"/>
    <w:rsid w:val="0045770D"/>
    <w:rsid w:val="0045772D"/>
    <w:rsid w:val="00457754"/>
    <w:rsid w:val="00457877"/>
    <w:rsid w:val="00457894"/>
    <w:rsid w:val="004578A4"/>
    <w:rsid w:val="004578C8"/>
    <w:rsid w:val="004578ED"/>
    <w:rsid w:val="00457972"/>
    <w:rsid w:val="00457A1A"/>
    <w:rsid w:val="00457A2A"/>
    <w:rsid w:val="00457AA6"/>
    <w:rsid w:val="00457B26"/>
    <w:rsid w:val="00457B95"/>
    <w:rsid w:val="00457D12"/>
    <w:rsid w:val="00457E18"/>
    <w:rsid w:val="00457FA7"/>
    <w:rsid w:val="0046001E"/>
    <w:rsid w:val="004600A0"/>
    <w:rsid w:val="004600A4"/>
    <w:rsid w:val="00460103"/>
    <w:rsid w:val="0046017B"/>
    <w:rsid w:val="004601C8"/>
    <w:rsid w:val="00460212"/>
    <w:rsid w:val="0046023F"/>
    <w:rsid w:val="0046025F"/>
    <w:rsid w:val="0046028A"/>
    <w:rsid w:val="0046042E"/>
    <w:rsid w:val="00460462"/>
    <w:rsid w:val="00460503"/>
    <w:rsid w:val="00460582"/>
    <w:rsid w:val="00460594"/>
    <w:rsid w:val="004605CC"/>
    <w:rsid w:val="004605F6"/>
    <w:rsid w:val="00460696"/>
    <w:rsid w:val="004606B7"/>
    <w:rsid w:val="004606EB"/>
    <w:rsid w:val="0046082D"/>
    <w:rsid w:val="0046088E"/>
    <w:rsid w:val="004608A4"/>
    <w:rsid w:val="0046092C"/>
    <w:rsid w:val="00460967"/>
    <w:rsid w:val="00460BD9"/>
    <w:rsid w:val="00460C07"/>
    <w:rsid w:val="00460D09"/>
    <w:rsid w:val="00460FAD"/>
    <w:rsid w:val="00460FAE"/>
    <w:rsid w:val="00461132"/>
    <w:rsid w:val="0046116F"/>
    <w:rsid w:val="00461174"/>
    <w:rsid w:val="004611AD"/>
    <w:rsid w:val="004612AF"/>
    <w:rsid w:val="004612FC"/>
    <w:rsid w:val="004613AD"/>
    <w:rsid w:val="00461520"/>
    <w:rsid w:val="00461671"/>
    <w:rsid w:val="00461826"/>
    <w:rsid w:val="00461844"/>
    <w:rsid w:val="00461865"/>
    <w:rsid w:val="004618CB"/>
    <w:rsid w:val="00461915"/>
    <w:rsid w:val="00461971"/>
    <w:rsid w:val="00461AEF"/>
    <w:rsid w:val="00461B93"/>
    <w:rsid w:val="00461B9B"/>
    <w:rsid w:val="00461C34"/>
    <w:rsid w:val="00461CE9"/>
    <w:rsid w:val="00461E5A"/>
    <w:rsid w:val="00461EED"/>
    <w:rsid w:val="00461F33"/>
    <w:rsid w:val="004621ED"/>
    <w:rsid w:val="0046223F"/>
    <w:rsid w:val="004622F0"/>
    <w:rsid w:val="004623B8"/>
    <w:rsid w:val="00462407"/>
    <w:rsid w:val="00462447"/>
    <w:rsid w:val="00462458"/>
    <w:rsid w:val="00462587"/>
    <w:rsid w:val="00462638"/>
    <w:rsid w:val="0046269E"/>
    <w:rsid w:val="004626DA"/>
    <w:rsid w:val="0046270E"/>
    <w:rsid w:val="00462776"/>
    <w:rsid w:val="004627EF"/>
    <w:rsid w:val="0046286D"/>
    <w:rsid w:val="0046294A"/>
    <w:rsid w:val="00462983"/>
    <w:rsid w:val="00462AE2"/>
    <w:rsid w:val="00462B21"/>
    <w:rsid w:val="00462B4B"/>
    <w:rsid w:val="00462C50"/>
    <w:rsid w:val="00462D19"/>
    <w:rsid w:val="00462DF1"/>
    <w:rsid w:val="00462E08"/>
    <w:rsid w:val="00462FA3"/>
    <w:rsid w:val="00462FA4"/>
    <w:rsid w:val="0046310C"/>
    <w:rsid w:val="00463122"/>
    <w:rsid w:val="00463126"/>
    <w:rsid w:val="00463166"/>
    <w:rsid w:val="004631DD"/>
    <w:rsid w:val="00463250"/>
    <w:rsid w:val="00463272"/>
    <w:rsid w:val="004632AE"/>
    <w:rsid w:val="004632B0"/>
    <w:rsid w:val="00463308"/>
    <w:rsid w:val="0046338D"/>
    <w:rsid w:val="004633A1"/>
    <w:rsid w:val="004633AF"/>
    <w:rsid w:val="004633B3"/>
    <w:rsid w:val="004633F0"/>
    <w:rsid w:val="004634E1"/>
    <w:rsid w:val="0046354B"/>
    <w:rsid w:val="00463573"/>
    <w:rsid w:val="0046357A"/>
    <w:rsid w:val="004635FD"/>
    <w:rsid w:val="00463712"/>
    <w:rsid w:val="004637B9"/>
    <w:rsid w:val="004637C0"/>
    <w:rsid w:val="004638CD"/>
    <w:rsid w:val="00463A52"/>
    <w:rsid w:val="00463AEF"/>
    <w:rsid w:val="00463BD3"/>
    <w:rsid w:val="00463C4A"/>
    <w:rsid w:val="00463EEE"/>
    <w:rsid w:val="00463FC8"/>
    <w:rsid w:val="00464001"/>
    <w:rsid w:val="004640B9"/>
    <w:rsid w:val="0046419E"/>
    <w:rsid w:val="00464236"/>
    <w:rsid w:val="0046428A"/>
    <w:rsid w:val="004643AC"/>
    <w:rsid w:val="0046444A"/>
    <w:rsid w:val="00464546"/>
    <w:rsid w:val="00464589"/>
    <w:rsid w:val="004645AB"/>
    <w:rsid w:val="00464637"/>
    <w:rsid w:val="00464687"/>
    <w:rsid w:val="004646F1"/>
    <w:rsid w:val="00464707"/>
    <w:rsid w:val="00464816"/>
    <w:rsid w:val="004648A4"/>
    <w:rsid w:val="004648CF"/>
    <w:rsid w:val="004648F8"/>
    <w:rsid w:val="0046491A"/>
    <w:rsid w:val="0046494F"/>
    <w:rsid w:val="0046498D"/>
    <w:rsid w:val="004649F8"/>
    <w:rsid w:val="00464A46"/>
    <w:rsid w:val="00464B3F"/>
    <w:rsid w:val="00464BDF"/>
    <w:rsid w:val="00464C7C"/>
    <w:rsid w:val="00464CBD"/>
    <w:rsid w:val="00464D61"/>
    <w:rsid w:val="00464E25"/>
    <w:rsid w:val="00464E44"/>
    <w:rsid w:val="00464E55"/>
    <w:rsid w:val="00464EED"/>
    <w:rsid w:val="00464FBE"/>
    <w:rsid w:val="00465107"/>
    <w:rsid w:val="00465113"/>
    <w:rsid w:val="00465139"/>
    <w:rsid w:val="00465220"/>
    <w:rsid w:val="00465288"/>
    <w:rsid w:val="00465308"/>
    <w:rsid w:val="00465362"/>
    <w:rsid w:val="004654A2"/>
    <w:rsid w:val="0046551C"/>
    <w:rsid w:val="004655EF"/>
    <w:rsid w:val="0046580B"/>
    <w:rsid w:val="00465823"/>
    <w:rsid w:val="004658A2"/>
    <w:rsid w:val="004658D4"/>
    <w:rsid w:val="0046593D"/>
    <w:rsid w:val="00465966"/>
    <w:rsid w:val="00465A98"/>
    <w:rsid w:val="00465A9B"/>
    <w:rsid w:val="00465AE1"/>
    <w:rsid w:val="00465B97"/>
    <w:rsid w:val="00465D5A"/>
    <w:rsid w:val="00465D8E"/>
    <w:rsid w:val="00465DF3"/>
    <w:rsid w:val="00465EC6"/>
    <w:rsid w:val="00465EE3"/>
    <w:rsid w:val="00465F05"/>
    <w:rsid w:val="00465FCC"/>
    <w:rsid w:val="00466012"/>
    <w:rsid w:val="004660A3"/>
    <w:rsid w:val="00466263"/>
    <w:rsid w:val="0046634E"/>
    <w:rsid w:val="0046636F"/>
    <w:rsid w:val="0046656B"/>
    <w:rsid w:val="004665A6"/>
    <w:rsid w:val="004665F1"/>
    <w:rsid w:val="0046670A"/>
    <w:rsid w:val="00466715"/>
    <w:rsid w:val="00466799"/>
    <w:rsid w:val="0046680A"/>
    <w:rsid w:val="00466829"/>
    <w:rsid w:val="0046682D"/>
    <w:rsid w:val="0046683D"/>
    <w:rsid w:val="00466899"/>
    <w:rsid w:val="004668F9"/>
    <w:rsid w:val="0046690F"/>
    <w:rsid w:val="00466944"/>
    <w:rsid w:val="00466993"/>
    <w:rsid w:val="00466A1A"/>
    <w:rsid w:val="00466A1D"/>
    <w:rsid w:val="00466A77"/>
    <w:rsid w:val="00466A91"/>
    <w:rsid w:val="00466AB6"/>
    <w:rsid w:val="00466B19"/>
    <w:rsid w:val="00466B61"/>
    <w:rsid w:val="00466C34"/>
    <w:rsid w:val="00466C3D"/>
    <w:rsid w:val="00466D12"/>
    <w:rsid w:val="00466D1C"/>
    <w:rsid w:val="00466F0D"/>
    <w:rsid w:val="00466F27"/>
    <w:rsid w:val="00466FE7"/>
    <w:rsid w:val="0046708A"/>
    <w:rsid w:val="004670E8"/>
    <w:rsid w:val="00467119"/>
    <w:rsid w:val="00467163"/>
    <w:rsid w:val="004671AF"/>
    <w:rsid w:val="0046722D"/>
    <w:rsid w:val="0046723F"/>
    <w:rsid w:val="00467267"/>
    <w:rsid w:val="0046726D"/>
    <w:rsid w:val="00467342"/>
    <w:rsid w:val="004674FC"/>
    <w:rsid w:val="00467500"/>
    <w:rsid w:val="00467504"/>
    <w:rsid w:val="0046750A"/>
    <w:rsid w:val="00467524"/>
    <w:rsid w:val="004675AA"/>
    <w:rsid w:val="004675B3"/>
    <w:rsid w:val="004675BF"/>
    <w:rsid w:val="0046760A"/>
    <w:rsid w:val="00467777"/>
    <w:rsid w:val="00467794"/>
    <w:rsid w:val="004677E4"/>
    <w:rsid w:val="0046780A"/>
    <w:rsid w:val="00467855"/>
    <w:rsid w:val="004678BA"/>
    <w:rsid w:val="004679C0"/>
    <w:rsid w:val="00467A60"/>
    <w:rsid w:val="00467A9A"/>
    <w:rsid w:val="00467B0E"/>
    <w:rsid w:val="00467BDE"/>
    <w:rsid w:val="00467CD5"/>
    <w:rsid w:val="00467DE9"/>
    <w:rsid w:val="00467EFE"/>
    <w:rsid w:val="00467F7C"/>
    <w:rsid w:val="00467FBB"/>
    <w:rsid w:val="0047000B"/>
    <w:rsid w:val="00470047"/>
    <w:rsid w:val="004700A9"/>
    <w:rsid w:val="004700C6"/>
    <w:rsid w:val="00470129"/>
    <w:rsid w:val="00470208"/>
    <w:rsid w:val="004702F5"/>
    <w:rsid w:val="004704A9"/>
    <w:rsid w:val="004704F6"/>
    <w:rsid w:val="0047057F"/>
    <w:rsid w:val="00470683"/>
    <w:rsid w:val="0047076F"/>
    <w:rsid w:val="004708B9"/>
    <w:rsid w:val="004708C4"/>
    <w:rsid w:val="00470951"/>
    <w:rsid w:val="00470980"/>
    <w:rsid w:val="00470A24"/>
    <w:rsid w:val="00470A85"/>
    <w:rsid w:val="00470B2C"/>
    <w:rsid w:val="00470C5C"/>
    <w:rsid w:val="00470C7B"/>
    <w:rsid w:val="00470C98"/>
    <w:rsid w:val="00470D00"/>
    <w:rsid w:val="00470D37"/>
    <w:rsid w:val="00470D3E"/>
    <w:rsid w:val="00470D67"/>
    <w:rsid w:val="00470D9F"/>
    <w:rsid w:val="00470DC1"/>
    <w:rsid w:val="00470E2A"/>
    <w:rsid w:val="00470E82"/>
    <w:rsid w:val="00471018"/>
    <w:rsid w:val="0047105A"/>
    <w:rsid w:val="0047114F"/>
    <w:rsid w:val="00471303"/>
    <w:rsid w:val="0047135C"/>
    <w:rsid w:val="00471438"/>
    <w:rsid w:val="00471567"/>
    <w:rsid w:val="004715B3"/>
    <w:rsid w:val="004715EB"/>
    <w:rsid w:val="0047160A"/>
    <w:rsid w:val="004716D2"/>
    <w:rsid w:val="004716E0"/>
    <w:rsid w:val="00471747"/>
    <w:rsid w:val="004718C1"/>
    <w:rsid w:val="004718E5"/>
    <w:rsid w:val="00471A26"/>
    <w:rsid w:val="00471AE2"/>
    <w:rsid w:val="00471B26"/>
    <w:rsid w:val="00471B63"/>
    <w:rsid w:val="00471C90"/>
    <w:rsid w:val="00471CC1"/>
    <w:rsid w:val="00471E34"/>
    <w:rsid w:val="00471E9A"/>
    <w:rsid w:val="00471EE9"/>
    <w:rsid w:val="00472041"/>
    <w:rsid w:val="00472058"/>
    <w:rsid w:val="00472077"/>
    <w:rsid w:val="004720B6"/>
    <w:rsid w:val="00472112"/>
    <w:rsid w:val="00472153"/>
    <w:rsid w:val="004721CB"/>
    <w:rsid w:val="0047230A"/>
    <w:rsid w:val="0047244D"/>
    <w:rsid w:val="004724C9"/>
    <w:rsid w:val="004725DE"/>
    <w:rsid w:val="00472615"/>
    <w:rsid w:val="00472705"/>
    <w:rsid w:val="00472771"/>
    <w:rsid w:val="0047277E"/>
    <w:rsid w:val="00472834"/>
    <w:rsid w:val="00472860"/>
    <w:rsid w:val="00472883"/>
    <w:rsid w:val="004728A0"/>
    <w:rsid w:val="004728D2"/>
    <w:rsid w:val="004728FC"/>
    <w:rsid w:val="00472A47"/>
    <w:rsid w:val="00472B23"/>
    <w:rsid w:val="00472B4D"/>
    <w:rsid w:val="00472BE7"/>
    <w:rsid w:val="00472C9B"/>
    <w:rsid w:val="00472D44"/>
    <w:rsid w:val="00472DE8"/>
    <w:rsid w:val="00472DEA"/>
    <w:rsid w:val="00472FC5"/>
    <w:rsid w:val="00473184"/>
    <w:rsid w:val="004731EC"/>
    <w:rsid w:val="004731EF"/>
    <w:rsid w:val="004733F2"/>
    <w:rsid w:val="00473439"/>
    <w:rsid w:val="00473452"/>
    <w:rsid w:val="004735A8"/>
    <w:rsid w:val="004735DB"/>
    <w:rsid w:val="00473787"/>
    <w:rsid w:val="004737EB"/>
    <w:rsid w:val="0047389D"/>
    <w:rsid w:val="004738B0"/>
    <w:rsid w:val="00473B9F"/>
    <w:rsid w:val="00473BA6"/>
    <w:rsid w:val="00473CA4"/>
    <w:rsid w:val="00473CA8"/>
    <w:rsid w:val="00473CE9"/>
    <w:rsid w:val="00473D06"/>
    <w:rsid w:val="00473E9D"/>
    <w:rsid w:val="0047404A"/>
    <w:rsid w:val="00474161"/>
    <w:rsid w:val="00474176"/>
    <w:rsid w:val="00474218"/>
    <w:rsid w:val="0047423D"/>
    <w:rsid w:val="004742A3"/>
    <w:rsid w:val="004742D4"/>
    <w:rsid w:val="004742DD"/>
    <w:rsid w:val="0047431B"/>
    <w:rsid w:val="004745B3"/>
    <w:rsid w:val="0047461B"/>
    <w:rsid w:val="00474692"/>
    <w:rsid w:val="004748D2"/>
    <w:rsid w:val="00474911"/>
    <w:rsid w:val="0047494D"/>
    <w:rsid w:val="004749E4"/>
    <w:rsid w:val="00474A74"/>
    <w:rsid w:val="00474B37"/>
    <w:rsid w:val="00474C54"/>
    <w:rsid w:val="00474C7C"/>
    <w:rsid w:val="00474D32"/>
    <w:rsid w:val="00474DDB"/>
    <w:rsid w:val="00474E2D"/>
    <w:rsid w:val="00474E4B"/>
    <w:rsid w:val="00474ED0"/>
    <w:rsid w:val="00474ED4"/>
    <w:rsid w:val="00474F42"/>
    <w:rsid w:val="00474FC8"/>
    <w:rsid w:val="00475048"/>
    <w:rsid w:val="0047504F"/>
    <w:rsid w:val="00475081"/>
    <w:rsid w:val="004750CD"/>
    <w:rsid w:val="004750F1"/>
    <w:rsid w:val="00475123"/>
    <w:rsid w:val="00475154"/>
    <w:rsid w:val="00475165"/>
    <w:rsid w:val="0047518F"/>
    <w:rsid w:val="004751AD"/>
    <w:rsid w:val="00475231"/>
    <w:rsid w:val="00475345"/>
    <w:rsid w:val="004753E8"/>
    <w:rsid w:val="0047544B"/>
    <w:rsid w:val="004754EB"/>
    <w:rsid w:val="004755CC"/>
    <w:rsid w:val="00475654"/>
    <w:rsid w:val="00475663"/>
    <w:rsid w:val="00475681"/>
    <w:rsid w:val="00475765"/>
    <w:rsid w:val="0047579D"/>
    <w:rsid w:val="00475851"/>
    <w:rsid w:val="004758F9"/>
    <w:rsid w:val="00475983"/>
    <w:rsid w:val="004759C0"/>
    <w:rsid w:val="00475A0B"/>
    <w:rsid w:val="00475B13"/>
    <w:rsid w:val="00475B21"/>
    <w:rsid w:val="00475B49"/>
    <w:rsid w:val="00475B7E"/>
    <w:rsid w:val="00475BD5"/>
    <w:rsid w:val="00475BEA"/>
    <w:rsid w:val="00475CFB"/>
    <w:rsid w:val="00475D10"/>
    <w:rsid w:val="00475D9B"/>
    <w:rsid w:val="00475DE3"/>
    <w:rsid w:val="00475E0F"/>
    <w:rsid w:val="00475F55"/>
    <w:rsid w:val="00475F5D"/>
    <w:rsid w:val="0047610F"/>
    <w:rsid w:val="0047614B"/>
    <w:rsid w:val="00476246"/>
    <w:rsid w:val="00476298"/>
    <w:rsid w:val="004762DF"/>
    <w:rsid w:val="00476393"/>
    <w:rsid w:val="00476553"/>
    <w:rsid w:val="0047656C"/>
    <w:rsid w:val="00476744"/>
    <w:rsid w:val="00476758"/>
    <w:rsid w:val="00476767"/>
    <w:rsid w:val="0047676F"/>
    <w:rsid w:val="00476770"/>
    <w:rsid w:val="0047678D"/>
    <w:rsid w:val="004767C6"/>
    <w:rsid w:val="00476844"/>
    <w:rsid w:val="00476861"/>
    <w:rsid w:val="004768F8"/>
    <w:rsid w:val="004769DC"/>
    <w:rsid w:val="00476B50"/>
    <w:rsid w:val="00476BEA"/>
    <w:rsid w:val="00476D6B"/>
    <w:rsid w:val="00476D9B"/>
    <w:rsid w:val="00476E3F"/>
    <w:rsid w:val="00476E57"/>
    <w:rsid w:val="00476EB5"/>
    <w:rsid w:val="00476ED8"/>
    <w:rsid w:val="00476F3E"/>
    <w:rsid w:val="00476F56"/>
    <w:rsid w:val="00476F5A"/>
    <w:rsid w:val="00477021"/>
    <w:rsid w:val="0047702F"/>
    <w:rsid w:val="00477089"/>
    <w:rsid w:val="00477096"/>
    <w:rsid w:val="004770E0"/>
    <w:rsid w:val="00477160"/>
    <w:rsid w:val="0047716F"/>
    <w:rsid w:val="00477285"/>
    <w:rsid w:val="00477296"/>
    <w:rsid w:val="004772FB"/>
    <w:rsid w:val="00477312"/>
    <w:rsid w:val="00477393"/>
    <w:rsid w:val="004773B5"/>
    <w:rsid w:val="0047742B"/>
    <w:rsid w:val="0047744F"/>
    <w:rsid w:val="0047749E"/>
    <w:rsid w:val="004774A5"/>
    <w:rsid w:val="004774FF"/>
    <w:rsid w:val="0047766D"/>
    <w:rsid w:val="00477717"/>
    <w:rsid w:val="0047773A"/>
    <w:rsid w:val="004778A6"/>
    <w:rsid w:val="00477984"/>
    <w:rsid w:val="004779C4"/>
    <w:rsid w:val="00477A2C"/>
    <w:rsid w:val="00477A66"/>
    <w:rsid w:val="00477A6C"/>
    <w:rsid w:val="00477AD0"/>
    <w:rsid w:val="00477B97"/>
    <w:rsid w:val="00477C82"/>
    <w:rsid w:val="00477C8D"/>
    <w:rsid w:val="00477CB6"/>
    <w:rsid w:val="00477CFB"/>
    <w:rsid w:val="00477D3B"/>
    <w:rsid w:val="00477D95"/>
    <w:rsid w:val="00477FC4"/>
    <w:rsid w:val="00480100"/>
    <w:rsid w:val="00480103"/>
    <w:rsid w:val="0048010B"/>
    <w:rsid w:val="0048018D"/>
    <w:rsid w:val="0048022A"/>
    <w:rsid w:val="00480237"/>
    <w:rsid w:val="0048031F"/>
    <w:rsid w:val="00480375"/>
    <w:rsid w:val="00480405"/>
    <w:rsid w:val="0048044D"/>
    <w:rsid w:val="004805C3"/>
    <w:rsid w:val="004806F3"/>
    <w:rsid w:val="0048070E"/>
    <w:rsid w:val="0048079B"/>
    <w:rsid w:val="0048083D"/>
    <w:rsid w:val="00480852"/>
    <w:rsid w:val="0048091C"/>
    <w:rsid w:val="00480979"/>
    <w:rsid w:val="00480982"/>
    <w:rsid w:val="004809F3"/>
    <w:rsid w:val="00480A4B"/>
    <w:rsid w:val="00480A6D"/>
    <w:rsid w:val="00480AD0"/>
    <w:rsid w:val="00480C09"/>
    <w:rsid w:val="00480DA5"/>
    <w:rsid w:val="00480E0D"/>
    <w:rsid w:val="00480E12"/>
    <w:rsid w:val="00480EBD"/>
    <w:rsid w:val="00480EC7"/>
    <w:rsid w:val="00480EFB"/>
    <w:rsid w:val="00481051"/>
    <w:rsid w:val="00481064"/>
    <w:rsid w:val="004810C4"/>
    <w:rsid w:val="0048122C"/>
    <w:rsid w:val="00481234"/>
    <w:rsid w:val="0048129D"/>
    <w:rsid w:val="004812A2"/>
    <w:rsid w:val="004812B6"/>
    <w:rsid w:val="0048133B"/>
    <w:rsid w:val="004813A7"/>
    <w:rsid w:val="0048147D"/>
    <w:rsid w:val="004814C6"/>
    <w:rsid w:val="0048151F"/>
    <w:rsid w:val="00481536"/>
    <w:rsid w:val="00481551"/>
    <w:rsid w:val="0048158C"/>
    <w:rsid w:val="004815A8"/>
    <w:rsid w:val="004815CE"/>
    <w:rsid w:val="0048165C"/>
    <w:rsid w:val="004816D5"/>
    <w:rsid w:val="00481707"/>
    <w:rsid w:val="004817A3"/>
    <w:rsid w:val="00481972"/>
    <w:rsid w:val="00481974"/>
    <w:rsid w:val="00481A36"/>
    <w:rsid w:val="00481AFD"/>
    <w:rsid w:val="00481B0A"/>
    <w:rsid w:val="00481BB1"/>
    <w:rsid w:val="00481C46"/>
    <w:rsid w:val="00481F34"/>
    <w:rsid w:val="00481F44"/>
    <w:rsid w:val="00482007"/>
    <w:rsid w:val="00482067"/>
    <w:rsid w:val="00482125"/>
    <w:rsid w:val="0048212C"/>
    <w:rsid w:val="004821B9"/>
    <w:rsid w:val="00482211"/>
    <w:rsid w:val="0048221C"/>
    <w:rsid w:val="00482249"/>
    <w:rsid w:val="004822CD"/>
    <w:rsid w:val="00482354"/>
    <w:rsid w:val="0048241D"/>
    <w:rsid w:val="00482427"/>
    <w:rsid w:val="004824F0"/>
    <w:rsid w:val="004824F8"/>
    <w:rsid w:val="0048251E"/>
    <w:rsid w:val="00482543"/>
    <w:rsid w:val="0048257A"/>
    <w:rsid w:val="00482585"/>
    <w:rsid w:val="0048258C"/>
    <w:rsid w:val="004825E2"/>
    <w:rsid w:val="0048260F"/>
    <w:rsid w:val="00482626"/>
    <w:rsid w:val="00482635"/>
    <w:rsid w:val="004826F1"/>
    <w:rsid w:val="00482752"/>
    <w:rsid w:val="004827DC"/>
    <w:rsid w:val="0048287F"/>
    <w:rsid w:val="004829E8"/>
    <w:rsid w:val="00482A57"/>
    <w:rsid w:val="00482A6C"/>
    <w:rsid w:val="00482A83"/>
    <w:rsid w:val="00482AA5"/>
    <w:rsid w:val="00482BA9"/>
    <w:rsid w:val="00482C31"/>
    <w:rsid w:val="00482DEA"/>
    <w:rsid w:val="00482DF4"/>
    <w:rsid w:val="00482E5D"/>
    <w:rsid w:val="00482F01"/>
    <w:rsid w:val="00482FA2"/>
    <w:rsid w:val="0048316C"/>
    <w:rsid w:val="00483183"/>
    <w:rsid w:val="00483199"/>
    <w:rsid w:val="0048319A"/>
    <w:rsid w:val="004831EE"/>
    <w:rsid w:val="004831FC"/>
    <w:rsid w:val="004832EF"/>
    <w:rsid w:val="00483300"/>
    <w:rsid w:val="0048330D"/>
    <w:rsid w:val="004833C5"/>
    <w:rsid w:val="004833F3"/>
    <w:rsid w:val="00483693"/>
    <w:rsid w:val="004836BE"/>
    <w:rsid w:val="0048373A"/>
    <w:rsid w:val="004837F7"/>
    <w:rsid w:val="00483876"/>
    <w:rsid w:val="004838A7"/>
    <w:rsid w:val="00483AD8"/>
    <w:rsid w:val="00483B15"/>
    <w:rsid w:val="00483CCF"/>
    <w:rsid w:val="00483D68"/>
    <w:rsid w:val="00483D98"/>
    <w:rsid w:val="00483E63"/>
    <w:rsid w:val="00483E71"/>
    <w:rsid w:val="00483F32"/>
    <w:rsid w:val="00484052"/>
    <w:rsid w:val="00484070"/>
    <w:rsid w:val="00484275"/>
    <w:rsid w:val="004842A9"/>
    <w:rsid w:val="004842F0"/>
    <w:rsid w:val="00484369"/>
    <w:rsid w:val="004844C1"/>
    <w:rsid w:val="00484500"/>
    <w:rsid w:val="00484518"/>
    <w:rsid w:val="00484638"/>
    <w:rsid w:val="0048465A"/>
    <w:rsid w:val="0048469E"/>
    <w:rsid w:val="004846B6"/>
    <w:rsid w:val="00484785"/>
    <w:rsid w:val="00484797"/>
    <w:rsid w:val="004847F6"/>
    <w:rsid w:val="00484806"/>
    <w:rsid w:val="00484810"/>
    <w:rsid w:val="00484815"/>
    <w:rsid w:val="0048488E"/>
    <w:rsid w:val="00484904"/>
    <w:rsid w:val="00484910"/>
    <w:rsid w:val="0048497F"/>
    <w:rsid w:val="004849B0"/>
    <w:rsid w:val="00484A58"/>
    <w:rsid w:val="00484AF2"/>
    <w:rsid w:val="00484B39"/>
    <w:rsid w:val="00484B77"/>
    <w:rsid w:val="00484C81"/>
    <w:rsid w:val="00484D4A"/>
    <w:rsid w:val="00484D97"/>
    <w:rsid w:val="00484DA8"/>
    <w:rsid w:val="00484E6C"/>
    <w:rsid w:val="00484E96"/>
    <w:rsid w:val="00484EAF"/>
    <w:rsid w:val="00484EB4"/>
    <w:rsid w:val="00484EF3"/>
    <w:rsid w:val="00484F27"/>
    <w:rsid w:val="00484F35"/>
    <w:rsid w:val="00484F5E"/>
    <w:rsid w:val="00484FAE"/>
    <w:rsid w:val="0048509A"/>
    <w:rsid w:val="0048515F"/>
    <w:rsid w:val="0048518B"/>
    <w:rsid w:val="004851F8"/>
    <w:rsid w:val="0048537F"/>
    <w:rsid w:val="00485390"/>
    <w:rsid w:val="0048552F"/>
    <w:rsid w:val="004855F2"/>
    <w:rsid w:val="00485634"/>
    <w:rsid w:val="0048574D"/>
    <w:rsid w:val="004857D5"/>
    <w:rsid w:val="00485858"/>
    <w:rsid w:val="0048590C"/>
    <w:rsid w:val="00485917"/>
    <w:rsid w:val="00485934"/>
    <w:rsid w:val="00485ACB"/>
    <w:rsid w:val="00485B91"/>
    <w:rsid w:val="00485C4D"/>
    <w:rsid w:val="00485D10"/>
    <w:rsid w:val="00485D8F"/>
    <w:rsid w:val="00485DCE"/>
    <w:rsid w:val="00485E90"/>
    <w:rsid w:val="00485F10"/>
    <w:rsid w:val="00485FD4"/>
    <w:rsid w:val="0048604A"/>
    <w:rsid w:val="004860B2"/>
    <w:rsid w:val="004860BA"/>
    <w:rsid w:val="004860BB"/>
    <w:rsid w:val="004860C9"/>
    <w:rsid w:val="0048612B"/>
    <w:rsid w:val="00486166"/>
    <w:rsid w:val="004861F9"/>
    <w:rsid w:val="00486268"/>
    <w:rsid w:val="0048626C"/>
    <w:rsid w:val="0048628E"/>
    <w:rsid w:val="00486300"/>
    <w:rsid w:val="0048634D"/>
    <w:rsid w:val="004863CE"/>
    <w:rsid w:val="00486419"/>
    <w:rsid w:val="0048643B"/>
    <w:rsid w:val="0048644D"/>
    <w:rsid w:val="00486496"/>
    <w:rsid w:val="004864E4"/>
    <w:rsid w:val="00486676"/>
    <w:rsid w:val="004867B1"/>
    <w:rsid w:val="0048680B"/>
    <w:rsid w:val="004868B1"/>
    <w:rsid w:val="00486A5C"/>
    <w:rsid w:val="00486AAB"/>
    <w:rsid w:val="00486B96"/>
    <w:rsid w:val="00486D04"/>
    <w:rsid w:val="00486D0C"/>
    <w:rsid w:val="00486E0D"/>
    <w:rsid w:val="00486E9E"/>
    <w:rsid w:val="00486EDD"/>
    <w:rsid w:val="00486EE6"/>
    <w:rsid w:val="00486F4E"/>
    <w:rsid w:val="00486FF4"/>
    <w:rsid w:val="004870EF"/>
    <w:rsid w:val="004870FA"/>
    <w:rsid w:val="00487129"/>
    <w:rsid w:val="00487176"/>
    <w:rsid w:val="0048723C"/>
    <w:rsid w:val="0048727F"/>
    <w:rsid w:val="004873C3"/>
    <w:rsid w:val="004873CD"/>
    <w:rsid w:val="0048744B"/>
    <w:rsid w:val="00487461"/>
    <w:rsid w:val="00487471"/>
    <w:rsid w:val="004874CF"/>
    <w:rsid w:val="0048754B"/>
    <w:rsid w:val="00487551"/>
    <w:rsid w:val="00487634"/>
    <w:rsid w:val="0048766D"/>
    <w:rsid w:val="004876C2"/>
    <w:rsid w:val="004876CB"/>
    <w:rsid w:val="004876F7"/>
    <w:rsid w:val="0048792E"/>
    <w:rsid w:val="00487953"/>
    <w:rsid w:val="00487963"/>
    <w:rsid w:val="004879A1"/>
    <w:rsid w:val="00487A20"/>
    <w:rsid w:val="00487ADE"/>
    <w:rsid w:val="00487B97"/>
    <w:rsid w:val="00487BB9"/>
    <w:rsid w:val="00487CC7"/>
    <w:rsid w:val="00487CC9"/>
    <w:rsid w:val="00487CE6"/>
    <w:rsid w:val="00487E06"/>
    <w:rsid w:val="00487E0D"/>
    <w:rsid w:val="00487EA5"/>
    <w:rsid w:val="00487EF4"/>
    <w:rsid w:val="00487F2B"/>
    <w:rsid w:val="00487F49"/>
    <w:rsid w:val="00487F69"/>
    <w:rsid w:val="00487FBD"/>
    <w:rsid w:val="00490001"/>
    <w:rsid w:val="00490089"/>
    <w:rsid w:val="004902CA"/>
    <w:rsid w:val="00490303"/>
    <w:rsid w:val="00490331"/>
    <w:rsid w:val="004903AD"/>
    <w:rsid w:val="004903F8"/>
    <w:rsid w:val="0049041E"/>
    <w:rsid w:val="0049043F"/>
    <w:rsid w:val="0049049A"/>
    <w:rsid w:val="004904ED"/>
    <w:rsid w:val="004905BF"/>
    <w:rsid w:val="00490694"/>
    <w:rsid w:val="00490704"/>
    <w:rsid w:val="004907E2"/>
    <w:rsid w:val="004907E8"/>
    <w:rsid w:val="004908DE"/>
    <w:rsid w:val="0049090B"/>
    <w:rsid w:val="00490923"/>
    <w:rsid w:val="00490933"/>
    <w:rsid w:val="004909C8"/>
    <w:rsid w:val="00490A51"/>
    <w:rsid w:val="00490AB0"/>
    <w:rsid w:val="00490ACD"/>
    <w:rsid w:val="00490AEF"/>
    <w:rsid w:val="00490B0A"/>
    <w:rsid w:val="00490B25"/>
    <w:rsid w:val="00490B5D"/>
    <w:rsid w:val="00490B89"/>
    <w:rsid w:val="00490C31"/>
    <w:rsid w:val="00490C52"/>
    <w:rsid w:val="00490DA1"/>
    <w:rsid w:val="00490EB4"/>
    <w:rsid w:val="00490F03"/>
    <w:rsid w:val="00490F14"/>
    <w:rsid w:val="00490F49"/>
    <w:rsid w:val="00490F5D"/>
    <w:rsid w:val="00490F80"/>
    <w:rsid w:val="0049105E"/>
    <w:rsid w:val="0049105F"/>
    <w:rsid w:val="00491159"/>
    <w:rsid w:val="004911B6"/>
    <w:rsid w:val="004912D8"/>
    <w:rsid w:val="004913F8"/>
    <w:rsid w:val="00491446"/>
    <w:rsid w:val="00491480"/>
    <w:rsid w:val="004914E1"/>
    <w:rsid w:val="0049160F"/>
    <w:rsid w:val="0049161B"/>
    <w:rsid w:val="00491741"/>
    <w:rsid w:val="004917F3"/>
    <w:rsid w:val="0049184D"/>
    <w:rsid w:val="004918AC"/>
    <w:rsid w:val="00491926"/>
    <w:rsid w:val="00491A37"/>
    <w:rsid w:val="00491A65"/>
    <w:rsid w:val="00491ACD"/>
    <w:rsid w:val="00491B3E"/>
    <w:rsid w:val="00491B8B"/>
    <w:rsid w:val="00491CA2"/>
    <w:rsid w:val="00491DA3"/>
    <w:rsid w:val="00491DFC"/>
    <w:rsid w:val="00491E29"/>
    <w:rsid w:val="0049214E"/>
    <w:rsid w:val="00492176"/>
    <w:rsid w:val="004921E1"/>
    <w:rsid w:val="00492273"/>
    <w:rsid w:val="00492392"/>
    <w:rsid w:val="004923B2"/>
    <w:rsid w:val="004924AB"/>
    <w:rsid w:val="004924D1"/>
    <w:rsid w:val="00492508"/>
    <w:rsid w:val="00492710"/>
    <w:rsid w:val="0049275B"/>
    <w:rsid w:val="00492779"/>
    <w:rsid w:val="004927D2"/>
    <w:rsid w:val="0049283F"/>
    <w:rsid w:val="004929CF"/>
    <w:rsid w:val="004929E7"/>
    <w:rsid w:val="00492A07"/>
    <w:rsid w:val="00492AB9"/>
    <w:rsid w:val="00492B67"/>
    <w:rsid w:val="00492C03"/>
    <w:rsid w:val="00492C08"/>
    <w:rsid w:val="00492C4D"/>
    <w:rsid w:val="00492CA7"/>
    <w:rsid w:val="00492CCA"/>
    <w:rsid w:val="00492D6B"/>
    <w:rsid w:val="00492D77"/>
    <w:rsid w:val="00492DD3"/>
    <w:rsid w:val="00492E91"/>
    <w:rsid w:val="00492F18"/>
    <w:rsid w:val="00492F47"/>
    <w:rsid w:val="00492FF1"/>
    <w:rsid w:val="00492FFD"/>
    <w:rsid w:val="00493122"/>
    <w:rsid w:val="004931A5"/>
    <w:rsid w:val="004933A3"/>
    <w:rsid w:val="00493416"/>
    <w:rsid w:val="00493489"/>
    <w:rsid w:val="004934ED"/>
    <w:rsid w:val="0049359E"/>
    <w:rsid w:val="00493738"/>
    <w:rsid w:val="00493749"/>
    <w:rsid w:val="00493753"/>
    <w:rsid w:val="0049379E"/>
    <w:rsid w:val="00493804"/>
    <w:rsid w:val="00493866"/>
    <w:rsid w:val="004938E2"/>
    <w:rsid w:val="004938F9"/>
    <w:rsid w:val="00493967"/>
    <w:rsid w:val="00493979"/>
    <w:rsid w:val="00493997"/>
    <w:rsid w:val="00493A21"/>
    <w:rsid w:val="00493A62"/>
    <w:rsid w:val="00493B07"/>
    <w:rsid w:val="00493B5D"/>
    <w:rsid w:val="00493B7E"/>
    <w:rsid w:val="00493D88"/>
    <w:rsid w:val="00493D8F"/>
    <w:rsid w:val="00493EC5"/>
    <w:rsid w:val="00493F10"/>
    <w:rsid w:val="00493F9A"/>
    <w:rsid w:val="00493F9E"/>
    <w:rsid w:val="00493FCC"/>
    <w:rsid w:val="0049428E"/>
    <w:rsid w:val="004942AC"/>
    <w:rsid w:val="00494342"/>
    <w:rsid w:val="004944A2"/>
    <w:rsid w:val="004944DC"/>
    <w:rsid w:val="00494615"/>
    <w:rsid w:val="0049471F"/>
    <w:rsid w:val="004947BD"/>
    <w:rsid w:val="0049484A"/>
    <w:rsid w:val="004948CB"/>
    <w:rsid w:val="004948EB"/>
    <w:rsid w:val="00494909"/>
    <w:rsid w:val="0049498B"/>
    <w:rsid w:val="00494A68"/>
    <w:rsid w:val="00494B3B"/>
    <w:rsid w:val="00494C1C"/>
    <w:rsid w:val="00494C33"/>
    <w:rsid w:val="00494D26"/>
    <w:rsid w:val="00494D75"/>
    <w:rsid w:val="00494E3E"/>
    <w:rsid w:val="00494EA0"/>
    <w:rsid w:val="00494FEC"/>
    <w:rsid w:val="004951C6"/>
    <w:rsid w:val="00495399"/>
    <w:rsid w:val="00495457"/>
    <w:rsid w:val="004954D8"/>
    <w:rsid w:val="0049550E"/>
    <w:rsid w:val="0049555F"/>
    <w:rsid w:val="004955B9"/>
    <w:rsid w:val="0049560C"/>
    <w:rsid w:val="0049573A"/>
    <w:rsid w:val="004957CC"/>
    <w:rsid w:val="004958B9"/>
    <w:rsid w:val="004959F6"/>
    <w:rsid w:val="00495A5F"/>
    <w:rsid w:val="00495AF9"/>
    <w:rsid w:val="00495BA7"/>
    <w:rsid w:val="00495BEB"/>
    <w:rsid w:val="00495CD8"/>
    <w:rsid w:val="00495CF8"/>
    <w:rsid w:val="00495E61"/>
    <w:rsid w:val="00495E75"/>
    <w:rsid w:val="00495E7E"/>
    <w:rsid w:val="00495EF3"/>
    <w:rsid w:val="00495F8B"/>
    <w:rsid w:val="0049604F"/>
    <w:rsid w:val="00496069"/>
    <w:rsid w:val="0049614A"/>
    <w:rsid w:val="00496263"/>
    <w:rsid w:val="00496357"/>
    <w:rsid w:val="004963A2"/>
    <w:rsid w:val="00496429"/>
    <w:rsid w:val="0049647D"/>
    <w:rsid w:val="004964CD"/>
    <w:rsid w:val="0049654E"/>
    <w:rsid w:val="00496579"/>
    <w:rsid w:val="00496615"/>
    <w:rsid w:val="004966A7"/>
    <w:rsid w:val="004966C8"/>
    <w:rsid w:val="004966DA"/>
    <w:rsid w:val="00496700"/>
    <w:rsid w:val="0049670E"/>
    <w:rsid w:val="004967F3"/>
    <w:rsid w:val="004967FD"/>
    <w:rsid w:val="004968D5"/>
    <w:rsid w:val="0049698B"/>
    <w:rsid w:val="00496A0A"/>
    <w:rsid w:val="00496A30"/>
    <w:rsid w:val="00496A34"/>
    <w:rsid w:val="00496A4C"/>
    <w:rsid w:val="00496A6E"/>
    <w:rsid w:val="00496A8B"/>
    <w:rsid w:val="00496ABD"/>
    <w:rsid w:val="00496AF5"/>
    <w:rsid w:val="00496B8E"/>
    <w:rsid w:val="00496B8F"/>
    <w:rsid w:val="00496BC3"/>
    <w:rsid w:val="00496BC6"/>
    <w:rsid w:val="00496C98"/>
    <w:rsid w:val="00496CDA"/>
    <w:rsid w:val="00496D95"/>
    <w:rsid w:val="00496D9A"/>
    <w:rsid w:val="00497225"/>
    <w:rsid w:val="0049724B"/>
    <w:rsid w:val="004972A2"/>
    <w:rsid w:val="004972C6"/>
    <w:rsid w:val="0049747D"/>
    <w:rsid w:val="00497636"/>
    <w:rsid w:val="004976CD"/>
    <w:rsid w:val="0049774F"/>
    <w:rsid w:val="004978E0"/>
    <w:rsid w:val="004978F3"/>
    <w:rsid w:val="004978F8"/>
    <w:rsid w:val="00497A10"/>
    <w:rsid w:val="00497A61"/>
    <w:rsid w:val="00497B7B"/>
    <w:rsid w:val="00497C15"/>
    <w:rsid w:val="00497C51"/>
    <w:rsid w:val="00497CFC"/>
    <w:rsid w:val="00497D28"/>
    <w:rsid w:val="00497D43"/>
    <w:rsid w:val="00497E24"/>
    <w:rsid w:val="00497E3F"/>
    <w:rsid w:val="00497FD9"/>
    <w:rsid w:val="004A0015"/>
    <w:rsid w:val="004A0042"/>
    <w:rsid w:val="004A0048"/>
    <w:rsid w:val="004A0058"/>
    <w:rsid w:val="004A00B1"/>
    <w:rsid w:val="004A0233"/>
    <w:rsid w:val="004A024F"/>
    <w:rsid w:val="004A0251"/>
    <w:rsid w:val="004A0281"/>
    <w:rsid w:val="004A02F8"/>
    <w:rsid w:val="004A03B7"/>
    <w:rsid w:val="004A0419"/>
    <w:rsid w:val="004A052F"/>
    <w:rsid w:val="004A0613"/>
    <w:rsid w:val="004A0781"/>
    <w:rsid w:val="004A07DE"/>
    <w:rsid w:val="004A081C"/>
    <w:rsid w:val="004A084A"/>
    <w:rsid w:val="004A08A5"/>
    <w:rsid w:val="004A08CD"/>
    <w:rsid w:val="004A08F3"/>
    <w:rsid w:val="004A093A"/>
    <w:rsid w:val="004A096A"/>
    <w:rsid w:val="004A09EA"/>
    <w:rsid w:val="004A0A65"/>
    <w:rsid w:val="004A0B08"/>
    <w:rsid w:val="004A0B58"/>
    <w:rsid w:val="004A0B94"/>
    <w:rsid w:val="004A0BD1"/>
    <w:rsid w:val="004A0C04"/>
    <w:rsid w:val="004A0CC2"/>
    <w:rsid w:val="004A0CEC"/>
    <w:rsid w:val="004A0D2F"/>
    <w:rsid w:val="004A0D6C"/>
    <w:rsid w:val="004A0DC3"/>
    <w:rsid w:val="004A0DF0"/>
    <w:rsid w:val="004A0E31"/>
    <w:rsid w:val="004A0E83"/>
    <w:rsid w:val="004A0E88"/>
    <w:rsid w:val="004A0F00"/>
    <w:rsid w:val="004A0F8A"/>
    <w:rsid w:val="004A0FDF"/>
    <w:rsid w:val="004A1032"/>
    <w:rsid w:val="004A10DC"/>
    <w:rsid w:val="004A11CB"/>
    <w:rsid w:val="004A1290"/>
    <w:rsid w:val="004A12E2"/>
    <w:rsid w:val="004A13C3"/>
    <w:rsid w:val="004A146C"/>
    <w:rsid w:val="004A14DD"/>
    <w:rsid w:val="004A1510"/>
    <w:rsid w:val="004A1511"/>
    <w:rsid w:val="004A151C"/>
    <w:rsid w:val="004A1558"/>
    <w:rsid w:val="004A155A"/>
    <w:rsid w:val="004A1573"/>
    <w:rsid w:val="004A15A9"/>
    <w:rsid w:val="004A163A"/>
    <w:rsid w:val="004A1693"/>
    <w:rsid w:val="004A1723"/>
    <w:rsid w:val="004A178A"/>
    <w:rsid w:val="004A1818"/>
    <w:rsid w:val="004A181F"/>
    <w:rsid w:val="004A18BF"/>
    <w:rsid w:val="004A1905"/>
    <w:rsid w:val="004A1941"/>
    <w:rsid w:val="004A1993"/>
    <w:rsid w:val="004A19C2"/>
    <w:rsid w:val="004A1A89"/>
    <w:rsid w:val="004A1B43"/>
    <w:rsid w:val="004A1C4B"/>
    <w:rsid w:val="004A1C4D"/>
    <w:rsid w:val="004A1C58"/>
    <w:rsid w:val="004A1C5D"/>
    <w:rsid w:val="004A1CAC"/>
    <w:rsid w:val="004A1CC5"/>
    <w:rsid w:val="004A1CD2"/>
    <w:rsid w:val="004A1D31"/>
    <w:rsid w:val="004A1D56"/>
    <w:rsid w:val="004A1DDA"/>
    <w:rsid w:val="004A1E42"/>
    <w:rsid w:val="004A1F12"/>
    <w:rsid w:val="004A1F27"/>
    <w:rsid w:val="004A20BD"/>
    <w:rsid w:val="004A219B"/>
    <w:rsid w:val="004A224E"/>
    <w:rsid w:val="004A22A2"/>
    <w:rsid w:val="004A2432"/>
    <w:rsid w:val="004A24DD"/>
    <w:rsid w:val="004A25B1"/>
    <w:rsid w:val="004A272C"/>
    <w:rsid w:val="004A27C1"/>
    <w:rsid w:val="004A27F6"/>
    <w:rsid w:val="004A2802"/>
    <w:rsid w:val="004A285D"/>
    <w:rsid w:val="004A285F"/>
    <w:rsid w:val="004A2967"/>
    <w:rsid w:val="004A2C00"/>
    <w:rsid w:val="004A2C4C"/>
    <w:rsid w:val="004A2CA5"/>
    <w:rsid w:val="004A2D33"/>
    <w:rsid w:val="004A2D3B"/>
    <w:rsid w:val="004A2D42"/>
    <w:rsid w:val="004A2DF4"/>
    <w:rsid w:val="004A2EA0"/>
    <w:rsid w:val="004A2F26"/>
    <w:rsid w:val="004A2F2E"/>
    <w:rsid w:val="004A2FA6"/>
    <w:rsid w:val="004A2FB8"/>
    <w:rsid w:val="004A301C"/>
    <w:rsid w:val="004A302A"/>
    <w:rsid w:val="004A306D"/>
    <w:rsid w:val="004A307A"/>
    <w:rsid w:val="004A317F"/>
    <w:rsid w:val="004A3267"/>
    <w:rsid w:val="004A3282"/>
    <w:rsid w:val="004A35D0"/>
    <w:rsid w:val="004A3634"/>
    <w:rsid w:val="004A3682"/>
    <w:rsid w:val="004A368E"/>
    <w:rsid w:val="004A370A"/>
    <w:rsid w:val="004A371D"/>
    <w:rsid w:val="004A3786"/>
    <w:rsid w:val="004A378C"/>
    <w:rsid w:val="004A37BA"/>
    <w:rsid w:val="004A37FB"/>
    <w:rsid w:val="004A384B"/>
    <w:rsid w:val="004A38DC"/>
    <w:rsid w:val="004A390E"/>
    <w:rsid w:val="004A3966"/>
    <w:rsid w:val="004A3A42"/>
    <w:rsid w:val="004A3A46"/>
    <w:rsid w:val="004A3B96"/>
    <w:rsid w:val="004A3BC5"/>
    <w:rsid w:val="004A3C5B"/>
    <w:rsid w:val="004A3C5D"/>
    <w:rsid w:val="004A3CA2"/>
    <w:rsid w:val="004A3DDB"/>
    <w:rsid w:val="004A3E03"/>
    <w:rsid w:val="004A3E59"/>
    <w:rsid w:val="004A3F41"/>
    <w:rsid w:val="004A3F9C"/>
    <w:rsid w:val="004A4022"/>
    <w:rsid w:val="004A4109"/>
    <w:rsid w:val="004A412D"/>
    <w:rsid w:val="004A4136"/>
    <w:rsid w:val="004A4169"/>
    <w:rsid w:val="004A422B"/>
    <w:rsid w:val="004A4266"/>
    <w:rsid w:val="004A4285"/>
    <w:rsid w:val="004A442A"/>
    <w:rsid w:val="004A44DA"/>
    <w:rsid w:val="004A459D"/>
    <w:rsid w:val="004A45B4"/>
    <w:rsid w:val="004A45EF"/>
    <w:rsid w:val="004A4687"/>
    <w:rsid w:val="004A46B3"/>
    <w:rsid w:val="004A4929"/>
    <w:rsid w:val="004A49F4"/>
    <w:rsid w:val="004A4A16"/>
    <w:rsid w:val="004A4A54"/>
    <w:rsid w:val="004A4AF4"/>
    <w:rsid w:val="004A4C61"/>
    <w:rsid w:val="004A4CA6"/>
    <w:rsid w:val="004A4DA2"/>
    <w:rsid w:val="004A4FDA"/>
    <w:rsid w:val="004A5050"/>
    <w:rsid w:val="004A50A4"/>
    <w:rsid w:val="004A5135"/>
    <w:rsid w:val="004A5153"/>
    <w:rsid w:val="004A51A6"/>
    <w:rsid w:val="004A51D1"/>
    <w:rsid w:val="004A526C"/>
    <w:rsid w:val="004A52C5"/>
    <w:rsid w:val="004A530C"/>
    <w:rsid w:val="004A5322"/>
    <w:rsid w:val="004A5416"/>
    <w:rsid w:val="004A54CA"/>
    <w:rsid w:val="004A54CB"/>
    <w:rsid w:val="004A54D7"/>
    <w:rsid w:val="004A5586"/>
    <w:rsid w:val="004A55B0"/>
    <w:rsid w:val="004A55FA"/>
    <w:rsid w:val="004A56ED"/>
    <w:rsid w:val="004A5703"/>
    <w:rsid w:val="004A5709"/>
    <w:rsid w:val="004A587B"/>
    <w:rsid w:val="004A5884"/>
    <w:rsid w:val="004A58EF"/>
    <w:rsid w:val="004A5A7D"/>
    <w:rsid w:val="004A5ACC"/>
    <w:rsid w:val="004A5B3E"/>
    <w:rsid w:val="004A5BE8"/>
    <w:rsid w:val="004A5CC9"/>
    <w:rsid w:val="004A5CD1"/>
    <w:rsid w:val="004A5DAA"/>
    <w:rsid w:val="004A5DD4"/>
    <w:rsid w:val="004A5DDF"/>
    <w:rsid w:val="004A5DEA"/>
    <w:rsid w:val="004A5E9F"/>
    <w:rsid w:val="004A6127"/>
    <w:rsid w:val="004A6141"/>
    <w:rsid w:val="004A61AB"/>
    <w:rsid w:val="004A61F3"/>
    <w:rsid w:val="004A61FE"/>
    <w:rsid w:val="004A6247"/>
    <w:rsid w:val="004A627B"/>
    <w:rsid w:val="004A62EF"/>
    <w:rsid w:val="004A6334"/>
    <w:rsid w:val="004A6342"/>
    <w:rsid w:val="004A6365"/>
    <w:rsid w:val="004A63CC"/>
    <w:rsid w:val="004A64C5"/>
    <w:rsid w:val="004A64FA"/>
    <w:rsid w:val="004A655B"/>
    <w:rsid w:val="004A663C"/>
    <w:rsid w:val="004A6643"/>
    <w:rsid w:val="004A66AD"/>
    <w:rsid w:val="004A6743"/>
    <w:rsid w:val="004A684F"/>
    <w:rsid w:val="004A689D"/>
    <w:rsid w:val="004A68DA"/>
    <w:rsid w:val="004A69D2"/>
    <w:rsid w:val="004A6A44"/>
    <w:rsid w:val="004A6AF7"/>
    <w:rsid w:val="004A6B8B"/>
    <w:rsid w:val="004A6C50"/>
    <w:rsid w:val="004A6EF8"/>
    <w:rsid w:val="004A6FD7"/>
    <w:rsid w:val="004A6FE5"/>
    <w:rsid w:val="004A70BD"/>
    <w:rsid w:val="004A70C9"/>
    <w:rsid w:val="004A7241"/>
    <w:rsid w:val="004A72EA"/>
    <w:rsid w:val="004A739B"/>
    <w:rsid w:val="004A7623"/>
    <w:rsid w:val="004A767F"/>
    <w:rsid w:val="004A768D"/>
    <w:rsid w:val="004A7733"/>
    <w:rsid w:val="004A776F"/>
    <w:rsid w:val="004A77CB"/>
    <w:rsid w:val="004A77F9"/>
    <w:rsid w:val="004A77FE"/>
    <w:rsid w:val="004A781A"/>
    <w:rsid w:val="004A78C0"/>
    <w:rsid w:val="004A78D9"/>
    <w:rsid w:val="004A791D"/>
    <w:rsid w:val="004A79CC"/>
    <w:rsid w:val="004A7ABE"/>
    <w:rsid w:val="004A7ADC"/>
    <w:rsid w:val="004A7C4B"/>
    <w:rsid w:val="004A7C70"/>
    <w:rsid w:val="004A7D16"/>
    <w:rsid w:val="004A7F0F"/>
    <w:rsid w:val="004A7F1C"/>
    <w:rsid w:val="004A7F1F"/>
    <w:rsid w:val="004B0054"/>
    <w:rsid w:val="004B00AA"/>
    <w:rsid w:val="004B012C"/>
    <w:rsid w:val="004B01BD"/>
    <w:rsid w:val="004B034D"/>
    <w:rsid w:val="004B04CD"/>
    <w:rsid w:val="004B05B3"/>
    <w:rsid w:val="004B0659"/>
    <w:rsid w:val="004B07C8"/>
    <w:rsid w:val="004B0900"/>
    <w:rsid w:val="004B0AD0"/>
    <w:rsid w:val="004B0AF2"/>
    <w:rsid w:val="004B0C73"/>
    <w:rsid w:val="004B0CB2"/>
    <w:rsid w:val="004B0DB7"/>
    <w:rsid w:val="004B0DDF"/>
    <w:rsid w:val="004B0E63"/>
    <w:rsid w:val="004B0E7A"/>
    <w:rsid w:val="004B0F30"/>
    <w:rsid w:val="004B0FC9"/>
    <w:rsid w:val="004B103A"/>
    <w:rsid w:val="004B106A"/>
    <w:rsid w:val="004B1121"/>
    <w:rsid w:val="004B1137"/>
    <w:rsid w:val="004B1151"/>
    <w:rsid w:val="004B11DB"/>
    <w:rsid w:val="004B11E7"/>
    <w:rsid w:val="004B1203"/>
    <w:rsid w:val="004B13A4"/>
    <w:rsid w:val="004B13A6"/>
    <w:rsid w:val="004B13CF"/>
    <w:rsid w:val="004B13D5"/>
    <w:rsid w:val="004B14DB"/>
    <w:rsid w:val="004B1531"/>
    <w:rsid w:val="004B1536"/>
    <w:rsid w:val="004B1547"/>
    <w:rsid w:val="004B163E"/>
    <w:rsid w:val="004B1676"/>
    <w:rsid w:val="004B16DC"/>
    <w:rsid w:val="004B17C0"/>
    <w:rsid w:val="004B1899"/>
    <w:rsid w:val="004B18B1"/>
    <w:rsid w:val="004B1926"/>
    <w:rsid w:val="004B1BA6"/>
    <w:rsid w:val="004B1E7B"/>
    <w:rsid w:val="004B1E9D"/>
    <w:rsid w:val="004B1F2B"/>
    <w:rsid w:val="004B200E"/>
    <w:rsid w:val="004B20E5"/>
    <w:rsid w:val="004B20FA"/>
    <w:rsid w:val="004B20FB"/>
    <w:rsid w:val="004B2148"/>
    <w:rsid w:val="004B21E5"/>
    <w:rsid w:val="004B224C"/>
    <w:rsid w:val="004B22A8"/>
    <w:rsid w:val="004B2375"/>
    <w:rsid w:val="004B241A"/>
    <w:rsid w:val="004B2470"/>
    <w:rsid w:val="004B2472"/>
    <w:rsid w:val="004B24F7"/>
    <w:rsid w:val="004B2662"/>
    <w:rsid w:val="004B2754"/>
    <w:rsid w:val="004B277E"/>
    <w:rsid w:val="004B27C0"/>
    <w:rsid w:val="004B29C1"/>
    <w:rsid w:val="004B2A76"/>
    <w:rsid w:val="004B2AFC"/>
    <w:rsid w:val="004B2B0B"/>
    <w:rsid w:val="004B2B1C"/>
    <w:rsid w:val="004B2B50"/>
    <w:rsid w:val="004B2B5E"/>
    <w:rsid w:val="004B2BB0"/>
    <w:rsid w:val="004B2C03"/>
    <w:rsid w:val="004B2C42"/>
    <w:rsid w:val="004B2CD6"/>
    <w:rsid w:val="004B2D24"/>
    <w:rsid w:val="004B2E5D"/>
    <w:rsid w:val="004B2EAD"/>
    <w:rsid w:val="004B2EDF"/>
    <w:rsid w:val="004B2F48"/>
    <w:rsid w:val="004B2FB3"/>
    <w:rsid w:val="004B308D"/>
    <w:rsid w:val="004B30C1"/>
    <w:rsid w:val="004B3123"/>
    <w:rsid w:val="004B31DC"/>
    <w:rsid w:val="004B3270"/>
    <w:rsid w:val="004B3284"/>
    <w:rsid w:val="004B32F5"/>
    <w:rsid w:val="004B337D"/>
    <w:rsid w:val="004B33D6"/>
    <w:rsid w:val="004B34C8"/>
    <w:rsid w:val="004B34F7"/>
    <w:rsid w:val="004B3576"/>
    <w:rsid w:val="004B3591"/>
    <w:rsid w:val="004B35F3"/>
    <w:rsid w:val="004B360C"/>
    <w:rsid w:val="004B37E4"/>
    <w:rsid w:val="004B39C7"/>
    <w:rsid w:val="004B3A3F"/>
    <w:rsid w:val="004B3BB8"/>
    <w:rsid w:val="004B3BC8"/>
    <w:rsid w:val="004B3BFA"/>
    <w:rsid w:val="004B3D58"/>
    <w:rsid w:val="004B3DD2"/>
    <w:rsid w:val="004B3DEA"/>
    <w:rsid w:val="004B3E94"/>
    <w:rsid w:val="004B3ECA"/>
    <w:rsid w:val="004B3EDA"/>
    <w:rsid w:val="004B3F54"/>
    <w:rsid w:val="004B3F63"/>
    <w:rsid w:val="004B4154"/>
    <w:rsid w:val="004B41F6"/>
    <w:rsid w:val="004B427F"/>
    <w:rsid w:val="004B42EC"/>
    <w:rsid w:val="004B4328"/>
    <w:rsid w:val="004B4522"/>
    <w:rsid w:val="004B46B6"/>
    <w:rsid w:val="004B46F7"/>
    <w:rsid w:val="004B486A"/>
    <w:rsid w:val="004B48A2"/>
    <w:rsid w:val="004B48E4"/>
    <w:rsid w:val="004B4996"/>
    <w:rsid w:val="004B49C5"/>
    <w:rsid w:val="004B4A75"/>
    <w:rsid w:val="004B4A7D"/>
    <w:rsid w:val="004B4BD5"/>
    <w:rsid w:val="004B4C6F"/>
    <w:rsid w:val="004B4CB0"/>
    <w:rsid w:val="004B4DDA"/>
    <w:rsid w:val="004B4F95"/>
    <w:rsid w:val="004B5063"/>
    <w:rsid w:val="004B50C9"/>
    <w:rsid w:val="004B50DD"/>
    <w:rsid w:val="004B511F"/>
    <w:rsid w:val="004B516C"/>
    <w:rsid w:val="004B5186"/>
    <w:rsid w:val="004B520D"/>
    <w:rsid w:val="004B534C"/>
    <w:rsid w:val="004B5549"/>
    <w:rsid w:val="004B563C"/>
    <w:rsid w:val="004B5736"/>
    <w:rsid w:val="004B575F"/>
    <w:rsid w:val="004B577E"/>
    <w:rsid w:val="004B58A3"/>
    <w:rsid w:val="004B5917"/>
    <w:rsid w:val="004B5980"/>
    <w:rsid w:val="004B59C5"/>
    <w:rsid w:val="004B59D5"/>
    <w:rsid w:val="004B5A17"/>
    <w:rsid w:val="004B5A23"/>
    <w:rsid w:val="004B5A72"/>
    <w:rsid w:val="004B5A89"/>
    <w:rsid w:val="004B5B8A"/>
    <w:rsid w:val="004B5BD0"/>
    <w:rsid w:val="004B5C78"/>
    <w:rsid w:val="004B5C9A"/>
    <w:rsid w:val="004B5CB5"/>
    <w:rsid w:val="004B5CCE"/>
    <w:rsid w:val="004B5CFF"/>
    <w:rsid w:val="004B5D53"/>
    <w:rsid w:val="004B5DE5"/>
    <w:rsid w:val="004B5E46"/>
    <w:rsid w:val="004B5EF8"/>
    <w:rsid w:val="004B5FC7"/>
    <w:rsid w:val="004B5FCF"/>
    <w:rsid w:val="004B5FE2"/>
    <w:rsid w:val="004B6041"/>
    <w:rsid w:val="004B609E"/>
    <w:rsid w:val="004B60BB"/>
    <w:rsid w:val="004B6103"/>
    <w:rsid w:val="004B613A"/>
    <w:rsid w:val="004B6262"/>
    <w:rsid w:val="004B6277"/>
    <w:rsid w:val="004B62AA"/>
    <w:rsid w:val="004B62E0"/>
    <w:rsid w:val="004B63C8"/>
    <w:rsid w:val="004B63E6"/>
    <w:rsid w:val="004B64C5"/>
    <w:rsid w:val="004B64FA"/>
    <w:rsid w:val="004B6528"/>
    <w:rsid w:val="004B6586"/>
    <w:rsid w:val="004B6591"/>
    <w:rsid w:val="004B6612"/>
    <w:rsid w:val="004B6613"/>
    <w:rsid w:val="004B66CA"/>
    <w:rsid w:val="004B67D3"/>
    <w:rsid w:val="004B6807"/>
    <w:rsid w:val="004B6952"/>
    <w:rsid w:val="004B695A"/>
    <w:rsid w:val="004B6A4A"/>
    <w:rsid w:val="004B6AAB"/>
    <w:rsid w:val="004B6BD4"/>
    <w:rsid w:val="004B6C0F"/>
    <w:rsid w:val="004B6CF8"/>
    <w:rsid w:val="004B6D26"/>
    <w:rsid w:val="004B6D59"/>
    <w:rsid w:val="004B6E86"/>
    <w:rsid w:val="004B6E8D"/>
    <w:rsid w:val="004B6F46"/>
    <w:rsid w:val="004B6F95"/>
    <w:rsid w:val="004B7005"/>
    <w:rsid w:val="004B7188"/>
    <w:rsid w:val="004B71DD"/>
    <w:rsid w:val="004B7264"/>
    <w:rsid w:val="004B7388"/>
    <w:rsid w:val="004B73CE"/>
    <w:rsid w:val="004B73EB"/>
    <w:rsid w:val="004B74A9"/>
    <w:rsid w:val="004B74E6"/>
    <w:rsid w:val="004B75B4"/>
    <w:rsid w:val="004B76E9"/>
    <w:rsid w:val="004B7768"/>
    <w:rsid w:val="004B778D"/>
    <w:rsid w:val="004B77B7"/>
    <w:rsid w:val="004B786D"/>
    <w:rsid w:val="004B789A"/>
    <w:rsid w:val="004B79AC"/>
    <w:rsid w:val="004B79B2"/>
    <w:rsid w:val="004B7A35"/>
    <w:rsid w:val="004B7AB0"/>
    <w:rsid w:val="004B7ACD"/>
    <w:rsid w:val="004B7C49"/>
    <w:rsid w:val="004B7CA2"/>
    <w:rsid w:val="004B7D35"/>
    <w:rsid w:val="004B7D5C"/>
    <w:rsid w:val="004B7D6D"/>
    <w:rsid w:val="004B7DDF"/>
    <w:rsid w:val="004B7E2B"/>
    <w:rsid w:val="004B7E40"/>
    <w:rsid w:val="004B7E6F"/>
    <w:rsid w:val="004B7F29"/>
    <w:rsid w:val="004B7F66"/>
    <w:rsid w:val="004B7F67"/>
    <w:rsid w:val="004B7FB9"/>
    <w:rsid w:val="004B7FC8"/>
    <w:rsid w:val="004C0039"/>
    <w:rsid w:val="004C0072"/>
    <w:rsid w:val="004C0121"/>
    <w:rsid w:val="004C017C"/>
    <w:rsid w:val="004C020F"/>
    <w:rsid w:val="004C0283"/>
    <w:rsid w:val="004C02F4"/>
    <w:rsid w:val="004C03C1"/>
    <w:rsid w:val="004C03E4"/>
    <w:rsid w:val="004C0432"/>
    <w:rsid w:val="004C0435"/>
    <w:rsid w:val="004C04B5"/>
    <w:rsid w:val="004C04EF"/>
    <w:rsid w:val="004C04F4"/>
    <w:rsid w:val="004C051F"/>
    <w:rsid w:val="004C064F"/>
    <w:rsid w:val="004C06DA"/>
    <w:rsid w:val="004C06EA"/>
    <w:rsid w:val="004C0711"/>
    <w:rsid w:val="004C073B"/>
    <w:rsid w:val="004C0805"/>
    <w:rsid w:val="004C080F"/>
    <w:rsid w:val="004C08BD"/>
    <w:rsid w:val="004C0930"/>
    <w:rsid w:val="004C09CC"/>
    <w:rsid w:val="004C0A6E"/>
    <w:rsid w:val="004C0B7D"/>
    <w:rsid w:val="004C0BCF"/>
    <w:rsid w:val="004C0BEC"/>
    <w:rsid w:val="004C0C5E"/>
    <w:rsid w:val="004C0DDB"/>
    <w:rsid w:val="004C0EA9"/>
    <w:rsid w:val="004C0ED6"/>
    <w:rsid w:val="004C0FD6"/>
    <w:rsid w:val="004C1053"/>
    <w:rsid w:val="004C1095"/>
    <w:rsid w:val="004C1109"/>
    <w:rsid w:val="004C119F"/>
    <w:rsid w:val="004C11AB"/>
    <w:rsid w:val="004C1229"/>
    <w:rsid w:val="004C1262"/>
    <w:rsid w:val="004C1279"/>
    <w:rsid w:val="004C1289"/>
    <w:rsid w:val="004C131A"/>
    <w:rsid w:val="004C13E1"/>
    <w:rsid w:val="004C13EA"/>
    <w:rsid w:val="004C1445"/>
    <w:rsid w:val="004C152C"/>
    <w:rsid w:val="004C15AB"/>
    <w:rsid w:val="004C15B3"/>
    <w:rsid w:val="004C15EA"/>
    <w:rsid w:val="004C1629"/>
    <w:rsid w:val="004C163D"/>
    <w:rsid w:val="004C16BC"/>
    <w:rsid w:val="004C177E"/>
    <w:rsid w:val="004C17B3"/>
    <w:rsid w:val="004C17DF"/>
    <w:rsid w:val="004C1817"/>
    <w:rsid w:val="004C1838"/>
    <w:rsid w:val="004C1887"/>
    <w:rsid w:val="004C197A"/>
    <w:rsid w:val="004C1A10"/>
    <w:rsid w:val="004C1A7C"/>
    <w:rsid w:val="004C1A84"/>
    <w:rsid w:val="004C1C1F"/>
    <w:rsid w:val="004C1CFC"/>
    <w:rsid w:val="004C1D1C"/>
    <w:rsid w:val="004C1D23"/>
    <w:rsid w:val="004C1DD3"/>
    <w:rsid w:val="004C1E29"/>
    <w:rsid w:val="004C1E4F"/>
    <w:rsid w:val="004C1E60"/>
    <w:rsid w:val="004C1F59"/>
    <w:rsid w:val="004C209A"/>
    <w:rsid w:val="004C21DC"/>
    <w:rsid w:val="004C2229"/>
    <w:rsid w:val="004C2266"/>
    <w:rsid w:val="004C22B3"/>
    <w:rsid w:val="004C249A"/>
    <w:rsid w:val="004C2572"/>
    <w:rsid w:val="004C25D4"/>
    <w:rsid w:val="004C25D6"/>
    <w:rsid w:val="004C2665"/>
    <w:rsid w:val="004C26A7"/>
    <w:rsid w:val="004C26C4"/>
    <w:rsid w:val="004C26FC"/>
    <w:rsid w:val="004C27CD"/>
    <w:rsid w:val="004C29B7"/>
    <w:rsid w:val="004C29FA"/>
    <w:rsid w:val="004C2A74"/>
    <w:rsid w:val="004C2AFE"/>
    <w:rsid w:val="004C2B6C"/>
    <w:rsid w:val="004C2B7C"/>
    <w:rsid w:val="004C2BB5"/>
    <w:rsid w:val="004C2E0E"/>
    <w:rsid w:val="004C2E5F"/>
    <w:rsid w:val="004C2EBD"/>
    <w:rsid w:val="004C2FA0"/>
    <w:rsid w:val="004C2FBE"/>
    <w:rsid w:val="004C308F"/>
    <w:rsid w:val="004C30B2"/>
    <w:rsid w:val="004C3147"/>
    <w:rsid w:val="004C31CC"/>
    <w:rsid w:val="004C3273"/>
    <w:rsid w:val="004C329E"/>
    <w:rsid w:val="004C3382"/>
    <w:rsid w:val="004C34D2"/>
    <w:rsid w:val="004C3534"/>
    <w:rsid w:val="004C3550"/>
    <w:rsid w:val="004C3573"/>
    <w:rsid w:val="004C35AD"/>
    <w:rsid w:val="004C35FC"/>
    <w:rsid w:val="004C36C8"/>
    <w:rsid w:val="004C371D"/>
    <w:rsid w:val="004C3812"/>
    <w:rsid w:val="004C3862"/>
    <w:rsid w:val="004C397E"/>
    <w:rsid w:val="004C3CE7"/>
    <w:rsid w:val="004C3CF7"/>
    <w:rsid w:val="004C3D9B"/>
    <w:rsid w:val="004C3E15"/>
    <w:rsid w:val="004C3E69"/>
    <w:rsid w:val="004C3E92"/>
    <w:rsid w:val="004C3EEE"/>
    <w:rsid w:val="004C3FE8"/>
    <w:rsid w:val="004C3FFD"/>
    <w:rsid w:val="004C40AB"/>
    <w:rsid w:val="004C40B1"/>
    <w:rsid w:val="004C41CD"/>
    <w:rsid w:val="004C427F"/>
    <w:rsid w:val="004C4353"/>
    <w:rsid w:val="004C4402"/>
    <w:rsid w:val="004C440A"/>
    <w:rsid w:val="004C4456"/>
    <w:rsid w:val="004C44FB"/>
    <w:rsid w:val="004C4507"/>
    <w:rsid w:val="004C460F"/>
    <w:rsid w:val="004C4652"/>
    <w:rsid w:val="004C465C"/>
    <w:rsid w:val="004C468D"/>
    <w:rsid w:val="004C46B6"/>
    <w:rsid w:val="004C4705"/>
    <w:rsid w:val="004C471C"/>
    <w:rsid w:val="004C4806"/>
    <w:rsid w:val="004C4823"/>
    <w:rsid w:val="004C488B"/>
    <w:rsid w:val="004C4907"/>
    <w:rsid w:val="004C49CE"/>
    <w:rsid w:val="004C4A62"/>
    <w:rsid w:val="004C4A69"/>
    <w:rsid w:val="004C4AA0"/>
    <w:rsid w:val="004C4B6C"/>
    <w:rsid w:val="004C4BCE"/>
    <w:rsid w:val="004C4C26"/>
    <w:rsid w:val="004C4CF6"/>
    <w:rsid w:val="004C4D4A"/>
    <w:rsid w:val="004C4DC9"/>
    <w:rsid w:val="004C4E08"/>
    <w:rsid w:val="004C4E40"/>
    <w:rsid w:val="004C4E52"/>
    <w:rsid w:val="004C4E73"/>
    <w:rsid w:val="004C4E8F"/>
    <w:rsid w:val="004C4EAD"/>
    <w:rsid w:val="004C4EC3"/>
    <w:rsid w:val="004C4F13"/>
    <w:rsid w:val="004C504E"/>
    <w:rsid w:val="004C50B8"/>
    <w:rsid w:val="004C50D7"/>
    <w:rsid w:val="004C51FD"/>
    <w:rsid w:val="004C52D7"/>
    <w:rsid w:val="004C52F5"/>
    <w:rsid w:val="004C52FF"/>
    <w:rsid w:val="004C5325"/>
    <w:rsid w:val="004C53A1"/>
    <w:rsid w:val="004C53E6"/>
    <w:rsid w:val="004C5478"/>
    <w:rsid w:val="004C5534"/>
    <w:rsid w:val="004C557D"/>
    <w:rsid w:val="004C559A"/>
    <w:rsid w:val="004C55EA"/>
    <w:rsid w:val="004C5646"/>
    <w:rsid w:val="004C5967"/>
    <w:rsid w:val="004C5991"/>
    <w:rsid w:val="004C5A05"/>
    <w:rsid w:val="004C5B6B"/>
    <w:rsid w:val="004C5BE6"/>
    <w:rsid w:val="004C5C15"/>
    <w:rsid w:val="004C5C19"/>
    <w:rsid w:val="004C5C71"/>
    <w:rsid w:val="004C5D12"/>
    <w:rsid w:val="004C5D14"/>
    <w:rsid w:val="004C5D66"/>
    <w:rsid w:val="004C5DE8"/>
    <w:rsid w:val="004C5DFC"/>
    <w:rsid w:val="004C5E09"/>
    <w:rsid w:val="004C5E2E"/>
    <w:rsid w:val="004C5E85"/>
    <w:rsid w:val="004C5F0A"/>
    <w:rsid w:val="004C6051"/>
    <w:rsid w:val="004C605B"/>
    <w:rsid w:val="004C611E"/>
    <w:rsid w:val="004C618A"/>
    <w:rsid w:val="004C6241"/>
    <w:rsid w:val="004C6267"/>
    <w:rsid w:val="004C62A3"/>
    <w:rsid w:val="004C62CE"/>
    <w:rsid w:val="004C63A1"/>
    <w:rsid w:val="004C654D"/>
    <w:rsid w:val="004C65E2"/>
    <w:rsid w:val="004C6615"/>
    <w:rsid w:val="004C6679"/>
    <w:rsid w:val="004C66A0"/>
    <w:rsid w:val="004C67D1"/>
    <w:rsid w:val="004C67F2"/>
    <w:rsid w:val="004C6838"/>
    <w:rsid w:val="004C68F9"/>
    <w:rsid w:val="004C6904"/>
    <w:rsid w:val="004C6916"/>
    <w:rsid w:val="004C6957"/>
    <w:rsid w:val="004C69CC"/>
    <w:rsid w:val="004C69DE"/>
    <w:rsid w:val="004C69F2"/>
    <w:rsid w:val="004C6AC4"/>
    <w:rsid w:val="004C6B37"/>
    <w:rsid w:val="004C6B42"/>
    <w:rsid w:val="004C6B8E"/>
    <w:rsid w:val="004C6BB1"/>
    <w:rsid w:val="004C6BC2"/>
    <w:rsid w:val="004C6C26"/>
    <w:rsid w:val="004C6F82"/>
    <w:rsid w:val="004C7010"/>
    <w:rsid w:val="004C71D5"/>
    <w:rsid w:val="004C71D7"/>
    <w:rsid w:val="004C725A"/>
    <w:rsid w:val="004C7310"/>
    <w:rsid w:val="004C73A2"/>
    <w:rsid w:val="004C73CF"/>
    <w:rsid w:val="004C7411"/>
    <w:rsid w:val="004C742D"/>
    <w:rsid w:val="004C76C4"/>
    <w:rsid w:val="004C774F"/>
    <w:rsid w:val="004C7757"/>
    <w:rsid w:val="004C7781"/>
    <w:rsid w:val="004C7786"/>
    <w:rsid w:val="004C78FD"/>
    <w:rsid w:val="004C7991"/>
    <w:rsid w:val="004C7AC7"/>
    <w:rsid w:val="004C7B0B"/>
    <w:rsid w:val="004C7BF6"/>
    <w:rsid w:val="004C7BF8"/>
    <w:rsid w:val="004C7CEB"/>
    <w:rsid w:val="004C7DAE"/>
    <w:rsid w:val="004C7DD5"/>
    <w:rsid w:val="004C7E84"/>
    <w:rsid w:val="004C7EA1"/>
    <w:rsid w:val="004C7EA9"/>
    <w:rsid w:val="004C7F66"/>
    <w:rsid w:val="004C7F93"/>
    <w:rsid w:val="004C7FDF"/>
    <w:rsid w:val="004C7FEF"/>
    <w:rsid w:val="004D006F"/>
    <w:rsid w:val="004D00B5"/>
    <w:rsid w:val="004D02DE"/>
    <w:rsid w:val="004D0313"/>
    <w:rsid w:val="004D0471"/>
    <w:rsid w:val="004D04AF"/>
    <w:rsid w:val="004D04BE"/>
    <w:rsid w:val="004D050D"/>
    <w:rsid w:val="004D054E"/>
    <w:rsid w:val="004D058E"/>
    <w:rsid w:val="004D05D7"/>
    <w:rsid w:val="004D05F1"/>
    <w:rsid w:val="004D06D9"/>
    <w:rsid w:val="004D06E0"/>
    <w:rsid w:val="004D0754"/>
    <w:rsid w:val="004D076F"/>
    <w:rsid w:val="004D0828"/>
    <w:rsid w:val="004D083E"/>
    <w:rsid w:val="004D0899"/>
    <w:rsid w:val="004D0901"/>
    <w:rsid w:val="004D0980"/>
    <w:rsid w:val="004D09BA"/>
    <w:rsid w:val="004D0C35"/>
    <w:rsid w:val="004D0CDB"/>
    <w:rsid w:val="004D0DCF"/>
    <w:rsid w:val="004D0F62"/>
    <w:rsid w:val="004D1093"/>
    <w:rsid w:val="004D1122"/>
    <w:rsid w:val="004D1171"/>
    <w:rsid w:val="004D117B"/>
    <w:rsid w:val="004D124B"/>
    <w:rsid w:val="004D128D"/>
    <w:rsid w:val="004D129C"/>
    <w:rsid w:val="004D12AB"/>
    <w:rsid w:val="004D1309"/>
    <w:rsid w:val="004D13CD"/>
    <w:rsid w:val="004D14D1"/>
    <w:rsid w:val="004D1575"/>
    <w:rsid w:val="004D165E"/>
    <w:rsid w:val="004D16DB"/>
    <w:rsid w:val="004D1718"/>
    <w:rsid w:val="004D1722"/>
    <w:rsid w:val="004D1735"/>
    <w:rsid w:val="004D1761"/>
    <w:rsid w:val="004D177F"/>
    <w:rsid w:val="004D17A6"/>
    <w:rsid w:val="004D1871"/>
    <w:rsid w:val="004D18B8"/>
    <w:rsid w:val="004D1995"/>
    <w:rsid w:val="004D1A99"/>
    <w:rsid w:val="004D1AA6"/>
    <w:rsid w:val="004D1BB2"/>
    <w:rsid w:val="004D1BFF"/>
    <w:rsid w:val="004D1D16"/>
    <w:rsid w:val="004D1D51"/>
    <w:rsid w:val="004D1D5E"/>
    <w:rsid w:val="004D1D91"/>
    <w:rsid w:val="004D1DDA"/>
    <w:rsid w:val="004D1DE7"/>
    <w:rsid w:val="004D1DF7"/>
    <w:rsid w:val="004D1E84"/>
    <w:rsid w:val="004D1F92"/>
    <w:rsid w:val="004D1FE3"/>
    <w:rsid w:val="004D211D"/>
    <w:rsid w:val="004D215B"/>
    <w:rsid w:val="004D2171"/>
    <w:rsid w:val="004D21C4"/>
    <w:rsid w:val="004D21ED"/>
    <w:rsid w:val="004D226A"/>
    <w:rsid w:val="004D22DA"/>
    <w:rsid w:val="004D22E2"/>
    <w:rsid w:val="004D2332"/>
    <w:rsid w:val="004D2379"/>
    <w:rsid w:val="004D2428"/>
    <w:rsid w:val="004D242A"/>
    <w:rsid w:val="004D24F1"/>
    <w:rsid w:val="004D24FD"/>
    <w:rsid w:val="004D250F"/>
    <w:rsid w:val="004D252E"/>
    <w:rsid w:val="004D257A"/>
    <w:rsid w:val="004D2720"/>
    <w:rsid w:val="004D2738"/>
    <w:rsid w:val="004D27DE"/>
    <w:rsid w:val="004D2821"/>
    <w:rsid w:val="004D28D4"/>
    <w:rsid w:val="004D2964"/>
    <w:rsid w:val="004D2973"/>
    <w:rsid w:val="004D2997"/>
    <w:rsid w:val="004D299C"/>
    <w:rsid w:val="004D29E3"/>
    <w:rsid w:val="004D2C92"/>
    <w:rsid w:val="004D2CC6"/>
    <w:rsid w:val="004D2D20"/>
    <w:rsid w:val="004D2E17"/>
    <w:rsid w:val="004D301C"/>
    <w:rsid w:val="004D3089"/>
    <w:rsid w:val="004D30B6"/>
    <w:rsid w:val="004D312B"/>
    <w:rsid w:val="004D320E"/>
    <w:rsid w:val="004D3222"/>
    <w:rsid w:val="004D3270"/>
    <w:rsid w:val="004D32C2"/>
    <w:rsid w:val="004D333F"/>
    <w:rsid w:val="004D3373"/>
    <w:rsid w:val="004D33FE"/>
    <w:rsid w:val="004D3402"/>
    <w:rsid w:val="004D347B"/>
    <w:rsid w:val="004D34DA"/>
    <w:rsid w:val="004D358D"/>
    <w:rsid w:val="004D35BA"/>
    <w:rsid w:val="004D36CE"/>
    <w:rsid w:val="004D379E"/>
    <w:rsid w:val="004D37B5"/>
    <w:rsid w:val="004D38CA"/>
    <w:rsid w:val="004D3943"/>
    <w:rsid w:val="004D3973"/>
    <w:rsid w:val="004D3A48"/>
    <w:rsid w:val="004D3A58"/>
    <w:rsid w:val="004D3AC5"/>
    <w:rsid w:val="004D3AE2"/>
    <w:rsid w:val="004D3AFB"/>
    <w:rsid w:val="004D3B13"/>
    <w:rsid w:val="004D3B4F"/>
    <w:rsid w:val="004D3B8D"/>
    <w:rsid w:val="004D3C15"/>
    <w:rsid w:val="004D3CDA"/>
    <w:rsid w:val="004D3DFD"/>
    <w:rsid w:val="004D3EAF"/>
    <w:rsid w:val="004D3EE6"/>
    <w:rsid w:val="004D3FB4"/>
    <w:rsid w:val="004D4079"/>
    <w:rsid w:val="004D40BC"/>
    <w:rsid w:val="004D40EC"/>
    <w:rsid w:val="004D40FE"/>
    <w:rsid w:val="004D4104"/>
    <w:rsid w:val="004D4192"/>
    <w:rsid w:val="004D4196"/>
    <w:rsid w:val="004D4337"/>
    <w:rsid w:val="004D4424"/>
    <w:rsid w:val="004D44AF"/>
    <w:rsid w:val="004D44BE"/>
    <w:rsid w:val="004D44D4"/>
    <w:rsid w:val="004D44E9"/>
    <w:rsid w:val="004D4538"/>
    <w:rsid w:val="004D45F2"/>
    <w:rsid w:val="004D462C"/>
    <w:rsid w:val="004D4717"/>
    <w:rsid w:val="004D4730"/>
    <w:rsid w:val="004D4869"/>
    <w:rsid w:val="004D48BA"/>
    <w:rsid w:val="004D491E"/>
    <w:rsid w:val="004D4A8E"/>
    <w:rsid w:val="004D4B5F"/>
    <w:rsid w:val="004D4D33"/>
    <w:rsid w:val="004D4D3C"/>
    <w:rsid w:val="004D4D50"/>
    <w:rsid w:val="004D4D53"/>
    <w:rsid w:val="004D4DA0"/>
    <w:rsid w:val="004D4EC0"/>
    <w:rsid w:val="004D4F69"/>
    <w:rsid w:val="004D4FB6"/>
    <w:rsid w:val="004D500F"/>
    <w:rsid w:val="004D5015"/>
    <w:rsid w:val="004D504F"/>
    <w:rsid w:val="004D5132"/>
    <w:rsid w:val="004D525C"/>
    <w:rsid w:val="004D5295"/>
    <w:rsid w:val="004D53E3"/>
    <w:rsid w:val="004D568E"/>
    <w:rsid w:val="004D56C2"/>
    <w:rsid w:val="004D5732"/>
    <w:rsid w:val="004D580D"/>
    <w:rsid w:val="004D581B"/>
    <w:rsid w:val="004D58BC"/>
    <w:rsid w:val="004D58D9"/>
    <w:rsid w:val="004D5949"/>
    <w:rsid w:val="004D59B6"/>
    <w:rsid w:val="004D5ABC"/>
    <w:rsid w:val="004D5B18"/>
    <w:rsid w:val="004D5B2C"/>
    <w:rsid w:val="004D5C41"/>
    <w:rsid w:val="004D5C6E"/>
    <w:rsid w:val="004D5EB6"/>
    <w:rsid w:val="004D5FE9"/>
    <w:rsid w:val="004D6063"/>
    <w:rsid w:val="004D60CE"/>
    <w:rsid w:val="004D61B8"/>
    <w:rsid w:val="004D6208"/>
    <w:rsid w:val="004D6231"/>
    <w:rsid w:val="004D6275"/>
    <w:rsid w:val="004D628C"/>
    <w:rsid w:val="004D628D"/>
    <w:rsid w:val="004D62C4"/>
    <w:rsid w:val="004D62F0"/>
    <w:rsid w:val="004D6304"/>
    <w:rsid w:val="004D644A"/>
    <w:rsid w:val="004D6480"/>
    <w:rsid w:val="004D64EC"/>
    <w:rsid w:val="004D662D"/>
    <w:rsid w:val="004D66AA"/>
    <w:rsid w:val="004D66E0"/>
    <w:rsid w:val="004D66E1"/>
    <w:rsid w:val="004D677F"/>
    <w:rsid w:val="004D67AE"/>
    <w:rsid w:val="004D67BD"/>
    <w:rsid w:val="004D67E3"/>
    <w:rsid w:val="004D6873"/>
    <w:rsid w:val="004D6954"/>
    <w:rsid w:val="004D6A12"/>
    <w:rsid w:val="004D6B0E"/>
    <w:rsid w:val="004D6BCE"/>
    <w:rsid w:val="004D6BF1"/>
    <w:rsid w:val="004D6C37"/>
    <w:rsid w:val="004D6C69"/>
    <w:rsid w:val="004D6CEA"/>
    <w:rsid w:val="004D6D1D"/>
    <w:rsid w:val="004D6D74"/>
    <w:rsid w:val="004D6DBD"/>
    <w:rsid w:val="004D6E42"/>
    <w:rsid w:val="004D6E6E"/>
    <w:rsid w:val="004D6F1D"/>
    <w:rsid w:val="004D6F67"/>
    <w:rsid w:val="004D701A"/>
    <w:rsid w:val="004D7194"/>
    <w:rsid w:val="004D7195"/>
    <w:rsid w:val="004D71D7"/>
    <w:rsid w:val="004D721B"/>
    <w:rsid w:val="004D7233"/>
    <w:rsid w:val="004D7274"/>
    <w:rsid w:val="004D72D3"/>
    <w:rsid w:val="004D72EC"/>
    <w:rsid w:val="004D7307"/>
    <w:rsid w:val="004D7427"/>
    <w:rsid w:val="004D74AA"/>
    <w:rsid w:val="004D7526"/>
    <w:rsid w:val="004D7564"/>
    <w:rsid w:val="004D76BE"/>
    <w:rsid w:val="004D784F"/>
    <w:rsid w:val="004D785A"/>
    <w:rsid w:val="004D79C2"/>
    <w:rsid w:val="004D7A66"/>
    <w:rsid w:val="004D7B26"/>
    <w:rsid w:val="004D7B31"/>
    <w:rsid w:val="004D7CBF"/>
    <w:rsid w:val="004D7D27"/>
    <w:rsid w:val="004D7D62"/>
    <w:rsid w:val="004D7DEE"/>
    <w:rsid w:val="004D7E1D"/>
    <w:rsid w:val="004D7EEB"/>
    <w:rsid w:val="004D7F2F"/>
    <w:rsid w:val="004D7FB0"/>
    <w:rsid w:val="004D7FDE"/>
    <w:rsid w:val="004E007B"/>
    <w:rsid w:val="004E00AA"/>
    <w:rsid w:val="004E0114"/>
    <w:rsid w:val="004E0272"/>
    <w:rsid w:val="004E028E"/>
    <w:rsid w:val="004E02A1"/>
    <w:rsid w:val="004E02AF"/>
    <w:rsid w:val="004E030C"/>
    <w:rsid w:val="004E0459"/>
    <w:rsid w:val="004E04AF"/>
    <w:rsid w:val="004E04DC"/>
    <w:rsid w:val="004E04FC"/>
    <w:rsid w:val="004E052D"/>
    <w:rsid w:val="004E0534"/>
    <w:rsid w:val="004E053E"/>
    <w:rsid w:val="004E06A7"/>
    <w:rsid w:val="004E06CD"/>
    <w:rsid w:val="004E0713"/>
    <w:rsid w:val="004E0747"/>
    <w:rsid w:val="004E0774"/>
    <w:rsid w:val="004E07A2"/>
    <w:rsid w:val="004E0855"/>
    <w:rsid w:val="004E08FF"/>
    <w:rsid w:val="004E09B8"/>
    <w:rsid w:val="004E0BF8"/>
    <w:rsid w:val="004E0D44"/>
    <w:rsid w:val="004E0D61"/>
    <w:rsid w:val="004E0DFC"/>
    <w:rsid w:val="004E0E50"/>
    <w:rsid w:val="004E0ED8"/>
    <w:rsid w:val="004E0EE5"/>
    <w:rsid w:val="004E0F4F"/>
    <w:rsid w:val="004E106E"/>
    <w:rsid w:val="004E10A1"/>
    <w:rsid w:val="004E10FA"/>
    <w:rsid w:val="004E1233"/>
    <w:rsid w:val="004E13A1"/>
    <w:rsid w:val="004E155D"/>
    <w:rsid w:val="004E15E9"/>
    <w:rsid w:val="004E1675"/>
    <w:rsid w:val="004E178A"/>
    <w:rsid w:val="004E1867"/>
    <w:rsid w:val="004E189B"/>
    <w:rsid w:val="004E18F2"/>
    <w:rsid w:val="004E19AF"/>
    <w:rsid w:val="004E19DA"/>
    <w:rsid w:val="004E1A2D"/>
    <w:rsid w:val="004E1B8D"/>
    <w:rsid w:val="004E1BD4"/>
    <w:rsid w:val="004E1C2B"/>
    <w:rsid w:val="004E1C4D"/>
    <w:rsid w:val="004E1CC7"/>
    <w:rsid w:val="004E1CCB"/>
    <w:rsid w:val="004E1D94"/>
    <w:rsid w:val="004E1F00"/>
    <w:rsid w:val="004E1F2B"/>
    <w:rsid w:val="004E1F3A"/>
    <w:rsid w:val="004E1F7F"/>
    <w:rsid w:val="004E206A"/>
    <w:rsid w:val="004E2193"/>
    <w:rsid w:val="004E21C2"/>
    <w:rsid w:val="004E2349"/>
    <w:rsid w:val="004E2455"/>
    <w:rsid w:val="004E24A7"/>
    <w:rsid w:val="004E2529"/>
    <w:rsid w:val="004E2533"/>
    <w:rsid w:val="004E25D2"/>
    <w:rsid w:val="004E263E"/>
    <w:rsid w:val="004E26BE"/>
    <w:rsid w:val="004E26F4"/>
    <w:rsid w:val="004E270D"/>
    <w:rsid w:val="004E2821"/>
    <w:rsid w:val="004E2827"/>
    <w:rsid w:val="004E28C6"/>
    <w:rsid w:val="004E29AF"/>
    <w:rsid w:val="004E29C2"/>
    <w:rsid w:val="004E29CF"/>
    <w:rsid w:val="004E2B30"/>
    <w:rsid w:val="004E2B51"/>
    <w:rsid w:val="004E2C55"/>
    <w:rsid w:val="004E2D53"/>
    <w:rsid w:val="004E2D8C"/>
    <w:rsid w:val="004E2DD8"/>
    <w:rsid w:val="004E2E0A"/>
    <w:rsid w:val="004E2E87"/>
    <w:rsid w:val="004E2EAD"/>
    <w:rsid w:val="004E2F33"/>
    <w:rsid w:val="004E2F49"/>
    <w:rsid w:val="004E301B"/>
    <w:rsid w:val="004E3026"/>
    <w:rsid w:val="004E305A"/>
    <w:rsid w:val="004E30FD"/>
    <w:rsid w:val="004E310B"/>
    <w:rsid w:val="004E312F"/>
    <w:rsid w:val="004E320D"/>
    <w:rsid w:val="004E323C"/>
    <w:rsid w:val="004E32A5"/>
    <w:rsid w:val="004E332C"/>
    <w:rsid w:val="004E3344"/>
    <w:rsid w:val="004E3371"/>
    <w:rsid w:val="004E33B9"/>
    <w:rsid w:val="004E341C"/>
    <w:rsid w:val="004E3462"/>
    <w:rsid w:val="004E34F8"/>
    <w:rsid w:val="004E3519"/>
    <w:rsid w:val="004E35D0"/>
    <w:rsid w:val="004E3603"/>
    <w:rsid w:val="004E368C"/>
    <w:rsid w:val="004E3742"/>
    <w:rsid w:val="004E374B"/>
    <w:rsid w:val="004E37E1"/>
    <w:rsid w:val="004E38F9"/>
    <w:rsid w:val="004E392C"/>
    <w:rsid w:val="004E39A2"/>
    <w:rsid w:val="004E3A92"/>
    <w:rsid w:val="004E3A98"/>
    <w:rsid w:val="004E3AF1"/>
    <w:rsid w:val="004E3B58"/>
    <w:rsid w:val="004E3C21"/>
    <w:rsid w:val="004E3C8B"/>
    <w:rsid w:val="004E3C96"/>
    <w:rsid w:val="004E3CC1"/>
    <w:rsid w:val="004E3D1E"/>
    <w:rsid w:val="004E3D3A"/>
    <w:rsid w:val="004E3E56"/>
    <w:rsid w:val="004E3F19"/>
    <w:rsid w:val="004E3F58"/>
    <w:rsid w:val="004E3FC7"/>
    <w:rsid w:val="004E3FF5"/>
    <w:rsid w:val="004E403B"/>
    <w:rsid w:val="004E4193"/>
    <w:rsid w:val="004E4194"/>
    <w:rsid w:val="004E41C4"/>
    <w:rsid w:val="004E42A0"/>
    <w:rsid w:val="004E42E8"/>
    <w:rsid w:val="004E435C"/>
    <w:rsid w:val="004E44D1"/>
    <w:rsid w:val="004E44F6"/>
    <w:rsid w:val="004E4587"/>
    <w:rsid w:val="004E45A1"/>
    <w:rsid w:val="004E45DB"/>
    <w:rsid w:val="004E485A"/>
    <w:rsid w:val="004E48E7"/>
    <w:rsid w:val="004E493F"/>
    <w:rsid w:val="004E49A9"/>
    <w:rsid w:val="004E4C4E"/>
    <w:rsid w:val="004E4CA3"/>
    <w:rsid w:val="004E4CE6"/>
    <w:rsid w:val="004E4E10"/>
    <w:rsid w:val="004E4E4F"/>
    <w:rsid w:val="004E4EA9"/>
    <w:rsid w:val="004E4F82"/>
    <w:rsid w:val="004E5068"/>
    <w:rsid w:val="004E51C1"/>
    <w:rsid w:val="004E51C6"/>
    <w:rsid w:val="004E5301"/>
    <w:rsid w:val="004E5367"/>
    <w:rsid w:val="004E546E"/>
    <w:rsid w:val="004E54B7"/>
    <w:rsid w:val="004E5577"/>
    <w:rsid w:val="004E5618"/>
    <w:rsid w:val="004E56C5"/>
    <w:rsid w:val="004E56CC"/>
    <w:rsid w:val="004E570C"/>
    <w:rsid w:val="004E573F"/>
    <w:rsid w:val="004E57F3"/>
    <w:rsid w:val="004E58B1"/>
    <w:rsid w:val="004E58B2"/>
    <w:rsid w:val="004E5909"/>
    <w:rsid w:val="004E5980"/>
    <w:rsid w:val="004E5A27"/>
    <w:rsid w:val="004E5A61"/>
    <w:rsid w:val="004E5A6C"/>
    <w:rsid w:val="004E5A70"/>
    <w:rsid w:val="004E5A9D"/>
    <w:rsid w:val="004E5AEB"/>
    <w:rsid w:val="004E5B1F"/>
    <w:rsid w:val="004E5B2F"/>
    <w:rsid w:val="004E5C1E"/>
    <w:rsid w:val="004E5CDE"/>
    <w:rsid w:val="004E5CF9"/>
    <w:rsid w:val="004E5D2A"/>
    <w:rsid w:val="004E5DD0"/>
    <w:rsid w:val="004E5DEC"/>
    <w:rsid w:val="004E5ECC"/>
    <w:rsid w:val="004E5EFA"/>
    <w:rsid w:val="004E5FF1"/>
    <w:rsid w:val="004E60F1"/>
    <w:rsid w:val="004E611E"/>
    <w:rsid w:val="004E6225"/>
    <w:rsid w:val="004E6239"/>
    <w:rsid w:val="004E62E9"/>
    <w:rsid w:val="004E6399"/>
    <w:rsid w:val="004E6454"/>
    <w:rsid w:val="004E64A9"/>
    <w:rsid w:val="004E64F0"/>
    <w:rsid w:val="004E64FF"/>
    <w:rsid w:val="004E6527"/>
    <w:rsid w:val="004E6619"/>
    <w:rsid w:val="004E661E"/>
    <w:rsid w:val="004E66B8"/>
    <w:rsid w:val="004E66B9"/>
    <w:rsid w:val="004E66E1"/>
    <w:rsid w:val="004E6796"/>
    <w:rsid w:val="004E679C"/>
    <w:rsid w:val="004E680C"/>
    <w:rsid w:val="004E6858"/>
    <w:rsid w:val="004E688E"/>
    <w:rsid w:val="004E699B"/>
    <w:rsid w:val="004E6A02"/>
    <w:rsid w:val="004E6A54"/>
    <w:rsid w:val="004E6A58"/>
    <w:rsid w:val="004E6A85"/>
    <w:rsid w:val="004E6B5C"/>
    <w:rsid w:val="004E6CD9"/>
    <w:rsid w:val="004E6D5B"/>
    <w:rsid w:val="004E6D61"/>
    <w:rsid w:val="004E6DE1"/>
    <w:rsid w:val="004E6E0A"/>
    <w:rsid w:val="004E6FFE"/>
    <w:rsid w:val="004E7019"/>
    <w:rsid w:val="004E70BD"/>
    <w:rsid w:val="004E7102"/>
    <w:rsid w:val="004E7174"/>
    <w:rsid w:val="004E7255"/>
    <w:rsid w:val="004E72C0"/>
    <w:rsid w:val="004E7303"/>
    <w:rsid w:val="004E735C"/>
    <w:rsid w:val="004E73CA"/>
    <w:rsid w:val="004E74D6"/>
    <w:rsid w:val="004E7520"/>
    <w:rsid w:val="004E7571"/>
    <w:rsid w:val="004E75E2"/>
    <w:rsid w:val="004E75EA"/>
    <w:rsid w:val="004E76F9"/>
    <w:rsid w:val="004E770F"/>
    <w:rsid w:val="004E772C"/>
    <w:rsid w:val="004E7756"/>
    <w:rsid w:val="004E7829"/>
    <w:rsid w:val="004E793B"/>
    <w:rsid w:val="004E7988"/>
    <w:rsid w:val="004E79A6"/>
    <w:rsid w:val="004E7AC4"/>
    <w:rsid w:val="004E7B94"/>
    <w:rsid w:val="004E7CF2"/>
    <w:rsid w:val="004E7CF7"/>
    <w:rsid w:val="004E7D67"/>
    <w:rsid w:val="004E7D8D"/>
    <w:rsid w:val="004E7DE8"/>
    <w:rsid w:val="004E7E1D"/>
    <w:rsid w:val="004E7E75"/>
    <w:rsid w:val="004E7F47"/>
    <w:rsid w:val="004E7F66"/>
    <w:rsid w:val="004E7F93"/>
    <w:rsid w:val="004F0036"/>
    <w:rsid w:val="004F0071"/>
    <w:rsid w:val="004F0142"/>
    <w:rsid w:val="004F0162"/>
    <w:rsid w:val="004F0209"/>
    <w:rsid w:val="004F024E"/>
    <w:rsid w:val="004F0264"/>
    <w:rsid w:val="004F02DB"/>
    <w:rsid w:val="004F03F3"/>
    <w:rsid w:val="004F04C1"/>
    <w:rsid w:val="004F04CC"/>
    <w:rsid w:val="004F0533"/>
    <w:rsid w:val="004F05C0"/>
    <w:rsid w:val="004F05EE"/>
    <w:rsid w:val="004F05FD"/>
    <w:rsid w:val="004F0604"/>
    <w:rsid w:val="004F06A1"/>
    <w:rsid w:val="004F06A9"/>
    <w:rsid w:val="004F072A"/>
    <w:rsid w:val="004F0736"/>
    <w:rsid w:val="004F0737"/>
    <w:rsid w:val="004F075D"/>
    <w:rsid w:val="004F0769"/>
    <w:rsid w:val="004F0854"/>
    <w:rsid w:val="004F0A51"/>
    <w:rsid w:val="004F0A99"/>
    <w:rsid w:val="004F0AAA"/>
    <w:rsid w:val="004F0B02"/>
    <w:rsid w:val="004F0CB3"/>
    <w:rsid w:val="004F0CF1"/>
    <w:rsid w:val="004F0CFB"/>
    <w:rsid w:val="004F0DA0"/>
    <w:rsid w:val="004F0E09"/>
    <w:rsid w:val="004F0E0D"/>
    <w:rsid w:val="004F0E5D"/>
    <w:rsid w:val="004F0E63"/>
    <w:rsid w:val="004F0E81"/>
    <w:rsid w:val="004F0F29"/>
    <w:rsid w:val="004F0F77"/>
    <w:rsid w:val="004F0FF9"/>
    <w:rsid w:val="004F10E0"/>
    <w:rsid w:val="004F1113"/>
    <w:rsid w:val="004F111B"/>
    <w:rsid w:val="004F11A8"/>
    <w:rsid w:val="004F1200"/>
    <w:rsid w:val="004F1284"/>
    <w:rsid w:val="004F138F"/>
    <w:rsid w:val="004F13AA"/>
    <w:rsid w:val="004F1567"/>
    <w:rsid w:val="004F15D8"/>
    <w:rsid w:val="004F1734"/>
    <w:rsid w:val="004F179E"/>
    <w:rsid w:val="004F1946"/>
    <w:rsid w:val="004F19FE"/>
    <w:rsid w:val="004F1A4A"/>
    <w:rsid w:val="004F1A6E"/>
    <w:rsid w:val="004F1AF5"/>
    <w:rsid w:val="004F1B08"/>
    <w:rsid w:val="004F1B40"/>
    <w:rsid w:val="004F1B4B"/>
    <w:rsid w:val="004F1B7D"/>
    <w:rsid w:val="004F1C5E"/>
    <w:rsid w:val="004F1CC0"/>
    <w:rsid w:val="004F1E01"/>
    <w:rsid w:val="004F1E34"/>
    <w:rsid w:val="004F1E86"/>
    <w:rsid w:val="004F207B"/>
    <w:rsid w:val="004F2133"/>
    <w:rsid w:val="004F2247"/>
    <w:rsid w:val="004F224D"/>
    <w:rsid w:val="004F2251"/>
    <w:rsid w:val="004F228E"/>
    <w:rsid w:val="004F22C5"/>
    <w:rsid w:val="004F22F4"/>
    <w:rsid w:val="004F2396"/>
    <w:rsid w:val="004F23A0"/>
    <w:rsid w:val="004F23B0"/>
    <w:rsid w:val="004F2400"/>
    <w:rsid w:val="004F25A4"/>
    <w:rsid w:val="004F2638"/>
    <w:rsid w:val="004F26A1"/>
    <w:rsid w:val="004F270E"/>
    <w:rsid w:val="004F274F"/>
    <w:rsid w:val="004F27F6"/>
    <w:rsid w:val="004F2988"/>
    <w:rsid w:val="004F2A19"/>
    <w:rsid w:val="004F2A6E"/>
    <w:rsid w:val="004F2A76"/>
    <w:rsid w:val="004F2B75"/>
    <w:rsid w:val="004F2C72"/>
    <w:rsid w:val="004F2CB4"/>
    <w:rsid w:val="004F2CBD"/>
    <w:rsid w:val="004F2D0A"/>
    <w:rsid w:val="004F2DCE"/>
    <w:rsid w:val="004F2E22"/>
    <w:rsid w:val="004F2E72"/>
    <w:rsid w:val="004F2F56"/>
    <w:rsid w:val="004F3054"/>
    <w:rsid w:val="004F323A"/>
    <w:rsid w:val="004F3465"/>
    <w:rsid w:val="004F34B8"/>
    <w:rsid w:val="004F3575"/>
    <w:rsid w:val="004F3634"/>
    <w:rsid w:val="004F3676"/>
    <w:rsid w:val="004F36AA"/>
    <w:rsid w:val="004F36B4"/>
    <w:rsid w:val="004F36C7"/>
    <w:rsid w:val="004F371F"/>
    <w:rsid w:val="004F3723"/>
    <w:rsid w:val="004F3871"/>
    <w:rsid w:val="004F38FA"/>
    <w:rsid w:val="004F3934"/>
    <w:rsid w:val="004F3B1B"/>
    <w:rsid w:val="004F3B29"/>
    <w:rsid w:val="004F3B32"/>
    <w:rsid w:val="004F3B6B"/>
    <w:rsid w:val="004F3C77"/>
    <w:rsid w:val="004F3C85"/>
    <w:rsid w:val="004F3CA6"/>
    <w:rsid w:val="004F3CD8"/>
    <w:rsid w:val="004F3E00"/>
    <w:rsid w:val="004F3F10"/>
    <w:rsid w:val="004F3F9B"/>
    <w:rsid w:val="004F3FD5"/>
    <w:rsid w:val="004F4048"/>
    <w:rsid w:val="004F4084"/>
    <w:rsid w:val="004F40A6"/>
    <w:rsid w:val="004F40FC"/>
    <w:rsid w:val="004F414B"/>
    <w:rsid w:val="004F4168"/>
    <w:rsid w:val="004F4203"/>
    <w:rsid w:val="004F420C"/>
    <w:rsid w:val="004F427A"/>
    <w:rsid w:val="004F42B7"/>
    <w:rsid w:val="004F4318"/>
    <w:rsid w:val="004F4325"/>
    <w:rsid w:val="004F4328"/>
    <w:rsid w:val="004F438D"/>
    <w:rsid w:val="004F43A1"/>
    <w:rsid w:val="004F440A"/>
    <w:rsid w:val="004F443B"/>
    <w:rsid w:val="004F44C0"/>
    <w:rsid w:val="004F4549"/>
    <w:rsid w:val="004F4641"/>
    <w:rsid w:val="004F46DB"/>
    <w:rsid w:val="004F4742"/>
    <w:rsid w:val="004F47DD"/>
    <w:rsid w:val="004F4821"/>
    <w:rsid w:val="004F4859"/>
    <w:rsid w:val="004F48F2"/>
    <w:rsid w:val="004F49CF"/>
    <w:rsid w:val="004F4A4E"/>
    <w:rsid w:val="004F4A67"/>
    <w:rsid w:val="004F4A9A"/>
    <w:rsid w:val="004F4B70"/>
    <w:rsid w:val="004F4BD0"/>
    <w:rsid w:val="004F4BDC"/>
    <w:rsid w:val="004F4C05"/>
    <w:rsid w:val="004F4CD3"/>
    <w:rsid w:val="004F4CF5"/>
    <w:rsid w:val="004F4D46"/>
    <w:rsid w:val="004F4D99"/>
    <w:rsid w:val="004F4E4D"/>
    <w:rsid w:val="004F4E93"/>
    <w:rsid w:val="004F4ECA"/>
    <w:rsid w:val="004F4FCF"/>
    <w:rsid w:val="004F4FDF"/>
    <w:rsid w:val="004F5005"/>
    <w:rsid w:val="004F50B2"/>
    <w:rsid w:val="004F510F"/>
    <w:rsid w:val="004F517C"/>
    <w:rsid w:val="004F51CA"/>
    <w:rsid w:val="004F5272"/>
    <w:rsid w:val="004F5279"/>
    <w:rsid w:val="004F52A4"/>
    <w:rsid w:val="004F52E7"/>
    <w:rsid w:val="004F54A9"/>
    <w:rsid w:val="004F54F6"/>
    <w:rsid w:val="004F5510"/>
    <w:rsid w:val="004F5576"/>
    <w:rsid w:val="004F55CA"/>
    <w:rsid w:val="004F565D"/>
    <w:rsid w:val="004F5665"/>
    <w:rsid w:val="004F56E8"/>
    <w:rsid w:val="004F5864"/>
    <w:rsid w:val="004F58B0"/>
    <w:rsid w:val="004F58F1"/>
    <w:rsid w:val="004F597B"/>
    <w:rsid w:val="004F5A4C"/>
    <w:rsid w:val="004F5B47"/>
    <w:rsid w:val="004F5B58"/>
    <w:rsid w:val="004F5BB3"/>
    <w:rsid w:val="004F5CD4"/>
    <w:rsid w:val="004F5CF6"/>
    <w:rsid w:val="004F5DB6"/>
    <w:rsid w:val="004F5E16"/>
    <w:rsid w:val="004F5E18"/>
    <w:rsid w:val="004F5E85"/>
    <w:rsid w:val="004F5F53"/>
    <w:rsid w:val="004F5F5E"/>
    <w:rsid w:val="004F5F9C"/>
    <w:rsid w:val="004F5FE5"/>
    <w:rsid w:val="004F5FEB"/>
    <w:rsid w:val="004F60D0"/>
    <w:rsid w:val="004F6130"/>
    <w:rsid w:val="004F61DC"/>
    <w:rsid w:val="004F61E7"/>
    <w:rsid w:val="004F6237"/>
    <w:rsid w:val="004F62A2"/>
    <w:rsid w:val="004F6381"/>
    <w:rsid w:val="004F642C"/>
    <w:rsid w:val="004F651A"/>
    <w:rsid w:val="004F6578"/>
    <w:rsid w:val="004F668D"/>
    <w:rsid w:val="004F669A"/>
    <w:rsid w:val="004F671C"/>
    <w:rsid w:val="004F677E"/>
    <w:rsid w:val="004F68A8"/>
    <w:rsid w:val="004F69A8"/>
    <w:rsid w:val="004F6A75"/>
    <w:rsid w:val="004F6A86"/>
    <w:rsid w:val="004F6AB2"/>
    <w:rsid w:val="004F6BBB"/>
    <w:rsid w:val="004F6D29"/>
    <w:rsid w:val="004F6D5E"/>
    <w:rsid w:val="004F6E58"/>
    <w:rsid w:val="004F6F95"/>
    <w:rsid w:val="004F6F9B"/>
    <w:rsid w:val="004F6FD7"/>
    <w:rsid w:val="004F705F"/>
    <w:rsid w:val="004F7077"/>
    <w:rsid w:val="004F71E6"/>
    <w:rsid w:val="004F7310"/>
    <w:rsid w:val="004F731C"/>
    <w:rsid w:val="004F7330"/>
    <w:rsid w:val="004F73D5"/>
    <w:rsid w:val="004F7414"/>
    <w:rsid w:val="004F7469"/>
    <w:rsid w:val="004F74A9"/>
    <w:rsid w:val="004F74BC"/>
    <w:rsid w:val="004F74C2"/>
    <w:rsid w:val="004F74F2"/>
    <w:rsid w:val="004F75C8"/>
    <w:rsid w:val="004F7681"/>
    <w:rsid w:val="004F76DE"/>
    <w:rsid w:val="004F7707"/>
    <w:rsid w:val="004F77CF"/>
    <w:rsid w:val="004F7835"/>
    <w:rsid w:val="004F7855"/>
    <w:rsid w:val="004F79CA"/>
    <w:rsid w:val="004F7A49"/>
    <w:rsid w:val="004F7C31"/>
    <w:rsid w:val="004F7CC2"/>
    <w:rsid w:val="004F7CF8"/>
    <w:rsid w:val="004F7D22"/>
    <w:rsid w:val="004F7D4A"/>
    <w:rsid w:val="004F7D67"/>
    <w:rsid w:val="004F7DFB"/>
    <w:rsid w:val="004F7E8E"/>
    <w:rsid w:val="004F7F59"/>
    <w:rsid w:val="00500015"/>
    <w:rsid w:val="00500034"/>
    <w:rsid w:val="0050005C"/>
    <w:rsid w:val="005000BD"/>
    <w:rsid w:val="00500123"/>
    <w:rsid w:val="00500136"/>
    <w:rsid w:val="00500147"/>
    <w:rsid w:val="005001CA"/>
    <w:rsid w:val="005002CE"/>
    <w:rsid w:val="005002D6"/>
    <w:rsid w:val="005003CE"/>
    <w:rsid w:val="005003DC"/>
    <w:rsid w:val="005004AA"/>
    <w:rsid w:val="0050058F"/>
    <w:rsid w:val="00500599"/>
    <w:rsid w:val="00500738"/>
    <w:rsid w:val="00500762"/>
    <w:rsid w:val="00500985"/>
    <w:rsid w:val="00500986"/>
    <w:rsid w:val="00500A94"/>
    <w:rsid w:val="00500A95"/>
    <w:rsid w:val="00500AF8"/>
    <w:rsid w:val="00500B04"/>
    <w:rsid w:val="00500B0D"/>
    <w:rsid w:val="00500C47"/>
    <w:rsid w:val="00500C5C"/>
    <w:rsid w:val="00500C6D"/>
    <w:rsid w:val="00500CA4"/>
    <w:rsid w:val="00500CBA"/>
    <w:rsid w:val="00500D14"/>
    <w:rsid w:val="00500D9E"/>
    <w:rsid w:val="00500DB9"/>
    <w:rsid w:val="00500E06"/>
    <w:rsid w:val="00500E73"/>
    <w:rsid w:val="00500EBB"/>
    <w:rsid w:val="00500FC6"/>
    <w:rsid w:val="00500FF5"/>
    <w:rsid w:val="00501097"/>
    <w:rsid w:val="0050123A"/>
    <w:rsid w:val="0050129C"/>
    <w:rsid w:val="005012AC"/>
    <w:rsid w:val="005012F1"/>
    <w:rsid w:val="0050135A"/>
    <w:rsid w:val="0050137F"/>
    <w:rsid w:val="00501523"/>
    <w:rsid w:val="0050156F"/>
    <w:rsid w:val="005015F6"/>
    <w:rsid w:val="00501615"/>
    <w:rsid w:val="00501753"/>
    <w:rsid w:val="0050175D"/>
    <w:rsid w:val="00501841"/>
    <w:rsid w:val="00501892"/>
    <w:rsid w:val="0050189A"/>
    <w:rsid w:val="005018FD"/>
    <w:rsid w:val="00501935"/>
    <w:rsid w:val="00501A42"/>
    <w:rsid w:val="00501A9C"/>
    <w:rsid w:val="00501AC7"/>
    <w:rsid w:val="00501B71"/>
    <w:rsid w:val="00501CB4"/>
    <w:rsid w:val="00501CE3"/>
    <w:rsid w:val="00501DA8"/>
    <w:rsid w:val="00501DFB"/>
    <w:rsid w:val="00501E2F"/>
    <w:rsid w:val="00501E67"/>
    <w:rsid w:val="00501ED4"/>
    <w:rsid w:val="00501F63"/>
    <w:rsid w:val="00502116"/>
    <w:rsid w:val="0050213D"/>
    <w:rsid w:val="00502279"/>
    <w:rsid w:val="005022CB"/>
    <w:rsid w:val="005022DA"/>
    <w:rsid w:val="0050235C"/>
    <w:rsid w:val="0050236B"/>
    <w:rsid w:val="00502409"/>
    <w:rsid w:val="00502498"/>
    <w:rsid w:val="005024CD"/>
    <w:rsid w:val="00502534"/>
    <w:rsid w:val="005025E0"/>
    <w:rsid w:val="005029F8"/>
    <w:rsid w:val="00502A5C"/>
    <w:rsid w:val="00502A68"/>
    <w:rsid w:val="00502AEB"/>
    <w:rsid w:val="00502BEA"/>
    <w:rsid w:val="00502C4E"/>
    <w:rsid w:val="00502CA1"/>
    <w:rsid w:val="00502D91"/>
    <w:rsid w:val="00502DCA"/>
    <w:rsid w:val="00502E1E"/>
    <w:rsid w:val="00502E32"/>
    <w:rsid w:val="00502E90"/>
    <w:rsid w:val="00502EBC"/>
    <w:rsid w:val="00502EED"/>
    <w:rsid w:val="00502F6E"/>
    <w:rsid w:val="00503045"/>
    <w:rsid w:val="005030D3"/>
    <w:rsid w:val="00503148"/>
    <w:rsid w:val="00503158"/>
    <w:rsid w:val="0050315A"/>
    <w:rsid w:val="0050322D"/>
    <w:rsid w:val="005032B4"/>
    <w:rsid w:val="0050330B"/>
    <w:rsid w:val="005033C7"/>
    <w:rsid w:val="005033F2"/>
    <w:rsid w:val="00503452"/>
    <w:rsid w:val="005034E6"/>
    <w:rsid w:val="0050361F"/>
    <w:rsid w:val="00503653"/>
    <w:rsid w:val="005036C3"/>
    <w:rsid w:val="005036C8"/>
    <w:rsid w:val="005036FF"/>
    <w:rsid w:val="00503702"/>
    <w:rsid w:val="00503714"/>
    <w:rsid w:val="005037A2"/>
    <w:rsid w:val="00503872"/>
    <w:rsid w:val="00503887"/>
    <w:rsid w:val="0050395A"/>
    <w:rsid w:val="00503A25"/>
    <w:rsid w:val="00503A98"/>
    <w:rsid w:val="00503ADC"/>
    <w:rsid w:val="00503B14"/>
    <w:rsid w:val="00503B76"/>
    <w:rsid w:val="00503C0D"/>
    <w:rsid w:val="00503C7C"/>
    <w:rsid w:val="00503C9B"/>
    <w:rsid w:val="00503CCF"/>
    <w:rsid w:val="00503CF6"/>
    <w:rsid w:val="00503D0D"/>
    <w:rsid w:val="00503D20"/>
    <w:rsid w:val="00503DC8"/>
    <w:rsid w:val="00503F05"/>
    <w:rsid w:val="005040CF"/>
    <w:rsid w:val="005040D9"/>
    <w:rsid w:val="005042D1"/>
    <w:rsid w:val="0050436C"/>
    <w:rsid w:val="005043D8"/>
    <w:rsid w:val="00504452"/>
    <w:rsid w:val="0050451F"/>
    <w:rsid w:val="00504622"/>
    <w:rsid w:val="0050473D"/>
    <w:rsid w:val="0050475E"/>
    <w:rsid w:val="00504761"/>
    <w:rsid w:val="00504788"/>
    <w:rsid w:val="0050485A"/>
    <w:rsid w:val="005048B6"/>
    <w:rsid w:val="005048EE"/>
    <w:rsid w:val="00504908"/>
    <w:rsid w:val="00504939"/>
    <w:rsid w:val="00504A83"/>
    <w:rsid w:val="00504AFB"/>
    <w:rsid w:val="00504B86"/>
    <w:rsid w:val="00504B8A"/>
    <w:rsid w:val="00504BBA"/>
    <w:rsid w:val="00504BE6"/>
    <w:rsid w:val="00504CD1"/>
    <w:rsid w:val="00504D6D"/>
    <w:rsid w:val="00504DA9"/>
    <w:rsid w:val="00504F27"/>
    <w:rsid w:val="00504F93"/>
    <w:rsid w:val="00504FBF"/>
    <w:rsid w:val="005050BB"/>
    <w:rsid w:val="005050CF"/>
    <w:rsid w:val="005051A1"/>
    <w:rsid w:val="005051BA"/>
    <w:rsid w:val="005051CF"/>
    <w:rsid w:val="005051F1"/>
    <w:rsid w:val="005052A3"/>
    <w:rsid w:val="005053CA"/>
    <w:rsid w:val="0050549C"/>
    <w:rsid w:val="005055A1"/>
    <w:rsid w:val="005055B5"/>
    <w:rsid w:val="005055B8"/>
    <w:rsid w:val="00505632"/>
    <w:rsid w:val="0050569C"/>
    <w:rsid w:val="0050588A"/>
    <w:rsid w:val="00505976"/>
    <w:rsid w:val="00505A5F"/>
    <w:rsid w:val="00505B1F"/>
    <w:rsid w:val="00505C23"/>
    <w:rsid w:val="00505C24"/>
    <w:rsid w:val="00505CAC"/>
    <w:rsid w:val="00505CED"/>
    <w:rsid w:val="00505D50"/>
    <w:rsid w:val="00505D6C"/>
    <w:rsid w:val="00505E56"/>
    <w:rsid w:val="00505E5F"/>
    <w:rsid w:val="00505E86"/>
    <w:rsid w:val="00505E8D"/>
    <w:rsid w:val="00505E9B"/>
    <w:rsid w:val="00505ED7"/>
    <w:rsid w:val="00505F81"/>
    <w:rsid w:val="00505F83"/>
    <w:rsid w:val="00505F8C"/>
    <w:rsid w:val="00506041"/>
    <w:rsid w:val="005061A0"/>
    <w:rsid w:val="0050621B"/>
    <w:rsid w:val="00506234"/>
    <w:rsid w:val="00506249"/>
    <w:rsid w:val="005062B7"/>
    <w:rsid w:val="00506357"/>
    <w:rsid w:val="00506360"/>
    <w:rsid w:val="005063AF"/>
    <w:rsid w:val="005063C5"/>
    <w:rsid w:val="00506428"/>
    <w:rsid w:val="00506519"/>
    <w:rsid w:val="00506520"/>
    <w:rsid w:val="0050654C"/>
    <w:rsid w:val="005065B9"/>
    <w:rsid w:val="005065EF"/>
    <w:rsid w:val="00506616"/>
    <w:rsid w:val="0050668D"/>
    <w:rsid w:val="005066D5"/>
    <w:rsid w:val="0050670B"/>
    <w:rsid w:val="0050674D"/>
    <w:rsid w:val="00506784"/>
    <w:rsid w:val="0050678A"/>
    <w:rsid w:val="005067F3"/>
    <w:rsid w:val="00506827"/>
    <w:rsid w:val="005068A8"/>
    <w:rsid w:val="005068EF"/>
    <w:rsid w:val="00506A4E"/>
    <w:rsid w:val="00506B0B"/>
    <w:rsid w:val="00506B93"/>
    <w:rsid w:val="00506C43"/>
    <w:rsid w:val="00506E5F"/>
    <w:rsid w:val="00506F92"/>
    <w:rsid w:val="00506FCD"/>
    <w:rsid w:val="00507099"/>
    <w:rsid w:val="005070A8"/>
    <w:rsid w:val="005070CE"/>
    <w:rsid w:val="0050712B"/>
    <w:rsid w:val="005071B9"/>
    <w:rsid w:val="005071D0"/>
    <w:rsid w:val="0050728B"/>
    <w:rsid w:val="005072AE"/>
    <w:rsid w:val="005072C0"/>
    <w:rsid w:val="005072CD"/>
    <w:rsid w:val="00507364"/>
    <w:rsid w:val="0050738D"/>
    <w:rsid w:val="005075E4"/>
    <w:rsid w:val="0050764B"/>
    <w:rsid w:val="00507707"/>
    <w:rsid w:val="00507744"/>
    <w:rsid w:val="00507808"/>
    <w:rsid w:val="00507835"/>
    <w:rsid w:val="0050785B"/>
    <w:rsid w:val="005078BD"/>
    <w:rsid w:val="0050790E"/>
    <w:rsid w:val="0050799B"/>
    <w:rsid w:val="005079D2"/>
    <w:rsid w:val="00507A25"/>
    <w:rsid w:val="00507A88"/>
    <w:rsid w:val="00507ABC"/>
    <w:rsid w:val="00507BA9"/>
    <w:rsid w:val="00507C2E"/>
    <w:rsid w:val="00507CCB"/>
    <w:rsid w:val="00507D2C"/>
    <w:rsid w:val="00507DDF"/>
    <w:rsid w:val="00507E16"/>
    <w:rsid w:val="00507F19"/>
    <w:rsid w:val="00507FCF"/>
    <w:rsid w:val="00510016"/>
    <w:rsid w:val="005100A5"/>
    <w:rsid w:val="005100C6"/>
    <w:rsid w:val="00510153"/>
    <w:rsid w:val="00510197"/>
    <w:rsid w:val="005102EF"/>
    <w:rsid w:val="0051030B"/>
    <w:rsid w:val="00510342"/>
    <w:rsid w:val="00510359"/>
    <w:rsid w:val="00510365"/>
    <w:rsid w:val="005103A4"/>
    <w:rsid w:val="005103CE"/>
    <w:rsid w:val="005103E2"/>
    <w:rsid w:val="00510497"/>
    <w:rsid w:val="00510501"/>
    <w:rsid w:val="0051054B"/>
    <w:rsid w:val="00510591"/>
    <w:rsid w:val="005105E9"/>
    <w:rsid w:val="005105FD"/>
    <w:rsid w:val="00510722"/>
    <w:rsid w:val="00510726"/>
    <w:rsid w:val="00510741"/>
    <w:rsid w:val="00510884"/>
    <w:rsid w:val="005108B2"/>
    <w:rsid w:val="00510915"/>
    <w:rsid w:val="00510983"/>
    <w:rsid w:val="00510A2D"/>
    <w:rsid w:val="00510B43"/>
    <w:rsid w:val="00510B52"/>
    <w:rsid w:val="00510B5D"/>
    <w:rsid w:val="00510B7D"/>
    <w:rsid w:val="00510BAD"/>
    <w:rsid w:val="00510C5F"/>
    <w:rsid w:val="00510D96"/>
    <w:rsid w:val="00510DB9"/>
    <w:rsid w:val="00510DE2"/>
    <w:rsid w:val="00510E95"/>
    <w:rsid w:val="00510EA3"/>
    <w:rsid w:val="00510EAF"/>
    <w:rsid w:val="00510F4F"/>
    <w:rsid w:val="00510FD0"/>
    <w:rsid w:val="0051103C"/>
    <w:rsid w:val="00511066"/>
    <w:rsid w:val="0051108D"/>
    <w:rsid w:val="0051114C"/>
    <w:rsid w:val="005112E4"/>
    <w:rsid w:val="00511347"/>
    <w:rsid w:val="005113D2"/>
    <w:rsid w:val="005113F0"/>
    <w:rsid w:val="00511432"/>
    <w:rsid w:val="00511439"/>
    <w:rsid w:val="00511453"/>
    <w:rsid w:val="00511461"/>
    <w:rsid w:val="005115FE"/>
    <w:rsid w:val="00511846"/>
    <w:rsid w:val="00511872"/>
    <w:rsid w:val="005118B9"/>
    <w:rsid w:val="0051190B"/>
    <w:rsid w:val="00511964"/>
    <w:rsid w:val="0051198F"/>
    <w:rsid w:val="00511A52"/>
    <w:rsid w:val="00511B29"/>
    <w:rsid w:val="00511D29"/>
    <w:rsid w:val="00511DFB"/>
    <w:rsid w:val="00511E59"/>
    <w:rsid w:val="00511E6C"/>
    <w:rsid w:val="00511EB9"/>
    <w:rsid w:val="00511EF2"/>
    <w:rsid w:val="00511F28"/>
    <w:rsid w:val="00511F91"/>
    <w:rsid w:val="00511FFD"/>
    <w:rsid w:val="00512032"/>
    <w:rsid w:val="00512046"/>
    <w:rsid w:val="0051205B"/>
    <w:rsid w:val="00512080"/>
    <w:rsid w:val="0051214D"/>
    <w:rsid w:val="005121F1"/>
    <w:rsid w:val="00512218"/>
    <w:rsid w:val="005123C5"/>
    <w:rsid w:val="00512473"/>
    <w:rsid w:val="005124ED"/>
    <w:rsid w:val="0051255F"/>
    <w:rsid w:val="0051278A"/>
    <w:rsid w:val="00512892"/>
    <w:rsid w:val="005128A3"/>
    <w:rsid w:val="005129BC"/>
    <w:rsid w:val="00512A0F"/>
    <w:rsid w:val="00512C46"/>
    <w:rsid w:val="00512CF6"/>
    <w:rsid w:val="00512D5B"/>
    <w:rsid w:val="00512D64"/>
    <w:rsid w:val="00512E9F"/>
    <w:rsid w:val="00512F00"/>
    <w:rsid w:val="00512F26"/>
    <w:rsid w:val="00512FA8"/>
    <w:rsid w:val="00512FF3"/>
    <w:rsid w:val="00513002"/>
    <w:rsid w:val="00513073"/>
    <w:rsid w:val="005130FB"/>
    <w:rsid w:val="0051310B"/>
    <w:rsid w:val="005131AA"/>
    <w:rsid w:val="00513226"/>
    <w:rsid w:val="0051323F"/>
    <w:rsid w:val="005133D1"/>
    <w:rsid w:val="005134BD"/>
    <w:rsid w:val="0051353A"/>
    <w:rsid w:val="0051368C"/>
    <w:rsid w:val="005137C3"/>
    <w:rsid w:val="005138E9"/>
    <w:rsid w:val="00513978"/>
    <w:rsid w:val="00513A5F"/>
    <w:rsid w:val="00513A96"/>
    <w:rsid w:val="00513A9C"/>
    <w:rsid w:val="00513AB3"/>
    <w:rsid w:val="00513ACC"/>
    <w:rsid w:val="00513C3D"/>
    <w:rsid w:val="00513CC8"/>
    <w:rsid w:val="00513CE5"/>
    <w:rsid w:val="00513D20"/>
    <w:rsid w:val="00513D76"/>
    <w:rsid w:val="00513DB1"/>
    <w:rsid w:val="00513DEE"/>
    <w:rsid w:val="00513FF0"/>
    <w:rsid w:val="005141B1"/>
    <w:rsid w:val="005141E8"/>
    <w:rsid w:val="005142CB"/>
    <w:rsid w:val="0051431D"/>
    <w:rsid w:val="00514330"/>
    <w:rsid w:val="00514353"/>
    <w:rsid w:val="0051437B"/>
    <w:rsid w:val="005143CB"/>
    <w:rsid w:val="00514571"/>
    <w:rsid w:val="00514601"/>
    <w:rsid w:val="0051467B"/>
    <w:rsid w:val="0051474E"/>
    <w:rsid w:val="005147AF"/>
    <w:rsid w:val="00514803"/>
    <w:rsid w:val="005148E9"/>
    <w:rsid w:val="0051490E"/>
    <w:rsid w:val="0051497E"/>
    <w:rsid w:val="00514A37"/>
    <w:rsid w:val="00514A4B"/>
    <w:rsid w:val="00514B61"/>
    <w:rsid w:val="00514B8C"/>
    <w:rsid w:val="00514B99"/>
    <w:rsid w:val="00514BE3"/>
    <w:rsid w:val="00514BF1"/>
    <w:rsid w:val="00514F48"/>
    <w:rsid w:val="00514FE7"/>
    <w:rsid w:val="0051501A"/>
    <w:rsid w:val="00515030"/>
    <w:rsid w:val="00515083"/>
    <w:rsid w:val="005150D7"/>
    <w:rsid w:val="00515141"/>
    <w:rsid w:val="00515181"/>
    <w:rsid w:val="005151C4"/>
    <w:rsid w:val="00515238"/>
    <w:rsid w:val="00515293"/>
    <w:rsid w:val="0051533C"/>
    <w:rsid w:val="00515356"/>
    <w:rsid w:val="005153DB"/>
    <w:rsid w:val="005154DB"/>
    <w:rsid w:val="005155BC"/>
    <w:rsid w:val="00515677"/>
    <w:rsid w:val="00515689"/>
    <w:rsid w:val="005156C4"/>
    <w:rsid w:val="005157E1"/>
    <w:rsid w:val="005157F4"/>
    <w:rsid w:val="00515810"/>
    <w:rsid w:val="00515844"/>
    <w:rsid w:val="00515861"/>
    <w:rsid w:val="00515864"/>
    <w:rsid w:val="00515914"/>
    <w:rsid w:val="0051591C"/>
    <w:rsid w:val="00515AF7"/>
    <w:rsid w:val="00515BD2"/>
    <w:rsid w:val="00515C53"/>
    <w:rsid w:val="00515CA0"/>
    <w:rsid w:val="00515D52"/>
    <w:rsid w:val="00515DB0"/>
    <w:rsid w:val="00515E40"/>
    <w:rsid w:val="00515E7F"/>
    <w:rsid w:val="00515EFB"/>
    <w:rsid w:val="00515F3B"/>
    <w:rsid w:val="00515F4D"/>
    <w:rsid w:val="00515FDA"/>
    <w:rsid w:val="00516012"/>
    <w:rsid w:val="00516021"/>
    <w:rsid w:val="00516041"/>
    <w:rsid w:val="005160B0"/>
    <w:rsid w:val="00516164"/>
    <w:rsid w:val="00516173"/>
    <w:rsid w:val="005161FC"/>
    <w:rsid w:val="005162A0"/>
    <w:rsid w:val="005162AB"/>
    <w:rsid w:val="00516306"/>
    <w:rsid w:val="00516327"/>
    <w:rsid w:val="00516378"/>
    <w:rsid w:val="00516428"/>
    <w:rsid w:val="00516474"/>
    <w:rsid w:val="00516479"/>
    <w:rsid w:val="005164A6"/>
    <w:rsid w:val="0051659E"/>
    <w:rsid w:val="0051659F"/>
    <w:rsid w:val="005165E5"/>
    <w:rsid w:val="005166AA"/>
    <w:rsid w:val="005166AC"/>
    <w:rsid w:val="00516701"/>
    <w:rsid w:val="00516739"/>
    <w:rsid w:val="00516782"/>
    <w:rsid w:val="005167E0"/>
    <w:rsid w:val="00516842"/>
    <w:rsid w:val="00516949"/>
    <w:rsid w:val="005169C5"/>
    <w:rsid w:val="00516A05"/>
    <w:rsid w:val="00516A0A"/>
    <w:rsid w:val="00516A89"/>
    <w:rsid w:val="00516AC6"/>
    <w:rsid w:val="00516ACC"/>
    <w:rsid w:val="00516B1B"/>
    <w:rsid w:val="00516BB6"/>
    <w:rsid w:val="00516CA5"/>
    <w:rsid w:val="00516CD2"/>
    <w:rsid w:val="00516E40"/>
    <w:rsid w:val="00516EA8"/>
    <w:rsid w:val="00516ED1"/>
    <w:rsid w:val="00516F84"/>
    <w:rsid w:val="00517099"/>
    <w:rsid w:val="005170EF"/>
    <w:rsid w:val="005171F3"/>
    <w:rsid w:val="00517257"/>
    <w:rsid w:val="0051736F"/>
    <w:rsid w:val="0051737B"/>
    <w:rsid w:val="005173C4"/>
    <w:rsid w:val="0051746F"/>
    <w:rsid w:val="005174E1"/>
    <w:rsid w:val="00517517"/>
    <w:rsid w:val="00517536"/>
    <w:rsid w:val="005175F2"/>
    <w:rsid w:val="0051761F"/>
    <w:rsid w:val="00517684"/>
    <w:rsid w:val="0051768C"/>
    <w:rsid w:val="005176A1"/>
    <w:rsid w:val="00517717"/>
    <w:rsid w:val="0051784B"/>
    <w:rsid w:val="0051793B"/>
    <w:rsid w:val="00517A52"/>
    <w:rsid w:val="00517AA9"/>
    <w:rsid w:val="00517AF6"/>
    <w:rsid w:val="00517B75"/>
    <w:rsid w:val="00517C2A"/>
    <w:rsid w:val="00517C58"/>
    <w:rsid w:val="00517C9B"/>
    <w:rsid w:val="00517D33"/>
    <w:rsid w:val="00517D39"/>
    <w:rsid w:val="00517DC5"/>
    <w:rsid w:val="00517EA5"/>
    <w:rsid w:val="00517F54"/>
    <w:rsid w:val="00517F66"/>
    <w:rsid w:val="00517F79"/>
    <w:rsid w:val="0052002C"/>
    <w:rsid w:val="0052004A"/>
    <w:rsid w:val="005201D2"/>
    <w:rsid w:val="00520202"/>
    <w:rsid w:val="0052038E"/>
    <w:rsid w:val="005203D3"/>
    <w:rsid w:val="0052046E"/>
    <w:rsid w:val="00520533"/>
    <w:rsid w:val="005205AA"/>
    <w:rsid w:val="00520626"/>
    <w:rsid w:val="00520634"/>
    <w:rsid w:val="0052080B"/>
    <w:rsid w:val="00520854"/>
    <w:rsid w:val="005208C8"/>
    <w:rsid w:val="00520B23"/>
    <w:rsid w:val="00520CE9"/>
    <w:rsid w:val="00520D97"/>
    <w:rsid w:val="00520DB5"/>
    <w:rsid w:val="00520DB6"/>
    <w:rsid w:val="00520EB2"/>
    <w:rsid w:val="00520EE2"/>
    <w:rsid w:val="00520F47"/>
    <w:rsid w:val="00520FFA"/>
    <w:rsid w:val="005210E6"/>
    <w:rsid w:val="00521102"/>
    <w:rsid w:val="00521128"/>
    <w:rsid w:val="005211D8"/>
    <w:rsid w:val="0052121A"/>
    <w:rsid w:val="00521228"/>
    <w:rsid w:val="005212C2"/>
    <w:rsid w:val="005212CD"/>
    <w:rsid w:val="005212D8"/>
    <w:rsid w:val="0052132E"/>
    <w:rsid w:val="005213AF"/>
    <w:rsid w:val="0052173C"/>
    <w:rsid w:val="005217C6"/>
    <w:rsid w:val="005217D6"/>
    <w:rsid w:val="0052181E"/>
    <w:rsid w:val="00521854"/>
    <w:rsid w:val="00521870"/>
    <w:rsid w:val="00521953"/>
    <w:rsid w:val="00521A31"/>
    <w:rsid w:val="00521AE2"/>
    <w:rsid w:val="00521C19"/>
    <w:rsid w:val="00521CB1"/>
    <w:rsid w:val="00521CC0"/>
    <w:rsid w:val="00521D81"/>
    <w:rsid w:val="00521E30"/>
    <w:rsid w:val="00521F58"/>
    <w:rsid w:val="00521F59"/>
    <w:rsid w:val="00522028"/>
    <w:rsid w:val="0052203D"/>
    <w:rsid w:val="005220BA"/>
    <w:rsid w:val="005220DF"/>
    <w:rsid w:val="00522163"/>
    <w:rsid w:val="0052217E"/>
    <w:rsid w:val="0052229A"/>
    <w:rsid w:val="0052234F"/>
    <w:rsid w:val="005223AA"/>
    <w:rsid w:val="005224CA"/>
    <w:rsid w:val="005224E9"/>
    <w:rsid w:val="00522504"/>
    <w:rsid w:val="0052267F"/>
    <w:rsid w:val="005226C7"/>
    <w:rsid w:val="005226D9"/>
    <w:rsid w:val="00522784"/>
    <w:rsid w:val="005228F7"/>
    <w:rsid w:val="0052292C"/>
    <w:rsid w:val="00522936"/>
    <w:rsid w:val="00522A2F"/>
    <w:rsid w:val="00522A41"/>
    <w:rsid w:val="00522A56"/>
    <w:rsid w:val="00522A72"/>
    <w:rsid w:val="00522B51"/>
    <w:rsid w:val="00522B78"/>
    <w:rsid w:val="00522C26"/>
    <w:rsid w:val="00522C61"/>
    <w:rsid w:val="00522D7C"/>
    <w:rsid w:val="00522ECA"/>
    <w:rsid w:val="00522EF7"/>
    <w:rsid w:val="00522FE7"/>
    <w:rsid w:val="00522FF1"/>
    <w:rsid w:val="0052303A"/>
    <w:rsid w:val="0052307D"/>
    <w:rsid w:val="00523141"/>
    <w:rsid w:val="0052318F"/>
    <w:rsid w:val="00523203"/>
    <w:rsid w:val="00523215"/>
    <w:rsid w:val="00523250"/>
    <w:rsid w:val="005232BA"/>
    <w:rsid w:val="005233C9"/>
    <w:rsid w:val="005233CA"/>
    <w:rsid w:val="005234F1"/>
    <w:rsid w:val="005236C3"/>
    <w:rsid w:val="005236FC"/>
    <w:rsid w:val="005237BB"/>
    <w:rsid w:val="00523818"/>
    <w:rsid w:val="00523879"/>
    <w:rsid w:val="0052389D"/>
    <w:rsid w:val="00523A83"/>
    <w:rsid w:val="00523A98"/>
    <w:rsid w:val="00523AB8"/>
    <w:rsid w:val="00523B3F"/>
    <w:rsid w:val="00523B4C"/>
    <w:rsid w:val="00523B93"/>
    <w:rsid w:val="00523D11"/>
    <w:rsid w:val="00523D35"/>
    <w:rsid w:val="00523E3C"/>
    <w:rsid w:val="00523E69"/>
    <w:rsid w:val="00524012"/>
    <w:rsid w:val="0052414B"/>
    <w:rsid w:val="00524162"/>
    <w:rsid w:val="005241B3"/>
    <w:rsid w:val="005241FE"/>
    <w:rsid w:val="00524239"/>
    <w:rsid w:val="005242E1"/>
    <w:rsid w:val="0052432B"/>
    <w:rsid w:val="0052433F"/>
    <w:rsid w:val="005243D5"/>
    <w:rsid w:val="005244BF"/>
    <w:rsid w:val="005244D3"/>
    <w:rsid w:val="0052451E"/>
    <w:rsid w:val="005245AE"/>
    <w:rsid w:val="00524630"/>
    <w:rsid w:val="00524720"/>
    <w:rsid w:val="00524785"/>
    <w:rsid w:val="005247E5"/>
    <w:rsid w:val="00524803"/>
    <w:rsid w:val="00524864"/>
    <w:rsid w:val="00524909"/>
    <w:rsid w:val="00524931"/>
    <w:rsid w:val="00524958"/>
    <w:rsid w:val="0052497C"/>
    <w:rsid w:val="005249B4"/>
    <w:rsid w:val="00524AFB"/>
    <w:rsid w:val="00524B40"/>
    <w:rsid w:val="00524BDE"/>
    <w:rsid w:val="00524C7F"/>
    <w:rsid w:val="00524CD8"/>
    <w:rsid w:val="00524D0F"/>
    <w:rsid w:val="00524E1E"/>
    <w:rsid w:val="00524EA1"/>
    <w:rsid w:val="00524F33"/>
    <w:rsid w:val="00524FB3"/>
    <w:rsid w:val="00525021"/>
    <w:rsid w:val="00525036"/>
    <w:rsid w:val="00525037"/>
    <w:rsid w:val="00525082"/>
    <w:rsid w:val="005250D4"/>
    <w:rsid w:val="0052511B"/>
    <w:rsid w:val="0052515B"/>
    <w:rsid w:val="00525238"/>
    <w:rsid w:val="00525254"/>
    <w:rsid w:val="0052526E"/>
    <w:rsid w:val="0052531A"/>
    <w:rsid w:val="00525329"/>
    <w:rsid w:val="005253BD"/>
    <w:rsid w:val="005253D9"/>
    <w:rsid w:val="0052550B"/>
    <w:rsid w:val="00525595"/>
    <w:rsid w:val="00525654"/>
    <w:rsid w:val="0052581B"/>
    <w:rsid w:val="00525898"/>
    <w:rsid w:val="00525921"/>
    <w:rsid w:val="00525938"/>
    <w:rsid w:val="00525951"/>
    <w:rsid w:val="005259C2"/>
    <w:rsid w:val="00525A3C"/>
    <w:rsid w:val="00525A42"/>
    <w:rsid w:val="00525B85"/>
    <w:rsid w:val="00525BC4"/>
    <w:rsid w:val="00525BE6"/>
    <w:rsid w:val="00525C6D"/>
    <w:rsid w:val="00525CDE"/>
    <w:rsid w:val="00525D92"/>
    <w:rsid w:val="00525DDC"/>
    <w:rsid w:val="00525E47"/>
    <w:rsid w:val="00525F07"/>
    <w:rsid w:val="00525F23"/>
    <w:rsid w:val="00525F85"/>
    <w:rsid w:val="0052600D"/>
    <w:rsid w:val="00526105"/>
    <w:rsid w:val="00526130"/>
    <w:rsid w:val="0052615D"/>
    <w:rsid w:val="005261A6"/>
    <w:rsid w:val="00526256"/>
    <w:rsid w:val="0052625E"/>
    <w:rsid w:val="005263A7"/>
    <w:rsid w:val="00526448"/>
    <w:rsid w:val="00526619"/>
    <w:rsid w:val="0052661F"/>
    <w:rsid w:val="00526678"/>
    <w:rsid w:val="005266AF"/>
    <w:rsid w:val="005266D1"/>
    <w:rsid w:val="0052670E"/>
    <w:rsid w:val="00526770"/>
    <w:rsid w:val="00526775"/>
    <w:rsid w:val="005267BF"/>
    <w:rsid w:val="005268DC"/>
    <w:rsid w:val="00526943"/>
    <w:rsid w:val="00526956"/>
    <w:rsid w:val="005269B7"/>
    <w:rsid w:val="005269D4"/>
    <w:rsid w:val="005269D9"/>
    <w:rsid w:val="00526A07"/>
    <w:rsid w:val="00526A2D"/>
    <w:rsid w:val="00526A3B"/>
    <w:rsid w:val="00526A65"/>
    <w:rsid w:val="00526B05"/>
    <w:rsid w:val="00526BC8"/>
    <w:rsid w:val="00526C5C"/>
    <w:rsid w:val="00526D4D"/>
    <w:rsid w:val="00526D6E"/>
    <w:rsid w:val="00526D7F"/>
    <w:rsid w:val="00526DE6"/>
    <w:rsid w:val="00526E76"/>
    <w:rsid w:val="00526F9F"/>
    <w:rsid w:val="00526FF8"/>
    <w:rsid w:val="00526FFB"/>
    <w:rsid w:val="005270A2"/>
    <w:rsid w:val="0052713C"/>
    <w:rsid w:val="00527159"/>
    <w:rsid w:val="00527169"/>
    <w:rsid w:val="00527239"/>
    <w:rsid w:val="00527296"/>
    <w:rsid w:val="005272FF"/>
    <w:rsid w:val="00527535"/>
    <w:rsid w:val="0052757C"/>
    <w:rsid w:val="00527634"/>
    <w:rsid w:val="00527708"/>
    <w:rsid w:val="005277D4"/>
    <w:rsid w:val="005278A4"/>
    <w:rsid w:val="005278E2"/>
    <w:rsid w:val="0052791B"/>
    <w:rsid w:val="00527941"/>
    <w:rsid w:val="005279C4"/>
    <w:rsid w:val="005279E2"/>
    <w:rsid w:val="005279F0"/>
    <w:rsid w:val="005279F7"/>
    <w:rsid w:val="00527A18"/>
    <w:rsid w:val="00527A4F"/>
    <w:rsid w:val="00527AA0"/>
    <w:rsid w:val="00527C6D"/>
    <w:rsid w:val="00527DC8"/>
    <w:rsid w:val="00527E62"/>
    <w:rsid w:val="00527E73"/>
    <w:rsid w:val="00530021"/>
    <w:rsid w:val="005300A6"/>
    <w:rsid w:val="00530123"/>
    <w:rsid w:val="005301A3"/>
    <w:rsid w:val="005301A8"/>
    <w:rsid w:val="00530233"/>
    <w:rsid w:val="00530468"/>
    <w:rsid w:val="00530541"/>
    <w:rsid w:val="00530566"/>
    <w:rsid w:val="005305BE"/>
    <w:rsid w:val="00530767"/>
    <w:rsid w:val="00530776"/>
    <w:rsid w:val="005307A3"/>
    <w:rsid w:val="005307FC"/>
    <w:rsid w:val="00530840"/>
    <w:rsid w:val="005308CC"/>
    <w:rsid w:val="005309EB"/>
    <w:rsid w:val="005309EF"/>
    <w:rsid w:val="00530A59"/>
    <w:rsid w:val="00530AB9"/>
    <w:rsid w:val="00530B0C"/>
    <w:rsid w:val="00530B17"/>
    <w:rsid w:val="00530C8B"/>
    <w:rsid w:val="00530CD4"/>
    <w:rsid w:val="00530D6A"/>
    <w:rsid w:val="00530DAD"/>
    <w:rsid w:val="00530DE5"/>
    <w:rsid w:val="00530E46"/>
    <w:rsid w:val="00530EA8"/>
    <w:rsid w:val="00530F98"/>
    <w:rsid w:val="00530FB1"/>
    <w:rsid w:val="005311AA"/>
    <w:rsid w:val="005311E8"/>
    <w:rsid w:val="005311FB"/>
    <w:rsid w:val="005312A1"/>
    <w:rsid w:val="005312CA"/>
    <w:rsid w:val="00531320"/>
    <w:rsid w:val="0053135F"/>
    <w:rsid w:val="005313F8"/>
    <w:rsid w:val="00531512"/>
    <w:rsid w:val="005316EE"/>
    <w:rsid w:val="00531719"/>
    <w:rsid w:val="00531811"/>
    <w:rsid w:val="00531859"/>
    <w:rsid w:val="00531894"/>
    <w:rsid w:val="0053191D"/>
    <w:rsid w:val="0053197E"/>
    <w:rsid w:val="005319D6"/>
    <w:rsid w:val="00531A02"/>
    <w:rsid w:val="00531A4D"/>
    <w:rsid w:val="00531A55"/>
    <w:rsid w:val="00531A60"/>
    <w:rsid w:val="00531A84"/>
    <w:rsid w:val="00531A8B"/>
    <w:rsid w:val="00531AD4"/>
    <w:rsid w:val="00531B31"/>
    <w:rsid w:val="00531B4B"/>
    <w:rsid w:val="00531C6D"/>
    <w:rsid w:val="00531C76"/>
    <w:rsid w:val="00531CDA"/>
    <w:rsid w:val="00531D55"/>
    <w:rsid w:val="00531D9B"/>
    <w:rsid w:val="00531DE2"/>
    <w:rsid w:val="00531E9C"/>
    <w:rsid w:val="00531F57"/>
    <w:rsid w:val="00531FC7"/>
    <w:rsid w:val="00532076"/>
    <w:rsid w:val="00532083"/>
    <w:rsid w:val="005320A9"/>
    <w:rsid w:val="005320AF"/>
    <w:rsid w:val="005320C2"/>
    <w:rsid w:val="005320FA"/>
    <w:rsid w:val="00532149"/>
    <w:rsid w:val="005322B2"/>
    <w:rsid w:val="005322FD"/>
    <w:rsid w:val="00532340"/>
    <w:rsid w:val="0053234E"/>
    <w:rsid w:val="005323CC"/>
    <w:rsid w:val="005323F9"/>
    <w:rsid w:val="0053244C"/>
    <w:rsid w:val="00532472"/>
    <w:rsid w:val="005324B7"/>
    <w:rsid w:val="005325AB"/>
    <w:rsid w:val="005325CD"/>
    <w:rsid w:val="005325F3"/>
    <w:rsid w:val="00532667"/>
    <w:rsid w:val="005326CF"/>
    <w:rsid w:val="005327CE"/>
    <w:rsid w:val="0053281C"/>
    <w:rsid w:val="00532821"/>
    <w:rsid w:val="00532826"/>
    <w:rsid w:val="00532828"/>
    <w:rsid w:val="00532829"/>
    <w:rsid w:val="0053295E"/>
    <w:rsid w:val="005329B5"/>
    <w:rsid w:val="005329FC"/>
    <w:rsid w:val="00532C31"/>
    <w:rsid w:val="00532C95"/>
    <w:rsid w:val="00532CE5"/>
    <w:rsid w:val="00532D42"/>
    <w:rsid w:val="00532D45"/>
    <w:rsid w:val="00532D55"/>
    <w:rsid w:val="00532D68"/>
    <w:rsid w:val="00532D9E"/>
    <w:rsid w:val="00532DA1"/>
    <w:rsid w:val="00532E76"/>
    <w:rsid w:val="0053303F"/>
    <w:rsid w:val="00533052"/>
    <w:rsid w:val="005330CB"/>
    <w:rsid w:val="0053315A"/>
    <w:rsid w:val="00533182"/>
    <w:rsid w:val="00533259"/>
    <w:rsid w:val="00533323"/>
    <w:rsid w:val="0053336D"/>
    <w:rsid w:val="005333D6"/>
    <w:rsid w:val="00533639"/>
    <w:rsid w:val="005337F0"/>
    <w:rsid w:val="00533827"/>
    <w:rsid w:val="00533875"/>
    <w:rsid w:val="0053388A"/>
    <w:rsid w:val="005338D1"/>
    <w:rsid w:val="005338F3"/>
    <w:rsid w:val="00533912"/>
    <w:rsid w:val="00533948"/>
    <w:rsid w:val="0053395D"/>
    <w:rsid w:val="00533A9A"/>
    <w:rsid w:val="00533AB6"/>
    <w:rsid w:val="00533B04"/>
    <w:rsid w:val="00533BB4"/>
    <w:rsid w:val="00533CD5"/>
    <w:rsid w:val="00533CFB"/>
    <w:rsid w:val="00533D06"/>
    <w:rsid w:val="00533DE9"/>
    <w:rsid w:val="00533E02"/>
    <w:rsid w:val="00533EF5"/>
    <w:rsid w:val="00533F38"/>
    <w:rsid w:val="00533F53"/>
    <w:rsid w:val="0053404D"/>
    <w:rsid w:val="005340A7"/>
    <w:rsid w:val="005340E4"/>
    <w:rsid w:val="00534211"/>
    <w:rsid w:val="00534438"/>
    <w:rsid w:val="00534492"/>
    <w:rsid w:val="005344CE"/>
    <w:rsid w:val="00534596"/>
    <w:rsid w:val="005346A2"/>
    <w:rsid w:val="00534724"/>
    <w:rsid w:val="0053484B"/>
    <w:rsid w:val="005348BD"/>
    <w:rsid w:val="0053494A"/>
    <w:rsid w:val="00534967"/>
    <w:rsid w:val="00534A00"/>
    <w:rsid w:val="00534A5A"/>
    <w:rsid w:val="00534A6A"/>
    <w:rsid w:val="00534A78"/>
    <w:rsid w:val="00534A83"/>
    <w:rsid w:val="00534AC4"/>
    <w:rsid w:val="00534B34"/>
    <w:rsid w:val="00534BD1"/>
    <w:rsid w:val="00534C2D"/>
    <w:rsid w:val="00534C44"/>
    <w:rsid w:val="00534C6E"/>
    <w:rsid w:val="00534CAB"/>
    <w:rsid w:val="00534CDD"/>
    <w:rsid w:val="00534CEC"/>
    <w:rsid w:val="00534CEE"/>
    <w:rsid w:val="00534D98"/>
    <w:rsid w:val="00534DE4"/>
    <w:rsid w:val="00534E6C"/>
    <w:rsid w:val="00535147"/>
    <w:rsid w:val="00535188"/>
    <w:rsid w:val="005351DD"/>
    <w:rsid w:val="005353FE"/>
    <w:rsid w:val="00535435"/>
    <w:rsid w:val="00535450"/>
    <w:rsid w:val="005354BE"/>
    <w:rsid w:val="005355A7"/>
    <w:rsid w:val="005355F4"/>
    <w:rsid w:val="00535666"/>
    <w:rsid w:val="005356EE"/>
    <w:rsid w:val="00535709"/>
    <w:rsid w:val="0053570A"/>
    <w:rsid w:val="0053576A"/>
    <w:rsid w:val="005357FB"/>
    <w:rsid w:val="00535835"/>
    <w:rsid w:val="00535845"/>
    <w:rsid w:val="005358AB"/>
    <w:rsid w:val="00535906"/>
    <w:rsid w:val="00535944"/>
    <w:rsid w:val="005359D0"/>
    <w:rsid w:val="005359EE"/>
    <w:rsid w:val="00535A26"/>
    <w:rsid w:val="00535A9A"/>
    <w:rsid w:val="00535AC1"/>
    <w:rsid w:val="00535B43"/>
    <w:rsid w:val="00535B8D"/>
    <w:rsid w:val="00535B95"/>
    <w:rsid w:val="00535BE1"/>
    <w:rsid w:val="00535C58"/>
    <w:rsid w:val="00535C7E"/>
    <w:rsid w:val="00535EE2"/>
    <w:rsid w:val="00535EF8"/>
    <w:rsid w:val="00535F6D"/>
    <w:rsid w:val="00535FF3"/>
    <w:rsid w:val="00536190"/>
    <w:rsid w:val="0053619B"/>
    <w:rsid w:val="00536261"/>
    <w:rsid w:val="00536287"/>
    <w:rsid w:val="005362C8"/>
    <w:rsid w:val="005362FB"/>
    <w:rsid w:val="005363DE"/>
    <w:rsid w:val="00536541"/>
    <w:rsid w:val="00536542"/>
    <w:rsid w:val="00536588"/>
    <w:rsid w:val="00536624"/>
    <w:rsid w:val="005366B2"/>
    <w:rsid w:val="00536740"/>
    <w:rsid w:val="00536752"/>
    <w:rsid w:val="00536A9D"/>
    <w:rsid w:val="00536B40"/>
    <w:rsid w:val="00536BD2"/>
    <w:rsid w:val="00536ED0"/>
    <w:rsid w:val="00536ED3"/>
    <w:rsid w:val="00536F9B"/>
    <w:rsid w:val="00537239"/>
    <w:rsid w:val="00537295"/>
    <w:rsid w:val="0053733D"/>
    <w:rsid w:val="0053741F"/>
    <w:rsid w:val="005374B1"/>
    <w:rsid w:val="0053751B"/>
    <w:rsid w:val="0053757C"/>
    <w:rsid w:val="00537598"/>
    <w:rsid w:val="00537641"/>
    <w:rsid w:val="0053769D"/>
    <w:rsid w:val="00537752"/>
    <w:rsid w:val="0053776F"/>
    <w:rsid w:val="005377DD"/>
    <w:rsid w:val="00537800"/>
    <w:rsid w:val="00537880"/>
    <w:rsid w:val="005378B6"/>
    <w:rsid w:val="00537B16"/>
    <w:rsid w:val="00537BEF"/>
    <w:rsid w:val="00537C1F"/>
    <w:rsid w:val="00537D5D"/>
    <w:rsid w:val="00537EC7"/>
    <w:rsid w:val="00537F65"/>
    <w:rsid w:val="00537F99"/>
    <w:rsid w:val="00537FBC"/>
    <w:rsid w:val="005400EA"/>
    <w:rsid w:val="005400F1"/>
    <w:rsid w:val="005401D6"/>
    <w:rsid w:val="005402BF"/>
    <w:rsid w:val="00540313"/>
    <w:rsid w:val="0054035B"/>
    <w:rsid w:val="005403B7"/>
    <w:rsid w:val="0054041D"/>
    <w:rsid w:val="00540474"/>
    <w:rsid w:val="005404CC"/>
    <w:rsid w:val="00540530"/>
    <w:rsid w:val="00540564"/>
    <w:rsid w:val="005405F2"/>
    <w:rsid w:val="00540658"/>
    <w:rsid w:val="00540724"/>
    <w:rsid w:val="005407AF"/>
    <w:rsid w:val="005407BB"/>
    <w:rsid w:val="00540823"/>
    <w:rsid w:val="005409DC"/>
    <w:rsid w:val="005409DD"/>
    <w:rsid w:val="00540A22"/>
    <w:rsid w:val="00540B70"/>
    <w:rsid w:val="00540B81"/>
    <w:rsid w:val="00540CB7"/>
    <w:rsid w:val="00540D0E"/>
    <w:rsid w:val="00540E4E"/>
    <w:rsid w:val="00540E8F"/>
    <w:rsid w:val="00540ECE"/>
    <w:rsid w:val="00540F0A"/>
    <w:rsid w:val="00540FB4"/>
    <w:rsid w:val="00540FF9"/>
    <w:rsid w:val="0054106B"/>
    <w:rsid w:val="0054125E"/>
    <w:rsid w:val="0054139C"/>
    <w:rsid w:val="005413FE"/>
    <w:rsid w:val="0054142C"/>
    <w:rsid w:val="00541483"/>
    <w:rsid w:val="00541527"/>
    <w:rsid w:val="00541566"/>
    <w:rsid w:val="0054158D"/>
    <w:rsid w:val="0054159E"/>
    <w:rsid w:val="005415AF"/>
    <w:rsid w:val="005415F0"/>
    <w:rsid w:val="00541600"/>
    <w:rsid w:val="00541647"/>
    <w:rsid w:val="005418FE"/>
    <w:rsid w:val="00541960"/>
    <w:rsid w:val="005419B2"/>
    <w:rsid w:val="005419BE"/>
    <w:rsid w:val="00541AA7"/>
    <w:rsid w:val="00541AEB"/>
    <w:rsid w:val="00541B05"/>
    <w:rsid w:val="00541B44"/>
    <w:rsid w:val="00541B6C"/>
    <w:rsid w:val="00541BF8"/>
    <w:rsid w:val="00541C44"/>
    <w:rsid w:val="00541C46"/>
    <w:rsid w:val="00541CA1"/>
    <w:rsid w:val="00541CBA"/>
    <w:rsid w:val="00541DAA"/>
    <w:rsid w:val="00541FA5"/>
    <w:rsid w:val="00542038"/>
    <w:rsid w:val="005420B3"/>
    <w:rsid w:val="005420D4"/>
    <w:rsid w:val="00542203"/>
    <w:rsid w:val="0054232C"/>
    <w:rsid w:val="0054236A"/>
    <w:rsid w:val="00542391"/>
    <w:rsid w:val="0054239F"/>
    <w:rsid w:val="00542402"/>
    <w:rsid w:val="005424E9"/>
    <w:rsid w:val="005425CB"/>
    <w:rsid w:val="00542756"/>
    <w:rsid w:val="00542872"/>
    <w:rsid w:val="00542891"/>
    <w:rsid w:val="00542999"/>
    <w:rsid w:val="005429EC"/>
    <w:rsid w:val="005429F8"/>
    <w:rsid w:val="00542AA6"/>
    <w:rsid w:val="00542B28"/>
    <w:rsid w:val="00542C01"/>
    <w:rsid w:val="00542C10"/>
    <w:rsid w:val="00542C52"/>
    <w:rsid w:val="00542C70"/>
    <w:rsid w:val="00542D1F"/>
    <w:rsid w:val="00542DB4"/>
    <w:rsid w:val="00542E2D"/>
    <w:rsid w:val="00542FA9"/>
    <w:rsid w:val="00542FE6"/>
    <w:rsid w:val="005430DD"/>
    <w:rsid w:val="00543147"/>
    <w:rsid w:val="005431D2"/>
    <w:rsid w:val="005431F0"/>
    <w:rsid w:val="0054320D"/>
    <w:rsid w:val="0054323A"/>
    <w:rsid w:val="00543260"/>
    <w:rsid w:val="0054327B"/>
    <w:rsid w:val="005432DC"/>
    <w:rsid w:val="00543352"/>
    <w:rsid w:val="005433E2"/>
    <w:rsid w:val="005433FB"/>
    <w:rsid w:val="0054349C"/>
    <w:rsid w:val="005434A0"/>
    <w:rsid w:val="0054353F"/>
    <w:rsid w:val="0054354D"/>
    <w:rsid w:val="0054355B"/>
    <w:rsid w:val="005435B7"/>
    <w:rsid w:val="005435D3"/>
    <w:rsid w:val="0054366F"/>
    <w:rsid w:val="00543709"/>
    <w:rsid w:val="005437E2"/>
    <w:rsid w:val="00543853"/>
    <w:rsid w:val="0054391F"/>
    <w:rsid w:val="005439EB"/>
    <w:rsid w:val="00543A70"/>
    <w:rsid w:val="00543B2C"/>
    <w:rsid w:val="00543BDE"/>
    <w:rsid w:val="00543BE6"/>
    <w:rsid w:val="00543C35"/>
    <w:rsid w:val="00543D12"/>
    <w:rsid w:val="00543DC0"/>
    <w:rsid w:val="00543E30"/>
    <w:rsid w:val="00543EF1"/>
    <w:rsid w:val="00543EF8"/>
    <w:rsid w:val="00543F1B"/>
    <w:rsid w:val="00543F3B"/>
    <w:rsid w:val="00543FC4"/>
    <w:rsid w:val="00543FE4"/>
    <w:rsid w:val="00544085"/>
    <w:rsid w:val="00544103"/>
    <w:rsid w:val="005441C8"/>
    <w:rsid w:val="005441DB"/>
    <w:rsid w:val="00544349"/>
    <w:rsid w:val="005443C5"/>
    <w:rsid w:val="0054446C"/>
    <w:rsid w:val="005444B6"/>
    <w:rsid w:val="00544505"/>
    <w:rsid w:val="0054454C"/>
    <w:rsid w:val="00544597"/>
    <w:rsid w:val="005445A1"/>
    <w:rsid w:val="005445EA"/>
    <w:rsid w:val="005446B8"/>
    <w:rsid w:val="00544766"/>
    <w:rsid w:val="005447CE"/>
    <w:rsid w:val="00544884"/>
    <w:rsid w:val="005448D8"/>
    <w:rsid w:val="005448DB"/>
    <w:rsid w:val="005449B0"/>
    <w:rsid w:val="00544A7D"/>
    <w:rsid w:val="00544AA8"/>
    <w:rsid w:val="00544BD6"/>
    <w:rsid w:val="00544BEC"/>
    <w:rsid w:val="00544C36"/>
    <w:rsid w:val="00544C48"/>
    <w:rsid w:val="00544D4C"/>
    <w:rsid w:val="00544ECC"/>
    <w:rsid w:val="00544F13"/>
    <w:rsid w:val="005450DF"/>
    <w:rsid w:val="005450FF"/>
    <w:rsid w:val="00545108"/>
    <w:rsid w:val="00545170"/>
    <w:rsid w:val="00545192"/>
    <w:rsid w:val="00545245"/>
    <w:rsid w:val="00545311"/>
    <w:rsid w:val="00545361"/>
    <w:rsid w:val="00545486"/>
    <w:rsid w:val="00545495"/>
    <w:rsid w:val="00545511"/>
    <w:rsid w:val="00545550"/>
    <w:rsid w:val="00545577"/>
    <w:rsid w:val="005455C4"/>
    <w:rsid w:val="00545647"/>
    <w:rsid w:val="005456CC"/>
    <w:rsid w:val="005458D0"/>
    <w:rsid w:val="00545951"/>
    <w:rsid w:val="005459E6"/>
    <w:rsid w:val="00545BAF"/>
    <w:rsid w:val="00545BBA"/>
    <w:rsid w:val="00545BCC"/>
    <w:rsid w:val="00545C41"/>
    <w:rsid w:val="00545C68"/>
    <w:rsid w:val="00545DC3"/>
    <w:rsid w:val="00545DE8"/>
    <w:rsid w:val="00545E99"/>
    <w:rsid w:val="00545F81"/>
    <w:rsid w:val="00545F8E"/>
    <w:rsid w:val="00546001"/>
    <w:rsid w:val="00546137"/>
    <w:rsid w:val="00546161"/>
    <w:rsid w:val="00546229"/>
    <w:rsid w:val="00546252"/>
    <w:rsid w:val="00546349"/>
    <w:rsid w:val="005463DB"/>
    <w:rsid w:val="0054650D"/>
    <w:rsid w:val="00546524"/>
    <w:rsid w:val="00546541"/>
    <w:rsid w:val="005466D0"/>
    <w:rsid w:val="005466E5"/>
    <w:rsid w:val="005466EA"/>
    <w:rsid w:val="00546759"/>
    <w:rsid w:val="0054685A"/>
    <w:rsid w:val="00546A21"/>
    <w:rsid w:val="00546A5C"/>
    <w:rsid w:val="00546B47"/>
    <w:rsid w:val="00546BA3"/>
    <w:rsid w:val="00546BD8"/>
    <w:rsid w:val="00546C43"/>
    <w:rsid w:val="00546D18"/>
    <w:rsid w:val="00546D5E"/>
    <w:rsid w:val="00546DD5"/>
    <w:rsid w:val="00546DD7"/>
    <w:rsid w:val="00546F1C"/>
    <w:rsid w:val="00546F24"/>
    <w:rsid w:val="00546F84"/>
    <w:rsid w:val="005470EC"/>
    <w:rsid w:val="00547108"/>
    <w:rsid w:val="0054717D"/>
    <w:rsid w:val="005473AF"/>
    <w:rsid w:val="005473E8"/>
    <w:rsid w:val="00547445"/>
    <w:rsid w:val="0054746C"/>
    <w:rsid w:val="005474A5"/>
    <w:rsid w:val="00547580"/>
    <w:rsid w:val="0054771E"/>
    <w:rsid w:val="00547902"/>
    <w:rsid w:val="0054798E"/>
    <w:rsid w:val="00547999"/>
    <w:rsid w:val="00547A54"/>
    <w:rsid w:val="00547B3C"/>
    <w:rsid w:val="00547BFC"/>
    <w:rsid w:val="00547C28"/>
    <w:rsid w:val="00547D0B"/>
    <w:rsid w:val="00547D82"/>
    <w:rsid w:val="00547DE1"/>
    <w:rsid w:val="00547DFC"/>
    <w:rsid w:val="00547E1E"/>
    <w:rsid w:val="00547E64"/>
    <w:rsid w:val="00547F75"/>
    <w:rsid w:val="00547F92"/>
    <w:rsid w:val="0055007A"/>
    <w:rsid w:val="0055016B"/>
    <w:rsid w:val="00550384"/>
    <w:rsid w:val="005503B4"/>
    <w:rsid w:val="00550420"/>
    <w:rsid w:val="00550422"/>
    <w:rsid w:val="0055056F"/>
    <w:rsid w:val="00550691"/>
    <w:rsid w:val="00550897"/>
    <w:rsid w:val="0055095A"/>
    <w:rsid w:val="00550A6E"/>
    <w:rsid w:val="00550A79"/>
    <w:rsid w:val="00550AA0"/>
    <w:rsid w:val="00550ACD"/>
    <w:rsid w:val="00550ACE"/>
    <w:rsid w:val="00550B48"/>
    <w:rsid w:val="00550BC7"/>
    <w:rsid w:val="00550C6C"/>
    <w:rsid w:val="00550C99"/>
    <w:rsid w:val="00550D45"/>
    <w:rsid w:val="00550D94"/>
    <w:rsid w:val="00550DBB"/>
    <w:rsid w:val="00550DEA"/>
    <w:rsid w:val="00550DF0"/>
    <w:rsid w:val="00550FC2"/>
    <w:rsid w:val="00551072"/>
    <w:rsid w:val="00551128"/>
    <w:rsid w:val="00551131"/>
    <w:rsid w:val="0055115F"/>
    <w:rsid w:val="00551165"/>
    <w:rsid w:val="0055117D"/>
    <w:rsid w:val="00551185"/>
    <w:rsid w:val="005511EE"/>
    <w:rsid w:val="005513CD"/>
    <w:rsid w:val="005514B7"/>
    <w:rsid w:val="005515D4"/>
    <w:rsid w:val="0055160D"/>
    <w:rsid w:val="0055163A"/>
    <w:rsid w:val="00551651"/>
    <w:rsid w:val="005516BF"/>
    <w:rsid w:val="005516E5"/>
    <w:rsid w:val="00551701"/>
    <w:rsid w:val="00551763"/>
    <w:rsid w:val="005517D3"/>
    <w:rsid w:val="005518C1"/>
    <w:rsid w:val="005518DA"/>
    <w:rsid w:val="00551902"/>
    <w:rsid w:val="0055190D"/>
    <w:rsid w:val="00551911"/>
    <w:rsid w:val="00551966"/>
    <w:rsid w:val="00551967"/>
    <w:rsid w:val="005519B5"/>
    <w:rsid w:val="00551B81"/>
    <w:rsid w:val="00551BBE"/>
    <w:rsid w:val="00551C06"/>
    <w:rsid w:val="00551C2A"/>
    <w:rsid w:val="00551C60"/>
    <w:rsid w:val="00551C6F"/>
    <w:rsid w:val="00551D11"/>
    <w:rsid w:val="00551D3A"/>
    <w:rsid w:val="00551D75"/>
    <w:rsid w:val="00551DBB"/>
    <w:rsid w:val="00551E26"/>
    <w:rsid w:val="00551E2A"/>
    <w:rsid w:val="00551E2B"/>
    <w:rsid w:val="00551E70"/>
    <w:rsid w:val="00551E91"/>
    <w:rsid w:val="00551F8E"/>
    <w:rsid w:val="00551FE6"/>
    <w:rsid w:val="0055203D"/>
    <w:rsid w:val="005520A3"/>
    <w:rsid w:val="00552206"/>
    <w:rsid w:val="005522C2"/>
    <w:rsid w:val="00552360"/>
    <w:rsid w:val="00552383"/>
    <w:rsid w:val="005523C2"/>
    <w:rsid w:val="0055246E"/>
    <w:rsid w:val="0055263C"/>
    <w:rsid w:val="00552686"/>
    <w:rsid w:val="005526A1"/>
    <w:rsid w:val="005526AC"/>
    <w:rsid w:val="0055277C"/>
    <w:rsid w:val="005527F9"/>
    <w:rsid w:val="0055281F"/>
    <w:rsid w:val="0055288A"/>
    <w:rsid w:val="005528BC"/>
    <w:rsid w:val="0055298D"/>
    <w:rsid w:val="005529D9"/>
    <w:rsid w:val="00552B60"/>
    <w:rsid w:val="00552C7B"/>
    <w:rsid w:val="00552CA4"/>
    <w:rsid w:val="00552CD5"/>
    <w:rsid w:val="00552CF7"/>
    <w:rsid w:val="00552D1E"/>
    <w:rsid w:val="00552D77"/>
    <w:rsid w:val="00552DD7"/>
    <w:rsid w:val="00552E29"/>
    <w:rsid w:val="00552E96"/>
    <w:rsid w:val="00552ED9"/>
    <w:rsid w:val="00552F79"/>
    <w:rsid w:val="005530A0"/>
    <w:rsid w:val="00553165"/>
    <w:rsid w:val="005532EF"/>
    <w:rsid w:val="00553413"/>
    <w:rsid w:val="005535D2"/>
    <w:rsid w:val="005535EB"/>
    <w:rsid w:val="00553612"/>
    <w:rsid w:val="005537F6"/>
    <w:rsid w:val="005538E7"/>
    <w:rsid w:val="00553981"/>
    <w:rsid w:val="0055399A"/>
    <w:rsid w:val="00553AC0"/>
    <w:rsid w:val="00553BE4"/>
    <w:rsid w:val="00553C01"/>
    <w:rsid w:val="00553C48"/>
    <w:rsid w:val="00553D5C"/>
    <w:rsid w:val="00553EBA"/>
    <w:rsid w:val="00553ED6"/>
    <w:rsid w:val="00553F14"/>
    <w:rsid w:val="00553F57"/>
    <w:rsid w:val="005540C0"/>
    <w:rsid w:val="00554138"/>
    <w:rsid w:val="00554197"/>
    <w:rsid w:val="0055419A"/>
    <w:rsid w:val="005541CA"/>
    <w:rsid w:val="005541ED"/>
    <w:rsid w:val="005542A4"/>
    <w:rsid w:val="005542AB"/>
    <w:rsid w:val="005542EC"/>
    <w:rsid w:val="0055432B"/>
    <w:rsid w:val="0055439C"/>
    <w:rsid w:val="00554414"/>
    <w:rsid w:val="005544BA"/>
    <w:rsid w:val="005545BA"/>
    <w:rsid w:val="005545FC"/>
    <w:rsid w:val="00554650"/>
    <w:rsid w:val="005547E0"/>
    <w:rsid w:val="00554841"/>
    <w:rsid w:val="00554942"/>
    <w:rsid w:val="0055497E"/>
    <w:rsid w:val="00554B4E"/>
    <w:rsid w:val="00554B50"/>
    <w:rsid w:val="00554B54"/>
    <w:rsid w:val="00554BF0"/>
    <w:rsid w:val="00554CAF"/>
    <w:rsid w:val="00554CBF"/>
    <w:rsid w:val="00554E9C"/>
    <w:rsid w:val="00554EDE"/>
    <w:rsid w:val="00554EF8"/>
    <w:rsid w:val="00554F4A"/>
    <w:rsid w:val="00554FCB"/>
    <w:rsid w:val="00555005"/>
    <w:rsid w:val="005550C5"/>
    <w:rsid w:val="005550D5"/>
    <w:rsid w:val="00555177"/>
    <w:rsid w:val="0055517C"/>
    <w:rsid w:val="005551BA"/>
    <w:rsid w:val="005551E7"/>
    <w:rsid w:val="00555221"/>
    <w:rsid w:val="0055525B"/>
    <w:rsid w:val="00555283"/>
    <w:rsid w:val="00555291"/>
    <w:rsid w:val="00555406"/>
    <w:rsid w:val="0055540C"/>
    <w:rsid w:val="00555505"/>
    <w:rsid w:val="00555577"/>
    <w:rsid w:val="0055559B"/>
    <w:rsid w:val="0055561F"/>
    <w:rsid w:val="00555628"/>
    <w:rsid w:val="005556C2"/>
    <w:rsid w:val="0055577F"/>
    <w:rsid w:val="0055578C"/>
    <w:rsid w:val="005557E0"/>
    <w:rsid w:val="0055584B"/>
    <w:rsid w:val="00555A0F"/>
    <w:rsid w:val="00555A41"/>
    <w:rsid w:val="00555A71"/>
    <w:rsid w:val="00555A84"/>
    <w:rsid w:val="00555AB2"/>
    <w:rsid w:val="00555B2C"/>
    <w:rsid w:val="00555BEC"/>
    <w:rsid w:val="00555C7E"/>
    <w:rsid w:val="00555D24"/>
    <w:rsid w:val="00555D65"/>
    <w:rsid w:val="00555D78"/>
    <w:rsid w:val="00555DD6"/>
    <w:rsid w:val="00555E14"/>
    <w:rsid w:val="00555E57"/>
    <w:rsid w:val="00555E74"/>
    <w:rsid w:val="00555EB6"/>
    <w:rsid w:val="00555FFD"/>
    <w:rsid w:val="00556079"/>
    <w:rsid w:val="005560A4"/>
    <w:rsid w:val="0055613B"/>
    <w:rsid w:val="005562D1"/>
    <w:rsid w:val="00556322"/>
    <w:rsid w:val="00556335"/>
    <w:rsid w:val="00556350"/>
    <w:rsid w:val="00556485"/>
    <w:rsid w:val="005564EE"/>
    <w:rsid w:val="0055656A"/>
    <w:rsid w:val="0055662A"/>
    <w:rsid w:val="00556635"/>
    <w:rsid w:val="0055667B"/>
    <w:rsid w:val="00556778"/>
    <w:rsid w:val="0055678A"/>
    <w:rsid w:val="00556884"/>
    <w:rsid w:val="005568F1"/>
    <w:rsid w:val="00556AE4"/>
    <w:rsid w:val="00556AF4"/>
    <w:rsid w:val="00556AFE"/>
    <w:rsid w:val="00556B34"/>
    <w:rsid w:val="00556C00"/>
    <w:rsid w:val="00556CFC"/>
    <w:rsid w:val="00556D94"/>
    <w:rsid w:val="00556D9C"/>
    <w:rsid w:val="00556D9E"/>
    <w:rsid w:val="00556E72"/>
    <w:rsid w:val="00556F73"/>
    <w:rsid w:val="00557081"/>
    <w:rsid w:val="005570AE"/>
    <w:rsid w:val="005573AA"/>
    <w:rsid w:val="00557437"/>
    <w:rsid w:val="0055746A"/>
    <w:rsid w:val="00557645"/>
    <w:rsid w:val="00557658"/>
    <w:rsid w:val="0055765A"/>
    <w:rsid w:val="00557789"/>
    <w:rsid w:val="005577A4"/>
    <w:rsid w:val="00557806"/>
    <w:rsid w:val="0055785E"/>
    <w:rsid w:val="00557920"/>
    <w:rsid w:val="005579A2"/>
    <w:rsid w:val="00557A15"/>
    <w:rsid w:val="00557A63"/>
    <w:rsid w:val="00557AE5"/>
    <w:rsid w:val="00557B86"/>
    <w:rsid w:val="00557CE6"/>
    <w:rsid w:val="00557D3E"/>
    <w:rsid w:val="00557D4A"/>
    <w:rsid w:val="00557F71"/>
    <w:rsid w:val="00557FE9"/>
    <w:rsid w:val="0056000F"/>
    <w:rsid w:val="0056007B"/>
    <w:rsid w:val="0056013D"/>
    <w:rsid w:val="005601E1"/>
    <w:rsid w:val="00560253"/>
    <w:rsid w:val="00560376"/>
    <w:rsid w:val="00560429"/>
    <w:rsid w:val="005604F4"/>
    <w:rsid w:val="00560503"/>
    <w:rsid w:val="0056053D"/>
    <w:rsid w:val="0056077F"/>
    <w:rsid w:val="005607CC"/>
    <w:rsid w:val="00560917"/>
    <w:rsid w:val="005609E2"/>
    <w:rsid w:val="00560A05"/>
    <w:rsid w:val="00560A5B"/>
    <w:rsid w:val="00560A72"/>
    <w:rsid w:val="00560ABB"/>
    <w:rsid w:val="00560ADE"/>
    <w:rsid w:val="00560B69"/>
    <w:rsid w:val="00560CE1"/>
    <w:rsid w:val="00560D27"/>
    <w:rsid w:val="00560D81"/>
    <w:rsid w:val="00560E2D"/>
    <w:rsid w:val="00560EC1"/>
    <w:rsid w:val="00560F26"/>
    <w:rsid w:val="00560F59"/>
    <w:rsid w:val="0056107C"/>
    <w:rsid w:val="005610E8"/>
    <w:rsid w:val="00561129"/>
    <w:rsid w:val="00561181"/>
    <w:rsid w:val="00561197"/>
    <w:rsid w:val="00561313"/>
    <w:rsid w:val="00561314"/>
    <w:rsid w:val="005613A9"/>
    <w:rsid w:val="005613BE"/>
    <w:rsid w:val="00561411"/>
    <w:rsid w:val="0056147B"/>
    <w:rsid w:val="00561499"/>
    <w:rsid w:val="005615A3"/>
    <w:rsid w:val="005615A6"/>
    <w:rsid w:val="00561811"/>
    <w:rsid w:val="00561834"/>
    <w:rsid w:val="0056190E"/>
    <w:rsid w:val="00561966"/>
    <w:rsid w:val="00561A14"/>
    <w:rsid w:val="00561AB6"/>
    <w:rsid w:val="00561AED"/>
    <w:rsid w:val="00561D7C"/>
    <w:rsid w:val="00561F1F"/>
    <w:rsid w:val="00561F20"/>
    <w:rsid w:val="00562106"/>
    <w:rsid w:val="0056215F"/>
    <w:rsid w:val="00562198"/>
    <w:rsid w:val="005621DB"/>
    <w:rsid w:val="00562215"/>
    <w:rsid w:val="005622AB"/>
    <w:rsid w:val="0056235A"/>
    <w:rsid w:val="0056238B"/>
    <w:rsid w:val="005623C8"/>
    <w:rsid w:val="00562410"/>
    <w:rsid w:val="005624B3"/>
    <w:rsid w:val="00562508"/>
    <w:rsid w:val="0056250A"/>
    <w:rsid w:val="00562661"/>
    <w:rsid w:val="0056270A"/>
    <w:rsid w:val="00562832"/>
    <w:rsid w:val="0056289E"/>
    <w:rsid w:val="005628F9"/>
    <w:rsid w:val="00562942"/>
    <w:rsid w:val="005629B0"/>
    <w:rsid w:val="00562C6E"/>
    <w:rsid w:val="00562D3F"/>
    <w:rsid w:val="00562DD0"/>
    <w:rsid w:val="00562E04"/>
    <w:rsid w:val="00562E6E"/>
    <w:rsid w:val="00562F3F"/>
    <w:rsid w:val="00562F6F"/>
    <w:rsid w:val="00562F7B"/>
    <w:rsid w:val="00562F89"/>
    <w:rsid w:val="00562F91"/>
    <w:rsid w:val="0056300A"/>
    <w:rsid w:val="005630EF"/>
    <w:rsid w:val="005630F1"/>
    <w:rsid w:val="005630FA"/>
    <w:rsid w:val="00563112"/>
    <w:rsid w:val="00563194"/>
    <w:rsid w:val="005631ED"/>
    <w:rsid w:val="005633E9"/>
    <w:rsid w:val="005635CB"/>
    <w:rsid w:val="00563627"/>
    <w:rsid w:val="00563716"/>
    <w:rsid w:val="005637B9"/>
    <w:rsid w:val="005638E7"/>
    <w:rsid w:val="0056395F"/>
    <w:rsid w:val="0056396B"/>
    <w:rsid w:val="00563992"/>
    <w:rsid w:val="00563A74"/>
    <w:rsid w:val="00563AAB"/>
    <w:rsid w:val="00563B18"/>
    <w:rsid w:val="00563B71"/>
    <w:rsid w:val="00563B8E"/>
    <w:rsid w:val="00563BD3"/>
    <w:rsid w:val="00563C96"/>
    <w:rsid w:val="00563CB0"/>
    <w:rsid w:val="00563CCF"/>
    <w:rsid w:val="00563CDD"/>
    <w:rsid w:val="00563CEF"/>
    <w:rsid w:val="00563D42"/>
    <w:rsid w:val="00563E48"/>
    <w:rsid w:val="00563E69"/>
    <w:rsid w:val="00563F20"/>
    <w:rsid w:val="00563F9A"/>
    <w:rsid w:val="00564069"/>
    <w:rsid w:val="00564071"/>
    <w:rsid w:val="0056409B"/>
    <w:rsid w:val="00564109"/>
    <w:rsid w:val="0056413B"/>
    <w:rsid w:val="0056417F"/>
    <w:rsid w:val="00564341"/>
    <w:rsid w:val="005643B9"/>
    <w:rsid w:val="005643EA"/>
    <w:rsid w:val="00564410"/>
    <w:rsid w:val="00564684"/>
    <w:rsid w:val="005646C9"/>
    <w:rsid w:val="00564988"/>
    <w:rsid w:val="00564A44"/>
    <w:rsid w:val="00564A4D"/>
    <w:rsid w:val="00564C48"/>
    <w:rsid w:val="00564D58"/>
    <w:rsid w:val="00564D65"/>
    <w:rsid w:val="00564D94"/>
    <w:rsid w:val="00564E91"/>
    <w:rsid w:val="00564F90"/>
    <w:rsid w:val="00564FB4"/>
    <w:rsid w:val="00564FF7"/>
    <w:rsid w:val="005650A1"/>
    <w:rsid w:val="005650B2"/>
    <w:rsid w:val="005650CB"/>
    <w:rsid w:val="00565111"/>
    <w:rsid w:val="005651B6"/>
    <w:rsid w:val="00565260"/>
    <w:rsid w:val="005654DE"/>
    <w:rsid w:val="005654FA"/>
    <w:rsid w:val="00565539"/>
    <w:rsid w:val="00565569"/>
    <w:rsid w:val="005655A2"/>
    <w:rsid w:val="005655CA"/>
    <w:rsid w:val="00565617"/>
    <w:rsid w:val="005656BA"/>
    <w:rsid w:val="00565792"/>
    <w:rsid w:val="005658FA"/>
    <w:rsid w:val="00565917"/>
    <w:rsid w:val="00565A2E"/>
    <w:rsid w:val="00565A4C"/>
    <w:rsid w:val="00565ABE"/>
    <w:rsid w:val="00565BFC"/>
    <w:rsid w:val="00565CCB"/>
    <w:rsid w:val="00565D07"/>
    <w:rsid w:val="00565E64"/>
    <w:rsid w:val="00565E8B"/>
    <w:rsid w:val="00565EAD"/>
    <w:rsid w:val="00565EC9"/>
    <w:rsid w:val="00565F3A"/>
    <w:rsid w:val="00565F49"/>
    <w:rsid w:val="005660D1"/>
    <w:rsid w:val="0056618F"/>
    <w:rsid w:val="005661F9"/>
    <w:rsid w:val="005662CF"/>
    <w:rsid w:val="00566391"/>
    <w:rsid w:val="005664F6"/>
    <w:rsid w:val="00566777"/>
    <w:rsid w:val="005667A9"/>
    <w:rsid w:val="005668A8"/>
    <w:rsid w:val="005669BD"/>
    <w:rsid w:val="005669D5"/>
    <w:rsid w:val="00566A2C"/>
    <w:rsid w:val="00566A30"/>
    <w:rsid w:val="00566A9E"/>
    <w:rsid w:val="00566A9F"/>
    <w:rsid w:val="00566C4B"/>
    <w:rsid w:val="00566DD9"/>
    <w:rsid w:val="00566E16"/>
    <w:rsid w:val="00566E38"/>
    <w:rsid w:val="00566E59"/>
    <w:rsid w:val="00566FC4"/>
    <w:rsid w:val="00567010"/>
    <w:rsid w:val="0056702F"/>
    <w:rsid w:val="00567101"/>
    <w:rsid w:val="00567117"/>
    <w:rsid w:val="00567135"/>
    <w:rsid w:val="0056719B"/>
    <w:rsid w:val="0056728D"/>
    <w:rsid w:val="005672EE"/>
    <w:rsid w:val="00567335"/>
    <w:rsid w:val="0056742B"/>
    <w:rsid w:val="0056742D"/>
    <w:rsid w:val="00567474"/>
    <w:rsid w:val="005674A3"/>
    <w:rsid w:val="005675A6"/>
    <w:rsid w:val="00567670"/>
    <w:rsid w:val="0056767C"/>
    <w:rsid w:val="00567688"/>
    <w:rsid w:val="005676CA"/>
    <w:rsid w:val="005676E7"/>
    <w:rsid w:val="00567766"/>
    <w:rsid w:val="005677A1"/>
    <w:rsid w:val="0056784B"/>
    <w:rsid w:val="00567A9E"/>
    <w:rsid w:val="00567B33"/>
    <w:rsid w:val="00567BEE"/>
    <w:rsid w:val="00567C9C"/>
    <w:rsid w:val="00567CB7"/>
    <w:rsid w:val="00567D86"/>
    <w:rsid w:val="00567DAD"/>
    <w:rsid w:val="00567E54"/>
    <w:rsid w:val="00567E9C"/>
    <w:rsid w:val="00567FBC"/>
    <w:rsid w:val="0057006C"/>
    <w:rsid w:val="00570093"/>
    <w:rsid w:val="00570100"/>
    <w:rsid w:val="00570202"/>
    <w:rsid w:val="0057029A"/>
    <w:rsid w:val="00570468"/>
    <w:rsid w:val="005704A5"/>
    <w:rsid w:val="005705C6"/>
    <w:rsid w:val="005705D6"/>
    <w:rsid w:val="00570630"/>
    <w:rsid w:val="0057068A"/>
    <w:rsid w:val="00570734"/>
    <w:rsid w:val="005707A4"/>
    <w:rsid w:val="005707B1"/>
    <w:rsid w:val="005707C0"/>
    <w:rsid w:val="0057083D"/>
    <w:rsid w:val="005708CE"/>
    <w:rsid w:val="00570944"/>
    <w:rsid w:val="005709A9"/>
    <w:rsid w:val="005709DC"/>
    <w:rsid w:val="00570A7E"/>
    <w:rsid w:val="00570AD6"/>
    <w:rsid w:val="00570AE6"/>
    <w:rsid w:val="00570BF2"/>
    <w:rsid w:val="00570CE3"/>
    <w:rsid w:val="00570CE5"/>
    <w:rsid w:val="00570DA3"/>
    <w:rsid w:val="00570E36"/>
    <w:rsid w:val="00570FA1"/>
    <w:rsid w:val="00570FFB"/>
    <w:rsid w:val="0057108F"/>
    <w:rsid w:val="0057109A"/>
    <w:rsid w:val="00571138"/>
    <w:rsid w:val="00571195"/>
    <w:rsid w:val="00571233"/>
    <w:rsid w:val="005712A3"/>
    <w:rsid w:val="00571303"/>
    <w:rsid w:val="00571371"/>
    <w:rsid w:val="00571445"/>
    <w:rsid w:val="00571495"/>
    <w:rsid w:val="005714BE"/>
    <w:rsid w:val="005714D2"/>
    <w:rsid w:val="00571546"/>
    <w:rsid w:val="005715A6"/>
    <w:rsid w:val="0057162B"/>
    <w:rsid w:val="00571757"/>
    <w:rsid w:val="005717AC"/>
    <w:rsid w:val="005717C0"/>
    <w:rsid w:val="0057190C"/>
    <w:rsid w:val="005719FD"/>
    <w:rsid w:val="00571A6E"/>
    <w:rsid w:val="00571AEF"/>
    <w:rsid w:val="00571C54"/>
    <w:rsid w:val="00571D37"/>
    <w:rsid w:val="00571DA6"/>
    <w:rsid w:val="00571DCE"/>
    <w:rsid w:val="00571E85"/>
    <w:rsid w:val="00571EBA"/>
    <w:rsid w:val="00571EC1"/>
    <w:rsid w:val="00571ECD"/>
    <w:rsid w:val="00571F77"/>
    <w:rsid w:val="00571F99"/>
    <w:rsid w:val="0057203D"/>
    <w:rsid w:val="00572053"/>
    <w:rsid w:val="0057210E"/>
    <w:rsid w:val="0057211A"/>
    <w:rsid w:val="0057238C"/>
    <w:rsid w:val="005723AE"/>
    <w:rsid w:val="00572512"/>
    <w:rsid w:val="00572561"/>
    <w:rsid w:val="00572597"/>
    <w:rsid w:val="005725D7"/>
    <w:rsid w:val="0057267E"/>
    <w:rsid w:val="005726D9"/>
    <w:rsid w:val="00572792"/>
    <w:rsid w:val="00572812"/>
    <w:rsid w:val="0057285E"/>
    <w:rsid w:val="00572871"/>
    <w:rsid w:val="00572897"/>
    <w:rsid w:val="005728B0"/>
    <w:rsid w:val="005728E3"/>
    <w:rsid w:val="0057296C"/>
    <w:rsid w:val="00572ADE"/>
    <w:rsid w:val="00572BB2"/>
    <w:rsid w:val="00572D39"/>
    <w:rsid w:val="00572D82"/>
    <w:rsid w:val="00572F2E"/>
    <w:rsid w:val="00572F42"/>
    <w:rsid w:val="00572F62"/>
    <w:rsid w:val="00572FD6"/>
    <w:rsid w:val="0057309F"/>
    <w:rsid w:val="005730FD"/>
    <w:rsid w:val="005731EA"/>
    <w:rsid w:val="00573328"/>
    <w:rsid w:val="00573330"/>
    <w:rsid w:val="00573341"/>
    <w:rsid w:val="005733FB"/>
    <w:rsid w:val="00573402"/>
    <w:rsid w:val="00573433"/>
    <w:rsid w:val="005734F2"/>
    <w:rsid w:val="0057352C"/>
    <w:rsid w:val="005735F2"/>
    <w:rsid w:val="00573742"/>
    <w:rsid w:val="00573873"/>
    <w:rsid w:val="0057398F"/>
    <w:rsid w:val="005739C2"/>
    <w:rsid w:val="00573A6E"/>
    <w:rsid w:val="00573A89"/>
    <w:rsid w:val="00573ABF"/>
    <w:rsid w:val="00573ADD"/>
    <w:rsid w:val="00573B0E"/>
    <w:rsid w:val="00573B8C"/>
    <w:rsid w:val="00573BE8"/>
    <w:rsid w:val="00573C34"/>
    <w:rsid w:val="00573C4E"/>
    <w:rsid w:val="00573C9E"/>
    <w:rsid w:val="00573D59"/>
    <w:rsid w:val="00573D7E"/>
    <w:rsid w:val="00573E63"/>
    <w:rsid w:val="0057407D"/>
    <w:rsid w:val="00574152"/>
    <w:rsid w:val="00574205"/>
    <w:rsid w:val="005742C9"/>
    <w:rsid w:val="00574322"/>
    <w:rsid w:val="00574382"/>
    <w:rsid w:val="0057444A"/>
    <w:rsid w:val="0057444E"/>
    <w:rsid w:val="00574480"/>
    <w:rsid w:val="005744A9"/>
    <w:rsid w:val="00574562"/>
    <w:rsid w:val="005745A5"/>
    <w:rsid w:val="005745CF"/>
    <w:rsid w:val="0057470D"/>
    <w:rsid w:val="00574753"/>
    <w:rsid w:val="00574830"/>
    <w:rsid w:val="005748DF"/>
    <w:rsid w:val="00574BA6"/>
    <w:rsid w:val="00574D7B"/>
    <w:rsid w:val="00574DCF"/>
    <w:rsid w:val="00574EB9"/>
    <w:rsid w:val="00574F6F"/>
    <w:rsid w:val="0057500F"/>
    <w:rsid w:val="00575083"/>
    <w:rsid w:val="005750BB"/>
    <w:rsid w:val="0057512A"/>
    <w:rsid w:val="005751B1"/>
    <w:rsid w:val="00575291"/>
    <w:rsid w:val="005752D3"/>
    <w:rsid w:val="005752FE"/>
    <w:rsid w:val="005754AB"/>
    <w:rsid w:val="005754D1"/>
    <w:rsid w:val="005754D9"/>
    <w:rsid w:val="005754E5"/>
    <w:rsid w:val="005755B1"/>
    <w:rsid w:val="005755EA"/>
    <w:rsid w:val="0057563D"/>
    <w:rsid w:val="00575656"/>
    <w:rsid w:val="005756E8"/>
    <w:rsid w:val="005756EC"/>
    <w:rsid w:val="00575797"/>
    <w:rsid w:val="005757AB"/>
    <w:rsid w:val="005757AD"/>
    <w:rsid w:val="00575902"/>
    <w:rsid w:val="0057590E"/>
    <w:rsid w:val="00575914"/>
    <w:rsid w:val="00575930"/>
    <w:rsid w:val="005759C8"/>
    <w:rsid w:val="005759C9"/>
    <w:rsid w:val="00575A52"/>
    <w:rsid w:val="00575A77"/>
    <w:rsid w:val="00575A78"/>
    <w:rsid w:val="00575B28"/>
    <w:rsid w:val="00575B92"/>
    <w:rsid w:val="00575BE0"/>
    <w:rsid w:val="00575BF8"/>
    <w:rsid w:val="00575D5C"/>
    <w:rsid w:val="00575D7B"/>
    <w:rsid w:val="00575E76"/>
    <w:rsid w:val="00575E8F"/>
    <w:rsid w:val="00575EAE"/>
    <w:rsid w:val="00575F75"/>
    <w:rsid w:val="00576019"/>
    <w:rsid w:val="00576067"/>
    <w:rsid w:val="0057608B"/>
    <w:rsid w:val="0057629A"/>
    <w:rsid w:val="005762A6"/>
    <w:rsid w:val="005762D2"/>
    <w:rsid w:val="005763EA"/>
    <w:rsid w:val="00576449"/>
    <w:rsid w:val="00576453"/>
    <w:rsid w:val="0057646D"/>
    <w:rsid w:val="005764B8"/>
    <w:rsid w:val="005764C7"/>
    <w:rsid w:val="005765BB"/>
    <w:rsid w:val="005765E3"/>
    <w:rsid w:val="00576670"/>
    <w:rsid w:val="00576752"/>
    <w:rsid w:val="00576848"/>
    <w:rsid w:val="005768E6"/>
    <w:rsid w:val="0057691C"/>
    <w:rsid w:val="0057694A"/>
    <w:rsid w:val="00576A45"/>
    <w:rsid w:val="00576A99"/>
    <w:rsid w:val="00576AB8"/>
    <w:rsid w:val="00576BC9"/>
    <w:rsid w:val="00576D74"/>
    <w:rsid w:val="00576DF7"/>
    <w:rsid w:val="00576F20"/>
    <w:rsid w:val="00577011"/>
    <w:rsid w:val="005771FA"/>
    <w:rsid w:val="0057722D"/>
    <w:rsid w:val="00577254"/>
    <w:rsid w:val="0057725F"/>
    <w:rsid w:val="00577266"/>
    <w:rsid w:val="0057726B"/>
    <w:rsid w:val="0057727C"/>
    <w:rsid w:val="0057728D"/>
    <w:rsid w:val="005772BB"/>
    <w:rsid w:val="0057738A"/>
    <w:rsid w:val="005773EE"/>
    <w:rsid w:val="00577424"/>
    <w:rsid w:val="00577430"/>
    <w:rsid w:val="0057751A"/>
    <w:rsid w:val="00577537"/>
    <w:rsid w:val="0057753C"/>
    <w:rsid w:val="005775EB"/>
    <w:rsid w:val="00577633"/>
    <w:rsid w:val="00577673"/>
    <w:rsid w:val="005777C5"/>
    <w:rsid w:val="005778D0"/>
    <w:rsid w:val="00577986"/>
    <w:rsid w:val="005779F6"/>
    <w:rsid w:val="00577A3C"/>
    <w:rsid w:val="00577A97"/>
    <w:rsid w:val="00577B2F"/>
    <w:rsid w:val="00577BFE"/>
    <w:rsid w:val="00577C84"/>
    <w:rsid w:val="00577CEE"/>
    <w:rsid w:val="00577D4E"/>
    <w:rsid w:val="00577D56"/>
    <w:rsid w:val="00577DC9"/>
    <w:rsid w:val="00577DDF"/>
    <w:rsid w:val="00577E1E"/>
    <w:rsid w:val="00577F01"/>
    <w:rsid w:val="00577FA3"/>
    <w:rsid w:val="0058005A"/>
    <w:rsid w:val="0058010D"/>
    <w:rsid w:val="005801A3"/>
    <w:rsid w:val="005801D7"/>
    <w:rsid w:val="005802BF"/>
    <w:rsid w:val="0058042B"/>
    <w:rsid w:val="0058046B"/>
    <w:rsid w:val="005804D3"/>
    <w:rsid w:val="005804FB"/>
    <w:rsid w:val="0058056C"/>
    <w:rsid w:val="0058060D"/>
    <w:rsid w:val="005806A1"/>
    <w:rsid w:val="005806DC"/>
    <w:rsid w:val="005806F6"/>
    <w:rsid w:val="0058073C"/>
    <w:rsid w:val="005807A9"/>
    <w:rsid w:val="005807B2"/>
    <w:rsid w:val="005807F2"/>
    <w:rsid w:val="0058096B"/>
    <w:rsid w:val="00580B76"/>
    <w:rsid w:val="00580BC6"/>
    <w:rsid w:val="00580C3D"/>
    <w:rsid w:val="00580D1B"/>
    <w:rsid w:val="00580E07"/>
    <w:rsid w:val="00580EBA"/>
    <w:rsid w:val="005810EE"/>
    <w:rsid w:val="00581186"/>
    <w:rsid w:val="005811D5"/>
    <w:rsid w:val="0058120D"/>
    <w:rsid w:val="00581239"/>
    <w:rsid w:val="005812AD"/>
    <w:rsid w:val="0058133C"/>
    <w:rsid w:val="00581368"/>
    <w:rsid w:val="005813C2"/>
    <w:rsid w:val="00581513"/>
    <w:rsid w:val="00581544"/>
    <w:rsid w:val="005815C8"/>
    <w:rsid w:val="005815EE"/>
    <w:rsid w:val="00581700"/>
    <w:rsid w:val="00581716"/>
    <w:rsid w:val="00581736"/>
    <w:rsid w:val="0058179D"/>
    <w:rsid w:val="005817D0"/>
    <w:rsid w:val="00581879"/>
    <w:rsid w:val="005818AD"/>
    <w:rsid w:val="005818AE"/>
    <w:rsid w:val="005818E1"/>
    <w:rsid w:val="0058191F"/>
    <w:rsid w:val="005819EC"/>
    <w:rsid w:val="00581A00"/>
    <w:rsid w:val="00581AB0"/>
    <w:rsid w:val="00581B16"/>
    <w:rsid w:val="00581B20"/>
    <w:rsid w:val="00581B41"/>
    <w:rsid w:val="00581BD5"/>
    <w:rsid w:val="00581C67"/>
    <w:rsid w:val="00581C78"/>
    <w:rsid w:val="00581D33"/>
    <w:rsid w:val="00581D5A"/>
    <w:rsid w:val="00581E8E"/>
    <w:rsid w:val="00581F34"/>
    <w:rsid w:val="00581F54"/>
    <w:rsid w:val="00581F90"/>
    <w:rsid w:val="00582016"/>
    <w:rsid w:val="00582027"/>
    <w:rsid w:val="0058206B"/>
    <w:rsid w:val="00582086"/>
    <w:rsid w:val="005820EB"/>
    <w:rsid w:val="0058213C"/>
    <w:rsid w:val="00582167"/>
    <w:rsid w:val="005821C3"/>
    <w:rsid w:val="005822F7"/>
    <w:rsid w:val="005823DE"/>
    <w:rsid w:val="00582415"/>
    <w:rsid w:val="00582511"/>
    <w:rsid w:val="0058255E"/>
    <w:rsid w:val="0058258E"/>
    <w:rsid w:val="005825F0"/>
    <w:rsid w:val="00582606"/>
    <w:rsid w:val="00582647"/>
    <w:rsid w:val="00582667"/>
    <w:rsid w:val="0058268C"/>
    <w:rsid w:val="0058268D"/>
    <w:rsid w:val="005826F4"/>
    <w:rsid w:val="005826FB"/>
    <w:rsid w:val="00582738"/>
    <w:rsid w:val="005827AC"/>
    <w:rsid w:val="00582835"/>
    <w:rsid w:val="00582859"/>
    <w:rsid w:val="00582875"/>
    <w:rsid w:val="00582898"/>
    <w:rsid w:val="00582923"/>
    <w:rsid w:val="005829BC"/>
    <w:rsid w:val="005829D0"/>
    <w:rsid w:val="005829F8"/>
    <w:rsid w:val="00582AAF"/>
    <w:rsid w:val="00582BEC"/>
    <w:rsid w:val="00582D33"/>
    <w:rsid w:val="00582ED9"/>
    <w:rsid w:val="0058309F"/>
    <w:rsid w:val="005830D8"/>
    <w:rsid w:val="00583137"/>
    <w:rsid w:val="00583191"/>
    <w:rsid w:val="00583199"/>
    <w:rsid w:val="005832FA"/>
    <w:rsid w:val="005833FE"/>
    <w:rsid w:val="0058346A"/>
    <w:rsid w:val="005834F7"/>
    <w:rsid w:val="00583554"/>
    <w:rsid w:val="00583573"/>
    <w:rsid w:val="005835D7"/>
    <w:rsid w:val="0058369E"/>
    <w:rsid w:val="005836D5"/>
    <w:rsid w:val="00583714"/>
    <w:rsid w:val="00583730"/>
    <w:rsid w:val="0058378F"/>
    <w:rsid w:val="00583799"/>
    <w:rsid w:val="005837E3"/>
    <w:rsid w:val="00583865"/>
    <w:rsid w:val="005838EF"/>
    <w:rsid w:val="00583922"/>
    <w:rsid w:val="00583986"/>
    <w:rsid w:val="00583AC9"/>
    <w:rsid w:val="00583BCF"/>
    <w:rsid w:val="00583C09"/>
    <w:rsid w:val="00583CEA"/>
    <w:rsid w:val="00583D77"/>
    <w:rsid w:val="00583E60"/>
    <w:rsid w:val="00583F31"/>
    <w:rsid w:val="00584087"/>
    <w:rsid w:val="005840F6"/>
    <w:rsid w:val="00584133"/>
    <w:rsid w:val="0058414C"/>
    <w:rsid w:val="00584181"/>
    <w:rsid w:val="00584286"/>
    <w:rsid w:val="0058440F"/>
    <w:rsid w:val="00584482"/>
    <w:rsid w:val="0058449E"/>
    <w:rsid w:val="005844F1"/>
    <w:rsid w:val="0058451A"/>
    <w:rsid w:val="00584608"/>
    <w:rsid w:val="0058470F"/>
    <w:rsid w:val="00584893"/>
    <w:rsid w:val="005848EF"/>
    <w:rsid w:val="005849C1"/>
    <w:rsid w:val="00584A43"/>
    <w:rsid w:val="00584B7B"/>
    <w:rsid w:val="00584B93"/>
    <w:rsid w:val="00584C45"/>
    <w:rsid w:val="00584C4F"/>
    <w:rsid w:val="00584C7E"/>
    <w:rsid w:val="00584CD1"/>
    <w:rsid w:val="00584CD3"/>
    <w:rsid w:val="00584D15"/>
    <w:rsid w:val="00584D1C"/>
    <w:rsid w:val="00584D9F"/>
    <w:rsid w:val="00584E51"/>
    <w:rsid w:val="00584F01"/>
    <w:rsid w:val="00584F4D"/>
    <w:rsid w:val="0058513E"/>
    <w:rsid w:val="0058519C"/>
    <w:rsid w:val="005851AB"/>
    <w:rsid w:val="00585225"/>
    <w:rsid w:val="00585254"/>
    <w:rsid w:val="00585344"/>
    <w:rsid w:val="00585395"/>
    <w:rsid w:val="005854B8"/>
    <w:rsid w:val="005854F4"/>
    <w:rsid w:val="0058551C"/>
    <w:rsid w:val="00585576"/>
    <w:rsid w:val="005855A5"/>
    <w:rsid w:val="005855C2"/>
    <w:rsid w:val="00585624"/>
    <w:rsid w:val="005857BE"/>
    <w:rsid w:val="005857FD"/>
    <w:rsid w:val="00585805"/>
    <w:rsid w:val="0058580E"/>
    <w:rsid w:val="00585838"/>
    <w:rsid w:val="0058584C"/>
    <w:rsid w:val="00585878"/>
    <w:rsid w:val="005858A1"/>
    <w:rsid w:val="005858C8"/>
    <w:rsid w:val="00585984"/>
    <w:rsid w:val="005859EF"/>
    <w:rsid w:val="00585A7E"/>
    <w:rsid w:val="00585BD9"/>
    <w:rsid w:val="00585BDB"/>
    <w:rsid w:val="00585C45"/>
    <w:rsid w:val="00585C9E"/>
    <w:rsid w:val="00585EDF"/>
    <w:rsid w:val="00585F1A"/>
    <w:rsid w:val="00585F4A"/>
    <w:rsid w:val="00586048"/>
    <w:rsid w:val="00586193"/>
    <w:rsid w:val="0058619F"/>
    <w:rsid w:val="005862B6"/>
    <w:rsid w:val="005862C8"/>
    <w:rsid w:val="00586404"/>
    <w:rsid w:val="0058648F"/>
    <w:rsid w:val="00586537"/>
    <w:rsid w:val="0058659A"/>
    <w:rsid w:val="0058659E"/>
    <w:rsid w:val="005865EE"/>
    <w:rsid w:val="00586614"/>
    <w:rsid w:val="00586691"/>
    <w:rsid w:val="005866F2"/>
    <w:rsid w:val="00586756"/>
    <w:rsid w:val="005867D9"/>
    <w:rsid w:val="00586814"/>
    <w:rsid w:val="0058688B"/>
    <w:rsid w:val="00586A4F"/>
    <w:rsid w:val="00586A78"/>
    <w:rsid w:val="00586AEC"/>
    <w:rsid w:val="00586B31"/>
    <w:rsid w:val="00586B46"/>
    <w:rsid w:val="00586B80"/>
    <w:rsid w:val="00586C34"/>
    <w:rsid w:val="00586CAA"/>
    <w:rsid w:val="00586CF8"/>
    <w:rsid w:val="00586D4B"/>
    <w:rsid w:val="00586DD2"/>
    <w:rsid w:val="00586E0B"/>
    <w:rsid w:val="00586EBB"/>
    <w:rsid w:val="00586EC6"/>
    <w:rsid w:val="00586EFA"/>
    <w:rsid w:val="00586F4A"/>
    <w:rsid w:val="00586F77"/>
    <w:rsid w:val="00587200"/>
    <w:rsid w:val="00587256"/>
    <w:rsid w:val="005872AB"/>
    <w:rsid w:val="005872E7"/>
    <w:rsid w:val="00587437"/>
    <w:rsid w:val="005874B2"/>
    <w:rsid w:val="005874C9"/>
    <w:rsid w:val="005875FD"/>
    <w:rsid w:val="00587622"/>
    <w:rsid w:val="005876A3"/>
    <w:rsid w:val="00587771"/>
    <w:rsid w:val="00587870"/>
    <w:rsid w:val="005878B0"/>
    <w:rsid w:val="005878B5"/>
    <w:rsid w:val="005878DB"/>
    <w:rsid w:val="005879A5"/>
    <w:rsid w:val="005879E9"/>
    <w:rsid w:val="00587A32"/>
    <w:rsid w:val="00587A44"/>
    <w:rsid w:val="00587A91"/>
    <w:rsid w:val="00587AB0"/>
    <w:rsid w:val="00587B16"/>
    <w:rsid w:val="00587B8F"/>
    <w:rsid w:val="00587C27"/>
    <w:rsid w:val="00587D68"/>
    <w:rsid w:val="00587E4D"/>
    <w:rsid w:val="00587E81"/>
    <w:rsid w:val="00587F46"/>
    <w:rsid w:val="00587F61"/>
    <w:rsid w:val="00587FE6"/>
    <w:rsid w:val="00590096"/>
    <w:rsid w:val="0059017C"/>
    <w:rsid w:val="005902C4"/>
    <w:rsid w:val="00590370"/>
    <w:rsid w:val="00590386"/>
    <w:rsid w:val="00590431"/>
    <w:rsid w:val="005904D2"/>
    <w:rsid w:val="005904F2"/>
    <w:rsid w:val="0059054F"/>
    <w:rsid w:val="00590639"/>
    <w:rsid w:val="00590641"/>
    <w:rsid w:val="0059070E"/>
    <w:rsid w:val="0059076F"/>
    <w:rsid w:val="005907A3"/>
    <w:rsid w:val="0059080B"/>
    <w:rsid w:val="00590817"/>
    <w:rsid w:val="00590818"/>
    <w:rsid w:val="00590828"/>
    <w:rsid w:val="0059084C"/>
    <w:rsid w:val="0059097F"/>
    <w:rsid w:val="005909FD"/>
    <w:rsid w:val="005909FF"/>
    <w:rsid w:val="00590AD4"/>
    <w:rsid w:val="00590B67"/>
    <w:rsid w:val="00590B71"/>
    <w:rsid w:val="00590BD4"/>
    <w:rsid w:val="00590C48"/>
    <w:rsid w:val="00590C49"/>
    <w:rsid w:val="00590C9A"/>
    <w:rsid w:val="00590D09"/>
    <w:rsid w:val="00590D86"/>
    <w:rsid w:val="00590D9B"/>
    <w:rsid w:val="00590DA3"/>
    <w:rsid w:val="00590DBC"/>
    <w:rsid w:val="00590E41"/>
    <w:rsid w:val="00590E9E"/>
    <w:rsid w:val="00590EDF"/>
    <w:rsid w:val="00590FE0"/>
    <w:rsid w:val="0059110E"/>
    <w:rsid w:val="00591114"/>
    <w:rsid w:val="00591159"/>
    <w:rsid w:val="00591220"/>
    <w:rsid w:val="00591226"/>
    <w:rsid w:val="00591273"/>
    <w:rsid w:val="00591296"/>
    <w:rsid w:val="005912EB"/>
    <w:rsid w:val="005912EE"/>
    <w:rsid w:val="00591348"/>
    <w:rsid w:val="0059137A"/>
    <w:rsid w:val="005913C4"/>
    <w:rsid w:val="005913CF"/>
    <w:rsid w:val="00591408"/>
    <w:rsid w:val="0059143C"/>
    <w:rsid w:val="00591537"/>
    <w:rsid w:val="0059156A"/>
    <w:rsid w:val="005916CC"/>
    <w:rsid w:val="005916CD"/>
    <w:rsid w:val="0059177F"/>
    <w:rsid w:val="0059179F"/>
    <w:rsid w:val="005917FD"/>
    <w:rsid w:val="00591813"/>
    <w:rsid w:val="005918F3"/>
    <w:rsid w:val="00591957"/>
    <w:rsid w:val="00591959"/>
    <w:rsid w:val="005919B0"/>
    <w:rsid w:val="005919C1"/>
    <w:rsid w:val="005919C9"/>
    <w:rsid w:val="005919E8"/>
    <w:rsid w:val="00591A16"/>
    <w:rsid w:val="00591AB4"/>
    <w:rsid w:val="00591ADC"/>
    <w:rsid w:val="00591B34"/>
    <w:rsid w:val="00591B36"/>
    <w:rsid w:val="00591B70"/>
    <w:rsid w:val="00591C64"/>
    <w:rsid w:val="00591C96"/>
    <w:rsid w:val="00591D18"/>
    <w:rsid w:val="00591D34"/>
    <w:rsid w:val="00591DA5"/>
    <w:rsid w:val="00591DCA"/>
    <w:rsid w:val="00591FF1"/>
    <w:rsid w:val="0059201C"/>
    <w:rsid w:val="0059213E"/>
    <w:rsid w:val="005921F3"/>
    <w:rsid w:val="005922BD"/>
    <w:rsid w:val="00592368"/>
    <w:rsid w:val="00592380"/>
    <w:rsid w:val="00592408"/>
    <w:rsid w:val="0059241B"/>
    <w:rsid w:val="00592455"/>
    <w:rsid w:val="0059248F"/>
    <w:rsid w:val="005924E1"/>
    <w:rsid w:val="005924EE"/>
    <w:rsid w:val="00592515"/>
    <w:rsid w:val="00592563"/>
    <w:rsid w:val="005925C1"/>
    <w:rsid w:val="00592611"/>
    <w:rsid w:val="0059261B"/>
    <w:rsid w:val="00592670"/>
    <w:rsid w:val="005926F0"/>
    <w:rsid w:val="0059275C"/>
    <w:rsid w:val="00592806"/>
    <w:rsid w:val="00592828"/>
    <w:rsid w:val="005928DB"/>
    <w:rsid w:val="00592921"/>
    <w:rsid w:val="005929C3"/>
    <w:rsid w:val="00592A22"/>
    <w:rsid w:val="00592A46"/>
    <w:rsid w:val="00592A92"/>
    <w:rsid w:val="00592AA4"/>
    <w:rsid w:val="00592B11"/>
    <w:rsid w:val="00592B26"/>
    <w:rsid w:val="00592B3F"/>
    <w:rsid w:val="00592D50"/>
    <w:rsid w:val="00592D5B"/>
    <w:rsid w:val="00592E1E"/>
    <w:rsid w:val="00592EE6"/>
    <w:rsid w:val="00592F38"/>
    <w:rsid w:val="00592F9B"/>
    <w:rsid w:val="00593019"/>
    <w:rsid w:val="0059304A"/>
    <w:rsid w:val="0059309D"/>
    <w:rsid w:val="005930C2"/>
    <w:rsid w:val="005931A7"/>
    <w:rsid w:val="005931D8"/>
    <w:rsid w:val="005931E1"/>
    <w:rsid w:val="005932BD"/>
    <w:rsid w:val="005932C1"/>
    <w:rsid w:val="005932D8"/>
    <w:rsid w:val="00593314"/>
    <w:rsid w:val="00593316"/>
    <w:rsid w:val="00593335"/>
    <w:rsid w:val="00593388"/>
    <w:rsid w:val="005933E3"/>
    <w:rsid w:val="005935B8"/>
    <w:rsid w:val="005935F2"/>
    <w:rsid w:val="0059368E"/>
    <w:rsid w:val="005936AE"/>
    <w:rsid w:val="005936BE"/>
    <w:rsid w:val="005936EC"/>
    <w:rsid w:val="0059373D"/>
    <w:rsid w:val="005938BC"/>
    <w:rsid w:val="005938E9"/>
    <w:rsid w:val="005938F2"/>
    <w:rsid w:val="00593979"/>
    <w:rsid w:val="00593A1F"/>
    <w:rsid w:val="00593AC5"/>
    <w:rsid w:val="00593BAF"/>
    <w:rsid w:val="00593BF5"/>
    <w:rsid w:val="00593D4A"/>
    <w:rsid w:val="00593DCE"/>
    <w:rsid w:val="00593E90"/>
    <w:rsid w:val="00593ECF"/>
    <w:rsid w:val="00593F64"/>
    <w:rsid w:val="005940DF"/>
    <w:rsid w:val="00594146"/>
    <w:rsid w:val="0059418B"/>
    <w:rsid w:val="005941BC"/>
    <w:rsid w:val="00594246"/>
    <w:rsid w:val="00594249"/>
    <w:rsid w:val="005942F6"/>
    <w:rsid w:val="0059433E"/>
    <w:rsid w:val="00594355"/>
    <w:rsid w:val="00594396"/>
    <w:rsid w:val="005943CA"/>
    <w:rsid w:val="00594496"/>
    <w:rsid w:val="005944BD"/>
    <w:rsid w:val="005945DF"/>
    <w:rsid w:val="00594617"/>
    <w:rsid w:val="00594645"/>
    <w:rsid w:val="00594713"/>
    <w:rsid w:val="00594714"/>
    <w:rsid w:val="00594720"/>
    <w:rsid w:val="00594848"/>
    <w:rsid w:val="00594870"/>
    <w:rsid w:val="00594873"/>
    <w:rsid w:val="00594896"/>
    <w:rsid w:val="0059489F"/>
    <w:rsid w:val="005948B0"/>
    <w:rsid w:val="005948DB"/>
    <w:rsid w:val="005949F4"/>
    <w:rsid w:val="00594A0A"/>
    <w:rsid w:val="00594A0B"/>
    <w:rsid w:val="00594BC2"/>
    <w:rsid w:val="00594BF5"/>
    <w:rsid w:val="00594E86"/>
    <w:rsid w:val="00594F0A"/>
    <w:rsid w:val="00594F4C"/>
    <w:rsid w:val="00594FCF"/>
    <w:rsid w:val="0059505C"/>
    <w:rsid w:val="005950F3"/>
    <w:rsid w:val="005952BA"/>
    <w:rsid w:val="005952C2"/>
    <w:rsid w:val="00595378"/>
    <w:rsid w:val="005953BF"/>
    <w:rsid w:val="0059541C"/>
    <w:rsid w:val="0059548D"/>
    <w:rsid w:val="00595493"/>
    <w:rsid w:val="00595505"/>
    <w:rsid w:val="00595534"/>
    <w:rsid w:val="0059558F"/>
    <w:rsid w:val="005955AC"/>
    <w:rsid w:val="005955D6"/>
    <w:rsid w:val="0059564A"/>
    <w:rsid w:val="005956D3"/>
    <w:rsid w:val="0059577A"/>
    <w:rsid w:val="005957A6"/>
    <w:rsid w:val="00595907"/>
    <w:rsid w:val="005959A5"/>
    <w:rsid w:val="005959DA"/>
    <w:rsid w:val="00595A6C"/>
    <w:rsid w:val="00595AA3"/>
    <w:rsid w:val="00595B8A"/>
    <w:rsid w:val="00595C7E"/>
    <w:rsid w:val="00595C92"/>
    <w:rsid w:val="00595DEB"/>
    <w:rsid w:val="00595DF5"/>
    <w:rsid w:val="00595E18"/>
    <w:rsid w:val="00595EE1"/>
    <w:rsid w:val="00595F9E"/>
    <w:rsid w:val="0059608E"/>
    <w:rsid w:val="005961DD"/>
    <w:rsid w:val="0059624A"/>
    <w:rsid w:val="00596341"/>
    <w:rsid w:val="00596350"/>
    <w:rsid w:val="00596365"/>
    <w:rsid w:val="005963AF"/>
    <w:rsid w:val="005963B2"/>
    <w:rsid w:val="00596468"/>
    <w:rsid w:val="00596469"/>
    <w:rsid w:val="00596585"/>
    <w:rsid w:val="005965BC"/>
    <w:rsid w:val="005966E1"/>
    <w:rsid w:val="005966F3"/>
    <w:rsid w:val="0059672C"/>
    <w:rsid w:val="0059675E"/>
    <w:rsid w:val="00596802"/>
    <w:rsid w:val="00596832"/>
    <w:rsid w:val="00596846"/>
    <w:rsid w:val="0059693A"/>
    <w:rsid w:val="0059697F"/>
    <w:rsid w:val="00596A60"/>
    <w:rsid w:val="00596A84"/>
    <w:rsid w:val="00596AA9"/>
    <w:rsid w:val="00596AB0"/>
    <w:rsid w:val="00596AE3"/>
    <w:rsid w:val="00596C48"/>
    <w:rsid w:val="00596CE2"/>
    <w:rsid w:val="00596DBC"/>
    <w:rsid w:val="00596DC3"/>
    <w:rsid w:val="00596E40"/>
    <w:rsid w:val="00596F62"/>
    <w:rsid w:val="00596F98"/>
    <w:rsid w:val="00596FDA"/>
    <w:rsid w:val="0059709F"/>
    <w:rsid w:val="00597200"/>
    <w:rsid w:val="005972AF"/>
    <w:rsid w:val="005972E3"/>
    <w:rsid w:val="005972ED"/>
    <w:rsid w:val="005972F1"/>
    <w:rsid w:val="00597313"/>
    <w:rsid w:val="00597352"/>
    <w:rsid w:val="005974C9"/>
    <w:rsid w:val="00597563"/>
    <w:rsid w:val="00597613"/>
    <w:rsid w:val="0059769E"/>
    <w:rsid w:val="0059771F"/>
    <w:rsid w:val="00597778"/>
    <w:rsid w:val="0059777C"/>
    <w:rsid w:val="00597853"/>
    <w:rsid w:val="00597866"/>
    <w:rsid w:val="00597906"/>
    <w:rsid w:val="00597A60"/>
    <w:rsid w:val="00597A84"/>
    <w:rsid w:val="00597A95"/>
    <w:rsid w:val="00597B19"/>
    <w:rsid w:val="00597B7F"/>
    <w:rsid w:val="00597BE6"/>
    <w:rsid w:val="00597C7D"/>
    <w:rsid w:val="00597CD2"/>
    <w:rsid w:val="00597CFF"/>
    <w:rsid w:val="00597D5B"/>
    <w:rsid w:val="00597D6D"/>
    <w:rsid w:val="00597E84"/>
    <w:rsid w:val="00597F79"/>
    <w:rsid w:val="00597FAA"/>
    <w:rsid w:val="005994EC"/>
    <w:rsid w:val="005A0002"/>
    <w:rsid w:val="005A00CB"/>
    <w:rsid w:val="005A00E5"/>
    <w:rsid w:val="005A00F1"/>
    <w:rsid w:val="005A0402"/>
    <w:rsid w:val="005A0466"/>
    <w:rsid w:val="005A0513"/>
    <w:rsid w:val="005A055C"/>
    <w:rsid w:val="005A05ED"/>
    <w:rsid w:val="005A05EF"/>
    <w:rsid w:val="005A063D"/>
    <w:rsid w:val="005A068F"/>
    <w:rsid w:val="005A06BB"/>
    <w:rsid w:val="005A0812"/>
    <w:rsid w:val="005A08BD"/>
    <w:rsid w:val="005A0988"/>
    <w:rsid w:val="005A0A58"/>
    <w:rsid w:val="005A0A8D"/>
    <w:rsid w:val="005A0AD1"/>
    <w:rsid w:val="005A0AFB"/>
    <w:rsid w:val="005A0B82"/>
    <w:rsid w:val="005A0C41"/>
    <w:rsid w:val="005A0C42"/>
    <w:rsid w:val="005A0C76"/>
    <w:rsid w:val="005A0CC2"/>
    <w:rsid w:val="005A0D03"/>
    <w:rsid w:val="005A0E07"/>
    <w:rsid w:val="005A0E19"/>
    <w:rsid w:val="005A0EF4"/>
    <w:rsid w:val="005A0F8F"/>
    <w:rsid w:val="005A0FD6"/>
    <w:rsid w:val="005A10BA"/>
    <w:rsid w:val="005A114E"/>
    <w:rsid w:val="005A11B1"/>
    <w:rsid w:val="005A11EB"/>
    <w:rsid w:val="005A11FD"/>
    <w:rsid w:val="005A12E0"/>
    <w:rsid w:val="005A12E4"/>
    <w:rsid w:val="005A1346"/>
    <w:rsid w:val="005A14AD"/>
    <w:rsid w:val="005A14DB"/>
    <w:rsid w:val="005A14E6"/>
    <w:rsid w:val="005A1511"/>
    <w:rsid w:val="005A1521"/>
    <w:rsid w:val="005A16A1"/>
    <w:rsid w:val="005A1754"/>
    <w:rsid w:val="005A17B6"/>
    <w:rsid w:val="005A17B8"/>
    <w:rsid w:val="005A17DA"/>
    <w:rsid w:val="005A181B"/>
    <w:rsid w:val="005A1823"/>
    <w:rsid w:val="005A1856"/>
    <w:rsid w:val="005A19B3"/>
    <w:rsid w:val="005A19E5"/>
    <w:rsid w:val="005A1A17"/>
    <w:rsid w:val="005A1A81"/>
    <w:rsid w:val="005A1AEF"/>
    <w:rsid w:val="005A1B2B"/>
    <w:rsid w:val="005A1B73"/>
    <w:rsid w:val="005A1C6B"/>
    <w:rsid w:val="005A1EE1"/>
    <w:rsid w:val="005A1FBC"/>
    <w:rsid w:val="005A1FF7"/>
    <w:rsid w:val="005A2043"/>
    <w:rsid w:val="005A2112"/>
    <w:rsid w:val="005A21E2"/>
    <w:rsid w:val="005A21EE"/>
    <w:rsid w:val="005A21F7"/>
    <w:rsid w:val="005A22AE"/>
    <w:rsid w:val="005A230E"/>
    <w:rsid w:val="005A2469"/>
    <w:rsid w:val="005A248A"/>
    <w:rsid w:val="005A24C1"/>
    <w:rsid w:val="005A2512"/>
    <w:rsid w:val="005A25BC"/>
    <w:rsid w:val="005A2600"/>
    <w:rsid w:val="005A26E8"/>
    <w:rsid w:val="005A2729"/>
    <w:rsid w:val="005A273E"/>
    <w:rsid w:val="005A27F8"/>
    <w:rsid w:val="005A28B6"/>
    <w:rsid w:val="005A298F"/>
    <w:rsid w:val="005A29F0"/>
    <w:rsid w:val="005A2AFA"/>
    <w:rsid w:val="005A2AFD"/>
    <w:rsid w:val="005A2BC0"/>
    <w:rsid w:val="005A2C2D"/>
    <w:rsid w:val="005A2C95"/>
    <w:rsid w:val="005A2D78"/>
    <w:rsid w:val="005A2DCF"/>
    <w:rsid w:val="005A2E6C"/>
    <w:rsid w:val="005A2EFA"/>
    <w:rsid w:val="005A2F72"/>
    <w:rsid w:val="005A2FB8"/>
    <w:rsid w:val="005A3060"/>
    <w:rsid w:val="005A30C9"/>
    <w:rsid w:val="005A30FB"/>
    <w:rsid w:val="005A313D"/>
    <w:rsid w:val="005A317E"/>
    <w:rsid w:val="005A31A7"/>
    <w:rsid w:val="005A32A6"/>
    <w:rsid w:val="005A33C5"/>
    <w:rsid w:val="005A3513"/>
    <w:rsid w:val="005A352F"/>
    <w:rsid w:val="005A35EC"/>
    <w:rsid w:val="005A35F6"/>
    <w:rsid w:val="005A3631"/>
    <w:rsid w:val="005A3750"/>
    <w:rsid w:val="005A375E"/>
    <w:rsid w:val="005A37B7"/>
    <w:rsid w:val="005A37C0"/>
    <w:rsid w:val="005A3814"/>
    <w:rsid w:val="005A382F"/>
    <w:rsid w:val="005A399D"/>
    <w:rsid w:val="005A3A94"/>
    <w:rsid w:val="005A3B2D"/>
    <w:rsid w:val="005A3B6D"/>
    <w:rsid w:val="005A3D1F"/>
    <w:rsid w:val="005A3D48"/>
    <w:rsid w:val="005A3D80"/>
    <w:rsid w:val="005A3E02"/>
    <w:rsid w:val="005A3E33"/>
    <w:rsid w:val="005A3E4D"/>
    <w:rsid w:val="005A3F13"/>
    <w:rsid w:val="005A3F45"/>
    <w:rsid w:val="005A3F96"/>
    <w:rsid w:val="005A3FFF"/>
    <w:rsid w:val="005A40FB"/>
    <w:rsid w:val="005A415F"/>
    <w:rsid w:val="005A418B"/>
    <w:rsid w:val="005A419D"/>
    <w:rsid w:val="005A41D0"/>
    <w:rsid w:val="005A4279"/>
    <w:rsid w:val="005A447E"/>
    <w:rsid w:val="005A44CD"/>
    <w:rsid w:val="005A4551"/>
    <w:rsid w:val="005A456C"/>
    <w:rsid w:val="005A45D0"/>
    <w:rsid w:val="005A486B"/>
    <w:rsid w:val="005A4907"/>
    <w:rsid w:val="005A499A"/>
    <w:rsid w:val="005A49CA"/>
    <w:rsid w:val="005A4AB2"/>
    <w:rsid w:val="005A4AB8"/>
    <w:rsid w:val="005A4ABD"/>
    <w:rsid w:val="005A4AC4"/>
    <w:rsid w:val="005A4AE5"/>
    <w:rsid w:val="005A4D3D"/>
    <w:rsid w:val="005A4D4B"/>
    <w:rsid w:val="005A4D63"/>
    <w:rsid w:val="005A4DDF"/>
    <w:rsid w:val="005A4F14"/>
    <w:rsid w:val="005A4F15"/>
    <w:rsid w:val="005A5174"/>
    <w:rsid w:val="005A51A0"/>
    <w:rsid w:val="005A51E0"/>
    <w:rsid w:val="005A5250"/>
    <w:rsid w:val="005A52AA"/>
    <w:rsid w:val="005A5364"/>
    <w:rsid w:val="005A546D"/>
    <w:rsid w:val="005A5573"/>
    <w:rsid w:val="005A5610"/>
    <w:rsid w:val="005A5653"/>
    <w:rsid w:val="005A56C3"/>
    <w:rsid w:val="005A578B"/>
    <w:rsid w:val="005A57E7"/>
    <w:rsid w:val="005A58EE"/>
    <w:rsid w:val="005A58F8"/>
    <w:rsid w:val="005A5953"/>
    <w:rsid w:val="005A5A2F"/>
    <w:rsid w:val="005A5B8D"/>
    <w:rsid w:val="005A5C31"/>
    <w:rsid w:val="005A5DAB"/>
    <w:rsid w:val="005A5E6D"/>
    <w:rsid w:val="005A5F13"/>
    <w:rsid w:val="005A6005"/>
    <w:rsid w:val="005A6019"/>
    <w:rsid w:val="005A611D"/>
    <w:rsid w:val="005A6179"/>
    <w:rsid w:val="005A61CE"/>
    <w:rsid w:val="005A6207"/>
    <w:rsid w:val="005A6235"/>
    <w:rsid w:val="005A635C"/>
    <w:rsid w:val="005A63C0"/>
    <w:rsid w:val="005A63C4"/>
    <w:rsid w:val="005A6418"/>
    <w:rsid w:val="005A6441"/>
    <w:rsid w:val="005A64DD"/>
    <w:rsid w:val="005A6597"/>
    <w:rsid w:val="005A65A2"/>
    <w:rsid w:val="005A65B2"/>
    <w:rsid w:val="005A661F"/>
    <w:rsid w:val="005A66CE"/>
    <w:rsid w:val="005A66D7"/>
    <w:rsid w:val="005A673C"/>
    <w:rsid w:val="005A6793"/>
    <w:rsid w:val="005A68CA"/>
    <w:rsid w:val="005A6999"/>
    <w:rsid w:val="005A6A3B"/>
    <w:rsid w:val="005A6A90"/>
    <w:rsid w:val="005A6B22"/>
    <w:rsid w:val="005A6B91"/>
    <w:rsid w:val="005A6D02"/>
    <w:rsid w:val="005A6DB9"/>
    <w:rsid w:val="005A6DD3"/>
    <w:rsid w:val="005A6E5F"/>
    <w:rsid w:val="005A6E91"/>
    <w:rsid w:val="005A6E99"/>
    <w:rsid w:val="005A6ED7"/>
    <w:rsid w:val="005A708F"/>
    <w:rsid w:val="005A714F"/>
    <w:rsid w:val="005A71CC"/>
    <w:rsid w:val="005A7250"/>
    <w:rsid w:val="005A72B1"/>
    <w:rsid w:val="005A73CD"/>
    <w:rsid w:val="005A73E2"/>
    <w:rsid w:val="005A7481"/>
    <w:rsid w:val="005A77E0"/>
    <w:rsid w:val="005A7806"/>
    <w:rsid w:val="005A788D"/>
    <w:rsid w:val="005A78AC"/>
    <w:rsid w:val="005A78F7"/>
    <w:rsid w:val="005A7977"/>
    <w:rsid w:val="005A797E"/>
    <w:rsid w:val="005A79DA"/>
    <w:rsid w:val="005A7AB0"/>
    <w:rsid w:val="005A7AD3"/>
    <w:rsid w:val="005A7BD2"/>
    <w:rsid w:val="005A7C28"/>
    <w:rsid w:val="005A7C30"/>
    <w:rsid w:val="005A7C32"/>
    <w:rsid w:val="005A7CE3"/>
    <w:rsid w:val="005A7DC6"/>
    <w:rsid w:val="005A7E00"/>
    <w:rsid w:val="005A7E26"/>
    <w:rsid w:val="005A7E39"/>
    <w:rsid w:val="005A7E72"/>
    <w:rsid w:val="005A7E78"/>
    <w:rsid w:val="005A7E87"/>
    <w:rsid w:val="005A7EA4"/>
    <w:rsid w:val="005A7F3E"/>
    <w:rsid w:val="005A7F4A"/>
    <w:rsid w:val="005A7F95"/>
    <w:rsid w:val="005B0018"/>
    <w:rsid w:val="005B00D8"/>
    <w:rsid w:val="005B00E0"/>
    <w:rsid w:val="005B0100"/>
    <w:rsid w:val="005B0127"/>
    <w:rsid w:val="005B019C"/>
    <w:rsid w:val="005B02D5"/>
    <w:rsid w:val="005B034B"/>
    <w:rsid w:val="005B0386"/>
    <w:rsid w:val="005B03ED"/>
    <w:rsid w:val="005B0515"/>
    <w:rsid w:val="005B0596"/>
    <w:rsid w:val="005B05B1"/>
    <w:rsid w:val="005B05E7"/>
    <w:rsid w:val="005B0634"/>
    <w:rsid w:val="005B06F5"/>
    <w:rsid w:val="005B070E"/>
    <w:rsid w:val="005B0763"/>
    <w:rsid w:val="005B0822"/>
    <w:rsid w:val="005B0916"/>
    <w:rsid w:val="005B097E"/>
    <w:rsid w:val="005B09B7"/>
    <w:rsid w:val="005B0A45"/>
    <w:rsid w:val="005B0B43"/>
    <w:rsid w:val="005B0B69"/>
    <w:rsid w:val="005B0D79"/>
    <w:rsid w:val="005B0D9D"/>
    <w:rsid w:val="005B0E92"/>
    <w:rsid w:val="005B0EE9"/>
    <w:rsid w:val="005B103E"/>
    <w:rsid w:val="005B1148"/>
    <w:rsid w:val="005B1256"/>
    <w:rsid w:val="005B1259"/>
    <w:rsid w:val="005B1373"/>
    <w:rsid w:val="005B13BF"/>
    <w:rsid w:val="005B1435"/>
    <w:rsid w:val="005B14C0"/>
    <w:rsid w:val="005B14F3"/>
    <w:rsid w:val="005B15CD"/>
    <w:rsid w:val="005B168A"/>
    <w:rsid w:val="005B16D2"/>
    <w:rsid w:val="005B1738"/>
    <w:rsid w:val="005B176B"/>
    <w:rsid w:val="005B1776"/>
    <w:rsid w:val="005B17BC"/>
    <w:rsid w:val="005B17C0"/>
    <w:rsid w:val="005B1828"/>
    <w:rsid w:val="005B18EF"/>
    <w:rsid w:val="005B190B"/>
    <w:rsid w:val="005B195A"/>
    <w:rsid w:val="005B1987"/>
    <w:rsid w:val="005B19A4"/>
    <w:rsid w:val="005B1AF0"/>
    <w:rsid w:val="005B1B65"/>
    <w:rsid w:val="005B1BA3"/>
    <w:rsid w:val="005B1BA5"/>
    <w:rsid w:val="005B1C10"/>
    <w:rsid w:val="005B1C1E"/>
    <w:rsid w:val="005B1CBF"/>
    <w:rsid w:val="005B1D04"/>
    <w:rsid w:val="005B1D84"/>
    <w:rsid w:val="005B1DF7"/>
    <w:rsid w:val="005B1E7F"/>
    <w:rsid w:val="005B1EF9"/>
    <w:rsid w:val="005B2004"/>
    <w:rsid w:val="005B2108"/>
    <w:rsid w:val="005B2124"/>
    <w:rsid w:val="005B2128"/>
    <w:rsid w:val="005B213E"/>
    <w:rsid w:val="005B2178"/>
    <w:rsid w:val="005B2184"/>
    <w:rsid w:val="005B21AC"/>
    <w:rsid w:val="005B22D3"/>
    <w:rsid w:val="005B22E7"/>
    <w:rsid w:val="005B235D"/>
    <w:rsid w:val="005B244D"/>
    <w:rsid w:val="005B254D"/>
    <w:rsid w:val="005B25E1"/>
    <w:rsid w:val="005B2644"/>
    <w:rsid w:val="005B2758"/>
    <w:rsid w:val="005B276C"/>
    <w:rsid w:val="005B2792"/>
    <w:rsid w:val="005B282F"/>
    <w:rsid w:val="005B291B"/>
    <w:rsid w:val="005B2923"/>
    <w:rsid w:val="005B29A1"/>
    <w:rsid w:val="005B29A7"/>
    <w:rsid w:val="005B29D6"/>
    <w:rsid w:val="005B2A37"/>
    <w:rsid w:val="005B2ADE"/>
    <w:rsid w:val="005B2B1A"/>
    <w:rsid w:val="005B2B6A"/>
    <w:rsid w:val="005B2C28"/>
    <w:rsid w:val="005B2C38"/>
    <w:rsid w:val="005B2CA2"/>
    <w:rsid w:val="005B2E60"/>
    <w:rsid w:val="005B2ECE"/>
    <w:rsid w:val="005B2F33"/>
    <w:rsid w:val="005B3051"/>
    <w:rsid w:val="005B3106"/>
    <w:rsid w:val="005B31B2"/>
    <w:rsid w:val="005B3208"/>
    <w:rsid w:val="005B3231"/>
    <w:rsid w:val="005B3260"/>
    <w:rsid w:val="005B32D3"/>
    <w:rsid w:val="005B32FB"/>
    <w:rsid w:val="005B3390"/>
    <w:rsid w:val="005B347B"/>
    <w:rsid w:val="005B3505"/>
    <w:rsid w:val="005B3509"/>
    <w:rsid w:val="005B3590"/>
    <w:rsid w:val="005B3597"/>
    <w:rsid w:val="005B35F4"/>
    <w:rsid w:val="005B3608"/>
    <w:rsid w:val="005B3670"/>
    <w:rsid w:val="005B36E8"/>
    <w:rsid w:val="005B3705"/>
    <w:rsid w:val="005B3746"/>
    <w:rsid w:val="005B38DA"/>
    <w:rsid w:val="005B38E3"/>
    <w:rsid w:val="005B38E9"/>
    <w:rsid w:val="005B38F0"/>
    <w:rsid w:val="005B3951"/>
    <w:rsid w:val="005B395F"/>
    <w:rsid w:val="005B39BA"/>
    <w:rsid w:val="005B3A14"/>
    <w:rsid w:val="005B3A4F"/>
    <w:rsid w:val="005B3A96"/>
    <w:rsid w:val="005B3AA9"/>
    <w:rsid w:val="005B3B91"/>
    <w:rsid w:val="005B3C67"/>
    <w:rsid w:val="005B3CD8"/>
    <w:rsid w:val="005B3CE6"/>
    <w:rsid w:val="005B3DB8"/>
    <w:rsid w:val="005B3E53"/>
    <w:rsid w:val="005B3ECF"/>
    <w:rsid w:val="005B3F5D"/>
    <w:rsid w:val="005B3F9E"/>
    <w:rsid w:val="005B4138"/>
    <w:rsid w:val="005B4237"/>
    <w:rsid w:val="005B433F"/>
    <w:rsid w:val="005B43F1"/>
    <w:rsid w:val="005B440D"/>
    <w:rsid w:val="005B4438"/>
    <w:rsid w:val="005B4485"/>
    <w:rsid w:val="005B456A"/>
    <w:rsid w:val="005B4588"/>
    <w:rsid w:val="005B45CD"/>
    <w:rsid w:val="005B4633"/>
    <w:rsid w:val="005B4678"/>
    <w:rsid w:val="005B4850"/>
    <w:rsid w:val="005B48B8"/>
    <w:rsid w:val="005B4A08"/>
    <w:rsid w:val="005B4ADE"/>
    <w:rsid w:val="005B4B84"/>
    <w:rsid w:val="005B4B98"/>
    <w:rsid w:val="005B4C0E"/>
    <w:rsid w:val="005B4C60"/>
    <w:rsid w:val="005B4C6D"/>
    <w:rsid w:val="005B4C9A"/>
    <w:rsid w:val="005B4CD3"/>
    <w:rsid w:val="005B4D4C"/>
    <w:rsid w:val="005B4DD0"/>
    <w:rsid w:val="005B4E56"/>
    <w:rsid w:val="005B4F19"/>
    <w:rsid w:val="005B4F3B"/>
    <w:rsid w:val="005B4FC2"/>
    <w:rsid w:val="005B5014"/>
    <w:rsid w:val="005B5043"/>
    <w:rsid w:val="005B506C"/>
    <w:rsid w:val="005B509C"/>
    <w:rsid w:val="005B50BB"/>
    <w:rsid w:val="005B51FB"/>
    <w:rsid w:val="005B52CA"/>
    <w:rsid w:val="005B531B"/>
    <w:rsid w:val="005B537F"/>
    <w:rsid w:val="005B5401"/>
    <w:rsid w:val="005B5584"/>
    <w:rsid w:val="005B558B"/>
    <w:rsid w:val="005B570C"/>
    <w:rsid w:val="005B5838"/>
    <w:rsid w:val="005B5842"/>
    <w:rsid w:val="005B588E"/>
    <w:rsid w:val="005B591A"/>
    <w:rsid w:val="005B593B"/>
    <w:rsid w:val="005B599A"/>
    <w:rsid w:val="005B59E2"/>
    <w:rsid w:val="005B5A17"/>
    <w:rsid w:val="005B5A76"/>
    <w:rsid w:val="005B5B4D"/>
    <w:rsid w:val="005B5B74"/>
    <w:rsid w:val="005B5BF6"/>
    <w:rsid w:val="005B5CFE"/>
    <w:rsid w:val="005B5D52"/>
    <w:rsid w:val="005B5DE4"/>
    <w:rsid w:val="005B5F47"/>
    <w:rsid w:val="005B5FAD"/>
    <w:rsid w:val="005B5FF9"/>
    <w:rsid w:val="005B601F"/>
    <w:rsid w:val="005B60FE"/>
    <w:rsid w:val="005B611E"/>
    <w:rsid w:val="005B6137"/>
    <w:rsid w:val="005B6199"/>
    <w:rsid w:val="005B61D9"/>
    <w:rsid w:val="005B62D0"/>
    <w:rsid w:val="005B6315"/>
    <w:rsid w:val="005B6428"/>
    <w:rsid w:val="005B6447"/>
    <w:rsid w:val="005B6476"/>
    <w:rsid w:val="005B65CA"/>
    <w:rsid w:val="005B665F"/>
    <w:rsid w:val="005B6769"/>
    <w:rsid w:val="005B67D4"/>
    <w:rsid w:val="005B6818"/>
    <w:rsid w:val="005B681D"/>
    <w:rsid w:val="005B6885"/>
    <w:rsid w:val="005B68D8"/>
    <w:rsid w:val="005B6992"/>
    <w:rsid w:val="005B6997"/>
    <w:rsid w:val="005B6A15"/>
    <w:rsid w:val="005B6B54"/>
    <w:rsid w:val="005B6C40"/>
    <w:rsid w:val="005B6CDE"/>
    <w:rsid w:val="005B6CDF"/>
    <w:rsid w:val="005B6D36"/>
    <w:rsid w:val="005B6E15"/>
    <w:rsid w:val="005B6E83"/>
    <w:rsid w:val="005B6E98"/>
    <w:rsid w:val="005B6EC5"/>
    <w:rsid w:val="005B6ED8"/>
    <w:rsid w:val="005B6EF3"/>
    <w:rsid w:val="005B6EF4"/>
    <w:rsid w:val="005B6F5E"/>
    <w:rsid w:val="005B6F87"/>
    <w:rsid w:val="005B6FE1"/>
    <w:rsid w:val="005B71AF"/>
    <w:rsid w:val="005B7211"/>
    <w:rsid w:val="005B722A"/>
    <w:rsid w:val="005B7289"/>
    <w:rsid w:val="005B76C3"/>
    <w:rsid w:val="005B76EC"/>
    <w:rsid w:val="005B77D8"/>
    <w:rsid w:val="005B78FC"/>
    <w:rsid w:val="005B7962"/>
    <w:rsid w:val="005B7A5D"/>
    <w:rsid w:val="005B7AD4"/>
    <w:rsid w:val="005B7AE2"/>
    <w:rsid w:val="005B7CA8"/>
    <w:rsid w:val="005B7CE7"/>
    <w:rsid w:val="005B7CEB"/>
    <w:rsid w:val="005B7D2B"/>
    <w:rsid w:val="005B7D66"/>
    <w:rsid w:val="005B7DA6"/>
    <w:rsid w:val="005B7DB5"/>
    <w:rsid w:val="005B7E2A"/>
    <w:rsid w:val="005B7EAC"/>
    <w:rsid w:val="005B7EF2"/>
    <w:rsid w:val="005B7EFB"/>
    <w:rsid w:val="005B7F16"/>
    <w:rsid w:val="005B7F56"/>
    <w:rsid w:val="005B7FD1"/>
    <w:rsid w:val="005B7FE4"/>
    <w:rsid w:val="005C002A"/>
    <w:rsid w:val="005C003A"/>
    <w:rsid w:val="005C019B"/>
    <w:rsid w:val="005C02D4"/>
    <w:rsid w:val="005C03CF"/>
    <w:rsid w:val="005C048D"/>
    <w:rsid w:val="005C0521"/>
    <w:rsid w:val="005C0536"/>
    <w:rsid w:val="005C0559"/>
    <w:rsid w:val="005C055B"/>
    <w:rsid w:val="005C05E0"/>
    <w:rsid w:val="005C05EB"/>
    <w:rsid w:val="005C064F"/>
    <w:rsid w:val="005C081A"/>
    <w:rsid w:val="005C0874"/>
    <w:rsid w:val="005C087F"/>
    <w:rsid w:val="005C0898"/>
    <w:rsid w:val="005C08AA"/>
    <w:rsid w:val="005C0912"/>
    <w:rsid w:val="005C0922"/>
    <w:rsid w:val="005C0935"/>
    <w:rsid w:val="005C09D9"/>
    <w:rsid w:val="005C0AA5"/>
    <w:rsid w:val="005C0B22"/>
    <w:rsid w:val="005C0B41"/>
    <w:rsid w:val="005C0C5E"/>
    <w:rsid w:val="005C0C92"/>
    <w:rsid w:val="005C0DD1"/>
    <w:rsid w:val="005C0F20"/>
    <w:rsid w:val="005C1090"/>
    <w:rsid w:val="005C10D2"/>
    <w:rsid w:val="005C12EF"/>
    <w:rsid w:val="005C140E"/>
    <w:rsid w:val="005C143A"/>
    <w:rsid w:val="005C1480"/>
    <w:rsid w:val="005C14D3"/>
    <w:rsid w:val="005C14ED"/>
    <w:rsid w:val="005C1570"/>
    <w:rsid w:val="005C1577"/>
    <w:rsid w:val="005C157E"/>
    <w:rsid w:val="005C1626"/>
    <w:rsid w:val="005C1679"/>
    <w:rsid w:val="005C167D"/>
    <w:rsid w:val="005C167E"/>
    <w:rsid w:val="005C1725"/>
    <w:rsid w:val="005C176C"/>
    <w:rsid w:val="005C17D1"/>
    <w:rsid w:val="005C18B8"/>
    <w:rsid w:val="005C1924"/>
    <w:rsid w:val="005C19AC"/>
    <w:rsid w:val="005C1A82"/>
    <w:rsid w:val="005C1A9D"/>
    <w:rsid w:val="005C1AE7"/>
    <w:rsid w:val="005C1B9D"/>
    <w:rsid w:val="005C1D3D"/>
    <w:rsid w:val="005C1E4A"/>
    <w:rsid w:val="005C1E71"/>
    <w:rsid w:val="005C1E77"/>
    <w:rsid w:val="005C1ED6"/>
    <w:rsid w:val="005C1F51"/>
    <w:rsid w:val="005C1FDA"/>
    <w:rsid w:val="005C2006"/>
    <w:rsid w:val="005C20C7"/>
    <w:rsid w:val="005C2132"/>
    <w:rsid w:val="005C21B9"/>
    <w:rsid w:val="005C21F8"/>
    <w:rsid w:val="005C2251"/>
    <w:rsid w:val="005C22A3"/>
    <w:rsid w:val="005C22D7"/>
    <w:rsid w:val="005C22EE"/>
    <w:rsid w:val="005C2337"/>
    <w:rsid w:val="005C2378"/>
    <w:rsid w:val="005C23D6"/>
    <w:rsid w:val="005C24D4"/>
    <w:rsid w:val="005C26D5"/>
    <w:rsid w:val="005C271F"/>
    <w:rsid w:val="005C287E"/>
    <w:rsid w:val="005C288E"/>
    <w:rsid w:val="005C2926"/>
    <w:rsid w:val="005C29A8"/>
    <w:rsid w:val="005C2ACB"/>
    <w:rsid w:val="005C2AE9"/>
    <w:rsid w:val="005C2B17"/>
    <w:rsid w:val="005C2B22"/>
    <w:rsid w:val="005C2B4F"/>
    <w:rsid w:val="005C2C81"/>
    <w:rsid w:val="005C2D6B"/>
    <w:rsid w:val="005C2DA7"/>
    <w:rsid w:val="005C2DD2"/>
    <w:rsid w:val="005C2E48"/>
    <w:rsid w:val="005C2E4D"/>
    <w:rsid w:val="005C31D5"/>
    <w:rsid w:val="005C3227"/>
    <w:rsid w:val="005C3256"/>
    <w:rsid w:val="005C32FE"/>
    <w:rsid w:val="005C3302"/>
    <w:rsid w:val="005C33B6"/>
    <w:rsid w:val="005C3420"/>
    <w:rsid w:val="005C3426"/>
    <w:rsid w:val="005C3460"/>
    <w:rsid w:val="005C3497"/>
    <w:rsid w:val="005C3535"/>
    <w:rsid w:val="005C3618"/>
    <w:rsid w:val="005C3636"/>
    <w:rsid w:val="005C37DC"/>
    <w:rsid w:val="005C37E0"/>
    <w:rsid w:val="005C3806"/>
    <w:rsid w:val="005C3917"/>
    <w:rsid w:val="005C3991"/>
    <w:rsid w:val="005C3B3B"/>
    <w:rsid w:val="005C3BA8"/>
    <w:rsid w:val="005C3C09"/>
    <w:rsid w:val="005C3C37"/>
    <w:rsid w:val="005C3CAC"/>
    <w:rsid w:val="005C3CCF"/>
    <w:rsid w:val="005C3DBD"/>
    <w:rsid w:val="005C3DC4"/>
    <w:rsid w:val="005C3DDB"/>
    <w:rsid w:val="005C3DE1"/>
    <w:rsid w:val="005C3E08"/>
    <w:rsid w:val="005C3E49"/>
    <w:rsid w:val="005C3E51"/>
    <w:rsid w:val="005C3EE6"/>
    <w:rsid w:val="005C3EFD"/>
    <w:rsid w:val="005C3F51"/>
    <w:rsid w:val="005C4291"/>
    <w:rsid w:val="005C42B0"/>
    <w:rsid w:val="005C42FD"/>
    <w:rsid w:val="005C4362"/>
    <w:rsid w:val="005C440D"/>
    <w:rsid w:val="005C44C6"/>
    <w:rsid w:val="005C44E0"/>
    <w:rsid w:val="005C44FA"/>
    <w:rsid w:val="005C4580"/>
    <w:rsid w:val="005C45C8"/>
    <w:rsid w:val="005C4602"/>
    <w:rsid w:val="005C4737"/>
    <w:rsid w:val="005C477D"/>
    <w:rsid w:val="005C47D8"/>
    <w:rsid w:val="005C4886"/>
    <w:rsid w:val="005C4971"/>
    <w:rsid w:val="005C4973"/>
    <w:rsid w:val="005C4994"/>
    <w:rsid w:val="005C4A33"/>
    <w:rsid w:val="005C4AEE"/>
    <w:rsid w:val="005C4B42"/>
    <w:rsid w:val="005C4E13"/>
    <w:rsid w:val="005C4E3D"/>
    <w:rsid w:val="005C4E58"/>
    <w:rsid w:val="005C4F1A"/>
    <w:rsid w:val="005C4F2E"/>
    <w:rsid w:val="005C508B"/>
    <w:rsid w:val="005C508D"/>
    <w:rsid w:val="005C51DE"/>
    <w:rsid w:val="005C5236"/>
    <w:rsid w:val="005C5288"/>
    <w:rsid w:val="005C52C8"/>
    <w:rsid w:val="005C530E"/>
    <w:rsid w:val="005C531B"/>
    <w:rsid w:val="005C53E5"/>
    <w:rsid w:val="005C5442"/>
    <w:rsid w:val="005C54B9"/>
    <w:rsid w:val="005C54F8"/>
    <w:rsid w:val="005C5542"/>
    <w:rsid w:val="005C5550"/>
    <w:rsid w:val="005C55F6"/>
    <w:rsid w:val="005C5686"/>
    <w:rsid w:val="005C5729"/>
    <w:rsid w:val="005C57BB"/>
    <w:rsid w:val="005C57D9"/>
    <w:rsid w:val="005C5874"/>
    <w:rsid w:val="005C5920"/>
    <w:rsid w:val="005C594A"/>
    <w:rsid w:val="005C5A1C"/>
    <w:rsid w:val="005C5A72"/>
    <w:rsid w:val="005C5C0D"/>
    <w:rsid w:val="005C5C36"/>
    <w:rsid w:val="005C5D49"/>
    <w:rsid w:val="005C5D4B"/>
    <w:rsid w:val="005C5E5E"/>
    <w:rsid w:val="005C5E86"/>
    <w:rsid w:val="005C5EA0"/>
    <w:rsid w:val="005C5F0D"/>
    <w:rsid w:val="005C6027"/>
    <w:rsid w:val="005C605C"/>
    <w:rsid w:val="005C6103"/>
    <w:rsid w:val="005C61C9"/>
    <w:rsid w:val="005C659F"/>
    <w:rsid w:val="005C65D7"/>
    <w:rsid w:val="005C660C"/>
    <w:rsid w:val="005C6618"/>
    <w:rsid w:val="005C6648"/>
    <w:rsid w:val="005C6664"/>
    <w:rsid w:val="005C66C1"/>
    <w:rsid w:val="005C66CF"/>
    <w:rsid w:val="005C67AD"/>
    <w:rsid w:val="005C6823"/>
    <w:rsid w:val="005C6865"/>
    <w:rsid w:val="005C686D"/>
    <w:rsid w:val="005C68D8"/>
    <w:rsid w:val="005C6968"/>
    <w:rsid w:val="005C69CD"/>
    <w:rsid w:val="005C6A08"/>
    <w:rsid w:val="005C6A09"/>
    <w:rsid w:val="005C6AE7"/>
    <w:rsid w:val="005C6AF2"/>
    <w:rsid w:val="005C6C69"/>
    <w:rsid w:val="005C6C78"/>
    <w:rsid w:val="005C6C84"/>
    <w:rsid w:val="005C6DB2"/>
    <w:rsid w:val="005C6DEA"/>
    <w:rsid w:val="005C6F5D"/>
    <w:rsid w:val="005C6FA1"/>
    <w:rsid w:val="005C7025"/>
    <w:rsid w:val="005C7161"/>
    <w:rsid w:val="005C738F"/>
    <w:rsid w:val="005C7402"/>
    <w:rsid w:val="005C762F"/>
    <w:rsid w:val="005C7630"/>
    <w:rsid w:val="005C764D"/>
    <w:rsid w:val="005C767B"/>
    <w:rsid w:val="005C77F7"/>
    <w:rsid w:val="005C789A"/>
    <w:rsid w:val="005C79D2"/>
    <w:rsid w:val="005C7A5F"/>
    <w:rsid w:val="005C7A71"/>
    <w:rsid w:val="005C7B45"/>
    <w:rsid w:val="005C7CFA"/>
    <w:rsid w:val="005C7D96"/>
    <w:rsid w:val="005C7E17"/>
    <w:rsid w:val="005C7F08"/>
    <w:rsid w:val="005C7F25"/>
    <w:rsid w:val="005C7F27"/>
    <w:rsid w:val="005D002F"/>
    <w:rsid w:val="005D00C0"/>
    <w:rsid w:val="005D0189"/>
    <w:rsid w:val="005D019E"/>
    <w:rsid w:val="005D0254"/>
    <w:rsid w:val="005D03E1"/>
    <w:rsid w:val="005D0405"/>
    <w:rsid w:val="005D0415"/>
    <w:rsid w:val="005D044C"/>
    <w:rsid w:val="005D0467"/>
    <w:rsid w:val="005D0469"/>
    <w:rsid w:val="005D04FE"/>
    <w:rsid w:val="005D0649"/>
    <w:rsid w:val="005D0674"/>
    <w:rsid w:val="005D07C0"/>
    <w:rsid w:val="005D07E0"/>
    <w:rsid w:val="005D08B5"/>
    <w:rsid w:val="005D0A3C"/>
    <w:rsid w:val="005D0A73"/>
    <w:rsid w:val="005D0A95"/>
    <w:rsid w:val="005D0BF4"/>
    <w:rsid w:val="005D0CF7"/>
    <w:rsid w:val="005D0D49"/>
    <w:rsid w:val="005D0D97"/>
    <w:rsid w:val="005D0D98"/>
    <w:rsid w:val="005D0E45"/>
    <w:rsid w:val="005D0E54"/>
    <w:rsid w:val="005D0F06"/>
    <w:rsid w:val="005D0F0D"/>
    <w:rsid w:val="005D0F3D"/>
    <w:rsid w:val="005D0F6D"/>
    <w:rsid w:val="005D100B"/>
    <w:rsid w:val="005D10E1"/>
    <w:rsid w:val="005D1140"/>
    <w:rsid w:val="005D12D4"/>
    <w:rsid w:val="005D131F"/>
    <w:rsid w:val="005D1443"/>
    <w:rsid w:val="005D14DE"/>
    <w:rsid w:val="005D1540"/>
    <w:rsid w:val="005D1545"/>
    <w:rsid w:val="005D16C1"/>
    <w:rsid w:val="005D1733"/>
    <w:rsid w:val="005D186B"/>
    <w:rsid w:val="005D1881"/>
    <w:rsid w:val="005D191F"/>
    <w:rsid w:val="005D19C8"/>
    <w:rsid w:val="005D1A4A"/>
    <w:rsid w:val="005D1BA5"/>
    <w:rsid w:val="005D1C10"/>
    <w:rsid w:val="005D1CDB"/>
    <w:rsid w:val="005D1EF2"/>
    <w:rsid w:val="005D2003"/>
    <w:rsid w:val="005D2069"/>
    <w:rsid w:val="005D2166"/>
    <w:rsid w:val="005D216A"/>
    <w:rsid w:val="005D2185"/>
    <w:rsid w:val="005D21F9"/>
    <w:rsid w:val="005D22A2"/>
    <w:rsid w:val="005D22A4"/>
    <w:rsid w:val="005D22D1"/>
    <w:rsid w:val="005D248E"/>
    <w:rsid w:val="005D261C"/>
    <w:rsid w:val="005D270C"/>
    <w:rsid w:val="005D272C"/>
    <w:rsid w:val="005D2769"/>
    <w:rsid w:val="005D27A0"/>
    <w:rsid w:val="005D2830"/>
    <w:rsid w:val="005D28FB"/>
    <w:rsid w:val="005D2925"/>
    <w:rsid w:val="005D296B"/>
    <w:rsid w:val="005D2ACB"/>
    <w:rsid w:val="005D2AE5"/>
    <w:rsid w:val="005D2B14"/>
    <w:rsid w:val="005D2B1D"/>
    <w:rsid w:val="005D2B95"/>
    <w:rsid w:val="005D2C2A"/>
    <w:rsid w:val="005D2D9C"/>
    <w:rsid w:val="005D2E4F"/>
    <w:rsid w:val="005D2E70"/>
    <w:rsid w:val="005D2E86"/>
    <w:rsid w:val="005D2E95"/>
    <w:rsid w:val="005D2ECA"/>
    <w:rsid w:val="005D3047"/>
    <w:rsid w:val="005D30FF"/>
    <w:rsid w:val="005D31B2"/>
    <w:rsid w:val="005D31F0"/>
    <w:rsid w:val="005D320B"/>
    <w:rsid w:val="005D34BA"/>
    <w:rsid w:val="005D3524"/>
    <w:rsid w:val="005D35B4"/>
    <w:rsid w:val="005D3610"/>
    <w:rsid w:val="005D364B"/>
    <w:rsid w:val="005D36DD"/>
    <w:rsid w:val="005D37B2"/>
    <w:rsid w:val="005D37DD"/>
    <w:rsid w:val="005D38BC"/>
    <w:rsid w:val="005D38FE"/>
    <w:rsid w:val="005D391F"/>
    <w:rsid w:val="005D3952"/>
    <w:rsid w:val="005D3C26"/>
    <w:rsid w:val="005D3C5A"/>
    <w:rsid w:val="005D3CEC"/>
    <w:rsid w:val="005D3CF1"/>
    <w:rsid w:val="005D3F01"/>
    <w:rsid w:val="005D3F44"/>
    <w:rsid w:val="005D3F6E"/>
    <w:rsid w:val="005D3FD9"/>
    <w:rsid w:val="005D3FED"/>
    <w:rsid w:val="005D4013"/>
    <w:rsid w:val="005D4066"/>
    <w:rsid w:val="005D4078"/>
    <w:rsid w:val="005D409C"/>
    <w:rsid w:val="005D40ED"/>
    <w:rsid w:val="005D4123"/>
    <w:rsid w:val="005D419A"/>
    <w:rsid w:val="005D41D5"/>
    <w:rsid w:val="005D423C"/>
    <w:rsid w:val="005D4240"/>
    <w:rsid w:val="005D4244"/>
    <w:rsid w:val="005D425B"/>
    <w:rsid w:val="005D426B"/>
    <w:rsid w:val="005D4290"/>
    <w:rsid w:val="005D42C2"/>
    <w:rsid w:val="005D435E"/>
    <w:rsid w:val="005D43D3"/>
    <w:rsid w:val="005D43FB"/>
    <w:rsid w:val="005D45B5"/>
    <w:rsid w:val="005D45C3"/>
    <w:rsid w:val="005D462F"/>
    <w:rsid w:val="005D4744"/>
    <w:rsid w:val="005D47AE"/>
    <w:rsid w:val="005D4819"/>
    <w:rsid w:val="005D49B2"/>
    <w:rsid w:val="005D4ACF"/>
    <w:rsid w:val="005D4AD4"/>
    <w:rsid w:val="005D4B5B"/>
    <w:rsid w:val="005D4B8E"/>
    <w:rsid w:val="005D4B90"/>
    <w:rsid w:val="005D4C10"/>
    <w:rsid w:val="005D4C9D"/>
    <w:rsid w:val="005D4CA5"/>
    <w:rsid w:val="005D4D14"/>
    <w:rsid w:val="005D4D6E"/>
    <w:rsid w:val="005D4D9C"/>
    <w:rsid w:val="005D4DAB"/>
    <w:rsid w:val="005D4E01"/>
    <w:rsid w:val="005D4E3F"/>
    <w:rsid w:val="005D4E5C"/>
    <w:rsid w:val="005D4E70"/>
    <w:rsid w:val="005D4E98"/>
    <w:rsid w:val="005D4EB2"/>
    <w:rsid w:val="005D4EBA"/>
    <w:rsid w:val="005D502A"/>
    <w:rsid w:val="005D509B"/>
    <w:rsid w:val="005D5173"/>
    <w:rsid w:val="005D521D"/>
    <w:rsid w:val="005D526C"/>
    <w:rsid w:val="005D52EA"/>
    <w:rsid w:val="005D52EF"/>
    <w:rsid w:val="005D5502"/>
    <w:rsid w:val="005D5631"/>
    <w:rsid w:val="005D5683"/>
    <w:rsid w:val="005D56A7"/>
    <w:rsid w:val="005D56AD"/>
    <w:rsid w:val="005D56D9"/>
    <w:rsid w:val="005D57AC"/>
    <w:rsid w:val="005D57FE"/>
    <w:rsid w:val="005D5807"/>
    <w:rsid w:val="005D587E"/>
    <w:rsid w:val="005D58C0"/>
    <w:rsid w:val="005D5935"/>
    <w:rsid w:val="005D597A"/>
    <w:rsid w:val="005D598F"/>
    <w:rsid w:val="005D5B06"/>
    <w:rsid w:val="005D5B07"/>
    <w:rsid w:val="005D5D79"/>
    <w:rsid w:val="005D5DD2"/>
    <w:rsid w:val="005D5E40"/>
    <w:rsid w:val="005D5E7E"/>
    <w:rsid w:val="005D5ED6"/>
    <w:rsid w:val="005D5F7E"/>
    <w:rsid w:val="005D60BD"/>
    <w:rsid w:val="005D6147"/>
    <w:rsid w:val="005D6245"/>
    <w:rsid w:val="005D6269"/>
    <w:rsid w:val="005D63A1"/>
    <w:rsid w:val="005D63CB"/>
    <w:rsid w:val="005D64B3"/>
    <w:rsid w:val="005D64EC"/>
    <w:rsid w:val="005D6510"/>
    <w:rsid w:val="005D66A3"/>
    <w:rsid w:val="005D66AD"/>
    <w:rsid w:val="005D6712"/>
    <w:rsid w:val="005D673C"/>
    <w:rsid w:val="005D680F"/>
    <w:rsid w:val="005D6837"/>
    <w:rsid w:val="005D689D"/>
    <w:rsid w:val="005D6949"/>
    <w:rsid w:val="005D69AD"/>
    <w:rsid w:val="005D69F1"/>
    <w:rsid w:val="005D6A5E"/>
    <w:rsid w:val="005D6AAA"/>
    <w:rsid w:val="005D6AF7"/>
    <w:rsid w:val="005D6B66"/>
    <w:rsid w:val="005D6C66"/>
    <w:rsid w:val="005D6CF3"/>
    <w:rsid w:val="005D6D5F"/>
    <w:rsid w:val="005D6D87"/>
    <w:rsid w:val="005D6E82"/>
    <w:rsid w:val="005D6F31"/>
    <w:rsid w:val="005D6F5A"/>
    <w:rsid w:val="005D6F5F"/>
    <w:rsid w:val="005D7018"/>
    <w:rsid w:val="005D7124"/>
    <w:rsid w:val="005D71B8"/>
    <w:rsid w:val="005D71F8"/>
    <w:rsid w:val="005D72F6"/>
    <w:rsid w:val="005D737B"/>
    <w:rsid w:val="005D73B3"/>
    <w:rsid w:val="005D74E9"/>
    <w:rsid w:val="005D76A2"/>
    <w:rsid w:val="005D76C1"/>
    <w:rsid w:val="005D771A"/>
    <w:rsid w:val="005D7800"/>
    <w:rsid w:val="005D7950"/>
    <w:rsid w:val="005D79A9"/>
    <w:rsid w:val="005D7B96"/>
    <w:rsid w:val="005D7C58"/>
    <w:rsid w:val="005D7C68"/>
    <w:rsid w:val="005D7DBB"/>
    <w:rsid w:val="005D7DEF"/>
    <w:rsid w:val="005D7E32"/>
    <w:rsid w:val="005D7E57"/>
    <w:rsid w:val="005D7F68"/>
    <w:rsid w:val="005D7FAE"/>
    <w:rsid w:val="005E00AA"/>
    <w:rsid w:val="005E00AE"/>
    <w:rsid w:val="005E00B6"/>
    <w:rsid w:val="005E016C"/>
    <w:rsid w:val="005E0193"/>
    <w:rsid w:val="005E02A0"/>
    <w:rsid w:val="005E02F0"/>
    <w:rsid w:val="005E0304"/>
    <w:rsid w:val="005E035B"/>
    <w:rsid w:val="005E0371"/>
    <w:rsid w:val="005E03C5"/>
    <w:rsid w:val="005E0407"/>
    <w:rsid w:val="005E047F"/>
    <w:rsid w:val="005E066A"/>
    <w:rsid w:val="005E0675"/>
    <w:rsid w:val="005E0774"/>
    <w:rsid w:val="005E0784"/>
    <w:rsid w:val="005E0811"/>
    <w:rsid w:val="005E08B1"/>
    <w:rsid w:val="005E0940"/>
    <w:rsid w:val="005E0986"/>
    <w:rsid w:val="005E0BF5"/>
    <w:rsid w:val="005E0C72"/>
    <w:rsid w:val="005E0D3C"/>
    <w:rsid w:val="005E0E1D"/>
    <w:rsid w:val="005E0E79"/>
    <w:rsid w:val="005E0E80"/>
    <w:rsid w:val="005E0EBD"/>
    <w:rsid w:val="005E0F16"/>
    <w:rsid w:val="005E0FB2"/>
    <w:rsid w:val="005E1080"/>
    <w:rsid w:val="005E10AA"/>
    <w:rsid w:val="005E1154"/>
    <w:rsid w:val="005E1236"/>
    <w:rsid w:val="005E123A"/>
    <w:rsid w:val="005E12BC"/>
    <w:rsid w:val="005E1374"/>
    <w:rsid w:val="005E1387"/>
    <w:rsid w:val="005E13B3"/>
    <w:rsid w:val="005E1468"/>
    <w:rsid w:val="005E1597"/>
    <w:rsid w:val="005E1599"/>
    <w:rsid w:val="005E15D5"/>
    <w:rsid w:val="005E16A4"/>
    <w:rsid w:val="005E17E3"/>
    <w:rsid w:val="005E1A78"/>
    <w:rsid w:val="005E1CDA"/>
    <w:rsid w:val="005E1CE1"/>
    <w:rsid w:val="005E1DE5"/>
    <w:rsid w:val="005E1DFB"/>
    <w:rsid w:val="005E1E0C"/>
    <w:rsid w:val="005E1EB8"/>
    <w:rsid w:val="005E1EF6"/>
    <w:rsid w:val="005E1FB7"/>
    <w:rsid w:val="005E2017"/>
    <w:rsid w:val="005E209A"/>
    <w:rsid w:val="005E20EE"/>
    <w:rsid w:val="005E2211"/>
    <w:rsid w:val="005E236B"/>
    <w:rsid w:val="005E239B"/>
    <w:rsid w:val="005E239D"/>
    <w:rsid w:val="005E2400"/>
    <w:rsid w:val="005E240E"/>
    <w:rsid w:val="005E242D"/>
    <w:rsid w:val="005E247D"/>
    <w:rsid w:val="005E2489"/>
    <w:rsid w:val="005E248B"/>
    <w:rsid w:val="005E250E"/>
    <w:rsid w:val="005E253E"/>
    <w:rsid w:val="005E259C"/>
    <w:rsid w:val="005E25F4"/>
    <w:rsid w:val="005E26A3"/>
    <w:rsid w:val="005E26DA"/>
    <w:rsid w:val="005E2722"/>
    <w:rsid w:val="005E27B5"/>
    <w:rsid w:val="005E281C"/>
    <w:rsid w:val="005E28B8"/>
    <w:rsid w:val="005E28D5"/>
    <w:rsid w:val="005E29C4"/>
    <w:rsid w:val="005E29DC"/>
    <w:rsid w:val="005E29E6"/>
    <w:rsid w:val="005E29F6"/>
    <w:rsid w:val="005E2A35"/>
    <w:rsid w:val="005E2B05"/>
    <w:rsid w:val="005E2C46"/>
    <w:rsid w:val="005E2C9F"/>
    <w:rsid w:val="005E2D0C"/>
    <w:rsid w:val="005E2D9B"/>
    <w:rsid w:val="005E2EB1"/>
    <w:rsid w:val="005E2EF6"/>
    <w:rsid w:val="005E2F71"/>
    <w:rsid w:val="005E3176"/>
    <w:rsid w:val="005E31EF"/>
    <w:rsid w:val="005E3204"/>
    <w:rsid w:val="005E3301"/>
    <w:rsid w:val="005E3308"/>
    <w:rsid w:val="005E3349"/>
    <w:rsid w:val="005E346C"/>
    <w:rsid w:val="005E349B"/>
    <w:rsid w:val="005E34A6"/>
    <w:rsid w:val="005E35C5"/>
    <w:rsid w:val="005E35CC"/>
    <w:rsid w:val="005E35E0"/>
    <w:rsid w:val="005E3641"/>
    <w:rsid w:val="005E365B"/>
    <w:rsid w:val="005E372A"/>
    <w:rsid w:val="005E37B7"/>
    <w:rsid w:val="005E37D1"/>
    <w:rsid w:val="005E386A"/>
    <w:rsid w:val="005E38BB"/>
    <w:rsid w:val="005E38C5"/>
    <w:rsid w:val="005E397E"/>
    <w:rsid w:val="005E3A36"/>
    <w:rsid w:val="005E3A74"/>
    <w:rsid w:val="005E3B07"/>
    <w:rsid w:val="005E3B4C"/>
    <w:rsid w:val="005E3BD5"/>
    <w:rsid w:val="005E3BFB"/>
    <w:rsid w:val="005E3C13"/>
    <w:rsid w:val="005E3DD6"/>
    <w:rsid w:val="005E3DD9"/>
    <w:rsid w:val="005E3E1C"/>
    <w:rsid w:val="005E3E7E"/>
    <w:rsid w:val="005E3F57"/>
    <w:rsid w:val="005E3FA1"/>
    <w:rsid w:val="005E4064"/>
    <w:rsid w:val="005E40A0"/>
    <w:rsid w:val="005E40D7"/>
    <w:rsid w:val="005E41BA"/>
    <w:rsid w:val="005E41E2"/>
    <w:rsid w:val="005E425C"/>
    <w:rsid w:val="005E42B4"/>
    <w:rsid w:val="005E436D"/>
    <w:rsid w:val="005E43AC"/>
    <w:rsid w:val="005E43BD"/>
    <w:rsid w:val="005E4470"/>
    <w:rsid w:val="005E44DF"/>
    <w:rsid w:val="005E450A"/>
    <w:rsid w:val="005E453D"/>
    <w:rsid w:val="005E4578"/>
    <w:rsid w:val="005E4597"/>
    <w:rsid w:val="005E45E0"/>
    <w:rsid w:val="005E4636"/>
    <w:rsid w:val="005E46BC"/>
    <w:rsid w:val="005E472C"/>
    <w:rsid w:val="005E474E"/>
    <w:rsid w:val="005E4790"/>
    <w:rsid w:val="005E479E"/>
    <w:rsid w:val="005E47A0"/>
    <w:rsid w:val="005E489D"/>
    <w:rsid w:val="005E4995"/>
    <w:rsid w:val="005E4997"/>
    <w:rsid w:val="005E4A4B"/>
    <w:rsid w:val="005E4AFB"/>
    <w:rsid w:val="005E4C90"/>
    <w:rsid w:val="005E4D20"/>
    <w:rsid w:val="005E4DFC"/>
    <w:rsid w:val="005E4E27"/>
    <w:rsid w:val="005E4EEC"/>
    <w:rsid w:val="005E4EFE"/>
    <w:rsid w:val="005E4F49"/>
    <w:rsid w:val="005E4F6F"/>
    <w:rsid w:val="005E4FC3"/>
    <w:rsid w:val="005E5016"/>
    <w:rsid w:val="005E504D"/>
    <w:rsid w:val="005E50B4"/>
    <w:rsid w:val="005E50D1"/>
    <w:rsid w:val="005E50DF"/>
    <w:rsid w:val="005E5184"/>
    <w:rsid w:val="005E5199"/>
    <w:rsid w:val="005E51F3"/>
    <w:rsid w:val="005E51FB"/>
    <w:rsid w:val="005E5235"/>
    <w:rsid w:val="005E52FE"/>
    <w:rsid w:val="005E5314"/>
    <w:rsid w:val="005E53B8"/>
    <w:rsid w:val="005E53C4"/>
    <w:rsid w:val="005E54D2"/>
    <w:rsid w:val="005E5532"/>
    <w:rsid w:val="005E5687"/>
    <w:rsid w:val="005E56F0"/>
    <w:rsid w:val="005E5763"/>
    <w:rsid w:val="005E5794"/>
    <w:rsid w:val="005E5945"/>
    <w:rsid w:val="005E59CB"/>
    <w:rsid w:val="005E5A84"/>
    <w:rsid w:val="005E5B9C"/>
    <w:rsid w:val="005E5BF3"/>
    <w:rsid w:val="005E5C7E"/>
    <w:rsid w:val="005E5C90"/>
    <w:rsid w:val="005E5CDD"/>
    <w:rsid w:val="005E5CFA"/>
    <w:rsid w:val="005E5D3C"/>
    <w:rsid w:val="005E5DA0"/>
    <w:rsid w:val="005E5E44"/>
    <w:rsid w:val="005E5E46"/>
    <w:rsid w:val="005E5F67"/>
    <w:rsid w:val="005E5F77"/>
    <w:rsid w:val="005E5FC1"/>
    <w:rsid w:val="005E6237"/>
    <w:rsid w:val="005E6274"/>
    <w:rsid w:val="005E62FE"/>
    <w:rsid w:val="005E62FF"/>
    <w:rsid w:val="005E6416"/>
    <w:rsid w:val="005E649F"/>
    <w:rsid w:val="005E654D"/>
    <w:rsid w:val="005E65B4"/>
    <w:rsid w:val="005E65B9"/>
    <w:rsid w:val="005E6621"/>
    <w:rsid w:val="005E6640"/>
    <w:rsid w:val="005E6782"/>
    <w:rsid w:val="005E6922"/>
    <w:rsid w:val="005E6AA0"/>
    <w:rsid w:val="005E6B04"/>
    <w:rsid w:val="005E6B6A"/>
    <w:rsid w:val="005E6B74"/>
    <w:rsid w:val="005E6E19"/>
    <w:rsid w:val="005E7048"/>
    <w:rsid w:val="005E7071"/>
    <w:rsid w:val="005E7080"/>
    <w:rsid w:val="005E71FB"/>
    <w:rsid w:val="005E72AD"/>
    <w:rsid w:val="005E7332"/>
    <w:rsid w:val="005E734F"/>
    <w:rsid w:val="005E73FE"/>
    <w:rsid w:val="005E7439"/>
    <w:rsid w:val="005E745F"/>
    <w:rsid w:val="005E7493"/>
    <w:rsid w:val="005E7549"/>
    <w:rsid w:val="005E76ED"/>
    <w:rsid w:val="005E783D"/>
    <w:rsid w:val="005E78DF"/>
    <w:rsid w:val="005E7964"/>
    <w:rsid w:val="005E79D1"/>
    <w:rsid w:val="005E7A0A"/>
    <w:rsid w:val="005E7A5B"/>
    <w:rsid w:val="005E7AB1"/>
    <w:rsid w:val="005E7B33"/>
    <w:rsid w:val="005E7B99"/>
    <w:rsid w:val="005E7C60"/>
    <w:rsid w:val="005E7CD6"/>
    <w:rsid w:val="005E7D38"/>
    <w:rsid w:val="005E7D41"/>
    <w:rsid w:val="005E7E78"/>
    <w:rsid w:val="005E7EA1"/>
    <w:rsid w:val="005E7FB5"/>
    <w:rsid w:val="005ED3B6"/>
    <w:rsid w:val="005F002D"/>
    <w:rsid w:val="005F0096"/>
    <w:rsid w:val="005F0161"/>
    <w:rsid w:val="005F0238"/>
    <w:rsid w:val="005F026D"/>
    <w:rsid w:val="005F0290"/>
    <w:rsid w:val="005F0291"/>
    <w:rsid w:val="005F02EE"/>
    <w:rsid w:val="005F0337"/>
    <w:rsid w:val="005F0399"/>
    <w:rsid w:val="005F03EC"/>
    <w:rsid w:val="005F042F"/>
    <w:rsid w:val="005F04CB"/>
    <w:rsid w:val="005F0508"/>
    <w:rsid w:val="005F0636"/>
    <w:rsid w:val="005F0683"/>
    <w:rsid w:val="005F0733"/>
    <w:rsid w:val="005F077B"/>
    <w:rsid w:val="005F0856"/>
    <w:rsid w:val="005F08DC"/>
    <w:rsid w:val="005F091A"/>
    <w:rsid w:val="005F09F6"/>
    <w:rsid w:val="005F0A07"/>
    <w:rsid w:val="005F0A94"/>
    <w:rsid w:val="005F0B34"/>
    <w:rsid w:val="005F0B5D"/>
    <w:rsid w:val="005F0BE9"/>
    <w:rsid w:val="005F0C0A"/>
    <w:rsid w:val="005F0C0F"/>
    <w:rsid w:val="005F0C1F"/>
    <w:rsid w:val="005F0C6B"/>
    <w:rsid w:val="005F0C84"/>
    <w:rsid w:val="005F0CFC"/>
    <w:rsid w:val="005F0E65"/>
    <w:rsid w:val="005F0F16"/>
    <w:rsid w:val="005F0F5F"/>
    <w:rsid w:val="005F0F76"/>
    <w:rsid w:val="005F0FCC"/>
    <w:rsid w:val="005F0FE3"/>
    <w:rsid w:val="005F108C"/>
    <w:rsid w:val="005F111C"/>
    <w:rsid w:val="005F1176"/>
    <w:rsid w:val="005F132C"/>
    <w:rsid w:val="005F139A"/>
    <w:rsid w:val="005F1508"/>
    <w:rsid w:val="005F15A0"/>
    <w:rsid w:val="005F15CC"/>
    <w:rsid w:val="005F15FE"/>
    <w:rsid w:val="005F16B3"/>
    <w:rsid w:val="005F1843"/>
    <w:rsid w:val="005F18FA"/>
    <w:rsid w:val="005F19A4"/>
    <w:rsid w:val="005F19C8"/>
    <w:rsid w:val="005F19F0"/>
    <w:rsid w:val="005F1B0C"/>
    <w:rsid w:val="005F1B77"/>
    <w:rsid w:val="005F1B99"/>
    <w:rsid w:val="005F1C42"/>
    <w:rsid w:val="005F1D1C"/>
    <w:rsid w:val="005F1DF8"/>
    <w:rsid w:val="005F1E39"/>
    <w:rsid w:val="005F207B"/>
    <w:rsid w:val="005F20D8"/>
    <w:rsid w:val="005F2133"/>
    <w:rsid w:val="005F21C2"/>
    <w:rsid w:val="005F227E"/>
    <w:rsid w:val="005F2379"/>
    <w:rsid w:val="005F2422"/>
    <w:rsid w:val="005F275F"/>
    <w:rsid w:val="005F2774"/>
    <w:rsid w:val="005F2781"/>
    <w:rsid w:val="005F279D"/>
    <w:rsid w:val="005F294B"/>
    <w:rsid w:val="005F298C"/>
    <w:rsid w:val="005F29C4"/>
    <w:rsid w:val="005F2A33"/>
    <w:rsid w:val="005F2A5E"/>
    <w:rsid w:val="005F2A66"/>
    <w:rsid w:val="005F2AA2"/>
    <w:rsid w:val="005F2ACB"/>
    <w:rsid w:val="005F2C44"/>
    <w:rsid w:val="005F2CAD"/>
    <w:rsid w:val="005F2CF5"/>
    <w:rsid w:val="005F2D02"/>
    <w:rsid w:val="005F2D8F"/>
    <w:rsid w:val="005F2EBA"/>
    <w:rsid w:val="005F2F72"/>
    <w:rsid w:val="005F2FAE"/>
    <w:rsid w:val="005F311C"/>
    <w:rsid w:val="005F31B7"/>
    <w:rsid w:val="005F3235"/>
    <w:rsid w:val="005F3257"/>
    <w:rsid w:val="005F3297"/>
    <w:rsid w:val="005F33CF"/>
    <w:rsid w:val="005F3515"/>
    <w:rsid w:val="005F3566"/>
    <w:rsid w:val="005F3586"/>
    <w:rsid w:val="005F3638"/>
    <w:rsid w:val="005F375B"/>
    <w:rsid w:val="005F37C1"/>
    <w:rsid w:val="005F3824"/>
    <w:rsid w:val="005F383D"/>
    <w:rsid w:val="005F384A"/>
    <w:rsid w:val="005F3868"/>
    <w:rsid w:val="005F3893"/>
    <w:rsid w:val="005F38CE"/>
    <w:rsid w:val="005F3907"/>
    <w:rsid w:val="005F3A31"/>
    <w:rsid w:val="005F3AB9"/>
    <w:rsid w:val="005F3B86"/>
    <w:rsid w:val="005F3BBB"/>
    <w:rsid w:val="005F3BEA"/>
    <w:rsid w:val="005F3C3A"/>
    <w:rsid w:val="005F3CD9"/>
    <w:rsid w:val="005F3D16"/>
    <w:rsid w:val="005F3D77"/>
    <w:rsid w:val="005F3DA4"/>
    <w:rsid w:val="005F3DAC"/>
    <w:rsid w:val="005F3E13"/>
    <w:rsid w:val="005F3EF8"/>
    <w:rsid w:val="005F3F1C"/>
    <w:rsid w:val="005F3F51"/>
    <w:rsid w:val="005F3F61"/>
    <w:rsid w:val="005F3F8D"/>
    <w:rsid w:val="005F3FBB"/>
    <w:rsid w:val="005F411D"/>
    <w:rsid w:val="005F4131"/>
    <w:rsid w:val="005F41B9"/>
    <w:rsid w:val="005F42E3"/>
    <w:rsid w:val="005F4317"/>
    <w:rsid w:val="005F4342"/>
    <w:rsid w:val="005F4399"/>
    <w:rsid w:val="005F43A9"/>
    <w:rsid w:val="005F44E5"/>
    <w:rsid w:val="005F45D7"/>
    <w:rsid w:val="005F45E3"/>
    <w:rsid w:val="005F46BF"/>
    <w:rsid w:val="005F46E8"/>
    <w:rsid w:val="005F46F0"/>
    <w:rsid w:val="005F4720"/>
    <w:rsid w:val="005F4763"/>
    <w:rsid w:val="005F4806"/>
    <w:rsid w:val="005F488D"/>
    <w:rsid w:val="005F48CB"/>
    <w:rsid w:val="005F4A03"/>
    <w:rsid w:val="005F4A41"/>
    <w:rsid w:val="005F4AA7"/>
    <w:rsid w:val="005F4B76"/>
    <w:rsid w:val="005F4BC8"/>
    <w:rsid w:val="005F4C2C"/>
    <w:rsid w:val="005F4C51"/>
    <w:rsid w:val="005F4CE0"/>
    <w:rsid w:val="005F4D02"/>
    <w:rsid w:val="005F4DE3"/>
    <w:rsid w:val="005F4E72"/>
    <w:rsid w:val="005F4E7B"/>
    <w:rsid w:val="005F4F96"/>
    <w:rsid w:val="005F4FAE"/>
    <w:rsid w:val="005F4FB8"/>
    <w:rsid w:val="005F4FC2"/>
    <w:rsid w:val="005F4FCF"/>
    <w:rsid w:val="005F4FEB"/>
    <w:rsid w:val="005F5121"/>
    <w:rsid w:val="005F5194"/>
    <w:rsid w:val="005F521E"/>
    <w:rsid w:val="005F53CD"/>
    <w:rsid w:val="005F556B"/>
    <w:rsid w:val="005F55F6"/>
    <w:rsid w:val="005F5643"/>
    <w:rsid w:val="005F56F0"/>
    <w:rsid w:val="005F57A3"/>
    <w:rsid w:val="005F587E"/>
    <w:rsid w:val="005F58D0"/>
    <w:rsid w:val="005F58F8"/>
    <w:rsid w:val="005F592F"/>
    <w:rsid w:val="005F59CC"/>
    <w:rsid w:val="005F5A17"/>
    <w:rsid w:val="005F5B08"/>
    <w:rsid w:val="005F5C14"/>
    <w:rsid w:val="005F5DFC"/>
    <w:rsid w:val="005F5E01"/>
    <w:rsid w:val="005F5E36"/>
    <w:rsid w:val="005F5E64"/>
    <w:rsid w:val="005F60B8"/>
    <w:rsid w:val="005F6259"/>
    <w:rsid w:val="005F62B6"/>
    <w:rsid w:val="005F62E1"/>
    <w:rsid w:val="005F63E1"/>
    <w:rsid w:val="005F63F0"/>
    <w:rsid w:val="005F6464"/>
    <w:rsid w:val="005F646C"/>
    <w:rsid w:val="005F647A"/>
    <w:rsid w:val="005F6565"/>
    <w:rsid w:val="005F65BF"/>
    <w:rsid w:val="005F6645"/>
    <w:rsid w:val="005F66D7"/>
    <w:rsid w:val="005F673A"/>
    <w:rsid w:val="005F6788"/>
    <w:rsid w:val="005F6877"/>
    <w:rsid w:val="005F68B7"/>
    <w:rsid w:val="005F6933"/>
    <w:rsid w:val="005F69B4"/>
    <w:rsid w:val="005F6A67"/>
    <w:rsid w:val="005F6A70"/>
    <w:rsid w:val="005F6BC8"/>
    <w:rsid w:val="005F6BEB"/>
    <w:rsid w:val="005F6D62"/>
    <w:rsid w:val="005F6EC8"/>
    <w:rsid w:val="005F6F0C"/>
    <w:rsid w:val="005F6F66"/>
    <w:rsid w:val="005F6F87"/>
    <w:rsid w:val="005F7081"/>
    <w:rsid w:val="005F70B1"/>
    <w:rsid w:val="005F7183"/>
    <w:rsid w:val="005F71EC"/>
    <w:rsid w:val="005F720E"/>
    <w:rsid w:val="005F7237"/>
    <w:rsid w:val="005F723B"/>
    <w:rsid w:val="005F7281"/>
    <w:rsid w:val="005F72CB"/>
    <w:rsid w:val="005F733D"/>
    <w:rsid w:val="005F7416"/>
    <w:rsid w:val="005F7445"/>
    <w:rsid w:val="005F7476"/>
    <w:rsid w:val="005F74BD"/>
    <w:rsid w:val="005F74DC"/>
    <w:rsid w:val="005F77AC"/>
    <w:rsid w:val="005F77C5"/>
    <w:rsid w:val="005F77C8"/>
    <w:rsid w:val="005F7913"/>
    <w:rsid w:val="005F7954"/>
    <w:rsid w:val="005F7A0B"/>
    <w:rsid w:val="005F7A2C"/>
    <w:rsid w:val="005F7A2D"/>
    <w:rsid w:val="005F7AA4"/>
    <w:rsid w:val="005F7AA8"/>
    <w:rsid w:val="005F7BE3"/>
    <w:rsid w:val="005F7C0A"/>
    <w:rsid w:val="005F7C88"/>
    <w:rsid w:val="005F7D32"/>
    <w:rsid w:val="005F7DAF"/>
    <w:rsid w:val="005F7DF1"/>
    <w:rsid w:val="005F7E78"/>
    <w:rsid w:val="005F7F4F"/>
    <w:rsid w:val="005F7F60"/>
    <w:rsid w:val="0060000C"/>
    <w:rsid w:val="0060005E"/>
    <w:rsid w:val="006000E9"/>
    <w:rsid w:val="00600194"/>
    <w:rsid w:val="006001C9"/>
    <w:rsid w:val="0060040D"/>
    <w:rsid w:val="0060046E"/>
    <w:rsid w:val="00600486"/>
    <w:rsid w:val="00600493"/>
    <w:rsid w:val="006004F6"/>
    <w:rsid w:val="00600550"/>
    <w:rsid w:val="006005DA"/>
    <w:rsid w:val="006005EF"/>
    <w:rsid w:val="0060072C"/>
    <w:rsid w:val="00600787"/>
    <w:rsid w:val="006007ED"/>
    <w:rsid w:val="00600817"/>
    <w:rsid w:val="00600915"/>
    <w:rsid w:val="006009ED"/>
    <w:rsid w:val="00600B09"/>
    <w:rsid w:val="00600B3B"/>
    <w:rsid w:val="00600BA4"/>
    <w:rsid w:val="00600C58"/>
    <w:rsid w:val="00600C65"/>
    <w:rsid w:val="00600CF5"/>
    <w:rsid w:val="00600E9F"/>
    <w:rsid w:val="00600EF7"/>
    <w:rsid w:val="00600F63"/>
    <w:rsid w:val="0060107C"/>
    <w:rsid w:val="006010D9"/>
    <w:rsid w:val="0060111A"/>
    <w:rsid w:val="006011A9"/>
    <w:rsid w:val="006011E6"/>
    <w:rsid w:val="00601237"/>
    <w:rsid w:val="00601435"/>
    <w:rsid w:val="006014CD"/>
    <w:rsid w:val="00601528"/>
    <w:rsid w:val="006015E5"/>
    <w:rsid w:val="00601637"/>
    <w:rsid w:val="00601656"/>
    <w:rsid w:val="0060184A"/>
    <w:rsid w:val="006018BF"/>
    <w:rsid w:val="006018D9"/>
    <w:rsid w:val="00601914"/>
    <w:rsid w:val="00601A8B"/>
    <w:rsid w:val="00601ABF"/>
    <w:rsid w:val="00601AFA"/>
    <w:rsid w:val="00601C47"/>
    <w:rsid w:val="00601CB6"/>
    <w:rsid w:val="00601DAC"/>
    <w:rsid w:val="00601FA6"/>
    <w:rsid w:val="00602005"/>
    <w:rsid w:val="00602252"/>
    <w:rsid w:val="00602257"/>
    <w:rsid w:val="006022AE"/>
    <w:rsid w:val="006023D8"/>
    <w:rsid w:val="0060254C"/>
    <w:rsid w:val="0060255A"/>
    <w:rsid w:val="00602569"/>
    <w:rsid w:val="0060269A"/>
    <w:rsid w:val="006026EE"/>
    <w:rsid w:val="0060273C"/>
    <w:rsid w:val="00602747"/>
    <w:rsid w:val="00602795"/>
    <w:rsid w:val="0060286B"/>
    <w:rsid w:val="00602910"/>
    <w:rsid w:val="00602951"/>
    <w:rsid w:val="00602986"/>
    <w:rsid w:val="00602993"/>
    <w:rsid w:val="00602A08"/>
    <w:rsid w:val="00602A78"/>
    <w:rsid w:val="00602AD7"/>
    <w:rsid w:val="00602AEB"/>
    <w:rsid w:val="00602BB3"/>
    <w:rsid w:val="00602BF8"/>
    <w:rsid w:val="00602CC7"/>
    <w:rsid w:val="00602D08"/>
    <w:rsid w:val="00602D39"/>
    <w:rsid w:val="00602DBC"/>
    <w:rsid w:val="00602E41"/>
    <w:rsid w:val="00602F69"/>
    <w:rsid w:val="00602FE8"/>
    <w:rsid w:val="006030AA"/>
    <w:rsid w:val="0060312D"/>
    <w:rsid w:val="006031F3"/>
    <w:rsid w:val="00603233"/>
    <w:rsid w:val="00603305"/>
    <w:rsid w:val="0060340B"/>
    <w:rsid w:val="00603495"/>
    <w:rsid w:val="0060358D"/>
    <w:rsid w:val="0060360E"/>
    <w:rsid w:val="00603614"/>
    <w:rsid w:val="00603652"/>
    <w:rsid w:val="0060376C"/>
    <w:rsid w:val="00603792"/>
    <w:rsid w:val="0060395E"/>
    <w:rsid w:val="00603A1B"/>
    <w:rsid w:val="00603B17"/>
    <w:rsid w:val="00603B31"/>
    <w:rsid w:val="00603BF6"/>
    <w:rsid w:val="00603C96"/>
    <w:rsid w:val="00603CDA"/>
    <w:rsid w:val="00603D10"/>
    <w:rsid w:val="00603E2D"/>
    <w:rsid w:val="00603E8F"/>
    <w:rsid w:val="00603EC4"/>
    <w:rsid w:val="00603FD5"/>
    <w:rsid w:val="00604092"/>
    <w:rsid w:val="006040F4"/>
    <w:rsid w:val="0060410A"/>
    <w:rsid w:val="00604150"/>
    <w:rsid w:val="00604157"/>
    <w:rsid w:val="006042B3"/>
    <w:rsid w:val="006042D6"/>
    <w:rsid w:val="00604349"/>
    <w:rsid w:val="006043C3"/>
    <w:rsid w:val="00604458"/>
    <w:rsid w:val="00604506"/>
    <w:rsid w:val="006045BD"/>
    <w:rsid w:val="00604633"/>
    <w:rsid w:val="00604668"/>
    <w:rsid w:val="00604670"/>
    <w:rsid w:val="00604683"/>
    <w:rsid w:val="006047AA"/>
    <w:rsid w:val="00604863"/>
    <w:rsid w:val="006048E2"/>
    <w:rsid w:val="00604972"/>
    <w:rsid w:val="006049A3"/>
    <w:rsid w:val="006049A5"/>
    <w:rsid w:val="006049F5"/>
    <w:rsid w:val="00604A49"/>
    <w:rsid w:val="00604B80"/>
    <w:rsid w:val="00604C1F"/>
    <w:rsid w:val="00604C9F"/>
    <w:rsid w:val="00604D6F"/>
    <w:rsid w:val="00604D8E"/>
    <w:rsid w:val="00604DD5"/>
    <w:rsid w:val="00604DFC"/>
    <w:rsid w:val="00604E1E"/>
    <w:rsid w:val="00604E29"/>
    <w:rsid w:val="00604E51"/>
    <w:rsid w:val="0060500F"/>
    <w:rsid w:val="006050AB"/>
    <w:rsid w:val="00605113"/>
    <w:rsid w:val="00605253"/>
    <w:rsid w:val="00605271"/>
    <w:rsid w:val="006052DB"/>
    <w:rsid w:val="00605328"/>
    <w:rsid w:val="006053DA"/>
    <w:rsid w:val="006053E5"/>
    <w:rsid w:val="00605400"/>
    <w:rsid w:val="0060550D"/>
    <w:rsid w:val="00605521"/>
    <w:rsid w:val="00605589"/>
    <w:rsid w:val="0060559D"/>
    <w:rsid w:val="006055B4"/>
    <w:rsid w:val="00605805"/>
    <w:rsid w:val="0060585A"/>
    <w:rsid w:val="00605865"/>
    <w:rsid w:val="00605982"/>
    <w:rsid w:val="00605AA9"/>
    <w:rsid w:val="00605C28"/>
    <w:rsid w:val="00605C4D"/>
    <w:rsid w:val="00605C8A"/>
    <w:rsid w:val="00605CD2"/>
    <w:rsid w:val="00605E3F"/>
    <w:rsid w:val="00605E42"/>
    <w:rsid w:val="00605FDC"/>
    <w:rsid w:val="00606058"/>
    <w:rsid w:val="00606139"/>
    <w:rsid w:val="00606171"/>
    <w:rsid w:val="00606197"/>
    <w:rsid w:val="006061BB"/>
    <w:rsid w:val="006062D5"/>
    <w:rsid w:val="006062D9"/>
    <w:rsid w:val="00606392"/>
    <w:rsid w:val="006063B8"/>
    <w:rsid w:val="006063E1"/>
    <w:rsid w:val="00606414"/>
    <w:rsid w:val="0060644F"/>
    <w:rsid w:val="0060645E"/>
    <w:rsid w:val="0060649F"/>
    <w:rsid w:val="006064A0"/>
    <w:rsid w:val="006065A7"/>
    <w:rsid w:val="0060660F"/>
    <w:rsid w:val="006066F9"/>
    <w:rsid w:val="00606714"/>
    <w:rsid w:val="006067EC"/>
    <w:rsid w:val="00606872"/>
    <w:rsid w:val="00606874"/>
    <w:rsid w:val="006068C2"/>
    <w:rsid w:val="00606957"/>
    <w:rsid w:val="00606A5B"/>
    <w:rsid w:val="00606BCE"/>
    <w:rsid w:val="00606C12"/>
    <w:rsid w:val="00606CB9"/>
    <w:rsid w:val="00606D1D"/>
    <w:rsid w:val="00606D44"/>
    <w:rsid w:val="00606DA9"/>
    <w:rsid w:val="00606DC9"/>
    <w:rsid w:val="00606DDE"/>
    <w:rsid w:val="00606E7E"/>
    <w:rsid w:val="00606F99"/>
    <w:rsid w:val="00607019"/>
    <w:rsid w:val="0060707C"/>
    <w:rsid w:val="0060719B"/>
    <w:rsid w:val="006071FD"/>
    <w:rsid w:val="00607215"/>
    <w:rsid w:val="0060727D"/>
    <w:rsid w:val="006072B2"/>
    <w:rsid w:val="0060732E"/>
    <w:rsid w:val="00607372"/>
    <w:rsid w:val="006073DF"/>
    <w:rsid w:val="006073F3"/>
    <w:rsid w:val="00607408"/>
    <w:rsid w:val="006074FA"/>
    <w:rsid w:val="00607500"/>
    <w:rsid w:val="00607588"/>
    <w:rsid w:val="006076EA"/>
    <w:rsid w:val="006077EE"/>
    <w:rsid w:val="0060785F"/>
    <w:rsid w:val="006078A4"/>
    <w:rsid w:val="006078F3"/>
    <w:rsid w:val="0060792B"/>
    <w:rsid w:val="00607977"/>
    <w:rsid w:val="006079FA"/>
    <w:rsid w:val="00607A90"/>
    <w:rsid w:val="00607A98"/>
    <w:rsid w:val="00607AB1"/>
    <w:rsid w:val="00607ABD"/>
    <w:rsid w:val="00607AC7"/>
    <w:rsid w:val="00607ACA"/>
    <w:rsid w:val="00607B0C"/>
    <w:rsid w:val="00607BB0"/>
    <w:rsid w:val="00607C18"/>
    <w:rsid w:val="00607C25"/>
    <w:rsid w:val="00607C6A"/>
    <w:rsid w:val="00607C79"/>
    <w:rsid w:val="00607D05"/>
    <w:rsid w:val="00607D14"/>
    <w:rsid w:val="00607D6A"/>
    <w:rsid w:val="00607E00"/>
    <w:rsid w:val="00607F03"/>
    <w:rsid w:val="00607F26"/>
    <w:rsid w:val="00607F45"/>
    <w:rsid w:val="00607FF3"/>
    <w:rsid w:val="0061003F"/>
    <w:rsid w:val="00610063"/>
    <w:rsid w:val="006100A5"/>
    <w:rsid w:val="0061036F"/>
    <w:rsid w:val="00610599"/>
    <w:rsid w:val="00610627"/>
    <w:rsid w:val="006106AA"/>
    <w:rsid w:val="006107AA"/>
    <w:rsid w:val="006107F2"/>
    <w:rsid w:val="006108DB"/>
    <w:rsid w:val="00610927"/>
    <w:rsid w:val="00610AA7"/>
    <w:rsid w:val="00610AAC"/>
    <w:rsid w:val="00610C27"/>
    <w:rsid w:val="00610C53"/>
    <w:rsid w:val="00610DF3"/>
    <w:rsid w:val="00610E45"/>
    <w:rsid w:val="00610E60"/>
    <w:rsid w:val="00610EE0"/>
    <w:rsid w:val="00610F25"/>
    <w:rsid w:val="00610F37"/>
    <w:rsid w:val="00610F6C"/>
    <w:rsid w:val="00610FAF"/>
    <w:rsid w:val="00610FD3"/>
    <w:rsid w:val="00610FFD"/>
    <w:rsid w:val="0061100A"/>
    <w:rsid w:val="00611044"/>
    <w:rsid w:val="00611062"/>
    <w:rsid w:val="0061106C"/>
    <w:rsid w:val="006110A7"/>
    <w:rsid w:val="006110DB"/>
    <w:rsid w:val="00611197"/>
    <w:rsid w:val="006111D6"/>
    <w:rsid w:val="006112B9"/>
    <w:rsid w:val="00611316"/>
    <w:rsid w:val="00611345"/>
    <w:rsid w:val="00611576"/>
    <w:rsid w:val="006115B3"/>
    <w:rsid w:val="00611605"/>
    <w:rsid w:val="0061165B"/>
    <w:rsid w:val="00611667"/>
    <w:rsid w:val="00611676"/>
    <w:rsid w:val="00611726"/>
    <w:rsid w:val="00611737"/>
    <w:rsid w:val="006118A8"/>
    <w:rsid w:val="006118C1"/>
    <w:rsid w:val="006118FC"/>
    <w:rsid w:val="0061191F"/>
    <w:rsid w:val="006119F7"/>
    <w:rsid w:val="00611A53"/>
    <w:rsid w:val="00611B44"/>
    <w:rsid w:val="00611C20"/>
    <w:rsid w:val="00611DA0"/>
    <w:rsid w:val="00611DF7"/>
    <w:rsid w:val="00611E47"/>
    <w:rsid w:val="00611FDD"/>
    <w:rsid w:val="00612009"/>
    <w:rsid w:val="00612142"/>
    <w:rsid w:val="0061251C"/>
    <w:rsid w:val="00612575"/>
    <w:rsid w:val="00612690"/>
    <w:rsid w:val="00612742"/>
    <w:rsid w:val="0061279B"/>
    <w:rsid w:val="0061280B"/>
    <w:rsid w:val="0061288B"/>
    <w:rsid w:val="006128EE"/>
    <w:rsid w:val="00612956"/>
    <w:rsid w:val="0061298C"/>
    <w:rsid w:val="006129A8"/>
    <w:rsid w:val="006129B0"/>
    <w:rsid w:val="006129BF"/>
    <w:rsid w:val="006129D6"/>
    <w:rsid w:val="00612A6E"/>
    <w:rsid w:val="00612A8E"/>
    <w:rsid w:val="00612A9E"/>
    <w:rsid w:val="00612AE7"/>
    <w:rsid w:val="00612B07"/>
    <w:rsid w:val="00612B39"/>
    <w:rsid w:val="00612BFE"/>
    <w:rsid w:val="00612C06"/>
    <w:rsid w:val="00612C7D"/>
    <w:rsid w:val="00612CA7"/>
    <w:rsid w:val="00612D24"/>
    <w:rsid w:val="00612E98"/>
    <w:rsid w:val="00612EF6"/>
    <w:rsid w:val="00612FA2"/>
    <w:rsid w:val="006130B5"/>
    <w:rsid w:val="006131BE"/>
    <w:rsid w:val="006131F8"/>
    <w:rsid w:val="00613343"/>
    <w:rsid w:val="006135A7"/>
    <w:rsid w:val="006135F7"/>
    <w:rsid w:val="00613638"/>
    <w:rsid w:val="00613648"/>
    <w:rsid w:val="006136B4"/>
    <w:rsid w:val="006136C9"/>
    <w:rsid w:val="006136E4"/>
    <w:rsid w:val="00613799"/>
    <w:rsid w:val="006137E9"/>
    <w:rsid w:val="00613804"/>
    <w:rsid w:val="0061389C"/>
    <w:rsid w:val="006138F3"/>
    <w:rsid w:val="00613909"/>
    <w:rsid w:val="00613B53"/>
    <w:rsid w:val="00613C4C"/>
    <w:rsid w:val="00613CC9"/>
    <w:rsid w:val="00613D59"/>
    <w:rsid w:val="00613E37"/>
    <w:rsid w:val="00613EF8"/>
    <w:rsid w:val="00613F25"/>
    <w:rsid w:val="00613F4E"/>
    <w:rsid w:val="00613FDD"/>
    <w:rsid w:val="00614075"/>
    <w:rsid w:val="006140F5"/>
    <w:rsid w:val="006142CB"/>
    <w:rsid w:val="006142D8"/>
    <w:rsid w:val="0061449F"/>
    <w:rsid w:val="006146A5"/>
    <w:rsid w:val="006146BB"/>
    <w:rsid w:val="00614722"/>
    <w:rsid w:val="0061479A"/>
    <w:rsid w:val="006147D0"/>
    <w:rsid w:val="006148F6"/>
    <w:rsid w:val="006148FA"/>
    <w:rsid w:val="0061496C"/>
    <w:rsid w:val="00614A11"/>
    <w:rsid w:val="00614B4D"/>
    <w:rsid w:val="00614BA1"/>
    <w:rsid w:val="00614C9C"/>
    <w:rsid w:val="00614D6E"/>
    <w:rsid w:val="00614E78"/>
    <w:rsid w:val="00614F25"/>
    <w:rsid w:val="00615058"/>
    <w:rsid w:val="006150C2"/>
    <w:rsid w:val="006150E9"/>
    <w:rsid w:val="00615134"/>
    <w:rsid w:val="00615205"/>
    <w:rsid w:val="00615218"/>
    <w:rsid w:val="00615273"/>
    <w:rsid w:val="0061532C"/>
    <w:rsid w:val="006153D4"/>
    <w:rsid w:val="00615423"/>
    <w:rsid w:val="006155D0"/>
    <w:rsid w:val="006156E9"/>
    <w:rsid w:val="0061570A"/>
    <w:rsid w:val="0061577B"/>
    <w:rsid w:val="006157CE"/>
    <w:rsid w:val="006157F4"/>
    <w:rsid w:val="00615863"/>
    <w:rsid w:val="006158AB"/>
    <w:rsid w:val="006158DB"/>
    <w:rsid w:val="006159B3"/>
    <w:rsid w:val="006159FF"/>
    <w:rsid w:val="00615AFD"/>
    <w:rsid w:val="00615B19"/>
    <w:rsid w:val="00615B38"/>
    <w:rsid w:val="00615C26"/>
    <w:rsid w:val="00615C90"/>
    <w:rsid w:val="00615CA2"/>
    <w:rsid w:val="00615D43"/>
    <w:rsid w:val="00615E74"/>
    <w:rsid w:val="00615F0C"/>
    <w:rsid w:val="00615F93"/>
    <w:rsid w:val="00615FCB"/>
    <w:rsid w:val="00616137"/>
    <w:rsid w:val="0061616F"/>
    <w:rsid w:val="00616430"/>
    <w:rsid w:val="00616460"/>
    <w:rsid w:val="006164BB"/>
    <w:rsid w:val="006164D4"/>
    <w:rsid w:val="006165E4"/>
    <w:rsid w:val="006166E1"/>
    <w:rsid w:val="00616721"/>
    <w:rsid w:val="006167B5"/>
    <w:rsid w:val="006167FD"/>
    <w:rsid w:val="00616826"/>
    <w:rsid w:val="0061682D"/>
    <w:rsid w:val="006168B8"/>
    <w:rsid w:val="006168FB"/>
    <w:rsid w:val="0061690D"/>
    <w:rsid w:val="00616968"/>
    <w:rsid w:val="00616987"/>
    <w:rsid w:val="006169FC"/>
    <w:rsid w:val="00616B65"/>
    <w:rsid w:val="00616B69"/>
    <w:rsid w:val="00616BEE"/>
    <w:rsid w:val="00616CEA"/>
    <w:rsid w:val="00616DC8"/>
    <w:rsid w:val="00616DE9"/>
    <w:rsid w:val="00616E5F"/>
    <w:rsid w:val="00616F40"/>
    <w:rsid w:val="00616F9F"/>
    <w:rsid w:val="00616FAE"/>
    <w:rsid w:val="00616FCC"/>
    <w:rsid w:val="00617018"/>
    <w:rsid w:val="006170C9"/>
    <w:rsid w:val="006171D2"/>
    <w:rsid w:val="00617452"/>
    <w:rsid w:val="00617559"/>
    <w:rsid w:val="006175AE"/>
    <w:rsid w:val="00617630"/>
    <w:rsid w:val="0061770D"/>
    <w:rsid w:val="00617718"/>
    <w:rsid w:val="00617849"/>
    <w:rsid w:val="0061788B"/>
    <w:rsid w:val="006178A6"/>
    <w:rsid w:val="006178BC"/>
    <w:rsid w:val="0061790D"/>
    <w:rsid w:val="00617990"/>
    <w:rsid w:val="00617A61"/>
    <w:rsid w:val="00617A83"/>
    <w:rsid w:val="00617A8A"/>
    <w:rsid w:val="00617ADA"/>
    <w:rsid w:val="00617B69"/>
    <w:rsid w:val="00617BE3"/>
    <w:rsid w:val="00617C24"/>
    <w:rsid w:val="00617C31"/>
    <w:rsid w:val="00617C94"/>
    <w:rsid w:val="00617D97"/>
    <w:rsid w:val="00617DEC"/>
    <w:rsid w:val="00617E25"/>
    <w:rsid w:val="00617FA5"/>
    <w:rsid w:val="00617FC2"/>
    <w:rsid w:val="006193DB"/>
    <w:rsid w:val="0062006B"/>
    <w:rsid w:val="006200DF"/>
    <w:rsid w:val="00620242"/>
    <w:rsid w:val="0062026E"/>
    <w:rsid w:val="006202CA"/>
    <w:rsid w:val="00620309"/>
    <w:rsid w:val="00620368"/>
    <w:rsid w:val="006203D9"/>
    <w:rsid w:val="0062041F"/>
    <w:rsid w:val="00620426"/>
    <w:rsid w:val="006204C5"/>
    <w:rsid w:val="00620548"/>
    <w:rsid w:val="006205C9"/>
    <w:rsid w:val="00620682"/>
    <w:rsid w:val="00620692"/>
    <w:rsid w:val="0062069E"/>
    <w:rsid w:val="0062070B"/>
    <w:rsid w:val="0062074E"/>
    <w:rsid w:val="00620762"/>
    <w:rsid w:val="006207E2"/>
    <w:rsid w:val="00620831"/>
    <w:rsid w:val="0062092B"/>
    <w:rsid w:val="00620937"/>
    <w:rsid w:val="0062093B"/>
    <w:rsid w:val="00620979"/>
    <w:rsid w:val="00620998"/>
    <w:rsid w:val="00620A60"/>
    <w:rsid w:val="00620AB9"/>
    <w:rsid w:val="00620AE0"/>
    <w:rsid w:val="00620AFE"/>
    <w:rsid w:val="00620B41"/>
    <w:rsid w:val="00620C0D"/>
    <w:rsid w:val="00620C1C"/>
    <w:rsid w:val="00620C65"/>
    <w:rsid w:val="00620C74"/>
    <w:rsid w:val="00620CFC"/>
    <w:rsid w:val="00620D85"/>
    <w:rsid w:val="00620DED"/>
    <w:rsid w:val="00620E7A"/>
    <w:rsid w:val="00620FAA"/>
    <w:rsid w:val="00620FCB"/>
    <w:rsid w:val="00621057"/>
    <w:rsid w:val="00621166"/>
    <w:rsid w:val="006211AF"/>
    <w:rsid w:val="00621215"/>
    <w:rsid w:val="0062147A"/>
    <w:rsid w:val="00621521"/>
    <w:rsid w:val="00621559"/>
    <w:rsid w:val="0062157A"/>
    <w:rsid w:val="006215DA"/>
    <w:rsid w:val="00621641"/>
    <w:rsid w:val="0062165E"/>
    <w:rsid w:val="00621663"/>
    <w:rsid w:val="00621682"/>
    <w:rsid w:val="006216BE"/>
    <w:rsid w:val="00621726"/>
    <w:rsid w:val="006217B1"/>
    <w:rsid w:val="0062184C"/>
    <w:rsid w:val="0062186F"/>
    <w:rsid w:val="006218F0"/>
    <w:rsid w:val="00621A15"/>
    <w:rsid w:val="00621A2D"/>
    <w:rsid w:val="00621A84"/>
    <w:rsid w:val="00621ACE"/>
    <w:rsid w:val="00621AD7"/>
    <w:rsid w:val="00621B48"/>
    <w:rsid w:val="00621BC5"/>
    <w:rsid w:val="00621BCD"/>
    <w:rsid w:val="00621BEE"/>
    <w:rsid w:val="00621C6C"/>
    <w:rsid w:val="00621CC5"/>
    <w:rsid w:val="00621D73"/>
    <w:rsid w:val="00621E00"/>
    <w:rsid w:val="00621E87"/>
    <w:rsid w:val="00621E95"/>
    <w:rsid w:val="00621EA3"/>
    <w:rsid w:val="00621EB1"/>
    <w:rsid w:val="00621ED3"/>
    <w:rsid w:val="00621EF2"/>
    <w:rsid w:val="00622018"/>
    <w:rsid w:val="00622046"/>
    <w:rsid w:val="006220C1"/>
    <w:rsid w:val="006221A3"/>
    <w:rsid w:val="00622358"/>
    <w:rsid w:val="006223EA"/>
    <w:rsid w:val="006223FA"/>
    <w:rsid w:val="00622463"/>
    <w:rsid w:val="006225A3"/>
    <w:rsid w:val="0062261D"/>
    <w:rsid w:val="00622623"/>
    <w:rsid w:val="006226DC"/>
    <w:rsid w:val="006227E3"/>
    <w:rsid w:val="006228B6"/>
    <w:rsid w:val="006228D3"/>
    <w:rsid w:val="00622982"/>
    <w:rsid w:val="006229C3"/>
    <w:rsid w:val="00622B8D"/>
    <w:rsid w:val="00622C28"/>
    <w:rsid w:val="00622C9C"/>
    <w:rsid w:val="00622CB3"/>
    <w:rsid w:val="00622D26"/>
    <w:rsid w:val="00622D2B"/>
    <w:rsid w:val="00622D31"/>
    <w:rsid w:val="00622E39"/>
    <w:rsid w:val="00622E6E"/>
    <w:rsid w:val="00622E89"/>
    <w:rsid w:val="00622F88"/>
    <w:rsid w:val="00622F95"/>
    <w:rsid w:val="00623016"/>
    <w:rsid w:val="00623099"/>
    <w:rsid w:val="00623127"/>
    <w:rsid w:val="00623180"/>
    <w:rsid w:val="006231B5"/>
    <w:rsid w:val="006231BD"/>
    <w:rsid w:val="006231BE"/>
    <w:rsid w:val="0062322A"/>
    <w:rsid w:val="006232ED"/>
    <w:rsid w:val="00623322"/>
    <w:rsid w:val="00623325"/>
    <w:rsid w:val="006233BE"/>
    <w:rsid w:val="006233CB"/>
    <w:rsid w:val="006233FA"/>
    <w:rsid w:val="00623435"/>
    <w:rsid w:val="00623546"/>
    <w:rsid w:val="00623563"/>
    <w:rsid w:val="0062375F"/>
    <w:rsid w:val="006237BC"/>
    <w:rsid w:val="0062384C"/>
    <w:rsid w:val="0062387B"/>
    <w:rsid w:val="00623948"/>
    <w:rsid w:val="0062399C"/>
    <w:rsid w:val="006239E3"/>
    <w:rsid w:val="006239F6"/>
    <w:rsid w:val="00623A9D"/>
    <w:rsid w:val="00623C2C"/>
    <w:rsid w:val="00623C3E"/>
    <w:rsid w:val="00623DD4"/>
    <w:rsid w:val="00623F57"/>
    <w:rsid w:val="0062400F"/>
    <w:rsid w:val="00624016"/>
    <w:rsid w:val="00624099"/>
    <w:rsid w:val="006240E4"/>
    <w:rsid w:val="00624156"/>
    <w:rsid w:val="0062415D"/>
    <w:rsid w:val="006241BD"/>
    <w:rsid w:val="006241E8"/>
    <w:rsid w:val="006242B3"/>
    <w:rsid w:val="006242FC"/>
    <w:rsid w:val="00624459"/>
    <w:rsid w:val="00624522"/>
    <w:rsid w:val="006245D2"/>
    <w:rsid w:val="00624626"/>
    <w:rsid w:val="006246BE"/>
    <w:rsid w:val="0062484D"/>
    <w:rsid w:val="0062493A"/>
    <w:rsid w:val="00624AA5"/>
    <w:rsid w:val="00624B70"/>
    <w:rsid w:val="00624B90"/>
    <w:rsid w:val="00624BC7"/>
    <w:rsid w:val="00624CF8"/>
    <w:rsid w:val="00624D02"/>
    <w:rsid w:val="00624D6C"/>
    <w:rsid w:val="00624DB7"/>
    <w:rsid w:val="00624DF0"/>
    <w:rsid w:val="00624F23"/>
    <w:rsid w:val="00624F27"/>
    <w:rsid w:val="00625010"/>
    <w:rsid w:val="0062516E"/>
    <w:rsid w:val="00625236"/>
    <w:rsid w:val="00625275"/>
    <w:rsid w:val="006252B6"/>
    <w:rsid w:val="006252C8"/>
    <w:rsid w:val="0062535D"/>
    <w:rsid w:val="00625697"/>
    <w:rsid w:val="00625710"/>
    <w:rsid w:val="006257FF"/>
    <w:rsid w:val="006259A0"/>
    <w:rsid w:val="00625A55"/>
    <w:rsid w:val="00625AC7"/>
    <w:rsid w:val="00625AFA"/>
    <w:rsid w:val="00625B16"/>
    <w:rsid w:val="00625B65"/>
    <w:rsid w:val="00625B75"/>
    <w:rsid w:val="00625B98"/>
    <w:rsid w:val="00625DE6"/>
    <w:rsid w:val="00625E37"/>
    <w:rsid w:val="00625E4A"/>
    <w:rsid w:val="00625E5B"/>
    <w:rsid w:val="00625EAC"/>
    <w:rsid w:val="00626127"/>
    <w:rsid w:val="006261EF"/>
    <w:rsid w:val="00626204"/>
    <w:rsid w:val="006262E6"/>
    <w:rsid w:val="00626308"/>
    <w:rsid w:val="00626391"/>
    <w:rsid w:val="0062639A"/>
    <w:rsid w:val="006263D8"/>
    <w:rsid w:val="006263DE"/>
    <w:rsid w:val="006264BD"/>
    <w:rsid w:val="006264D1"/>
    <w:rsid w:val="00626568"/>
    <w:rsid w:val="006265B4"/>
    <w:rsid w:val="0062666C"/>
    <w:rsid w:val="00626697"/>
    <w:rsid w:val="006267C1"/>
    <w:rsid w:val="00626863"/>
    <w:rsid w:val="00626956"/>
    <w:rsid w:val="006269A4"/>
    <w:rsid w:val="006269F9"/>
    <w:rsid w:val="00626A58"/>
    <w:rsid w:val="00626AD9"/>
    <w:rsid w:val="00626B79"/>
    <w:rsid w:val="00626BC2"/>
    <w:rsid w:val="00626BC7"/>
    <w:rsid w:val="00626D02"/>
    <w:rsid w:val="00626D74"/>
    <w:rsid w:val="00626DB2"/>
    <w:rsid w:val="00626DDA"/>
    <w:rsid w:val="00626DFF"/>
    <w:rsid w:val="00626ED5"/>
    <w:rsid w:val="00626EE0"/>
    <w:rsid w:val="00626F70"/>
    <w:rsid w:val="00626F95"/>
    <w:rsid w:val="00627005"/>
    <w:rsid w:val="006270AD"/>
    <w:rsid w:val="00627252"/>
    <w:rsid w:val="0062727E"/>
    <w:rsid w:val="006272FF"/>
    <w:rsid w:val="00627306"/>
    <w:rsid w:val="0062732F"/>
    <w:rsid w:val="0062735D"/>
    <w:rsid w:val="00627391"/>
    <w:rsid w:val="006273E7"/>
    <w:rsid w:val="00627424"/>
    <w:rsid w:val="0062743A"/>
    <w:rsid w:val="0062748A"/>
    <w:rsid w:val="006275F2"/>
    <w:rsid w:val="006275F4"/>
    <w:rsid w:val="00627617"/>
    <w:rsid w:val="006276CF"/>
    <w:rsid w:val="0062776A"/>
    <w:rsid w:val="00627835"/>
    <w:rsid w:val="006278BC"/>
    <w:rsid w:val="00627939"/>
    <w:rsid w:val="00627AE1"/>
    <w:rsid w:val="00627AE2"/>
    <w:rsid w:val="00627B01"/>
    <w:rsid w:val="00627BA2"/>
    <w:rsid w:val="00627BF7"/>
    <w:rsid w:val="00627C01"/>
    <w:rsid w:val="00627C0F"/>
    <w:rsid w:val="00627C1F"/>
    <w:rsid w:val="00627DF0"/>
    <w:rsid w:val="00627E59"/>
    <w:rsid w:val="00627EB4"/>
    <w:rsid w:val="00627EC4"/>
    <w:rsid w:val="00627F33"/>
    <w:rsid w:val="00627F4B"/>
    <w:rsid w:val="00627FA4"/>
    <w:rsid w:val="00627FAA"/>
    <w:rsid w:val="00627FAD"/>
    <w:rsid w:val="00627FF6"/>
    <w:rsid w:val="00630039"/>
    <w:rsid w:val="0063009D"/>
    <w:rsid w:val="0063011D"/>
    <w:rsid w:val="006301B4"/>
    <w:rsid w:val="006301C2"/>
    <w:rsid w:val="006301EE"/>
    <w:rsid w:val="00630272"/>
    <w:rsid w:val="006302CE"/>
    <w:rsid w:val="00630324"/>
    <w:rsid w:val="006303AF"/>
    <w:rsid w:val="00630433"/>
    <w:rsid w:val="0063048D"/>
    <w:rsid w:val="00630492"/>
    <w:rsid w:val="006305FC"/>
    <w:rsid w:val="0063062A"/>
    <w:rsid w:val="00630647"/>
    <w:rsid w:val="0063070F"/>
    <w:rsid w:val="0063074A"/>
    <w:rsid w:val="0063075F"/>
    <w:rsid w:val="00630789"/>
    <w:rsid w:val="0063084C"/>
    <w:rsid w:val="006308A9"/>
    <w:rsid w:val="006308C3"/>
    <w:rsid w:val="006309C9"/>
    <w:rsid w:val="006309FA"/>
    <w:rsid w:val="00630B7F"/>
    <w:rsid w:val="00630BF3"/>
    <w:rsid w:val="00630C5A"/>
    <w:rsid w:val="00630CEE"/>
    <w:rsid w:val="00630D49"/>
    <w:rsid w:val="00630F02"/>
    <w:rsid w:val="00630F4E"/>
    <w:rsid w:val="00630FFD"/>
    <w:rsid w:val="0063108C"/>
    <w:rsid w:val="00631173"/>
    <w:rsid w:val="006311DC"/>
    <w:rsid w:val="00631254"/>
    <w:rsid w:val="006312D3"/>
    <w:rsid w:val="006312EF"/>
    <w:rsid w:val="006313C1"/>
    <w:rsid w:val="00631417"/>
    <w:rsid w:val="0063146E"/>
    <w:rsid w:val="006314C6"/>
    <w:rsid w:val="00631513"/>
    <w:rsid w:val="00631631"/>
    <w:rsid w:val="00631671"/>
    <w:rsid w:val="006317A5"/>
    <w:rsid w:val="00631828"/>
    <w:rsid w:val="00631861"/>
    <w:rsid w:val="0063186A"/>
    <w:rsid w:val="006318B9"/>
    <w:rsid w:val="0063190D"/>
    <w:rsid w:val="006319CF"/>
    <w:rsid w:val="006319E4"/>
    <w:rsid w:val="00631A28"/>
    <w:rsid w:val="00631A9B"/>
    <w:rsid w:val="00631AC5"/>
    <w:rsid w:val="00631BC5"/>
    <w:rsid w:val="00631BCB"/>
    <w:rsid w:val="00631D3C"/>
    <w:rsid w:val="00631DAD"/>
    <w:rsid w:val="00631E0B"/>
    <w:rsid w:val="00631E46"/>
    <w:rsid w:val="00631F05"/>
    <w:rsid w:val="00631F54"/>
    <w:rsid w:val="00632000"/>
    <w:rsid w:val="00632048"/>
    <w:rsid w:val="0063206C"/>
    <w:rsid w:val="006320E7"/>
    <w:rsid w:val="00632124"/>
    <w:rsid w:val="00632448"/>
    <w:rsid w:val="0063254A"/>
    <w:rsid w:val="0063259B"/>
    <w:rsid w:val="006325B9"/>
    <w:rsid w:val="006325C3"/>
    <w:rsid w:val="0063264C"/>
    <w:rsid w:val="0063265F"/>
    <w:rsid w:val="00632747"/>
    <w:rsid w:val="00632786"/>
    <w:rsid w:val="006327AA"/>
    <w:rsid w:val="006327FB"/>
    <w:rsid w:val="006328BD"/>
    <w:rsid w:val="00632A06"/>
    <w:rsid w:val="00632B00"/>
    <w:rsid w:val="00632B4A"/>
    <w:rsid w:val="00632B68"/>
    <w:rsid w:val="00632BA5"/>
    <w:rsid w:val="00632BFF"/>
    <w:rsid w:val="00632C89"/>
    <w:rsid w:val="00632D5D"/>
    <w:rsid w:val="00632D7C"/>
    <w:rsid w:val="00632D95"/>
    <w:rsid w:val="00632DC8"/>
    <w:rsid w:val="00632EF1"/>
    <w:rsid w:val="00632EF2"/>
    <w:rsid w:val="00632F3A"/>
    <w:rsid w:val="00633019"/>
    <w:rsid w:val="0063303B"/>
    <w:rsid w:val="00633089"/>
    <w:rsid w:val="006330BB"/>
    <w:rsid w:val="00633102"/>
    <w:rsid w:val="00633142"/>
    <w:rsid w:val="00633161"/>
    <w:rsid w:val="00633208"/>
    <w:rsid w:val="00633338"/>
    <w:rsid w:val="00633407"/>
    <w:rsid w:val="006334DD"/>
    <w:rsid w:val="006334E7"/>
    <w:rsid w:val="00633537"/>
    <w:rsid w:val="00633539"/>
    <w:rsid w:val="006335C6"/>
    <w:rsid w:val="006335E8"/>
    <w:rsid w:val="00633631"/>
    <w:rsid w:val="00633714"/>
    <w:rsid w:val="00633911"/>
    <w:rsid w:val="0063397A"/>
    <w:rsid w:val="006339DE"/>
    <w:rsid w:val="00633A36"/>
    <w:rsid w:val="00633A47"/>
    <w:rsid w:val="00633B16"/>
    <w:rsid w:val="00633B3B"/>
    <w:rsid w:val="00633B3E"/>
    <w:rsid w:val="00633C07"/>
    <w:rsid w:val="00633CA1"/>
    <w:rsid w:val="00633DFD"/>
    <w:rsid w:val="00633E00"/>
    <w:rsid w:val="006340A7"/>
    <w:rsid w:val="006340EA"/>
    <w:rsid w:val="00634103"/>
    <w:rsid w:val="00634135"/>
    <w:rsid w:val="006341B3"/>
    <w:rsid w:val="0063420C"/>
    <w:rsid w:val="0063421B"/>
    <w:rsid w:val="00634289"/>
    <w:rsid w:val="006342A2"/>
    <w:rsid w:val="00634313"/>
    <w:rsid w:val="006343CC"/>
    <w:rsid w:val="006343D1"/>
    <w:rsid w:val="00634417"/>
    <w:rsid w:val="0063447E"/>
    <w:rsid w:val="006345C5"/>
    <w:rsid w:val="006345FB"/>
    <w:rsid w:val="0063460E"/>
    <w:rsid w:val="0063467D"/>
    <w:rsid w:val="006347A6"/>
    <w:rsid w:val="0063483D"/>
    <w:rsid w:val="00634843"/>
    <w:rsid w:val="00634857"/>
    <w:rsid w:val="006348AC"/>
    <w:rsid w:val="0063498B"/>
    <w:rsid w:val="006349E6"/>
    <w:rsid w:val="00634A11"/>
    <w:rsid w:val="00634A24"/>
    <w:rsid w:val="00634AAB"/>
    <w:rsid w:val="00634ACE"/>
    <w:rsid w:val="00634AE4"/>
    <w:rsid w:val="00634B10"/>
    <w:rsid w:val="00634B72"/>
    <w:rsid w:val="00634C35"/>
    <w:rsid w:val="00634D0E"/>
    <w:rsid w:val="00634D6E"/>
    <w:rsid w:val="00634D82"/>
    <w:rsid w:val="00634DFE"/>
    <w:rsid w:val="00634F82"/>
    <w:rsid w:val="00634FC4"/>
    <w:rsid w:val="00635070"/>
    <w:rsid w:val="006350A4"/>
    <w:rsid w:val="00635171"/>
    <w:rsid w:val="006351C4"/>
    <w:rsid w:val="006352F9"/>
    <w:rsid w:val="00635307"/>
    <w:rsid w:val="00635393"/>
    <w:rsid w:val="00635472"/>
    <w:rsid w:val="006354BE"/>
    <w:rsid w:val="0063554F"/>
    <w:rsid w:val="006355D3"/>
    <w:rsid w:val="006356E8"/>
    <w:rsid w:val="0063574D"/>
    <w:rsid w:val="00635761"/>
    <w:rsid w:val="006357ED"/>
    <w:rsid w:val="0063585A"/>
    <w:rsid w:val="0063589F"/>
    <w:rsid w:val="006358D9"/>
    <w:rsid w:val="006358F1"/>
    <w:rsid w:val="0063591A"/>
    <w:rsid w:val="006359E1"/>
    <w:rsid w:val="006359F0"/>
    <w:rsid w:val="00635A25"/>
    <w:rsid w:val="00635A27"/>
    <w:rsid w:val="00635CF4"/>
    <w:rsid w:val="00635CF7"/>
    <w:rsid w:val="00635D55"/>
    <w:rsid w:val="00635D81"/>
    <w:rsid w:val="00635DA9"/>
    <w:rsid w:val="00635E90"/>
    <w:rsid w:val="00635E9F"/>
    <w:rsid w:val="00635EFA"/>
    <w:rsid w:val="00635FCC"/>
    <w:rsid w:val="00635FED"/>
    <w:rsid w:val="00636003"/>
    <w:rsid w:val="00636035"/>
    <w:rsid w:val="0063606A"/>
    <w:rsid w:val="00636081"/>
    <w:rsid w:val="006360C0"/>
    <w:rsid w:val="006360D2"/>
    <w:rsid w:val="00636124"/>
    <w:rsid w:val="006361D7"/>
    <w:rsid w:val="00636281"/>
    <w:rsid w:val="006364C0"/>
    <w:rsid w:val="0063651F"/>
    <w:rsid w:val="0063662C"/>
    <w:rsid w:val="0063665E"/>
    <w:rsid w:val="0063674A"/>
    <w:rsid w:val="0063675D"/>
    <w:rsid w:val="006367D2"/>
    <w:rsid w:val="00636800"/>
    <w:rsid w:val="00636834"/>
    <w:rsid w:val="0063684C"/>
    <w:rsid w:val="0063687E"/>
    <w:rsid w:val="0063687F"/>
    <w:rsid w:val="006368E0"/>
    <w:rsid w:val="0063696C"/>
    <w:rsid w:val="00636987"/>
    <w:rsid w:val="00636A99"/>
    <w:rsid w:val="00636C07"/>
    <w:rsid w:val="00636C1F"/>
    <w:rsid w:val="00636C94"/>
    <w:rsid w:val="00636D34"/>
    <w:rsid w:val="00636D64"/>
    <w:rsid w:val="00636E94"/>
    <w:rsid w:val="00636F91"/>
    <w:rsid w:val="00636FDF"/>
    <w:rsid w:val="00637007"/>
    <w:rsid w:val="006370BE"/>
    <w:rsid w:val="0063711A"/>
    <w:rsid w:val="0063714C"/>
    <w:rsid w:val="006371D3"/>
    <w:rsid w:val="006371DE"/>
    <w:rsid w:val="006372CC"/>
    <w:rsid w:val="006373D9"/>
    <w:rsid w:val="0063744F"/>
    <w:rsid w:val="0063747D"/>
    <w:rsid w:val="0063757A"/>
    <w:rsid w:val="006375B5"/>
    <w:rsid w:val="006375F1"/>
    <w:rsid w:val="006376EA"/>
    <w:rsid w:val="0063773C"/>
    <w:rsid w:val="006377D1"/>
    <w:rsid w:val="006377FE"/>
    <w:rsid w:val="00637861"/>
    <w:rsid w:val="00637912"/>
    <w:rsid w:val="006379BB"/>
    <w:rsid w:val="00637A20"/>
    <w:rsid w:val="00637A92"/>
    <w:rsid w:val="00637B08"/>
    <w:rsid w:val="00637B0B"/>
    <w:rsid w:val="00637B41"/>
    <w:rsid w:val="00637C54"/>
    <w:rsid w:val="00637CAE"/>
    <w:rsid w:val="00637CCD"/>
    <w:rsid w:val="00637CDD"/>
    <w:rsid w:val="00637E21"/>
    <w:rsid w:val="00637E25"/>
    <w:rsid w:val="00637E73"/>
    <w:rsid w:val="00637EA6"/>
    <w:rsid w:val="00637EEC"/>
    <w:rsid w:val="00637EF2"/>
    <w:rsid w:val="00637F43"/>
    <w:rsid w:val="00637F55"/>
    <w:rsid w:val="00640071"/>
    <w:rsid w:val="00640086"/>
    <w:rsid w:val="006400DE"/>
    <w:rsid w:val="00640112"/>
    <w:rsid w:val="0064028E"/>
    <w:rsid w:val="00640298"/>
    <w:rsid w:val="0064034E"/>
    <w:rsid w:val="00640370"/>
    <w:rsid w:val="006403EC"/>
    <w:rsid w:val="0064041F"/>
    <w:rsid w:val="006404A3"/>
    <w:rsid w:val="006404AD"/>
    <w:rsid w:val="006404F8"/>
    <w:rsid w:val="00640522"/>
    <w:rsid w:val="006405A4"/>
    <w:rsid w:val="006405A6"/>
    <w:rsid w:val="006405FD"/>
    <w:rsid w:val="0064060A"/>
    <w:rsid w:val="0064064E"/>
    <w:rsid w:val="0064069E"/>
    <w:rsid w:val="006406A2"/>
    <w:rsid w:val="0064070D"/>
    <w:rsid w:val="0064072A"/>
    <w:rsid w:val="0064072D"/>
    <w:rsid w:val="006407AE"/>
    <w:rsid w:val="006407BD"/>
    <w:rsid w:val="006407ED"/>
    <w:rsid w:val="006409C3"/>
    <w:rsid w:val="006409D5"/>
    <w:rsid w:val="00640A9C"/>
    <w:rsid w:val="00640C2B"/>
    <w:rsid w:val="00640CEA"/>
    <w:rsid w:val="00640D86"/>
    <w:rsid w:val="00640D90"/>
    <w:rsid w:val="00640D92"/>
    <w:rsid w:val="00640DE2"/>
    <w:rsid w:val="00640DFA"/>
    <w:rsid w:val="00640E1E"/>
    <w:rsid w:val="00640E3B"/>
    <w:rsid w:val="00640ED8"/>
    <w:rsid w:val="00640F26"/>
    <w:rsid w:val="006410E2"/>
    <w:rsid w:val="006410EC"/>
    <w:rsid w:val="006411BC"/>
    <w:rsid w:val="006411BE"/>
    <w:rsid w:val="006411F8"/>
    <w:rsid w:val="0064125B"/>
    <w:rsid w:val="006412B1"/>
    <w:rsid w:val="0064144A"/>
    <w:rsid w:val="0064146D"/>
    <w:rsid w:val="0064151C"/>
    <w:rsid w:val="0064158E"/>
    <w:rsid w:val="00641663"/>
    <w:rsid w:val="006416A6"/>
    <w:rsid w:val="006416DF"/>
    <w:rsid w:val="0064187B"/>
    <w:rsid w:val="00641884"/>
    <w:rsid w:val="00641888"/>
    <w:rsid w:val="00641927"/>
    <w:rsid w:val="00641984"/>
    <w:rsid w:val="0064199F"/>
    <w:rsid w:val="006419F9"/>
    <w:rsid w:val="00641A52"/>
    <w:rsid w:val="00641A5F"/>
    <w:rsid w:val="00641A9A"/>
    <w:rsid w:val="00641B5C"/>
    <w:rsid w:val="00641B93"/>
    <w:rsid w:val="00641BC3"/>
    <w:rsid w:val="00641D5C"/>
    <w:rsid w:val="00641D79"/>
    <w:rsid w:val="00641E3A"/>
    <w:rsid w:val="00641E5C"/>
    <w:rsid w:val="006420B4"/>
    <w:rsid w:val="006420F6"/>
    <w:rsid w:val="00642131"/>
    <w:rsid w:val="00642147"/>
    <w:rsid w:val="00642288"/>
    <w:rsid w:val="006422F3"/>
    <w:rsid w:val="00642317"/>
    <w:rsid w:val="006423CB"/>
    <w:rsid w:val="006423DE"/>
    <w:rsid w:val="006424A4"/>
    <w:rsid w:val="0064261F"/>
    <w:rsid w:val="00642642"/>
    <w:rsid w:val="00642750"/>
    <w:rsid w:val="00642838"/>
    <w:rsid w:val="00642843"/>
    <w:rsid w:val="006429C9"/>
    <w:rsid w:val="006429CF"/>
    <w:rsid w:val="006429E5"/>
    <w:rsid w:val="00642A3F"/>
    <w:rsid w:val="00642AC8"/>
    <w:rsid w:val="00642AD6"/>
    <w:rsid w:val="00642AF9"/>
    <w:rsid w:val="00642B90"/>
    <w:rsid w:val="00642C5E"/>
    <w:rsid w:val="00642C6A"/>
    <w:rsid w:val="00642CC6"/>
    <w:rsid w:val="00642D1E"/>
    <w:rsid w:val="00642D4B"/>
    <w:rsid w:val="00642DF8"/>
    <w:rsid w:val="00642E6F"/>
    <w:rsid w:val="00642ECC"/>
    <w:rsid w:val="00642F3C"/>
    <w:rsid w:val="00642F8B"/>
    <w:rsid w:val="00642FCA"/>
    <w:rsid w:val="00643052"/>
    <w:rsid w:val="0064305D"/>
    <w:rsid w:val="0064307C"/>
    <w:rsid w:val="006430D7"/>
    <w:rsid w:val="00643157"/>
    <w:rsid w:val="0064323A"/>
    <w:rsid w:val="0064329B"/>
    <w:rsid w:val="006432FD"/>
    <w:rsid w:val="006433E9"/>
    <w:rsid w:val="0064349C"/>
    <w:rsid w:val="006434D9"/>
    <w:rsid w:val="00643528"/>
    <w:rsid w:val="006435B4"/>
    <w:rsid w:val="006435B7"/>
    <w:rsid w:val="00643690"/>
    <w:rsid w:val="006436A8"/>
    <w:rsid w:val="0064375D"/>
    <w:rsid w:val="00643799"/>
    <w:rsid w:val="006437B0"/>
    <w:rsid w:val="006438B4"/>
    <w:rsid w:val="00643965"/>
    <w:rsid w:val="0064397D"/>
    <w:rsid w:val="00643987"/>
    <w:rsid w:val="00643A0D"/>
    <w:rsid w:val="00643A60"/>
    <w:rsid w:val="00643AD1"/>
    <w:rsid w:val="00643B7B"/>
    <w:rsid w:val="00643B9E"/>
    <w:rsid w:val="00643BA8"/>
    <w:rsid w:val="00643BDB"/>
    <w:rsid w:val="00643C22"/>
    <w:rsid w:val="00643ED6"/>
    <w:rsid w:val="00643F25"/>
    <w:rsid w:val="00643F4D"/>
    <w:rsid w:val="00643F81"/>
    <w:rsid w:val="00644185"/>
    <w:rsid w:val="006442AA"/>
    <w:rsid w:val="006442CB"/>
    <w:rsid w:val="00644412"/>
    <w:rsid w:val="0064445A"/>
    <w:rsid w:val="0064446F"/>
    <w:rsid w:val="006444A4"/>
    <w:rsid w:val="006444F5"/>
    <w:rsid w:val="00644589"/>
    <w:rsid w:val="006445B6"/>
    <w:rsid w:val="00644671"/>
    <w:rsid w:val="006446AB"/>
    <w:rsid w:val="006447B6"/>
    <w:rsid w:val="006447DF"/>
    <w:rsid w:val="006447F5"/>
    <w:rsid w:val="00644A23"/>
    <w:rsid w:val="00644A6A"/>
    <w:rsid w:val="00644B2C"/>
    <w:rsid w:val="00644BCE"/>
    <w:rsid w:val="00644C2F"/>
    <w:rsid w:val="00644C83"/>
    <w:rsid w:val="00644D44"/>
    <w:rsid w:val="00644DA3"/>
    <w:rsid w:val="00644E03"/>
    <w:rsid w:val="00644EC4"/>
    <w:rsid w:val="00644ECA"/>
    <w:rsid w:val="00644F2F"/>
    <w:rsid w:val="00644F55"/>
    <w:rsid w:val="00644F7D"/>
    <w:rsid w:val="00644FC1"/>
    <w:rsid w:val="00645175"/>
    <w:rsid w:val="00645309"/>
    <w:rsid w:val="0064531E"/>
    <w:rsid w:val="0064535C"/>
    <w:rsid w:val="006453E4"/>
    <w:rsid w:val="00645409"/>
    <w:rsid w:val="0064540C"/>
    <w:rsid w:val="0064542B"/>
    <w:rsid w:val="0064542D"/>
    <w:rsid w:val="00645463"/>
    <w:rsid w:val="00645591"/>
    <w:rsid w:val="006455EE"/>
    <w:rsid w:val="006455F1"/>
    <w:rsid w:val="00645611"/>
    <w:rsid w:val="00645642"/>
    <w:rsid w:val="00645693"/>
    <w:rsid w:val="00645810"/>
    <w:rsid w:val="00645843"/>
    <w:rsid w:val="006458DB"/>
    <w:rsid w:val="00645931"/>
    <w:rsid w:val="00645933"/>
    <w:rsid w:val="0064593C"/>
    <w:rsid w:val="00645946"/>
    <w:rsid w:val="006459F9"/>
    <w:rsid w:val="006459FA"/>
    <w:rsid w:val="00645A95"/>
    <w:rsid w:val="00645B24"/>
    <w:rsid w:val="00645B4B"/>
    <w:rsid w:val="00645B4E"/>
    <w:rsid w:val="00645BAF"/>
    <w:rsid w:val="00645BB8"/>
    <w:rsid w:val="00645C64"/>
    <w:rsid w:val="00645C9B"/>
    <w:rsid w:val="00645D7E"/>
    <w:rsid w:val="00645DD0"/>
    <w:rsid w:val="00645F9F"/>
    <w:rsid w:val="0064607A"/>
    <w:rsid w:val="00646152"/>
    <w:rsid w:val="006461EC"/>
    <w:rsid w:val="00646246"/>
    <w:rsid w:val="006462E9"/>
    <w:rsid w:val="006462ED"/>
    <w:rsid w:val="00646381"/>
    <w:rsid w:val="006463C2"/>
    <w:rsid w:val="00646434"/>
    <w:rsid w:val="006464C2"/>
    <w:rsid w:val="006464E7"/>
    <w:rsid w:val="00646568"/>
    <w:rsid w:val="006465DF"/>
    <w:rsid w:val="00646674"/>
    <w:rsid w:val="0064668F"/>
    <w:rsid w:val="006467AF"/>
    <w:rsid w:val="006467DE"/>
    <w:rsid w:val="006468C7"/>
    <w:rsid w:val="006469AB"/>
    <w:rsid w:val="00646A3D"/>
    <w:rsid w:val="00646A74"/>
    <w:rsid w:val="00646B3D"/>
    <w:rsid w:val="00646D27"/>
    <w:rsid w:val="00646D53"/>
    <w:rsid w:val="00646D86"/>
    <w:rsid w:val="00646FE1"/>
    <w:rsid w:val="00647011"/>
    <w:rsid w:val="00647155"/>
    <w:rsid w:val="006471B5"/>
    <w:rsid w:val="0064729B"/>
    <w:rsid w:val="0064755B"/>
    <w:rsid w:val="00647599"/>
    <w:rsid w:val="006475BD"/>
    <w:rsid w:val="00647657"/>
    <w:rsid w:val="006477EF"/>
    <w:rsid w:val="00647877"/>
    <w:rsid w:val="006478B5"/>
    <w:rsid w:val="0064793A"/>
    <w:rsid w:val="00647989"/>
    <w:rsid w:val="00647A6D"/>
    <w:rsid w:val="00647B90"/>
    <w:rsid w:val="00647CA5"/>
    <w:rsid w:val="00647CA9"/>
    <w:rsid w:val="00647D0A"/>
    <w:rsid w:val="00647D2C"/>
    <w:rsid w:val="00647D87"/>
    <w:rsid w:val="00647E06"/>
    <w:rsid w:val="00647EDE"/>
    <w:rsid w:val="00647EEC"/>
    <w:rsid w:val="006500DE"/>
    <w:rsid w:val="0065013D"/>
    <w:rsid w:val="0065024B"/>
    <w:rsid w:val="0065047F"/>
    <w:rsid w:val="006504DA"/>
    <w:rsid w:val="00650512"/>
    <w:rsid w:val="00650527"/>
    <w:rsid w:val="00650549"/>
    <w:rsid w:val="006506A1"/>
    <w:rsid w:val="00650729"/>
    <w:rsid w:val="006507DA"/>
    <w:rsid w:val="00650838"/>
    <w:rsid w:val="0065089F"/>
    <w:rsid w:val="00650912"/>
    <w:rsid w:val="00650926"/>
    <w:rsid w:val="006509A2"/>
    <w:rsid w:val="006509C8"/>
    <w:rsid w:val="00650AB8"/>
    <w:rsid w:val="00650ACB"/>
    <w:rsid w:val="00650AF1"/>
    <w:rsid w:val="00650BD2"/>
    <w:rsid w:val="00650BDB"/>
    <w:rsid w:val="00650C52"/>
    <w:rsid w:val="00650C84"/>
    <w:rsid w:val="00650CCC"/>
    <w:rsid w:val="00650D2D"/>
    <w:rsid w:val="00650E9C"/>
    <w:rsid w:val="00650ED1"/>
    <w:rsid w:val="00650F40"/>
    <w:rsid w:val="00650FBF"/>
    <w:rsid w:val="0065104A"/>
    <w:rsid w:val="00651052"/>
    <w:rsid w:val="006510A8"/>
    <w:rsid w:val="00651140"/>
    <w:rsid w:val="00651160"/>
    <w:rsid w:val="0065128C"/>
    <w:rsid w:val="00651300"/>
    <w:rsid w:val="0065130C"/>
    <w:rsid w:val="0065134C"/>
    <w:rsid w:val="0065137F"/>
    <w:rsid w:val="006513CF"/>
    <w:rsid w:val="00651430"/>
    <w:rsid w:val="00651492"/>
    <w:rsid w:val="006514B1"/>
    <w:rsid w:val="006514BA"/>
    <w:rsid w:val="006514EC"/>
    <w:rsid w:val="0065151F"/>
    <w:rsid w:val="0065154C"/>
    <w:rsid w:val="0065159C"/>
    <w:rsid w:val="0065161A"/>
    <w:rsid w:val="00651652"/>
    <w:rsid w:val="00651706"/>
    <w:rsid w:val="00651738"/>
    <w:rsid w:val="00651755"/>
    <w:rsid w:val="00651769"/>
    <w:rsid w:val="006517D6"/>
    <w:rsid w:val="00651957"/>
    <w:rsid w:val="00651A33"/>
    <w:rsid w:val="00651A3A"/>
    <w:rsid w:val="00651AEE"/>
    <w:rsid w:val="00651B17"/>
    <w:rsid w:val="00651B9A"/>
    <w:rsid w:val="00651C0C"/>
    <w:rsid w:val="00651C7D"/>
    <w:rsid w:val="00651C82"/>
    <w:rsid w:val="00651D13"/>
    <w:rsid w:val="00651D39"/>
    <w:rsid w:val="00651DBD"/>
    <w:rsid w:val="00651FFA"/>
    <w:rsid w:val="0065217D"/>
    <w:rsid w:val="006521BA"/>
    <w:rsid w:val="006524D4"/>
    <w:rsid w:val="006524ED"/>
    <w:rsid w:val="00652540"/>
    <w:rsid w:val="0065257A"/>
    <w:rsid w:val="006525CC"/>
    <w:rsid w:val="00652702"/>
    <w:rsid w:val="00652713"/>
    <w:rsid w:val="0065277D"/>
    <w:rsid w:val="0065277E"/>
    <w:rsid w:val="00652793"/>
    <w:rsid w:val="006527CB"/>
    <w:rsid w:val="006527FF"/>
    <w:rsid w:val="00652881"/>
    <w:rsid w:val="00652986"/>
    <w:rsid w:val="006529BD"/>
    <w:rsid w:val="00652A8A"/>
    <w:rsid w:val="00652A94"/>
    <w:rsid w:val="00652B97"/>
    <w:rsid w:val="00652C71"/>
    <w:rsid w:val="00652C72"/>
    <w:rsid w:val="00652CE3"/>
    <w:rsid w:val="00652CF7"/>
    <w:rsid w:val="00652D10"/>
    <w:rsid w:val="00652D5B"/>
    <w:rsid w:val="00652EA7"/>
    <w:rsid w:val="00652EAB"/>
    <w:rsid w:val="00652EF1"/>
    <w:rsid w:val="00652F83"/>
    <w:rsid w:val="00652FE4"/>
    <w:rsid w:val="006530E4"/>
    <w:rsid w:val="006531EF"/>
    <w:rsid w:val="00653231"/>
    <w:rsid w:val="006532FF"/>
    <w:rsid w:val="0065333C"/>
    <w:rsid w:val="006533CB"/>
    <w:rsid w:val="00653486"/>
    <w:rsid w:val="00653497"/>
    <w:rsid w:val="0065361A"/>
    <w:rsid w:val="00653644"/>
    <w:rsid w:val="00653673"/>
    <w:rsid w:val="00653739"/>
    <w:rsid w:val="006537DD"/>
    <w:rsid w:val="006537F6"/>
    <w:rsid w:val="00653882"/>
    <w:rsid w:val="006538B5"/>
    <w:rsid w:val="006539A3"/>
    <w:rsid w:val="006539F1"/>
    <w:rsid w:val="00653AB2"/>
    <w:rsid w:val="00653B12"/>
    <w:rsid w:val="00653B3C"/>
    <w:rsid w:val="00653B86"/>
    <w:rsid w:val="00653C52"/>
    <w:rsid w:val="00653C75"/>
    <w:rsid w:val="00653D4F"/>
    <w:rsid w:val="00653E01"/>
    <w:rsid w:val="00653E04"/>
    <w:rsid w:val="00653E16"/>
    <w:rsid w:val="00653EA5"/>
    <w:rsid w:val="00653F42"/>
    <w:rsid w:val="00653FB3"/>
    <w:rsid w:val="00653FED"/>
    <w:rsid w:val="00653FF8"/>
    <w:rsid w:val="00653FFE"/>
    <w:rsid w:val="0065402C"/>
    <w:rsid w:val="00654032"/>
    <w:rsid w:val="00654040"/>
    <w:rsid w:val="0065411B"/>
    <w:rsid w:val="0065412B"/>
    <w:rsid w:val="0065432E"/>
    <w:rsid w:val="006543F1"/>
    <w:rsid w:val="006544F3"/>
    <w:rsid w:val="006544FB"/>
    <w:rsid w:val="00654554"/>
    <w:rsid w:val="00654585"/>
    <w:rsid w:val="006545FB"/>
    <w:rsid w:val="0065461C"/>
    <w:rsid w:val="00654671"/>
    <w:rsid w:val="006546A7"/>
    <w:rsid w:val="006546AD"/>
    <w:rsid w:val="006546DE"/>
    <w:rsid w:val="006546F5"/>
    <w:rsid w:val="0065470C"/>
    <w:rsid w:val="0065472D"/>
    <w:rsid w:val="006547A0"/>
    <w:rsid w:val="006547AA"/>
    <w:rsid w:val="006547D5"/>
    <w:rsid w:val="006547D6"/>
    <w:rsid w:val="006547FE"/>
    <w:rsid w:val="00654816"/>
    <w:rsid w:val="00654817"/>
    <w:rsid w:val="00654A78"/>
    <w:rsid w:val="00654B18"/>
    <w:rsid w:val="00654B6C"/>
    <w:rsid w:val="00654F81"/>
    <w:rsid w:val="00654F9D"/>
    <w:rsid w:val="0065506F"/>
    <w:rsid w:val="00655080"/>
    <w:rsid w:val="006550C1"/>
    <w:rsid w:val="006550CF"/>
    <w:rsid w:val="006551AC"/>
    <w:rsid w:val="006551F1"/>
    <w:rsid w:val="00655270"/>
    <w:rsid w:val="006552CB"/>
    <w:rsid w:val="006552FB"/>
    <w:rsid w:val="00655321"/>
    <w:rsid w:val="00655336"/>
    <w:rsid w:val="00655343"/>
    <w:rsid w:val="006553A1"/>
    <w:rsid w:val="0065545D"/>
    <w:rsid w:val="00655495"/>
    <w:rsid w:val="006555AF"/>
    <w:rsid w:val="0065562B"/>
    <w:rsid w:val="00655718"/>
    <w:rsid w:val="0065579A"/>
    <w:rsid w:val="006557B7"/>
    <w:rsid w:val="006557F4"/>
    <w:rsid w:val="006559C1"/>
    <w:rsid w:val="006559C3"/>
    <w:rsid w:val="00655AAA"/>
    <w:rsid w:val="00655B2B"/>
    <w:rsid w:val="00655B49"/>
    <w:rsid w:val="00655B67"/>
    <w:rsid w:val="00655D39"/>
    <w:rsid w:val="00655DDB"/>
    <w:rsid w:val="00655E07"/>
    <w:rsid w:val="00655E9E"/>
    <w:rsid w:val="00655EEE"/>
    <w:rsid w:val="00655F07"/>
    <w:rsid w:val="00655F5C"/>
    <w:rsid w:val="00655FE2"/>
    <w:rsid w:val="00656067"/>
    <w:rsid w:val="006560F4"/>
    <w:rsid w:val="00656149"/>
    <w:rsid w:val="0065614E"/>
    <w:rsid w:val="0065618C"/>
    <w:rsid w:val="006562F5"/>
    <w:rsid w:val="00656316"/>
    <w:rsid w:val="00656369"/>
    <w:rsid w:val="006563A6"/>
    <w:rsid w:val="006563D3"/>
    <w:rsid w:val="0065643A"/>
    <w:rsid w:val="00656469"/>
    <w:rsid w:val="006564BD"/>
    <w:rsid w:val="006564FA"/>
    <w:rsid w:val="00656571"/>
    <w:rsid w:val="0065657F"/>
    <w:rsid w:val="006565CB"/>
    <w:rsid w:val="006565F1"/>
    <w:rsid w:val="006565F7"/>
    <w:rsid w:val="00656634"/>
    <w:rsid w:val="006566BC"/>
    <w:rsid w:val="0065672E"/>
    <w:rsid w:val="00656763"/>
    <w:rsid w:val="00656783"/>
    <w:rsid w:val="00656999"/>
    <w:rsid w:val="00656A23"/>
    <w:rsid w:val="00656A67"/>
    <w:rsid w:val="00656A8A"/>
    <w:rsid w:val="00656B65"/>
    <w:rsid w:val="00656BAE"/>
    <w:rsid w:val="00656C43"/>
    <w:rsid w:val="00656C65"/>
    <w:rsid w:val="00656C9B"/>
    <w:rsid w:val="00656DA2"/>
    <w:rsid w:val="00656EEE"/>
    <w:rsid w:val="00656F28"/>
    <w:rsid w:val="00656F3B"/>
    <w:rsid w:val="00657015"/>
    <w:rsid w:val="006570F9"/>
    <w:rsid w:val="00657197"/>
    <w:rsid w:val="006571BF"/>
    <w:rsid w:val="006571C5"/>
    <w:rsid w:val="00657213"/>
    <w:rsid w:val="00657242"/>
    <w:rsid w:val="00657574"/>
    <w:rsid w:val="006575FD"/>
    <w:rsid w:val="0065760C"/>
    <w:rsid w:val="0065766F"/>
    <w:rsid w:val="00657776"/>
    <w:rsid w:val="00657790"/>
    <w:rsid w:val="006577A1"/>
    <w:rsid w:val="006577D5"/>
    <w:rsid w:val="006577F1"/>
    <w:rsid w:val="0065782F"/>
    <w:rsid w:val="0065789D"/>
    <w:rsid w:val="006579B4"/>
    <w:rsid w:val="00657A4A"/>
    <w:rsid w:val="00657A99"/>
    <w:rsid w:val="00657B08"/>
    <w:rsid w:val="00657C38"/>
    <w:rsid w:val="00657D5F"/>
    <w:rsid w:val="00657D7A"/>
    <w:rsid w:val="00657E15"/>
    <w:rsid w:val="00657EAD"/>
    <w:rsid w:val="00657F62"/>
    <w:rsid w:val="00657FE5"/>
    <w:rsid w:val="00660180"/>
    <w:rsid w:val="006601B2"/>
    <w:rsid w:val="006601D1"/>
    <w:rsid w:val="006601EA"/>
    <w:rsid w:val="0066020A"/>
    <w:rsid w:val="0066023F"/>
    <w:rsid w:val="0066028C"/>
    <w:rsid w:val="006602DB"/>
    <w:rsid w:val="006602E8"/>
    <w:rsid w:val="0066033D"/>
    <w:rsid w:val="006603DD"/>
    <w:rsid w:val="0066043E"/>
    <w:rsid w:val="00660456"/>
    <w:rsid w:val="0066055F"/>
    <w:rsid w:val="0066069F"/>
    <w:rsid w:val="00660799"/>
    <w:rsid w:val="00660927"/>
    <w:rsid w:val="006609EB"/>
    <w:rsid w:val="00660A32"/>
    <w:rsid w:val="00660B36"/>
    <w:rsid w:val="00660BD0"/>
    <w:rsid w:val="00660C04"/>
    <w:rsid w:val="00660C06"/>
    <w:rsid w:val="00660CBC"/>
    <w:rsid w:val="00660D1F"/>
    <w:rsid w:val="00660D81"/>
    <w:rsid w:val="00660DD6"/>
    <w:rsid w:val="00660DDD"/>
    <w:rsid w:val="00660E1F"/>
    <w:rsid w:val="00660F69"/>
    <w:rsid w:val="00660FEE"/>
    <w:rsid w:val="00661160"/>
    <w:rsid w:val="00661213"/>
    <w:rsid w:val="006612E5"/>
    <w:rsid w:val="006613FA"/>
    <w:rsid w:val="0066145A"/>
    <w:rsid w:val="0066150D"/>
    <w:rsid w:val="006615E4"/>
    <w:rsid w:val="0066163B"/>
    <w:rsid w:val="00661739"/>
    <w:rsid w:val="00661745"/>
    <w:rsid w:val="0066180C"/>
    <w:rsid w:val="00661872"/>
    <w:rsid w:val="006618C4"/>
    <w:rsid w:val="006619D2"/>
    <w:rsid w:val="006619EC"/>
    <w:rsid w:val="006619F9"/>
    <w:rsid w:val="00661A69"/>
    <w:rsid w:val="00661AC8"/>
    <w:rsid w:val="00661B84"/>
    <w:rsid w:val="00661CCA"/>
    <w:rsid w:val="00661D57"/>
    <w:rsid w:val="00661E58"/>
    <w:rsid w:val="00661EBE"/>
    <w:rsid w:val="00661F65"/>
    <w:rsid w:val="00662050"/>
    <w:rsid w:val="006620BA"/>
    <w:rsid w:val="006620BB"/>
    <w:rsid w:val="00662114"/>
    <w:rsid w:val="006621BB"/>
    <w:rsid w:val="00662209"/>
    <w:rsid w:val="0066225B"/>
    <w:rsid w:val="00662275"/>
    <w:rsid w:val="0066238D"/>
    <w:rsid w:val="00662395"/>
    <w:rsid w:val="00662412"/>
    <w:rsid w:val="00662416"/>
    <w:rsid w:val="0066244E"/>
    <w:rsid w:val="0066249B"/>
    <w:rsid w:val="006624B9"/>
    <w:rsid w:val="006624BB"/>
    <w:rsid w:val="0066250D"/>
    <w:rsid w:val="00662528"/>
    <w:rsid w:val="00662564"/>
    <w:rsid w:val="0066259A"/>
    <w:rsid w:val="00662680"/>
    <w:rsid w:val="006626D7"/>
    <w:rsid w:val="006627A3"/>
    <w:rsid w:val="006627D7"/>
    <w:rsid w:val="00662887"/>
    <w:rsid w:val="006628E7"/>
    <w:rsid w:val="00662940"/>
    <w:rsid w:val="0066296E"/>
    <w:rsid w:val="006629D3"/>
    <w:rsid w:val="00662AAF"/>
    <w:rsid w:val="00662ACA"/>
    <w:rsid w:val="00662B06"/>
    <w:rsid w:val="00662B46"/>
    <w:rsid w:val="00662C90"/>
    <w:rsid w:val="00662D0D"/>
    <w:rsid w:val="00662DC7"/>
    <w:rsid w:val="00662DFB"/>
    <w:rsid w:val="00662ED6"/>
    <w:rsid w:val="00662FB8"/>
    <w:rsid w:val="0066306C"/>
    <w:rsid w:val="006630F9"/>
    <w:rsid w:val="00663161"/>
    <w:rsid w:val="0066325C"/>
    <w:rsid w:val="00663321"/>
    <w:rsid w:val="006633D4"/>
    <w:rsid w:val="00663423"/>
    <w:rsid w:val="00663426"/>
    <w:rsid w:val="00663449"/>
    <w:rsid w:val="0066345F"/>
    <w:rsid w:val="0066347D"/>
    <w:rsid w:val="00663495"/>
    <w:rsid w:val="00663660"/>
    <w:rsid w:val="006638DB"/>
    <w:rsid w:val="006638EF"/>
    <w:rsid w:val="0066395A"/>
    <w:rsid w:val="00663960"/>
    <w:rsid w:val="00663C1E"/>
    <w:rsid w:val="00663C69"/>
    <w:rsid w:val="00663D5C"/>
    <w:rsid w:val="00663DAB"/>
    <w:rsid w:val="00663DE9"/>
    <w:rsid w:val="00663DFA"/>
    <w:rsid w:val="00663E06"/>
    <w:rsid w:val="00663E64"/>
    <w:rsid w:val="00663F0E"/>
    <w:rsid w:val="00663F2D"/>
    <w:rsid w:val="00663F9E"/>
    <w:rsid w:val="00664223"/>
    <w:rsid w:val="00664257"/>
    <w:rsid w:val="006642E5"/>
    <w:rsid w:val="0066441A"/>
    <w:rsid w:val="00664443"/>
    <w:rsid w:val="00664529"/>
    <w:rsid w:val="00664736"/>
    <w:rsid w:val="00664787"/>
    <w:rsid w:val="0066478B"/>
    <w:rsid w:val="006647A9"/>
    <w:rsid w:val="006647D0"/>
    <w:rsid w:val="006648CA"/>
    <w:rsid w:val="00664940"/>
    <w:rsid w:val="006649AE"/>
    <w:rsid w:val="006649D8"/>
    <w:rsid w:val="00664A5B"/>
    <w:rsid w:val="00664BC9"/>
    <w:rsid w:val="00664C00"/>
    <w:rsid w:val="00664C63"/>
    <w:rsid w:val="00664CB1"/>
    <w:rsid w:val="00664CFC"/>
    <w:rsid w:val="00664DA1"/>
    <w:rsid w:val="00664E0A"/>
    <w:rsid w:val="00664E51"/>
    <w:rsid w:val="0066500A"/>
    <w:rsid w:val="00665096"/>
    <w:rsid w:val="00665161"/>
    <w:rsid w:val="0066519E"/>
    <w:rsid w:val="00665249"/>
    <w:rsid w:val="006652F1"/>
    <w:rsid w:val="00665338"/>
    <w:rsid w:val="00665340"/>
    <w:rsid w:val="00665391"/>
    <w:rsid w:val="006654B3"/>
    <w:rsid w:val="006654E7"/>
    <w:rsid w:val="00665515"/>
    <w:rsid w:val="006656F4"/>
    <w:rsid w:val="0066574E"/>
    <w:rsid w:val="00665790"/>
    <w:rsid w:val="0066579C"/>
    <w:rsid w:val="00665894"/>
    <w:rsid w:val="006658E0"/>
    <w:rsid w:val="0066594B"/>
    <w:rsid w:val="006659FF"/>
    <w:rsid w:val="00665A21"/>
    <w:rsid w:val="00665A70"/>
    <w:rsid w:val="00665A74"/>
    <w:rsid w:val="00665BA8"/>
    <w:rsid w:val="00665BB7"/>
    <w:rsid w:val="00665C6A"/>
    <w:rsid w:val="00665D91"/>
    <w:rsid w:val="00665DED"/>
    <w:rsid w:val="00665E6B"/>
    <w:rsid w:val="00665E7F"/>
    <w:rsid w:val="00665EA3"/>
    <w:rsid w:val="00665F3E"/>
    <w:rsid w:val="00665FD4"/>
    <w:rsid w:val="0066602E"/>
    <w:rsid w:val="006660D7"/>
    <w:rsid w:val="0066610D"/>
    <w:rsid w:val="00666218"/>
    <w:rsid w:val="006662DF"/>
    <w:rsid w:val="00666324"/>
    <w:rsid w:val="00666326"/>
    <w:rsid w:val="006663AE"/>
    <w:rsid w:val="006664D1"/>
    <w:rsid w:val="006665BF"/>
    <w:rsid w:val="006665FA"/>
    <w:rsid w:val="0066665D"/>
    <w:rsid w:val="00666676"/>
    <w:rsid w:val="0066679E"/>
    <w:rsid w:val="00666861"/>
    <w:rsid w:val="0066688F"/>
    <w:rsid w:val="006668E9"/>
    <w:rsid w:val="00666929"/>
    <w:rsid w:val="0066696E"/>
    <w:rsid w:val="006669AA"/>
    <w:rsid w:val="006669D8"/>
    <w:rsid w:val="00666A32"/>
    <w:rsid w:val="00666AF1"/>
    <w:rsid w:val="00666B4D"/>
    <w:rsid w:val="00666B64"/>
    <w:rsid w:val="00666BA0"/>
    <w:rsid w:val="00666CBB"/>
    <w:rsid w:val="00666CD8"/>
    <w:rsid w:val="00666D20"/>
    <w:rsid w:val="00666D49"/>
    <w:rsid w:val="00666D9F"/>
    <w:rsid w:val="00666F21"/>
    <w:rsid w:val="00666FB3"/>
    <w:rsid w:val="00667090"/>
    <w:rsid w:val="00667304"/>
    <w:rsid w:val="00667330"/>
    <w:rsid w:val="006673CC"/>
    <w:rsid w:val="006673F1"/>
    <w:rsid w:val="00667427"/>
    <w:rsid w:val="00667446"/>
    <w:rsid w:val="006674F4"/>
    <w:rsid w:val="00667514"/>
    <w:rsid w:val="0066753B"/>
    <w:rsid w:val="006675C0"/>
    <w:rsid w:val="0066764D"/>
    <w:rsid w:val="00667662"/>
    <w:rsid w:val="0066769D"/>
    <w:rsid w:val="0066769E"/>
    <w:rsid w:val="006678EC"/>
    <w:rsid w:val="00667913"/>
    <w:rsid w:val="00667952"/>
    <w:rsid w:val="0066795E"/>
    <w:rsid w:val="006679D9"/>
    <w:rsid w:val="006679E2"/>
    <w:rsid w:val="00667A1D"/>
    <w:rsid w:val="00667A68"/>
    <w:rsid w:val="00667ADA"/>
    <w:rsid w:val="00667ADB"/>
    <w:rsid w:val="00667AFC"/>
    <w:rsid w:val="00667B2B"/>
    <w:rsid w:val="00667B73"/>
    <w:rsid w:val="00667C44"/>
    <w:rsid w:val="00667C98"/>
    <w:rsid w:val="00667CF8"/>
    <w:rsid w:val="00667DC0"/>
    <w:rsid w:val="00667DF9"/>
    <w:rsid w:val="00667E47"/>
    <w:rsid w:val="00667EC8"/>
    <w:rsid w:val="00667F24"/>
    <w:rsid w:val="00667F42"/>
    <w:rsid w:val="00667F89"/>
    <w:rsid w:val="006700E8"/>
    <w:rsid w:val="006700EA"/>
    <w:rsid w:val="006700FE"/>
    <w:rsid w:val="0067021D"/>
    <w:rsid w:val="00670244"/>
    <w:rsid w:val="00670255"/>
    <w:rsid w:val="006702BC"/>
    <w:rsid w:val="00670314"/>
    <w:rsid w:val="00670349"/>
    <w:rsid w:val="00670351"/>
    <w:rsid w:val="00670360"/>
    <w:rsid w:val="00670390"/>
    <w:rsid w:val="006703DE"/>
    <w:rsid w:val="00670448"/>
    <w:rsid w:val="006704DF"/>
    <w:rsid w:val="0067050F"/>
    <w:rsid w:val="0067055A"/>
    <w:rsid w:val="006705E9"/>
    <w:rsid w:val="00670600"/>
    <w:rsid w:val="00670608"/>
    <w:rsid w:val="00670642"/>
    <w:rsid w:val="00670772"/>
    <w:rsid w:val="006707B0"/>
    <w:rsid w:val="006707CD"/>
    <w:rsid w:val="00670883"/>
    <w:rsid w:val="006708A1"/>
    <w:rsid w:val="006708EE"/>
    <w:rsid w:val="00670906"/>
    <w:rsid w:val="0067095A"/>
    <w:rsid w:val="00670974"/>
    <w:rsid w:val="006709FC"/>
    <w:rsid w:val="00670A74"/>
    <w:rsid w:val="00670A7F"/>
    <w:rsid w:val="00670AB6"/>
    <w:rsid w:val="00670AE9"/>
    <w:rsid w:val="00670AED"/>
    <w:rsid w:val="00670BA8"/>
    <w:rsid w:val="00670BBB"/>
    <w:rsid w:val="00670CCF"/>
    <w:rsid w:val="00670CF5"/>
    <w:rsid w:val="00670D94"/>
    <w:rsid w:val="00670DB4"/>
    <w:rsid w:val="00670E2B"/>
    <w:rsid w:val="00670E34"/>
    <w:rsid w:val="00670E90"/>
    <w:rsid w:val="00670F19"/>
    <w:rsid w:val="00670FD4"/>
    <w:rsid w:val="006710F5"/>
    <w:rsid w:val="0067118B"/>
    <w:rsid w:val="006711B8"/>
    <w:rsid w:val="00671207"/>
    <w:rsid w:val="00671277"/>
    <w:rsid w:val="006712FB"/>
    <w:rsid w:val="00671358"/>
    <w:rsid w:val="00671371"/>
    <w:rsid w:val="006713D4"/>
    <w:rsid w:val="0067142A"/>
    <w:rsid w:val="0067143F"/>
    <w:rsid w:val="00671466"/>
    <w:rsid w:val="00671481"/>
    <w:rsid w:val="006716B6"/>
    <w:rsid w:val="0067180C"/>
    <w:rsid w:val="00671858"/>
    <w:rsid w:val="00671884"/>
    <w:rsid w:val="006718AF"/>
    <w:rsid w:val="006718CE"/>
    <w:rsid w:val="0067190D"/>
    <w:rsid w:val="006719E9"/>
    <w:rsid w:val="00671B38"/>
    <w:rsid w:val="00671B41"/>
    <w:rsid w:val="00671C61"/>
    <w:rsid w:val="00671C98"/>
    <w:rsid w:val="00671CFB"/>
    <w:rsid w:val="00671D21"/>
    <w:rsid w:val="00671D9A"/>
    <w:rsid w:val="00671E40"/>
    <w:rsid w:val="00671E66"/>
    <w:rsid w:val="00671F11"/>
    <w:rsid w:val="00671F5A"/>
    <w:rsid w:val="00671FA9"/>
    <w:rsid w:val="00672028"/>
    <w:rsid w:val="00672054"/>
    <w:rsid w:val="006720C6"/>
    <w:rsid w:val="006720D6"/>
    <w:rsid w:val="00672125"/>
    <w:rsid w:val="00672165"/>
    <w:rsid w:val="006721A4"/>
    <w:rsid w:val="0067225B"/>
    <w:rsid w:val="006722D4"/>
    <w:rsid w:val="00672379"/>
    <w:rsid w:val="0067239D"/>
    <w:rsid w:val="006723C5"/>
    <w:rsid w:val="006723CC"/>
    <w:rsid w:val="006723F1"/>
    <w:rsid w:val="00672426"/>
    <w:rsid w:val="00672439"/>
    <w:rsid w:val="0067247C"/>
    <w:rsid w:val="006724D7"/>
    <w:rsid w:val="006724DC"/>
    <w:rsid w:val="00672510"/>
    <w:rsid w:val="0067251C"/>
    <w:rsid w:val="006726AF"/>
    <w:rsid w:val="00672719"/>
    <w:rsid w:val="0067276A"/>
    <w:rsid w:val="0067278E"/>
    <w:rsid w:val="006728A4"/>
    <w:rsid w:val="0067291B"/>
    <w:rsid w:val="0067292C"/>
    <w:rsid w:val="006729A9"/>
    <w:rsid w:val="00672A4F"/>
    <w:rsid w:val="00672AAE"/>
    <w:rsid w:val="00672AED"/>
    <w:rsid w:val="00672BD7"/>
    <w:rsid w:val="00672CBB"/>
    <w:rsid w:val="00672CC4"/>
    <w:rsid w:val="00672CD5"/>
    <w:rsid w:val="00672D71"/>
    <w:rsid w:val="00672E4D"/>
    <w:rsid w:val="00672FCE"/>
    <w:rsid w:val="006731E3"/>
    <w:rsid w:val="00673202"/>
    <w:rsid w:val="00673218"/>
    <w:rsid w:val="006732BC"/>
    <w:rsid w:val="00673405"/>
    <w:rsid w:val="006734AF"/>
    <w:rsid w:val="006734F1"/>
    <w:rsid w:val="006735CB"/>
    <w:rsid w:val="006735F9"/>
    <w:rsid w:val="00673620"/>
    <w:rsid w:val="0067366E"/>
    <w:rsid w:val="00673706"/>
    <w:rsid w:val="0067373E"/>
    <w:rsid w:val="0067376C"/>
    <w:rsid w:val="0067378C"/>
    <w:rsid w:val="00673791"/>
    <w:rsid w:val="006737D6"/>
    <w:rsid w:val="006737F9"/>
    <w:rsid w:val="0067383D"/>
    <w:rsid w:val="00673843"/>
    <w:rsid w:val="006739EF"/>
    <w:rsid w:val="00673A74"/>
    <w:rsid w:val="00673AA0"/>
    <w:rsid w:val="00673AE0"/>
    <w:rsid w:val="00673AF7"/>
    <w:rsid w:val="00673BDA"/>
    <w:rsid w:val="00673C7A"/>
    <w:rsid w:val="00673CB2"/>
    <w:rsid w:val="00673CE9"/>
    <w:rsid w:val="00673D41"/>
    <w:rsid w:val="00673D93"/>
    <w:rsid w:val="00673E2E"/>
    <w:rsid w:val="00673E89"/>
    <w:rsid w:val="00673EE9"/>
    <w:rsid w:val="00673F96"/>
    <w:rsid w:val="0067410C"/>
    <w:rsid w:val="0067413D"/>
    <w:rsid w:val="0067423B"/>
    <w:rsid w:val="00674288"/>
    <w:rsid w:val="0067439F"/>
    <w:rsid w:val="0067444E"/>
    <w:rsid w:val="006745EC"/>
    <w:rsid w:val="006745FC"/>
    <w:rsid w:val="00674617"/>
    <w:rsid w:val="00674676"/>
    <w:rsid w:val="006746BA"/>
    <w:rsid w:val="006746DC"/>
    <w:rsid w:val="00674776"/>
    <w:rsid w:val="00674786"/>
    <w:rsid w:val="006749AB"/>
    <w:rsid w:val="006749F6"/>
    <w:rsid w:val="00674A14"/>
    <w:rsid w:val="00674A8D"/>
    <w:rsid w:val="00674AC4"/>
    <w:rsid w:val="00674AE0"/>
    <w:rsid w:val="00674AF9"/>
    <w:rsid w:val="00674BAC"/>
    <w:rsid w:val="00674BC8"/>
    <w:rsid w:val="00675062"/>
    <w:rsid w:val="0067511E"/>
    <w:rsid w:val="006751D9"/>
    <w:rsid w:val="0067525A"/>
    <w:rsid w:val="0067544B"/>
    <w:rsid w:val="00675561"/>
    <w:rsid w:val="006755C0"/>
    <w:rsid w:val="006755F7"/>
    <w:rsid w:val="00675661"/>
    <w:rsid w:val="00675694"/>
    <w:rsid w:val="00675704"/>
    <w:rsid w:val="0067572D"/>
    <w:rsid w:val="006757B0"/>
    <w:rsid w:val="006757B4"/>
    <w:rsid w:val="006757DF"/>
    <w:rsid w:val="0067584C"/>
    <w:rsid w:val="0067586E"/>
    <w:rsid w:val="006759FD"/>
    <w:rsid w:val="00675A31"/>
    <w:rsid w:val="00675A4D"/>
    <w:rsid w:val="00675A8C"/>
    <w:rsid w:val="00675B42"/>
    <w:rsid w:val="00675B57"/>
    <w:rsid w:val="00675B7F"/>
    <w:rsid w:val="00675BB3"/>
    <w:rsid w:val="00675C00"/>
    <w:rsid w:val="00675C56"/>
    <w:rsid w:val="00675CB5"/>
    <w:rsid w:val="00675D2F"/>
    <w:rsid w:val="00675EE6"/>
    <w:rsid w:val="00675F0A"/>
    <w:rsid w:val="00675FC0"/>
    <w:rsid w:val="0067607F"/>
    <w:rsid w:val="00676096"/>
    <w:rsid w:val="006760E3"/>
    <w:rsid w:val="006760EC"/>
    <w:rsid w:val="006761AC"/>
    <w:rsid w:val="006761D6"/>
    <w:rsid w:val="00676202"/>
    <w:rsid w:val="00676296"/>
    <w:rsid w:val="0067629D"/>
    <w:rsid w:val="006762AC"/>
    <w:rsid w:val="0067636D"/>
    <w:rsid w:val="006763B8"/>
    <w:rsid w:val="00676436"/>
    <w:rsid w:val="0067660E"/>
    <w:rsid w:val="0067664B"/>
    <w:rsid w:val="00676823"/>
    <w:rsid w:val="00676901"/>
    <w:rsid w:val="006769BF"/>
    <w:rsid w:val="00676A6C"/>
    <w:rsid w:val="00676A76"/>
    <w:rsid w:val="00676AB3"/>
    <w:rsid w:val="00676B1E"/>
    <w:rsid w:val="00676CA9"/>
    <w:rsid w:val="00676CDD"/>
    <w:rsid w:val="00676CF1"/>
    <w:rsid w:val="00676D1C"/>
    <w:rsid w:val="00676D2A"/>
    <w:rsid w:val="00676DAA"/>
    <w:rsid w:val="00676E64"/>
    <w:rsid w:val="00676FD1"/>
    <w:rsid w:val="006770EA"/>
    <w:rsid w:val="00677237"/>
    <w:rsid w:val="006773D0"/>
    <w:rsid w:val="0067752D"/>
    <w:rsid w:val="00677574"/>
    <w:rsid w:val="0067769D"/>
    <w:rsid w:val="0067782A"/>
    <w:rsid w:val="00677835"/>
    <w:rsid w:val="00677875"/>
    <w:rsid w:val="00677876"/>
    <w:rsid w:val="006778FA"/>
    <w:rsid w:val="006779E7"/>
    <w:rsid w:val="00677A84"/>
    <w:rsid w:val="00677AB7"/>
    <w:rsid w:val="00677AC6"/>
    <w:rsid w:val="00677B7D"/>
    <w:rsid w:val="00677B7F"/>
    <w:rsid w:val="00677B90"/>
    <w:rsid w:val="00677C27"/>
    <w:rsid w:val="00677C8C"/>
    <w:rsid w:val="00677CB9"/>
    <w:rsid w:val="00677D90"/>
    <w:rsid w:val="00677DAA"/>
    <w:rsid w:val="00677DCE"/>
    <w:rsid w:val="00677E00"/>
    <w:rsid w:val="00677F85"/>
    <w:rsid w:val="00677FC9"/>
    <w:rsid w:val="00680010"/>
    <w:rsid w:val="006800F4"/>
    <w:rsid w:val="00680197"/>
    <w:rsid w:val="0068019E"/>
    <w:rsid w:val="006801D1"/>
    <w:rsid w:val="006801E5"/>
    <w:rsid w:val="00680234"/>
    <w:rsid w:val="00680284"/>
    <w:rsid w:val="006802E3"/>
    <w:rsid w:val="00680365"/>
    <w:rsid w:val="0068040A"/>
    <w:rsid w:val="00680462"/>
    <w:rsid w:val="00680507"/>
    <w:rsid w:val="0068056F"/>
    <w:rsid w:val="00680607"/>
    <w:rsid w:val="0068061E"/>
    <w:rsid w:val="006806B4"/>
    <w:rsid w:val="006806BC"/>
    <w:rsid w:val="006806F1"/>
    <w:rsid w:val="0068076B"/>
    <w:rsid w:val="006807B3"/>
    <w:rsid w:val="0068080A"/>
    <w:rsid w:val="0068085F"/>
    <w:rsid w:val="006808DE"/>
    <w:rsid w:val="00680984"/>
    <w:rsid w:val="006809B5"/>
    <w:rsid w:val="006809F3"/>
    <w:rsid w:val="00680B30"/>
    <w:rsid w:val="00680BA1"/>
    <w:rsid w:val="00680BB0"/>
    <w:rsid w:val="00680BCD"/>
    <w:rsid w:val="00680C11"/>
    <w:rsid w:val="00680D33"/>
    <w:rsid w:val="00680DC8"/>
    <w:rsid w:val="00680DE4"/>
    <w:rsid w:val="00680F38"/>
    <w:rsid w:val="00680FBE"/>
    <w:rsid w:val="00680FC3"/>
    <w:rsid w:val="006811D6"/>
    <w:rsid w:val="006812C8"/>
    <w:rsid w:val="00681343"/>
    <w:rsid w:val="00681360"/>
    <w:rsid w:val="00681426"/>
    <w:rsid w:val="00681433"/>
    <w:rsid w:val="00681434"/>
    <w:rsid w:val="00681459"/>
    <w:rsid w:val="0068147D"/>
    <w:rsid w:val="006814FA"/>
    <w:rsid w:val="0068178A"/>
    <w:rsid w:val="006817C2"/>
    <w:rsid w:val="00681820"/>
    <w:rsid w:val="00681858"/>
    <w:rsid w:val="0068187D"/>
    <w:rsid w:val="006818AC"/>
    <w:rsid w:val="006818F4"/>
    <w:rsid w:val="00681914"/>
    <w:rsid w:val="00681AF4"/>
    <w:rsid w:val="00681C0B"/>
    <w:rsid w:val="00681DB0"/>
    <w:rsid w:val="00681DD4"/>
    <w:rsid w:val="00681DDF"/>
    <w:rsid w:val="00681E1D"/>
    <w:rsid w:val="00682144"/>
    <w:rsid w:val="006821FD"/>
    <w:rsid w:val="00682212"/>
    <w:rsid w:val="00682249"/>
    <w:rsid w:val="006822FB"/>
    <w:rsid w:val="006823B9"/>
    <w:rsid w:val="00682483"/>
    <w:rsid w:val="00682520"/>
    <w:rsid w:val="00682554"/>
    <w:rsid w:val="006825CD"/>
    <w:rsid w:val="0068264D"/>
    <w:rsid w:val="00682650"/>
    <w:rsid w:val="00682692"/>
    <w:rsid w:val="0068277A"/>
    <w:rsid w:val="006827D5"/>
    <w:rsid w:val="00682816"/>
    <w:rsid w:val="006829F4"/>
    <w:rsid w:val="00682A5F"/>
    <w:rsid w:val="00682A73"/>
    <w:rsid w:val="00682ABA"/>
    <w:rsid w:val="00682ABE"/>
    <w:rsid w:val="00682B88"/>
    <w:rsid w:val="00682C18"/>
    <w:rsid w:val="00682C45"/>
    <w:rsid w:val="00682C49"/>
    <w:rsid w:val="00682ED5"/>
    <w:rsid w:val="00682F79"/>
    <w:rsid w:val="0068307A"/>
    <w:rsid w:val="0068309A"/>
    <w:rsid w:val="006830C7"/>
    <w:rsid w:val="0068318D"/>
    <w:rsid w:val="006831F1"/>
    <w:rsid w:val="0068328E"/>
    <w:rsid w:val="00683401"/>
    <w:rsid w:val="00683486"/>
    <w:rsid w:val="0068349C"/>
    <w:rsid w:val="006834B2"/>
    <w:rsid w:val="006834BA"/>
    <w:rsid w:val="006834DF"/>
    <w:rsid w:val="0068354F"/>
    <w:rsid w:val="00683579"/>
    <w:rsid w:val="00683597"/>
    <w:rsid w:val="006835E8"/>
    <w:rsid w:val="0068362A"/>
    <w:rsid w:val="0068362F"/>
    <w:rsid w:val="00683689"/>
    <w:rsid w:val="00683725"/>
    <w:rsid w:val="00683740"/>
    <w:rsid w:val="0068374C"/>
    <w:rsid w:val="006837FA"/>
    <w:rsid w:val="00683986"/>
    <w:rsid w:val="006839FB"/>
    <w:rsid w:val="00683A7F"/>
    <w:rsid w:val="00683B6C"/>
    <w:rsid w:val="00683C69"/>
    <w:rsid w:val="00683C9A"/>
    <w:rsid w:val="00683FEC"/>
    <w:rsid w:val="006840B4"/>
    <w:rsid w:val="006840F5"/>
    <w:rsid w:val="00684151"/>
    <w:rsid w:val="00684153"/>
    <w:rsid w:val="006842B3"/>
    <w:rsid w:val="0068431C"/>
    <w:rsid w:val="006843AC"/>
    <w:rsid w:val="006843B6"/>
    <w:rsid w:val="00684432"/>
    <w:rsid w:val="00684442"/>
    <w:rsid w:val="006844B9"/>
    <w:rsid w:val="006844CC"/>
    <w:rsid w:val="00684508"/>
    <w:rsid w:val="0068451F"/>
    <w:rsid w:val="00684587"/>
    <w:rsid w:val="0068475E"/>
    <w:rsid w:val="006847A9"/>
    <w:rsid w:val="006847E0"/>
    <w:rsid w:val="0068485D"/>
    <w:rsid w:val="00684921"/>
    <w:rsid w:val="0068495B"/>
    <w:rsid w:val="00684999"/>
    <w:rsid w:val="006849F3"/>
    <w:rsid w:val="00684A2F"/>
    <w:rsid w:val="00684A34"/>
    <w:rsid w:val="00684B20"/>
    <w:rsid w:val="00684B46"/>
    <w:rsid w:val="00684B5A"/>
    <w:rsid w:val="00684BE2"/>
    <w:rsid w:val="00684C6C"/>
    <w:rsid w:val="00684E28"/>
    <w:rsid w:val="00684E3D"/>
    <w:rsid w:val="00684E8F"/>
    <w:rsid w:val="00684EAE"/>
    <w:rsid w:val="00684F32"/>
    <w:rsid w:val="00684F71"/>
    <w:rsid w:val="0068502B"/>
    <w:rsid w:val="006850E1"/>
    <w:rsid w:val="00685158"/>
    <w:rsid w:val="006851DD"/>
    <w:rsid w:val="006851F4"/>
    <w:rsid w:val="00685207"/>
    <w:rsid w:val="0068521C"/>
    <w:rsid w:val="00685246"/>
    <w:rsid w:val="00685293"/>
    <w:rsid w:val="0068529C"/>
    <w:rsid w:val="006852D4"/>
    <w:rsid w:val="00685336"/>
    <w:rsid w:val="00685342"/>
    <w:rsid w:val="0068534E"/>
    <w:rsid w:val="0068535D"/>
    <w:rsid w:val="0068546E"/>
    <w:rsid w:val="006854AC"/>
    <w:rsid w:val="00685677"/>
    <w:rsid w:val="00685733"/>
    <w:rsid w:val="0068578F"/>
    <w:rsid w:val="00685839"/>
    <w:rsid w:val="00685875"/>
    <w:rsid w:val="0068587A"/>
    <w:rsid w:val="00685977"/>
    <w:rsid w:val="00685AF7"/>
    <w:rsid w:val="00685B3E"/>
    <w:rsid w:val="00685BFE"/>
    <w:rsid w:val="00685C5E"/>
    <w:rsid w:val="00685CDC"/>
    <w:rsid w:val="00685ECA"/>
    <w:rsid w:val="00685ECE"/>
    <w:rsid w:val="00685F75"/>
    <w:rsid w:val="00685FCA"/>
    <w:rsid w:val="0068602A"/>
    <w:rsid w:val="0068609F"/>
    <w:rsid w:val="006860D5"/>
    <w:rsid w:val="006861B2"/>
    <w:rsid w:val="0068620B"/>
    <w:rsid w:val="00686227"/>
    <w:rsid w:val="00686228"/>
    <w:rsid w:val="006862FC"/>
    <w:rsid w:val="00686407"/>
    <w:rsid w:val="0068640E"/>
    <w:rsid w:val="00686449"/>
    <w:rsid w:val="00686548"/>
    <w:rsid w:val="00686571"/>
    <w:rsid w:val="00686586"/>
    <w:rsid w:val="0068659D"/>
    <w:rsid w:val="006865A9"/>
    <w:rsid w:val="00686683"/>
    <w:rsid w:val="006866CE"/>
    <w:rsid w:val="0068670D"/>
    <w:rsid w:val="00686795"/>
    <w:rsid w:val="00686829"/>
    <w:rsid w:val="00686853"/>
    <w:rsid w:val="00686911"/>
    <w:rsid w:val="006869CE"/>
    <w:rsid w:val="006869E0"/>
    <w:rsid w:val="00686A81"/>
    <w:rsid w:val="00686B17"/>
    <w:rsid w:val="00686B6D"/>
    <w:rsid w:val="00686BC6"/>
    <w:rsid w:val="00686BDA"/>
    <w:rsid w:val="00686BEC"/>
    <w:rsid w:val="00686C0E"/>
    <w:rsid w:val="00686C2C"/>
    <w:rsid w:val="00686C53"/>
    <w:rsid w:val="00686C77"/>
    <w:rsid w:val="00686CAF"/>
    <w:rsid w:val="00686D9D"/>
    <w:rsid w:val="00686DC6"/>
    <w:rsid w:val="00686DE0"/>
    <w:rsid w:val="00686E0F"/>
    <w:rsid w:val="00686EE6"/>
    <w:rsid w:val="00686F5F"/>
    <w:rsid w:val="00686F73"/>
    <w:rsid w:val="00686F99"/>
    <w:rsid w:val="00687070"/>
    <w:rsid w:val="0068708E"/>
    <w:rsid w:val="006870D5"/>
    <w:rsid w:val="0068710B"/>
    <w:rsid w:val="006871FF"/>
    <w:rsid w:val="0068724F"/>
    <w:rsid w:val="00687307"/>
    <w:rsid w:val="0068730E"/>
    <w:rsid w:val="0068736B"/>
    <w:rsid w:val="006873D3"/>
    <w:rsid w:val="006873E1"/>
    <w:rsid w:val="0068758D"/>
    <w:rsid w:val="00687658"/>
    <w:rsid w:val="0068769B"/>
    <w:rsid w:val="006876E6"/>
    <w:rsid w:val="0068770F"/>
    <w:rsid w:val="0068774B"/>
    <w:rsid w:val="00687774"/>
    <w:rsid w:val="0068795F"/>
    <w:rsid w:val="00687AC2"/>
    <w:rsid w:val="00687AC6"/>
    <w:rsid w:val="00687C49"/>
    <w:rsid w:val="00687DE0"/>
    <w:rsid w:val="00687E20"/>
    <w:rsid w:val="00687E33"/>
    <w:rsid w:val="006900E8"/>
    <w:rsid w:val="00690110"/>
    <w:rsid w:val="00690126"/>
    <w:rsid w:val="0069018F"/>
    <w:rsid w:val="006901DC"/>
    <w:rsid w:val="006901EF"/>
    <w:rsid w:val="00690483"/>
    <w:rsid w:val="006904AF"/>
    <w:rsid w:val="0069051D"/>
    <w:rsid w:val="00690706"/>
    <w:rsid w:val="00690735"/>
    <w:rsid w:val="006907F2"/>
    <w:rsid w:val="0069086C"/>
    <w:rsid w:val="006908D2"/>
    <w:rsid w:val="00690C28"/>
    <w:rsid w:val="00690C35"/>
    <w:rsid w:val="00690C3D"/>
    <w:rsid w:val="00690C55"/>
    <w:rsid w:val="00690DE6"/>
    <w:rsid w:val="00690E16"/>
    <w:rsid w:val="00690E45"/>
    <w:rsid w:val="00690E51"/>
    <w:rsid w:val="00690FAA"/>
    <w:rsid w:val="00691025"/>
    <w:rsid w:val="00691067"/>
    <w:rsid w:val="00691068"/>
    <w:rsid w:val="006910BF"/>
    <w:rsid w:val="006910CB"/>
    <w:rsid w:val="0069112D"/>
    <w:rsid w:val="006911AD"/>
    <w:rsid w:val="006911D9"/>
    <w:rsid w:val="00691202"/>
    <w:rsid w:val="00691211"/>
    <w:rsid w:val="00691227"/>
    <w:rsid w:val="00691270"/>
    <w:rsid w:val="0069130D"/>
    <w:rsid w:val="00691335"/>
    <w:rsid w:val="006913B6"/>
    <w:rsid w:val="00691405"/>
    <w:rsid w:val="0069148C"/>
    <w:rsid w:val="006914B9"/>
    <w:rsid w:val="00691500"/>
    <w:rsid w:val="006915D9"/>
    <w:rsid w:val="006915E6"/>
    <w:rsid w:val="006916C1"/>
    <w:rsid w:val="00691715"/>
    <w:rsid w:val="00691735"/>
    <w:rsid w:val="00691828"/>
    <w:rsid w:val="00691841"/>
    <w:rsid w:val="00691878"/>
    <w:rsid w:val="00691971"/>
    <w:rsid w:val="00691ABF"/>
    <w:rsid w:val="00691B5F"/>
    <w:rsid w:val="00691B95"/>
    <w:rsid w:val="00691BCD"/>
    <w:rsid w:val="00691D4D"/>
    <w:rsid w:val="00691D6C"/>
    <w:rsid w:val="00691E55"/>
    <w:rsid w:val="0069207E"/>
    <w:rsid w:val="00692104"/>
    <w:rsid w:val="00692140"/>
    <w:rsid w:val="006921CF"/>
    <w:rsid w:val="0069222B"/>
    <w:rsid w:val="0069224F"/>
    <w:rsid w:val="00692303"/>
    <w:rsid w:val="00692311"/>
    <w:rsid w:val="0069246E"/>
    <w:rsid w:val="0069274E"/>
    <w:rsid w:val="006927D4"/>
    <w:rsid w:val="0069280D"/>
    <w:rsid w:val="0069285A"/>
    <w:rsid w:val="00692879"/>
    <w:rsid w:val="00692882"/>
    <w:rsid w:val="0069289A"/>
    <w:rsid w:val="006928B3"/>
    <w:rsid w:val="00692B12"/>
    <w:rsid w:val="00692B6C"/>
    <w:rsid w:val="00692CE4"/>
    <w:rsid w:val="00692D63"/>
    <w:rsid w:val="00692DBE"/>
    <w:rsid w:val="00692E1A"/>
    <w:rsid w:val="00692E3F"/>
    <w:rsid w:val="00692EC3"/>
    <w:rsid w:val="00692EC6"/>
    <w:rsid w:val="00692F6F"/>
    <w:rsid w:val="00692FC3"/>
    <w:rsid w:val="00693008"/>
    <w:rsid w:val="00693109"/>
    <w:rsid w:val="00693125"/>
    <w:rsid w:val="00693183"/>
    <w:rsid w:val="0069319B"/>
    <w:rsid w:val="006932E7"/>
    <w:rsid w:val="00693363"/>
    <w:rsid w:val="0069342B"/>
    <w:rsid w:val="006934DF"/>
    <w:rsid w:val="006934FC"/>
    <w:rsid w:val="0069367F"/>
    <w:rsid w:val="006936AA"/>
    <w:rsid w:val="006936AD"/>
    <w:rsid w:val="006936E0"/>
    <w:rsid w:val="00693751"/>
    <w:rsid w:val="0069379D"/>
    <w:rsid w:val="0069386F"/>
    <w:rsid w:val="00693873"/>
    <w:rsid w:val="006938ED"/>
    <w:rsid w:val="00693930"/>
    <w:rsid w:val="006939D6"/>
    <w:rsid w:val="00693A69"/>
    <w:rsid w:val="00693BDB"/>
    <w:rsid w:val="00693D42"/>
    <w:rsid w:val="00693D4D"/>
    <w:rsid w:val="00693EC7"/>
    <w:rsid w:val="00693F32"/>
    <w:rsid w:val="006940A4"/>
    <w:rsid w:val="006941D1"/>
    <w:rsid w:val="00694222"/>
    <w:rsid w:val="00694225"/>
    <w:rsid w:val="00694351"/>
    <w:rsid w:val="0069441B"/>
    <w:rsid w:val="00694421"/>
    <w:rsid w:val="0069443D"/>
    <w:rsid w:val="006944C7"/>
    <w:rsid w:val="006945D3"/>
    <w:rsid w:val="0069475E"/>
    <w:rsid w:val="006948B0"/>
    <w:rsid w:val="006949F1"/>
    <w:rsid w:val="00694AF9"/>
    <w:rsid w:val="00694C29"/>
    <w:rsid w:val="00694D6C"/>
    <w:rsid w:val="00694D6D"/>
    <w:rsid w:val="00694E88"/>
    <w:rsid w:val="00694E97"/>
    <w:rsid w:val="00694FEB"/>
    <w:rsid w:val="006950E2"/>
    <w:rsid w:val="00695214"/>
    <w:rsid w:val="00695222"/>
    <w:rsid w:val="0069526D"/>
    <w:rsid w:val="00695278"/>
    <w:rsid w:val="0069527E"/>
    <w:rsid w:val="0069528A"/>
    <w:rsid w:val="0069529D"/>
    <w:rsid w:val="006952A2"/>
    <w:rsid w:val="006953F1"/>
    <w:rsid w:val="0069563F"/>
    <w:rsid w:val="006956EC"/>
    <w:rsid w:val="0069571C"/>
    <w:rsid w:val="00695869"/>
    <w:rsid w:val="006958A0"/>
    <w:rsid w:val="006958C1"/>
    <w:rsid w:val="00695906"/>
    <w:rsid w:val="00695929"/>
    <w:rsid w:val="0069594A"/>
    <w:rsid w:val="006959DC"/>
    <w:rsid w:val="00695A52"/>
    <w:rsid w:val="00695A74"/>
    <w:rsid w:val="00695A99"/>
    <w:rsid w:val="00695AB8"/>
    <w:rsid w:val="00695B29"/>
    <w:rsid w:val="00695B75"/>
    <w:rsid w:val="00695C29"/>
    <w:rsid w:val="00695CFA"/>
    <w:rsid w:val="00695E22"/>
    <w:rsid w:val="00695E55"/>
    <w:rsid w:val="00695E6F"/>
    <w:rsid w:val="00695EB9"/>
    <w:rsid w:val="00695EC3"/>
    <w:rsid w:val="00695F04"/>
    <w:rsid w:val="00696010"/>
    <w:rsid w:val="0069602A"/>
    <w:rsid w:val="0069606D"/>
    <w:rsid w:val="00696096"/>
    <w:rsid w:val="006960E9"/>
    <w:rsid w:val="006961AB"/>
    <w:rsid w:val="00696231"/>
    <w:rsid w:val="0069623B"/>
    <w:rsid w:val="0069623E"/>
    <w:rsid w:val="0069624B"/>
    <w:rsid w:val="006962DD"/>
    <w:rsid w:val="00696343"/>
    <w:rsid w:val="00696392"/>
    <w:rsid w:val="006963A9"/>
    <w:rsid w:val="00696517"/>
    <w:rsid w:val="006965C3"/>
    <w:rsid w:val="00696697"/>
    <w:rsid w:val="006966F1"/>
    <w:rsid w:val="0069676C"/>
    <w:rsid w:val="006968DD"/>
    <w:rsid w:val="0069690E"/>
    <w:rsid w:val="00696952"/>
    <w:rsid w:val="00696AD4"/>
    <w:rsid w:val="00696B58"/>
    <w:rsid w:val="00696BA0"/>
    <w:rsid w:val="00696BF7"/>
    <w:rsid w:val="00696CE7"/>
    <w:rsid w:val="00696D1C"/>
    <w:rsid w:val="00696D1F"/>
    <w:rsid w:val="00696D8F"/>
    <w:rsid w:val="00696E07"/>
    <w:rsid w:val="00696E52"/>
    <w:rsid w:val="00696E6D"/>
    <w:rsid w:val="00696E82"/>
    <w:rsid w:val="00696EE3"/>
    <w:rsid w:val="00696EE5"/>
    <w:rsid w:val="00696F00"/>
    <w:rsid w:val="00696F0F"/>
    <w:rsid w:val="00696F83"/>
    <w:rsid w:val="00696FCA"/>
    <w:rsid w:val="006970E4"/>
    <w:rsid w:val="0069719C"/>
    <w:rsid w:val="006971CE"/>
    <w:rsid w:val="0069730C"/>
    <w:rsid w:val="006973C3"/>
    <w:rsid w:val="006973F6"/>
    <w:rsid w:val="00697438"/>
    <w:rsid w:val="00697517"/>
    <w:rsid w:val="00697654"/>
    <w:rsid w:val="0069768D"/>
    <w:rsid w:val="0069769A"/>
    <w:rsid w:val="006976EC"/>
    <w:rsid w:val="00697752"/>
    <w:rsid w:val="006977BB"/>
    <w:rsid w:val="006977E1"/>
    <w:rsid w:val="00697834"/>
    <w:rsid w:val="006978D1"/>
    <w:rsid w:val="00697943"/>
    <w:rsid w:val="00697956"/>
    <w:rsid w:val="0069795B"/>
    <w:rsid w:val="006979AA"/>
    <w:rsid w:val="006979B0"/>
    <w:rsid w:val="00697A72"/>
    <w:rsid w:val="00697B04"/>
    <w:rsid w:val="00697B24"/>
    <w:rsid w:val="00697CF0"/>
    <w:rsid w:val="00697D8A"/>
    <w:rsid w:val="00697E4E"/>
    <w:rsid w:val="00697E9A"/>
    <w:rsid w:val="00697ECC"/>
    <w:rsid w:val="00697F9D"/>
    <w:rsid w:val="00697FEF"/>
    <w:rsid w:val="006A00FC"/>
    <w:rsid w:val="006A01DB"/>
    <w:rsid w:val="006A0230"/>
    <w:rsid w:val="006A0268"/>
    <w:rsid w:val="006A031F"/>
    <w:rsid w:val="006A0342"/>
    <w:rsid w:val="006A0396"/>
    <w:rsid w:val="006A04AE"/>
    <w:rsid w:val="006A05B2"/>
    <w:rsid w:val="006A0668"/>
    <w:rsid w:val="006A067A"/>
    <w:rsid w:val="006A06C6"/>
    <w:rsid w:val="006A079D"/>
    <w:rsid w:val="006A0896"/>
    <w:rsid w:val="006A089E"/>
    <w:rsid w:val="006A0964"/>
    <w:rsid w:val="006A09E9"/>
    <w:rsid w:val="006A0B0A"/>
    <w:rsid w:val="006A0C97"/>
    <w:rsid w:val="006A0D69"/>
    <w:rsid w:val="006A0DC4"/>
    <w:rsid w:val="006A0DC7"/>
    <w:rsid w:val="006A0EA0"/>
    <w:rsid w:val="006A0ED1"/>
    <w:rsid w:val="006A0EED"/>
    <w:rsid w:val="006A0EF0"/>
    <w:rsid w:val="006A0F26"/>
    <w:rsid w:val="006A0F4C"/>
    <w:rsid w:val="006A1037"/>
    <w:rsid w:val="006A1038"/>
    <w:rsid w:val="006A10B6"/>
    <w:rsid w:val="006A1124"/>
    <w:rsid w:val="006A11AE"/>
    <w:rsid w:val="006A11FD"/>
    <w:rsid w:val="006A12EC"/>
    <w:rsid w:val="006A1302"/>
    <w:rsid w:val="006A131F"/>
    <w:rsid w:val="006A1338"/>
    <w:rsid w:val="006A1340"/>
    <w:rsid w:val="006A15F1"/>
    <w:rsid w:val="006A161F"/>
    <w:rsid w:val="006A1790"/>
    <w:rsid w:val="006A1806"/>
    <w:rsid w:val="006A18AF"/>
    <w:rsid w:val="006A18BA"/>
    <w:rsid w:val="006A18D9"/>
    <w:rsid w:val="006A190A"/>
    <w:rsid w:val="006A196E"/>
    <w:rsid w:val="006A19FB"/>
    <w:rsid w:val="006A1A81"/>
    <w:rsid w:val="006A1B58"/>
    <w:rsid w:val="006A1DEF"/>
    <w:rsid w:val="006A1E4F"/>
    <w:rsid w:val="006A1E58"/>
    <w:rsid w:val="006A1EE4"/>
    <w:rsid w:val="006A202D"/>
    <w:rsid w:val="006A218E"/>
    <w:rsid w:val="006A2238"/>
    <w:rsid w:val="006A26B0"/>
    <w:rsid w:val="006A271F"/>
    <w:rsid w:val="006A277F"/>
    <w:rsid w:val="006A2804"/>
    <w:rsid w:val="006A2860"/>
    <w:rsid w:val="006A2BF7"/>
    <w:rsid w:val="006A2CB1"/>
    <w:rsid w:val="006A2D10"/>
    <w:rsid w:val="006A2D25"/>
    <w:rsid w:val="006A2E0A"/>
    <w:rsid w:val="006A2EB0"/>
    <w:rsid w:val="006A2EB8"/>
    <w:rsid w:val="006A2F31"/>
    <w:rsid w:val="006A3081"/>
    <w:rsid w:val="006A31AE"/>
    <w:rsid w:val="006A3271"/>
    <w:rsid w:val="006A32C3"/>
    <w:rsid w:val="006A3310"/>
    <w:rsid w:val="006A331C"/>
    <w:rsid w:val="006A3357"/>
    <w:rsid w:val="006A33FC"/>
    <w:rsid w:val="006A349C"/>
    <w:rsid w:val="006A3655"/>
    <w:rsid w:val="006A3673"/>
    <w:rsid w:val="006A373D"/>
    <w:rsid w:val="006A3770"/>
    <w:rsid w:val="006A379F"/>
    <w:rsid w:val="006A37F2"/>
    <w:rsid w:val="006A3855"/>
    <w:rsid w:val="006A388D"/>
    <w:rsid w:val="006A3950"/>
    <w:rsid w:val="006A39BF"/>
    <w:rsid w:val="006A39CE"/>
    <w:rsid w:val="006A3A10"/>
    <w:rsid w:val="006A3A25"/>
    <w:rsid w:val="006A3A3C"/>
    <w:rsid w:val="006A3AAB"/>
    <w:rsid w:val="006A3C3E"/>
    <w:rsid w:val="006A3DB3"/>
    <w:rsid w:val="006A3DE7"/>
    <w:rsid w:val="006A3DF0"/>
    <w:rsid w:val="006A3E23"/>
    <w:rsid w:val="006A3E64"/>
    <w:rsid w:val="006A3E85"/>
    <w:rsid w:val="006A3F3C"/>
    <w:rsid w:val="006A3F4F"/>
    <w:rsid w:val="006A3FBD"/>
    <w:rsid w:val="006A4064"/>
    <w:rsid w:val="006A418F"/>
    <w:rsid w:val="006A41B8"/>
    <w:rsid w:val="006A420B"/>
    <w:rsid w:val="006A426A"/>
    <w:rsid w:val="006A437B"/>
    <w:rsid w:val="006A4380"/>
    <w:rsid w:val="006A43C1"/>
    <w:rsid w:val="006A4413"/>
    <w:rsid w:val="006A4498"/>
    <w:rsid w:val="006A44CE"/>
    <w:rsid w:val="006A4531"/>
    <w:rsid w:val="006A45DE"/>
    <w:rsid w:val="006A47B7"/>
    <w:rsid w:val="006A48A7"/>
    <w:rsid w:val="006A48A9"/>
    <w:rsid w:val="006A491D"/>
    <w:rsid w:val="006A4971"/>
    <w:rsid w:val="006A49C2"/>
    <w:rsid w:val="006A49C5"/>
    <w:rsid w:val="006A4B1F"/>
    <w:rsid w:val="006A4BB2"/>
    <w:rsid w:val="006A4D07"/>
    <w:rsid w:val="006A4D6A"/>
    <w:rsid w:val="006A4DE6"/>
    <w:rsid w:val="006A4DE7"/>
    <w:rsid w:val="006A4E37"/>
    <w:rsid w:val="006A4E61"/>
    <w:rsid w:val="006A4FCA"/>
    <w:rsid w:val="006A5021"/>
    <w:rsid w:val="006A50A2"/>
    <w:rsid w:val="006A50BA"/>
    <w:rsid w:val="006A5175"/>
    <w:rsid w:val="006A520B"/>
    <w:rsid w:val="006A527B"/>
    <w:rsid w:val="006A531E"/>
    <w:rsid w:val="006A5406"/>
    <w:rsid w:val="006A5450"/>
    <w:rsid w:val="006A54BB"/>
    <w:rsid w:val="006A54D9"/>
    <w:rsid w:val="006A54EA"/>
    <w:rsid w:val="006A55B4"/>
    <w:rsid w:val="006A56E2"/>
    <w:rsid w:val="006A56E4"/>
    <w:rsid w:val="006A5A69"/>
    <w:rsid w:val="006A5B98"/>
    <w:rsid w:val="006A5BE5"/>
    <w:rsid w:val="006A5D19"/>
    <w:rsid w:val="006A5D8C"/>
    <w:rsid w:val="006A5EA8"/>
    <w:rsid w:val="006A5EB5"/>
    <w:rsid w:val="006A5ED1"/>
    <w:rsid w:val="006A5F0F"/>
    <w:rsid w:val="006A604E"/>
    <w:rsid w:val="006A605B"/>
    <w:rsid w:val="006A616C"/>
    <w:rsid w:val="006A6171"/>
    <w:rsid w:val="006A621A"/>
    <w:rsid w:val="006A628C"/>
    <w:rsid w:val="006A6335"/>
    <w:rsid w:val="006A6495"/>
    <w:rsid w:val="006A64DB"/>
    <w:rsid w:val="006A658E"/>
    <w:rsid w:val="006A6639"/>
    <w:rsid w:val="006A6659"/>
    <w:rsid w:val="006A6768"/>
    <w:rsid w:val="006A679D"/>
    <w:rsid w:val="006A67D2"/>
    <w:rsid w:val="006A68D0"/>
    <w:rsid w:val="006A6944"/>
    <w:rsid w:val="006A69CB"/>
    <w:rsid w:val="006A6A01"/>
    <w:rsid w:val="006A6AE0"/>
    <w:rsid w:val="006A6AEF"/>
    <w:rsid w:val="006A6B4C"/>
    <w:rsid w:val="006A6C2C"/>
    <w:rsid w:val="006A6C59"/>
    <w:rsid w:val="006A6CB6"/>
    <w:rsid w:val="006A6CFA"/>
    <w:rsid w:val="006A6D08"/>
    <w:rsid w:val="006A6D10"/>
    <w:rsid w:val="006A6E1C"/>
    <w:rsid w:val="006A6E58"/>
    <w:rsid w:val="006A6E63"/>
    <w:rsid w:val="006A6EC4"/>
    <w:rsid w:val="006A6EFB"/>
    <w:rsid w:val="006A7069"/>
    <w:rsid w:val="006A70AD"/>
    <w:rsid w:val="006A70CC"/>
    <w:rsid w:val="006A7117"/>
    <w:rsid w:val="006A7183"/>
    <w:rsid w:val="006A72AB"/>
    <w:rsid w:val="006A7307"/>
    <w:rsid w:val="006A734D"/>
    <w:rsid w:val="006A7358"/>
    <w:rsid w:val="006A73A3"/>
    <w:rsid w:val="006A73F3"/>
    <w:rsid w:val="006A75B3"/>
    <w:rsid w:val="006A76A8"/>
    <w:rsid w:val="006A76B4"/>
    <w:rsid w:val="006A77C3"/>
    <w:rsid w:val="006A77CF"/>
    <w:rsid w:val="006A7849"/>
    <w:rsid w:val="006A7861"/>
    <w:rsid w:val="006A78DD"/>
    <w:rsid w:val="006A78EA"/>
    <w:rsid w:val="006A7912"/>
    <w:rsid w:val="006A7935"/>
    <w:rsid w:val="006A7B09"/>
    <w:rsid w:val="006A7B38"/>
    <w:rsid w:val="006A7B82"/>
    <w:rsid w:val="006A7C64"/>
    <w:rsid w:val="006A7C9F"/>
    <w:rsid w:val="006A7CEC"/>
    <w:rsid w:val="006A7D4E"/>
    <w:rsid w:val="006A7D64"/>
    <w:rsid w:val="006A7D85"/>
    <w:rsid w:val="006A7DC4"/>
    <w:rsid w:val="006A7E19"/>
    <w:rsid w:val="006A7EE3"/>
    <w:rsid w:val="006A7F15"/>
    <w:rsid w:val="006B0200"/>
    <w:rsid w:val="006B020E"/>
    <w:rsid w:val="006B035C"/>
    <w:rsid w:val="006B0363"/>
    <w:rsid w:val="006B0369"/>
    <w:rsid w:val="006B057C"/>
    <w:rsid w:val="006B05FD"/>
    <w:rsid w:val="006B06DA"/>
    <w:rsid w:val="006B06E2"/>
    <w:rsid w:val="006B0899"/>
    <w:rsid w:val="006B0995"/>
    <w:rsid w:val="006B0A43"/>
    <w:rsid w:val="006B0A76"/>
    <w:rsid w:val="006B0B27"/>
    <w:rsid w:val="006B0D32"/>
    <w:rsid w:val="006B0D86"/>
    <w:rsid w:val="006B0DA1"/>
    <w:rsid w:val="006B0DD3"/>
    <w:rsid w:val="006B0DE3"/>
    <w:rsid w:val="006B0EE1"/>
    <w:rsid w:val="006B0F88"/>
    <w:rsid w:val="006B0F8B"/>
    <w:rsid w:val="006B0F90"/>
    <w:rsid w:val="006B1076"/>
    <w:rsid w:val="006B1094"/>
    <w:rsid w:val="006B10F9"/>
    <w:rsid w:val="006B11C1"/>
    <w:rsid w:val="006B1217"/>
    <w:rsid w:val="006B1241"/>
    <w:rsid w:val="006B12C4"/>
    <w:rsid w:val="006B12E1"/>
    <w:rsid w:val="006B131B"/>
    <w:rsid w:val="006B134E"/>
    <w:rsid w:val="006B13D7"/>
    <w:rsid w:val="006B1408"/>
    <w:rsid w:val="006B145B"/>
    <w:rsid w:val="006B14AE"/>
    <w:rsid w:val="006B151A"/>
    <w:rsid w:val="006B174C"/>
    <w:rsid w:val="006B18D3"/>
    <w:rsid w:val="006B1903"/>
    <w:rsid w:val="006B1932"/>
    <w:rsid w:val="006B1971"/>
    <w:rsid w:val="006B1A61"/>
    <w:rsid w:val="006B1AB2"/>
    <w:rsid w:val="006B1AEC"/>
    <w:rsid w:val="006B1B55"/>
    <w:rsid w:val="006B1C3B"/>
    <w:rsid w:val="006B1C72"/>
    <w:rsid w:val="006B1C94"/>
    <w:rsid w:val="006B1D1F"/>
    <w:rsid w:val="006B1D65"/>
    <w:rsid w:val="006B1DCA"/>
    <w:rsid w:val="006B1ED9"/>
    <w:rsid w:val="006B1F81"/>
    <w:rsid w:val="006B1F95"/>
    <w:rsid w:val="006B208C"/>
    <w:rsid w:val="006B20AC"/>
    <w:rsid w:val="006B20C8"/>
    <w:rsid w:val="006B21CA"/>
    <w:rsid w:val="006B222E"/>
    <w:rsid w:val="006B2267"/>
    <w:rsid w:val="006B226D"/>
    <w:rsid w:val="006B22CC"/>
    <w:rsid w:val="006B23CC"/>
    <w:rsid w:val="006B2437"/>
    <w:rsid w:val="006B2563"/>
    <w:rsid w:val="006B26BD"/>
    <w:rsid w:val="006B2792"/>
    <w:rsid w:val="006B279C"/>
    <w:rsid w:val="006B2805"/>
    <w:rsid w:val="006B2866"/>
    <w:rsid w:val="006B2897"/>
    <w:rsid w:val="006B28DF"/>
    <w:rsid w:val="006B28F0"/>
    <w:rsid w:val="006B293E"/>
    <w:rsid w:val="006B298B"/>
    <w:rsid w:val="006B29C9"/>
    <w:rsid w:val="006B29F9"/>
    <w:rsid w:val="006B2A43"/>
    <w:rsid w:val="006B2A52"/>
    <w:rsid w:val="006B2A63"/>
    <w:rsid w:val="006B2BB7"/>
    <w:rsid w:val="006B2C7F"/>
    <w:rsid w:val="006B2CC0"/>
    <w:rsid w:val="006B2D0F"/>
    <w:rsid w:val="006B2D22"/>
    <w:rsid w:val="006B2DA3"/>
    <w:rsid w:val="006B2E19"/>
    <w:rsid w:val="006B3010"/>
    <w:rsid w:val="006B301E"/>
    <w:rsid w:val="006B3087"/>
    <w:rsid w:val="006B3139"/>
    <w:rsid w:val="006B3145"/>
    <w:rsid w:val="006B31BB"/>
    <w:rsid w:val="006B31CA"/>
    <w:rsid w:val="006B31DF"/>
    <w:rsid w:val="006B3240"/>
    <w:rsid w:val="006B3285"/>
    <w:rsid w:val="006B334C"/>
    <w:rsid w:val="006B3402"/>
    <w:rsid w:val="006B3448"/>
    <w:rsid w:val="006B34B0"/>
    <w:rsid w:val="006B3522"/>
    <w:rsid w:val="006B35D9"/>
    <w:rsid w:val="006B3778"/>
    <w:rsid w:val="006B37FE"/>
    <w:rsid w:val="006B3976"/>
    <w:rsid w:val="006B3A77"/>
    <w:rsid w:val="006B3AAB"/>
    <w:rsid w:val="006B3B20"/>
    <w:rsid w:val="006B3B6A"/>
    <w:rsid w:val="006B3BC9"/>
    <w:rsid w:val="006B3D78"/>
    <w:rsid w:val="006B3DAF"/>
    <w:rsid w:val="006B3DF9"/>
    <w:rsid w:val="006B3E78"/>
    <w:rsid w:val="006B3EC8"/>
    <w:rsid w:val="006B3EE7"/>
    <w:rsid w:val="006B407C"/>
    <w:rsid w:val="006B4119"/>
    <w:rsid w:val="006B413D"/>
    <w:rsid w:val="006B4175"/>
    <w:rsid w:val="006B41CD"/>
    <w:rsid w:val="006B4293"/>
    <w:rsid w:val="006B4384"/>
    <w:rsid w:val="006B43F4"/>
    <w:rsid w:val="006B43F6"/>
    <w:rsid w:val="006B447A"/>
    <w:rsid w:val="006B4540"/>
    <w:rsid w:val="006B45A7"/>
    <w:rsid w:val="006B462F"/>
    <w:rsid w:val="006B46F5"/>
    <w:rsid w:val="006B470A"/>
    <w:rsid w:val="006B473C"/>
    <w:rsid w:val="006B47F4"/>
    <w:rsid w:val="006B48E3"/>
    <w:rsid w:val="006B495A"/>
    <w:rsid w:val="006B49CF"/>
    <w:rsid w:val="006B4A40"/>
    <w:rsid w:val="006B4A89"/>
    <w:rsid w:val="006B4AA1"/>
    <w:rsid w:val="006B4CB9"/>
    <w:rsid w:val="006B4D40"/>
    <w:rsid w:val="006B4DAF"/>
    <w:rsid w:val="006B4DF8"/>
    <w:rsid w:val="006B4EA6"/>
    <w:rsid w:val="006B4F57"/>
    <w:rsid w:val="006B4FA2"/>
    <w:rsid w:val="006B4FC2"/>
    <w:rsid w:val="006B509C"/>
    <w:rsid w:val="006B50C6"/>
    <w:rsid w:val="006B5160"/>
    <w:rsid w:val="006B51ED"/>
    <w:rsid w:val="006B51FE"/>
    <w:rsid w:val="006B5233"/>
    <w:rsid w:val="006B52D2"/>
    <w:rsid w:val="006B5337"/>
    <w:rsid w:val="006B5389"/>
    <w:rsid w:val="006B53A3"/>
    <w:rsid w:val="006B53CB"/>
    <w:rsid w:val="006B53F3"/>
    <w:rsid w:val="006B5420"/>
    <w:rsid w:val="006B545C"/>
    <w:rsid w:val="006B5469"/>
    <w:rsid w:val="006B5483"/>
    <w:rsid w:val="006B54E9"/>
    <w:rsid w:val="006B54F1"/>
    <w:rsid w:val="006B5504"/>
    <w:rsid w:val="006B55EE"/>
    <w:rsid w:val="006B565C"/>
    <w:rsid w:val="006B5668"/>
    <w:rsid w:val="006B571D"/>
    <w:rsid w:val="006B580F"/>
    <w:rsid w:val="006B581C"/>
    <w:rsid w:val="006B58C2"/>
    <w:rsid w:val="006B5905"/>
    <w:rsid w:val="006B5976"/>
    <w:rsid w:val="006B5A0D"/>
    <w:rsid w:val="006B5A2F"/>
    <w:rsid w:val="006B5A51"/>
    <w:rsid w:val="006B5B58"/>
    <w:rsid w:val="006B5B70"/>
    <w:rsid w:val="006B5B88"/>
    <w:rsid w:val="006B5C3B"/>
    <w:rsid w:val="006B5CDA"/>
    <w:rsid w:val="006B5D28"/>
    <w:rsid w:val="006B5E8D"/>
    <w:rsid w:val="006B5E8E"/>
    <w:rsid w:val="006B5EFF"/>
    <w:rsid w:val="006B5F2E"/>
    <w:rsid w:val="006B5F77"/>
    <w:rsid w:val="006B603D"/>
    <w:rsid w:val="006B6144"/>
    <w:rsid w:val="006B6178"/>
    <w:rsid w:val="006B6421"/>
    <w:rsid w:val="006B6656"/>
    <w:rsid w:val="006B665D"/>
    <w:rsid w:val="006B672B"/>
    <w:rsid w:val="006B67F0"/>
    <w:rsid w:val="006B686F"/>
    <w:rsid w:val="006B68B2"/>
    <w:rsid w:val="006B68FB"/>
    <w:rsid w:val="006B6A3F"/>
    <w:rsid w:val="006B6C72"/>
    <w:rsid w:val="006B6DDF"/>
    <w:rsid w:val="006B6EF2"/>
    <w:rsid w:val="006B6EF4"/>
    <w:rsid w:val="006B7053"/>
    <w:rsid w:val="006B70B5"/>
    <w:rsid w:val="006B718A"/>
    <w:rsid w:val="006B7207"/>
    <w:rsid w:val="006B7285"/>
    <w:rsid w:val="006B72DC"/>
    <w:rsid w:val="006B72F0"/>
    <w:rsid w:val="006B731C"/>
    <w:rsid w:val="006B735C"/>
    <w:rsid w:val="006B73B6"/>
    <w:rsid w:val="006B749F"/>
    <w:rsid w:val="006B752B"/>
    <w:rsid w:val="006B7691"/>
    <w:rsid w:val="006B76CC"/>
    <w:rsid w:val="006B7873"/>
    <w:rsid w:val="006B788D"/>
    <w:rsid w:val="006B78EA"/>
    <w:rsid w:val="006B7973"/>
    <w:rsid w:val="006B79BA"/>
    <w:rsid w:val="006B7B17"/>
    <w:rsid w:val="006B7B62"/>
    <w:rsid w:val="006B7B77"/>
    <w:rsid w:val="006B7BDC"/>
    <w:rsid w:val="006B7C07"/>
    <w:rsid w:val="006B7C08"/>
    <w:rsid w:val="006B7C62"/>
    <w:rsid w:val="006B7E37"/>
    <w:rsid w:val="006B7E69"/>
    <w:rsid w:val="006B7E71"/>
    <w:rsid w:val="006B7E84"/>
    <w:rsid w:val="006B7EB7"/>
    <w:rsid w:val="006B7EF8"/>
    <w:rsid w:val="006B7EFC"/>
    <w:rsid w:val="006B7F7E"/>
    <w:rsid w:val="006B7FF7"/>
    <w:rsid w:val="006C00C3"/>
    <w:rsid w:val="006C0149"/>
    <w:rsid w:val="006C016B"/>
    <w:rsid w:val="006C03B1"/>
    <w:rsid w:val="006C0445"/>
    <w:rsid w:val="006C04CE"/>
    <w:rsid w:val="006C05B1"/>
    <w:rsid w:val="006C06A4"/>
    <w:rsid w:val="006C07C5"/>
    <w:rsid w:val="006C0851"/>
    <w:rsid w:val="006C08B8"/>
    <w:rsid w:val="006C0902"/>
    <w:rsid w:val="006C09AE"/>
    <w:rsid w:val="006C09D5"/>
    <w:rsid w:val="006C0A03"/>
    <w:rsid w:val="006C0A83"/>
    <w:rsid w:val="006C0A88"/>
    <w:rsid w:val="006C0B26"/>
    <w:rsid w:val="006C0CD5"/>
    <w:rsid w:val="006C0CE5"/>
    <w:rsid w:val="006C0D0B"/>
    <w:rsid w:val="006C0D85"/>
    <w:rsid w:val="006C0DCA"/>
    <w:rsid w:val="006C0E5E"/>
    <w:rsid w:val="006C0EDA"/>
    <w:rsid w:val="006C0F92"/>
    <w:rsid w:val="006C0FEA"/>
    <w:rsid w:val="006C101C"/>
    <w:rsid w:val="006C103F"/>
    <w:rsid w:val="006C1102"/>
    <w:rsid w:val="006C1221"/>
    <w:rsid w:val="006C127E"/>
    <w:rsid w:val="006C1292"/>
    <w:rsid w:val="006C13ED"/>
    <w:rsid w:val="006C1460"/>
    <w:rsid w:val="006C14C7"/>
    <w:rsid w:val="006C1618"/>
    <w:rsid w:val="006C1620"/>
    <w:rsid w:val="006C17E1"/>
    <w:rsid w:val="006C195E"/>
    <w:rsid w:val="006C19D1"/>
    <w:rsid w:val="006C19F8"/>
    <w:rsid w:val="006C1A61"/>
    <w:rsid w:val="006C1A78"/>
    <w:rsid w:val="006C1C74"/>
    <w:rsid w:val="006C1D11"/>
    <w:rsid w:val="006C1E5C"/>
    <w:rsid w:val="006C1E75"/>
    <w:rsid w:val="006C1EB3"/>
    <w:rsid w:val="006C1F24"/>
    <w:rsid w:val="006C1FB9"/>
    <w:rsid w:val="006C2089"/>
    <w:rsid w:val="006C20A1"/>
    <w:rsid w:val="006C20A9"/>
    <w:rsid w:val="006C20F4"/>
    <w:rsid w:val="006C2109"/>
    <w:rsid w:val="006C21F9"/>
    <w:rsid w:val="006C226D"/>
    <w:rsid w:val="006C2278"/>
    <w:rsid w:val="006C235B"/>
    <w:rsid w:val="006C2394"/>
    <w:rsid w:val="006C239B"/>
    <w:rsid w:val="006C23AD"/>
    <w:rsid w:val="006C24A5"/>
    <w:rsid w:val="006C24CC"/>
    <w:rsid w:val="006C2551"/>
    <w:rsid w:val="006C25B1"/>
    <w:rsid w:val="006C2616"/>
    <w:rsid w:val="006C2734"/>
    <w:rsid w:val="006C282D"/>
    <w:rsid w:val="006C28B8"/>
    <w:rsid w:val="006C28BF"/>
    <w:rsid w:val="006C295E"/>
    <w:rsid w:val="006C297B"/>
    <w:rsid w:val="006C29D0"/>
    <w:rsid w:val="006C29DB"/>
    <w:rsid w:val="006C29E9"/>
    <w:rsid w:val="006C29EE"/>
    <w:rsid w:val="006C2ABA"/>
    <w:rsid w:val="006C2AEA"/>
    <w:rsid w:val="006C2B15"/>
    <w:rsid w:val="006C2B3E"/>
    <w:rsid w:val="006C2BC9"/>
    <w:rsid w:val="006C2BD6"/>
    <w:rsid w:val="006C2BFE"/>
    <w:rsid w:val="006C2C35"/>
    <w:rsid w:val="006C2CCA"/>
    <w:rsid w:val="006C2CEF"/>
    <w:rsid w:val="006C2D00"/>
    <w:rsid w:val="006C2D95"/>
    <w:rsid w:val="006C2DCA"/>
    <w:rsid w:val="006C2DD0"/>
    <w:rsid w:val="006C2DD6"/>
    <w:rsid w:val="006C2EB5"/>
    <w:rsid w:val="006C2FD3"/>
    <w:rsid w:val="006C301D"/>
    <w:rsid w:val="006C306D"/>
    <w:rsid w:val="006C3170"/>
    <w:rsid w:val="006C31B3"/>
    <w:rsid w:val="006C31C8"/>
    <w:rsid w:val="006C329D"/>
    <w:rsid w:val="006C32C8"/>
    <w:rsid w:val="006C3339"/>
    <w:rsid w:val="006C33FE"/>
    <w:rsid w:val="006C3441"/>
    <w:rsid w:val="006C34D8"/>
    <w:rsid w:val="006C3540"/>
    <w:rsid w:val="006C35B9"/>
    <w:rsid w:val="006C3685"/>
    <w:rsid w:val="006C3687"/>
    <w:rsid w:val="006C36B7"/>
    <w:rsid w:val="006C36D5"/>
    <w:rsid w:val="006C36F8"/>
    <w:rsid w:val="006C3731"/>
    <w:rsid w:val="006C37E1"/>
    <w:rsid w:val="006C3827"/>
    <w:rsid w:val="006C38B3"/>
    <w:rsid w:val="006C38E2"/>
    <w:rsid w:val="006C39DB"/>
    <w:rsid w:val="006C3A8E"/>
    <w:rsid w:val="006C3ABA"/>
    <w:rsid w:val="006C3ACE"/>
    <w:rsid w:val="006C3CE0"/>
    <w:rsid w:val="006C3E20"/>
    <w:rsid w:val="006C3F03"/>
    <w:rsid w:val="006C3FC0"/>
    <w:rsid w:val="006C4170"/>
    <w:rsid w:val="006C4196"/>
    <w:rsid w:val="006C422D"/>
    <w:rsid w:val="006C431C"/>
    <w:rsid w:val="006C43B7"/>
    <w:rsid w:val="006C43D6"/>
    <w:rsid w:val="006C43F5"/>
    <w:rsid w:val="006C44EB"/>
    <w:rsid w:val="006C46B4"/>
    <w:rsid w:val="006C46E7"/>
    <w:rsid w:val="006C470F"/>
    <w:rsid w:val="006C47BD"/>
    <w:rsid w:val="006C47DA"/>
    <w:rsid w:val="006C4813"/>
    <w:rsid w:val="006C49C7"/>
    <w:rsid w:val="006C4A29"/>
    <w:rsid w:val="006C4AA2"/>
    <w:rsid w:val="006C4AF4"/>
    <w:rsid w:val="006C4B10"/>
    <w:rsid w:val="006C4B18"/>
    <w:rsid w:val="006C4B21"/>
    <w:rsid w:val="006C4B34"/>
    <w:rsid w:val="006C4B90"/>
    <w:rsid w:val="006C4B9E"/>
    <w:rsid w:val="006C4C0A"/>
    <w:rsid w:val="006C4C6F"/>
    <w:rsid w:val="006C4C82"/>
    <w:rsid w:val="006C4CAD"/>
    <w:rsid w:val="006C4D50"/>
    <w:rsid w:val="006C4DA7"/>
    <w:rsid w:val="006C4E0B"/>
    <w:rsid w:val="006C4F1B"/>
    <w:rsid w:val="006C4F37"/>
    <w:rsid w:val="006C5016"/>
    <w:rsid w:val="006C509C"/>
    <w:rsid w:val="006C50F9"/>
    <w:rsid w:val="006C511F"/>
    <w:rsid w:val="006C5125"/>
    <w:rsid w:val="006C518F"/>
    <w:rsid w:val="006C51D4"/>
    <w:rsid w:val="006C5217"/>
    <w:rsid w:val="006C5325"/>
    <w:rsid w:val="006C5326"/>
    <w:rsid w:val="006C533C"/>
    <w:rsid w:val="006C53BD"/>
    <w:rsid w:val="006C54CD"/>
    <w:rsid w:val="006C54F0"/>
    <w:rsid w:val="006C5600"/>
    <w:rsid w:val="006C56B7"/>
    <w:rsid w:val="006C56E7"/>
    <w:rsid w:val="006C56FA"/>
    <w:rsid w:val="006C5716"/>
    <w:rsid w:val="006C57DD"/>
    <w:rsid w:val="006C57E6"/>
    <w:rsid w:val="006C580A"/>
    <w:rsid w:val="006C58C9"/>
    <w:rsid w:val="006C5907"/>
    <w:rsid w:val="006C5919"/>
    <w:rsid w:val="006C5997"/>
    <w:rsid w:val="006C5A93"/>
    <w:rsid w:val="006C5AA2"/>
    <w:rsid w:val="006C5AAF"/>
    <w:rsid w:val="006C5AB0"/>
    <w:rsid w:val="006C5AE8"/>
    <w:rsid w:val="006C5BBC"/>
    <w:rsid w:val="006C5BBE"/>
    <w:rsid w:val="006C5C76"/>
    <w:rsid w:val="006C5D7B"/>
    <w:rsid w:val="006C5D93"/>
    <w:rsid w:val="006C5DC9"/>
    <w:rsid w:val="006C5DF0"/>
    <w:rsid w:val="006C5E78"/>
    <w:rsid w:val="006C5F4E"/>
    <w:rsid w:val="006C5F55"/>
    <w:rsid w:val="006C5FDC"/>
    <w:rsid w:val="006C600C"/>
    <w:rsid w:val="006C6199"/>
    <w:rsid w:val="006C6246"/>
    <w:rsid w:val="006C6303"/>
    <w:rsid w:val="006C642D"/>
    <w:rsid w:val="006C642E"/>
    <w:rsid w:val="006C644A"/>
    <w:rsid w:val="006C64A3"/>
    <w:rsid w:val="006C657E"/>
    <w:rsid w:val="006C658F"/>
    <w:rsid w:val="006C6634"/>
    <w:rsid w:val="006C664F"/>
    <w:rsid w:val="006C66AF"/>
    <w:rsid w:val="006C66F0"/>
    <w:rsid w:val="006C67B5"/>
    <w:rsid w:val="006C6844"/>
    <w:rsid w:val="006C68B4"/>
    <w:rsid w:val="006C68D3"/>
    <w:rsid w:val="006C69F9"/>
    <w:rsid w:val="006C6A89"/>
    <w:rsid w:val="006C6AB8"/>
    <w:rsid w:val="006C6B32"/>
    <w:rsid w:val="006C6B61"/>
    <w:rsid w:val="006C6BC8"/>
    <w:rsid w:val="006C6C2D"/>
    <w:rsid w:val="006C6C5F"/>
    <w:rsid w:val="006C6D0B"/>
    <w:rsid w:val="006C6D1F"/>
    <w:rsid w:val="006C6D65"/>
    <w:rsid w:val="006C6DF1"/>
    <w:rsid w:val="006C6EE7"/>
    <w:rsid w:val="006C6F56"/>
    <w:rsid w:val="006C6FD0"/>
    <w:rsid w:val="006C7074"/>
    <w:rsid w:val="006C71BC"/>
    <w:rsid w:val="006C7212"/>
    <w:rsid w:val="006C7228"/>
    <w:rsid w:val="006C7315"/>
    <w:rsid w:val="006C753A"/>
    <w:rsid w:val="006C76C1"/>
    <w:rsid w:val="006C7730"/>
    <w:rsid w:val="006C776B"/>
    <w:rsid w:val="006C77DF"/>
    <w:rsid w:val="006C7849"/>
    <w:rsid w:val="006C7854"/>
    <w:rsid w:val="006C78DF"/>
    <w:rsid w:val="006C7930"/>
    <w:rsid w:val="006C7989"/>
    <w:rsid w:val="006C7A54"/>
    <w:rsid w:val="006C7BC0"/>
    <w:rsid w:val="006C7CA8"/>
    <w:rsid w:val="006C7DC2"/>
    <w:rsid w:val="006C7E3F"/>
    <w:rsid w:val="006C7EC4"/>
    <w:rsid w:val="006C7EF3"/>
    <w:rsid w:val="006C7F41"/>
    <w:rsid w:val="006C7FB5"/>
    <w:rsid w:val="006D0010"/>
    <w:rsid w:val="006D00A3"/>
    <w:rsid w:val="006D00BD"/>
    <w:rsid w:val="006D0369"/>
    <w:rsid w:val="006D046E"/>
    <w:rsid w:val="006D04E9"/>
    <w:rsid w:val="006D054F"/>
    <w:rsid w:val="006D0562"/>
    <w:rsid w:val="006D05E0"/>
    <w:rsid w:val="006D05FB"/>
    <w:rsid w:val="006D062A"/>
    <w:rsid w:val="006D0712"/>
    <w:rsid w:val="006D0728"/>
    <w:rsid w:val="006D0787"/>
    <w:rsid w:val="006D0817"/>
    <w:rsid w:val="006D083E"/>
    <w:rsid w:val="006D095B"/>
    <w:rsid w:val="006D096C"/>
    <w:rsid w:val="006D099B"/>
    <w:rsid w:val="006D0A2B"/>
    <w:rsid w:val="006D0A69"/>
    <w:rsid w:val="006D0A6D"/>
    <w:rsid w:val="006D0ABC"/>
    <w:rsid w:val="006D0AD6"/>
    <w:rsid w:val="006D0B87"/>
    <w:rsid w:val="006D0BF2"/>
    <w:rsid w:val="006D0CD7"/>
    <w:rsid w:val="006D0D41"/>
    <w:rsid w:val="006D0E50"/>
    <w:rsid w:val="006D1034"/>
    <w:rsid w:val="006D1051"/>
    <w:rsid w:val="006D107F"/>
    <w:rsid w:val="006D10D4"/>
    <w:rsid w:val="006D1184"/>
    <w:rsid w:val="006D1305"/>
    <w:rsid w:val="006D13FF"/>
    <w:rsid w:val="006D14B9"/>
    <w:rsid w:val="006D15CC"/>
    <w:rsid w:val="006D15D3"/>
    <w:rsid w:val="006D1601"/>
    <w:rsid w:val="006D16D3"/>
    <w:rsid w:val="006D1706"/>
    <w:rsid w:val="006D1799"/>
    <w:rsid w:val="006D1949"/>
    <w:rsid w:val="006D1A48"/>
    <w:rsid w:val="006D1B10"/>
    <w:rsid w:val="006D1B6E"/>
    <w:rsid w:val="006D1B9C"/>
    <w:rsid w:val="006D1CBF"/>
    <w:rsid w:val="006D1E17"/>
    <w:rsid w:val="006D1E4C"/>
    <w:rsid w:val="006D1E57"/>
    <w:rsid w:val="006D1E58"/>
    <w:rsid w:val="006D1EE2"/>
    <w:rsid w:val="006D1F41"/>
    <w:rsid w:val="006D1F87"/>
    <w:rsid w:val="006D1F9E"/>
    <w:rsid w:val="006D2051"/>
    <w:rsid w:val="006D20AC"/>
    <w:rsid w:val="006D20D9"/>
    <w:rsid w:val="006D2220"/>
    <w:rsid w:val="006D22AA"/>
    <w:rsid w:val="006D2360"/>
    <w:rsid w:val="006D237E"/>
    <w:rsid w:val="006D2399"/>
    <w:rsid w:val="006D23EA"/>
    <w:rsid w:val="006D2479"/>
    <w:rsid w:val="006D24CD"/>
    <w:rsid w:val="006D24E9"/>
    <w:rsid w:val="006D25E7"/>
    <w:rsid w:val="006D25E8"/>
    <w:rsid w:val="006D280C"/>
    <w:rsid w:val="006D289D"/>
    <w:rsid w:val="006D2954"/>
    <w:rsid w:val="006D29CF"/>
    <w:rsid w:val="006D2B07"/>
    <w:rsid w:val="006D2B4B"/>
    <w:rsid w:val="006D2C33"/>
    <w:rsid w:val="006D2D08"/>
    <w:rsid w:val="006D2D8C"/>
    <w:rsid w:val="006D2E18"/>
    <w:rsid w:val="006D2E5C"/>
    <w:rsid w:val="006D2E70"/>
    <w:rsid w:val="006D2FB0"/>
    <w:rsid w:val="006D2FFE"/>
    <w:rsid w:val="006D300A"/>
    <w:rsid w:val="006D3257"/>
    <w:rsid w:val="006D326D"/>
    <w:rsid w:val="006D3528"/>
    <w:rsid w:val="006D3596"/>
    <w:rsid w:val="006D35D7"/>
    <w:rsid w:val="006D3647"/>
    <w:rsid w:val="006D3667"/>
    <w:rsid w:val="006D3787"/>
    <w:rsid w:val="006D378A"/>
    <w:rsid w:val="006D37D1"/>
    <w:rsid w:val="006D37E0"/>
    <w:rsid w:val="006D38DD"/>
    <w:rsid w:val="006D3946"/>
    <w:rsid w:val="006D39C9"/>
    <w:rsid w:val="006D3A20"/>
    <w:rsid w:val="006D3A4D"/>
    <w:rsid w:val="006D3B16"/>
    <w:rsid w:val="006D3B25"/>
    <w:rsid w:val="006D3B3A"/>
    <w:rsid w:val="006D3B5F"/>
    <w:rsid w:val="006D3BCF"/>
    <w:rsid w:val="006D3C2F"/>
    <w:rsid w:val="006D3C71"/>
    <w:rsid w:val="006D3C87"/>
    <w:rsid w:val="006D3D52"/>
    <w:rsid w:val="006D3D58"/>
    <w:rsid w:val="006D3DB7"/>
    <w:rsid w:val="006D3E6F"/>
    <w:rsid w:val="006D3EC5"/>
    <w:rsid w:val="006D3F2F"/>
    <w:rsid w:val="006D3F92"/>
    <w:rsid w:val="006D3FF1"/>
    <w:rsid w:val="006D4052"/>
    <w:rsid w:val="006D40A9"/>
    <w:rsid w:val="006D41B2"/>
    <w:rsid w:val="006D41F1"/>
    <w:rsid w:val="006D426F"/>
    <w:rsid w:val="006D42D1"/>
    <w:rsid w:val="006D42EC"/>
    <w:rsid w:val="006D4321"/>
    <w:rsid w:val="006D4342"/>
    <w:rsid w:val="006D4428"/>
    <w:rsid w:val="006D4462"/>
    <w:rsid w:val="006D45E6"/>
    <w:rsid w:val="006D469F"/>
    <w:rsid w:val="006D46F0"/>
    <w:rsid w:val="006D47A0"/>
    <w:rsid w:val="006D47F0"/>
    <w:rsid w:val="006D4832"/>
    <w:rsid w:val="006D4883"/>
    <w:rsid w:val="006D4A4C"/>
    <w:rsid w:val="006D4A9E"/>
    <w:rsid w:val="006D4B83"/>
    <w:rsid w:val="006D4C20"/>
    <w:rsid w:val="006D4C32"/>
    <w:rsid w:val="006D4C59"/>
    <w:rsid w:val="006D4C7B"/>
    <w:rsid w:val="006D4D7C"/>
    <w:rsid w:val="006D4DC0"/>
    <w:rsid w:val="006D4E53"/>
    <w:rsid w:val="006D4E5E"/>
    <w:rsid w:val="006D4E7E"/>
    <w:rsid w:val="006D4E9F"/>
    <w:rsid w:val="006D4EF5"/>
    <w:rsid w:val="006D4F09"/>
    <w:rsid w:val="006D4F13"/>
    <w:rsid w:val="006D4F3C"/>
    <w:rsid w:val="006D4F61"/>
    <w:rsid w:val="006D4F94"/>
    <w:rsid w:val="006D4FCC"/>
    <w:rsid w:val="006D5086"/>
    <w:rsid w:val="006D51A4"/>
    <w:rsid w:val="006D5278"/>
    <w:rsid w:val="006D53C0"/>
    <w:rsid w:val="006D53ED"/>
    <w:rsid w:val="006D54FA"/>
    <w:rsid w:val="006D55EF"/>
    <w:rsid w:val="006D56D6"/>
    <w:rsid w:val="006D56EB"/>
    <w:rsid w:val="006D5732"/>
    <w:rsid w:val="006D5832"/>
    <w:rsid w:val="006D58B2"/>
    <w:rsid w:val="006D595D"/>
    <w:rsid w:val="006D59E8"/>
    <w:rsid w:val="006D5A95"/>
    <w:rsid w:val="006D5B8F"/>
    <w:rsid w:val="006D5BA4"/>
    <w:rsid w:val="006D5C5F"/>
    <w:rsid w:val="006D5C80"/>
    <w:rsid w:val="006D5DD1"/>
    <w:rsid w:val="006D5E6B"/>
    <w:rsid w:val="006D5E7E"/>
    <w:rsid w:val="006D5F4F"/>
    <w:rsid w:val="006D5F82"/>
    <w:rsid w:val="006D5FA1"/>
    <w:rsid w:val="006D5FC1"/>
    <w:rsid w:val="006D6036"/>
    <w:rsid w:val="006D61B1"/>
    <w:rsid w:val="006D61D0"/>
    <w:rsid w:val="006D61E9"/>
    <w:rsid w:val="006D6206"/>
    <w:rsid w:val="006D62D7"/>
    <w:rsid w:val="006D6318"/>
    <w:rsid w:val="006D63CD"/>
    <w:rsid w:val="006D658B"/>
    <w:rsid w:val="006D65A3"/>
    <w:rsid w:val="006D66B2"/>
    <w:rsid w:val="006D670C"/>
    <w:rsid w:val="006D6884"/>
    <w:rsid w:val="006D68BD"/>
    <w:rsid w:val="006D69C4"/>
    <w:rsid w:val="006D69DB"/>
    <w:rsid w:val="006D6A17"/>
    <w:rsid w:val="006D6A38"/>
    <w:rsid w:val="006D6B04"/>
    <w:rsid w:val="006D6B4A"/>
    <w:rsid w:val="006D6BAD"/>
    <w:rsid w:val="006D6BDD"/>
    <w:rsid w:val="006D6C2F"/>
    <w:rsid w:val="006D6C6F"/>
    <w:rsid w:val="006D6CA1"/>
    <w:rsid w:val="006D6CB1"/>
    <w:rsid w:val="006D6DF4"/>
    <w:rsid w:val="006D6E12"/>
    <w:rsid w:val="006D6EB8"/>
    <w:rsid w:val="006D6FAB"/>
    <w:rsid w:val="006D7000"/>
    <w:rsid w:val="006D7074"/>
    <w:rsid w:val="006D7079"/>
    <w:rsid w:val="006D7120"/>
    <w:rsid w:val="006D7149"/>
    <w:rsid w:val="006D715D"/>
    <w:rsid w:val="006D71CA"/>
    <w:rsid w:val="006D72AC"/>
    <w:rsid w:val="006D72BD"/>
    <w:rsid w:val="006D7305"/>
    <w:rsid w:val="006D73DA"/>
    <w:rsid w:val="006D749B"/>
    <w:rsid w:val="006D74F3"/>
    <w:rsid w:val="006D74F9"/>
    <w:rsid w:val="006D7543"/>
    <w:rsid w:val="006D7664"/>
    <w:rsid w:val="006D767C"/>
    <w:rsid w:val="006D7681"/>
    <w:rsid w:val="006D7826"/>
    <w:rsid w:val="006D7856"/>
    <w:rsid w:val="006D78E7"/>
    <w:rsid w:val="006D79D6"/>
    <w:rsid w:val="006D7AA4"/>
    <w:rsid w:val="006D7AC5"/>
    <w:rsid w:val="006D7B4D"/>
    <w:rsid w:val="006D7BBA"/>
    <w:rsid w:val="006D7C70"/>
    <w:rsid w:val="006D7DC0"/>
    <w:rsid w:val="006D7F1C"/>
    <w:rsid w:val="006D7F2C"/>
    <w:rsid w:val="006D7F96"/>
    <w:rsid w:val="006E0068"/>
    <w:rsid w:val="006E00F0"/>
    <w:rsid w:val="006E0117"/>
    <w:rsid w:val="006E016F"/>
    <w:rsid w:val="006E0242"/>
    <w:rsid w:val="006E0276"/>
    <w:rsid w:val="006E0292"/>
    <w:rsid w:val="006E035F"/>
    <w:rsid w:val="006E043F"/>
    <w:rsid w:val="006E0449"/>
    <w:rsid w:val="006E069D"/>
    <w:rsid w:val="006E06D2"/>
    <w:rsid w:val="006E06EC"/>
    <w:rsid w:val="006E074B"/>
    <w:rsid w:val="006E080F"/>
    <w:rsid w:val="006E08B0"/>
    <w:rsid w:val="006E08DC"/>
    <w:rsid w:val="006E091D"/>
    <w:rsid w:val="006E0989"/>
    <w:rsid w:val="006E09AA"/>
    <w:rsid w:val="006E09DA"/>
    <w:rsid w:val="006E0B88"/>
    <w:rsid w:val="006E0BA1"/>
    <w:rsid w:val="006E0C94"/>
    <w:rsid w:val="006E0CFE"/>
    <w:rsid w:val="006E0DBB"/>
    <w:rsid w:val="006E0E73"/>
    <w:rsid w:val="006E102F"/>
    <w:rsid w:val="006E1170"/>
    <w:rsid w:val="006E11A2"/>
    <w:rsid w:val="006E11CC"/>
    <w:rsid w:val="006E1259"/>
    <w:rsid w:val="006E137F"/>
    <w:rsid w:val="006E1519"/>
    <w:rsid w:val="006E152C"/>
    <w:rsid w:val="006E15EA"/>
    <w:rsid w:val="006E16E3"/>
    <w:rsid w:val="006E1788"/>
    <w:rsid w:val="006E182F"/>
    <w:rsid w:val="006E184A"/>
    <w:rsid w:val="006E1875"/>
    <w:rsid w:val="006E18D3"/>
    <w:rsid w:val="006E18F5"/>
    <w:rsid w:val="006E1A9F"/>
    <w:rsid w:val="006E1C09"/>
    <w:rsid w:val="006E1C8E"/>
    <w:rsid w:val="006E1CDD"/>
    <w:rsid w:val="006E1CE4"/>
    <w:rsid w:val="006E1E61"/>
    <w:rsid w:val="006E1E62"/>
    <w:rsid w:val="006E1E78"/>
    <w:rsid w:val="006E1F89"/>
    <w:rsid w:val="006E20A8"/>
    <w:rsid w:val="006E2131"/>
    <w:rsid w:val="006E2158"/>
    <w:rsid w:val="006E21BF"/>
    <w:rsid w:val="006E23D4"/>
    <w:rsid w:val="006E26A3"/>
    <w:rsid w:val="006E26C9"/>
    <w:rsid w:val="006E27BA"/>
    <w:rsid w:val="006E2979"/>
    <w:rsid w:val="006E2980"/>
    <w:rsid w:val="006E2A04"/>
    <w:rsid w:val="006E2A20"/>
    <w:rsid w:val="006E2B06"/>
    <w:rsid w:val="006E2B33"/>
    <w:rsid w:val="006E2B69"/>
    <w:rsid w:val="006E2BC0"/>
    <w:rsid w:val="006E2CAE"/>
    <w:rsid w:val="006E2DD5"/>
    <w:rsid w:val="006E2DEB"/>
    <w:rsid w:val="006E2E90"/>
    <w:rsid w:val="006E2F06"/>
    <w:rsid w:val="006E2F0E"/>
    <w:rsid w:val="006E2F4D"/>
    <w:rsid w:val="006E2F7C"/>
    <w:rsid w:val="006E3083"/>
    <w:rsid w:val="006E30E4"/>
    <w:rsid w:val="006E3117"/>
    <w:rsid w:val="006E318A"/>
    <w:rsid w:val="006E31D2"/>
    <w:rsid w:val="006E3226"/>
    <w:rsid w:val="006E32E9"/>
    <w:rsid w:val="006E33EC"/>
    <w:rsid w:val="006E347C"/>
    <w:rsid w:val="006E3536"/>
    <w:rsid w:val="006E358F"/>
    <w:rsid w:val="006E3602"/>
    <w:rsid w:val="006E3613"/>
    <w:rsid w:val="006E36CF"/>
    <w:rsid w:val="006E3734"/>
    <w:rsid w:val="006E3794"/>
    <w:rsid w:val="006E37B8"/>
    <w:rsid w:val="006E3858"/>
    <w:rsid w:val="006E38C1"/>
    <w:rsid w:val="006E3988"/>
    <w:rsid w:val="006E39C1"/>
    <w:rsid w:val="006E3A93"/>
    <w:rsid w:val="006E3B46"/>
    <w:rsid w:val="006E3C6B"/>
    <w:rsid w:val="006E3CA8"/>
    <w:rsid w:val="006E3CFF"/>
    <w:rsid w:val="006E3D41"/>
    <w:rsid w:val="006E3D44"/>
    <w:rsid w:val="006E3D5E"/>
    <w:rsid w:val="006E3DAD"/>
    <w:rsid w:val="006E3F51"/>
    <w:rsid w:val="006E3F61"/>
    <w:rsid w:val="006E3FB5"/>
    <w:rsid w:val="006E3FBC"/>
    <w:rsid w:val="006E407A"/>
    <w:rsid w:val="006E4110"/>
    <w:rsid w:val="006E418A"/>
    <w:rsid w:val="006E4272"/>
    <w:rsid w:val="006E42B3"/>
    <w:rsid w:val="006E441B"/>
    <w:rsid w:val="006E44C1"/>
    <w:rsid w:val="006E44FF"/>
    <w:rsid w:val="006E4615"/>
    <w:rsid w:val="006E4666"/>
    <w:rsid w:val="006E471E"/>
    <w:rsid w:val="006E47F3"/>
    <w:rsid w:val="006E48B8"/>
    <w:rsid w:val="006E4909"/>
    <w:rsid w:val="006E4955"/>
    <w:rsid w:val="006E4995"/>
    <w:rsid w:val="006E49A8"/>
    <w:rsid w:val="006E49AD"/>
    <w:rsid w:val="006E4A09"/>
    <w:rsid w:val="006E4B11"/>
    <w:rsid w:val="006E4CE4"/>
    <w:rsid w:val="006E4CF2"/>
    <w:rsid w:val="006E4D5F"/>
    <w:rsid w:val="006E4DAE"/>
    <w:rsid w:val="006E4DBA"/>
    <w:rsid w:val="006E4DCF"/>
    <w:rsid w:val="006E4F1A"/>
    <w:rsid w:val="006E504F"/>
    <w:rsid w:val="006E508A"/>
    <w:rsid w:val="006E51F0"/>
    <w:rsid w:val="006E5210"/>
    <w:rsid w:val="006E53AB"/>
    <w:rsid w:val="006E5488"/>
    <w:rsid w:val="006E55A6"/>
    <w:rsid w:val="006E5614"/>
    <w:rsid w:val="006E56EF"/>
    <w:rsid w:val="006E5700"/>
    <w:rsid w:val="006E572A"/>
    <w:rsid w:val="006E5767"/>
    <w:rsid w:val="006E5782"/>
    <w:rsid w:val="006E58EB"/>
    <w:rsid w:val="006E59BF"/>
    <w:rsid w:val="006E5A31"/>
    <w:rsid w:val="006E5B1D"/>
    <w:rsid w:val="006E5C39"/>
    <w:rsid w:val="006E5D8E"/>
    <w:rsid w:val="006E5DFA"/>
    <w:rsid w:val="006E5E79"/>
    <w:rsid w:val="006E5E85"/>
    <w:rsid w:val="006E5EA5"/>
    <w:rsid w:val="006E5F42"/>
    <w:rsid w:val="006E5F91"/>
    <w:rsid w:val="006E605E"/>
    <w:rsid w:val="006E6068"/>
    <w:rsid w:val="006E60D5"/>
    <w:rsid w:val="006E61E7"/>
    <w:rsid w:val="006E61EE"/>
    <w:rsid w:val="006E61F1"/>
    <w:rsid w:val="006E6254"/>
    <w:rsid w:val="006E62E5"/>
    <w:rsid w:val="006E633A"/>
    <w:rsid w:val="006E635B"/>
    <w:rsid w:val="006E6382"/>
    <w:rsid w:val="006E63B0"/>
    <w:rsid w:val="006E63CB"/>
    <w:rsid w:val="006E6447"/>
    <w:rsid w:val="006E64ED"/>
    <w:rsid w:val="006E64F0"/>
    <w:rsid w:val="006E6578"/>
    <w:rsid w:val="006E6582"/>
    <w:rsid w:val="006E65A1"/>
    <w:rsid w:val="006E65D7"/>
    <w:rsid w:val="006E670C"/>
    <w:rsid w:val="006E67C1"/>
    <w:rsid w:val="006E67FC"/>
    <w:rsid w:val="006E68E4"/>
    <w:rsid w:val="006E6945"/>
    <w:rsid w:val="006E69BA"/>
    <w:rsid w:val="006E69E6"/>
    <w:rsid w:val="006E69FE"/>
    <w:rsid w:val="006E6A22"/>
    <w:rsid w:val="006E6B59"/>
    <w:rsid w:val="006E6B5D"/>
    <w:rsid w:val="006E6BEB"/>
    <w:rsid w:val="006E6C8E"/>
    <w:rsid w:val="006E6CAB"/>
    <w:rsid w:val="006E6CDD"/>
    <w:rsid w:val="006E6D1F"/>
    <w:rsid w:val="006E6D81"/>
    <w:rsid w:val="006E6ED3"/>
    <w:rsid w:val="006E702E"/>
    <w:rsid w:val="006E7144"/>
    <w:rsid w:val="006E7146"/>
    <w:rsid w:val="006E715D"/>
    <w:rsid w:val="006E7185"/>
    <w:rsid w:val="006E71C3"/>
    <w:rsid w:val="006E71E6"/>
    <w:rsid w:val="006E7309"/>
    <w:rsid w:val="006E73E8"/>
    <w:rsid w:val="006E754B"/>
    <w:rsid w:val="006E7581"/>
    <w:rsid w:val="006E75A5"/>
    <w:rsid w:val="006E75C9"/>
    <w:rsid w:val="006E7701"/>
    <w:rsid w:val="006E774B"/>
    <w:rsid w:val="006E7770"/>
    <w:rsid w:val="006E7783"/>
    <w:rsid w:val="006E77B3"/>
    <w:rsid w:val="006E77B6"/>
    <w:rsid w:val="006E77C4"/>
    <w:rsid w:val="006E780D"/>
    <w:rsid w:val="006E78E7"/>
    <w:rsid w:val="006E7909"/>
    <w:rsid w:val="006E7957"/>
    <w:rsid w:val="006E7A0F"/>
    <w:rsid w:val="006E7AB8"/>
    <w:rsid w:val="006E7ABF"/>
    <w:rsid w:val="006E7AF4"/>
    <w:rsid w:val="006E7B3C"/>
    <w:rsid w:val="006E7B99"/>
    <w:rsid w:val="006E7C38"/>
    <w:rsid w:val="006E7E1B"/>
    <w:rsid w:val="006E7EE9"/>
    <w:rsid w:val="006E7F54"/>
    <w:rsid w:val="006E7F8C"/>
    <w:rsid w:val="006E7FCD"/>
    <w:rsid w:val="006F000D"/>
    <w:rsid w:val="006F0029"/>
    <w:rsid w:val="006F003F"/>
    <w:rsid w:val="006F0068"/>
    <w:rsid w:val="006F018A"/>
    <w:rsid w:val="006F03F2"/>
    <w:rsid w:val="006F04C2"/>
    <w:rsid w:val="006F04FA"/>
    <w:rsid w:val="006F05F9"/>
    <w:rsid w:val="006F067F"/>
    <w:rsid w:val="006F06F0"/>
    <w:rsid w:val="006F0755"/>
    <w:rsid w:val="006F0784"/>
    <w:rsid w:val="006F0886"/>
    <w:rsid w:val="006F08D5"/>
    <w:rsid w:val="006F0A03"/>
    <w:rsid w:val="006F0A46"/>
    <w:rsid w:val="006F0AF3"/>
    <w:rsid w:val="006F0B7D"/>
    <w:rsid w:val="006F0BF7"/>
    <w:rsid w:val="006F0C27"/>
    <w:rsid w:val="006F0C40"/>
    <w:rsid w:val="006F0C84"/>
    <w:rsid w:val="006F0C91"/>
    <w:rsid w:val="006F0CF4"/>
    <w:rsid w:val="006F0D35"/>
    <w:rsid w:val="006F0DDE"/>
    <w:rsid w:val="006F0EA6"/>
    <w:rsid w:val="006F0EBC"/>
    <w:rsid w:val="006F0F51"/>
    <w:rsid w:val="006F0FBE"/>
    <w:rsid w:val="006F0FF2"/>
    <w:rsid w:val="006F1088"/>
    <w:rsid w:val="006F10D5"/>
    <w:rsid w:val="006F10E6"/>
    <w:rsid w:val="006F11BA"/>
    <w:rsid w:val="006F11F6"/>
    <w:rsid w:val="006F12A4"/>
    <w:rsid w:val="006F1313"/>
    <w:rsid w:val="006F13CA"/>
    <w:rsid w:val="006F13E5"/>
    <w:rsid w:val="006F147C"/>
    <w:rsid w:val="006F148B"/>
    <w:rsid w:val="006F1490"/>
    <w:rsid w:val="006F1497"/>
    <w:rsid w:val="006F1503"/>
    <w:rsid w:val="006F152C"/>
    <w:rsid w:val="006F1645"/>
    <w:rsid w:val="006F16B0"/>
    <w:rsid w:val="006F1757"/>
    <w:rsid w:val="006F177C"/>
    <w:rsid w:val="006F1808"/>
    <w:rsid w:val="006F1905"/>
    <w:rsid w:val="006F1A19"/>
    <w:rsid w:val="006F1A47"/>
    <w:rsid w:val="006F1AC2"/>
    <w:rsid w:val="006F1B12"/>
    <w:rsid w:val="006F1B41"/>
    <w:rsid w:val="006F1B68"/>
    <w:rsid w:val="006F1C1A"/>
    <w:rsid w:val="006F1C5D"/>
    <w:rsid w:val="006F1D2C"/>
    <w:rsid w:val="006F1DE0"/>
    <w:rsid w:val="006F1DEE"/>
    <w:rsid w:val="006F1EE6"/>
    <w:rsid w:val="006F1F8D"/>
    <w:rsid w:val="006F2083"/>
    <w:rsid w:val="006F2097"/>
    <w:rsid w:val="006F2156"/>
    <w:rsid w:val="006F22A5"/>
    <w:rsid w:val="006F22C3"/>
    <w:rsid w:val="006F231F"/>
    <w:rsid w:val="006F23B1"/>
    <w:rsid w:val="006F265B"/>
    <w:rsid w:val="006F26CC"/>
    <w:rsid w:val="006F2774"/>
    <w:rsid w:val="006F284F"/>
    <w:rsid w:val="006F2877"/>
    <w:rsid w:val="006F28CA"/>
    <w:rsid w:val="006F294F"/>
    <w:rsid w:val="006F2AEA"/>
    <w:rsid w:val="006F2B17"/>
    <w:rsid w:val="006F2B9A"/>
    <w:rsid w:val="006F2C7D"/>
    <w:rsid w:val="006F2C95"/>
    <w:rsid w:val="006F2F41"/>
    <w:rsid w:val="006F3027"/>
    <w:rsid w:val="006F3040"/>
    <w:rsid w:val="006F3070"/>
    <w:rsid w:val="006F30E9"/>
    <w:rsid w:val="006F30F7"/>
    <w:rsid w:val="006F316D"/>
    <w:rsid w:val="006F3198"/>
    <w:rsid w:val="006F31D0"/>
    <w:rsid w:val="006F3243"/>
    <w:rsid w:val="006F3272"/>
    <w:rsid w:val="006F333C"/>
    <w:rsid w:val="006F33F7"/>
    <w:rsid w:val="006F34C3"/>
    <w:rsid w:val="006F34F9"/>
    <w:rsid w:val="006F3513"/>
    <w:rsid w:val="006F3561"/>
    <w:rsid w:val="006F35E6"/>
    <w:rsid w:val="006F364C"/>
    <w:rsid w:val="006F36C9"/>
    <w:rsid w:val="006F374C"/>
    <w:rsid w:val="006F3760"/>
    <w:rsid w:val="006F382B"/>
    <w:rsid w:val="006F383F"/>
    <w:rsid w:val="006F389D"/>
    <w:rsid w:val="006F390E"/>
    <w:rsid w:val="006F39A8"/>
    <w:rsid w:val="006F39DB"/>
    <w:rsid w:val="006F3AE5"/>
    <w:rsid w:val="006F3B16"/>
    <w:rsid w:val="006F3BAB"/>
    <w:rsid w:val="006F3CA9"/>
    <w:rsid w:val="006F3CAF"/>
    <w:rsid w:val="006F3CD3"/>
    <w:rsid w:val="006F3E51"/>
    <w:rsid w:val="006F3E74"/>
    <w:rsid w:val="006F3E86"/>
    <w:rsid w:val="006F4184"/>
    <w:rsid w:val="006F41F5"/>
    <w:rsid w:val="006F42B2"/>
    <w:rsid w:val="006F42D7"/>
    <w:rsid w:val="006F43E5"/>
    <w:rsid w:val="006F44B3"/>
    <w:rsid w:val="006F44C1"/>
    <w:rsid w:val="006F45F2"/>
    <w:rsid w:val="006F45FA"/>
    <w:rsid w:val="006F4727"/>
    <w:rsid w:val="006F4765"/>
    <w:rsid w:val="006F4799"/>
    <w:rsid w:val="006F479C"/>
    <w:rsid w:val="006F47D2"/>
    <w:rsid w:val="006F48D6"/>
    <w:rsid w:val="006F4925"/>
    <w:rsid w:val="006F4943"/>
    <w:rsid w:val="006F49F1"/>
    <w:rsid w:val="006F4AA0"/>
    <w:rsid w:val="006F4AAB"/>
    <w:rsid w:val="006F4B2D"/>
    <w:rsid w:val="006F4B40"/>
    <w:rsid w:val="006F4B61"/>
    <w:rsid w:val="006F4C3C"/>
    <w:rsid w:val="006F4F17"/>
    <w:rsid w:val="006F4F71"/>
    <w:rsid w:val="006F5048"/>
    <w:rsid w:val="006F5178"/>
    <w:rsid w:val="006F51D3"/>
    <w:rsid w:val="006F52AB"/>
    <w:rsid w:val="006F5308"/>
    <w:rsid w:val="006F5336"/>
    <w:rsid w:val="006F5406"/>
    <w:rsid w:val="006F5418"/>
    <w:rsid w:val="006F5437"/>
    <w:rsid w:val="006F546C"/>
    <w:rsid w:val="006F552E"/>
    <w:rsid w:val="006F5556"/>
    <w:rsid w:val="006F55C1"/>
    <w:rsid w:val="006F5669"/>
    <w:rsid w:val="006F567B"/>
    <w:rsid w:val="006F56A5"/>
    <w:rsid w:val="006F5739"/>
    <w:rsid w:val="006F5760"/>
    <w:rsid w:val="006F5768"/>
    <w:rsid w:val="006F578A"/>
    <w:rsid w:val="006F57CF"/>
    <w:rsid w:val="006F5815"/>
    <w:rsid w:val="006F583B"/>
    <w:rsid w:val="006F5850"/>
    <w:rsid w:val="006F5960"/>
    <w:rsid w:val="006F5AA7"/>
    <w:rsid w:val="006F5AE6"/>
    <w:rsid w:val="006F5B54"/>
    <w:rsid w:val="006F5C05"/>
    <w:rsid w:val="006F5C2B"/>
    <w:rsid w:val="006F5E44"/>
    <w:rsid w:val="006F5E78"/>
    <w:rsid w:val="006F5E7C"/>
    <w:rsid w:val="006F5F0E"/>
    <w:rsid w:val="006F5F7B"/>
    <w:rsid w:val="006F631E"/>
    <w:rsid w:val="006F63AB"/>
    <w:rsid w:val="006F63DC"/>
    <w:rsid w:val="006F6426"/>
    <w:rsid w:val="006F64E8"/>
    <w:rsid w:val="006F6505"/>
    <w:rsid w:val="006F650B"/>
    <w:rsid w:val="006F6628"/>
    <w:rsid w:val="006F6633"/>
    <w:rsid w:val="006F66B7"/>
    <w:rsid w:val="006F66E8"/>
    <w:rsid w:val="006F6715"/>
    <w:rsid w:val="006F673D"/>
    <w:rsid w:val="006F6786"/>
    <w:rsid w:val="006F678E"/>
    <w:rsid w:val="006F683F"/>
    <w:rsid w:val="006F68A2"/>
    <w:rsid w:val="006F6924"/>
    <w:rsid w:val="006F6998"/>
    <w:rsid w:val="006F6A85"/>
    <w:rsid w:val="006F6A94"/>
    <w:rsid w:val="006F6B48"/>
    <w:rsid w:val="006F6B6E"/>
    <w:rsid w:val="006F6BBD"/>
    <w:rsid w:val="006F6D3D"/>
    <w:rsid w:val="006F6D3F"/>
    <w:rsid w:val="006F6DCE"/>
    <w:rsid w:val="006F6DF0"/>
    <w:rsid w:val="006F6E30"/>
    <w:rsid w:val="006F6FB5"/>
    <w:rsid w:val="006F6FF3"/>
    <w:rsid w:val="006F7103"/>
    <w:rsid w:val="006F7182"/>
    <w:rsid w:val="006F718B"/>
    <w:rsid w:val="006F71FD"/>
    <w:rsid w:val="006F7272"/>
    <w:rsid w:val="006F7300"/>
    <w:rsid w:val="006F739F"/>
    <w:rsid w:val="006F7418"/>
    <w:rsid w:val="006F74AF"/>
    <w:rsid w:val="006F7515"/>
    <w:rsid w:val="006F75E8"/>
    <w:rsid w:val="006F7636"/>
    <w:rsid w:val="006F76ED"/>
    <w:rsid w:val="006F7931"/>
    <w:rsid w:val="006F79A9"/>
    <w:rsid w:val="006F79C9"/>
    <w:rsid w:val="006F7A3A"/>
    <w:rsid w:val="006F7A70"/>
    <w:rsid w:val="006F7ABA"/>
    <w:rsid w:val="006F7B09"/>
    <w:rsid w:val="006F7B5D"/>
    <w:rsid w:val="006F7B8D"/>
    <w:rsid w:val="006F7BE7"/>
    <w:rsid w:val="006F7C3D"/>
    <w:rsid w:val="006F7D23"/>
    <w:rsid w:val="006F7D64"/>
    <w:rsid w:val="006F7E2E"/>
    <w:rsid w:val="006F7E70"/>
    <w:rsid w:val="006F7EC6"/>
    <w:rsid w:val="006F7F4A"/>
    <w:rsid w:val="006F7F54"/>
    <w:rsid w:val="00700008"/>
    <w:rsid w:val="0070000E"/>
    <w:rsid w:val="007000BF"/>
    <w:rsid w:val="007000E7"/>
    <w:rsid w:val="00700103"/>
    <w:rsid w:val="0070011B"/>
    <w:rsid w:val="00700139"/>
    <w:rsid w:val="0070013D"/>
    <w:rsid w:val="00700163"/>
    <w:rsid w:val="0070017E"/>
    <w:rsid w:val="00700327"/>
    <w:rsid w:val="00700388"/>
    <w:rsid w:val="00700429"/>
    <w:rsid w:val="007004A0"/>
    <w:rsid w:val="007004CF"/>
    <w:rsid w:val="00700561"/>
    <w:rsid w:val="0070059F"/>
    <w:rsid w:val="007006F1"/>
    <w:rsid w:val="007006F7"/>
    <w:rsid w:val="0070071B"/>
    <w:rsid w:val="0070078B"/>
    <w:rsid w:val="007007C7"/>
    <w:rsid w:val="0070090B"/>
    <w:rsid w:val="0070093A"/>
    <w:rsid w:val="007009CB"/>
    <w:rsid w:val="007009D9"/>
    <w:rsid w:val="00700AE5"/>
    <w:rsid w:val="00700B93"/>
    <w:rsid w:val="00700BE7"/>
    <w:rsid w:val="00700DEE"/>
    <w:rsid w:val="00700DF6"/>
    <w:rsid w:val="00700F34"/>
    <w:rsid w:val="00700F85"/>
    <w:rsid w:val="00700FD2"/>
    <w:rsid w:val="00700FED"/>
    <w:rsid w:val="00700FEF"/>
    <w:rsid w:val="00701059"/>
    <w:rsid w:val="00701100"/>
    <w:rsid w:val="00701150"/>
    <w:rsid w:val="00701230"/>
    <w:rsid w:val="007012A7"/>
    <w:rsid w:val="00701353"/>
    <w:rsid w:val="007013BC"/>
    <w:rsid w:val="0070145F"/>
    <w:rsid w:val="007014ED"/>
    <w:rsid w:val="00701542"/>
    <w:rsid w:val="007015E1"/>
    <w:rsid w:val="00701762"/>
    <w:rsid w:val="00701890"/>
    <w:rsid w:val="00701911"/>
    <w:rsid w:val="0070195A"/>
    <w:rsid w:val="00701B76"/>
    <w:rsid w:val="00701BAD"/>
    <w:rsid w:val="00701C53"/>
    <w:rsid w:val="00701C69"/>
    <w:rsid w:val="00701C8A"/>
    <w:rsid w:val="00701CB8"/>
    <w:rsid w:val="00701D0F"/>
    <w:rsid w:val="00701DBE"/>
    <w:rsid w:val="00701E2F"/>
    <w:rsid w:val="00701E66"/>
    <w:rsid w:val="00701E67"/>
    <w:rsid w:val="00701E7C"/>
    <w:rsid w:val="00701EBE"/>
    <w:rsid w:val="00701EE1"/>
    <w:rsid w:val="00701F9F"/>
    <w:rsid w:val="00702239"/>
    <w:rsid w:val="00702320"/>
    <w:rsid w:val="00702355"/>
    <w:rsid w:val="00702380"/>
    <w:rsid w:val="007024F8"/>
    <w:rsid w:val="0070256E"/>
    <w:rsid w:val="00702578"/>
    <w:rsid w:val="007025E5"/>
    <w:rsid w:val="0070261E"/>
    <w:rsid w:val="007026C8"/>
    <w:rsid w:val="0070281A"/>
    <w:rsid w:val="007028E3"/>
    <w:rsid w:val="007029D0"/>
    <w:rsid w:val="00702A24"/>
    <w:rsid w:val="00702A40"/>
    <w:rsid w:val="00702A92"/>
    <w:rsid w:val="00702B13"/>
    <w:rsid w:val="00702B28"/>
    <w:rsid w:val="00702B6B"/>
    <w:rsid w:val="00702C8C"/>
    <w:rsid w:val="00702CAE"/>
    <w:rsid w:val="00702CED"/>
    <w:rsid w:val="00702EE8"/>
    <w:rsid w:val="00702EFA"/>
    <w:rsid w:val="0070307B"/>
    <w:rsid w:val="0070308C"/>
    <w:rsid w:val="007030E9"/>
    <w:rsid w:val="00703191"/>
    <w:rsid w:val="00703207"/>
    <w:rsid w:val="00703213"/>
    <w:rsid w:val="007032A2"/>
    <w:rsid w:val="00703330"/>
    <w:rsid w:val="00703336"/>
    <w:rsid w:val="0070347F"/>
    <w:rsid w:val="007034BD"/>
    <w:rsid w:val="00703522"/>
    <w:rsid w:val="0070356A"/>
    <w:rsid w:val="007035FB"/>
    <w:rsid w:val="0070369C"/>
    <w:rsid w:val="007036C7"/>
    <w:rsid w:val="007036DF"/>
    <w:rsid w:val="0070378E"/>
    <w:rsid w:val="00703797"/>
    <w:rsid w:val="007037B3"/>
    <w:rsid w:val="0070381A"/>
    <w:rsid w:val="00703864"/>
    <w:rsid w:val="00703899"/>
    <w:rsid w:val="007038DA"/>
    <w:rsid w:val="00703938"/>
    <w:rsid w:val="0070394E"/>
    <w:rsid w:val="00703BB4"/>
    <w:rsid w:val="00703BC2"/>
    <w:rsid w:val="00703C1C"/>
    <w:rsid w:val="00703D47"/>
    <w:rsid w:val="00703DE2"/>
    <w:rsid w:val="00703DE3"/>
    <w:rsid w:val="00703E73"/>
    <w:rsid w:val="00703EB7"/>
    <w:rsid w:val="00703F8F"/>
    <w:rsid w:val="00703F9E"/>
    <w:rsid w:val="00703FA4"/>
    <w:rsid w:val="00704004"/>
    <w:rsid w:val="00704033"/>
    <w:rsid w:val="00704137"/>
    <w:rsid w:val="0070418B"/>
    <w:rsid w:val="0070420A"/>
    <w:rsid w:val="00704271"/>
    <w:rsid w:val="0070428A"/>
    <w:rsid w:val="0070429E"/>
    <w:rsid w:val="007042EA"/>
    <w:rsid w:val="0070438A"/>
    <w:rsid w:val="0070445D"/>
    <w:rsid w:val="00704475"/>
    <w:rsid w:val="007044B6"/>
    <w:rsid w:val="0070452A"/>
    <w:rsid w:val="00704590"/>
    <w:rsid w:val="007045AF"/>
    <w:rsid w:val="007045F6"/>
    <w:rsid w:val="007046CF"/>
    <w:rsid w:val="0070470A"/>
    <w:rsid w:val="00704736"/>
    <w:rsid w:val="00704751"/>
    <w:rsid w:val="00704872"/>
    <w:rsid w:val="0070490F"/>
    <w:rsid w:val="0070493A"/>
    <w:rsid w:val="00704978"/>
    <w:rsid w:val="00704AF4"/>
    <w:rsid w:val="00704B02"/>
    <w:rsid w:val="00704B1E"/>
    <w:rsid w:val="00704B3C"/>
    <w:rsid w:val="00704B82"/>
    <w:rsid w:val="00704B84"/>
    <w:rsid w:val="00704BCC"/>
    <w:rsid w:val="00704C3B"/>
    <w:rsid w:val="00704C81"/>
    <w:rsid w:val="00704CA1"/>
    <w:rsid w:val="00704DF8"/>
    <w:rsid w:val="00704E7F"/>
    <w:rsid w:val="00704ECF"/>
    <w:rsid w:val="00704EF9"/>
    <w:rsid w:val="00704FA2"/>
    <w:rsid w:val="00704FE4"/>
    <w:rsid w:val="0070506B"/>
    <w:rsid w:val="007050AB"/>
    <w:rsid w:val="007050DF"/>
    <w:rsid w:val="00705163"/>
    <w:rsid w:val="00705170"/>
    <w:rsid w:val="00705193"/>
    <w:rsid w:val="007051EE"/>
    <w:rsid w:val="00705245"/>
    <w:rsid w:val="0070525C"/>
    <w:rsid w:val="0070536F"/>
    <w:rsid w:val="00705388"/>
    <w:rsid w:val="00705450"/>
    <w:rsid w:val="0070545D"/>
    <w:rsid w:val="0070553A"/>
    <w:rsid w:val="007055BF"/>
    <w:rsid w:val="007055FD"/>
    <w:rsid w:val="00705755"/>
    <w:rsid w:val="0070588E"/>
    <w:rsid w:val="00705968"/>
    <w:rsid w:val="00705984"/>
    <w:rsid w:val="007059AC"/>
    <w:rsid w:val="00705A35"/>
    <w:rsid w:val="00705B4F"/>
    <w:rsid w:val="00705C88"/>
    <w:rsid w:val="00705DD3"/>
    <w:rsid w:val="00705E5F"/>
    <w:rsid w:val="00705E77"/>
    <w:rsid w:val="00705EEF"/>
    <w:rsid w:val="00705F45"/>
    <w:rsid w:val="00705F50"/>
    <w:rsid w:val="00705F5C"/>
    <w:rsid w:val="00705F91"/>
    <w:rsid w:val="00705FC2"/>
    <w:rsid w:val="0070618B"/>
    <w:rsid w:val="0070620E"/>
    <w:rsid w:val="00706220"/>
    <w:rsid w:val="00706258"/>
    <w:rsid w:val="0070628A"/>
    <w:rsid w:val="0070628C"/>
    <w:rsid w:val="0070636A"/>
    <w:rsid w:val="0070645E"/>
    <w:rsid w:val="00706481"/>
    <w:rsid w:val="00706499"/>
    <w:rsid w:val="007064F8"/>
    <w:rsid w:val="007065A5"/>
    <w:rsid w:val="00706654"/>
    <w:rsid w:val="00706719"/>
    <w:rsid w:val="0070674D"/>
    <w:rsid w:val="0070675A"/>
    <w:rsid w:val="007067EE"/>
    <w:rsid w:val="0070695D"/>
    <w:rsid w:val="0070696F"/>
    <w:rsid w:val="007069BB"/>
    <w:rsid w:val="007069CD"/>
    <w:rsid w:val="00706AF5"/>
    <w:rsid w:val="00706B48"/>
    <w:rsid w:val="00706B55"/>
    <w:rsid w:val="00706C06"/>
    <w:rsid w:val="00706CA9"/>
    <w:rsid w:val="00706D37"/>
    <w:rsid w:val="00706DD6"/>
    <w:rsid w:val="00706EB3"/>
    <w:rsid w:val="00706F9F"/>
    <w:rsid w:val="00706FDE"/>
    <w:rsid w:val="007070D3"/>
    <w:rsid w:val="007071A1"/>
    <w:rsid w:val="0070722D"/>
    <w:rsid w:val="007072C0"/>
    <w:rsid w:val="007072C4"/>
    <w:rsid w:val="007072E2"/>
    <w:rsid w:val="007073A9"/>
    <w:rsid w:val="007074C2"/>
    <w:rsid w:val="00707521"/>
    <w:rsid w:val="00707580"/>
    <w:rsid w:val="007075DF"/>
    <w:rsid w:val="007075F0"/>
    <w:rsid w:val="007076ED"/>
    <w:rsid w:val="00707814"/>
    <w:rsid w:val="0070781D"/>
    <w:rsid w:val="00707863"/>
    <w:rsid w:val="007079AC"/>
    <w:rsid w:val="00707AAE"/>
    <w:rsid w:val="00707B86"/>
    <w:rsid w:val="00707C4F"/>
    <w:rsid w:val="00707CD1"/>
    <w:rsid w:val="00707CDA"/>
    <w:rsid w:val="00707CF1"/>
    <w:rsid w:val="00707D4C"/>
    <w:rsid w:val="00707DA6"/>
    <w:rsid w:val="00707E30"/>
    <w:rsid w:val="00707E41"/>
    <w:rsid w:val="00707EF4"/>
    <w:rsid w:val="00707F41"/>
    <w:rsid w:val="0070BBC9"/>
    <w:rsid w:val="00710122"/>
    <w:rsid w:val="00710175"/>
    <w:rsid w:val="0071017E"/>
    <w:rsid w:val="007102C0"/>
    <w:rsid w:val="0071031C"/>
    <w:rsid w:val="00710381"/>
    <w:rsid w:val="00710406"/>
    <w:rsid w:val="00710591"/>
    <w:rsid w:val="00710674"/>
    <w:rsid w:val="007106CC"/>
    <w:rsid w:val="00710705"/>
    <w:rsid w:val="007107CF"/>
    <w:rsid w:val="007108D4"/>
    <w:rsid w:val="007108F1"/>
    <w:rsid w:val="007108F3"/>
    <w:rsid w:val="00710984"/>
    <w:rsid w:val="00710993"/>
    <w:rsid w:val="00710A55"/>
    <w:rsid w:val="00710A70"/>
    <w:rsid w:val="00710A85"/>
    <w:rsid w:val="00710ABA"/>
    <w:rsid w:val="00710BDB"/>
    <w:rsid w:val="00710C06"/>
    <w:rsid w:val="00710D87"/>
    <w:rsid w:val="00710E2F"/>
    <w:rsid w:val="00710E39"/>
    <w:rsid w:val="00710E88"/>
    <w:rsid w:val="00710EF4"/>
    <w:rsid w:val="00710FC2"/>
    <w:rsid w:val="0071102D"/>
    <w:rsid w:val="007110A8"/>
    <w:rsid w:val="00711134"/>
    <w:rsid w:val="007111AE"/>
    <w:rsid w:val="00711272"/>
    <w:rsid w:val="0071129A"/>
    <w:rsid w:val="0071129E"/>
    <w:rsid w:val="00711331"/>
    <w:rsid w:val="0071134F"/>
    <w:rsid w:val="00711428"/>
    <w:rsid w:val="00711484"/>
    <w:rsid w:val="007115DD"/>
    <w:rsid w:val="007115F1"/>
    <w:rsid w:val="007116B8"/>
    <w:rsid w:val="007116D0"/>
    <w:rsid w:val="0071182D"/>
    <w:rsid w:val="0071189C"/>
    <w:rsid w:val="0071196E"/>
    <w:rsid w:val="007119BE"/>
    <w:rsid w:val="00711A51"/>
    <w:rsid w:val="00711A6F"/>
    <w:rsid w:val="00711C95"/>
    <w:rsid w:val="00711D27"/>
    <w:rsid w:val="00711DEE"/>
    <w:rsid w:val="00711E22"/>
    <w:rsid w:val="00711ED1"/>
    <w:rsid w:val="00711EDF"/>
    <w:rsid w:val="00711F8A"/>
    <w:rsid w:val="00712027"/>
    <w:rsid w:val="00712071"/>
    <w:rsid w:val="007120AE"/>
    <w:rsid w:val="007121A4"/>
    <w:rsid w:val="007121AE"/>
    <w:rsid w:val="007121D1"/>
    <w:rsid w:val="007121D9"/>
    <w:rsid w:val="007121E2"/>
    <w:rsid w:val="0071223D"/>
    <w:rsid w:val="00712355"/>
    <w:rsid w:val="007123A4"/>
    <w:rsid w:val="0071244A"/>
    <w:rsid w:val="0071251B"/>
    <w:rsid w:val="00712653"/>
    <w:rsid w:val="00712674"/>
    <w:rsid w:val="0071278F"/>
    <w:rsid w:val="007127BA"/>
    <w:rsid w:val="0071284D"/>
    <w:rsid w:val="0071285D"/>
    <w:rsid w:val="007128B7"/>
    <w:rsid w:val="00712916"/>
    <w:rsid w:val="0071295F"/>
    <w:rsid w:val="0071296D"/>
    <w:rsid w:val="00712ACF"/>
    <w:rsid w:val="00712B7D"/>
    <w:rsid w:val="00712BA4"/>
    <w:rsid w:val="00712BC3"/>
    <w:rsid w:val="00712D9A"/>
    <w:rsid w:val="00712E34"/>
    <w:rsid w:val="00712E40"/>
    <w:rsid w:val="00712E56"/>
    <w:rsid w:val="00712E79"/>
    <w:rsid w:val="00712E7C"/>
    <w:rsid w:val="00712EBD"/>
    <w:rsid w:val="00712EC6"/>
    <w:rsid w:val="00712F0D"/>
    <w:rsid w:val="00712F3E"/>
    <w:rsid w:val="00713135"/>
    <w:rsid w:val="00713164"/>
    <w:rsid w:val="007131A9"/>
    <w:rsid w:val="007131C8"/>
    <w:rsid w:val="00713283"/>
    <w:rsid w:val="00713461"/>
    <w:rsid w:val="007134C5"/>
    <w:rsid w:val="00713505"/>
    <w:rsid w:val="007135D7"/>
    <w:rsid w:val="00713659"/>
    <w:rsid w:val="007136B2"/>
    <w:rsid w:val="00713727"/>
    <w:rsid w:val="00713728"/>
    <w:rsid w:val="00713793"/>
    <w:rsid w:val="007137D4"/>
    <w:rsid w:val="00713815"/>
    <w:rsid w:val="00713850"/>
    <w:rsid w:val="007138AE"/>
    <w:rsid w:val="007138C2"/>
    <w:rsid w:val="0071390F"/>
    <w:rsid w:val="00713913"/>
    <w:rsid w:val="00713AB9"/>
    <w:rsid w:val="00713B4E"/>
    <w:rsid w:val="00713CF0"/>
    <w:rsid w:val="00713DAA"/>
    <w:rsid w:val="00713EB9"/>
    <w:rsid w:val="00713F41"/>
    <w:rsid w:val="00713FEB"/>
    <w:rsid w:val="0071409F"/>
    <w:rsid w:val="007140F7"/>
    <w:rsid w:val="00714160"/>
    <w:rsid w:val="00714200"/>
    <w:rsid w:val="00714264"/>
    <w:rsid w:val="0071437C"/>
    <w:rsid w:val="00714488"/>
    <w:rsid w:val="007144E4"/>
    <w:rsid w:val="00714518"/>
    <w:rsid w:val="0071465D"/>
    <w:rsid w:val="0071472E"/>
    <w:rsid w:val="0071473E"/>
    <w:rsid w:val="007148A9"/>
    <w:rsid w:val="007149B7"/>
    <w:rsid w:val="007149D4"/>
    <w:rsid w:val="00714ACF"/>
    <w:rsid w:val="00714BBA"/>
    <w:rsid w:val="00714BFB"/>
    <w:rsid w:val="00714C87"/>
    <w:rsid w:val="00714CBD"/>
    <w:rsid w:val="00714D76"/>
    <w:rsid w:val="00714DD7"/>
    <w:rsid w:val="00714E95"/>
    <w:rsid w:val="0071503D"/>
    <w:rsid w:val="007150C2"/>
    <w:rsid w:val="00715109"/>
    <w:rsid w:val="00715149"/>
    <w:rsid w:val="0071518A"/>
    <w:rsid w:val="007151B8"/>
    <w:rsid w:val="007151C3"/>
    <w:rsid w:val="0071521D"/>
    <w:rsid w:val="0071524C"/>
    <w:rsid w:val="00715392"/>
    <w:rsid w:val="007154CD"/>
    <w:rsid w:val="00715541"/>
    <w:rsid w:val="00715552"/>
    <w:rsid w:val="0071557A"/>
    <w:rsid w:val="007155BF"/>
    <w:rsid w:val="007157C4"/>
    <w:rsid w:val="007158A7"/>
    <w:rsid w:val="007158C6"/>
    <w:rsid w:val="007158F3"/>
    <w:rsid w:val="007158F9"/>
    <w:rsid w:val="007159FC"/>
    <w:rsid w:val="00715A2A"/>
    <w:rsid w:val="00715A78"/>
    <w:rsid w:val="00715A7A"/>
    <w:rsid w:val="00715AE5"/>
    <w:rsid w:val="00715BCF"/>
    <w:rsid w:val="00715C33"/>
    <w:rsid w:val="00715C4E"/>
    <w:rsid w:val="00715C65"/>
    <w:rsid w:val="00715CF9"/>
    <w:rsid w:val="00715D7B"/>
    <w:rsid w:val="00715DF3"/>
    <w:rsid w:val="00715E67"/>
    <w:rsid w:val="00715EA9"/>
    <w:rsid w:val="00715EAC"/>
    <w:rsid w:val="00715F1F"/>
    <w:rsid w:val="00715F55"/>
    <w:rsid w:val="00715F65"/>
    <w:rsid w:val="00715FA9"/>
    <w:rsid w:val="0071603E"/>
    <w:rsid w:val="00716085"/>
    <w:rsid w:val="00716098"/>
    <w:rsid w:val="007160A2"/>
    <w:rsid w:val="007162BE"/>
    <w:rsid w:val="00716359"/>
    <w:rsid w:val="0071649D"/>
    <w:rsid w:val="007164E1"/>
    <w:rsid w:val="00716616"/>
    <w:rsid w:val="007166A0"/>
    <w:rsid w:val="0071670B"/>
    <w:rsid w:val="007168C9"/>
    <w:rsid w:val="0071693F"/>
    <w:rsid w:val="00716957"/>
    <w:rsid w:val="007169E7"/>
    <w:rsid w:val="00716B61"/>
    <w:rsid w:val="00716C04"/>
    <w:rsid w:val="00716C55"/>
    <w:rsid w:val="00716C58"/>
    <w:rsid w:val="00716E34"/>
    <w:rsid w:val="00716EC0"/>
    <w:rsid w:val="00716EE5"/>
    <w:rsid w:val="00716F55"/>
    <w:rsid w:val="00717024"/>
    <w:rsid w:val="00717065"/>
    <w:rsid w:val="00717387"/>
    <w:rsid w:val="007173CB"/>
    <w:rsid w:val="007174A5"/>
    <w:rsid w:val="007174FF"/>
    <w:rsid w:val="00717516"/>
    <w:rsid w:val="00717662"/>
    <w:rsid w:val="007176DC"/>
    <w:rsid w:val="00717783"/>
    <w:rsid w:val="007177A1"/>
    <w:rsid w:val="0071783B"/>
    <w:rsid w:val="007179C4"/>
    <w:rsid w:val="007179DF"/>
    <w:rsid w:val="00717A68"/>
    <w:rsid w:val="00717B1A"/>
    <w:rsid w:val="00717B85"/>
    <w:rsid w:val="00717BA8"/>
    <w:rsid w:val="00717BCE"/>
    <w:rsid w:val="00717C50"/>
    <w:rsid w:val="00717C8A"/>
    <w:rsid w:val="00717D33"/>
    <w:rsid w:val="00717DC5"/>
    <w:rsid w:val="00717DCF"/>
    <w:rsid w:val="00717DD7"/>
    <w:rsid w:val="00717DEB"/>
    <w:rsid w:val="00717E5C"/>
    <w:rsid w:val="00717E94"/>
    <w:rsid w:val="00717F50"/>
    <w:rsid w:val="00720123"/>
    <w:rsid w:val="00720195"/>
    <w:rsid w:val="007201C7"/>
    <w:rsid w:val="00720239"/>
    <w:rsid w:val="00720268"/>
    <w:rsid w:val="007202DC"/>
    <w:rsid w:val="007202F2"/>
    <w:rsid w:val="00720305"/>
    <w:rsid w:val="0072034C"/>
    <w:rsid w:val="00720363"/>
    <w:rsid w:val="0072039B"/>
    <w:rsid w:val="007203C8"/>
    <w:rsid w:val="007203D0"/>
    <w:rsid w:val="00720410"/>
    <w:rsid w:val="007204BD"/>
    <w:rsid w:val="007204E4"/>
    <w:rsid w:val="00720507"/>
    <w:rsid w:val="007205CE"/>
    <w:rsid w:val="007205D8"/>
    <w:rsid w:val="007205DA"/>
    <w:rsid w:val="0072060F"/>
    <w:rsid w:val="00720637"/>
    <w:rsid w:val="00720674"/>
    <w:rsid w:val="007206BC"/>
    <w:rsid w:val="0072077A"/>
    <w:rsid w:val="00720781"/>
    <w:rsid w:val="007207E7"/>
    <w:rsid w:val="00720813"/>
    <w:rsid w:val="0072089E"/>
    <w:rsid w:val="007209D7"/>
    <w:rsid w:val="00720A08"/>
    <w:rsid w:val="00720AC0"/>
    <w:rsid w:val="00720C3D"/>
    <w:rsid w:val="00720D0F"/>
    <w:rsid w:val="00720D49"/>
    <w:rsid w:val="00720D87"/>
    <w:rsid w:val="00720DAA"/>
    <w:rsid w:val="00720EC4"/>
    <w:rsid w:val="00720EC7"/>
    <w:rsid w:val="00720F87"/>
    <w:rsid w:val="00720FAD"/>
    <w:rsid w:val="00721013"/>
    <w:rsid w:val="0072108C"/>
    <w:rsid w:val="007210E5"/>
    <w:rsid w:val="0072123C"/>
    <w:rsid w:val="00721314"/>
    <w:rsid w:val="00721495"/>
    <w:rsid w:val="00721526"/>
    <w:rsid w:val="0072158F"/>
    <w:rsid w:val="007215EF"/>
    <w:rsid w:val="00721824"/>
    <w:rsid w:val="00721854"/>
    <w:rsid w:val="00721A4F"/>
    <w:rsid w:val="00721A75"/>
    <w:rsid w:val="00721A7D"/>
    <w:rsid w:val="00721A9E"/>
    <w:rsid w:val="00721AB7"/>
    <w:rsid w:val="00721B08"/>
    <w:rsid w:val="00721B1A"/>
    <w:rsid w:val="00721B1E"/>
    <w:rsid w:val="00721B44"/>
    <w:rsid w:val="00721B62"/>
    <w:rsid w:val="00721BD2"/>
    <w:rsid w:val="00721C72"/>
    <w:rsid w:val="00721CE9"/>
    <w:rsid w:val="00721D02"/>
    <w:rsid w:val="00721D3B"/>
    <w:rsid w:val="00721DCC"/>
    <w:rsid w:val="00721E55"/>
    <w:rsid w:val="00721EB1"/>
    <w:rsid w:val="00721F15"/>
    <w:rsid w:val="0072201A"/>
    <w:rsid w:val="00722036"/>
    <w:rsid w:val="0072209E"/>
    <w:rsid w:val="007220AA"/>
    <w:rsid w:val="0072216B"/>
    <w:rsid w:val="00722208"/>
    <w:rsid w:val="0072223C"/>
    <w:rsid w:val="007222EE"/>
    <w:rsid w:val="00722465"/>
    <w:rsid w:val="00722471"/>
    <w:rsid w:val="00722479"/>
    <w:rsid w:val="00722485"/>
    <w:rsid w:val="007224A2"/>
    <w:rsid w:val="007224F3"/>
    <w:rsid w:val="00722606"/>
    <w:rsid w:val="0072265F"/>
    <w:rsid w:val="007226EB"/>
    <w:rsid w:val="007227C8"/>
    <w:rsid w:val="007228DD"/>
    <w:rsid w:val="0072295C"/>
    <w:rsid w:val="007229D1"/>
    <w:rsid w:val="00722A16"/>
    <w:rsid w:val="00722B47"/>
    <w:rsid w:val="00722B79"/>
    <w:rsid w:val="00722BA1"/>
    <w:rsid w:val="00722BF9"/>
    <w:rsid w:val="00722CB0"/>
    <w:rsid w:val="00722CF2"/>
    <w:rsid w:val="00722D2D"/>
    <w:rsid w:val="00722DFD"/>
    <w:rsid w:val="00722E1A"/>
    <w:rsid w:val="00722E82"/>
    <w:rsid w:val="00722E87"/>
    <w:rsid w:val="00722E9F"/>
    <w:rsid w:val="007230CA"/>
    <w:rsid w:val="007230F1"/>
    <w:rsid w:val="00723111"/>
    <w:rsid w:val="007231A1"/>
    <w:rsid w:val="007231E6"/>
    <w:rsid w:val="00723213"/>
    <w:rsid w:val="00723346"/>
    <w:rsid w:val="00723480"/>
    <w:rsid w:val="00723492"/>
    <w:rsid w:val="0072350E"/>
    <w:rsid w:val="0072353F"/>
    <w:rsid w:val="0072363B"/>
    <w:rsid w:val="00723671"/>
    <w:rsid w:val="00723692"/>
    <w:rsid w:val="007236AA"/>
    <w:rsid w:val="007236F4"/>
    <w:rsid w:val="0072382B"/>
    <w:rsid w:val="00723895"/>
    <w:rsid w:val="00723A34"/>
    <w:rsid w:val="00723AFB"/>
    <w:rsid w:val="00723B02"/>
    <w:rsid w:val="00723BBD"/>
    <w:rsid w:val="00723C11"/>
    <w:rsid w:val="00723C1A"/>
    <w:rsid w:val="00723CAD"/>
    <w:rsid w:val="00723CC3"/>
    <w:rsid w:val="00723D02"/>
    <w:rsid w:val="00723D21"/>
    <w:rsid w:val="00723D28"/>
    <w:rsid w:val="00723D66"/>
    <w:rsid w:val="00723D7D"/>
    <w:rsid w:val="00723E2E"/>
    <w:rsid w:val="00723EE4"/>
    <w:rsid w:val="00723F77"/>
    <w:rsid w:val="00723F9C"/>
    <w:rsid w:val="00723FF4"/>
    <w:rsid w:val="0072400C"/>
    <w:rsid w:val="00724050"/>
    <w:rsid w:val="007240E8"/>
    <w:rsid w:val="00724231"/>
    <w:rsid w:val="0072424D"/>
    <w:rsid w:val="0072428D"/>
    <w:rsid w:val="007242B2"/>
    <w:rsid w:val="00724353"/>
    <w:rsid w:val="007244F5"/>
    <w:rsid w:val="0072467A"/>
    <w:rsid w:val="00724725"/>
    <w:rsid w:val="00724748"/>
    <w:rsid w:val="007247B6"/>
    <w:rsid w:val="0072485B"/>
    <w:rsid w:val="0072490B"/>
    <w:rsid w:val="00724925"/>
    <w:rsid w:val="00724A1C"/>
    <w:rsid w:val="00724A60"/>
    <w:rsid w:val="00724A8C"/>
    <w:rsid w:val="00724B66"/>
    <w:rsid w:val="00724C15"/>
    <w:rsid w:val="00724D30"/>
    <w:rsid w:val="00724DE9"/>
    <w:rsid w:val="00724EA4"/>
    <w:rsid w:val="00724EC1"/>
    <w:rsid w:val="00724F6E"/>
    <w:rsid w:val="00724F79"/>
    <w:rsid w:val="00725013"/>
    <w:rsid w:val="00725084"/>
    <w:rsid w:val="00725252"/>
    <w:rsid w:val="00725327"/>
    <w:rsid w:val="00725379"/>
    <w:rsid w:val="00725541"/>
    <w:rsid w:val="007257AF"/>
    <w:rsid w:val="007258A5"/>
    <w:rsid w:val="007258F3"/>
    <w:rsid w:val="00725AAF"/>
    <w:rsid w:val="00725BB6"/>
    <w:rsid w:val="00725BD4"/>
    <w:rsid w:val="00725C32"/>
    <w:rsid w:val="00725C58"/>
    <w:rsid w:val="00725CB5"/>
    <w:rsid w:val="00725CBA"/>
    <w:rsid w:val="00725D09"/>
    <w:rsid w:val="00725D1C"/>
    <w:rsid w:val="00725EBE"/>
    <w:rsid w:val="00725ECB"/>
    <w:rsid w:val="00725F17"/>
    <w:rsid w:val="00726168"/>
    <w:rsid w:val="00726183"/>
    <w:rsid w:val="007261B8"/>
    <w:rsid w:val="00726200"/>
    <w:rsid w:val="00726255"/>
    <w:rsid w:val="00726266"/>
    <w:rsid w:val="007262B3"/>
    <w:rsid w:val="007262C8"/>
    <w:rsid w:val="00726322"/>
    <w:rsid w:val="00726349"/>
    <w:rsid w:val="007264F1"/>
    <w:rsid w:val="0072666D"/>
    <w:rsid w:val="007266A6"/>
    <w:rsid w:val="00726727"/>
    <w:rsid w:val="00726782"/>
    <w:rsid w:val="007267B1"/>
    <w:rsid w:val="007267FB"/>
    <w:rsid w:val="00726861"/>
    <w:rsid w:val="007268DF"/>
    <w:rsid w:val="007269B9"/>
    <w:rsid w:val="00726A30"/>
    <w:rsid w:val="00726AFC"/>
    <w:rsid w:val="00726B73"/>
    <w:rsid w:val="00726B90"/>
    <w:rsid w:val="00726C2F"/>
    <w:rsid w:val="00726CC3"/>
    <w:rsid w:val="00726D52"/>
    <w:rsid w:val="00726E6B"/>
    <w:rsid w:val="00726F20"/>
    <w:rsid w:val="00726F95"/>
    <w:rsid w:val="00726FC8"/>
    <w:rsid w:val="00727031"/>
    <w:rsid w:val="007270BF"/>
    <w:rsid w:val="007270F3"/>
    <w:rsid w:val="00727120"/>
    <w:rsid w:val="00727230"/>
    <w:rsid w:val="00727337"/>
    <w:rsid w:val="007273DF"/>
    <w:rsid w:val="00727505"/>
    <w:rsid w:val="00727519"/>
    <w:rsid w:val="00727570"/>
    <w:rsid w:val="007275E4"/>
    <w:rsid w:val="0072760B"/>
    <w:rsid w:val="007276E5"/>
    <w:rsid w:val="007276FB"/>
    <w:rsid w:val="0072776C"/>
    <w:rsid w:val="00727770"/>
    <w:rsid w:val="007277BC"/>
    <w:rsid w:val="0072782E"/>
    <w:rsid w:val="00727885"/>
    <w:rsid w:val="00727894"/>
    <w:rsid w:val="00727902"/>
    <w:rsid w:val="007279B2"/>
    <w:rsid w:val="00727A86"/>
    <w:rsid w:val="00727B15"/>
    <w:rsid w:val="00727B1D"/>
    <w:rsid w:val="00727C54"/>
    <w:rsid w:val="00727C98"/>
    <w:rsid w:val="00727D78"/>
    <w:rsid w:val="00727DF6"/>
    <w:rsid w:val="00727E79"/>
    <w:rsid w:val="00727EE6"/>
    <w:rsid w:val="00727EE9"/>
    <w:rsid w:val="00727F7A"/>
    <w:rsid w:val="00727F99"/>
    <w:rsid w:val="00727FA0"/>
    <w:rsid w:val="00727FAC"/>
    <w:rsid w:val="0073006F"/>
    <w:rsid w:val="00730171"/>
    <w:rsid w:val="007301C9"/>
    <w:rsid w:val="00730227"/>
    <w:rsid w:val="00730230"/>
    <w:rsid w:val="00730244"/>
    <w:rsid w:val="0073033B"/>
    <w:rsid w:val="00730389"/>
    <w:rsid w:val="007303B6"/>
    <w:rsid w:val="00730401"/>
    <w:rsid w:val="00730496"/>
    <w:rsid w:val="0073049C"/>
    <w:rsid w:val="007305C1"/>
    <w:rsid w:val="0073062D"/>
    <w:rsid w:val="0073072B"/>
    <w:rsid w:val="0073075A"/>
    <w:rsid w:val="00730779"/>
    <w:rsid w:val="007307A0"/>
    <w:rsid w:val="007307C4"/>
    <w:rsid w:val="007307FC"/>
    <w:rsid w:val="00730846"/>
    <w:rsid w:val="00730884"/>
    <w:rsid w:val="0073097E"/>
    <w:rsid w:val="007309C0"/>
    <w:rsid w:val="00730B68"/>
    <w:rsid w:val="00730BCE"/>
    <w:rsid w:val="00730D6F"/>
    <w:rsid w:val="00730DBC"/>
    <w:rsid w:val="00730E3F"/>
    <w:rsid w:val="00730E5B"/>
    <w:rsid w:val="00730E7C"/>
    <w:rsid w:val="00730EC8"/>
    <w:rsid w:val="0073104A"/>
    <w:rsid w:val="0073105E"/>
    <w:rsid w:val="0073111C"/>
    <w:rsid w:val="0073112A"/>
    <w:rsid w:val="007311BA"/>
    <w:rsid w:val="007311C3"/>
    <w:rsid w:val="0073138A"/>
    <w:rsid w:val="007313C7"/>
    <w:rsid w:val="0073140E"/>
    <w:rsid w:val="0073148D"/>
    <w:rsid w:val="007314DA"/>
    <w:rsid w:val="00731557"/>
    <w:rsid w:val="0073156C"/>
    <w:rsid w:val="0073159E"/>
    <w:rsid w:val="007315C8"/>
    <w:rsid w:val="007316B8"/>
    <w:rsid w:val="007316CB"/>
    <w:rsid w:val="007316CD"/>
    <w:rsid w:val="007316FE"/>
    <w:rsid w:val="0073175F"/>
    <w:rsid w:val="007317BD"/>
    <w:rsid w:val="00731807"/>
    <w:rsid w:val="00731873"/>
    <w:rsid w:val="007318F1"/>
    <w:rsid w:val="00731925"/>
    <w:rsid w:val="007319E0"/>
    <w:rsid w:val="00731AAF"/>
    <w:rsid w:val="00731B98"/>
    <w:rsid w:val="00731BD4"/>
    <w:rsid w:val="00731C7E"/>
    <w:rsid w:val="00731D57"/>
    <w:rsid w:val="00731DB5"/>
    <w:rsid w:val="00731EBA"/>
    <w:rsid w:val="00731ED1"/>
    <w:rsid w:val="00731F65"/>
    <w:rsid w:val="0073201B"/>
    <w:rsid w:val="00732060"/>
    <w:rsid w:val="007320D3"/>
    <w:rsid w:val="00732173"/>
    <w:rsid w:val="007321C3"/>
    <w:rsid w:val="00732497"/>
    <w:rsid w:val="00732556"/>
    <w:rsid w:val="00732640"/>
    <w:rsid w:val="007326FC"/>
    <w:rsid w:val="00732738"/>
    <w:rsid w:val="0073276C"/>
    <w:rsid w:val="0073277C"/>
    <w:rsid w:val="007327AD"/>
    <w:rsid w:val="007327EF"/>
    <w:rsid w:val="0073280B"/>
    <w:rsid w:val="0073283E"/>
    <w:rsid w:val="007328B7"/>
    <w:rsid w:val="007328F6"/>
    <w:rsid w:val="00732952"/>
    <w:rsid w:val="0073297E"/>
    <w:rsid w:val="00732AB5"/>
    <w:rsid w:val="00732B33"/>
    <w:rsid w:val="00732D3D"/>
    <w:rsid w:val="00732EFC"/>
    <w:rsid w:val="00732FAD"/>
    <w:rsid w:val="00733034"/>
    <w:rsid w:val="00733071"/>
    <w:rsid w:val="007330AB"/>
    <w:rsid w:val="00733238"/>
    <w:rsid w:val="00733241"/>
    <w:rsid w:val="007332CC"/>
    <w:rsid w:val="0073330D"/>
    <w:rsid w:val="007333D7"/>
    <w:rsid w:val="00733486"/>
    <w:rsid w:val="007334B4"/>
    <w:rsid w:val="007337AE"/>
    <w:rsid w:val="007337D2"/>
    <w:rsid w:val="007337D5"/>
    <w:rsid w:val="007337FD"/>
    <w:rsid w:val="00733846"/>
    <w:rsid w:val="0073396F"/>
    <w:rsid w:val="007339D6"/>
    <w:rsid w:val="00733B10"/>
    <w:rsid w:val="00733B15"/>
    <w:rsid w:val="00733CAC"/>
    <w:rsid w:val="00733D1E"/>
    <w:rsid w:val="00733FD1"/>
    <w:rsid w:val="00733FF4"/>
    <w:rsid w:val="007340CA"/>
    <w:rsid w:val="0073413E"/>
    <w:rsid w:val="00734143"/>
    <w:rsid w:val="007342DB"/>
    <w:rsid w:val="00734313"/>
    <w:rsid w:val="00734396"/>
    <w:rsid w:val="007343A1"/>
    <w:rsid w:val="007343FF"/>
    <w:rsid w:val="007344BC"/>
    <w:rsid w:val="007345A5"/>
    <w:rsid w:val="0073464D"/>
    <w:rsid w:val="00734694"/>
    <w:rsid w:val="007346CE"/>
    <w:rsid w:val="00734762"/>
    <w:rsid w:val="00734778"/>
    <w:rsid w:val="0073479C"/>
    <w:rsid w:val="007348CB"/>
    <w:rsid w:val="00734909"/>
    <w:rsid w:val="007349CB"/>
    <w:rsid w:val="007349CF"/>
    <w:rsid w:val="007349D6"/>
    <w:rsid w:val="00734A52"/>
    <w:rsid w:val="00734AC6"/>
    <w:rsid w:val="00734B17"/>
    <w:rsid w:val="00734C0B"/>
    <w:rsid w:val="00734C19"/>
    <w:rsid w:val="00734C95"/>
    <w:rsid w:val="00734C99"/>
    <w:rsid w:val="00734D4B"/>
    <w:rsid w:val="00734D68"/>
    <w:rsid w:val="00734DC1"/>
    <w:rsid w:val="00734E48"/>
    <w:rsid w:val="00734EA1"/>
    <w:rsid w:val="00734FA3"/>
    <w:rsid w:val="00735016"/>
    <w:rsid w:val="0073502B"/>
    <w:rsid w:val="00735184"/>
    <w:rsid w:val="007351E3"/>
    <w:rsid w:val="007352ED"/>
    <w:rsid w:val="007353D2"/>
    <w:rsid w:val="007354A9"/>
    <w:rsid w:val="00735508"/>
    <w:rsid w:val="00735603"/>
    <w:rsid w:val="00735766"/>
    <w:rsid w:val="00735798"/>
    <w:rsid w:val="007357E4"/>
    <w:rsid w:val="00735856"/>
    <w:rsid w:val="00735ABE"/>
    <w:rsid w:val="00735AD8"/>
    <w:rsid w:val="00735B51"/>
    <w:rsid w:val="00735B5B"/>
    <w:rsid w:val="00735B69"/>
    <w:rsid w:val="00735CE6"/>
    <w:rsid w:val="00735CE7"/>
    <w:rsid w:val="00735D01"/>
    <w:rsid w:val="00735E65"/>
    <w:rsid w:val="00735E77"/>
    <w:rsid w:val="00735F00"/>
    <w:rsid w:val="00735F09"/>
    <w:rsid w:val="00735F6E"/>
    <w:rsid w:val="00736057"/>
    <w:rsid w:val="0073607C"/>
    <w:rsid w:val="007360FF"/>
    <w:rsid w:val="00736148"/>
    <w:rsid w:val="0073619A"/>
    <w:rsid w:val="00736254"/>
    <w:rsid w:val="007362A0"/>
    <w:rsid w:val="00736332"/>
    <w:rsid w:val="007363AD"/>
    <w:rsid w:val="0073643C"/>
    <w:rsid w:val="00736468"/>
    <w:rsid w:val="0073649F"/>
    <w:rsid w:val="00736592"/>
    <w:rsid w:val="007365F9"/>
    <w:rsid w:val="0073663C"/>
    <w:rsid w:val="00736675"/>
    <w:rsid w:val="00736763"/>
    <w:rsid w:val="00736855"/>
    <w:rsid w:val="00736857"/>
    <w:rsid w:val="00736874"/>
    <w:rsid w:val="00736978"/>
    <w:rsid w:val="007369A8"/>
    <w:rsid w:val="00736A49"/>
    <w:rsid w:val="00736A64"/>
    <w:rsid w:val="00736BB4"/>
    <w:rsid w:val="00736C09"/>
    <w:rsid w:val="00736C45"/>
    <w:rsid w:val="00736CAB"/>
    <w:rsid w:val="00736D03"/>
    <w:rsid w:val="00736E1F"/>
    <w:rsid w:val="00736E47"/>
    <w:rsid w:val="00736E66"/>
    <w:rsid w:val="00737048"/>
    <w:rsid w:val="0073705C"/>
    <w:rsid w:val="007371E5"/>
    <w:rsid w:val="00737221"/>
    <w:rsid w:val="007372FD"/>
    <w:rsid w:val="00737357"/>
    <w:rsid w:val="007373CE"/>
    <w:rsid w:val="007373F6"/>
    <w:rsid w:val="00737464"/>
    <w:rsid w:val="0073754C"/>
    <w:rsid w:val="0073757B"/>
    <w:rsid w:val="0073759D"/>
    <w:rsid w:val="0073759F"/>
    <w:rsid w:val="00737642"/>
    <w:rsid w:val="00737661"/>
    <w:rsid w:val="007376D9"/>
    <w:rsid w:val="007376FC"/>
    <w:rsid w:val="0073774A"/>
    <w:rsid w:val="007377BD"/>
    <w:rsid w:val="00737835"/>
    <w:rsid w:val="0073794C"/>
    <w:rsid w:val="00737951"/>
    <w:rsid w:val="00737A29"/>
    <w:rsid w:val="00737B58"/>
    <w:rsid w:val="00737C26"/>
    <w:rsid w:val="00737CDB"/>
    <w:rsid w:val="00737D1B"/>
    <w:rsid w:val="00737D3A"/>
    <w:rsid w:val="00737DB4"/>
    <w:rsid w:val="00737E63"/>
    <w:rsid w:val="00737E7B"/>
    <w:rsid w:val="00737E90"/>
    <w:rsid w:val="00737EB4"/>
    <w:rsid w:val="00737F2A"/>
    <w:rsid w:val="00737F2F"/>
    <w:rsid w:val="00737F6A"/>
    <w:rsid w:val="00740083"/>
    <w:rsid w:val="007400A1"/>
    <w:rsid w:val="007400D2"/>
    <w:rsid w:val="007400D7"/>
    <w:rsid w:val="007400FB"/>
    <w:rsid w:val="00740172"/>
    <w:rsid w:val="0074025D"/>
    <w:rsid w:val="007403D5"/>
    <w:rsid w:val="00740523"/>
    <w:rsid w:val="00740609"/>
    <w:rsid w:val="007406F0"/>
    <w:rsid w:val="00740804"/>
    <w:rsid w:val="007408CE"/>
    <w:rsid w:val="00740911"/>
    <w:rsid w:val="00740A10"/>
    <w:rsid w:val="00740A12"/>
    <w:rsid w:val="00740A17"/>
    <w:rsid w:val="00740C73"/>
    <w:rsid w:val="00740C93"/>
    <w:rsid w:val="00740FF1"/>
    <w:rsid w:val="00741099"/>
    <w:rsid w:val="0074121E"/>
    <w:rsid w:val="00741369"/>
    <w:rsid w:val="00741390"/>
    <w:rsid w:val="00741458"/>
    <w:rsid w:val="007414C8"/>
    <w:rsid w:val="007415E1"/>
    <w:rsid w:val="007415F2"/>
    <w:rsid w:val="007416A0"/>
    <w:rsid w:val="00741751"/>
    <w:rsid w:val="00741804"/>
    <w:rsid w:val="007418B5"/>
    <w:rsid w:val="007418BE"/>
    <w:rsid w:val="0074190D"/>
    <w:rsid w:val="007419BE"/>
    <w:rsid w:val="00741AE3"/>
    <w:rsid w:val="00741AE8"/>
    <w:rsid w:val="00741BB1"/>
    <w:rsid w:val="00741BDB"/>
    <w:rsid w:val="00741C56"/>
    <w:rsid w:val="00741CF2"/>
    <w:rsid w:val="00741DE8"/>
    <w:rsid w:val="00741F89"/>
    <w:rsid w:val="00741FDA"/>
    <w:rsid w:val="00742021"/>
    <w:rsid w:val="0074205B"/>
    <w:rsid w:val="0074206D"/>
    <w:rsid w:val="00742082"/>
    <w:rsid w:val="007420A6"/>
    <w:rsid w:val="0074213B"/>
    <w:rsid w:val="0074228D"/>
    <w:rsid w:val="0074228F"/>
    <w:rsid w:val="00742388"/>
    <w:rsid w:val="007423B5"/>
    <w:rsid w:val="00742510"/>
    <w:rsid w:val="0074256B"/>
    <w:rsid w:val="00742574"/>
    <w:rsid w:val="00742586"/>
    <w:rsid w:val="0074261E"/>
    <w:rsid w:val="007426F5"/>
    <w:rsid w:val="00742712"/>
    <w:rsid w:val="00742737"/>
    <w:rsid w:val="007427F6"/>
    <w:rsid w:val="00742863"/>
    <w:rsid w:val="007428BF"/>
    <w:rsid w:val="00742901"/>
    <w:rsid w:val="007429FC"/>
    <w:rsid w:val="00742A08"/>
    <w:rsid w:val="00742B07"/>
    <w:rsid w:val="00742B18"/>
    <w:rsid w:val="00742B26"/>
    <w:rsid w:val="00742B5B"/>
    <w:rsid w:val="00742D4A"/>
    <w:rsid w:val="00742DFC"/>
    <w:rsid w:val="00742F0D"/>
    <w:rsid w:val="00742FA1"/>
    <w:rsid w:val="00743047"/>
    <w:rsid w:val="00743073"/>
    <w:rsid w:val="007431EF"/>
    <w:rsid w:val="00743205"/>
    <w:rsid w:val="0074327C"/>
    <w:rsid w:val="00743358"/>
    <w:rsid w:val="007433D3"/>
    <w:rsid w:val="007434CC"/>
    <w:rsid w:val="00743520"/>
    <w:rsid w:val="0074353B"/>
    <w:rsid w:val="00743548"/>
    <w:rsid w:val="00743590"/>
    <w:rsid w:val="007435CD"/>
    <w:rsid w:val="007435D0"/>
    <w:rsid w:val="007435EC"/>
    <w:rsid w:val="007435F6"/>
    <w:rsid w:val="007436BF"/>
    <w:rsid w:val="007436F1"/>
    <w:rsid w:val="00743730"/>
    <w:rsid w:val="00743733"/>
    <w:rsid w:val="0074374D"/>
    <w:rsid w:val="00743751"/>
    <w:rsid w:val="00743870"/>
    <w:rsid w:val="007438DF"/>
    <w:rsid w:val="007439F6"/>
    <w:rsid w:val="00743AC1"/>
    <w:rsid w:val="00743ACB"/>
    <w:rsid w:val="00743AE7"/>
    <w:rsid w:val="00743AEB"/>
    <w:rsid w:val="00743BA6"/>
    <w:rsid w:val="00743BC8"/>
    <w:rsid w:val="00743C0B"/>
    <w:rsid w:val="00743DAE"/>
    <w:rsid w:val="00743DCD"/>
    <w:rsid w:val="00743DEF"/>
    <w:rsid w:val="00743E3D"/>
    <w:rsid w:val="00743E88"/>
    <w:rsid w:val="00743EB9"/>
    <w:rsid w:val="00743F0D"/>
    <w:rsid w:val="00743F22"/>
    <w:rsid w:val="00743FAE"/>
    <w:rsid w:val="00744003"/>
    <w:rsid w:val="00744120"/>
    <w:rsid w:val="0074418F"/>
    <w:rsid w:val="007441EC"/>
    <w:rsid w:val="00744237"/>
    <w:rsid w:val="00744240"/>
    <w:rsid w:val="00744274"/>
    <w:rsid w:val="0074435D"/>
    <w:rsid w:val="007443C8"/>
    <w:rsid w:val="007443D0"/>
    <w:rsid w:val="0074449A"/>
    <w:rsid w:val="00744509"/>
    <w:rsid w:val="00744587"/>
    <w:rsid w:val="007445F5"/>
    <w:rsid w:val="0074470C"/>
    <w:rsid w:val="007447D6"/>
    <w:rsid w:val="00744865"/>
    <w:rsid w:val="007448E4"/>
    <w:rsid w:val="00744A1D"/>
    <w:rsid w:val="00744AD7"/>
    <w:rsid w:val="00744B56"/>
    <w:rsid w:val="00744BB8"/>
    <w:rsid w:val="00744BEA"/>
    <w:rsid w:val="00744C0B"/>
    <w:rsid w:val="00744CEF"/>
    <w:rsid w:val="00744CF1"/>
    <w:rsid w:val="00744CFF"/>
    <w:rsid w:val="00744DCD"/>
    <w:rsid w:val="00744F26"/>
    <w:rsid w:val="00744F9D"/>
    <w:rsid w:val="00745009"/>
    <w:rsid w:val="0074513F"/>
    <w:rsid w:val="00745259"/>
    <w:rsid w:val="0074530E"/>
    <w:rsid w:val="00745498"/>
    <w:rsid w:val="007455DE"/>
    <w:rsid w:val="007456DC"/>
    <w:rsid w:val="00745727"/>
    <w:rsid w:val="00745736"/>
    <w:rsid w:val="00745748"/>
    <w:rsid w:val="0074575E"/>
    <w:rsid w:val="007457AF"/>
    <w:rsid w:val="00745801"/>
    <w:rsid w:val="0074587F"/>
    <w:rsid w:val="007458CC"/>
    <w:rsid w:val="0074598B"/>
    <w:rsid w:val="007459E6"/>
    <w:rsid w:val="007459EB"/>
    <w:rsid w:val="00745A16"/>
    <w:rsid w:val="00745A3B"/>
    <w:rsid w:val="00745AB8"/>
    <w:rsid w:val="00745B52"/>
    <w:rsid w:val="00745B8C"/>
    <w:rsid w:val="00745CF3"/>
    <w:rsid w:val="00745CF8"/>
    <w:rsid w:val="00745D7C"/>
    <w:rsid w:val="00745DA2"/>
    <w:rsid w:val="00745E01"/>
    <w:rsid w:val="00745E3D"/>
    <w:rsid w:val="00745E42"/>
    <w:rsid w:val="00745F3E"/>
    <w:rsid w:val="00745FE2"/>
    <w:rsid w:val="0074600D"/>
    <w:rsid w:val="00746028"/>
    <w:rsid w:val="0074605F"/>
    <w:rsid w:val="00746135"/>
    <w:rsid w:val="00746182"/>
    <w:rsid w:val="00746276"/>
    <w:rsid w:val="007462DB"/>
    <w:rsid w:val="0074648B"/>
    <w:rsid w:val="007465DD"/>
    <w:rsid w:val="00746686"/>
    <w:rsid w:val="007466C3"/>
    <w:rsid w:val="007468BA"/>
    <w:rsid w:val="007469B0"/>
    <w:rsid w:val="00746A31"/>
    <w:rsid w:val="00746B94"/>
    <w:rsid w:val="00746BB3"/>
    <w:rsid w:val="00746C67"/>
    <w:rsid w:val="00746C86"/>
    <w:rsid w:val="00746CA5"/>
    <w:rsid w:val="00746D86"/>
    <w:rsid w:val="00746E17"/>
    <w:rsid w:val="00746E70"/>
    <w:rsid w:val="00746ED2"/>
    <w:rsid w:val="00746F4B"/>
    <w:rsid w:val="00747068"/>
    <w:rsid w:val="00747251"/>
    <w:rsid w:val="00747257"/>
    <w:rsid w:val="00747385"/>
    <w:rsid w:val="0074740A"/>
    <w:rsid w:val="0074746C"/>
    <w:rsid w:val="0074758F"/>
    <w:rsid w:val="007475A3"/>
    <w:rsid w:val="007475B0"/>
    <w:rsid w:val="0074764F"/>
    <w:rsid w:val="00747680"/>
    <w:rsid w:val="007476A3"/>
    <w:rsid w:val="007476B1"/>
    <w:rsid w:val="0074774E"/>
    <w:rsid w:val="00747928"/>
    <w:rsid w:val="00747A50"/>
    <w:rsid w:val="00747BE5"/>
    <w:rsid w:val="00747F6A"/>
    <w:rsid w:val="00747F93"/>
    <w:rsid w:val="00747F9A"/>
    <w:rsid w:val="00747FB7"/>
    <w:rsid w:val="0075007B"/>
    <w:rsid w:val="007500FD"/>
    <w:rsid w:val="00750259"/>
    <w:rsid w:val="0075026D"/>
    <w:rsid w:val="007502BB"/>
    <w:rsid w:val="00750353"/>
    <w:rsid w:val="00750415"/>
    <w:rsid w:val="00750505"/>
    <w:rsid w:val="00750583"/>
    <w:rsid w:val="007505C5"/>
    <w:rsid w:val="00750604"/>
    <w:rsid w:val="0075061D"/>
    <w:rsid w:val="0075062E"/>
    <w:rsid w:val="00750716"/>
    <w:rsid w:val="007507A5"/>
    <w:rsid w:val="007508AB"/>
    <w:rsid w:val="00750920"/>
    <w:rsid w:val="007509B6"/>
    <w:rsid w:val="007509BA"/>
    <w:rsid w:val="007509D0"/>
    <w:rsid w:val="00750AD8"/>
    <w:rsid w:val="00750ADD"/>
    <w:rsid w:val="00750B73"/>
    <w:rsid w:val="00750C88"/>
    <w:rsid w:val="00750CC6"/>
    <w:rsid w:val="00750DAC"/>
    <w:rsid w:val="00750DB1"/>
    <w:rsid w:val="00750DCB"/>
    <w:rsid w:val="00750EEB"/>
    <w:rsid w:val="00750F30"/>
    <w:rsid w:val="00750FC8"/>
    <w:rsid w:val="00751000"/>
    <w:rsid w:val="00751036"/>
    <w:rsid w:val="00751156"/>
    <w:rsid w:val="0075116D"/>
    <w:rsid w:val="0075119A"/>
    <w:rsid w:val="007511B7"/>
    <w:rsid w:val="00751205"/>
    <w:rsid w:val="0075130D"/>
    <w:rsid w:val="00751382"/>
    <w:rsid w:val="007513B9"/>
    <w:rsid w:val="007513D1"/>
    <w:rsid w:val="007513FA"/>
    <w:rsid w:val="00751468"/>
    <w:rsid w:val="00751502"/>
    <w:rsid w:val="0075150D"/>
    <w:rsid w:val="00751587"/>
    <w:rsid w:val="007515BD"/>
    <w:rsid w:val="007515FE"/>
    <w:rsid w:val="007515FF"/>
    <w:rsid w:val="0075177F"/>
    <w:rsid w:val="007517CD"/>
    <w:rsid w:val="00751902"/>
    <w:rsid w:val="00751A30"/>
    <w:rsid w:val="00751A5F"/>
    <w:rsid w:val="00751A9C"/>
    <w:rsid w:val="00751BB3"/>
    <w:rsid w:val="00751C5B"/>
    <w:rsid w:val="00751C89"/>
    <w:rsid w:val="00751CC1"/>
    <w:rsid w:val="00751D20"/>
    <w:rsid w:val="00751D6E"/>
    <w:rsid w:val="00751D8B"/>
    <w:rsid w:val="00751EA4"/>
    <w:rsid w:val="00751EB2"/>
    <w:rsid w:val="00751F02"/>
    <w:rsid w:val="00751FD5"/>
    <w:rsid w:val="0075217B"/>
    <w:rsid w:val="0075217D"/>
    <w:rsid w:val="00752205"/>
    <w:rsid w:val="007522C8"/>
    <w:rsid w:val="007522D5"/>
    <w:rsid w:val="00752422"/>
    <w:rsid w:val="0075246A"/>
    <w:rsid w:val="00752593"/>
    <w:rsid w:val="00752648"/>
    <w:rsid w:val="007526BC"/>
    <w:rsid w:val="00752780"/>
    <w:rsid w:val="00752783"/>
    <w:rsid w:val="007527A2"/>
    <w:rsid w:val="00752848"/>
    <w:rsid w:val="0075290A"/>
    <w:rsid w:val="00752914"/>
    <w:rsid w:val="0075292C"/>
    <w:rsid w:val="007529A6"/>
    <w:rsid w:val="007529EC"/>
    <w:rsid w:val="00752A3E"/>
    <w:rsid w:val="00752A3F"/>
    <w:rsid w:val="00752A59"/>
    <w:rsid w:val="00752A88"/>
    <w:rsid w:val="00752AE2"/>
    <w:rsid w:val="00752AF6"/>
    <w:rsid w:val="00752B60"/>
    <w:rsid w:val="00752B93"/>
    <w:rsid w:val="00752C29"/>
    <w:rsid w:val="00752C67"/>
    <w:rsid w:val="00752CC1"/>
    <w:rsid w:val="00752CD0"/>
    <w:rsid w:val="00752CD1"/>
    <w:rsid w:val="00752CD7"/>
    <w:rsid w:val="00752CF6"/>
    <w:rsid w:val="00752D04"/>
    <w:rsid w:val="00752D67"/>
    <w:rsid w:val="00752DDF"/>
    <w:rsid w:val="00752E23"/>
    <w:rsid w:val="00752E46"/>
    <w:rsid w:val="00752E82"/>
    <w:rsid w:val="00752ED6"/>
    <w:rsid w:val="00752F32"/>
    <w:rsid w:val="00752F90"/>
    <w:rsid w:val="00752FFD"/>
    <w:rsid w:val="00753064"/>
    <w:rsid w:val="007530C6"/>
    <w:rsid w:val="007531BD"/>
    <w:rsid w:val="0075328F"/>
    <w:rsid w:val="007532A4"/>
    <w:rsid w:val="007532D6"/>
    <w:rsid w:val="0075330F"/>
    <w:rsid w:val="0075346C"/>
    <w:rsid w:val="0075347F"/>
    <w:rsid w:val="007534A4"/>
    <w:rsid w:val="00753507"/>
    <w:rsid w:val="0075363F"/>
    <w:rsid w:val="00753681"/>
    <w:rsid w:val="0075368E"/>
    <w:rsid w:val="00753767"/>
    <w:rsid w:val="00753823"/>
    <w:rsid w:val="0075386F"/>
    <w:rsid w:val="007538D0"/>
    <w:rsid w:val="00753919"/>
    <w:rsid w:val="00753AEC"/>
    <w:rsid w:val="00753B3F"/>
    <w:rsid w:val="00753C12"/>
    <w:rsid w:val="00753CE6"/>
    <w:rsid w:val="00753D12"/>
    <w:rsid w:val="00753DF7"/>
    <w:rsid w:val="00753E99"/>
    <w:rsid w:val="00753E9A"/>
    <w:rsid w:val="00753F89"/>
    <w:rsid w:val="00753FA0"/>
    <w:rsid w:val="0075410B"/>
    <w:rsid w:val="007541B0"/>
    <w:rsid w:val="007541EB"/>
    <w:rsid w:val="007542B7"/>
    <w:rsid w:val="0075432D"/>
    <w:rsid w:val="0075443F"/>
    <w:rsid w:val="0075448F"/>
    <w:rsid w:val="00754662"/>
    <w:rsid w:val="00754721"/>
    <w:rsid w:val="00754816"/>
    <w:rsid w:val="007548A9"/>
    <w:rsid w:val="0075494B"/>
    <w:rsid w:val="0075496B"/>
    <w:rsid w:val="00754A1C"/>
    <w:rsid w:val="00754A34"/>
    <w:rsid w:val="00754A9E"/>
    <w:rsid w:val="00754AA1"/>
    <w:rsid w:val="00754BBB"/>
    <w:rsid w:val="00754BEE"/>
    <w:rsid w:val="00754C15"/>
    <w:rsid w:val="00754CB2"/>
    <w:rsid w:val="00754CD0"/>
    <w:rsid w:val="00754CE8"/>
    <w:rsid w:val="00754F93"/>
    <w:rsid w:val="0075502D"/>
    <w:rsid w:val="0075503A"/>
    <w:rsid w:val="0075505D"/>
    <w:rsid w:val="007550ED"/>
    <w:rsid w:val="00755118"/>
    <w:rsid w:val="0075516A"/>
    <w:rsid w:val="00755216"/>
    <w:rsid w:val="00755245"/>
    <w:rsid w:val="0075527F"/>
    <w:rsid w:val="00755299"/>
    <w:rsid w:val="007552A4"/>
    <w:rsid w:val="00755315"/>
    <w:rsid w:val="00755551"/>
    <w:rsid w:val="00755636"/>
    <w:rsid w:val="007556B0"/>
    <w:rsid w:val="0075575B"/>
    <w:rsid w:val="00755801"/>
    <w:rsid w:val="00755877"/>
    <w:rsid w:val="00755A41"/>
    <w:rsid w:val="00755ACF"/>
    <w:rsid w:val="00755B12"/>
    <w:rsid w:val="00755C0C"/>
    <w:rsid w:val="00755D97"/>
    <w:rsid w:val="00755E5A"/>
    <w:rsid w:val="00755E5F"/>
    <w:rsid w:val="00755E61"/>
    <w:rsid w:val="00755F2A"/>
    <w:rsid w:val="00755FAC"/>
    <w:rsid w:val="00755FBA"/>
    <w:rsid w:val="00756051"/>
    <w:rsid w:val="00756138"/>
    <w:rsid w:val="0075622B"/>
    <w:rsid w:val="0075623F"/>
    <w:rsid w:val="00756257"/>
    <w:rsid w:val="00756267"/>
    <w:rsid w:val="007562AB"/>
    <w:rsid w:val="007562D7"/>
    <w:rsid w:val="007562EF"/>
    <w:rsid w:val="00756445"/>
    <w:rsid w:val="007566E6"/>
    <w:rsid w:val="00756709"/>
    <w:rsid w:val="00756737"/>
    <w:rsid w:val="00756765"/>
    <w:rsid w:val="0075683B"/>
    <w:rsid w:val="0075684D"/>
    <w:rsid w:val="00756859"/>
    <w:rsid w:val="00756873"/>
    <w:rsid w:val="0075688A"/>
    <w:rsid w:val="00756912"/>
    <w:rsid w:val="007569F0"/>
    <w:rsid w:val="00756A26"/>
    <w:rsid w:val="00756A59"/>
    <w:rsid w:val="00756A65"/>
    <w:rsid w:val="00756B99"/>
    <w:rsid w:val="00756BD5"/>
    <w:rsid w:val="00756BD7"/>
    <w:rsid w:val="00756C19"/>
    <w:rsid w:val="00756D16"/>
    <w:rsid w:val="00756D4F"/>
    <w:rsid w:val="00756D63"/>
    <w:rsid w:val="00756EA3"/>
    <w:rsid w:val="00756F2A"/>
    <w:rsid w:val="00756F38"/>
    <w:rsid w:val="00756F40"/>
    <w:rsid w:val="00756F44"/>
    <w:rsid w:val="00756F7F"/>
    <w:rsid w:val="0075705B"/>
    <w:rsid w:val="00757068"/>
    <w:rsid w:val="0075713B"/>
    <w:rsid w:val="0075719C"/>
    <w:rsid w:val="0075721F"/>
    <w:rsid w:val="0075722D"/>
    <w:rsid w:val="00757277"/>
    <w:rsid w:val="0075734E"/>
    <w:rsid w:val="0075735D"/>
    <w:rsid w:val="00757391"/>
    <w:rsid w:val="007573CB"/>
    <w:rsid w:val="007573D3"/>
    <w:rsid w:val="007573EA"/>
    <w:rsid w:val="00757418"/>
    <w:rsid w:val="00757434"/>
    <w:rsid w:val="0075748D"/>
    <w:rsid w:val="0075756E"/>
    <w:rsid w:val="00757602"/>
    <w:rsid w:val="007576AD"/>
    <w:rsid w:val="007576BB"/>
    <w:rsid w:val="007576DE"/>
    <w:rsid w:val="0075787A"/>
    <w:rsid w:val="00757880"/>
    <w:rsid w:val="00757881"/>
    <w:rsid w:val="00757909"/>
    <w:rsid w:val="00757922"/>
    <w:rsid w:val="0075794F"/>
    <w:rsid w:val="00757A3F"/>
    <w:rsid w:val="00757B8C"/>
    <w:rsid w:val="00757BA0"/>
    <w:rsid w:val="00757C13"/>
    <w:rsid w:val="00757C41"/>
    <w:rsid w:val="00757C58"/>
    <w:rsid w:val="00757CA3"/>
    <w:rsid w:val="00757CB4"/>
    <w:rsid w:val="00757CE5"/>
    <w:rsid w:val="00757DE3"/>
    <w:rsid w:val="00757E2E"/>
    <w:rsid w:val="00757E58"/>
    <w:rsid w:val="00760005"/>
    <w:rsid w:val="00760173"/>
    <w:rsid w:val="007602BC"/>
    <w:rsid w:val="00760304"/>
    <w:rsid w:val="00760323"/>
    <w:rsid w:val="00760627"/>
    <w:rsid w:val="007606EB"/>
    <w:rsid w:val="0076074E"/>
    <w:rsid w:val="00760787"/>
    <w:rsid w:val="007607BE"/>
    <w:rsid w:val="0076080D"/>
    <w:rsid w:val="0076084B"/>
    <w:rsid w:val="007608B3"/>
    <w:rsid w:val="007608B6"/>
    <w:rsid w:val="007608EB"/>
    <w:rsid w:val="00760988"/>
    <w:rsid w:val="007609BC"/>
    <w:rsid w:val="007609CD"/>
    <w:rsid w:val="00760C59"/>
    <w:rsid w:val="00760CA1"/>
    <w:rsid w:val="00760CD0"/>
    <w:rsid w:val="00760D0F"/>
    <w:rsid w:val="00760E1B"/>
    <w:rsid w:val="00760E68"/>
    <w:rsid w:val="00760EB3"/>
    <w:rsid w:val="007610E1"/>
    <w:rsid w:val="007611CC"/>
    <w:rsid w:val="00761223"/>
    <w:rsid w:val="0076125B"/>
    <w:rsid w:val="0076134C"/>
    <w:rsid w:val="00761392"/>
    <w:rsid w:val="007613CD"/>
    <w:rsid w:val="007613EC"/>
    <w:rsid w:val="00761471"/>
    <w:rsid w:val="00761518"/>
    <w:rsid w:val="00761542"/>
    <w:rsid w:val="00761579"/>
    <w:rsid w:val="00761587"/>
    <w:rsid w:val="00761612"/>
    <w:rsid w:val="00761757"/>
    <w:rsid w:val="0076182D"/>
    <w:rsid w:val="007618B6"/>
    <w:rsid w:val="007618B9"/>
    <w:rsid w:val="007619D5"/>
    <w:rsid w:val="00761A02"/>
    <w:rsid w:val="00761A83"/>
    <w:rsid w:val="00761C21"/>
    <w:rsid w:val="00761CD1"/>
    <w:rsid w:val="00761D9D"/>
    <w:rsid w:val="00761E32"/>
    <w:rsid w:val="00761E6E"/>
    <w:rsid w:val="00761EB3"/>
    <w:rsid w:val="00761EFD"/>
    <w:rsid w:val="00761F40"/>
    <w:rsid w:val="00761F99"/>
    <w:rsid w:val="00761FA1"/>
    <w:rsid w:val="00762056"/>
    <w:rsid w:val="0076205A"/>
    <w:rsid w:val="0076215D"/>
    <w:rsid w:val="007621EB"/>
    <w:rsid w:val="007621F8"/>
    <w:rsid w:val="00762205"/>
    <w:rsid w:val="00762224"/>
    <w:rsid w:val="007622E5"/>
    <w:rsid w:val="00762334"/>
    <w:rsid w:val="0076234B"/>
    <w:rsid w:val="00762364"/>
    <w:rsid w:val="00762374"/>
    <w:rsid w:val="0076239F"/>
    <w:rsid w:val="007623F9"/>
    <w:rsid w:val="007623FB"/>
    <w:rsid w:val="0076240C"/>
    <w:rsid w:val="00762459"/>
    <w:rsid w:val="007624D4"/>
    <w:rsid w:val="0076259F"/>
    <w:rsid w:val="00762657"/>
    <w:rsid w:val="007626AD"/>
    <w:rsid w:val="007626E0"/>
    <w:rsid w:val="00762707"/>
    <w:rsid w:val="00762734"/>
    <w:rsid w:val="007627E5"/>
    <w:rsid w:val="007628F9"/>
    <w:rsid w:val="0076295A"/>
    <w:rsid w:val="007629F6"/>
    <w:rsid w:val="00762A07"/>
    <w:rsid w:val="00762A3A"/>
    <w:rsid w:val="00762B12"/>
    <w:rsid w:val="00762B35"/>
    <w:rsid w:val="00762C07"/>
    <w:rsid w:val="00762C1E"/>
    <w:rsid w:val="00762D60"/>
    <w:rsid w:val="00762D67"/>
    <w:rsid w:val="00762DA4"/>
    <w:rsid w:val="00762E32"/>
    <w:rsid w:val="00762E88"/>
    <w:rsid w:val="00762F00"/>
    <w:rsid w:val="00762F4F"/>
    <w:rsid w:val="00762F69"/>
    <w:rsid w:val="00762FC7"/>
    <w:rsid w:val="00763004"/>
    <w:rsid w:val="0076303B"/>
    <w:rsid w:val="00763067"/>
    <w:rsid w:val="007630A5"/>
    <w:rsid w:val="007630F0"/>
    <w:rsid w:val="00763234"/>
    <w:rsid w:val="007632D6"/>
    <w:rsid w:val="00763314"/>
    <w:rsid w:val="00763379"/>
    <w:rsid w:val="00763405"/>
    <w:rsid w:val="007634C5"/>
    <w:rsid w:val="007634D2"/>
    <w:rsid w:val="007634E4"/>
    <w:rsid w:val="00763650"/>
    <w:rsid w:val="0076377C"/>
    <w:rsid w:val="00763836"/>
    <w:rsid w:val="00763A2F"/>
    <w:rsid w:val="00763B7C"/>
    <w:rsid w:val="00763BE7"/>
    <w:rsid w:val="00763C81"/>
    <w:rsid w:val="00763C8F"/>
    <w:rsid w:val="00763D8E"/>
    <w:rsid w:val="00763DA1"/>
    <w:rsid w:val="00763E0B"/>
    <w:rsid w:val="00763E3C"/>
    <w:rsid w:val="00763E9F"/>
    <w:rsid w:val="00763F34"/>
    <w:rsid w:val="00763FD5"/>
    <w:rsid w:val="00763FE8"/>
    <w:rsid w:val="00764035"/>
    <w:rsid w:val="0076407D"/>
    <w:rsid w:val="007640AB"/>
    <w:rsid w:val="007640B0"/>
    <w:rsid w:val="0076410D"/>
    <w:rsid w:val="00764119"/>
    <w:rsid w:val="0076416A"/>
    <w:rsid w:val="007641D8"/>
    <w:rsid w:val="00764202"/>
    <w:rsid w:val="0076429E"/>
    <w:rsid w:val="007642B3"/>
    <w:rsid w:val="007642F3"/>
    <w:rsid w:val="0076434C"/>
    <w:rsid w:val="00764359"/>
    <w:rsid w:val="0076442E"/>
    <w:rsid w:val="007644E7"/>
    <w:rsid w:val="007645A2"/>
    <w:rsid w:val="007645DC"/>
    <w:rsid w:val="00764635"/>
    <w:rsid w:val="00764886"/>
    <w:rsid w:val="007648A8"/>
    <w:rsid w:val="00764988"/>
    <w:rsid w:val="00764A13"/>
    <w:rsid w:val="00764A35"/>
    <w:rsid w:val="00764AB0"/>
    <w:rsid w:val="00764B04"/>
    <w:rsid w:val="00764B0B"/>
    <w:rsid w:val="00764B4A"/>
    <w:rsid w:val="00764B75"/>
    <w:rsid w:val="00764BEF"/>
    <w:rsid w:val="00764C1F"/>
    <w:rsid w:val="00764D89"/>
    <w:rsid w:val="00764F14"/>
    <w:rsid w:val="00764FE1"/>
    <w:rsid w:val="0076504F"/>
    <w:rsid w:val="00765166"/>
    <w:rsid w:val="007651A9"/>
    <w:rsid w:val="007651C2"/>
    <w:rsid w:val="0076520A"/>
    <w:rsid w:val="00765237"/>
    <w:rsid w:val="00765247"/>
    <w:rsid w:val="00765351"/>
    <w:rsid w:val="00765364"/>
    <w:rsid w:val="007653E3"/>
    <w:rsid w:val="007654E7"/>
    <w:rsid w:val="00765552"/>
    <w:rsid w:val="00765558"/>
    <w:rsid w:val="00765576"/>
    <w:rsid w:val="007655BE"/>
    <w:rsid w:val="007655D5"/>
    <w:rsid w:val="00765677"/>
    <w:rsid w:val="0076568A"/>
    <w:rsid w:val="00765734"/>
    <w:rsid w:val="007657C8"/>
    <w:rsid w:val="007658EF"/>
    <w:rsid w:val="00765928"/>
    <w:rsid w:val="00765937"/>
    <w:rsid w:val="00765A97"/>
    <w:rsid w:val="00765ACC"/>
    <w:rsid w:val="00765B6C"/>
    <w:rsid w:val="00765B6E"/>
    <w:rsid w:val="00765C1C"/>
    <w:rsid w:val="00765CF2"/>
    <w:rsid w:val="00765D16"/>
    <w:rsid w:val="00765DD4"/>
    <w:rsid w:val="00765FC5"/>
    <w:rsid w:val="00766013"/>
    <w:rsid w:val="007660C7"/>
    <w:rsid w:val="00766102"/>
    <w:rsid w:val="0076624B"/>
    <w:rsid w:val="0076632B"/>
    <w:rsid w:val="0076642D"/>
    <w:rsid w:val="00766462"/>
    <w:rsid w:val="00766533"/>
    <w:rsid w:val="0076655A"/>
    <w:rsid w:val="007665E9"/>
    <w:rsid w:val="00766644"/>
    <w:rsid w:val="007666C7"/>
    <w:rsid w:val="00766887"/>
    <w:rsid w:val="007669AA"/>
    <w:rsid w:val="007669DE"/>
    <w:rsid w:val="00766A51"/>
    <w:rsid w:val="00766B00"/>
    <w:rsid w:val="00766C8D"/>
    <w:rsid w:val="00766CA4"/>
    <w:rsid w:val="00766CF8"/>
    <w:rsid w:val="00766D5F"/>
    <w:rsid w:val="00766F02"/>
    <w:rsid w:val="00767036"/>
    <w:rsid w:val="00767084"/>
    <w:rsid w:val="007670F4"/>
    <w:rsid w:val="0076729B"/>
    <w:rsid w:val="00767349"/>
    <w:rsid w:val="007673ED"/>
    <w:rsid w:val="007675F0"/>
    <w:rsid w:val="007677F4"/>
    <w:rsid w:val="00767819"/>
    <w:rsid w:val="0076791A"/>
    <w:rsid w:val="0076799A"/>
    <w:rsid w:val="00767AFA"/>
    <w:rsid w:val="00767B14"/>
    <w:rsid w:val="00767B54"/>
    <w:rsid w:val="00767B82"/>
    <w:rsid w:val="00767B8F"/>
    <w:rsid w:val="00767CE2"/>
    <w:rsid w:val="00767EAE"/>
    <w:rsid w:val="00767F5C"/>
    <w:rsid w:val="00767F77"/>
    <w:rsid w:val="00767FA6"/>
    <w:rsid w:val="007700BE"/>
    <w:rsid w:val="0077012C"/>
    <w:rsid w:val="00770181"/>
    <w:rsid w:val="00770189"/>
    <w:rsid w:val="0077019A"/>
    <w:rsid w:val="007702B7"/>
    <w:rsid w:val="0077036B"/>
    <w:rsid w:val="00770375"/>
    <w:rsid w:val="007707CC"/>
    <w:rsid w:val="007707D7"/>
    <w:rsid w:val="007707EE"/>
    <w:rsid w:val="00770851"/>
    <w:rsid w:val="007708A1"/>
    <w:rsid w:val="007709F3"/>
    <w:rsid w:val="00770AD9"/>
    <w:rsid w:val="00770B69"/>
    <w:rsid w:val="00770BE3"/>
    <w:rsid w:val="00770BE6"/>
    <w:rsid w:val="00770BE7"/>
    <w:rsid w:val="00770BF1"/>
    <w:rsid w:val="00770CAA"/>
    <w:rsid w:val="00770DB0"/>
    <w:rsid w:val="00770DD6"/>
    <w:rsid w:val="00770E05"/>
    <w:rsid w:val="00770FCA"/>
    <w:rsid w:val="00771019"/>
    <w:rsid w:val="00771064"/>
    <w:rsid w:val="0077115D"/>
    <w:rsid w:val="007712C9"/>
    <w:rsid w:val="00771339"/>
    <w:rsid w:val="0077135A"/>
    <w:rsid w:val="00771375"/>
    <w:rsid w:val="007713A9"/>
    <w:rsid w:val="00771400"/>
    <w:rsid w:val="007714D2"/>
    <w:rsid w:val="0077153B"/>
    <w:rsid w:val="00771572"/>
    <w:rsid w:val="0077158F"/>
    <w:rsid w:val="0077159C"/>
    <w:rsid w:val="007715B2"/>
    <w:rsid w:val="007715B7"/>
    <w:rsid w:val="007715FF"/>
    <w:rsid w:val="007716C2"/>
    <w:rsid w:val="007716CE"/>
    <w:rsid w:val="007716FD"/>
    <w:rsid w:val="0077171E"/>
    <w:rsid w:val="0077173A"/>
    <w:rsid w:val="0077177D"/>
    <w:rsid w:val="007718A9"/>
    <w:rsid w:val="00771974"/>
    <w:rsid w:val="007719A2"/>
    <w:rsid w:val="007719BE"/>
    <w:rsid w:val="007719EB"/>
    <w:rsid w:val="00771A24"/>
    <w:rsid w:val="00771B55"/>
    <w:rsid w:val="00771BC8"/>
    <w:rsid w:val="00771C1A"/>
    <w:rsid w:val="00771C1E"/>
    <w:rsid w:val="00771CC0"/>
    <w:rsid w:val="00771CEB"/>
    <w:rsid w:val="00771D59"/>
    <w:rsid w:val="00771DBE"/>
    <w:rsid w:val="00771DC9"/>
    <w:rsid w:val="00771DE7"/>
    <w:rsid w:val="00771EAC"/>
    <w:rsid w:val="00771F0B"/>
    <w:rsid w:val="00771F18"/>
    <w:rsid w:val="00771F90"/>
    <w:rsid w:val="00771FD3"/>
    <w:rsid w:val="00771FF5"/>
    <w:rsid w:val="00772086"/>
    <w:rsid w:val="00772144"/>
    <w:rsid w:val="00772161"/>
    <w:rsid w:val="00772166"/>
    <w:rsid w:val="0077216C"/>
    <w:rsid w:val="007721C4"/>
    <w:rsid w:val="00772477"/>
    <w:rsid w:val="0077258D"/>
    <w:rsid w:val="0077258F"/>
    <w:rsid w:val="007725EC"/>
    <w:rsid w:val="0077264B"/>
    <w:rsid w:val="0077271B"/>
    <w:rsid w:val="00772741"/>
    <w:rsid w:val="00772781"/>
    <w:rsid w:val="007728A2"/>
    <w:rsid w:val="007728A7"/>
    <w:rsid w:val="007728B4"/>
    <w:rsid w:val="0077294F"/>
    <w:rsid w:val="007729B5"/>
    <w:rsid w:val="00772A2F"/>
    <w:rsid w:val="00772B3E"/>
    <w:rsid w:val="00772B5F"/>
    <w:rsid w:val="00772B73"/>
    <w:rsid w:val="00772BB7"/>
    <w:rsid w:val="00772BF7"/>
    <w:rsid w:val="00772CCB"/>
    <w:rsid w:val="00772CF8"/>
    <w:rsid w:val="00772D62"/>
    <w:rsid w:val="00772D8F"/>
    <w:rsid w:val="00772DDE"/>
    <w:rsid w:val="00772E0A"/>
    <w:rsid w:val="00772EF7"/>
    <w:rsid w:val="00772F8A"/>
    <w:rsid w:val="0077303B"/>
    <w:rsid w:val="0077310D"/>
    <w:rsid w:val="007731E9"/>
    <w:rsid w:val="007731F7"/>
    <w:rsid w:val="00773271"/>
    <w:rsid w:val="0077331A"/>
    <w:rsid w:val="0077334D"/>
    <w:rsid w:val="00773368"/>
    <w:rsid w:val="007733A3"/>
    <w:rsid w:val="00773470"/>
    <w:rsid w:val="007735A5"/>
    <w:rsid w:val="007735B7"/>
    <w:rsid w:val="00773642"/>
    <w:rsid w:val="007736E4"/>
    <w:rsid w:val="007736F1"/>
    <w:rsid w:val="007736F2"/>
    <w:rsid w:val="00773836"/>
    <w:rsid w:val="0077388E"/>
    <w:rsid w:val="007738BA"/>
    <w:rsid w:val="007738C7"/>
    <w:rsid w:val="007738C9"/>
    <w:rsid w:val="007738E3"/>
    <w:rsid w:val="00773A86"/>
    <w:rsid w:val="00773AAD"/>
    <w:rsid w:val="00773AF6"/>
    <w:rsid w:val="00773C58"/>
    <w:rsid w:val="00773D1A"/>
    <w:rsid w:val="00773DFC"/>
    <w:rsid w:val="00773E81"/>
    <w:rsid w:val="00773EDA"/>
    <w:rsid w:val="00773F19"/>
    <w:rsid w:val="00773FA9"/>
    <w:rsid w:val="0077406F"/>
    <w:rsid w:val="00774167"/>
    <w:rsid w:val="00774224"/>
    <w:rsid w:val="0077436F"/>
    <w:rsid w:val="007743FD"/>
    <w:rsid w:val="00774435"/>
    <w:rsid w:val="007744B6"/>
    <w:rsid w:val="007744F8"/>
    <w:rsid w:val="00774638"/>
    <w:rsid w:val="007746AF"/>
    <w:rsid w:val="00774737"/>
    <w:rsid w:val="00774759"/>
    <w:rsid w:val="00774807"/>
    <w:rsid w:val="00774883"/>
    <w:rsid w:val="0077488F"/>
    <w:rsid w:val="0077489A"/>
    <w:rsid w:val="00774971"/>
    <w:rsid w:val="00774A2C"/>
    <w:rsid w:val="00774A2E"/>
    <w:rsid w:val="00774A41"/>
    <w:rsid w:val="00774A4F"/>
    <w:rsid w:val="00774C32"/>
    <w:rsid w:val="00774DE6"/>
    <w:rsid w:val="00774F8C"/>
    <w:rsid w:val="00774FCA"/>
    <w:rsid w:val="007750C5"/>
    <w:rsid w:val="00775129"/>
    <w:rsid w:val="00775147"/>
    <w:rsid w:val="00775165"/>
    <w:rsid w:val="00775174"/>
    <w:rsid w:val="00775213"/>
    <w:rsid w:val="00775494"/>
    <w:rsid w:val="00775530"/>
    <w:rsid w:val="0077555C"/>
    <w:rsid w:val="00775573"/>
    <w:rsid w:val="0077558D"/>
    <w:rsid w:val="007755AF"/>
    <w:rsid w:val="007756D9"/>
    <w:rsid w:val="007756FD"/>
    <w:rsid w:val="0077572C"/>
    <w:rsid w:val="0077578B"/>
    <w:rsid w:val="007757DC"/>
    <w:rsid w:val="00775823"/>
    <w:rsid w:val="00775904"/>
    <w:rsid w:val="00775980"/>
    <w:rsid w:val="00775982"/>
    <w:rsid w:val="00775A40"/>
    <w:rsid w:val="00775A66"/>
    <w:rsid w:val="00775A9D"/>
    <w:rsid w:val="00775B0E"/>
    <w:rsid w:val="00775B25"/>
    <w:rsid w:val="00775B88"/>
    <w:rsid w:val="00775C11"/>
    <w:rsid w:val="00775C59"/>
    <w:rsid w:val="00775CAF"/>
    <w:rsid w:val="00775D01"/>
    <w:rsid w:val="00775D9A"/>
    <w:rsid w:val="00775E27"/>
    <w:rsid w:val="00775E5C"/>
    <w:rsid w:val="00775EEB"/>
    <w:rsid w:val="00775F3B"/>
    <w:rsid w:val="00775F62"/>
    <w:rsid w:val="00775FCE"/>
    <w:rsid w:val="0077614C"/>
    <w:rsid w:val="00776164"/>
    <w:rsid w:val="00776178"/>
    <w:rsid w:val="007761A0"/>
    <w:rsid w:val="007761A2"/>
    <w:rsid w:val="00776236"/>
    <w:rsid w:val="00776301"/>
    <w:rsid w:val="007764E0"/>
    <w:rsid w:val="007765CF"/>
    <w:rsid w:val="007765D2"/>
    <w:rsid w:val="007765E6"/>
    <w:rsid w:val="00776615"/>
    <w:rsid w:val="00776634"/>
    <w:rsid w:val="007767AE"/>
    <w:rsid w:val="007767DA"/>
    <w:rsid w:val="007768E4"/>
    <w:rsid w:val="0077692D"/>
    <w:rsid w:val="007769DD"/>
    <w:rsid w:val="007769E1"/>
    <w:rsid w:val="007769E5"/>
    <w:rsid w:val="00776A18"/>
    <w:rsid w:val="00776A33"/>
    <w:rsid w:val="00776A81"/>
    <w:rsid w:val="00776A92"/>
    <w:rsid w:val="00776B24"/>
    <w:rsid w:val="00776B64"/>
    <w:rsid w:val="00776CC3"/>
    <w:rsid w:val="00776DB8"/>
    <w:rsid w:val="00776E3C"/>
    <w:rsid w:val="00776EDD"/>
    <w:rsid w:val="00776F05"/>
    <w:rsid w:val="00776FA7"/>
    <w:rsid w:val="00776FF0"/>
    <w:rsid w:val="00777045"/>
    <w:rsid w:val="0077708A"/>
    <w:rsid w:val="00777107"/>
    <w:rsid w:val="00777111"/>
    <w:rsid w:val="00777119"/>
    <w:rsid w:val="0077712A"/>
    <w:rsid w:val="007771BC"/>
    <w:rsid w:val="0077726B"/>
    <w:rsid w:val="007772F9"/>
    <w:rsid w:val="00777311"/>
    <w:rsid w:val="007773FA"/>
    <w:rsid w:val="00777411"/>
    <w:rsid w:val="00777429"/>
    <w:rsid w:val="0077742C"/>
    <w:rsid w:val="007774D1"/>
    <w:rsid w:val="00777671"/>
    <w:rsid w:val="007776BE"/>
    <w:rsid w:val="007776E4"/>
    <w:rsid w:val="00777794"/>
    <w:rsid w:val="007777B0"/>
    <w:rsid w:val="007777E2"/>
    <w:rsid w:val="00777971"/>
    <w:rsid w:val="00777CAE"/>
    <w:rsid w:val="00777E25"/>
    <w:rsid w:val="00777E32"/>
    <w:rsid w:val="00777E69"/>
    <w:rsid w:val="00777F82"/>
    <w:rsid w:val="00777FF0"/>
    <w:rsid w:val="007800DC"/>
    <w:rsid w:val="00780120"/>
    <w:rsid w:val="00780192"/>
    <w:rsid w:val="007801A9"/>
    <w:rsid w:val="0078039F"/>
    <w:rsid w:val="007804BF"/>
    <w:rsid w:val="00780531"/>
    <w:rsid w:val="0078057E"/>
    <w:rsid w:val="007805C7"/>
    <w:rsid w:val="00780671"/>
    <w:rsid w:val="007806E2"/>
    <w:rsid w:val="007806F3"/>
    <w:rsid w:val="007806F8"/>
    <w:rsid w:val="00780723"/>
    <w:rsid w:val="00780787"/>
    <w:rsid w:val="007807E7"/>
    <w:rsid w:val="00780890"/>
    <w:rsid w:val="00780898"/>
    <w:rsid w:val="0078091C"/>
    <w:rsid w:val="00780A77"/>
    <w:rsid w:val="00780A91"/>
    <w:rsid w:val="00780B50"/>
    <w:rsid w:val="00780BAC"/>
    <w:rsid w:val="00780CB8"/>
    <w:rsid w:val="00780DC5"/>
    <w:rsid w:val="00780DFD"/>
    <w:rsid w:val="00780F04"/>
    <w:rsid w:val="00780F17"/>
    <w:rsid w:val="00780F9A"/>
    <w:rsid w:val="00780F9B"/>
    <w:rsid w:val="00780FEE"/>
    <w:rsid w:val="00781082"/>
    <w:rsid w:val="007810FB"/>
    <w:rsid w:val="00781153"/>
    <w:rsid w:val="007811E4"/>
    <w:rsid w:val="007812AB"/>
    <w:rsid w:val="007812EE"/>
    <w:rsid w:val="007813AC"/>
    <w:rsid w:val="007813E9"/>
    <w:rsid w:val="0078142F"/>
    <w:rsid w:val="00781448"/>
    <w:rsid w:val="007814F4"/>
    <w:rsid w:val="00781581"/>
    <w:rsid w:val="007816F0"/>
    <w:rsid w:val="0078171A"/>
    <w:rsid w:val="007817C8"/>
    <w:rsid w:val="0078185C"/>
    <w:rsid w:val="00781872"/>
    <w:rsid w:val="007818B2"/>
    <w:rsid w:val="007818B9"/>
    <w:rsid w:val="007818F8"/>
    <w:rsid w:val="00781915"/>
    <w:rsid w:val="00781988"/>
    <w:rsid w:val="007819A8"/>
    <w:rsid w:val="00781A0C"/>
    <w:rsid w:val="00781A63"/>
    <w:rsid w:val="00781A83"/>
    <w:rsid w:val="00781AD1"/>
    <w:rsid w:val="00781AED"/>
    <w:rsid w:val="00781AF8"/>
    <w:rsid w:val="00781C28"/>
    <w:rsid w:val="00781C8C"/>
    <w:rsid w:val="00781CD7"/>
    <w:rsid w:val="00781D35"/>
    <w:rsid w:val="00781D5B"/>
    <w:rsid w:val="00781F6A"/>
    <w:rsid w:val="00782161"/>
    <w:rsid w:val="0078218E"/>
    <w:rsid w:val="0078222A"/>
    <w:rsid w:val="007822D0"/>
    <w:rsid w:val="007823FC"/>
    <w:rsid w:val="00782404"/>
    <w:rsid w:val="00782416"/>
    <w:rsid w:val="00782435"/>
    <w:rsid w:val="007824F9"/>
    <w:rsid w:val="0078252B"/>
    <w:rsid w:val="0078263D"/>
    <w:rsid w:val="00782668"/>
    <w:rsid w:val="00782750"/>
    <w:rsid w:val="00782764"/>
    <w:rsid w:val="00782861"/>
    <w:rsid w:val="00782967"/>
    <w:rsid w:val="00782A18"/>
    <w:rsid w:val="00782A50"/>
    <w:rsid w:val="00782AB7"/>
    <w:rsid w:val="00782B88"/>
    <w:rsid w:val="00782C03"/>
    <w:rsid w:val="00782C49"/>
    <w:rsid w:val="00782CF9"/>
    <w:rsid w:val="00782D3F"/>
    <w:rsid w:val="00782DBF"/>
    <w:rsid w:val="00782DF0"/>
    <w:rsid w:val="00782E12"/>
    <w:rsid w:val="00782EED"/>
    <w:rsid w:val="00782F83"/>
    <w:rsid w:val="00782F8F"/>
    <w:rsid w:val="007831C9"/>
    <w:rsid w:val="007831E8"/>
    <w:rsid w:val="0078322C"/>
    <w:rsid w:val="007832A0"/>
    <w:rsid w:val="007832DB"/>
    <w:rsid w:val="00783331"/>
    <w:rsid w:val="0078338F"/>
    <w:rsid w:val="007834C9"/>
    <w:rsid w:val="007834D9"/>
    <w:rsid w:val="0078350D"/>
    <w:rsid w:val="00783540"/>
    <w:rsid w:val="00783548"/>
    <w:rsid w:val="00783658"/>
    <w:rsid w:val="00783706"/>
    <w:rsid w:val="007837B1"/>
    <w:rsid w:val="0078382A"/>
    <w:rsid w:val="007838B4"/>
    <w:rsid w:val="007838B8"/>
    <w:rsid w:val="007838C1"/>
    <w:rsid w:val="00783913"/>
    <w:rsid w:val="0078395B"/>
    <w:rsid w:val="0078399A"/>
    <w:rsid w:val="007839E5"/>
    <w:rsid w:val="00783A0B"/>
    <w:rsid w:val="00783A2C"/>
    <w:rsid w:val="00783A40"/>
    <w:rsid w:val="00783A6D"/>
    <w:rsid w:val="00783A84"/>
    <w:rsid w:val="00783ABF"/>
    <w:rsid w:val="00783CA1"/>
    <w:rsid w:val="00783D6E"/>
    <w:rsid w:val="00783D84"/>
    <w:rsid w:val="00783DEB"/>
    <w:rsid w:val="00783E58"/>
    <w:rsid w:val="00783EF1"/>
    <w:rsid w:val="00783F90"/>
    <w:rsid w:val="00783FC1"/>
    <w:rsid w:val="0078402E"/>
    <w:rsid w:val="007840DD"/>
    <w:rsid w:val="007841C1"/>
    <w:rsid w:val="0078423A"/>
    <w:rsid w:val="00784251"/>
    <w:rsid w:val="00784256"/>
    <w:rsid w:val="00784269"/>
    <w:rsid w:val="007843A8"/>
    <w:rsid w:val="00784530"/>
    <w:rsid w:val="00784532"/>
    <w:rsid w:val="007845A5"/>
    <w:rsid w:val="007845D2"/>
    <w:rsid w:val="0078463F"/>
    <w:rsid w:val="0078484C"/>
    <w:rsid w:val="0078488F"/>
    <w:rsid w:val="007848E6"/>
    <w:rsid w:val="0078494F"/>
    <w:rsid w:val="007849A1"/>
    <w:rsid w:val="00784A80"/>
    <w:rsid w:val="00784B1D"/>
    <w:rsid w:val="00784BA7"/>
    <w:rsid w:val="00784BB9"/>
    <w:rsid w:val="00784C1C"/>
    <w:rsid w:val="00784D8D"/>
    <w:rsid w:val="00784DEF"/>
    <w:rsid w:val="0078509D"/>
    <w:rsid w:val="00785107"/>
    <w:rsid w:val="0078512A"/>
    <w:rsid w:val="00785152"/>
    <w:rsid w:val="0078515E"/>
    <w:rsid w:val="0078519E"/>
    <w:rsid w:val="00785205"/>
    <w:rsid w:val="0078525C"/>
    <w:rsid w:val="0078527D"/>
    <w:rsid w:val="007852F4"/>
    <w:rsid w:val="00785310"/>
    <w:rsid w:val="0078533C"/>
    <w:rsid w:val="00785385"/>
    <w:rsid w:val="007854AC"/>
    <w:rsid w:val="007854FE"/>
    <w:rsid w:val="0078555E"/>
    <w:rsid w:val="007855DE"/>
    <w:rsid w:val="0078566E"/>
    <w:rsid w:val="007856A1"/>
    <w:rsid w:val="007856B1"/>
    <w:rsid w:val="007856E2"/>
    <w:rsid w:val="007858BC"/>
    <w:rsid w:val="007859DA"/>
    <w:rsid w:val="00785A0E"/>
    <w:rsid w:val="00785A88"/>
    <w:rsid w:val="00785AE4"/>
    <w:rsid w:val="00785B38"/>
    <w:rsid w:val="00785C10"/>
    <w:rsid w:val="00785CF4"/>
    <w:rsid w:val="00785D0C"/>
    <w:rsid w:val="00785D26"/>
    <w:rsid w:val="00785EE8"/>
    <w:rsid w:val="00785FB7"/>
    <w:rsid w:val="00786029"/>
    <w:rsid w:val="0078605B"/>
    <w:rsid w:val="007860B0"/>
    <w:rsid w:val="00786124"/>
    <w:rsid w:val="0078617E"/>
    <w:rsid w:val="007861BB"/>
    <w:rsid w:val="007861EA"/>
    <w:rsid w:val="0078620E"/>
    <w:rsid w:val="00786261"/>
    <w:rsid w:val="00786306"/>
    <w:rsid w:val="007863CE"/>
    <w:rsid w:val="00786495"/>
    <w:rsid w:val="007864E0"/>
    <w:rsid w:val="0078653B"/>
    <w:rsid w:val="007865A3"/>
    <w:rsid w:val="007865CA"/>
    <w:rsid w:val="00786643"/>
    <w:rsid w:val="00786702"/>
    <w:rsid w:val="0078673D"/>
    <w:rsid w:val="0078676E"/>
    <w:rsid w:val="0078679A"/>
    <w:rsid w:val="007867FF"/>
    <w:rsid w:val="0078681F"/>
    <w:rsid w:val="0078683C"/>
    <w:rsid w:val="0078685C"/>
    <w:rsid w:val="007868A2"/>
    <w:rsid w:val="00786900"/>
    <w:rsid w:val="00786A23"/>
    <w:rsid w:val="00786A25"/>
    <w:rsid w:val="00786B67"/>
    <w:rsid w:val="00786B6B"/>
    <w:rsid w:val="00786C04"/>
    <w:rsid w:val="00786C35"/>
    <w:rsid w:val="00786C92"/>
    <w:rsid w:val="00786CC9"/>
    <w:rsid w:val="00786DD9"/>
    <w:rsid w:val="00786DF3"/>
    <w:rsid w:val="00786DFB"/>
    <w:rsid w:val="00786E92"/>
    <w:rsid w:val="00786F5B"/>
    <w:rsid w:val="0078702E"/>
    <w:rsid w:val="00787053"/>
    <w:rsid w:val="00787079"/>
    <w:rsid w:val="007870DA"/>
    <w:rsid w:val="00787256"/>
    <w:rsid w:val="007872A1"/>
    <w:rsid w:val="007872A5"/>
    <w:rsid w:val="007872B0"/>
    <w:rsid w:val="007872EA"/>
    <w:rsid w:val="00787402"/>
    <w:rsid w:val="0078740E"/>
    <w:rsid w:val="00787433"/>
    <w:rsid w:val="0078760B"/>
    <w:rsid w:val="00787685"/>
    <w:rsid w:val="0078768C"/>
    <w:rsid w:val="007876F1"/>
    <w:rsid w:val="00787A18"/>
    <w:rsid w:val="00787AF7"/>
    <w:rsid w:val="00787C28"/>
    <w:rsid w:val="00787CE3"/>
    <w:rsid w:val="00787D9F"/>
    <w:rsid w:val="00787DAB"/>
    <w:rsid w:val="00787DF4"/>
    <w:rsid w:val="00787E5B"/>
    <w:rsid w:val="00787EE7"/>
    <w:rsid w:val="007900A0"/>
    <w:rsid w:val="00790163"/>
    <w:rsid w:val="0079021D"/>
    <w:rsid w:val="007902E1"/>
    <w:rsid w:val="007903A5"/>
    <w:rsid w:val="007904D4"/>
    <w:rsid w:val="007904E5"/>
    <w:rsid w:val="00790545"/>
    <w:rsid w:val="00790557"/>
    <w:rsid w:val="00790569"/>
    <w:rsid w:val="00790587"/>
    <w:rsid w:val="00790593"/>
    <w:rsid w:val="007905AA"/>
    <w:rsid w:val="007905DD"/>
    <w:rsid w:val="007905EA"/>
    <w:rsid w:val="00790704"/>
    <w:rsid w:val="00790722"/>
    <w:rsid w:val="00790743"/>
    <w:rsid w:val="007907B0"/>
    <w:rsid w:val="007908D3"/>
    <w:rsid w:val="007909C0"/>
    <w:rsid w:val="00790A84"/>
    <w:rsid w:val="00790AD8"/>
    <w:rsid w:val="00790C12"/>
    <w:rsid w:val="00790C40"/>
    <w:rsid w:val="00790C5B"/>
    <w:rsid w:val="00790D60"/>
    <w:rsid w:val="00790D91"/>
    <w:rsid w:val="00790E08"/>
    <w:rsid w:val="00790E3A"/>
    <w:rsid w:val="00790F10"/>
    <w:rsid w:val="00790FD3"/>
    <w:rsid w:val="00790FED"/>
    <w:rsid w:val="00791002"/>
    <w:rsid w:val="00791044"/>
    <w:rsid w:val="0079124A"/>
    <w:rsid w:val="00791455"/>
    <w:rsid w:val="007915A6"/>
    <w:rsid w:val="00791664"/>
    <w:rsid w:val="007916D5"/>
    <w:rsid w:val="007917D5"/>
    <w:rsid w:val="00791910"/>
    <w:rsid w:val="00791AAA"/>
    <w:rsid w:val="00791B16"/>
    <w:rsid w:val="00791BD7"/>
    <w:rsid w:val="00791D8B"/>
    <w:rsid w:val="00791ED5"/>
    <w:rsid w:val="00791FBB"/>
    <w:rsid w:val="00792076"/>
    <w:rsid w:val="00792184"/>
    <w:rsid w:val="007921BB"/>
    <w:rsid w:val="0079225B"/>
    <w:rsid w:val="00792283"/>
    <w:rsid w:val="00792334"/>
    <w:rsid w:val="0079238C"/>
    <w:rsid w:val="0079239A"/>
    <w:rsid w:val="007923E9"/>
    <w:rsid w:val="0079244B"/>
    <w:rsid w:val="00792498"/>
    <w:rsid w:val="00792516"/>
    <w:rsid w:val="00792554"/>
    <w:rsid w:val="0079257D"/>
    <w:rsid w:val="007925B8"/>
    <w:rsid w:val="007925BA"/>
    <w:rsid w:val="007925CB"/>
    <w:rsid w:val="0079270F"/>
    <w:rsid w:val="00792747"/>
    <w:rsid w:val="0079277C"/>
    <w:rsid w:val="007928AD"/>
    <w:rsid w:val="007928DE"/>
    <w:rsid w:val="00792990"/>
    <w:rsid w:val="00792B6F"/>
    <w:rsid w:val="00792C1B"/>
    <w:rsid w:val="00792C92"/>
    <w:rsid w:val="00792CDC"/>
    <w:rsid w:val="00792D30"/>
    <w:rsid w:val="00792D45"/>
    <w:rsid w:val="00792D65"/>
    <w:rsid w:val="00792DB9"/>
    <w:rsid w:val="00792DE4"/>
    <w:rsid w:val="00792E0A"/>
    <w:rsid w:val="00792E4D"/>
    <w:rsid w:val="00792EEE"/>
    <w:rsid w:val="00792FAC"/>
    <w:rsid w:val="007930CA"/>
    <w:rsid w:val="007930EA"/>
    <w:rsid w:val="007931B0"/>
    <w:rsid w:val="00793251"/>
    <w:rsid w:val="0079325D"/>
    <w:rsid w:val="007932D5"/>
    <w:rsid w:val="007932E6"/>
    <w:rsid w:val="0079335A"/>
    <w:rsid w:val="0079348A"/>
    <w:rsid w:val="0079361A"/>
    <w:rsid w:val="007936C6"/>
    <w:rsid w:val="00793710"/>
    <w:rsid w:val="00793730"/>
    <w:rsid w:val="00793744"/>
    <w:rsid w:val="007937CE"/>
    <w:rsid w:val="00793828"/>
    <w:rsid w:val="007938E7"/>
    <w:rsid w:val="007938EA"/>
    <w:rsid w:val="00793A0D"/>
    <w:rsid w:val="00793A85"/>
    <w:rsid w:val="00793AA1"/>
    <w:rsid w:val="00793AB6"/>
    <w:rsid w:val="00793ACC"/>
    <w:rsid w:val="00793AE0"/>
    <w:rsid w:val="00793B5F"/>
    <w:rsid w:val="00793C86"/>
    <w:rsid w:val="00793CC2"/>
    <w:rsid w:val="00793D02"/>
    <w:rsid w:val="00793DE3"/>
    <w:rsid w:val="00793E7E"/>
    <w:rsid w:val="00793E8E"/>
    <w:rsid w:val="00793F0A"/>
    <w:rsid w:val="00793F0C"/>
    <w:rsid w:val="00793F28"/>
    <w:rsid w:val="00793F48"/>
    <w:rsid w:val="00794044"/>
    <w:rsid w:val="00794065"/>
    <w:rsid w:val="00794084"/>
    <w:rsid w:val="007940EA"/>
    <w:rsid w:val="0079410B"/>
    <w:rsid w:val="00794222"/>
    <w:rsid w:val="0079427D"/>
    <w:rsid w:val="00794287"/>
    <w:rsid w:val="0079429F"/>
    <w:rsid w:val="007942BF"/>
    <w:rsid w:val="0079432F"/>
    <w:rsid w:val="0079436B"/>
    <w:rsid w:val="007943A2"/>
    <w:rsid w:val="007943EC"/>
    <w:rsid w:val="007944C7"/>
    <w:rsid w:val="0079459B"/>
    <w:rsid w:val="007945D1"/>
    <w:rsid w:val="007945D2"/>
    <w:rsid w:val="00794619"/>
    <w:rsid w:val="007946B3"/>
    <w:rsid w:val="007946C1"/>
    <w:rsid w:val="007946C4"/>
    <w:rsid w:val="007946F4"/>
    <w:rsid w:val="00794763"/>
    <w:rsid w:val="007948A5"/>
    <w:rsid w:val="007948B0"/>
    <w:rsid w:val="00794900"/>
    <w:rsid w:val="0079492E"/>
    <w:rsid w:val="00794998"/>
    <w:rsid w:val="00794A32"/>
    <w:rsid w:val="00794A91"/>
    <w:rsid w:val="00794AA1"/>
    <w:rsid w:val="00794C8F"/>
    <w:rsid w:val="00794CBE"/>
    <w:rsid w:val="00794CDA"/>
    <w:rsid w:val="00794DDC"/>
    <w:rsid w:val="00794E1A"/>
    <w:rsid w:val="00794E97"/>
    <w:rsid w:val="00794EAB"/>
    <w:rsid w:val="00794FE5"/>
    <w:rsid w:val="00795036"/>
    <w:rsid w:val="00795047"/>
    <w:rsid w:val="00795050"/>
    <w:rsid w:val="00795063"/>
    <w:rsid w:val="0079507D"/>
    <w:rsid w:val="007950CF"/>
    <w:rsid w:val="0079518D"/>
    <w:rsid w:val="00795220"/>
    <w:rsid w:val="00795227"/>
    <w:rsid w:val="00795289"/>
    <w:rsid w:val="00795404"/>
    <w:rsid w:val="00795435"/>
    <w:rsid w:val="0079546D"/>
    <w:rsid w:val="00795488"/>
    <w:rsid w:val="00795491"/>
    <w:rsid w:val="00795540"/>
    <w:rsid w:val="007955EA"/>
    <w:rsid w:val="0079563E"/>
    <w:rsid w:val="0079577F"/>
    <w:rsid w:val="00795888"/>
    <w:rsid w:val="0079589C"/>
    <w:rsid w:val="0079589D"/>
    <w:rsid w:val="00795915"/>
    <w:rsid w:val="00795A6B"/>
    <w:rsid w:val="00795A7B"/>
    <w:rsid w:val="00795A8C"/>
    <w:rsid w:val="00795AC6"/>
    <w:rsid w:val="00795AE1"/>
    <w:rsid w:val="00795B32"/>
    <w:rsid w:val="00795BAC"/>
    <w:rsid w:val="00795CC6"/>
    <w:rsid w:val="00795CFB"/>
    <w:rsid w:val="00795D4A"/>
    <w:rsid w:val="00795D7F"/>
    <w:rsid w:val="00796114"/>
    <w:rsid w:val="0079615A"/>
    <w:rsid w:val="0079615C"/>
    <w:rsid w:val="007961AB"/>
    <w:rsid w:val="00796200"/>
    <w:rsid w:val="0079628A"/>
    <w:rsid w:val="0079633D"/>
    <w:rsid w:val="00796353"/>
    <w:rsid w:val="0079642C"/>
    <w:rsid w:val="00796430"/>
    <w:rsid w:val="0079645D"/>
    <w:rsid w:val="0079645F"/>
    <w:rsid w:val="007964D8"/>
    <w:rsid w:val="00796542"/>
    <w:rsid w:val="0079668D"/>
    <w:rsid w:val="007966AB"/>
    <w:rsid w:val="007966BB"/>
    <w:rsid w:val="007966DA"/>
    <w:rsid w:val="007966F6"/>
    <w:rsid w:val="0079678E"/>
    <w:rsid w:val="00796930"/>
    <w:rsid w:val="007969ED"/>
    <w:rsid w:val="00796A04"/>
    <w:rsid w:val="00796A31"/>
    <w:rsid w:val="00796A57"/>
    <w:rsid w:val="00796B75"/>
    <w:rsid w:val="00796C5A"/>
    <w:rsid w:val="00796CB5"/>
    <w:rsid w:val="00796CF0"/>
    <w:rsid w:val="00796D70"/>
    <w:rsid w:val="00796DA2"/>
    <w:rsid w:val="00796E89"/>
    <w:rsid w:val="00796EBB"/>
    <w:rsid w:val="00796F6D"/>
    <w:rsid w:val="00796FC7"/>
    <w:rsid w:val="00796FEB"/>
    <w:rsid w:val="00797001"/>
    <w:rsid w:val="00797010"/>
    <w:rsid w:val="0079702A"/>
    <w:rsid w:val="0079708D"/>
    <w:rsid w:val="00797128"/>
    <w:rsid w:val="007971D5"/>
    <w:rsid w:val="00797240"/>
    <w:rsid w:val="0079733B"/>
    <w:rsid w:val="007973BA"/>
    <w:rsid w:val="00797409"/>
    <w:rsid w:val="0079746B"/>
    <w:rsid w:val="0079754F"/>
    <w:rsid w:val="00797589"/>
    <w:rsid w:val="007976AB"/>
    <w:rsid w:val="00797701"/>
    <w:rsid w:val="00797810"/>
    <w:rsid w:val="00797814"/>
    <w:rsid w:val="0079792F"/>
    <w:rsid w:val="00797999"/>
    <w:rsid w:val="00797A29"/>
    <w:rsid w:val="00797A57"/>
    <w:rsid w:val="00797A7A"/>
    <w:rsid w:val="00797AD3"/>
    <w:rsid w:val="00797B3A"/>
    <w:rsid w:val="00797B6B"/>
    <w:rsid w:val="00797B9D"/>
    <w:rsid w:val="00797BA0"/>
    <w:rsid w:val="00797D86"/>
    <w:rsid w:val="00797E33"/>
    <w:rsid w:val="00797E57"/>
    <w:rsid w:val="00797E69"/>
    <w:rsid w:val="00797E7B"/>
    <w:rsid w:val="00797E9F"/>
    <w:rsid w:val="007A000A"/>
    <w:rsid w:val="007A0013"/>
    <w:rsid w:val="007A0067"/>
    <w:rsid w:val="007A01BD"/>
    <w:rsid w:val="007A01D2"/>
    <w:rsid w:val="007A0236"/>
    <w:rsid w:val="007A0260"/>
    <w:rsid w:val="007A027F"/>
    <w:rsid w:val="007A02C5"/>
    <w:rsid w:val="007A02F0"/>
    <w:rsid w:val="007A0320"/>
    <w:rsid w:val="007A0340"/>
    <w:rsid w:val="007A0363"/>
    <w:rsid w:val="007A0367"/>
    <w:rsid w:val="007A044E"/>
    <w:rsid w:val="007A0490"/>
    <w:rsid w:val="007A056D"/>
    <w:rsid w:val="007A06BE"/>
    <w:rsid w:val="007A07FF"/>
    <w:rsid w:val="007A0864"/>
    <w:rsid w:val="007A08C5"/>
    <w:rsid w:val="007A0902"/>
    <w:rsid w:val="007A0915"/>
    <w:rsid w:val="007A0986"/>
    <w:rsid w:val="007A09EE"/>
    <w:rsid w:val="007A0A5D"/>
    <w:rsid w:val="007A0B80"/>
    <w:rsid w:val="007A0CC2"/>
    <w:rsid w:val="007A0CCE"/>
    <w:rsid w:val="007A0CD8"/>
    <w:rsid w:val="007A0CF7"/>
    <w:rsid w:val="007A0D26"/>
    <w:rsid w:val="007A0D27"/>
    <w:rsid w:val="007A0D4B"/>
    <w:rsid w:val="007A0DE4"/>
    <w:rsid w:val="007A0EA2"/>
    <w:rsid w:val="007A0EBD"/>
    <w:rsid w:val="007A0EE4"/>
    <w:rsid w:val="007A0F33"/>
    <w:rsid w:val="007A0F6A"/>
    <w:rsid w:val="007A1012"/>
    <w:rsid w:val="007A10FD"/>
    <w:rsid w:val="007A112A"/>
    <w:rsid w:val="007A113B"/>
    <w:rsid w:val="007A11C8"/>
    <w:rsid w:val="007A11D6"/>
    <w:rsid w:val="007A1216"/>
    <w:rsid w:val="007A1264"/>
    <w:rsid w:val="007A1277"/>
    <w:rsid w:val="007A1295"/>
    <w:rsid w:val="007A1316"/>
    <w:rsid w:val="007A1353"/>
    <w:rsid w:val="007A13E1"/>
    <w:rsid w:val="007A1402"/>
    <w:rsid w:val="007A149F"/>
    <w:rsid w:val="007A1522"/>
    <w:rsid w:val="007A1587"/>
    <w:rsid w:val="007A16A3"/>
    <w:rsid w:val="007A1711"/>
    <w:rsid w:val="007A172B"/>
    <w:rsid w:val="007A1732"/>
    <w:rsid w:val="007A1776"/>
    <w:rsid w:val="007A18EB"/>
    <w:rsid w:val="007A18F0"/>
    <w:rsid w:val="007A190D"/>
    <w:rsid w:val="007A19AF"/>
    <w:rsid w:val="007A1DA3"/>
    <w:rsid w:val="007A1ECD"/>
    <w:rsid w:val="007A1F86"/>
    <w:rsid w:val="007A205D"/>
    <w:rsid w:val="007A207B"/>
    <w:rsid w:val="007A20AC"/>
    <w:rsid w:val="007A212B"/>
    <w:rsid w:val="007A2168"/>
    <w:rsid w:val="007A2192"/>
    <w:rsid w:val="007A2253"/>
    <w:rsid w:val="007A2295"/>
    <w:rsid w:val="007A22CB"/>
    <w:rsid w:val="007A2324"/>
    <w:rsid w:val="007A23A9"/>
    <w:rsid w:val="007A24A4"/>
    <w:rsid w:val="007A24EA"/>
    <w:rsid w:val="007A250B"/>
    <w:rsid w:val="007A2561"/>
    <w:rsid w:val="007A25E1"/>
    <w:rsid w:val="007A2645"/>
    <w:rsid w:val="007A268B"/>
    <w:rsid w:val="007A269C"/>
    <w:rsid w:val="007A26D2"/>
    <w:rsid w:val="007A2702"/>
    <w:rsid w:val="007A272A"/>
    <w:rsid w:val="007A27AF"/>
    <w:rsid w:val="007A281C"/>
    <w:rsid w:val="007A2901"/>
    <w:rsid w:val="007A29CD"/>
    <w:rsid w:val="007A2AE3"/>
    <w:rsid w:val="007A2B36"/>
    <w:rsid w:val="007A2B69"/>
    <w:rsid w:val="007A2C57"/>
    <w:rsid w:val="007A2D31"/>
    <w:rsid w:val="007A2DEF"/>
    <w:rsid w:val="007A3006"/>
    <w:rsid w:val="007A3038"/>
    <w:rsid w:val="007A303A"/>
    <w:rsid w:val="007A315D"/>
    <w:rsid w:val="007A3166"/>
    <w:rsid w:val="007A31B0"/>
    <w:rsid w:val="007A325A"/>
    <w:rsid w:val="007A3272"/>
    <w:rsid w:val="007A333C"/>
    <w:rsid w:val="007A341C"/>
    <w:rsid w:val="007A363C"/>
    <w:rsid w:val="007A3649"/>
    <w:rsid w:val="007A3663"/>
    <w:rsid w:val="007A3786"/>
    <w:rsid w:val="007A37AE"/>
    <w:rsid w:val="007A390A"/>
    <w:rsid w:val="007A3936"/>
    <w:rsid w:val="007A39A5"/>
    <w:rsid w:val="007A39AC"/>
    <w:rsid w:val="007A3A85"/>
    <w:rsid w:val="007A3A8D"/>
    <w:rsid w:val="007A3BA2"/>
    <w:rsid w:val="007A3D6D"/>
    <w:rsid w:val="007A3ED4"/>
    <w:rsid w:val="007A4083"/>
    <w:rsid w:val="007A4094"/>
    <w:rsid w:val="007A40D2"/>
    <w:rsid w:val="007A41E2"/>
    <w:rsid w:val="007A4227"/>
    <w:rsid w:val="007A4254"/>
    <w:rsid w:val="007A42C9"/>
    <w:rsid w:val="007A433A"/>
    <w:rsid w:val="007A4352"/>
    <w:rsid w:val="007A43B7"/>
    <w:rsid w:val="007A43BF"/>
    <w:rsid w:val="007A440F"/>
    <w:rsid w:val="007A44C1"/>
    <w:rsid w:val="007A45B5"/>
    <w:rsid w:val="007A4677"/>
    <w:rsid w:val="007A4729"/>
    <w:rsid w:val="007A479D"/>
    <w:rsid w:val="007A47C5"/>
    <w:rsid w:val="007A47D5"/>
    <w:rsid w:val="007A4903"/>
    <w:rsid w:val="007A4908"/>
    <w:rsid w:val="007A49B5"/>
    <w:rsid w:val="007A4A05"/>
    <w:rsid w:val="007A4B84"/>
    <w:rsid w:val="007A4BC4"/>
    <w:rsid w:val="007A4BF4"/>
    <w:rsid w:val="007A4D29"/>
    <w:rsid w:val="007A4E55"/>
    <w:rsid w:val="007A4E69"/>
    <w:rsid w:val="007A4EA2"/>
    <w:rsid w:val="007A4EC1"/>
    <w:rsid w:val="007A4ED4"/>
    <w:rsid w:val="007A4EE8"/>
    <w:rsid w:val="007A4EF6"/>
    <w:rsid w:val="007A4F17"/>
    <w:rsid w:val="007A504E"/>
    <w:rsid w:val="007A50C8"/>
    <w:rsid w:val="007A50CF"/>
    <w:rsid w:val="007A50F8"/>
    <w:rsid w:val="007A510E"/>
    <w:rsid w:val="007A5124"/>
    <w:rsid w:val="007A513E"/>
    <w:rsid w:val="007A525D"/>
    <w:rsid w:val="007A52E0"/>
    <w:rsid w:val="007A5489"/>
    <w:rsid w:val="007A54C6"/>
    <w:rsid w:val="007A5527"/>
    <w:rsid w:val="007A5530"/>
    <w:rsid w:val="007A5557"/>
    <w:rsid w:val="007A5598"/>
    <w:rsid w:val="007A5658"/>
    <w:rsid w:val="007A5748"/>
    <w:rsid w:val="007A57C1"/>
    <w:rsid w:val="007A57F8"/>
    <w:rsid w:val="007A5825"/>
    <w:rsid w:val="007A598F"/>
    <w:rsid w:val="007A59A1"/>
    <w:rsid w:val="007A59D2"/>
    <w:rsid w:val="007A5A46"/>
    <w:rsid w:val="007A5A49"/>
    <w:rsid w:val="007A5A87"/>
    <w:rsid w:val="007A5A90"/>
    <w:rsid w:val="007A5B45"/>
    <w:rsid w:val="007A5C03"/>
    <w:rsid w:val="007A5C2B"/>
    <w:rsid w:val="007A5C74"/>
    <w:rsid w:val="007A5C7B"/>
    <w:rsid w:val="007A5ED0"/>
    <w:rsid w:val="007A5FB7"/>
    <w:rsid w:val="007A60CF"/>
    <w:rsid w:val="007A60E7"/>
    <w:rsid w:val="007A6115"/>
    <w:rsid w:val="007A6177"/>
    <w:rsid w:val="007A6263"/>
    <w:rsid w:val="007A628E"/>
    <w:rsid w:val="007A630E"/>
    <w:rsid w:val="007A637A"/>
    <w:rsid w:val="007A638F"/>
    <w:rsid w:val="007A6395"/>
    <w:rsid w:val="007A6396"/>
    <w:rsid w:val="007A63F5"/>
    <w:rsid w:val="007A6432"/>
    <w:rsid w:val="007A64E1"/>
    <w:rsid w:val="007A660C"/>
    <w:rsid w:val="007A662A"/>
    <w:rsid w:val="007A663A"/>
    <w:rsid w:val="007A677E"/>
    <w:rsid w:val="007A678D"/>
    <w:rsid w:val="007A67E4"/>
    <w:rsid w:val="007A6823"/>
    <w:rsid w:val="007A6A5E"/>
    <w:rsid w:val="007A6A9B"/>
    <w:rsid w:val="007A6AB0"/>
    <w:rsid w:val="007A6AB8"/>
    <w:rsid w:val="007A6C0F"/>
    <w:rsid w:val="007A6C2F"/>
    <w:rsid w:val="007A6D02"/>
    <w:rsid w:val="007A6D7F"/>
    <w:rsid w:val="007A6DCE"/>
    <w:rsid w:val="007A6EEC"/>
    <w:rsid w:val="007A6F09"/>
    <w:rsid w:val="007A6F44"/>
    <w:rsid w:val="007A7094"/>
    <w:rsid w:val="007A70E0"/>
    <w:rsid w:val="007A7190"/>
    <w:rsid w:val="007A727C"/>
    <w:rsid w:val="007A72A6"/>
    <w:rsid w:val="007A7315"/>
    <w:rsid w:val="007A7328"/>
    <w:rsid w:val="007A7395"/>
    <w:rsid w:val="007A7476"/>
    <w:rsid w:val="007A7529"/>
    <w:rsid w:val="007A752C"/>
    <w:rsid w:val="007A773A"/>
    <w:rsid w:val="007A777B"/>
    <w:rsid w:val="007A78C8"/>
    <w:rsid w:val="007A7957"/>
    <w:rsid w:val="007A79B9"/>
    <w:rsid w:val="007A7A54"/>
    <w:rsid w:val="007A7A95"/>
    <w:rsid w:val="007A7A99"/>
    <w:rsid w:val="007A7D0A"/>
    <w:rsid w:val="007A7D1D"/>
    <w:rsid w:val="007A7D40"/>
    <w:rsid w:val="007A7D52"/>
    <w:rsid w:val="007A7D9B"/>
    <w:rsid w:val="007A7DC0"/>
    <w:rsid w:val="007A7E1C"/>
    <w:rsid w:val="007A7E3D"/>
    <w:rsid w:val="007A7E4E"/>
    <w:rsid w:val="007A7F42"/>
    <w:rsid w:val="007A7FE1"/>
    <w:rsid w:val="007B000B"/>
    <w:rsid w:val="007B001D"/>
    <w:rsid w:val="007B002E"/>
    <w:rsid w:val="007B0110"/>
    <w:rsid w:val="007B02F2"/>
    <w:rsid w:val="007B0303"/>
    <w:rsid w:val="007B034B"/>
    <w:rsid w:val="007B0397"/>
    <w:rsid w:val="007B03D4"/>
    <w:rsid w:val="007B0483"/>
    <w:rsid w:val="007B0516"/>
    <w:rsid w:val="007B05BD"/>
    <w:rsid w:val="007B07B9"/>
    <w:rsid w:val="007B09C8"/>
    <w:rsid w:val="007B09ED"/>
    <w:rsid w:val="007B0A2D"/>
    <w:rsid w:val="007B0B2C"/>
    <w:rsid w:val="007B0B3D"/>
    <w:rsid w:val="007B0D26"/>
    <w:rsid w:val="007B0D4F"/>
    <w:rsid w:val="007B0E1A"/>
    <w:rsid w:val="007B0F9E"/>
    <w:rsid w:val="007B10E3"/>
    <w:rsid w:val="007B112E"/>
    <w:rsid w:val="007B11BA"/>
    <w:rsid w:val="007B1235"/>
    <w:rsid w:val="007B12E3"/>
    <w:rsid w:val="007B12E4"/>
    <w:rsid w:val="007B132C"/>
    <w:rsid w:val="007B146E"/>
    <w:rsid w:val="007B149E"/>
    <w:rsid w:val="007B14B6"/>
    <w:rsid w:val="007B156E"/>
    <w:rsid w:val="007B1577"/>
    <w:rsid w:val="007B15BC"/>
    <w:rsid w:val="007B15E6"/>
    <w:rsid w:val="007B1636"/>
    <w:rsid w:val="007B16B6"/>
    <w:rsid w:val="007B16C1"/>
    <w:rsid w:val="007B1726"/>
    <w:rsid w:val="007B1730"/>
    <w:rsid w:val="007B1783"/>
    <w:rsid w:val="007B1828"/>
    <w:rsid w:val="007B1832"/>
    <w:rsid w:val="007B1896"/>
    <w:rsid w:val="007B1C3E"/>
    <w:rsid w:val="007B1DBD"/>
    <w:rsid w:val="007B1E80"/>
    <w:rsid w:val="007B1F35"/>
    <w:rsid w:val="007B1FC1"/>
    <w:rsid w:val="007B2013"/>
    <w:rsid w:val="007B213F"/>
    <w:rsid w:val="007B214F"/>
    <w:rsid w:val="007B215F"/>
    <w:rsid w:val="007B21BD"/>
    <w:rsid w:val="007B21DC"/>
    <w:rsid w:val="007B2218"/>
    <w:rsid w:val="007B22F9"/>
    <w:rsid w:val="007B2394"/>
    <w:rsid w:val="007B2404"/>
    <w:rsid w:val="007B2469"/>
    <w:rsid w:val="007B2586"/>
    <w:rsid w:val="007B25EC"/>
    <w:rsid w:val="007B2614"/>
    <w:rsid w:val="007B26EE"/>
    <w:rsid w:val="007B27EB"/>
    <w:rsid w:val="007B2876"/>
    <w:rsid w:val="007B28FD"/>
    <w:rsid w:val="007B29C2"/>
    <w:rsid w:val="007B29FC"/>
    <w:rsid w:val="007B2A1E"/>
    <w:rsid w:val="007B2A58"/>
    <w:rsid w:val="007B2AEC"/>
    <w:rsid w:val="007B2AF5"/>
    <w:rsid w:val="007B2B63"/>
    <w:rsid w:val="007B2BDE"/>
    <w:rsid w:val="007B2C3D"/>
    <w:rsid w:val="007B2D20"/>
    <w:rsid w:val="007B2D5E"/>
    <w:rsid w:val="007B2D60"/>
    <w:rsid w:val="007B2FE5"/>
    <w:rsid w:val="007B2FEC"/>
    <w:rsid w:val="007B3082"/>
    <w:rsid w:val="007B30BF"/>
    <w:rsid w:val="007B324F"/>
    <w:rsid w:val="007B32B3"/>
    <w:rsid w:val="007B33AF"/>
    <w:rsid w:val="007B33EE"/>
    <w:rsid w:val="007B342A"/>
    <w:rsid w:val="007B359A"/>
    <w:rsid w:val="007B35AB"/>
    <w:rsid w:val="007B3617"/>
    <w:rsid w:val="007B3650"/>
    <w:rsid w:val="007B36A6"/>
    <w:rsid w:val="007B3707"/>
    <w:rsid w:val="007B370C"/>
    <w:rsid w:val="007B37A8"/>
    <w:rsid w:val="007B386F"/>
    <w:rsid w:val="007B38F7"/>
    <w:rsid w:val="007B3929"/>
    <w:rsid w:val="007B3934"/>
    <w:rsid w:val="007B3B0C"/>
    <w:rsid w:val="007B3B11"/>
    <w:rsid w:val="007B3BB9"/>
    <w:rsid w:val="007B3C70"/>
    <w:rsid w:val="007B3C9C"/>
    <w:rsid w:val="007B3DCE"/>
    <w:rsid w:val="007B3E1D"/>
    <w:rsid w:val="007B3E43"/>
    <w:rsid w:val="007B3F00"/>
    <w:rsid w:val="007B405F"/>
    <w:rsid w:val="007B417E"/>
    <w:rsid w:val="007B41B7"/>
    <w:rsid w:val="007B425A"/>
    <w:rsid w:val="007B4265"/>
    <w:rsid w:val="007B4317"/>
    <w:rsid w:val="007B43AD"/>
    <w:rsid w:val="007B43D7"/>
    <w:rsid w:val="007B441C"/>
    <w:rsid w:val="007B4423"/>
    <w:rsid w:val="007B4497"/>
    <w:rsid w:val="007B44A5"/>
    <w:rsid w:val="007B45C3"/>
    <w:rsid w:val="007B45DA"/>
    <w:rsid w:val="007B45FB"/>
    <w:rsid w:val="007B4718"/>
    <w:rsid w:val="007B47C7"/>
    <w:rsid w:val="007B4AE0"/>
    <w:rsid w:val="007B4DC7"/>
    <w:rsid w:val="007B4E37"/>
    <w:rsid w:val="007B4F4E"/>
    <w:rsid w:val="007B4FEE"/>
    <w:rsid w:val="007B5062"/>
    <w:rsid w:val="007B5075"/>
    <w:rsid w:val="007B5078"/>
    <w:rsid w:val="007B5095"/>
    <w:rsid w:val="007B511F"/>
    <w:rsid w:val="007B5184"/>
    <w:rsid w:val="007B52C3"/>
    <w:rsid w:val="007B5300"/>
    <w:rsid w:val="007B53D9"/>
    <w:rsid w:val="007B54E0"/>
    <w:rsid w:val="007B5578"/>
    <w:rsid w:val="007B56BB"/>
    <w:rsid w:val="007B572B"/>
    <w:rsid w:val="007B57C6"/>
    <w:rsid w:val="007B586A"/>
    <w:rsid w:val="007B58F4"/>
    <w:rsid w:val="007B5A02"/>
    <w:rsid w:val="007B5A17"/>
    <w:rsid w:val="007B5BBC"/>
    <w:rsid w:val="007B5C35"/>
    <w:rsid w:val="007B5C3A"/>
    <w:rsid w:val="007B5C8A"/>
    <w:rsid w:val="007B5C92"/>
    <w:rsid w:val="007B5C97"/>
    <w:rsid w:val="007B5CBA"/>
    <w:rsid w:val="007B5CF3"/>
    <w:rsid w:val="007B5E9D"/>
    <w:rsid w:val="007B5F7B"/>
    <w:rsid w:val="007B608F"/>
    <w:rsid w:val="007B60C2"/>
    <w:rsid w:val="007B6136"/>
    <w:rsid w:val="007B62E3"/>
    <w:rsid w:val="007B637C"/>
    <w:rsid w:val="007B63D3"/>
    <w:rsid w:val="007B6463"/>
    <w:rsid w:val="007B64BB"/>
    <w:rsid w:val="007B6654"/>
    <w:rsid w:val="007B6677"/>
    <w:rsid w:val="007B683C"/>
    <w:rsid w:val="007B68C5"/>
    <w:rsid w:val="007B6972"/>
    <w:rsid w:val="007B69C6"/>
    <w:rsid w:val="007B69E3"/>
    <w:rsid w:val="007B6A70"/>
    <w:rsid w:val="007B6AA6"/>
    <w:rsid w:val="007B6AF1"/>
    <w:rsid w:val="007B6B38"/>
    <w:rsid w:val="007B6BE2"/>
    <w:rsid w:val="007B6CF3"/>
    <w:rsid w:val="007B6DCA"/>
    <w:rsid w:val="007B6E6F"/>
    <w:rsid w:val="007B6E90"/>
    <w:rsid w:val="007B6ECC"/>
    <w:rsid w:val="007B6ED0"/>
    <w:rsid w:val="007B6EE3"/>
    <w:rsid w:val="007B6F80"/>
    <w:rsid w:val="007B6FDC"/>
    <w:rsid w:val="007B7072"/>
    <w:rsid w:val="007B7211"/>
    <w:rsid w:val="007B7245"/>
    <w:rsid w:val="007B73A1"/>
    <w:rsid w:val="007B741B"/>
    <w:rsid w:val="007B7470"/>
    <w:rsid w:val="007B7497"/>
    <w:rsid w:val="007B74DB"/>
    <w:rsid w:val="007B750A"/>
    <w:rsid w:val="007B7510"/>
    <w:rsid w:val="007B7527"/>
    <w:rsid w:val="007B7628"/>
    <w:rsid w:val="007B7684"/>
    <w:rsid w:val="007B77DE"/>
    <w:rsid w:val="007B77EA"/>
    <w:rsid w:val="007B7885"/>
    <w:rsid w:val="007B78B5"/>
    <w:rsid w:val="007B78BF"/>
    <w:rsid w:val="007B7A40"/>
    <w:rsid w:val="007B7B82"/>
    <w:rsid w:val="007B7BC8"/>
    <w:rsid w:val="007B7BD1"/>
    <w:rsid w:val="007B7C0C"/>
    <w:rsid w:val="007B7C1D"/>
    <w:rsid w:val="007B7CA5"/>
    <w:rsid w:val="007B7DAE"/>
    <w:rsid w:val="007B7DB6"/>
    <w:rsid w:val="007B7DE4"/>
    <w:rsid w:val="007B7E64"/>
    <w:rsid w:val="007B7EAF"/>
    <w:rsid w:val="007B7EFC"/>
    <w:rsid w:val="007B7F3E"/>
    <w:rsid w:val="007B7F60"/>
    <w:rsid w:val="007B7F73"/>
    <w:rsid w:val="007B7FCD"/>
    <w:rsid w:val="007C007E"/>
    <w:rsid w:val="007C00ED"/>
    <w:rsid w:val="007C011E"/>
    <w:rsid w:val="007C0135"/>
    <w:rsid w:val="007C015D"/>
    <w:rsid w:val="007C01F6"/>
    <w:rsid w:val="007C025E"/>
    <w:rsid w:val="007C027C"/>
    <w:rsid w:val="007C0295"/>
    <w:rsid w:val="007C03F0"/>
    <w:rsid w:val="007C0405"/>
    <w:rsid w:val="007C04B8"/>
    <w:rsid w:val="007C0608"/>
    <w:rsid w:val="007C0624"/>
    <w:rsid w:val="007C0641"/>
    <w:rsid w:val="007C06A1"/>
    <w:rsid w:val="007C06F8"/>
    <w:rsid w:val="007C082C"/>
    <w:rsid w:val="007C0857"/>
    <w:rsid w:val="007C0944"/>
    <w:rsid w:val="007C097F"/>
    <w:rsid w:val="007C09EF"/>
    <w:rsid w:val="007C09FD"/>
    <w:rsid w:val="007C0A14"/>
    <w:rsid w:val="007C0ACD"/>
    <w:rsid w:val="007C0B93"/>
    <w:rsid w:val="007C0BDD"/>
    <w:rsid w:val="007C0DBA"/>
    <w:rsid w:val="007C0E2B"/>
    <w:rsid w:val="007C0ED8"/>
    <w:rsid w:val="007C0F30"/>
    <w:rsid w:val="007C0F4B"/>
    <w:rsid w:val="007C0FC3"/>
    <w:rsid w:val="007C105D"/>
    <w:rsid w:val="007C108A"/>
    <w:rsid w:val="007C10E9"/>
    <w:rsid w:val="007C110A"/>
    <w:rsid w:val="007C12C2"/>
    <w:rsid w:val="007C1323"/>
    <w:rsid w:val="007C132F"/>
    <w:rsid w:val="007C1350"/>
    <w:rsid w:val="007C1498"/>
    <w:rsid w:val="007C15E5"/>
    <w:rsid w:val="007C16A7"/>
    <w:rsid w:val="007C17B1"/>
    <w:rsid w:val="007C17EC"/>
    <w:rsid w:val="007C18D1"/>
    <w:rsid w:val="007C18D2"/>
    <w:rsid w:val="007C1901"/>
    <w:rsid w:val="007C1984"/>
    <w:rsid w:val="007C19C8"/>
    <w:rsid w:val="007C1AC5"/>
    <w:rsid w:val="007C1AEE"/>
    <w:rsid w:val="007C1C41"/>
    <w:rsid w:val="007C1C95"/>
    <w:rsid w:val="007C1CE7"/>
    <w:rsid w:val="007C1DD8"/>
    <w:rsid w:val="007C1E04"/>
    <w:rsid w:val="007C1E60"/>
    <w:rsid w:val="007C1EFB"/>
    <w:rsid w:val="007C2023"/>
    <w:rsid w:val="007C20BA"/>
    <w:rsid w:val="007C2172"/>
    <w:rsid w:val="007C21B3"/>
    <w:rsid w:val="007C227C"/>
    <w:rsid w:val="007C2292"/>
    <w:rsid w:val="007C2293"/>
    <w:rsid w:val="007C231C"/>
    <w:rsid w:val="007C2347"/>
    <w:rsid w:val="007C234A"/>
    <w:rsid w:val="007C23A8"/>
    <w:rsid w:val="007C23DA"/>
    <w:rsid w:val="007C2448"/>
    <w:rsid w:val="007C2544"/>
    <w:rsid w:val="007C2579"/>
    <w:rsid w:val="007C26AD"/>
    <w:rsid w:val="007C2729"/>
    <w:rsid w:val="007C274F"/>
    <w:rsid w:val="007C27E8"/>
    <w:rsid w:val="007C28B8"/>
    <w:rsid w:val="007C2909"/>
    <w:rsid w:val="007C296C"/>
    <w:rsid w:val="007C2A09"/>
    <w:rsid w:val="007C2C3A"/>
    <w:rsid w:val="007C2C3B"/>
    <w:rsid w:val="007C2C49"/>
    <w:rsid w:val="007C2C52"/>
    <w:rsid w:val="007C2D17"/>
    <w:rsid w:val="007C2D3C"/>
    <w:rsid w:val="007C2D49"/>
    <w:rsid w:val="007C2F67"/>
    <w:rsid w:val="007C2F6D"/>
    <w:rsid w:val="007C2F8A"/>
    <w:rsid w:val="007C304A"/>
    <w:rsid w:val="007C323E"/>
    <w:rsid w:val="007C32F8"/>
    <w:rsid w:val="007C33FB"/>
    <w:rsid w:val="007C3475"/>
    <w:rsid w:val="007C3490"/>
    <w:rsid w:val="007C34FF"/>
    <w:rsid w:val="007C36FD"/>
    <w:rsid w:val="007C382B"/>
    <w:rsid w:val="007C38A0"/>
    <w:rsid w:val="007C398D"/>
    <w:rsid w:val="007C39C4"/>
    <w:rsid w:val="007C39DE"/>
    <w:rsid w:val="007C3ACC"/>
    <w:rsid w:val="007C3AE1"/>
    <w:rsid w:val="007C3CD0"/>
    <w:rsid w:val="007C3CED"/>
    <w:rsid w:val="007C3D08"/>
    <w:rsid w:val="007C3DEC"/>
    <w:rsid w:val="007C3E19"/>
    <w:rsid w:val="007C3E32"/>
    <w:rsid w:val="007C3EA4"/>
    <w:rsid w:val="007C3F7B"/>
    <w:rsid w:val="007C3FDA"/>
    <w:rsid w:val="007C4026"/>
    <w:rsid w:val="007C4113"/>
    <w:rsid w:val="007C4182"/>
    <w:rsid w:val="007C41AC"/>
    <w:rsid w:val="007C41C5"/>
    <w:rsid w:val="007C420F"/>
    <w:rsid w:val="007C43B0"/>
    <w:rsid w:val="007C4420"/>
    <w:rsid w:val="007C443C"/>
    <w:rsid w:val="007C4457"/>
    <w:rsid w:val="007C4514"/>
    <w:rsid w:val="007C4553"/>
    <w:rsid w:val="007C4555"/>
    <w:rsid w:val="007C4606"/>
    <w:rsid w:val="007C46B9"/>
    <w:rsid w:val="007C4752"/>
    <w:rsid w:val="007C475F"/>
    <w:rsid w:val="007C4903"/>
    <w:rsid w:val="007C4990"/>
    <w:rsid w:val="007C4A3B"/>
    <w:rsid w:val="007C4A3F"/>
    <w:rsid w:val="007C4A42"/>
    <w:rsid w:val="007C4A7B"/>
    <w:rsid w:val="007C4ABB"/>
    <w:rsid w:val="007C4BD4"/>
    <w:rsid w:val="007C4C9F"/>
    <w:rsid w:val="007C4CF8"/>
    <w:rsid w:val="007C4E62"/>
    <w:rsid w:val="007C4E95"/>
    <w:rsid w:val="007C4F8E"/>
    <w:rsid w:val="007C4FEC"/>
    <w:rsid w:val="007C5060"/>
    <w:rsid w:val="007C50B8"/>
    <w:rsid w:val="007C50F1"/>
    <w:rsid w:val="007C520B"/>
    <w:rsid w:val="007C5210"/>
    <w:rsid w:val="007C5227"/>
    <w:rsid w:val="007C524C"/>
    <w:rsid w:val="007C52BA"/>
    <w:rsid w:val="007C52E3"/>
    <w:rsid w:val="007C52EC"/>
    <w:rsid w:val="007C52F2"/>
    <w:rsid w:val="007C531E"/>
    <w:rsid w:val="007C5543"/>
    <w:rsid w:val="007C55B9"/>
    <w:rsid w:val="007C55BF"/>
    <w:rsid w:val="007C5652"/>
    <w:rsid w:val="007C574B"/>
    <w:rsid w:val="007C5750"/>
    <w:rsid w:val="007C5756"/>
    <w:rsid w:val="007C579B"/>
    <w:rsid w:val="007C57C3"/>
    <w:rsid w:val="007C5930"/>
    <w:rsid w:val="007C598D"/>
    <w:rsid w:val="007C5A14"/>
    <w:rsid w:val="007C5B51"/>
    <w:rsid w:val="007C5BFD"/>
    <w:rsid w:val="007C5C21"/>
    <w:rsid w:val="007C5C67"/>
    <w:rsid w:val="007C5D32"/>
    <w:rsid w:val="007C5D94"/>
    <w:rsid w:val="007C5E20"/>
    <w:rsid w:val="007C5F54"/>
    <w:rsid w:val="007C5FB0"/>
    <w:rsid w:val="007C5FB9"/>
    <w:rsid w:val="007C5FC4"/>
    <w:rsid w:val="007C5FD6"/>
    <w:rsid w:val="007C5FE6"/>
    <w:rsid w:val="007C6009"/>
    <w:rsid w:val="007C6036"/>
    <w:rsid w:val="007C6109"/>
    <w:rsid w:val="007C611D"/>
    <w:rsid w:val="007C616A"/>
    <w:rsid w:val="007C61FA"/>
    <w:rsid w:val="007C630A"/>
    <w:rsid w:val="007C633D"/>
    <w:rsid w:val="007C63B7"/>
    <w:rsid w:val="007C63CA"/>
    <w:rsid w:val="007C63CB"/>
    <w:rsid w:val="007C640D"/>
    <w:rsid w:val="007C6433"/>
    <w:rsid w:val="007C647A"/>
    <w:rsid w:val="007C64B4"/>
    <w:rsid w:val="007C64F4"/>
    <w:rsid w:val="007C6619"/>
    <w:rsid w:val="007C6673"/>
    <w:rsid w:val="007C66A4"/>
    <w:rsid w:val="007C6747"/>
    <w:rsid w:val="007C67D7"/>
    <w:rsid w:val="007C67EF"/>
    <w:rsid w:val="007C6836"/>
    <w:rsid w:val="007C689D"/>
    <w:rsid w:val="007C6917"/>
    <w:rsid w:val="007C69E3"/>
    <w:rsid w:val="007C6A95"/>
    <w:rsid w:val="007C6ACC"/>
    <w:rsid w:val="007C6B6C"/>
    <w:rsid w:val="007C6B7B"/>
    <w:rsid w:val="007C6BC5"/>
    <w:rsid w:val="007C6CD3"/>
    <w:rsid w:val="007C6D95"/>
    <w:rsid w:val="007C6DA1"/>
    <w:rsid w:val="007C6E72"/>
    <w:rsid w:val="007C6E77"/>
    <w:rsid w:val="007C6E97"/>
    <w:rsid w:val="007C6EA5"/>
    <w:rsid w:val="007C6F20"/>
    <w:rsid w:val="007C703D"/>
    <w:rsid w:val="007C70A1"/>
    <w:rsid w:val="007C70C4"/>
    <w:rsid w:val="007C71BC"/>
    <w:rsid w:val="007C7202"/>
    <w:rsid w:val="007C7295"/>
    <w:rsid w:val="007C72FB"/>
    <w:rsid w:val="007C73C7"/>
    <w:rsid w:val="007C74B7"/>
    <w:rsid w:val="007C7565"/>
    <w:rsid w:val="007C7590"/>
    <w:rsid w:val="007C76F7"/>
    <w:rsid w:val="007C7893"/>
    <w:rsid w:val="007C78A2"/>
    <w:rsid w:val="007C78C7"/>
    <w:rsid w:val="007C78EF"/>
    <w:rsid w:val="007C78FE"/>
    <w:rsid w:val="007C790C"/>
    <w:rsid w:val="007C795B"/>
    <w:rsid w:val="007C79F2"/>
    <w:rsid w:val="007C7AA7"/>
    <w:rsid w:val="007C7AC6"/>
    <w:rsid w:val="007C7B2B"/>
    <w:rsid w:val="007C7B69"/>
    <w:rsid w:val="007C7C4B"/>
    <w:rsid w:val="007C7CB5"/>
    <w:rsid w:val="007C7CFB"/>
    <w:rsid w:val="007C7D25"/>
    <w:rsid w:val="007C7DC8"/>
    <w:rsid w:val="007C7E8E"/>
    <w:rsid w:val="007C7EB6"/>
    <w:rsid w:val="007C7FAD"/>
    <w:rsid w:val="007D0159"/>
    <w:rsid w:val="007D0219"/>
    <w:rsid w:val="007D0254"/>
    <w:rsid w:val="007D029D"/>
    <w:rsid w:val="007D0324"/>
    <w:rsid w:val="007D0399"/>
    <w:rsid w:val="007D03E8"/>
    <w:rsid w:val="007D0459"/>
    <w:rsid w:val="007D0519"/>
    <w:rsid w:val="007D0580"/>
    <w:rsid w:val="007D06DB"/>
    <w:rsid w:val="007D06E1"/>
    <w:rsid w:val="007D07CF"/>
    <w:rsid w:val="007D0828"/>
    <w:rsid w:val="007D099E"/>
    <w:rsid w:val="007D0A04"/>
    <w:rsid w:val="007D0A0A"/>
    <w:rsid w:val="007D0A29"/>
    <w:rsid w:val="007D0A57"/>
    <w:rsid w:val="007D0AC4"/>
    <w:rsid w:val="007D0ADF"/>
    <w:rsid w:val="007D0B2E"/>
    <w:rsid w:val="007D0B96"/>
    <w:rsid w:val="007D0CA3"/>
    <w:rsid w:val="007D0CC7"/>
    <w:rsid w:val="007D0DF1"/>
    <w:rsid w:val="007D0E67"/>
    <w:rsid w:val="007D0EBC"/>
    <w:rsid w:val="007D1001"/>
    <w:rsid w:val="007D10B2"/>
    <w:rsid w:val="007D111E"/>
    <w:rsid w:val="007D11AF"/>
    <w:rsid w:val="007D1243"/>
    <w:rsid w:val="007D1287"/>
    <w:rsid w:val="007D129F"/>
    <w:rsid w:val="007D12CB"/>
    <w:rsid w:val="007D13AF"/>
    <w:rsid w:val="007D13C7"/>
    <w:rsid w:val="007D1569"/>
    <w:rsid w:val="007D15F1"/>
    <w:rsid w:val="007D176D"/>
    <w:rsid w:val="007D1827"/>
    <w:rsid w:val="007D18CA"/>
    <w:rsid w:val="007D1989"/>
    <w:rsid w:val="007D19B2"/>
    <w:rsid w:val="007D19D6"/>
    <w:rsid w:val="007D1AB1"/>
    <w:rsid w:val="007D1AD6"/>
    <w:rsid w:val="007D1B3B"/>
    <w:rsid w:val="007D1B44"/>
    <w:rsid w:val="007D1B92"/>
    <w:rsid w:val="007D1BEF"/>
    <w:rsid w:val="007D1C38"/>
    <w:rsid w:val="007D1D47"/>
    <w:rsid w:val="007D1E4A"/>
    <w:rsid w:val="007D2098"/>
    <w:rsid w:val="007D211E"/>
    <w:rsid w:val="007D2189"/>
    <w:rsid w:val="007D21B1"/>
    <w:rsid w:val="007D21DC"/>
    <w:rsid w:val="007D21E8"/>
    <w:rsid w:val="007D2251"/>
    <w:rsid w:val="007D22EA"/>
    <w:rsid w:val="007D239B"/>
    <w:rsid w:val="007D23B7"/>
    <w:rsid w:val="007D2503"/>
    <w:rsid w:val="007D25E6"/>
    <w:rsid w:val="007D25EB"/>
    <w:rsid w:val="007D2626"/>
    <w:rsid w:val="007D2648"/>
    <w:rsid w:val="007D26BA"/>
    <w:rsid w:val="007D2723"/>
    <w:rsid w:val="007D275D"/>
    <w:rsid w:val="007D27A5"/>
    <w:rsid w:val="007D27D0"/>
    <w:rsid w:val="007D27DF"/>
    <w:rsid w:val="007D281B"/>
    <w:rsid w:val="007D29AB"/>
    <w:rsid w:val="007D2A04"/>
    <w:rsid w:val="007D2A4C"/>
    <w:rsid w:val="007D2B95"/>
    <w:rsid w:val="007D2BA1"/>
    <w:rsid w:val="007D2BB4"/>
    <w:rsid w:val="007D2BCE"/>
    <w:rsid w:val="007D2BDC"/>
    <w:rsid w:val="007D2BE0"/>
    <w:rsid w:val="007D2D52"/>
    <w:rsid w:val="007D2D72"/>
    <w:rsid w:val="007D2DD5"/>
    <w:rsid w:val="007D2EB5"/>
    <w:rsid w:val="007D2EDF"/>
    <w:rsid w:val="007D301F"/>
    <w:rsid w:val="007D3053"/>
    <w:rsid w:val="007D30E4"/>
    <w:rsid w:val="007D3181"/>
    <w:rsid w:val="007D3231"/>
    <w:rsid w:val="007D3244"/>
    <w:rsid w:val="007D3246"/>
    <w:rsid w:val="007D3395"/>
    <w:rsid w:val="007D33AD"/>
    <w:rsid w:val="007D340B"/>
    <w:rsid w:val="007D3429"/>
    <w:rsid w:val="007D34F7"/>
    <w:rsid w:val="007D352A"/>
    <w:rsid w:val="007D367B"/>
    <w:rsid w:val="007D36C8"/>
    <w:rsid w:val="007D3744"/>
    <w:rsid w:val="007D37DA"/>
    <w:rsid w:val="007D382A"/>
    <w:rsid w:val="007D386D"/>
    <w:rsid w:val="007D38A5"/>
    <w:rsid w:val="007D392F"/>
    <w:rsid w:val="007D3AB3"/>
    <w:rsid w:val="007D3B40"/>
    <w:rsid w:val="007D3B4E"/>
    <w:rsid w:val="007D3C2F"/>
    <w:rsid w:val="007D3C72"/>
    <w:rsid w:val="007D3E1B"/>
    <w:rsid w:val="007D3ECB"/>
    <w:rsid w:val="007D4018"/>
    <w:rsid w:val="007D41D4"/>
    <w:rsid w:val="007D41E0"/>
    <w:rsid w:val="007D423F"/>
    <w:rsid w:val="007D4479"/>
    <w:rsid w:val="007D4504"/>
    <w:rsid w:val="007D454C"/>
    <w:rsid w:val="007D455C"/>
    <w:rsid w:val="007D456A"/>
    <w:rsid w:val="007D45A5"/>
    <w:rsid w:val="007D4601"/>
    <w:rsid w:val="007D4755"/>
    <w:rsid w:val="007D482B"/>
    <w:rsid w:val="007D48B6"/>
    <w:rsid w:val="007D4A2E"/>
    <w:rsid w:val="007D4A7B"/>
    <w:rsid w:val="007D4B35"/>
    <w:rsid w:val="007D4C0B"/>
    <w:rsid w:val="007D4D74"/>
    <w:rsid w:val="007D4D8F"/>
    <w:rsid w:val="007D4DAB"/>
    <w:rsid w:val="007D4DBA"/>
    <w:rsid w:val="007D4DC1"/>
    <w:rsid w:val="007D4F2F"/>
    <w:rsid w:val="007D4F88"/>
    <w:rsid w:val="007D50D0"/>
    <w:rsid w:val="007D5173"/>
    <w:rsid w:val="007D51E4"/>
    <w:rsid w:val="007D5309"/>
    <w:rsid w:val="007D53C9"/>
    <w:rsid w:val="007D5442"/>
    <w:rsid w:val="007D54A3"/>
    <w:rsid w:val="007D54A6"/>
    <w:rsid w:val="007D5548"/>
    <w:rsid w:val="007D556D"/>
    <w:rsid w:val="007D5589"/>
    <w:rsid w:val="007D5619"/>
    <w:rsid w:val="007D5655"/>
    <w:rsid w:val="007D56B0"/>
    <w:rsid w:val="007D574B"/>
    <w:rsid w:val="007D5785"/>
    <w:rsid w:val="007D57A1"/>
    <w:rsid w:val="007D57CD"/>
    <w:rsid w:val="007D57DF"/>
    <w:rsid w:val="007D58BC"/>
    <w:rsid w:val="007D593B"/>
    <w:rsid w:val="007D5BDD"/>
    <w:rsid w:val="007D5C5C"/>
    <w:rsid w:val="007D5CE5"/>
    <w:rsid w:val="007D5D17"/>
    <w:rsid w:val="007D5D5D"/>
    <w:rsid w:val="007D60A4"/>
    <w:rsid w:val="007D60B9"/>
    <w:rsid w:val="007D61A5"/>
    <w:rsid w:val="007D6235"/>
    <w:rsid w:val="007D6236"/>
    <w:rsid w:val="007D62C1"/>
    <w:rsid w:val="007D63D1"/>
    <w:rsid w:val="007D6609"/>
    <w:rsid w:val="007D66B7"/>
    <w:rsid w:val="007D6742"/>
    <w:rsid w:val="007D6795"/>
    <w:rsid w:val="007D67B4"/>
    <w:rsid w:val="007D6823"/>
    <w:rsid w:val="007D684F"/>
    <w:rsid w:val="007D686A"/>
    <w:rsid w:val="007D6929"/>
    <w:rsid w:val="007D6A79"/>
    <w:rsid w:val="007D6AB8"/>
    <w:rsid w:val="007D6B3F"/>
    <w:rsid w:val="007D6B9A"/>
    <w:rsid w:val="007D6BFD"/>
    <w:rsid w:val="007D6C7B"/>
    <w:rsid w:val="007D6D3E"/>
    <w:rsid w:val="007D6DB1"/>
    <w:rsid w:val="007D6E90"/>
    <w:rsid w:val="007D6EA5"/>
    <w:rsid w:val="007D6EA7"/>
    <w:rsid w:val="007D6F84"/>
    <w:rsid w:val="007D7023"/>
    <w:rsid w:val="007D702A"/>
    <w:rsid w:val="007D70CA"/>
    <w:rsid w:val="007D70E9"/>
    <w:rsid w:val="007D7120"/>
    <w:rsid w:val="007D7171"/>
    <w:rsid w:val="007D71C9"/>
    <w:rsid w:val="007D7201"/>
    <w:rsid w:val="007D720A"/>
    <w:rsid w:val="007D7248"/>
    <w:rsid w:val="007D725B"/>
    <w:rsid w:val="007D7440"/>
    <w:rsid w:val="007D7446"/>
    <w:rsid w:val="007D74A4"/>
    <w:rsid w:val="007D7530"/>
    <w:rsid w:val="007D753D"/>
    <w:rsid w:val="007D75F0"/>
    <w:rsid w:val="007D7653"/>
    <w:rsid w:val="007D76BD"/>
    <w:rsid w:val="007D788A"/>
    <w:rsid w:val="007D7937"/>
    <w:rsid w:val="007D7AFB"/>
    <w:rsid w:val="007D7AFE"/>
    <w:rsid w:val="007D7B27"/>
    <w:rsid w:val="007D7CC1"/>
    <w:rsid w:val="007D7E01"/>
    <w:rsid w:val="007D7E1D"/>
    <w:rsid w:val="007D7FAE"/>
    <w:rsid w:val="007E005E"/>
    <w:rsid w:val="007E0072"/>
    <w:rsid w:val="007E01A1"/>
    <w:rsid w:val="007E0269"/>
    <w:rsid w:val="007E02BA"/>
    <w:rsid w:val="007E038D"/>
    <w:rsid w:val="007E03D3"/>
    <w:rsid w:val="007E045F"/>
    <w:rsid w:val="007E0495"/>
    <w:rsid w:val="007E051C"/>
    <w:rsid w:val="007E0570"/>
    <w:rsid w:val="007E0676"/>
    <w:rsid w:val="007E06AD"/>
    <w:rsid w:val="007E06B3"/>
    <w:rsid w:val="007E06CC"/>
    <w:rsid w:val="007E086E"/>
    <w:rsid w:val="007E08EB"/>
    <w:rsid w:val="007E0926"/>
    <w:rsid w:val="007E0A3F"/>
    <w:rsid w:val="007E0AF3"/>
    <w:rsid w:val="007E0B88"/>
    <w:rsid w:val="007E0B92"/>
    <w:rsid w:val="007E0C20"/>
    <w:rsid w:val="007E0C58"/>
    <w:rsid w:val="007E0C86"/>
    <w:rsid w:val="007E0D0B"/>
    <w:rsid w:val="007E0DA6"/>
    <w:rsid w:val="007E0DF4"/>
    <w:rsid w:val="007E0E6D"/>
    <w:rsid w:val="007E0EE5"/>
    <w:rsid w:val="007E0F82"/>
    <w:rsid w:val="007E0F9A"/>
    <w:rsid w:val="007E0FD5"/>
    <w:rsid w:val="007E1038"/>
    <w:rsid w:val="007E1039"/>
    <w:rsid w:val="007E10C5"/>
    <w:rsid w:val="007E1224"/>
    <w:rsid w:val="007E124D"/>
    <w:rsid w:val="007E1337"/>
    <w:rsid w:val="007E134B"/>
    <w:rsid w:val="007E1394"/>
    <w:rsid w:val="007E13A7"/>
    <w:rsid w:val="007E1409"/>
    <w:rsid w:val="007E140A"/>
    <w:rsid w:val="007E14C2"/>
    <w:rsid w:val="007E153D"/>
    <w:rsid w:val="007E15FE"/>
    <w:rsid w:val="007E16B5"/>
    <w:rsid w:val="007E1708"/>
    <w:rsid w:val="007E1805"/>
    <w:rsid w:val="007E180D"/>
    <w:rsid w:val="007E1839"/>
    <w:rsid w:val="007E18BF"/>
    <w:rsid w:val="007E1967"/>
    <w:rsid w:val="007E1A38"/>
    <w:rsid w:val="007E1B0E"/>
    <w:rsid w:val="007E1B20"/>
    <w:rsid w:val="007E1B98"/>
    <w:rsid w:val="007E1BC6"/>
    <w:rsid w:val="007E1BD6"/>
    <w:rsid w:val="007E1D1C"/>
    <w:rsid w:val="007E1D25"/>
    <w:rsid w:val="007E1DA2"/>
    <w:rsid w:val="007E1DD1"/>
    <w:rsid w:val="007E1EF8"/>
    <w:rsid w:val="007E210F"/>
    <w:rsid w:val="007E2233"/>
    <w:rsid w:val="007E2243"/>
    <w:rsid w:val="007E2267"/>
    <w:rsid w:val="007E238D"/>
    <w:rsid w:val="007E2392"/>
    <w:rsid w:val="007E23F4"/>
    <w:rsid w:val="007E2445"/>
    <w:rsid w:val="007E2453"/>
    <w:rsid w:val="007E24F1"/>
    <w:rsid w:val="007E2521"/>
    <w:rsid w:val="007E255D"/>
    <w:rsid w:val="007E2582"/>
    <w:rsid w:val="007E25F9"/>
    <w:rsid w:val="007E2768"/>
    <w:rsid w:val="007E28A1"/>
    <w:rsid w:val="007E28AE"/>
    <w:rsid w:val="007E293C"/>
    <w:rsid w:val="007E2983"/>
    <w:rsid w:val="007E29A4"/>
    <w:rsid w:val="007E2AFF"/>
    <w:rsid w:val="007E2C07"/>
    <w:rsid w:val="007E2C32"/>
    <w:rsid w:val="007E2C37"/>
    <w:rsid w:val="007E2D2C"/>
    <w:rsid w:val="007E2DB6"/>
    <w:rsid w:val="007E2EDC"/>
    <w:rsid w:val="007E2F38"/>
    <w:rsid w:val="007E2F63"/>
    <w:rsid w:val="007E2F6F"/>
    <w:rsid w:val="007E2F88"/>
    <w:rsid w:val="007E2FD9"/>
    <w:rsid w:val="007E2FFE"/>
    <w:rsid w:val="007E30D1"/>
    <w:rsid w:val="007E30D6"/>
    <w:rsid w:val="007E319E"/>
    <w:rsid w:val="007E3293"/>
    <w:rsid w:val="007E32A7"/>
    <w:rsid w:val="007E32C5"/>
    <w:rsid w:val="007E333E"/>
    <w:rsid w:val="007E33D0"/>
    <w:rsid w:val="007E33F2"/>
    <w:rsid w:val="007E34AC"/>
    <w:rsid w:val="007E34C9"/>
    <w:rsid w:val="007E350A"/>
    <w:rsid w:val="007E3583"/>
    <w:rsid w:val="007E3658"/>
    <w:rsid w:val="007E3667"/>
    <w:rsid w:val="007E369C"/>
    <w:rsid w:val="007E36A9"/>
    <w:rsid w:val="007E36F4"/>
    <w:rsid w:val="007E3805"/>
    <w:rsid w:val="007E38F3"/>
    <w:rsid w:val="007E3900"/>
    <w:rsid w:val="007E39A1"/>
    <w:rsid w:val="007E39D6"/>
    <w:rsid w:val="007E3A0F"/>
    <w:rsid w:val="007E3A48"/>
    <w:rsid w:val="007E3A6C"/>
    <w:rsid w:val="007E3A74"/>
    <w:rsid w:val="007E3AA8"/>
    <w:rsid w:val="007E3AFF"/>
    <w:rsid w:val="007E3B19"/>
    <w:rsid w:val="007E3B33"/>
    <w:rsid w:val="007E3B7F"/>
    <w:rsid w:val="007E3C0F"/>
    <w:rsid w:val="007E3CC0"/>
    <w:rsid w:val="007E3CC4"/>
    <w:rsid w:val="007E3D31"/>
    <w:rsid w:val="007E3D7F"/>
    <w:rsid w:val="007E3E84"/>
    <w:rsid w:val="007E3F67"/>
    <w:rsid w:val="007E3FBD"/>
    <w:rsid w:val="007E3FE2"/>
    <w:rsid w:val="007E4351"/>
    <w:rsid w:val="007E4371"/>
    <w:rsid w:val="007E44F0"/>
    <w:rsid w:val="007E4643"/>
    <w:rsid w:val="007E4666"/>
    <w:rsid w:val="007E476C"/>
    <w:rsid w:val="007E47AA"/>
    <w:rsid w:val="007E47E7"/>
    <w:rsid w:val="007E4831"/>
    <w:rsid w:val="007E495B"/>
    <w:rsid w:val="007E49B4"/>
    <w:rsid w:val="007E4A6F"/>
    <w:rsid w:val="007E4A7B"/>
    <w:rsid w:val="007E4B54"/>
    <w:rsid w:val="007E4C9D"/>
    <w:rsid w:val="007E4CB8"/>
    <w:rsid w:val="007E4D35"/>
    <w:rsid w:val="007E4F07"/>
    <w:rsid w:val="007E4F46"/>
    <w:rsid w:val="007E4FC3"/>
    <w:rsid w:val="007E4FD3"/>
    <w:rsid w:val="007E50F9"/>
    <w:rsid w:val="007E516B"/>
    <w:rsid w:val="007E51AC"/>
    <w:rsid w:val="007E520A"/>
    <w:rsid w:val="007E5272"/>
    <w:rsid w:val="007E5286"/>
    <w:rsid w:val="007E52F4"/>
    <w:rsid w:val="007E5317"/>
    <w:rsid w:val="007E5334"/>
    <w:rsid w:val="007E5405"/>
    <w:rsid w:val="007E5464"/>
    <w:rsid w:val="007E5475"/>
    <w:rsid w:val="007E549C"/>
    <w:rsid w:val="007E54A2"/>
    <w:rsid w:val="007E54A8"/>
    <w:rsid w:val="007E5558"/>
    <w:rsid w:val="007E55FF"/>
    <w:rsid w:val="007E561D"/>
    <w:rsid w:val="007E5633"/>
    <w:rsid w:val="007E5641"/>
    <w:rsid w:val="007E5655"/>
    <w:rsid w:val="007E574C"/>
    <w:rsid w:val="007E578B"/>
    <w:rsid w:val="007E57C6"/>
    <w:rsid w:val="007E5887"/>
    <w:rsid w:val="007E58C1"/>
    <w:rsid w:val="007E58C5"/>
    <w:rsid w:val="007E5902"/>
    <w:rsid w:val="007E5A55"/>
    <w:rsid w:val="007E5A71"/>
    <w:rsid w:val="007E5B69"/>
    <w:rsid w:val="007E5D4B"/>
    <w:rsid w:val="007E5D7D"/>
    <w:rsid w:val="007E5D8D"/>
    <w:rsid w:val="007E5DB7"/>
    <w:rsid w:val="007E5EAA"/>
    <w:rsid w:val="007E5F12"/>
    <w:rsid w:val="007E5F4A"/>
    <w:rsid w:val="007E5F65"/>
    <w:rsid w:val="007E5FD1"/>
    <w:rsid w:val="007E5FD4"/>
    <w:rsid w:val="007E5FF3"/>
    <w:rsid w:val="007E6037"/>
    <w:rsid w:val="007E60A0"/>
    <w:rsid w:val="007E610B"/>
    <w:rsid w:val="007E611E"/>
    <w:rsid w:val="007E6141"/>
    <w:rsid w:val="007E622E"/>
    <w:rsid w:val="007E6350"/>
    <w:rsid w:val="007E651F"/>
    <w:rsid w:val="007E6531"/>
    <w:rsid w:val="007E65AC"/>
    <w:rsid w:val="007E66AC"/>
    <w:rsid w:val="007E6833"/>
    <w:rsid w:val="007E6898"/>
    <w:rsid w:val="007E6904"/>
    <w:rsid w:val="007E6950"/>
    <w:rsid w:val="007E696D"/>
    <w:rsid w:val="007E6990"/>
    <w:rsid w:val="007E6A66"/>
    <w:rsid w:val="007E6AC3"/>
    <w:rsid w:val="007E6B29"/>
    <w:rsid w:val="007E6B95"/>
    <w:rsid w:val="007E6BF7"/>
    <w:rsid w:val="007E6CBE"/>
    <w:rsid w:val="007E6D25"/>
    <w:rsid w:val="007E6E7D"/>
    <w:rsid w:val="007E6E87"/>
    <w:rsid w:val="007E6F54"/>
    <w:rsid w:val="007E6F89"/>
    <w:rsid w:val="007E70AD"/>
    <w:rsid w:val="007E7209"/>
    <w:rsid w:val="007E722A"/>
    <w:rsid w:val="007E7290"/>
    <w:rsid w:val="007E72B0"/>
    <w:rsid w:val="007E7338"/>
    <w:rsid w:val="007E736A"/>
    <w:rsid w:val="007E73F8"/>
    <w:rsid w:val="007E741F"/>
    <w:rsid w:val="007E7536"/>
    <w:rsid w:val="007E755A"/>
    <w:rsid w:val="007E75E2"/>
    <w:rsid w:val="007E75F7"/>
    <w:rsid w:val="007E76E9"/>
    <w:rsid w:val="007E77AB"/>
    <w:rsid w:val="007E788F"/>
    <w:rsid w:val="007E792F"/>
    <w:rsid w:val="007E7939"/>
    <w:rsid w:val="007E7972"/>
    <w:rsid w:val="007E79CA"/>
    <w:rsid w:val="007E79FE"/>
    <w:rsid w:val="007E7B32"/>
    <w:rsid w:val="007E7BAF"/>
    <w:rsid w:val="007E7DAC"/>
    <w:rsid w:val="007E7E21"/>
    <w:rsid w:val="007E7E4E"/>
    <w:rsid w:val="007E7F37"/>
    <w:rsid w:val="007F0003"/>
    <w:rsid w:val="007F006E"/>
    <w:rsid w:val="007F00A2"/>
    <w:rsid w:val="007F0162"/>
    <w:rsid w:val="007F0172"/>
    <w:rsid w:val="007F017C"/>
    <w:rsid w:val="007F0185"/>
    <w:rsid w:val="007F0283"/>
    <w:rsid w:val="007F036E"/>
    <w:rsid w:val="007F0389"/>
    <w:rsid w:val="007F0394"/>
    <w:rsid w:val="007F03CB"/>
    <w:rsid w:val="007F0562"/>
    <w:rsid w:val="007F0579"/>
    <w:rsid w:val="007F05C2"/>
    <w:rsid w:val="007F0779"/>
    <w:rsid w:val="007F07B1"/>
    <w:rsid w:val="007F0806"/>
    <w:rsid w:val="007F0815"/>
    <w:rsid w:val="007F0857"/>
    <w:rsid w:val="007F0A06"/>
    <w:rsid w:val="007F0A08"/>
    <w:rsid w:val="007F0A9E"/>
    <w:rsid w:val="007F0BCF"/>
    <w:rsid w:val="007F0CD3"/>
    <w:rsid w:val="007F0CE3"/>
    <w:rsid w:val="007F0E46"/>
    <w:rsid w:val="007F0F95"/>
    <w:rsid w:val="007F1000"/>
    <w:rsid w:val="007F10AE"/>
    <w:rsid w:val="007F1122"/>
    <w:rsid w:val="007F114C"/>
    <w:rsid w:val="007F1196"/>
    <w:rsid w:val="007F129B"/>
    <w:rsid w:val="007F133F"/>
    <w:rsid w:val="007F140D"/>
    <w:rsid w:val="007F1498"/>
    <w:rsid w:val="007F14FE"/>
    <w:rsid w:val="007F1558"/>
    <w:rsid w:val="007F158E"/>
    <w:rsid w:val="007F15BC"/>
    <w:rsid w:val="007F1604"/>
    <w:rsid w:val="007F16E5"/>
    <w:rsid w:val="007F1813"/>
    <w:rsid w:val="007F18AA"/>
    <w:rsid w:val="007F197B"/>
    <w:rsid w:val="007F19E9"/>
    <w:rsid w:val="007F1AAF"/>
    <w:rsid w:val="007F1B24"/>
    <w:rsid w:val="007F1C06"/>
    <w:rsid w:val="007F1CB4"/>
    <w:rsid w:val="007F1CDD"/>
    <w:rsid w:val="007F1D29"/>
    <w:rsid w:val="007F1D3E"/>
    <w:rsid w:val="007F1D63"/>
    <w:rsid w:val="007F1E70"/>
    <w:rsid w:val="007F1EAA"/>
    <w:rsid w:val="007F1FFC"/>
    <w:rsid w:val="007F20F8"/>
    <w:rsid w:val="007F2243"/>
    <w:rsid w:val="007F2295"/>
    <w:rsid w:val="007F2341"/>
    <w:rsid w:val="007F23BD"/>
    <w:rsid w:val="007F2436"/>
    <w:rsid w:val="007F2461"/>
    <w:rsid w:val="007F24A1"/>
    <w:rsid w:val="007F2527"/>
    <w:rsid w:val="007F257D"/>
    <w:rsid w:val="007F2609"/>
    <w:rsid w:val="007F2728"/>
    <w:rsid w:val="007F2747"/>
    <w:rsid w:val="007F284E"/>
    <w:rsid w:val="007F29A9"/>
    <w:rsid w:val="007F29C1"/>
    <w:rsid w:val="007F2AD5"/>
    <w:rsid w:val="007F2B06"/>
    <w:rsid w:val="007F2C8D"/>
    <w:rsid w:val="007F2C93"/>
    <w:rsid w:val="007F2DC1"/>
    <w:rsid w:val="007F2E74"/>
    <w:rsid w:val="007F2F1C"/>
    <w:rsid w:val="007F2F81"/>
    <w:rsid w:val="007F2FE5"/>
    <w:rsid w:val="007F300F"/>
    <w:rsid w:val="007F318A"/>
    <w:rsid w:val="007F31E5"/>
    <w:rsid w:val="007F31F5"/>
    <w:rsid w:val="007F3237"/>
    <w:rsid w:val="007F32FC"/>
    <w:rsid w:val="007F33AC"/>
    <w:rsid w:val="007F34BA"/>
    <w:rsid w:val="007F34C2"/>
    <w:rsid w:val="007F34F9"/>
    <w:rsid w:val="007F34FC"/>
    <w:rsid w:val="007F356A"/>
    <w:rsid w:val="007F358C"/>
    <w:rsid w:val="007F35EE"/>
    <w:rsid w:val="007F3788"/>
    <w:rsid w:val="007F3836"/>
    <w:rsid w:val="007F38A6"/>
    <w:rsid w:val="007F392B"/>
    <w:rsid w:val="007F3982"/>
    <w:rsid w:val="007F3A07"/>
    <w:rsid w:val="007F3C48"/>
    <w:rsid w:val="007F3D5D"/>
    <w:rsid w:val="007F3DC3"/>
    <w:rsid w:val="007F3E3E"/>
    <w:rsid w:val="007F3E85"/>
    <w:rsid w:val="007F3FCB"/>
    <w:rsid w:val="007F4016"/>
    <w:rsid w:val="007F406D"/>
    <w:rsid w:val="007F4191"/>
    <w:rsid w:val="007F41CA"/>
    <w:rsid w:val="007F431E"/>
    <w:rsid w:val="007F4377"/>
    <w:rsid w:val="007F43D4"/>
    <w:rsid w:val="007F4414"/>
    <w:rsid w:val="007F4599"/>
    <w:rsid w:val="007F462B"/>
    <w:rsid w:val="007F46CD"/>
    <w:rsid w:val="007F475A"/>
    <w:rsid w:val="007F4800"/>
    <w:rsid w:val="007F4820"/>
    <w:rsid w:val="007F4823"/>
    <w:rsid w:val="007F4864"/>
    <w:rsid w:val="007F48AC"/>
    <w:rsid w:val="007F49F6"/>
    <w:rsid w:val="007F4A2A"/>
    <w:rsid w:val="007F4AE1"/>
    <w:rsid w:val="007F4B29"/>
    <w:rsid w:val="007F4B58"/>
    <w:rsid w:val="007F4BFC"/>
    <w:rsid w:val="007F4C46"/>
    <w:rsid w:val="007F4CDA"/>
    <w:rsid w:val="007F4D0E"/>
    <w:rsid w:val="007F4DB0"/>
    <w:rsid w:val="007F4DF6"/>
    <w:rsid w:val="007F4E96"/>
    <w:rsid w:val="007F4F65"/>
    <w:rsid w:val="007F4F86"/>
    <w:rsid w:val="007F5027"/>
    <w:rsid w:val="007F5246"/>
    <w:rsid w:val="007F5309"/>
    <w:rsid w:val="007F5315"/>
    <w:rsid w:val="007F53F7"/>
    <w:rsid w:val="007F5486"/>
    <w:rsid w:val="007F5575"/>
    <w:rsid w:val="007F55A5"/>
    <w:rsid w:val="007F55C6"/>
    <w:rsid w:val="007F563A"/>
    <w:rsid w:val="007F5677"/>
    <w:rsid w:val="007F56E5"/>
    <w:rsid w:val="007F5717"/>
    <w:rsid w:val="007F5737"/>
    <w:rsid w:val="007F5B7F"/>
    <w:rsid w:val="007F5C5A"/>
    <w:rsid w:val="007F5CC0"/>
    <w:rsid w:val="007F5D33"/>
    <w:rsid w:val="007F5D4A"/>
    <w:rsid w:val="007F5DC4"/>
    <w:rsid w:val="007F5EFD"/>
    <w:rsid w:val="007F5F01"/>
    <w:rsid w:val="007F60A4"/>
    <w:rsid w:val="007F6115"/>
    <w:rsid w:val="007F6216"/>
    <w:rsid w:val="007F62C6"/>
    <w:rsid w:val="007F6400"/>
    <w:rsid w:val="007F64A5"/>
    <w:rsid w:val="007F6518"/>
    <w:rsid w:val="007F6572"/>
    <w:rsid w:val="007F674F"/>
    <w:rsid w:val="007F6850"/>
    <w:rsid w:val="007F687D"/>
    <w:rsid w:val="007F6883"/>
    <w:rsid w:val="007F6897"/>
    <w:rsid w:val="007F69AA"/>
    <w:rsid w:val="007F6A35"/>
    <w:rsid w:val="007F6A53"/>
    <w:rsid w:val="007F6BE8"/>
    <w:rsid w:val="007F6C3F"/>
    <w:rsid w:val="007F6EEB"/>
    <w:rsid w:val="007F6F46"/>
    <w:rsid w:val="007F7011"/>
    <w:rsid w:val="007F714B"/>
    <w:rsid w:val="007F71CD"/>
    <w:rsid w:val="007F7261"/>
    <w:rsid w:val="007F73E2"/>
    <w:rsid w:val="007F7427"/>
    <w:rsid w:val="007F749D"/>
    <w:rsid w:val="007F74C2"/>
    <w:rsid w:val="007F7577"/>
    <w:rsid w:val="007F75FA"/>
    <w:rsid w:val="007F763B"/>
    <w:rsid w:val="007F765D"/>
    <w:rsid w:val="007F7682"/>
    <w:rsid w:val="007F7711"/>
    <w:rsid w:val="007F7779"/>
    <w:rsid w:val="007F77E2"/>
    <w:rsid w:val="007F77E6"/>
    <w:rsid w:val="007F788E"/>
    <w:rsid w:val="007F78B2"/>
    <w:rsid w:val="007F7967"/>
    <w:rsid w:val="007F797E"/>
    <w:rsid w:val="007F7989"/>
    <w:rsid w:val="007F79B3"/>
    <w:rsid w:val="007F79E1"/>
    <w:rsid w:val="007F7A5C"/>
    <w:rsid w:val="007F7AF9"/>
    <w:rsid w:val="007F7C56"/>
    <w:rsid w:val="007F7CC2"/>
    <w:rsid w:val="007F7D9D"/>
    <w:rsid w:val="007F7DD7"/>
    <w:rsid w:val="007F7E8A"/>
    <w:rsid w:val="007F7E96"/>
    <w:rsid w:val="007F7FCE"/>
    <w:rsid w:val="00800042"/>
    <w:rsid w:val="008000B3"/>
    <w:rsid w:val="008000BA"/>
    <w:rsid w:val="008001AC"/>
    <w:rsid w:val="008001D2"/>
    <w:rsid w:val="008001DC"/>
    <w:rsid w:val="0080020C"/>
    <w:rsid w:val="0080029C"/>
    <w:rsid w:val="0080031F"/>
    <w:rsid w:val="0080034A"/>
    <w:rsid w:val="00800350"/>
    <w:rsid w:val="008003F7"/>
    <w:rsid w:val="00800418"/>
    <w:rsid w:val="00800494"/>
    <w:rsid w:val="00800500"/>
    <w:rsid w:val="00800556"/>
    <w:rsid w:val="00800574"/>
    <w:rsid w:val="0080060F"/>
    <w:rsid w:val="00800615"/>
    <w:rsid w:val="008006BE"/>
    <w:rsid w:val="008006E4"/>
    <w:rsid w:val="00800752"/>
    <w:rsid w:val="00800786"/>
    <w:rsid w:val="00800852"/>
    <w:rsid w:val="00800952"/>
    <w:rsid w:val="00800B05"/>
    <w:rsid w:val="00800BE1"/>
    <w:rsid w:val="00800D7F"/>
    <w:rsid w:val="00800E32"/>
    <w:rsid w:val="00800F3F"/>
    <w:rsid w:val="00800FFE"/>
    <w:rsid w:val="00801062"/>
    <w:rsid w:val="0080107E"/>
    <w:rsid w:val="0080128F"/>
    <w:rsid w:val="008012FA"/>
    <w:rsid w:val="00801318"/>
    <w:rsid w:val="008013ED"/>
    <w:rsid w:val="00801446"/>
    <w:rsid w:val="00801585"/>
    <w:rsid w:val="008015B1"/>
    <w:rsid w:val="008015B6"/>
    <w:rsid w:val="00801601"/>
    <w:rsid w:val="00801695"/>
    <w:rsid w:val="00801715"/>
    <w:rsid w:val="008017A2"/>
    <w:rsid w:val="008017B2"/>
    <w:rsid w:val="008017BC"/>
    <w:rsid w:val="008017BE"/>
    <w:rsid w:val="00801818"/>
    <w:rsid w:val="0080185A"/>
    <w:rsid w:val="0080186F"/>
    <w:rsid w:val="008018FB"/>
    <w:rsid w:val="008019B2"/>
    <w:rsid w:val="00801AF0"/>
    <w:rsid w:val="00801B20"/>
    <w:rsid w:val="00801B3B"/>
    <w:rsid w:val="00801B6B"/>
    <w:rsid w:val="00801BC5"/>
    <w:rsid w:val="00801C0A"/>
    <w:rsid w:val="00801C72"/>
    <w:rsid w:val="00801C7E"/>
    <w:rsid w:val="00801CFF"/>
    <w:rsid w:val="00801D73"/>
    <w:rsid w:val="00801E4A"/>
    <w:rsid w:val="00801E92"/>
    <w:rsid w:val="00801E98"/>
    <w:rsid w:val="00801EA5"/>
    <w:rsid w:val="00801F5D"/>
    <w:rsid w:val="00801FB9"/>
    <w:rsid w:val="00801FEE"/>
    <w:rsid w:val="00802017"/>
    <w:rsid w:val="008020C9"/>
    <w:rsid w:val="00802102"/>
    <w:rsid w:val="00802226"/>
    <w:rsid w:val="008022C0"/>
    <w:rsid w:val="00802336"/>
    <w:rsid w:val="0080245F"/>
    <w:rsid w:val="0080247C"/>
    <w:rsid w:val="008024D1"/>
    <w:rsid w:val="00802528"/>
    <w:rsid w:val="008025A7"/>
    <w:rsid w:val="008026B2"/>
    <w:rsid w:val="00802715"/>
    <w:rsid w:val="00802738"/>
    <w:rsid w:val="0080273F"/>
    <w:rsid w:val="0080297A"/>
    <w:rsid w:val="008029FF"/>
    <w:rsid w:val="00802A38"/>
    <w:rsid w:val="00802ABB"/>
    <w:rsid w:val="00802ABF"/>
    <w:rsid w:val="00802B25"/>
    <w:rsid w:val="00802B6D"/>
    <w:rsid w:val="00802B95"/>
    <w:rsid w:val="00802C08"/>
    <w:rsid w:val="00802C16"/>
    <w:rsid w:val="00802C68"/>
    <w:rsid w:val="00802DCC"/>
    <w:rsid w:val="00802F7D"/>
    <w:rsid w:val="00802F81"/>
    <w:rsid w:val="00802F8B"/>
    <w:rsid w:val="00803073"/>
    <w:rsid w:val="0080308A"/>
    <w:rsid w:val="00803123"/>
    <w:rsid w:val="008031CE"/>
    <w:rsid w:val="0080322B"/>
    <w:rsid w:val="0080337E"/>
    <w:rsid w:val="008033EC"/>
    <w:rsid w:val="0080351F"/>
    <w:rsid w:val="00803565"/>
    <w:rsid w:val="00803580"/>
    <w:rsid w:val="008035C0"/>
    <w:rsid w:val="008035C3"/>
    <w:rsid w:val="008035C6"/>
    <w:rsid w:val="0080374F"/>
    <w:rsid w:val="0080378A"/>
    <w:rsid w:val="008037AD"/>
    <w:rsid w:val="008037D2"/>
    <w:rsid w:val="00803830"/>
    <w:rsid w:val="0080383F"/>
    <w:rsid w:val="00803A19"/>
    <w:rsid w:val="00803BA6"/>
    <w:rsid w:val="00803BC5"/>
    <w:rsid w:val="00803BC9"/>
    <w:rsid w:val="00803C3E"/>
    <w:rsid w:val="00803CA4"/>
    <w:rsid w:val="00803CD6"/>
    <w:rsid w:val="00803D21"/>
    <w:rsid w:val="00803D28"/>
    <w:rsid w:val="00803D40"/>
    <w:rsid w:val="00803EE5"/>
    <w:rsid w:val="00803F26"/>
    <w:rsid w:val="0080401E"/>
    <w:rsid w:val="008040EB"/>
    <w:rsid w:val="00804106"/>
    <w:rsid w:val="00804207"/>
    <w:rsid w:val="008042FF"/>
    <w:rsid w:val="0080438A"/>
    <w:rsid w:val="0080439A"/>
    <w:rsid w:val="0080439F"/>
    <w:rsid w:val="008043DB"/>
    <w:rsid w:val="008043FF"/>
    <w:rsid w:val="008044C3"/>
    <w:rsid w:val="008044EB"/>
    <w:rsid w:val="00804576"/>
    <w:rsid w:val="00804672"/>
    <w:rsid w:val="0080478F"/>
    <w:rsid w:val="008047BE"/>
    <w:rsid w:val="008047DC"/>
    <w:rsid w:val="0080483F"/>
    <w:rsid w:val="008048E2"/>
    <w:rsid w:val="008048EB"/>
    <w:rsid w:val="00804904"/>
    <w:rsid w:val="0080490C"/>
    <w:rsid w:val="008049A2"/>
    <w:rsid w:val="008049C1"/>
    <w:rsid w:val="00804A04"/>
    <w:rsid w:val="00804A99"/>
    <w:rsid w:val="00804AF5"/>
    <w:rsid w:val="00804B5E"/>
    <w:rsid w:val="00804B8B"/>
    <w:rsid w:val="00804BB9"/>
    <w:rsid w:val="00804BF3"/>
    <w:rsid w:val="00804C01"/>
    <w:rsid w:val="00804C10"/>
    <w:rsid w:val="00804CE0"/>
    <w:rsid w:val="00804CED"/>
    <w:rsid w:val="00804D09"/>
    <w:rsid w:val="00804FBB"/>
    <w:rsid w:val="00804FE3"/>
    <w:rsid w:val="0080506D"/>
    <w:rsid w:val="008050F4"/>
    <w:rsid w:val="00805160"/>
    <w:rsid w:val="008051C4"/>
    <w:rsid w:val="008051DA"/>
    <w:rsid w:val="008051FB"/>
    <w:rsid w:val="00805203"/>
    <w:rsid w:val="00805245"/>
    <w:rsid w:val="00805311"/>
    <w:rsid w:val="00805315"/>
    <w:rsid w:val="0080532E"/>
    <w:rsid w:val="008053D7"/>
    <w:rsid w:val="008053D8"/>
    <w:rsid w:val="008055AB"/>
    <w:rsid w:val="0080566F"/>
    <w:rsid w:val="0080567A"/>
    <w:rsid w:val="008056AE"/>
    <w:rsid w:val="008056DA"/>
    <w:rsid w:val="008057EF"/>
    <w:rsid w:val="00805879"/>
    <w:rsid w:val="00805921"/>
    <w:rsid w:val="008059A7"/>
    <w:rsid w:val="00805B34"/>
    <w:rsid w:val="00805B54"/>
    <w:rsid w:val="00805B8B"/>
    <w:rsid w:val="00805BF9"/>
    <w:rsid w:val="00805C46"/>
    <w:rsid w:val="00805CE8"/>
    <w:rsid w:val="00805DA1"/>
    <w:rsid w:val="00805F71"/>
    <w:rsid w:val="00805FE0"/>
    <w:rsid w:val="00806085"/>
    <w:rsid w:val="00806215"/>
    <w:rsid w:val="0080626F"/>
    <w:rsid w:val="0080628B"/>
    <w:rsid w:val="0080629F"/>
    <w:rsid w:val="008063A3"/>
    <w:rsid w:val="00806412"/>
    <w:rsid w:val="00806442"/>
    <w:rsid w:val="008064ED"/>
    <w:rsid w:val="008064FF"/>
    <w:rsid w:val="00806504"/>
    <w:rsid w:val="00806508"/>
    <w:rsid w:val="00806601"/>
    <w:rsid w:val="00806611"/>
    <w:rsid w:val="00806626"/>
    <w:rsid w:val="00806629"/>
    <w:rsid w:val="00806689"/>
    <w:rsid w:val="00806799"/>
    <w:rsid w:val="00806819"/>
    <w:rsid w:val="008068E2"/>
    <w:rsid w:val="008069AE"/>
    <w:rsid w:val="008069F3"/>
    <w:rsid w:val="00806A2A"/>
    <w:rsid w:val="00806A9A"/>
    <w:rsid w:val="00806B54"/>
    <w:rsid w:val="00806CC0"/>
    <w:rsid w:val="00806D0E"/>
    <w:rsid w:val="00806E01"/>
    <w:rsid w:val="00806E7A"/>
    <w:rsid w:val="00806EE9"/>
    <w:rsid w:val="00806F63"/>
    <w:rsid w:val="00806F73"/>
    <w:rsid w:val="00807073"/>
    <w:rsid w:val="00807133"/>
    <w:rsid w:val="008071E3"/>
    <w:rsid w:val="008071E5"/>
    <w:rsid w:val="008071FE"/>
    <w:rsid w:val="00807324"/>
    <w:rsid w:val="008074F0"/>
    <w:rsid w:val="00807509"/>
    <w:rsid w:val="008075B4"/>
    <w:rsid w:val="008075BF"/>
    <w:rsid w:val="00807603"/>
    <w:rsid w:val="0080768E"/>
    <w:rsid w:val="008076D3"/>
    <w:rsid w:val="0080770E"/>
    <w:rsid w:val="008077C2"/>
    <w:rsid w:val="008077D3"/>
    <w:rsid w:val="008077F7"/>
    <w:rsid w:val="00807853"/>
    <w:rsid w:val="008078FC"/>
    <w:rsid w:val="00807994"/>
    <w:rsid w:val="008079BB"/>
    <w:rsid w:val="008079E2"/>
    <w:rsid w:val="00807A4C"/>
    <w:rsid w:val="00807ABF"/>
    <w:rsid w:val="00807B1A"/>
    <w:rsid w:val="00807B28"/>
    <w:rsid w:val="00807BD3"/>
    <w:rsid w:val="00807CF4"/>
    <w:rsid w:val="00807DDE"/>
    <w:rsid w:val="00807E83"/>
    <w:rsid w:val="00807F06"/>
    <w:rsid w:val="00810028"/>
    <w:rsid w:val="0081006F"/>
    <w:rsid w:val="008100B3"/>
    <w:rsid w:val="008100C0"/>
    <w:rsid w:val="008100C3"/>
    <w:rsid w:val="0081012C"/>
    <w:rsid w:val="008101D0"/>
    <w:rsid w:val="008101E6"/>
    <w:rsid w:val="0081024C"/>
    <w:rsid w:val="00810294"/>
    <w:rsid w:val="0081036C"/>
    <w:rsid w:val="00810376"/>
    <w:rsid w:val="008103C1"/>
    <w:rsid w:val="00810501"/>
    <w:rsid w:val="0081056F"/>
    <w:rsid w:val="0081057E"/>
    <w:rsid w:val="00810589"/>
    <w:rsid w:val="00810599"/>
    <w:rsid w:val="008105AC"/>
    <w:rsid w:val="008105FA"/>
    <w:rsid w:val="0081068A"/>
    <w:rsid w:val="008106F2"/>
    <w:rsid w:val="00810747"/>
    <w:rsid w:val="008107C5"/>
    <w:rsid w:val="008107FE"/>
    <w:rsid w:val="008108CE"/>
    <w:rsid w:val="0081099B"/>
    <w:rsid w:val="008109D9"/>
    <w:rsid w:val="00810A1D"/>
    <w:rsid w:val="00810AB7"/>
    <w:rsid w:val="00810AF3"/>
    <w:rsid w:val="00810B2F"/>
    <w:rsid w:val="00810B39"/>
    <w:rsid w:val="00810B44"/>
    <w:rsid w:val="00810B87"/>
    <w:rsid w:val="00810BD9"/>
    <w:rsid w:val="00810C07"/>
    <w:rsid w:val="00810C1F"/>
    <w:rsid w:val="00810C5C"/>
    <w:rsid w:val="00810C87"/>
    <w:rsid w:val="00810D0C"/>
    <w:rsid w:val="00810DA4"/>
    <w:rsid w:val="00810DB0"/>
    <w:rsid w:val="00810DD4"/>
    <w:rsid w:val="00810E00"/>
    <w:rsid w:val="00810E6F"/>
    <w:rsid w:val="00810E78"/>
    <w:rsid w:val="00811038"/>
    <w:rsid w:val="00811142"/>
    <w:rsid w:val="00811178"/>
    <w:rsid w:val="00811196"/>
    <w:rsid w:val="0081122B"/>
    <w:rsid w:val="00811236"/>
    <w:rsid w:val="008112B2"/>
    <w:rsid w:val="0081137F"/>
    <w:rsid w:val="008113B1"/>
    <w:rsid w:val="008113E3"/>
    <w:rsid w:val="00811409"/>
    <w:rsid w:val="00811454"/>
    <w:rsid w:val="0081153F"/>
    <w:rsid w:val="008116B6"/>
    <w:rsid w:val="0081177B"/>
    <w:rsid w:val="008117EB"/>
    <w:rsid w:val="00811810"/>
    <w:rsid w:val="008118BF"/>
    <w:rsid w:val="00811942"/>
    <w:rsid w:val="00811AB5"/>
    <w:rsid w:val="00811AFB"/>
    <w:rsid w:val="00811C98"/>
    <w:rsid w:val="00811D31"/>
    <w:rsid w:val="00811F10"/>
    <w:rsid w:val="0081200D"/>
    <w:rsid w:val="0081201F"/>
    <w:rsid w:val="008121BB"/>
    <w:rsid w:val="00812204"/>
    <w:rsid w:val="0081224A"/>
    <w:rsid w:val="008122CC"/>
    <w:rsid w:val="008122FB"/>
    <w:rsid w:val="00812362"/>
    <w:rsid w:val="00812439"/>
    <w:rsid w:val="00812568"/>
    <w:rsid w:val="0081258A"/>
    <w:rsid w:val="0081265A"/>
    <w:rsid w:val="008126FE"/>
    <w:rsid w:val="00812735"/>
    <w:rsid w:val="0081286E"/>
    <w:rsid w:val="00812911"/>
    <w:rsid w:val="00812A39"/>
    <w:rsid w:val="00812A77"/>
    <w:rsid w:val="00812AD1"/>
    <w:rsid w:val="00812AFA"/>
    <w:rsid w:val="00812B23"/>
    <w:rsid w:val="00812B24"/>
    <w:rsid w:val="00812C18"/>
    <w:rsid w:val="00812CAF"/>
    <w:rsid w:val="00812CCC"/>
    <w:rsid w:val="00812EB3"/>
    <w:rsid w:val="00813035"/>
    <w:rsid w:val="008130B3"/>
    <w:rsid w:val="00813128"/>
    <w:rsid w:val="008131D3"/>
    <w:rsid w:val="00813238"/>
    <w:rsid w:val="0081323B"/>
    <w:rsid w:val="00813240"/>
    <w:rsid w:val="008132EA"/>
    <w:rsid w:val="008132F1"/>
    <w:rsid w:val="00813318"/>
    <w:rsid w:val="00813334"/>
    <w:rsid w:val="0081345A"/>
    <w:rsid w:val="008134FE"/>
    <w:rsid w:val="008135E1"/>
    <w:rsid w:val="008135FD"/>
    <w:rsid w:val="0081368C"/>
    <w:rsid w:val="00813690"/>
    <w:rsid w:val="008136D5"/>
    <w:rsid w:val="008136EA"/>
    <w:rsid w:val="00813719"/>
    <w:rsid w:val="00813742"/>
    <w:rsid w:val="00813759"/>
    <w:rsid w:val="00813771"/>
    <w:rsid w:val="008138B4"/>
    <w:rsid w:val="00813985"/>
    <w:rsid w:val="00813B1C"/>
    <w:rsid w:val="00813BBB"/>
    <w:rsid w:val="00813DE0"/>
    <w:rsid w:val="00813E11"/>
    <w:rsid w:val="00813E3C"/>
    <w:rsid w:val="00813E6C"/>
    <w:rsid w:val="00813E8C"/>
    <w:rsid w:val="00813F1C"/>
    <w:rsid w:val="0081403E"/>
    <w:rsid w:val="0081415A"/>
    <w:rsid w:val="00814165"/>
    <w:rsid w:val="008141F1"/>
    <w:rsid w:val="0081422A"/>
    <w:rsid w:val="00814254"/>
    <w:rsid w:val="0081426B"/>
    <w:rsid w:val="00814290"/>
    <w:rsid w:val="008142B0"/>
    <w:rsid w:val="008142F7"/>
    <w:rsid w:val="00814316"/>
    <w:rsid w:val="008144C2"/>
    <w:rsid w:val="008144CE"/>
    <w:rsid w:val="00814504"/>
    <w:rsid w:val="0081462A"/>
    <w:rsid w:val="0081465D"/>
    <w:rsid w:val="00814749"/>
    <w:rsid w:val="00814793"/>
    <w:rsid w:val="008147E0"/>
    <w:rsid w:val="0081481A"/>
    <w:rsid w:val="00814836"/>
    <w:rsid w:val="00814938"/>
    <w:rsid w:val="008149AA"/>
    <w:rsid w:val="00814A00"/>
    <w:rsid w:val="00814A14"/>
    <w:rsid w:val="00814A39"/>
    <w:rsid w:val="00814A4F"/>
    <w:rsid w:val="00814A55"/>
    <w:rsid w:val="00814A6A"/>
    <w:rsid w:val="00814AAC"/>
    <w:rsid w:val="00814B35"/>
    <w:rsid w:val="00814E38"/>
    <w:rsid w:val="00814F78"/>
    <w:rsid w:val="00815061"/>
    <w:rsid w:val="008150CA"/>
    <w:rsid w:val="0081517A"/>
    <w:rsid w:val="0081517B"/>
    <w:rsid w:val="008151C3"/>
    <w:rsid w:val="008151D0"/>
    <w:rsid w:val="00815248"/>
    <w:rsid w:val="0081526F"/>
    <w:rsid w:val="0081530E"/>
    <w:rsid w:val="0081533C"/>
    <w:rsid w:val="008153B2"/>
    <w:rsid w:val="008153C8"/>
    <w:rsid w:val="008155BD"/>
    <w:rsid w:val="008155FD"/>
    <w:rsid w:val="00815616"/>
    <w:rsid w:val="0081562C"/>
    <w:rsid w:val="0081568E"/>
    <w:rsid w:val="008156B9"/>
    <w:rsid w:val="008156DE"/>
    <w:rsid w:val="00815748"/>
    <w:rsid w:val="00815790"/>
    <w:rsid w:val="0081584B"/>
    <w:rsid w:val="00815951"/>
    <w:rsid w:val="0081595F"/>
    <w:rsid w:val="00815976"/>
    <w:rsid w:val="008159C8"/>
    <w:rsid w:val="00815A0B"/>
    <w:rsid w:val="00815A14"/>
    <w:rsid w:val="00815C45"/>
    <w:rsid w:val="00815CFF"/>
    <w:rsid w:val="00815D0B"/>
    <w:rsid w:val="00815D6D"/>
    <w:rsid w:val="00815D88"/>
    <w:rsid w:val="00815DC8"/>
    <w:rsid w:val="00815FBD"/>
    <w:rsid w:val="00815FC6"/>
    <w:rsid w:val="008160A4"/>
    <w:rsid w:val="00816147"/>
    <w:rsid w:val="00816182"/>
    <w:rsid w:val="008161D7"/>
    <w:rsid w:val="00816396"/>
    <w:rsid w:val="0081643A"/>
    <w:rsid w:val="00816732"/>
    <w:rsid w:val="00816760"/>
    <w:rsid w:val="0081679B"/>
    <w:rsid w:val="008167AC"/>
    <w:rsid w:val="008167F6"/>
    <w:rsid w:val="00816807"/>
    <w:rsid w:val="00816997"/>
    <w:rsid w:val="00816A4B"/>
    <w:rsid w:val="00816A64"/>
    <w:rsid w:val="00816A75"/>
    <w:rsid w:val="00816B47"/>
    <w:rsid w:val="00816C2F"/>
    <w:rsid w:val="00816D55"/>
    <w:rsid w:val="00816D66"/>
    <w:rsid w:val="00816D6F"/>
    <w:rsid w:val="00816DC9"/>
    <w:rsid w:val="00816ECD"/>
    <w:rsid w:val="00816F14"/>
    <w:rsid w:val="008170E3"/>
    <w:rsid w:val="0081722B"/>
    <w:rsid w:val="00817303"/>
    <w:rsid w:val="00817364"/>
    <w:rsid w:val="0081745D"/>
    <w:rsid w:val="00817624"/>
    <w:rsid w:val="00817684"/>
    <w:rsid w:val="008176C8"/>
    <w:rsid w:val="0081772E"/>
    <w:rsid w:val="0081775D"/>
    <w:rsid w:val="00817802"/>
    <w:rsid w:val="0081780B"/>
    <w:rsid w:val="0081792C"/>
    <w:rsid w:val="00817938"/>
    <w:rsid w:val="00817A3F"/>
    <w:rsid w:val="00817A74"/>
    <w:rsid w:val="00817AD3"/>
    <w:rsid w:val="00817B50"/>
    <w:rsid w:val="00817C20"/>
    <w:rsid w:val="00817F50"/>
    <w:rsid w:val="008200AF"/>
    <w:rsid w:val="00820153"/>
    <w:rsid w:val="008201DC"/>
    <w:rsid w:val="008201E6"/>
    <w:rsid w:val="00820222"/>
    <w:rsid w:val="00820266"/>
    <w:rsid w:val="0082034A"/>
    <w:rsid w:val="00820356"/>
    <w:rsid w:val="00820379"/>
    <w:rsid w:val="0082038D"/>
    <w:rsid w:val="00820394"/>
    <w:rsid w:val="008204D7"/>
    <w:rsid w:val="0082051F"/>
    <w:rsid w:val="00820548"/>
    <w:rsid w:val="00820591"/>
    <w:rsid w:val="008205D5"/>
    <w:rsid w:val="0082065B"/>
    <w:rsid w:val="00820661"/>
    <w:rsid w:val="008206C0"/>
    <w:rsid w:val="008207A0"/>
    <w:rsid w:val="00820864"/>
    <w:rsid w:val="008208AA"/>
    <w:rsid w:val="00820922"/>
    <w:rsid w:val="00820A0A"/>
    <w:rsid w:val="00820A78"/>
    <w:rsid w:val="00820AEE"/>
    <w:rsid w:val="00820CCE"/>
    <w:rsid w:val="00820E68"/>
    <w:rsid w:val="00820EEC"/>
    <w:rsid w:val="00820F44"/>
    <w:rsid w:val="00820F5B"/>
    <w:rsid w:val="00820F85"/>
    <w:rsid w:val="00821069"/>
    <w:rsid w:val="00821073"/>
    <w:rsid w:val="008210FB"/>
    <w:rsid w:val="0082110C"/>
    <w:rsid w:val="0082112E"/>
    <w:rsid w:val="00821201"/>
    <w:rsid w:val="008212CE"/>
    <w:rsid w:val="00821325"/>
    <w:rsid w:val="0082133D"/>
    <w:rsid w:val="008213B7"/>
    <w:rsid w:val="00821428"/>
    <w:rsid w:val="008214D3"/>
    <w:rsid w:val="008214F6"/>
    <w:rsid w:val="00821573"/>
    <w:rsid w:val="008215A8"/>
    <w:rsid w:val="008216FA"/>
    <w:rsid w:val="00821761"/>
    <w:rsid w:val="00821961"/>
    <w:rsid w:val="0082196F"/>
    <w:rsid w:val="00821993"/>
    <w:rsid w:val="008219DB"/>
    <w:rsid w:val="00821BB4"/>
    <w:rsid w:val="00821CAD"/>
    <w:rsid w:val="00821DB7"/>
    <w:rsid w:val="00821E05"/>
    <w:rsid w:val="00821E50"/>
    <w:rsid w:val="00821F1A"/>
    <w:rsid w:val="00821F5E"/>
    <w:rsid w:val="00821F64"/>
    <w:rsid w:val="0082209A"/>
    <w:rsid w:val="008221F8"/>
    <w:rsid w:val="0082224D"/>
    <w:rsid w:val="008222A8"/>
    <w:rsid w:val="008222FB"/>
    <w:rsid w:val="0082235A"/>
    <w:rsid w:val="00822419"/>
    <w:rsid w:val="008224D6"/>
    <w:rsid w:val="0082252E"/>
    <w:rsid w:val="0082254E"/>
    <w:rsid w:val="00822559"/>
    <w:rsid w:val="008225BC"/>
    <w:rsid w:val="008225D6"/>
    <w:rsid w:val="008226A0"/>
    <w:rsid w:val="00822746"/>
    <w:rsid w:val="00822841"/>
    <w:rsid w:val="008228B5"/>
    <w:rsid w:val="00822A6D"/>
    <w:rsid w:val="00822B0C"/>
    <w:rsid w:val="00822D35"/>
    <w:rsid w:val="00822D59"/>
    <w:rsid w:val="00822D61"/>
    <w:rsid w:val="00822DCC"/>
    <w:rsid w:val="00822DF6"/>
    <w:rsid w:val="00822E14"/>
    <w:rsid w:val="00822E19"/>
    <w:rsid w:val="00822E81"/>
    <w:rsid w:val="00822EAE"/>
    <w:rsid w:val="00822FB0"/>
    <w:rsid w:val="008230B2"/>
    <w:rsid w:val="0082317C"/>
    <w:rsid w:val="008231B1"/>
    <w:rsid w:val="00823376"/>
    <w:rsid w:val="00823466"/>
    <w:rsid w:val="00823548"/>
    <w:rsid w:val="00823552"/>
    <w:rsid w:val="0082365C"/>
    <w:rsid w:val="00823738"/>
    <w:rsid w:val="0082375B"/>
    <w:rsid w:val="008237F7"/>
    <w:rsid w:val="00823808"/>
    <w:rsid w:val="0082388C"/>
    <w:rsid w:val="00823917"/>
    <w:rsid w:val="00823952"/>
    <w:rsid w:val="00823A4A"/>
    <w:rsid w:val="00823A97"/>
    <w:rsid w:val="00823AB6"/>
    <w:rsid w:val="00823ACE"/>
    <w:rsid w:val="00823BB4"/>
    <w:rsid w:val="00823BD1"/>
    <w:rsid w:val="00823BD3"/>
    <w:rsid w:val="00823C15"/>
    <w:rsid w:val="00823C29"/>
    <w:rsid w:val="00823C77"/>
    <w:rsid w:val="00823D40"/>
    <w:rsid w:val="00823D41"/>
    <w:rsid w:val="00823E0D"/>
    <w:rsid w:val="00823E54"/>
    <w:rsid w:val="00823EDF"/>
    <w:rsid w:val="00824093"/>
    <w:rsid w:val="00824102"/>
    <w:rsid w:val="00824106"/>
    <w:rsid w:val="00824140"/>
    <w:rsid w:val="008241A9"/>
    <w:rsid w:val="00824243"/>
    <w:rsid w:val="00824314"/>
    <w:rsid w:val="00824316"/>
    <w:rsid w:val="0082431A"/>
    <w:rsid w:val="0082437F"/>
    <w:rsid w:val="0082445A"/>
    <w:rsid w:val="00824496"/>
    <w:rsid w:val="008244EF"/>
    <w:rsid w:val="0082455D"/>
    <w:rsid w:val="00824697"/>
    <w:rsid w:val="00824710"/>
    <w:rsid w:val="00824796"/>
    <w:rsid w:val="0082479F"/>
    <w:rsid w:val="008247AF"/>
    <w:rsid w:val="008247D5"/>
    <w:rsid w:val="0082481B"/>
    <w:rsid w:val="008248EF"/>
    <w:rsid w:val="0082493D"/>
    <w:rsid w:val="0082494A"/>
    <w:rsid w:val="0082497B"/>
    <w:rsid w:val="00824A0B"/>
    <w:rsid w:val="00824A47"/>
    <w:rsid w:val="00824A66"/>
    <w:rsid w:val="00824AE7"/>
    <w:rsid w:val="00824B12"/>
    <w:rsid w:val="00824B1D"/>
    <w:rsid w:val="00824B61"/>
    <w:rsid w:val="00824C12"/>
    <w:rsid w:val="00824CB4"/>
    <w:rsid w:val="00824DA6"/>
    <w:rsid w:val="00824E5C"/>
    <w:rsid w:val="00824E81"/>
    <w:rsid w:val="00824E83"/>
    <w:rsid w:val="00824F7E"/>
    <w:rsid w:val="00824FB3"/>
    <w:rsid w:val="0082500A"/>
    <w:rsid w:val="00825040"/>
    <w:rsid w:val="00825097"/>
    <w:rsid w:val="008250AE"/>
    <w:rsid w:val="008250B4"/>
    <w:rsid w:val="008250C3"/>
    <w:rsid w:val="008250C6"/>
    <w:rsid w:val="0082510B"/>
    <w:rsid w:val="00825171"/>
    <w:rsid w:val="0082519A"/>
    <w:rsid w:val="0082526C"/>
    <w:rsid w:val="00825280"/>
    <w:rsid w:val="008252E3"/>
    <w:rsid w:val="00825308"/>
    <w:rsid w:val="00825405"/>
    <w:rsid w:val="00825428"/>
    <w:rsid w:val="00825432"/>
    <w:rsid w:val="0082547D"/>
    <w:rsid w:val="00825520"/>
    <w:rsid w:val="0082554D"/>
    <w:rsid w:val="0082556C"/>
    <w:rsid w:val="008256CB"/>
    <w:rsid w:val="008256CD"/>
    <w:rsid w:val="008256FA"/>
    <w:rsid w:val="008257EF"/>
    <w:rsid w:val="00825847"/>
    <w:rsid w:val="0082585D"/>
    <w:rsid w:val="00825999"/>
    <w:rsid w:val="00825A15"/>
    <w:rsid w:val="00825A33"/>
    <w:rsid w:val="00825A49"/>
    <w:rsid w:val="00825AEC"/>
    <w:rsid w:val="00825B17"/>
    <w:rsid w:val="00825B62"/>
    <w:rsid w:val="00825C0F"/>
    <w:rsid w:val="00825C48"/>
    <w:rsid w:val="00825CA4"/>
    <w:rsid w:val="00825CA6"/>
    <w:rsid w:val="00825CDC"/>
    <w:rsid w:val="00825D81"/>
    <w:rsid w:val="00825DF2"/>
    <w:rsid w:val="00825E4A"/>
    <w:rsid w:val="00825F4E"/>
    <w:rsid w:val="00825FAF"/>
    <w:rsid w:val="008261C6"/>
    <w:rsid w:val="008261FC"/>
    <w:rsid w:val="00826212"/>
    <w:rsid w:val="00826427"/>
    <w:rsid w:val="00826499"/>
    <w:rsid w:val="008264B3"/>
    <w:rsid w:val="008264F5"/>
    <w:rsid w:val="00826502"/>
    <w:rsid w:val="008265C6"/>
    <w:rsid w:val="0082673B"/>
    <w:rsid w:val="00826767"/>
    <w:rsid w:val="00826790"/>
    <w:rsid w:val="008267F0"/>
    <w:rsid w:val="008268E6"/>
    <w:rsid w:val="0082691F"/>
    <w:rsid w:val="00826A3B"/>
    <w:rsid w:val="00826ACA"/>
    <w:rsid w:val="00826B97"/>
    <w:rsid w:val="00826C11"/>
    <w:rsid w:val="00826C8E"/>
    <w:rsid w:val="00826D86"/>
    <w:rsid w:val="00826F89"/>
    <w:rsid w:val="00826F93"/>
    <w:rsid w:val="00826FDD"/>
    <w:rsid w:val="00827017"/>
    <w:rsid w:val="00827074"/>
    <w:rsid w:val="008270AB"/>
    <w:rsid w:val="008270D0"/>
    <w:rsid w:val="008270EA"/>
    <w:rsid w:val="008270F3"/>
    <w:rsid w:val="0082725A"/>
    <w:rsid w:val="008272FC"/>
    <w:rsid w:val="00827396"/>
    <w:rsid w:val="008273C1"/>
    <w:rsid w:val="0082743B"/>
    <w:rsid w:val="008274EE"/>
    <w:rsid w:val="008274F6"/>
    <w:rsid w:val="00827527"/>
    <w:rsid w:val="0082754E"/>
    <w:rsid w:val="00827570"/>
    <w:rsid w:val="00827623"/>
    <w:rsid w:val="00827628"/>
    <w:rsid w:val="00827824"/>
    <w:rsid w:val="00827862"/>
    <w:rsid w:val="0082787F"/>
    <w:rsid w:val="008278D3"/>
    <w:rsid w:val="008279DA"/>
    <w:rsid w:val="00827A46"/>
    <w:rsid w:val="00827A8F"/>
    <w:rsid w:val="00827AA2"/>
    <w:rsid w:val="00827AA6"/>
    <w:rsid w:val="00827AD7"/>
    <w:rsid w:val="00827C31"/>
    <w:rsid w:val="00827CA8"/>
    <w:rsid w:val="00827E13"/>
    <w:rsid w:val="00830018"/>
    <w:rsid w:val="0083001F"/>
    <w:rsid w:val="008300AD"/>
    <w:rsid w:val="00830100"/>
    <w:rsid w:val="00830146"/>
    <w:rsid w:val="0083015A"/>
    <w:rsid w:val="0083016C"/>
    <w:rsid w:val="008301A0"/>
    <w:rsid w:val="00830264"/>
    <w:rsid w:val="00830346"/>
    <w:rsid w:val="008303B3"/>
    <w:rsid w:val="008303FE"/>
    <w:rsid w:val="008304B4"/>
    <w:rsid w:val="008305D0"/>
    <w:rsid w:val="008305D1"/>
    <w:rsid w:val="00830606"/>
    <w:rsid w:val="0083061F"/>
    <w:rsid w:val="00830700"/>
    <w:rsid w:val="0083084A"/>
    <w:rsid w:val="008308C8"/>
    <w:rsid w:val="008308C9"/>
    <w:rsid w:val="00830918"/>
    <w:rsid w:val="00830935"/>
    <w:rsid w:val="00830B0A"/>
    <w:rsid w:val="00830B6F"/>
    <w:rsid w:val="00830C1E"/>
    <w:rsid w:val="00830CF2"/>
    <w:rsid w:val="00830EA4"/>
    <w:rsid w:val="00830EFA"/>
    <w:rsid w:val="00830FE7"/>
    <w:rsid w:val="00830FFF"/>
    <w:rsid w:val="0083103B"/>
    <w:rsid w:val="008310B6"/>
    <w:rsid w:val="008310FB"/>
    <w:rsid w:val="00831201"/>
    <w:rsid w:val="00831222"/>
    <w:rsid w:val="0083122E"/>
    <w:rsid w:val="008312E9"/>
    <w:rsid w:val="00831427"/>
    <w:rsid w:val="0083156E"/>
    <w:rsid w:val="00831574"/>
    <w:rsid w:val="008315FD"/>
    <w:rsid w:val="0083165C"/>
    <w:rsid w:val="008318C8"/>
    <w:rsid w:val="008318E6"/>
    <w:rsid w:val="00831A45"/>
    <w:rsid w:val="00831A52"/>
    <w:rsid w:val="00831A5E"/>
    <w:rsid w:val="00831AA5"/>
    <w:rsid w:val="00831AD9"/>
    <w:rsid w:val="00831B8E"/>
    <w:rsid w:val="00831D82"/>
    <w:rsid w:val="00831DC3"/>
    <w:rsid w:val="00831E07"/>
    <w:rsid w:val="00831E7B"/>
    <w:rsid w:val="00831F05"/>
    <w:rsid w:val="00831F8F"/>
    <w:rsid w:val="00831F9F"/>
    <w:rsid w:val="00832082"/>
    <w:rsid w:val="008320D1"/>
    <w:rsid w:val="00832191"/>
    <w:rsid w:val="008321F4"/>
    <w:rsid w:val="008322EE"/>
    <w:rsid w:val="00832343"/>
    <w:rsid w:val="00832364"/>
    <w:rsid w:val="00832391"/>
    <w:rsid w:val="008323E8"/>
    <w:rsid w:val="008324DE"/>
    <w:rsid w:val="0083253B"/>
    <w:rsid w:val="00832583"/>
    <w:rsid w:val="0083267A"/>
    <w:rsid w:val="00832681"/>
    <w:rsid w:val="00832719"/>
    <w:rsid w:val="0083274F"/>
    <w:rsid w:val="0083275D"/>
    <w:rsid w:val="008327F5"/>
    <w:rsid w:val="0083282A"/>
    <w:rsid w:val="0083296E"/>
    <w:rsid w:val="008329F5"/>
    <w:rsid w:val="00832A4A"/>
    <w:rsid w:val="00832CA2"/>
    <w:rsid w:val="00832D38"/>
    <w:rsid w:val="00832E04"/>
    <w:rsid w:val="00832EAE"/>
    <w:rsid w:val="00832EF9"/>
    <w:rsid w:val="00832F52"/>
    <w:rsid w:val="008331A9"/>
    <w:rsid w:val="008332AC"/>
    <w:rsid w:val="00833350"/>
    <w:rsid w:val="008333CC"/>
    <w:rsid w:val="00833463"/>
    <w:rsid w:val="0083346A"/>
    <w:rsid w:val="0083359E"/>
    <w:rsid w:val="0083371D"/>
    <w:rsid w:val="0083375E"/>
    <w:rsid w:val="00833920"/>
    <w:rsid w:val="008339E6"/>
    <w:rsid w:val="00833A4A"/>
    <w:rsid w:val="00833A7B"/>
    <w:rsid w:val="00833BD2"/>
    <w:rsid w:val="00833CEA"/>
    <w:rsid w:val="00833E5E"/>
    <w:rsid w:val="00833EDC"/>
    <w:rsid w:val="00833EDF"/>
    <w:rsid w:val="00833F14"/>
    <w:rsid w:val="00833F52"/>
    <w:rsid w:val="00833F8A"/>
    <w:rsid w:val="0083402C"/>
    <w:rsid w:val="00834089"/>
    <w:rsid w:val="00834092"/>
    <w:rsid w:val="00834151"/>
    <w:rsid w:val="00834178"/>
    <w:rsid w:val="008341B9"/>
    <w:rsid w:val="008341DC"/>
    <w:rsid w:val="008341F0"/>
    <w:rsid w:val="00834263"/>
    <w:rsid w:val="0083428E"/>
    <w:rsid w:val="008342B8"/>
    <w:rsid w:val="00834337"/>
    <w:rsid w:val="0083437A"/>
    <w:rsid w:val="008343E9"/>
    <w:rsid w:val="008343F7"/>
    <w:rsid w:val="008343F8"/>
    <w:rsid w:val="00834401"/>
    <w:rsid w:val="008344A2"/>
    <w:rsid w:val="00834526"/>
    <w:rsid w:val="00834550"/>
    <w:rsid w:val="00834701"/>
    <w:rsid w:val="0083470B"/>
    <w:rsid w:val="008347B0"/>
    <w:rsid w:val="008347F9"/>
    <w:rsid w:val="0083495D"/>
    <w:rsid w:val="00834981"/>
    <w:rsid w:val="008349A5"/>
    <w:rsid w:val="008349AE"/>
    <w:rsid w:val="00834A5B"/>
    <w:rsid w:val="00834B39"/>
    <w:rsid w:val="00834B91"/>
    <w:rsid w:val="00834CE6"/>
    <w:rsid w:val="00834D48"/>
    <w:rsid w:val="00834DD1"/>
    <w:rsid w:val="00834DD6"/>
    <w:rsid w:val="00834E2B"/>
    <w:rsid w:val="00834EC6"/>
    <w:rsid w:val="00834ECF"/>
    <w:rsid w:val="00834F28"/>
    <w:rsid w:val="00834FC4"/>
    <w:rsid w:val="00834FDE"/>
    <w:rsid w:val="00834FE7"/>
    <w:rsid w:val="008350E7"/>
    <w:rsid w:val="008351B7"/>
    <w:rsid w:val="00835353"/>
    <w:rsid w:val="00835457"/>
    <w:rsid w:val="00835475"/>
    <w:rsid w:val="0083552C"/>
    <w:rsid w:val="0083566D"/>
    <w:rsid w:val="008356AB"/>
    <w:rsid w:val="00835769"/>
    <w:rsid w:val="00835775"/>
    <w:rsid w:val="0083594E"/>
    <w:rsid w:val="008359EC"/>
    <w:rsid w:val="00835A9C"/>
    <w:rsid w:val="00835AAA"/>
    <w:rsid w:val="00835B25"/>
    <w:rsid w:val="00835CD8"/>
    <w:rsid w:val="00835CF5"/>
    <w:rsid w:val="00835CFE"/>
    <w:rsid w:val="00835E49"/>
    <w:rsid w:val="00835EAB"/>
    <w:rsid w:val="00835F47"/>
    <w:rsid w:val="00835F86"/>
    <w:rsid w:val="00835FE9"/>
    <w:rsid w:val="00836058"/>
    <w:rsid w:val="00836069"/>
    <w:rsid w:val="00836082"/>
    <w:rsid w:val="008361C1"/>
    <w:rsid w:val="008361CB"/>
    <w:rsid w:val="0083621F"/>
    <w:rsid w:val="00836224"/>
    <w:rsid w:val="00836262"/>
    <w:rsid w:val="00836271"/>
    <w:rsid w:val="00836338"/>
    <w:rsid w:val="0083639D"/>
    <w:rsid w:val="00836460"/>
    <w:rsid w:val="0083652F"/>
    <w:rsid w:val="00836635"/>
    <w:rsid w:val="0083664A"/>
    <w:rsid w:val="0083671E"/>
    <w:rsid w:val="008367FD"/>
    <w:rsid w:val="00836913"/>
    <w:rsid w:val="00836936"/>
    <w:rsid w:val="00836A04"/>
    <w:rsid w:val="00836A69"/>
    <w:rsid w:val="00836B02"/>
    <w:rsid w:val="00836B66"/>
    <w:rsid w:val="00836BBD"/>
    <w:rsid w:val="00836BD7"/>
    <w:rsid w:val="00836C6A"/>
    <w:rsid w:val="00836D04"/>
    <w:rsid w:val="00836D45"/>
    <w:rsid w:val="00836D88"/>
    <w:rsid w:val="00836E3A"/>
    <w:rsid w:val="00836ED7"/>
    <w:rsid w:val="00836F15"/>
    <w:rsid w:val="00836F4C"/>
    <w:rsid w:val="00836F94"/>
    <w:rsid w:val="00837021"/>
    <w:rsid w:val="00837063"/>
    <w:rsid w:val="0083708A"/>
    <w:rsid w:val="008370BA"/>
    <w:rsid w:val="00837178"/>
    <w:rsid w:val="008371CA"/>
    <w:rsid w:val="00837210"/>
    <w:rsid w:val="00837252"/>
    <w:rsid w:val="0083726A"/>
    <w:rsid w:val="008372B9"/>
    <w:rsid w:val="008372E2"/>
    <w:rsid w:val="00837332"/>
    <w:rsid w:val="00837392"/>
    <w:rsid w:val="008373BF"/>
    <w:rsid w:val="008373F9"/>
    <w:rsid w:val="00837442"/>
    <w:rsid w:val="00837475"/>
    <w:rsid w:val="00837482"/>
    <w:rsid w:val="008374AD"/>
    <w:rsid w:val="008374B8"/>
    <w:rsid w:val="00837562"/>
    <w:rsid w:val="008375E3"/>
    <w:rsid w:val="00837621"/>
    <w:rsid w:val="00837691"/>
    <w:rsid w:val="00837697"/>
    <w:rsid w:val="0083769A"/>
    <w:rsid w:val="0083773C"/>
    <w:rsid w:val="0083777C"/>
    <w:rsid w:val="00837885"/>
    <w:rsid w:val="00837930"/>
    <w:rsid w:val="00837949"/>
    <w:rsid w:val="00837AAB"/>
    <w:rsid w:val="00837AD4"/>
    <w:rsid w:val="00837B0F"/>
    <w:rsid w:val="00837B2D"/>
    <w:rsid w:val="00837BB2"/>
    <w:rsid w:val="00837BBF"/>
    <w:rsid w:val="00837D0C"/>
    <w:rsid w:val="00837D6E"/>
    <w:rsid w:val="00837D9E"/>
    <w:rsid w:val="00837E43"/>
    <w:rsid w:val="00837EE0"/>
    <w:rsid w:val="00837FB8"/>
    <w:rsid w:val="008404D6"/>
    <w:rsid w:val="008404E2"/>
    <w:rsid w:val="00840682"/>
    <w:rsid w:val="0084079E"/>
    <w:rsid w:val="008407AC"/>
    <w:rsid w:val="008408A2"/>
    <w:rsid w:val="00840912"/>
    <w:rsid w:val="0084098E"/>
    <w:rsid w:val="00840A41"/>
    <w:rsid w:val="00840A6A"/>
    <w:rsid w:val="00840A80"/>
    <w:rsid w:val="00840B4A"/>
    <w:rsid w:val="00840B84"/>
    <w:rsid w:val="00840BDD"/>
    <w:rsid w:val="00840C67"/>
    <w:rsid w:val="00840DA9"/>
    <w:rsid w:val="00840E0E"/>
    <w:rsid w:val="00840EE2"/>
    <w:rsid w:val="00840F4C"/>
    <w:rsid w:val="00840F96"/>
    <w:rsid w:val="00840F97"/>
    <w:rsid w:val="008410A6"/>
    <w:rsid w:val="0084111F"/>
    <w:rsid w:val="0084113C"/>
    <w:rsid w:val="0084114E"/>
    <w:rsid w:val="00841153"/>
    <w:rsid w:val="0084119F"/>
    <w:rsid w:val="008411AD"/>
    <w:rsid w:val="008411D5"/>
    <w:rsid w:val="00841263"/>
    <w:rsid w:val="00841285"/>
    <w:rsid w:val="008412F4"/>
    <w:rsid w:val="0084132A"/>
    <w:rsid w:val="00841490"/>
    <w:rsid w:val="008414BF"/>
    <w:rsid w:val="00841581"/>
    <w:rsid w:val="008415A5"/>
    <w:rsid w:val="008416B7"/>
    <w:rsid w:val="008416FF"/>
    <w:rsid w:val="00841734"/>
    <w:rsid w:val="008417E4"/>
    <w:rsid w:val="00841833"/>
    <w:rsid w:val="008418E8"/>
    <w:rsid w:val="0084195D"/>
    <w:rsid w:val="00841AC2"/>
    <w:rsid w:val="00841B6C"/>
    <w:rsid w:val="00841C0F"/>
    <w:rsid w:val="00841D05"/>
    <w:rsid w:val="00841E07"/>
    <w:rsid w:val="00841F81"/>
    <w:rsid w:val="00841F8F"/>
    <w:rsid w:val="00841FEE"/>
    <w:rsid w:val="00842106"/>
    <w:rsid w:val="00842195"/>
    <w:rsid w:val="00842236"/>
    <w:rsid w:val="0084238D"/>
    <w:rsid w:val="008423EB"/>
    <w:rsid w:val="008426E0"/>
    <w:rsid w:val="008427C6"/>
    <w:rsid w:val="00842817"/>
    <w:rsid w:val="00842865"/>
    <w:rsid w:val="00842925"/>
    <w:rsid w:val="00842927"/>
    <w:rsid w:val="008429B1"/>
    <w:rsid w:val="008429C4"/>
    <w:rsid w:val="008429F1"/>
    <w:rsid w:val="00842A61"/>
    <w:rsid w:val="00842AA6"/>
    <w:rsid w:val="00842AC1"/>
    <w:rsid w:val="00842B49"/>
    <w:rsid w:val="00842B61"/>
    <w:rsid w:val="00842B89"/>
    <w:rsid w:val="00842BBC"/>
    <w:rsid w:val="00842BC4"/>
    <w:rsid w:val="00842BC7"/>
    <w:rsid w:val="00842BE1"/>
    <w:rsid w:val="00842BE5"/>
    <w:rsid w:val="00842BEE"/>
    <w:rsid w:val="00842C24"/>
    <w:rsid w:val="00842C39"/>
    <w:rsid w:val="00842C6E"/>
    <w:rsid w:val="00842C84"/>
    <w:rsid w:val="00842C87"/>
    <w:rsid w:val="00842E9B"/>
    <w:rsid w:val="00842EA4"/>
    <w:rsid w:val="00842F33"/>
    <w:rsid w:val="00842FE1"/>
    <w:rsid w:val="008430D4"/>
    <w:rsid w:val="00843101"/>
    <w:rsid w:val="0084312E"/>
    <w:rsid w:val="008431A4"/>
    <w:rsid w:val="008432E8"/>
    <w:rsid w:val="0084338C"/>
    <w:rsid w:val="008433E0"/>
    <w:rsid w:val="00843426"/>
    <w:rsid w:val="0084345C"/>
    <w:rsid w:val="00843584"/>
    <w:rsid w:val="008435CF"/>
    <w:rsid w:val="00843645"/>
    <w:rsid w:val="00843675"/>
    <w:rsid w:val="008436EA"/>
    <w:rsid w:val="008436F6"/>
    <w:rsid w:val="008438BF"/>
    <w:rsid w:val="008439B0"/>
    <w:rsid w:val="00843AE1"/>
    <w:rsid w:val="00843B60"/>
    <w:rsid w:val="00843BA4"/>
    <w:rsid w:val="00843BB0"/>
    <w:rsid w:val="00843BD1"/>
    <w:rsid w:val="00843C87"/>
    <w:rsid w:val="00843CCB"/>
    <w:rsid w:val="00843D20"/>
    <w:rsid w:val="00843D92"/>
    <w:rsid w:val="00843DF5"/>
    <w:rsid w:val="00843EFB"/>
    <w:rsid w:val="00843F2E"/>
    <w:rsid w:val="00843F50"/>
    <w:rsid w:val="0084404D"/>
    <w:rsid w:val="00844088"/>
    <w:rsid w:val="008440D1"/>
    <w:rsid w:val="008441E2"/>
    <w:rsid w:val="0084424C"/>
    <w:rsid w:val="008443BA"/>
    <w:rsid w:val="0084458E"/>
    <w:rsid w:val="008445AA"/>
    <w:rsid w:val="00844685"/>
    <w:rsid w:val="00844689"/>
    <w:rsid w:val="008446A8"/>
    <w:rsid w:val="008446F4"/>
    <w:rsid w:val="008447FB"/>
    <w:rsid w:val="008448A2"/>
    <w:rsid w:val="00844931"/>
    <w:rsid w:val="00844992"/>
    <w:rsid w:val="00844A32"/>
    <w:rsid w:val="00844B4B"/>
    <w:rsid w:val="00844B98"/>
    <w:rsid w:val="00844BE1"/>
    <w:rsid w:val="00844C48"/>
    <w:rsid w:val="00844CA4"/>
    <w:rsid w:val="00844D31"/>
    <w:rsid w:val="00844E41"/>
    <w:rsid w:val="00844E45"/>
    <w:rsid w:val="0084505D"/>
    <w:rsid w:val="0084509B"/>
    <w:rsid w:val="008450F5"/>
    <w:rsid w:val="008452D1"/>
    <w:rsid w:val="00845390"/>
    <w:rsid w:val="008454B6"/>
    <w:rsid w:val="00845534"/>
    <w:rsid w:val="0084559D"/>
    <w:rsid w:val="00845604"/>
    <w:rsid w:val="0084560B"/>
    <w:rsid w:val="0084567D"/>
    <w:rsid w:val="008456CF"/>
    <w:rsid w:val="00845717"/>
    <w:rsid w:val="0084577A"/>
    <w:rsid w:val="00845821"/>
    <w:rsid w:val="008458C5"/>
    <w:rsid w:val="00845925"/>
    <w:rsid w:val="008459B6"/>
    <w:rsid w:val="00845A26"/>
    <w:rsid w:val="00845A45"/>
    <w:rsid w:val="00845B41"/>
    <w:rsid w:val="00845B6E"/>
    <w:rsid w:val="00845C37"/>
    <w:rsid w:val="00845D09"/>
    <w:rsid w:val="00845D54"/>
    <w:rsid w:val="00845D99"/>
    <w:rsid w:val="00845DD1"/>
    <w:rsid w:val="00845EA9"/>
    <w:rsid w:val="00846003"/>
    <w:rsid w:val="00846007"/>
    <w:rsid w:val="008461B5"/>
    <w:rsid w:val="008462ED"/>
    <w:rsid w:val="00846330"/>
    <w:rsid w:val="00846382"/>
    <w:rsid w:val="0084648E"/>
    <w:rsid w:val="008464F0"/>
    <w:rsid w:val="00846554"/>
    <w:rsid w:val="008465A0"/>
    <w:rsid w:val="00846654"/>
    <w:rsid w:val="008466AE"/>
    <w:rsid w:val="008466F9"/>
    <w:rsid w:val="008467B3"/>
    <w:rsid w:val="008467F1"/>
    <w:rsid w:val="0084681C"/>
    <w:rsid w:val="0084687F"/>
    <w:rsid w:val="00846883"/>
    <w:rsid w:val="00846894"/>
    <w:rsid w:val="008468A0"/>
    <w:rsid w:val="008468CD"/>
    <w:rsid w:val="008469AC"/>
    <w:rsid w:val="00846AA0"/>
    <w:rsid w:val="00846ACA"/>
    <w:rsid w:val="00846AE3"/>
    <w:rsid w:val="00846B35"/>
    <w:rsid w:val="00846C7D"/>
    <w:rsid w:val="00846D30"/>
    <w:rsid w:val="00846E65"/>
    <w:rsid w:val="00846E7F"/>
    <w:rsid w:val="00846F14"/>
    <w:rsid w:val="00846F69"/>
    <w:rsid w:val="00846F6F"/>
    <w:rsid w:val="00846F81"/>
    <w:rsid w:val="00847011"/>
    <w:rsid w:val="00847087"/>
    <w:rsid w:val="008470A1"/>
    <w:rsid w:val="008470C3"/>
    <w:rsid w:val="00847170"/>
    <w:rsid w:val="008471CC"/>
    <w:rsid w:val="00847295"/>
    <w:rsid w:val="008472B8"/>
    <w:rsid w:val="008472E3"/>
    <w:rsid w:val="008472F4"/>
    <w:rsid w:val="008474C3"/>
    <w:rsid w:val="008474C4"/>
    <w:rsid w:val="00847626"/>
    <w:rsid w:val="0084768E"/>
    <w:rsid w:val="00847702"/>
    <w:rsid w:val="00847831"/>
    <w:rsid w:val="0084791C"/>
    <w:rsid w:val="0084792C"/>
    <w:rsid w:val="00847970"/>
    <w:rsid w:val="00847975"/>
    <w:rsid w:val="008479E3"/>
    <w:rsid w:val="00847A1D"/>
    <w:rsid w:val="00847BA5"/>
    <w:rsid w:val="00847D06"/>
    <w:rsid w:val="00847DC3"/>
    <w:rsid w:val="00847ED0"/>
    <w:rsid w:val="00847F88"/>
    <w:rsid w:val="00847F93"/>
    <w:rsid w:val="00850008"/>
    <w:rsid w:val="0085000F"/>
    <w:rsid w:val="0085002D"/>
    <w:rsid w:val="008500D9"/>
    <w:rsid w:val="008500E8"/>
    <w:rsid w:val="0085011F"/>
    <w:rsid w:val="008501A1"/>
    <w:rsid w:val="008501BC"/>
    <w:rsid w:val="00850200"/>
    <w:rsid w:val="008502A1"/>
    <w:rsid w:val="00850336"/>
    <w:rsid w:val="00850375"/>
    <w:rsid w:val="008503B5"/>
    <w:rsid w:val="00850435"/>
    <w:rsid w:val="00850465"/>
    <w:rsid w:val="00850540"/>
    <w:rsid w:val="00850662"/>
    <w:rsid w:val="00850667"/>
    <w:rsid w:val="008506B6"/>
    <w:rsid w:val="008506C5"/>
    <w:rsid w:val="0085070B"/>
    <w:rsid w:val="008507BA"/>
    <w:rsid w:val="008507D6"/>
    <w:rsid w:val="00850804"/>
    <w:rsid w:val="0085088A"/>
    <w:rsid w:val="00850A80"/>
    <w:rsid w:val="00850A9D"/>
    <w:rsid w:val="00850B7E"/>
    <w:rsid w:val="00850C39"/>
    <w:rsid w:val="00850D0A"/>
    <w:rsid w:val="00850D0D"/>
    <w:rsid w:val="00850D42"/>
    <w:rsid w:val="00850E3E"/>
    <w:rsid w:val="00850E7C"/>
    <w:rsid w:val="00850F4E"/>
    <w:rsid w:val="00850F4F"/>
    <w:rsid w:val="00850F9A"/>
    <w:rsid w:val="00851067"/>
    <w:rsid w:val="00851171"/>
    <w:rsid w:val="008511D4"/>
    <w:rsid w:val="008511D7"/>
    <w:rsid w:val="00851256"/>
    <w:rsid w:val="0085125F"/>
    <w:rsid w:val="008512AA"/>
    <w:rsid w:val="00851318"/>
    <w:rsid w:val="0085137B"/>
    <w:rsid w:val="0085138D"/>
    <w:rsid w:val="008513DF"/>
    <w:rsid w:val="00851412"/>
    <w:rsid w:val="0085146B"/>
    <w:rsid w:val="008514CF"/>
    <w:rsid w:val="008514FE"/>
    <w:rsid w:val="00851558"/>
    <w:rsid w:val="00851581"/>
    <w:rsid w:val="008515D5"/>
    <w:rsid w:val="008516A4"/>
    <w:rsid w:val="00851706"/>
    <w:rsid w:val="00851739"/>
    <w:rsid w:val="008517D5"/>
    <w:rsid w:val="00851943"/>
    <w:rsid w:val="00851956"/>
    <w:rsid w:val="00851990"/>
    <w:rsid w:val="00851A82"/>
    <w:rsid w:val="00851B3D"/>
    <w:rsid w:val="00851B99"/>
    <w:rsid w:val="00851C64"/>
    <w:rsid w:val="00851CBB"/>
    <w:rsid w:val="00851E7A"/>
    <w:rsid w:val="00851E97"/>
    <w:rsid w:val="00851EC9"/>
    <w:rsid w:val="00851ECD"/>
    <w:rsid w:val="00851F12"/>
    <w:rsid w:val="00851F1A"/>
    <w:rsid w:val="00851F94"/>
    <w:rsid w:val="008520FC"/>
    <w:rsid w:val="00852166"/>
    <w:rsid w:val="008522A1"/>
    <w:rsid w:val="00852490"/>
    <w:rsid w:val="0085249E"/>
    <w:rsid w:val="00852577"/>
    <w:rsid w:val="008525A9"/>
    <w:rsid w:val="008525BA"/>
    <w:rsid w:val="00852685"/>
    <w:rsid w:val="0085275E"/>
    <w:rsid w:val="008527E0"/>
    <w:rsid w:val="008527E8"/>
    <w:rsid w:val="00852845"/>
    <w:rsid w:val="008528B6"/>
    <w:rsid w:val="008528BB"/>
    <w:rsid w:val="00852900"/>
    <w:rsid w:val="0085290B"/>
    <w:rsid w:val="00852935"/>
    <w:rsid w:val="008529A2"/>
    <w:rsid w:val="008529D3"/>
    <w:rsid w:val="00852B53"/>
    <w:rsid w:val="00852B7D"/>
    <w:rsid w:val="00852BD3"/>
    <w:rsid w:val="00852BFE"/>
    <w:rsid w:val="00852C04"/>
    <w:rsid w:val="00852C11"/>
    <w:rsid w:val="00852D92"/>
    <w:rsid w:val="00852E40"/>
    <w:rsid w:val="00852E57"/>
    <w:rsid w:val="00852F18"/>
    <w:rsid w:val="00852F95"/>
    <w:rsid w:val="0085304A"/>
    <w:rsid w:val="0085308D"/>
    <w:rsid w:val="008531D8"/>
    <w:rsid w:val="00853448"/>
    <w:rsid w:val="0085355C"/>
    <w:rsid w:val="00853598"/>
    <w:rsid w:val="008535AA"/>
    <w:rsid w:val="008535B7"/>
    <w:rsid w:val="0085367F"/>
    <w:rsid w:val="0085372C"/>
    <w:rsid w:val="00853828"/>
    <w:rsid w:val="00853846"/>
    <w:rsid w:val="008538C5"/>
    <w:rsid w:val="00853B7C"/>
    <w:rsid w:val="00853C62"/>
    <w:rsid w:val="00853C91"/>
    <w:rsid w:val="00853D6B"/>
    <w:rsid w:val="00854041"/>
    <w:rsid w:val="00854057"/>
    <w:rsid w:val="00854068"/>
    <w:rsid w:val="00854167"/>
    <w:rsid w:val="0085420E"/>
    <w:rsid w:val="00854221"/>
    <w:rsid w:val="00854276"/>
    <w:rsid w:val="008542FB"/>
    <w:rsid w:val="0085432F"/>
    <w:rsid w:val="00854358"/>
    <w:rsid w:val="0085439B"/>
    <w:rsid w:val="008543DF"/>
    <w:rsid w:val="0085441E"/>
    <w:rsid w:val="00854514"/>
    <w:rsid w:val="0085458A"/>
    <w:rsid w:val="008545EE"/>
    <w:rsid w:val="008545EF"/>
    <w:rsid w:val="00854634"/>
    <w:rsid w:val="008547D6"/>
    <w:rsid w:val="00854808"/>
    <w:rsid w:val="0085480F"/>
    <w:rsid w:val="0085485A"/>
    <w:rsid w:val="008548BC"/>
    <w:rsid w:val="00854927"/>
    <w:rsid w:val="008549BD"/>
    <w:rsid w:val="00854A49"/>
    <w:rsid w:val="00854A54"/>
    <w:rsid w:val="00854A6B"/>
    <w:rsid w:val="00854A73"/>
    <w:rsid w:val="00854B32"/>
    <w:rsid w:val="00854B3E"/>
    <w:rsid w:val="00854B96"/>
    <w:rsid w:val="00854BA8"/>
    <w:rsid w:val="00854D04"/>
    <w:rsid w:val="00854D1F"/>
    <w:rsid w:val="00854D49"/>
    <w:rsid w:val="00854D9A"/>
    <w:rsid w:val="00854DFB"/>
    <w:rsid w:val="00854E01"/>
    <w:rsid w:val="0085504A"/>
    <w:rsid w:val="008550D2"/>
    <w:rsid w:val="00855112"/>
    <w:rsid w:val="00855182"/>
    <w:rsid w:val="008551CC"/>
    <w:rsid w:val="008551F3"/>
    <w:rsid w:val="00855352"/>
    <w:rsid w:val="0085538A"/>
    <w:rsid w:val="008553AC"/>
    <w:rsid w:val="008553FD"/>
    <w:rsid w:val="00855461"/>
    <w:rsid w:val="0085547C"/>
    <w:rsid w:val="00855515"/>
    <w:rsid w:val="0085552C"/>
    <w:rsid w:val="008555CF"/>
    <w:rsid w:val="00855612"/>
    <w:rsid w:val="00855771"/>
    <w:rsid w:val="0085589D"/>
    <w:rsid w:val="00855919"/>
    <w:rsid w:val="0085595F"/>
    <w:rsid w:val="00855961"/>
    <w:rsid w:val="008559C7"/>
    <w:rsid w:val="00855A0C"/>
    <w:rsid w:val="00855A17"/>
    <w:rsid w:val="00855A44"/>
    <w:rsid w:val="00855A84"/>
    <w:rsid w:val="00855AB4"/>
    <w:rsid w:val="00855B26"/>
    <w:rsid w:val="00855B36"/>
    <w:rsid w:val="00855B87"/>
    <w:rsid w:val="00855BBA"/>
    <w:rsid w:val="00855BDB"/>
    <w:rsid w:val="00855BE0"/>
    <w:rsid w:val="00855BF2"/>
    <w:rsid w:val="00855C18"/>
    <w:rsid w:val="00855C4E"/>
    <w:rsid w:val="00855C8D"/>
    <w:rsid w:val="00855CC9"/>
    <w:rsid w:val="00855D0E"/>
    <w:rsid w:val="00855D2E"/>
    <w:rsid w:val="00855D4C"/>
    <w:rsid w:val="00855D9F"/>
    <w:rsid w:val="00855DD0"/>
    <w:rsid w:val="00855EB6"/>
    <w:rsid w:val="00855EBA"/>
    <w:rsid w:val="00855F0B"/>
    <w:rsid w:val="00855F73"/>
    <w:rsid w:val="00855FAB"/>
    <w:rsid w:val="0085613B"/>
    <w:rsid w:val="0085613E"/>
    <w:rsid w:val="008561C5"/>
    <w:rsid w:val="008561FB"/>
    <w:rsid w:val="008562FE"/>
    <w:rsid w:val="00856343"/>
    <w:rsid w:val="00856350"/>
    <w:rsid w:val="0085635D"/>
    <w:rsid w:val="00856409"/>
    <w:rsid w:val="0085650D"/>
    <w:rsid w:val="008565A4"/>
    <w:rsid w:val="0085672D"/>
    <w:rsid w:val="008567CF"/>
    <w:rsid w:val="008567E0"/>
    <w:rsid w:val="0085688E"/>
    <w:rsid w:val="008568F7"/>
    <w:rsid w:val="00856980"/>
    <w:rsid w:val="00856986"/>
    <w:rsid w:val="00856998"/>
    <w:rsid w:val="008569B4"/>
    <w:rsid w:val="00856B32"/>
    <w:rsid w:val="00856BA4"/>
    <w:rsid w:val="00856C51"/>
    <w:rsid w:val="00856C5C"/>
    <w:rsid w:val="00856C97"/>
    <w:rsid w:val="00856D0B"/>
    <w:rsid w:val="00856D28"/>
    <w:rsid w:val="00856D37"/>
    <w:rsid w:val="00856DC7"/>
    <w:rsid w:val="00856DEC"/>
    <w:rsid w:val="00856F68"/>
    <w:rsid w:val="00856F6B"/>
    <w:rsid w:val="00856F8C"/>
    <w:rsid w:val="00857037"/>
    <w:rsid w:val="0085705B"/>
    <w:rsid w:val="00857120"/>
    <w:rsid w:val="0085715A"/>
    <w:rsid w:val="008571BA"/>
    <w:rsid w:val="008571D3"/>
    <w:rsid w:val="0085728C"/>
    <w:rsid w:val="00857319"/>
    <w:rsid w:val="0085739F"/>
    <w:rsid w:val="008573AA"/>
    <w:rsid w:val="00857544"/>
    <w:rsid w:val="00857553"/>
    <w:rsid w:val="00857598"/>
    <w:rsid w:val="0085760C"/>
    <w:rsid w:val="00857804"/>
    <w:rsid w:val="0085785F"/>
    <w:rsid w:val="0085789F"/>
    <w:rsid w:val="008578BA"/>
    <w:rsid w:val="008578E4"/>
    <w:rsid w:val="00857959"/>
    <w:rsid w:val="008579B4"/>
    <w:rsid w:val="00857C39"/>
    <w:rsid w:val="00857CC2"/>
    <w:rsid w:val="00857CDF"/>
    <w:rsid w:val="00857E4F"/>
    <w:rsid w:val="00857E71"/>
    <w:rsid w:val="00857EC7"/>
    <w:rsid w:val="00857F15"/>
    <w:rsid w:val="00857FA3"/>
    <w:rsid w:val="00860015"/>
    <w:rsid w:val="00860021"/>
    <w:rsid w:val="00860070"/>
    <w:rsid w:val="00860152"/>
    <w:rsid w:val="00860161"/>
    <w:rsid w:val="008601C6"/>
    <w:rsid w:val="008602A9"/>
    <w:rsid w:val="0086032A"/>
    <w:rsid w:val="008603D4"/>
    <w:rsid w:val="008603EC"/>
    <w:rsid w:val="00860420"/>
    <w:rsid w:val="00860445"/>
    <w:rsid w:val="00860625"/>
    <w:rsid w:val="0086065F"/>
    <w:rsid w:val="0086071A"/>
    <w:rsid w:val="00860731"/>
    <w:rsid w:val="008609CA"/>
    <w:rsid w:val="00860A97"/>
    <w:rsid w:val="00860B1A"/>
    <w:rsid w:val="00860B99"/>
    <w:rsid w:val="00860BA4"/>
    <w:rsid w:val="00860BC2"/>
    <w:rsid w:val="00860C8D"/>
    <w:rsid w:val="00860CF1"/>
    <w:rsid w:val="00860E6C"/>
    <w:rsid w:val="00860F7B"/>
    <w:rsid w:val="00860F8B"/>
    <w:rsid w:val="00860FBB"/>
    <w:rsid w:val="0086100D"/>
    <w:rsid w:val="008610ED"/>
    <w:rsid w:val="008610FB"/>
    <w:rsid w:val="0086111B"/>
    <w:rsid w:val="008611C3"/>
    <w:rsid w:val="00861278"/>
    <w:rsid w:val="008613C4"/>
    <w:rsid w:val="008614C7"/>
    <w:rsid w:val="008614FE"/>
    <w:rsid w:val="00861577"/>
    <w:rsid w:val="00861597"/>
    <w:rsid w:val="008616AB"/>
    <w:rsid w:val="0086170F"/>
    <w:rsid w:val="00861831"/>
    <w:rsid w:val="008618A3"/>
    <w:rsid w:val="008618F4"/>
    <w:rsid w:val="00861A88"/>
    <w:rsid w:val="00861AA7"/>
    <w:rsid w:val="00861AC2"/>
    <w:rsid w:val="00861B1D"/>
    <w:rsid w:val="00861B38"/>
    <w:rsid w:val="00861B9B"/>
    <w:rsid w:val="00861C03"/>
    <w:rsid w:val="00861C24"/>
    <w:rsid w:val="00861CEB"/>
    <w:rsid w:val="00861D9E"/>
    <w:rsid w:val="00861EBB"/>
    <w:rsid w:val="00861EE8"/>
    <w:rsid w:val="00861F40"/>
    <w:rsid w:val="00861F89"/>
    <w:rsid w:val="00861FB5"/>
    <w:rsid w:val="008620AD"/>
    <w:rsid w:val="008620DF"/>
    <w:rsid w:val="008620FD"/>
    <w:rsid w:val="0086218D"/>
    <w:rsid w:val="008621C6"/>
    <w:rsid w:val="00862224"/>
    <w:rsid w:val="0086225C"/>
    <w:rsid w:val="00862309"/>
    <w:rsid w:val="0086235D"/>
    <w:rsid w:val="008623FC"/>
    <w:rsid w:val="0086244A"/>
    <w:rsid w:val="008624A9"/>
    <w:rsid w:val="00862559"/>
    <w:rsid w:val="008625A1"/>
    <w:rsid w:val="008625BA"/>
    <w:rsid w:val="008625D2"/>
    <w:rsid w:val="00862615"/>
    <w:rsid w:val="00862678"/>
    <w:rsid w:val="0086267D"/>
    <w:rsid w:val="008626AB"/>
    <w:rsid w:val="0086270A"/>
    <w:rsid w:val="00862718"/>
    <w:rsid w:val="0086274C"/>
    <w:rsid w:val="00862920"/>
    <w:rsid w:val="00862938"/>
    <w:rsid w:val="0086294B"/>
    <w:rsid w:val="00862959"/>
    <w:rsid w:val="00862980"/>
    <w:rsid w:val="00862A5E"/>
    <w:rsid w:val="00862A7C"/>
    <w:rsid w:val="00862AB8"/>
    <w:rsid w:val="00862ABE"/>
    <w:rsid w:val="00862AEC"/>
    <w:rsid w:val="00862AF5"/>
    <w:rsid w:val="00862B2B"/>
    <w:rsid w:val="00862B8A"/>
    <w:rsid w:val="00862BA4"/>
    <w:rsid w:val="00862BC6"/>
    <w:rsid w:val="00862C86"/>
    <w:rsid w:val="00862CB9"/>
    <w:rsid w:val="00862D05"/>
    <w:rsid w:val="00862EF0"/>
    <w:rsid w:val="00862FAC"/>
    <w:rsid w:val="0086300E"/>
    <w:rsid w:val="00863049"/>
    <w:rsid w:val="0086311C"/>
    <w:rsid w:val="00863171"/>
    <w:rsid w:val="008631C1"/>
    <w:rsid w:val="008631EB"/>
    <w:rsid w:val="00863288"/>
    <w:rsid w:val="00863304"/>
    <w:rsid w:val="00863342"/>
    <w:rsid w:val="0086347F"/>
    <w:rsid w:val="008634C4"/>
    <w:rsid w:val="008634E1"/>
    <w:rsid w:val="00863637"/>
    <w:rsid w:val="00863669"/>
    <w:rsid w:val="00863747"/>
    <w:rsid w:val="008637D8"/>
    <w:rsid w:val="008637FA"/>
    <w:rsid w:val="00863879"/>
    <w:rsid w:val="00863901"/>
    <w:rsid w:val="0086395B"/>
    <w:rsid w:val="0086395D"/>
    <w:rsid w:val="0086399E"/>
    <w:rsid w:val="008639F3"/>
    <w:rsid w:val="008639F6"/>
    <w:rsid w:val="00863A1B"/>
    <w:rsid w:val="00863A54"/>
    <w:rsid w:val="00863A6C"/>
    <w:rsid w:val="00863C24"/>
    <w:rsid w:val="00863C92"/>
    <w:rsid w:val="00863CAA"/>
    <w:rsid w:val="00863D4F"/>
    <w:rsid w:val="00863D71"/>
    <w:rsid w:val="00863E0E"/>
    <w:rsid w:val="00863EAB"/>
    <w:rsid w:val="00863EDD"/>
    <w:rsid w:val="00863F62"/>
    <w:rsid w:val="00863FD2"/>
    <w:rsid w:val="00864038"/>
    <w:rsid w:val="00864056"/>
    <w:rsid w:val="0086405B"/>
    <w:rsid w:val="008640B8"/>
    <w:rsid w:val="00864240"/>
    <w:rsid w:val="00864251"/>
    <w:rsid w:val="00864288"/>
    <w:rsid w:val="008642A0"/>
    <w:rsid w:val="00864317"/>
    <w:rsid w:val="00864320"/>
    <w:rsid w:val="00864358"/>
    <w:rsid w:val="00864370"/>
    <w:rsid w:val="008646F6"/>
    <w:rsid w:val="00864700"/>
    <w:rsid w:val="008647A7"/>
    <w:rsid w:val="0086486C"/>
    <w:rsid w:val="0086488F"/>
    <w:rsid w:val="008648AE"/>
    <w:rsid w:val="00864907"/>
    <w:rsid w:val="00864945"/>
    <w:rsid w:val="00864964"/>
    <w:rsid w:val="0086497D"/>
    <w:rsid w:val="008649C0"/>
    <w:rsid w:val="00864B9E"/>
    <w:rsid w:val="00864C40"/>
    <w:rsid w:val="00864C59"/>
    <w:rsid w:val="00864C7F"/>
    <w:rsid w:val="00864C83"/>
    <w:rsid w:val="00864CCD"/>
    <w:rsid w:val="00864CE8"/>
    <w:rsid w:val="00864D84"/>
    <w:rsid w:val="00864DB6"/>
    <w:rsid w:val="00864E7C"/>
    <w:rsid w:val="00864F2A"/>
    <w:rsid w:val="00864FAB"/>
    <w:rsid w:val="008650FB"/>
    <w:rsid w:val="00865111"/>
    <w:rsid w:val="0086517C"/>
    <w:rsid w:val="008651B5"/>
    <w:rsid w:val="00865268"/>
    <w:rsid w:val="00865375"/>
    <w:rsid w:val="00865399"/>
    <w:rsid w:val="0086542C"/>
    <w:rsid w:val="0086545A"/>
    <w:rsid w:val="0086550F"/>
    <w:rsid w:val="008655C1"/>
    <w:rsid w:val="0086560D"/>
    <w:rsid w:val="008657A0"/>
    <w:rsid w:val="00865831"/>
    <w:rsid w:val="0086584E"/>
    <w:rsid w:val="008659E3"/>
    <w:rsid w:val="00865B00"/>
    <w:rsid w:val="00865B5D"/>
    <w:rsid w:val="00865B7B"/>
    <w:rsid w:val="00865C3A"/>
    <w:rsid w:val="00865CAA"/>
    <w:rsid w:val="00865CE7"/>
    <w:rsid w:val="00865DF4"/>
    <w:rsid w:val="00865F32"/>
    <w:rsid w:val="00865FC8"/>
    <w:rsid w:val="00866011"/>
    <w:rsid w:val="0086611E"/>
    <w:rsid w:val="00866135"/>
    <w:rsid w:val="00866145"/>
    <w:rsid w:val="008661D0"/>
    <w:rsid w:val="008661FA"/>
    <w:rsid w:val="00866230"/>
    <w:rsid w:val="00866352"/>
    <w:rsid w:val="00866384"/>
    <w:rsid w:val="008663F1"/>
    <w:rsid w:val="0086644C"/>
    <w:rsid w:val="00866484"/>
    <w:rsid w:val="008665A7"/>
    <w:rsid w:val="00866602"/>
    <w:rsid w:val="0086662C"/>
    <w:rsid w:val="0086666B"/>
    <w:rsid w:val="0086668F"/>
    <w:rsid w:val="008666F2"/>
    <w:rsid w:val="008667CA"/>
    <w:rsid w:val="00866866"/>
    <w:rsid w:val="008669AF"/>
    <w:rsid w:val="008669D5"/>
    <w:rsid w:val="00866AC6"/>
    <w:rsid w:val="00866B14"/>
    <w:rsid w:val="00866B9C"/>
    <w:rsid w:val="00866C6F"/>
    <w:rsid w:val="00866CAB"/>
    <w:rsid w:val="00866DB4"/>
    <w:rsid w:val="00866DD6"/>
    <w:rsid w:val="00866E0C"/>
    <w:rsid w:val="00866ECD"/>
    <w:rsid w:val="00866EEF"/>
    <w:rsid w:val="00866F98"/>
    <w:rsid w:val="008670B0"/>
    <w:rsid w:val="008670C6"/>
    <w:rsid w:val="008670D9"/>
    <w:rsid w:val="008670FA"/>
    <w:rsid w:val="00867141"/>
    <w:rsid w:val="00867147"/>
    <w:rsid w:val="0086715C"/>
    <w:rsid w:val="00867203"/>
    <w:rsid w:val="00867225"/>
    <w:rsid w:val="00867286"/>
    <w:rsid w:val="00867304"/>
    <w:rsid w:val="00867335"/>
    <w:rsid w:val="008674A8"/>
    <w:rsid w:val="00867527"/>
    <w:rsid w:val="00867534"/>
    <w:rsid w:val="00867577"/>
    <w:rsid w:val="00867585"/>
    <w:rsid w:val="00867591"/>
    <w:rsid w:val="008676AD"/>
    <w:rsid w:val="00867746"/>
    <w:rsid w:val="00867791"/>
    <w:rsid w:val="00867995"/>
    <w:rsid w:val="008679A8"/>
    <w:rsid w:val="008679B6"/>
    <w:rsid w:val="008679F0"/>
    <w:rsid w:val="00867A09"/>
    <w:rsid w:val="00867A8C"/>
    <w:rsid w:val="00867BD1"/>
    <w:rsid w:val="00867C4D"/>
    <w:rsid w:val="00867D2A"/>
    <w:rsid w:val="00867D2F"/>
    <w:rsid w:val="00867D67"/>
    <w:rsid w:val="00867DAA"/>
    <w:rsid w:val="00867DD1"/>
    <w:rsid w:val="00867DF9"/>
    <w:rsid w:val="00867E1E"/>
    <w:rsid w:val="00867FF1"/>
    <w:rsid w:val="0087015D"/>
    <w:rsid w:val="008701D7"/>
    <w:rsid w:val="0087026D"/>
    <w:rsid w:val="008702C1"/>
    <w:rsid w:val="008702CC"/>
    <w:rsid w:val="0087031F"/>
    <w:rsid w:val="008703BF"/>
    <w:rsid w:val="00870487"/>
    <w:rsid w:val="0087051C"/>
    <w:rsid w:val="0087054C"/>
    <w:rsid w:val="00870579"/>
    <w:rsid w:val="00870A6D"/>
    <w:rsid w:val="00870B1B"/>
    <w:rsid w:val="00870BED"/>
    <w:rsid w:val="00870BFA"/>
    <w:rsid w:val="00870DCA"/>
    <w:rsid w:val="00870DD8"/>
    <w:rsid w:val="00870DE3"/>
    <w:rsid w:val="00870EC4"/>
    <w:rsid w:val="00870ED2"/>
    <w:rsid w:val="00870F10"/>
    <w:rsid w:val="00870F3B"/>
    <w:rsid w:val="00870F73"/>
    <w:rsid w:val="00870F81"/>
    <w:rsid w:val="00871060"/>
    <w:rsid w:val="00871114"/>
    <w:rsid w:val="00871156"/>
    <w:rsid w:val="008711B8"/>
    <w:rsid w:val="008711E5"/>
    <w:rsid w:val="0087125F"/>
    <w:rsid w:val="00871459"/>
    <w:rsid w:val="008714A0"/>
    <w:rsid w:val="008714AA"/>
    <w:rsid w:val="0087158D"/>
    <w:rsid w:val="00871596"/>
    <w:rsid w:val="00871612"/>
    <w:rsid w:val="00871628"/>
    <w:rsid w:val="00871865"/>
    <w:rsid w:val="00871892"/>
    <w:rsid w:val="00871A51"/>
    <w:rsid w:val="00871A6C"/>
    <w:rsid w:val="00871AC0"/>
    <w:rsid w:val="00871AF7"/>
    <w:rsid w:val="00871B01"/>
    <w:rsid w:val="00871B6D"/>
    <w:rsid w:val="00871BEB"/>
    <w:rsid w:val="00871BEF"/>
    <w:rsid w:val="00871BF5"/>
    <w:rsid w:val="00871C13"/>
    <w:rsid w:val="00871C3B"/>
    <w:rsid w:val="00871D6C"/>
    <w:rsid w:val="00871E02"/>
    <w:rsid w:val="00871EF1"/>
    <w:rsid w:val="00871F22"/>
    <w:rsid w:val="00871F67"/>
    <w:rsid w:val="00871F84"/>
    <w:rsid w:val="00872059"/>
    <w:rsid w:val="0087207D"/>
    <w:rsid w:val="008720A2"/>
    <w:rsid w:val="008720EE"/>
    <w:rsid w:val="008720FB"/>
    <w:rsid w:val="00872124"/>
    <w:rsid w:val="0087214A"/>
    <w:rsid w:val="008721FB"/>
    <w:rsid w:val="00872606"/>
    <w:rsid w:val="0087276B"/>
    <w:rsid w:val="008727DF"/>
    <w:rsid w:val="00872858"/>
    <w:rsid w:val="008728EE"/>
    <w:rsid w:val="00872973"/>
    <w:rsid w:val="008729BA"/>
    <w:rsid w:val="00872A3F"/>
    <w:rsid w:val="00872A6F"/>
    <w:rsid w:val="00872A96"/>
    <w:rsid w:val="00872AD3"/>
    <w:rsid w:val="00872B76"/>
    <w:rsid w:val="00872CB0"/>
    <w:rsid w:val="00872CFA"/>
    <w:rsid w:val="00872D84"/>
    <w:rsid w:val="00872DCD"/>
    <w:rsid w:val="00872F0B"/>
    <w:rsid w:val="00872F49"/>
    <w:rsid w:val="00872FA3"/>
    <w:rsid w:val="00872FDE"/>
    <w:rsid w:val="0087317E"/>
    <w:rsid w:val="00873250"/>
    <w:rsid w:val="00873264"/>
    <w:rsid w:val="00873487"/>
    <w:rsid w:val="008734C9"/>
    <w:rsid w:val="0087353F"/>
    <w:rsid w:val="00873647"/>
    <w:rsid w:val="00873748"/>
    <w:rsid w:val="0087379C"/>
    <w:rsid w:val="0087380C"/>
    <w:rsid w:val="0087386A"/>
    <w:rsid w:val="0087393B"/>
    <w:rsid w:val="00873A62"/>
    <w:rsid w:val="00873A86"/>
    <w:rsid w:val="00873C2E"/>
    <w:rsid w:val="00873E40"/>
    <w:rsid w:val="00873E78"/>
    <w:rsid w:val="00873ED8"/>
    <w:rsid w:val="00873F85"/>
    <w:rsid w:val="00873FFB"/>
    <w:rsid w:val="00874053"/>
    <w:rsid w:val="008740F8"/>
    <w:rsid w:val="008742E0"/>
    <w:rsid w:val="00874347"/>
    <w:rsid w:val="0087436C"/>
    <w:rsid w:val="00874380"/>
    <w:rsid w:val="00874416"/>
    <w:rsid w:val="00874577"/>
    <w:rsid w:val="008745D5"/>
    <w:rsid w:val="008745D8"/>
    <w:rsid w:val="00874608"/>
    <w:rsid w:val="00874613"/>
    <w:rsid w:val="00874733"/>
    <w:rsid w:val="0087473A"/>
    <w:rsid w:val="0087478D"/>
    <w:rsid w:val="008748A5"/>
    <w:rsid w:val="00874918"/>
    <w:rsid w:val="0087497C"/>
    <w:rsid w:val="00874A0F"/>
    <w:rsid w:val="00874C5C"/>
    <w:rsid w:val="00874C72"/>
    <w:rsid w:val="00874C75"/>
    <w:rsid w:val="00874C86"/>
    <w:rsid w:val="00874C8B"/>
    <w:rsid w:val="00874CBC"/>
    <w:rsid w:val="00874D7E"/>
    <w:rsid w:val="00874E34"/>
    <w:rsid w:val="00874E73"/>
    <w:rsid w:val="00874EB3"/>
    <w:rsid w:val="00874EF3"/>
    <w:rsid w:val="00875015"/>
    <w:rsid w:val="00875018"/>
    <w:rsid w:val="00875092"/>
    <w:rsid w:val="00875169"/>
    <w:rsid w:val="008752EB"/>
    <w:rsid w:val="008752FF"/>
    <w:rsid w:val="008753B5"/>
    <w:rsid w:val="0087557A"/>
    <w:rsid w:val="008755B2"/>
    <w:rsid w:val="008755F1"/>
    <w:rsid w:val="00875693"/>
    <w:rsid w:val="00875713"/>
    <w:rsid w:val="00875957"/>
    <w:rsid w:val="008759F2"/>
    <w:rsid w:val="00875A2C"/>
    <w:rsid w:val="00875A97"/>
    <w:rsid w:val="00875ACA"/>
    <w:rsid w:val="00875BAB"/>
    <w:rsid w:val="00875C7A"/>
    <w:rsid w:val="00875CCB"/>
    <w:rsid w:val="00875D58"/>
    <w:rsid w:val="00875DE6"/>
    <w:rsid w:val="00875E0C"/>
    <w:rsid w:val="00875ED9"/>
    <w:rsid w:val="00875F22"/>
    <w:rsid w:val="00875F8B"/>
    <w:rsid w:val="00876251"/>
    <w:rsid w:val="00876270"/>
    <w:rsid w:val="00876289"/>
    <w:rsid w:val="00876313"/>
    <w:rsid w:val="008763DF"/>
    <w:rsid w:val="0087645B"/>
    <w:rsid w:val="0087646A"/>
    <w:rsid w:val="00876499"/>
    <w:rsid w:val="0087649E"/>
    <w:rsid w:val="00876540"/>
    <w:rsid w:val="00876583"/>
    <w:rsid w:val="008765EF"/>
    <w:rsid w:val="00876751"/>
    <w:rsid w:val="00876774"/>
    <w:rsid w:val="0087677D"/>
    <w:rsid w:val="0087677E"/>
    <w:rsid w:val="008767A2"/>
    <w:rsid w:val="008767C5"/>
    <w:rsid w:val="008767D5"/>
    <w:rsid w:val="00876845"/>
    <w:rsid w:val="00876994"/>
    <w:rsid w:val="008769F6"/>
    <w:rsid w:val="00876A17"/>
    <w:rsid w:val="00876B4F"/>
    <w:rsid w:val="00876B61"/>
    <w:rsid w:val="00876BBD"/>
    <w:rsid w:val="00876BE7"/>
    <w:rsid w:val="00876C26"/>
    <w:rsid w:val="00876C9B"/>
    <w:rsid w:val="00876CF7"/>
    <w:rsid w:val="00876D6B"/>
    <w:rsid w:val="00876DB2"/>
    <w:rsid w:val="00876DCF"/>
    <w:rsid w:val="00876DE9"/>
    <w:rsid w:val="00876E48"/>
    <w:rsid w:val="00876EB6"/>
    <w:rsid w:val="00876ECC"/>
    <w:rsid w:val="00876FB8"/>
    <w:rsid w:val="00877040"/>
    <w:rsid w:val="008770C4"/>
    <w:rsid w:val="0087712F"/>
    <w:rsid w:val="008772FB"/>
    <w:rsid w:val="008774AF"/>
    <w:rsid w:val="008775D9"/>
    <w:rsid w:val="008776DB"/>
    <w:rsid w:val="008776F3"/>
    <w:rsid w:val="00877710"/>
    <w:rsid w:val="008777B6"/>
    <w:rsid w:val="008778A9"/>
    <w:rsid w:val="008778DF"/>
    <w:rsid w:val="008778EA"/>
    <w:rsid w:val="008779BB"/>
    <w:rsid w:val="008779BD"/>
    <w:rsid w:val="00877B71"/>
    <w:rsid w:val="00877C16"/>
    <w:rsid w:val="00877D02"/>
    <w:rsid w:val="00877D32"/>
    <w:rsid w:val="00877DE5"/>
    <w:rsid w:val="00877DE9"/>
    <w:rsid w:val="00877E57"/>
    <w:rsid w:val="00877E6C"/>
    <w:rsid w:val="00877E80"/>
    <w:rsid w:val="00877E94"/>
    <w:rsid w:val="00877EC8"/>
    <w:rsid w:val="00877F60"/>
    <w:rsid w:val="00877FC0"/>
    <w:rsid w:val="0088000A"/>
    <w:rsid w:val="00880018"/>
    <w:rsid w:val="00880030"/>
    <w:rsid w:val="00880048"/>
    <w:rsid w:val="008800DC"/>
    <w:rsid w:val="008801D7"/>
    <w:rsid w:val="008802EE"/>
    <w:rsid w:val="008804D1"/>
    <w:rsid w:val="008804DE"/>
    <w:rsid w:val="008805DA"/>
    <w:rsid w:val="008805DD"/>
    <w:rsid w:val="0088061B"/>
    <w:rsid w:val="00880657"/>
    <w:rsid w:val="0088065E"/>
    <w:rsid w:val="008806AC"/>
    <w:rsid w:val="008806DA"/>
    <w:rsid w:val="008807D9"/>
    <w:rsid w:val="00880810"/>
    <w:rsid w:val="00880819"/>
    <w:rsid w:val="00880824"/>
    <w:rsid w:val="008808C2"/>
    <w:rsid w:val="00880916"/>
    <w:rsid w:val="00880A22"/>
    <w:rsid w:val="00880A30"/>
    <w:rsid w:val="00880AC2"/>
    <w:rsid w:val="00880B13"/>
    <w:rsid w:val="00880B76"/>
    <w:rsid w:val="00880BB7"/>
    <w:rsid w:val="00880BB8"/>
    <w:rsid w:val="00880C50"/>
    <w:rsid w:val="00880DA9"/>
    <w:rsid w:val="00880DC3"/>
    <w:rsid w:val="00880E06"/>
    <w:rsid w:val="00880E3B"/>
    <w:rsid w:val="00880E99"/>
    <w:rsid w:val="00880F22"/>
    <w:rsid w:val="008810EE"/>
    <w:rsid w:val="00881182"/>
    <w:rsid w:val="00881193"/>
    <w:rsid w:val="008811B1"/>
    <w:rsid w:val="00881301"/>
    <w:rsid w:val="008813BB"/>
    <w:rsid w:val="0088140E"/>
    <w:rsid w:val="00881468"/>
    <w:rsid w:val="00881498"/>
    <w:rsid w:val="00881586"/>
    <w:rsid w:val="008816BC"/>
    <w:rsid w:val="00881756"/>
    <w:rsid w:val="0088182D"/>
    <w:rsid w:val="008818A8"/>
    <w:rsid w:val="00881961"/>
    <w:rsid w:val="00881967"/>
    <w:rsid w:val="008819A1"/>
    <w:rsid w:val="00881A40"/>
    <w:rsid w:val="00881A4F"/>
    <w:rsid w:val="00881AA3"/>
    <w:rsid w:val="00881B0E"/>
    <w:rsid w:val="00881BCD"/>
    <w:rsid w:val="00881CE8"/>
    <w:rsid w:val="00881D0A"/>
    <w:rsid w:val="00881DA9"/>
    <w:rsid w:val="00881DE2"/>
    <w:rsid w:val="00881E51"/>
    <w:rsid w:val="00881E6A"/>
    <w:rsid w:val="00881ED6"/>
    <w:rsid w:val="00881ED9"/>
    <w:rsid w:val="00881F60"/>
    <w:rsid w:val="00881F8B"/>
    <w:rsid w:val="0088200E"/>
    <w:rsid w:val="008820D9"/>
    <w:rsid w:val="0088210A"/>
    <w:rsid w:val="008821E5"/>
    <w:rsid w:val="008821ED"/>
    <w:rsid w:val="0088227C"/>
    <w:rsid w:val="008822A4"/>
    <w:rsid w:val="0088237A"/>
    <w:rsid w:val="008823A9"/>
    <w:rsid w:val="008823DA"/>
    <w:rsid w:val="00882485"/>
    <w:rsid w:val="008824C8"/>
    <w:rsid w:val="008824F2"/>
    <w:rsid w:val="00882513"/>
    <w:rsid w:val="00882528"/>
    <w:rsid w:val="008825D1"/>
    <w:rsid w:val="00882628"/>
    <w:rsid w:val="00882638"/>
    <w:rsid w:val="00882661"/>
    <w:rsid w:val="0088274D"/>
    <w:rsid w:val="0088279D"/>
    <w:rsid w:val="008827BB"/>
    <w:rsid w:val="008828C2"/>
    <w:rsid w:val="008828F0"/>
    <w:rsid w:val="0088295C"/>
    <w:rsid w:val="00882A0B"/>
    <w:rsid w:val="00882A68"/>
    <w:rsid w:val="00882AB4"/>
    <w:rsid w:val="00882AE5"/>
    <w:rsid w:val="00882B01"/>
    <w:rsid w:val="00882B11"/>
    <w:rsid w:val="00882B94"/>
    <w:rsid w:val="00882BFB"/>
    <w:rsid w:val="00882C20"/>
    <w:rsid w:val="00882C49"/>
    <w:rsid w:val="00882CD4"/>
    <w:rsid w:val="00882D6A"/>
    <w:rsid w:val="00882EC8"/>
    <w:rsid w:val="00882FE8"/>
    <w:rsid w:val="0088303B"/>
    <w:rsid w:val="00883096"/>
    <w:rsid w:val="00883103"/>
    <w:rsid w:val="008831CF"/>
    <w:rsid w:val="00883272"/>
    <w:rsid w:val="00883282"/>
    <w:rsid w:val="008832A0"/>
    <w:rsid w:val="0088333F"/>
    <w:rsid w:val="008833C3"/>
    <w:rsid w:val="008833F3"/>
    <w:rsid w:val="00883460"/>
    <w:rsid w:val="008834B2"/>
    <w:rsid w:val="008835D1"/>
    <w:rsid w:val="00883737"/>
    <w:rsid w:val="00883994"/>
    <w:rsid w:val="00883B5B"/>
    <w:rsid w:val="00883C09"/>
    <w:rsid w:val="00883C5C"/>
    <w:rsid w:val="00883CB0"/>
    <w:rsid w:val="00883E48"/>
    <w:rsid w:val="00883F9B"/>
    <w:rsid w:val="00884095"/>
    <w:rsid w:val="0088414C"/>
    <w:rsid w:val="008841B9"/>
    <w:rsid w:val="008841EA"/>
    <w:rsid w:val="00884230"/>
    <w:rsid w:val="00884268"/>
    <w:rsid w:val="0088428A"/>
    <w:rsid w:val="00884324"/>
    <w:rsid w:val="00884365"/>
    <w:rsid w:val="00884369"/>
    <w:rsid w:val="00884406"/>
    <w:rsid w:val="008844F1"/>
    <w:rsid w:val="0088454C"/>
    <w:rsid w:val="0088464C"/>
    <w:rsid w:val="0088472E"/>
    <w:rsid w:val="00884782"/>
    <w:rsid w:val="008847CE"/>
    <w:rsid w:val="0088480B"/>
    <w:rsid w:val="0088480D"/>
    <w:rsid w:val="00884822"/>
    <w:rsid w:val="008848D9"/>
    <w:rsid w:val="00884916"/>
    <w:rsid w:val="00884960"/>
    <w:rsid w:val="00884980"/>
    <w:rsid w:val="008849B8"/>
    <w:rsid w:val="008849CC"/>
    <w:rsid w:val="00884A2B"/>
    <w:rsid w:val="00884A45"/>
    <w:rsid w:val="00884A6D"/>
    <w:rsid w:val="00884A86"/>
    <w:rsid w:val="00884A9D"/>
    <w:rsid w:val="00884B3A"/>
    <w:rsid w:val="00884BC4"/>
    <w:rsid w:val="00884C19"/>
    <w:rsid w:val="00884C2A"/>
    <w:rsid w:val="00884C33"/>
    <w:rsid w:val="00884C8A"/>
    <w:rsid w:val="00884CA2"/>
    <w:rsid w:val="00884CB6"/>
    <w:rsid w:val="00884CC0"/>
    <w:rsid w:val="00884D17"/>
    <w:rsid w:val="00884FAA"/>
    <w:rsid w:val="00884FE3"/>
    <w:rsid w:val="008850DD"/>
    <w:rsid w:val="00885159"/>
    <w:rsid w:val="008853E0"/>
    <w:rsid w:val="00885409"/>
    <w:rsid w:val="00885475"/>
    <w:rsid w:val="008854D4"/>
    <w:rsid w:val="008854D6"/>
    <w:rsid w:val="00885592"/>
    <w:rsid w:val="0088561B"/>
    <w:rsid w:val="00885632"/>
    <w:rsid w:val="00885654"/>
    <w:rsid w:val="008856D6"/>
    <w:rsid w:val="0088572C"/>
    <w:rsid w:val="00885902"/>
    <w:rsid w:val="00885928"/>
    <w:rsid w:val="00885A17"/>
    <w:rsid w:val="00885A3A"/>
    <w:rsid w:val="00885A69"/>
    <w:rsid w:val="00885B44"/>
    <w:rsid w:val="00885BCD"/>
    <w:rsid w:val="00885C5D"/>
    <w:rsid w:val="00885C70"/>
    <w:rsid w:val="00885D1F"/>
    <w:rsid w:val="00885E04"/>
    <w:rsid w:val="00885EB5"/>
    <w:rsid w:val="00885EC5"/>
    <w:rsid w:val="00885F62"/>
    <w:rsid w:val="00886056"/>
    <w:rsid w:val="008860D3"/>
    <w:rsid w:val="008860DA"/>
    <w:rsid w:val="0088615D"/>
    <w:rsid w:val="008861C5"/>
    <w:rsid w:val="008862C9"/>
    <w:rsid w:val="008863AF"/>
    <w:rsid w:val="008863F4"/>
    <w:rsid w:val="0088645A"/>
    <w:rsid w:val="00886561"/>
    <w:rsid w:val="00886581"/>
    <w:rsid w:val="00886600"/>
    <w:rsid w:val="008866C7"/>
    <w:rsid w:val="008867B8"/>
    <w:rsid w:val="00886847"/>
    <w:rsid w:val="008868FA"/>
    <w:rsid w:val="00886A0C"/>
    <w:rsid w:val="00886A4B"/>
    <w:rsid w:val="00886A94"/>
    <w:rsid w:val="00886AA4"/>
    <w:rsid w:val="00886B52"/>
    <w:rsid w:val="00886B6C"/>
    <w:rsid w:val="00886B97"/>
    <w:rsid w:val="00886BFD"/>
    <w:rsid w:val="00886C21"/>
    <w:rsid w:val="00886C5B"/>
    <w:rsid w:val="00886D04"/>
    <w:rsid w:val="00886D44"/>
    <w:rsid w:val="00886D64"/>
    <w:rsid w:val="00886E20"/>
    <w:rsid w:val="00886F2E"/>
    <w:rsid w:val="0088709A"/>
    <w:rsid w:val="00887143"/>
    <w:rsid w:val="00887162"/>
    <w:rsid w:val="008871EB"/>
    <w:rsid w:val="00887220"/>
    <w:rsid w:val="00887249"/>
    <w:rsid w:val="008873BD"/>
    <w:rsid w:val="00887403"/>
    <w:rsid w:val="0088742C"/>
    <w:rsid w:val="0088742E"/>
    <w:rsid w:val="0088746A"/>
    <w:rsid w:val="008874BD"/>
    <w:rsid w:val="008874DF"/>
    <w:rsid w:val="00887500"/>
    <w:rsid w:val="0088755B"/>
    <w:rsid w:val="00887572"/>
    <w:rsid w:val="00887837"/>
    <w:rsid w:val="00887916"/>
    <w:rsid w:val="00887963"/>
    <w:rsid w:val="00887A90"/>
    <w:rsid w:val="00887AAB"/>
    <w:rsid w:val="00887AAC"/>
    <w:rsid w:val="00887B26"/>
    <w:rsid w:val="00887C18"/>
    <w:rsid w:val="00887C8D"/>
    <w:rsid w:val="00887C90"/>
    <w:rsid w:val="00887F80"/>
    <w:rsid w:val="00887FAD"/>
    <w:rsid w:val="00887FBA"/>
    <w:rsid w:val="0089007C"/>
    <w:rsid w:val="008900CA"/>
    <w:rsid w:val="008900D2"/>
    <w:rsid w:val="00890177"/>
    <w:rsid w:val="008901DB"/>
    <w:rsid w:val="008901E0"/>
    <w:rsid w:val="008901E3"/>
    <w:rsid w:val="00890257"/>
    <w:rsid w:val="0089030D"/>
    <w:rsid w:val="00890315"/>
    <w:rsid w:val="00890344"/>
    <w:rsid w:val="00890440"/>
    <w:rsid w:val="008904B9"/>
    <w:rsid w:val="00890552"/>
    <w:rsid w:val="00890553"/>
    <w:rsid w:val="008906F3"/>
    <w:rsid w:val="0089074A"/>
    <w:rsid w:val="00890861"/>
    <w:rsid w:val="008908CD"/>
    <w:rsid w:val="00890932"/>
    <w:rsid w:val="00890A34"/>
    <w:rsid w:val="00890A73"/>
    <w:rsid w:val="00890A91"/>
    <w:rsid w:val="00890ABE"/>
    <w:rsid w:val="00890BCB"/>
    <w:rsid w:val="00890C9C"/>
    <w:rsid w:val="00890CEC"/>
    <w:rsid w:val="00890D5C"/>
    <w:rsid w:val="00890DDB"/>
    <w:rsid w:val="00890E61"/>
    <w:rsid w:val="00890ED1"/>
    <w:rsid w:val="00890F47"/>
    <w:rsid w:val="0089109A"/>
    <w:rsid w:val="008910F0"/>
    <w:rsid w:val="008911EA"/>
    <w:rsid w:val="0089124D"/>
    <w:rsid w:val="00891260"/>
    <w:rsid w:val="0089126B"/>
    <w:rsid w:val="00891331"/>
    <w:rsid w:val="00891439"/>
    <w:rsid w:val="0089149F"/>
    <w:rsid w:val="0089164E"/>
    <w:rsid w:val="00891673"/>
    <w:rsid w:val="008916E4"/>
    <w:rsid w:val="0089178D"/>
    <w:rsid w:val="008917D6"/>
    <w:rsid w:val="008918B0"/>
    <w:rsid w:val="008918C9"/>
    <w:rsid w:val="00891924"/>
    <w:rsid w:val="00891ACE"/>
    <w:rsid w:val="00891B7B"/>
    <w:rsid w:val="00891C88"/>
    <w:rsid w:val="00891CCC"/>
    <w:rsid w:val="00891D3F"/>
    <w:rsid w:val="00891F13"/>
    <w:rsid w:val="00891F7A"/>
    <w:rsid w:val="00891F8A"/>
    <w:rsid w:val="0089202D"/>
    <w:rsid w:val="00892075"/>
    <w:rsid w:val="00892126"/>
    <w:rsid w:val="00892184"/>
    <w:rsid w:val="0089218A"/>
    <w:rsid w:val="008921FF"/>
    <w:rsid w:val="00892239"/>
    <w:rsid w:val="00892260"/>
    <w:rsid w:val="00892291"/>
    <w:rsid w:val="00892320"/>
    <w:rsid w:val="00892379"/>
    <w:rsid w:val="008923A2"/>
    <w:rsid w:val="008923CD"/>
    <w:rsid w:val="0089246B"/>
    <w:rsid w:val="008924D0"/>
    <w:rsid w:val="00892515"/>
    <w:rsid w:val="00892537"/>
    <w:rsid w:val="0089253B"/>
    <w:rsid w:val="008925F0"/>
    <w:rsid w:val="0089263A"/>
    <w:rsid w:val="008926BF"/>
    <w:rsid w:val="008927EA"/>
    <w:rsid w:val="008927F1"/>
    <w:rsid w:val="008928E0"/>
    <w:rsid w:val="008929BA"/>
    <w:rsid w:val="00892B2D"/>
    <w:rsid w:val="00892C98"/>
    <w:rsid w:val="00892CE5"/>
    <w:rsid w:val="00892D0F"/>
    <w:rsid w:val="00892D80"/>
    <w:rsid w:val="00892DA2"/>
    <w:rsid w:val="00892DD1"/>
    <w:rsid w:val="00892ED3"/>
    <w:rsid w:val="00892EEC"/>
    <w:rsid w:val="00892F9A"/>
    <w:rsid w:val="00893048"/>
    <w:rsid w:val="0089309A"/>
    <w:rsid w:val="008930AB"/>
    <w:rsid w:val="008930DA"/>
    <w:rsid w:val="00893136"/>
    <w:rsid w:val="0089314A"/>
    <w:rsid w:val="00893229"/>
    <w:rsid w:val="00893304"/>
    <w:rsid w:val="00893378"/>
    <w:rsid w:val="008933DE"/>
    <w:rsid w:val="00893421"/>
    <w:rsid w:val="008934B7"/>
    <w:rsid w:val="00893545"/>
    <w:rsid w:val="00893561"/>
    <w:rsid w:val="00893568"/>
    <w:rsid w:val="008935DE"/>
    <w:rsid w:val="008936BE"/>
    <w:rsid w:val="00893785"/>
    <w:rsid w:val="00893945"/>
    <w:rsid w:val="00893972"/>
    <w:rsid w:val="00893980"/>
    <w:rsid w:val="008939EE"/>
    <w:rsid w:val="008939F1"/>
    <w:rsid w:val="008939F6"/>
    <w:rsid w:val="00893A23"/>
    <w:rsid w:val="00893A5E"/>
    <w:rsid w:val="00893C1F"/>
    <w:rsid w:val="00893C75"/>
    <w:rsid w:val="00893C92"/>
    <w:rsid w:val="00893D33"/>
    <w:rsid w:val="00893DF0"/>
    <w:rsid w:val="00893F3C"/>
    <w:rsid w:val="00893FE2"/>
    <w:rsid w:val="0089405F"/>
    <w:rsid w:val="0089406A"/>
    <w:rsid w:val="008940A6"/>
    <w:rsid w:val="0089410E"/>
    <w:rsid w:val="00894115"/>
    <w:rsid w:val="00894192"/>
    <w:rsid w:val="00894218"/>
    <w:rsid w:val="00894228"/>
    <w:rsid w:val="00894294"/>
    <w:rsid w:val="00894360"/>
    <w:rsid w:val="008943AC"/>
    <w:rsid w:val="00894432"/>
    <w:rsid w:val="0089445A"/>
    <w:rsid w:val="0089448F"/>
    <w:rsid w:val="00894524"/>
    <w:rsid w:val="00894586"/>
    <w:rsid w:val="00894591"/>
    <w:rsid w:val="008945FB"/>
    <w:rsid w:val="00894611"/>
    <w:rsid w:val="0089462B"/>
    <w:rsid w:val="0089470D"/>
    <w:rsid w:val="0089476E"/>
    <w:rsid w:val="008947F0"/>
    <w:rsid w:val="008948FC"/>
    <w:rsid w:val="00894988"/>
    <w:rsid w:val="008949BC"/>
    <w:rsid w:val="00894AF6"/>
    <w:rsid w:val="00894B43"/>
    <w:rsid w:val="00894B7A"/>
    <w:rsid w:val="00894BC5"/>
    <w:rsid w:val="00894C03"/>
    <w:rsid w:val="00894C64"/>
    <w:rsid w:val="00894C93"/>
    <w:rsid w:val="00894CBF"/>
    <w:rsid w:val="00894DE5"/>
    <w:rsid w:val="00894DF3"/>
    <w:rsid w:val="00894E28"/>
    <w:rsid w:val="00894EA5"/>
    <w:rsid w:val="00894EB3"/>
    <w:rsid w:val="00894EB9"/>
    <w:rsid w:val="00895036"/>
    <w:rsid w:val="00895061"/>
    <w:rsid w:val="00895097"/>
    <w:rsid w:val="008950BC"/>
    <w:rsid w:val="008950CD"/>
    <w:rsid w:val="008951D2"/>
    <w:rsid w:val="00895247"/>
    <w:rsid w:val="0089538D"/>
    <w:rsid w:val="00895449"/>
    <w:rsid w:val="00895562"/>
    <w:rsid w:val="008955B4"/>
    <w:rsid w:val="00895615"/>
    <w:rsid w:val="008956AA"/>
    <w:rsid w:val="008956C0"/>
    <w:rsid w:val="0089571A"/>
    <w:rsid w:val="00895955"/>
    <w:rsid w:val="008959A6"/>
    <w:rsid w:val="00895A0E"/>
    <w:rsid w:val="00895BA4"/>
    <w:rsid w:val="00895BF4"/>
    <w:rsid w:val="00895C0B"/>
    <w:rsid w:val="00895D62"/>
    <w:rsid w:val="00895D83"/>
    <w:rsid w:val="00895D87"/>
    <w:rsid w:val="00895DE5"/>
    <w:rsid w:val="00895E1D"/>
    <w:rsid w:val="00895E93"/>
    <w:rsid w:val="00895EA8"/>
    <w:rsid w:val="00895EF4"/>
    <w:rsid w:val="00895F53"/>
    <w:rsid w:val="0089605D"/>
    <w:rsid w:val="00896075"/>
    <w:rsid w:val="008961A1"/>
    <w:rsid w:val="008961C1"/>
    <w:rsid w:val="008961E6"/>
    <w:rsid w:val="00896222"/>
    <w:rsid w:val="00896262"/>
    <w:rsid w:val="008962C1"/>
    <w:rsid w:val="008962FA"/>
    <w:rsid w:val="00896317"/>
    <w:rsid w:val="00896335"/>
    <w:rsid w:val="008963D9"/>
    <w:rsid w:val="00896499"/>
    <w:rsid w:val="00896592"/>
    <w:rsid w:val="0089662C"/>
    <w:rsid w:val="008966AA"/>
    <w:rsid w:val="008966F6"/>
    <w:rsid w:val="00896792"/>
    <w:rsid w:val="008967F3"/>
    <w:rsid w:val="00896861"/>
    <w:rsid w:val="008969EF"/>
    <w:rsid w:val="00896A1D"/>
    <w:rsid w:val="00896A55"/>
    <w:rsid w:val="00896AB9"/>
    <w:rsid w:val="00896BCD"/>
    <w:rsid w:val="00896C3C"/>
    <w:rsid w:val="00896C81"/>
    <w:rsid w:val="00896D38"/>
    <w:rsid w:val="00896DC5"/>
    <w:rsid w:val="00896DD5"/>
    <w:rsid w:val="00896EA5"/>
    <w:rsid w:val="00896FBC"/>
    <w:rsid w:val="00896FD3"/>
    <w:rsid w:val="008970CA"/>
    <w:rsid w:val="00897127"/>
    <w:rsid w:val="0089719A"/>
    <w:rsid w:val="00897222"/>
    <w:rsid w:val="008973B6"/>
    <w:rsid w:val="008973FE"/>
    <w:rsid w:val="0089746C"/>
    <w:rsid w:val="008974B8"/>
    <w:rsid w:val="0089751F"/>
    <w:rsid w:val="0089760C"/>
    <w:rsid w:val="00897714"/>
    <w:rsid w:val="00897793"/>
    <w:rsid w:val="008978F3"/>
    <w:rsid w:val="008979FD"/>
    <w:rsid w:val="00897A38"/>
    <w:rsid w:val="00897AF6"/>
    <w:rsid w:val="00897C9D"/>
    <w:rsid w:val="00897D15"/>
    <w:rsid w:val="00897D4E"/>
    <w:rsid w:val="00897E20"/>
    <w:rsid w:val="00898E2F"/>
    <w:rsid w:val="008A00BA"/>
    <w:rsid w:val="008A01F1"/>
    <w:rsid w:val="008A0262"/>
    <w:rsid w:val="008A0286"/>
    <w:rsid w:val="008A031B"/>
    <w:rsid w:val="008A038E"/>
    <w:rsid w:val="008A04AF"/>
    <w:rsid w:val="008A056B"/>
    <w:rsid w:val="008A058E"/>
    <w:rsid w:val="008A05A5"/>
    <w:rsid w:val="008A05B9"/>
    <w:rsid w:val="008A0600"/>
    <w:rsid w:val="008A080F"/>
    <w:rsid w:val="008A08C5"/>
    <w:rsid w:val="008A09F9"/>
    <w:rsid w:val="008A0A27"/>
    <w:rsid w:val="008A0B23"/>
    <w:rsid w:val="008A0B3E"/>
    <w:rsid w:val="008A0B86"/>
    <w:rsid w:val="008A0B9A"/>
    <w:rsid w:val="008A0C15"/>
    <w:rsid w:val="008A0C95"/>
    <w:rsid w:val="008A0DC3"/>
    <w:rsid w:val="008A0DDC"/>
    <w:rsid w:val="008A0DE7"/>
    <w:rsid w:val="008A0DF7"/>
    <w:rsid w:val="008A0E76"/>
    <w:rsid w:val="008A0FD0"/>
    <w:rsid w:val="008A0FD6"/>
    <w:rsid w:val="008A101A"/>
    <w:rsid w:val="008A110D"/>
    <w:rsid w:val="008A1146"/>
    <w:rsid w:val="008A1185"/>
    <w:rsid w:val="008A11BB"/>
    <w:rsid w:val="008A120C"/>
    <w:rsid w:val="008A129B"/>
    <w:rsid w:val="008A1304"/>
    <w:rsid w:val="008A1339"/>
    <w:rsid w:val="008A13A6"/>
    <w:rsid w:val="008A13C0"/>
    <w:rsid w:val="008A1411"/>
    <w:rsid w:val="008A1488"/>
    <w:rsid w:val="008A14F0"/>
    <w:rsid w:val="008A1632"/>
    <w:rsid w:val="008A1644"/>
    <w:rsid w:val="008A1713"/>
    <w:rsid w:val="008A173E"/>
    <w:rsid w:val="008A17DE"/>
    <w:rsid w:val="008A18B2"/>
    <w:rsid w:val="008A1915"/>
    <w:rsid w:val="008A1960"/>
    <w:rsid w:val="008A1AAD"/>
    <w:rsid w:val="008A1AC2"/>
    <w:rsid w:val="008A1B2D"/>
    <w:rsid w:val="008A1B39"/>
    <w:rsid w:val="008A1BE7"/>
    <w:rsid w:val="008A1C2A"/>
    <w:rsid w:val="008A1C2C"/>
    <w:rsid w:val="008A1C35"/>
    <w:rsid w:val="008A1C4A"/>
    <w:rsid w:val="008A1D38"/>
    <w:rsid w:val="008A1E23"/>
    <w:rsid w:val="008A1F36"/>
    <w:rsid w:val="008A203D"/>
    <w:rsid w:val="008A2043"/>
    <w:rsid w:val="008A221C"/>
    <w:rsid w:val="008A232C"/>
    <w:rsid w:val="008A23BE"/>
    <w:rsid w:val="008A2415"/>
    <w:rsid w:val="008A2457"/>
    <w:rsid w:val="008A2532"/>
    <w:rsid w:val="008A259D"/>
    <w:rsid w:val="008A2687"/>
    <w:rsid w:val="008A2694"/>
    <w:rsid w:val="008A2737"/>
    <w:rsid w:val="008A274A"/>
    <w:rsid w:val="008A274F"/>
    <w:rsid w:val="008A2855"/>
    <w:rsid w:val="008A29E2"/>
    <w:rsid w:val="008A2A16"/>
    <w:rsid w:val="008A2AC5"/>
    <w:rsid w:val="008A2C58"/>
    <w:rsid w:val="008A2C7B"/>
    <w:rsid w:val="008A2CD0"/>
    <w:rsid w:val="008A2D0E"/>
    <w:rsid w:val="008A2D53"/>
    <w:rsid w:val="008A2D57"/>
    <w:rsid w:val="008A2E31"/>
    <w:rsid w:val="008A2E79"/>
    <w:rsid w:val="008A2EDC"/>
    <w:rsid w:val="008A2F2F"/>
    <w:rsid w:val="008A2F97"/>
    <w:rsid w:val="008A2FE7"/>
    <w:rsid w:val="008A3031"/>
    <w:rsid w:val="008A3038"/>
    <w:rsid w:val="008A3106"/>
    <w:rsid w:val="008A316C"/>
    <w:rsid w:val="008A318E"/>
    <w:rsid w:val="008A31DA"/>
    <w:rsid w:val="008A31DE"/>
    <w:rsid w:val="008A3212"/>
    <w:rsid w:val="008A3242"/>
    <w:rsid w:val="008A3398"/>
    <w:rsid w:val="008A3424"/>
    <w:rsid w:val="008A34B2"/>
    <w:rsid w:val="008A34E7"/>
    <w:rsid w:val="008A359C"/>
    <w:rsid w:val="008A3660"/>
    <w:rsid w:val="008A3714"/>
    <w:rsid w:val="008A3775"/>
    <w:rsid w:val="008A3838"/>
    <w:rsid w:val="008A38C1"/>
    <w:rsid w:val="008A38D9"/>
    <w:rsid w:val="008A38FC"/>
    <w:rsid w:val="008A39D1"/>
    <w:rsid w:val="008A3A72"/>
    <w:rsid w:val="008A3A7A"/>
    <w:rsid w:val="008A3AC6"/>
    <w:rsid w:val="008A3AF0"/>
    <w:rsid w:val="008A3BA7"/>
    <w:rsid w:val="008A3BDA"/>
    <w:rsid w:val="008A3CF4"/>
    <w:rsid w:val="008A3D4A"/>
    <w:rsid w:val="008A3DCE"/>
    <w:rsid w:val="008A3E62"/>
    <w:rsid w:val="008A3F72"/>
    <w:rsid w:val="008A3F96"/>
    <w:rsid w:val="008A4031"/>
    <w:rsid w:val="008A4130"/>
    <w:rsid w:val="008A41B3"/>
    <w:rsid w:val="008A43DF"/>
    <w:rsid w:val="008A4532"/>
    <w:rsid w:val="008A4556"/>
    <w:rsid w:val="008A4566"/>
    <w:rsid w:val="008A45AF"/>
    <w:rsid w:val="008A45BF"/>
    <w:rsid w:val="008A4707"/>
    <w:rsid w:val="008A4723"/>
    <w:rsid w:val="008A4785"/>
    <w:rsid w:val="008A481E"/>
    <w:rsid w:val="008A4855"/>
    <w:rsid w:val="008A4892"/>
    <w:rsid w:val="008A48B6"/>
    <w:rsid w:val="008A49B7"/>
    <w:rsid w:val="008A4B33"/>
    <w:rsid w:val="008A4B49"/>
    <w:rsid w:val="008A4BA4"/>
    <w:rsid w:val="008A4C6B"/>
    <w:rsid w:val="008A4C8A"/>
    <w:rsid w:val="008A4DA8"/>
    <w:rsid w:val="008A4E15"/>
    <w:rsid w:val="008A5026"/>
    <w:rsid w:val="008A50EC"/>
    <w:rsid w:val="008A5174"/>
    <w:rsid w:val="008A5195"/>
    <w:rsid w:val="008A51E7"/>
    <w:rsid w:val="008A5207"/>
    <w:rsid w:val="008A5279"/>
    <w:rsid w:val="008A5297"/>
    <w:rsid w:val="008A52C9"/>
    <w:rsid w:val="008A531A"/>
    <w:rsid w:val="008A5396"/>
    <w:rsid w:val="008A53E6"/>
    <w:rsid w:val="008A5435"/>
    <w:rsid w:val="008A547D"/>
    <w:rsid w:val="008A562E"/>
    <w:rsid w:val="008A563B"/>
    <w:rsid w:val="008A564C"/>
    <w:rsid w:val="008A5753"/>
    <w:rsid w:val="008A57AC"/>
    <w:rsid w:val="008A585F"/>
    <w:rsid w:val="008A5868"/>
    <w:rsid w:val="008A5881"/>
    <w:rsid w:val="008A58AE"/>
    <w:rsid w:val="008A5935"/>
    <w:rsid w:val="008A59B6"/>
    <w:rsid w:val="008A5A2C"/>
    <w:rsid w:val="008A5AE6"/>
    <w:rsid w:val="008A5AFE"/>
    <w:rsid w:val="008A5BAA"/>
    <w:rsid w:val="008A5BE1"/>
    <w:rsid w:val="008A5CBB"/>
    <w:rsid w:val="008A5CE8"/>
    <w:rsid w:val="008A5CFE"/>
    <w:rsid w:val="008A5EA0"/>
    <w:rsid w:val="008A5EBB"/>
    <w:rsid w:val="008A60A4"/>
    <w:rsid w:val="008A60FA"/>
    <w:rsid w:val="008A61EB"/>
    <w:rsid w:val="008A6273"/>
    <w:rsid w:val="008A62A5"/>
    <w:rsid w:val="008A62A8"/>
    <w:rsid w:val="008A62E7"/>
    <w:rsid w:val="008A6412"/>
    <w:rsid w:val="008A645A"/>
    <w:rsid w:val="008A64C4"/>
    <w:rsid w:val="008A6535"/>
    <w:rsid w:val="008A657F"/>
    <w:rsid w:val="008A6629"/>
    <w:rsid w:val="008A667F"/>
    <w:rsid w:val="008A670F"/>
    <w:rsid w:val="008A67DC"/>
    <w:rsid w:val="008A68C5"/>
    <w:rsid w:val="008A69DD"/>
    <w:rsid w:val="008A6A81"/>
    <w:rsid w:val="008A6B3E"/>
    <w:rsid w:val="008A6BDF"/>
    <w:rsid w:val="008A6D06"/>
    <w:rsid w:val="008A6D4E"/>
    <w:rsid w:val="008A6D53"/>
    <w:rsid w:val="008A6D99"/>
    <w:rsid w:val="008A6DF7"/>
    <w:rsid w:val="008A6E4F"/>
    <w:rsid w:val="008A6E7B"/>
    <w:rsid w:val="008A6ED8"/>
    <w:rsid w:val="008A6F39"/>
    <w:rsid w:val="008A6F72"/>
    <w:rsid w:val="008A6F83"/>
    <w:rsid w:val="008A6FF9"/>
    <w:rsid w:val="008A7055"/>
    <w:rsid w:val="008A707E"/>
    <w:rsid w:val="008A70DC"/>
    <w:rsid w:val="008A71A4"/>
    <w:rsid w:val="008A72AD"/>
    <w:rsid w:val="008A72BD"/>
    <w:rsid w:val="008A7433"/>
    <w:rsid w:val="008A74A0"/>
    <w:rsid w:val="008A7580"/>
    <w:rsid w:val="008A75B8"/>
    <w:rsid w:val="008A76B4"/>
    <w:rsid w:val="008A76CF"/>
    <w:rsid w:val="008A76F5"/>
    <w:rsid w:val="008A7823"/>
    <w:rsid w:val="008A788E"/>
    <w:rsid w:val="008A7931"/>
    <w:rsid w:val="008A7941"/>
    <w:rsid w:val="008A796F"/>
    <w:rsid w:val="008A79FF"/>
    <w:rsid w:val="008A7A51"/>
    <w:rsid w:val="008A7A78"/>
    <w:rsid w:val="008A7AFB"/>
    <w:rsid w:val="008A7BD7"/>
    <w:rsid w:val="008A7C20"/>
    <w:rsid w:val="008A7C49"/>
    <w:rsid w:val="008A7DA5"/>
    <w:rsid w:val="008A7DBF"/>
    <w:rsid w:val="008A7E28"/>
    <w:rsid w:val="008A7F30"/>
    <w:rsid w:val="008A7FC6"/>
    <w:rsid w:val="008B007F"/>
    <w:rsid w:val="008B0082"/>
    <w:rsid w:val="008B0160"/>
    <w:rsid w:val="008B01CA"/>
    <w:rsid w:val="008B020C"/>
    <w:rsid w:val="008B0263"/>
    <w:rsid w:val="008B0335"/>
    <w:rsid w:val="008B0340"/>
    <w:rsid w:val="008B05C3"/>
    <w:rsid w:val="008B05F2"/>
    <w:rsid w:val="008B0633"/>
    <w:rsid w:val="008B069E"/>
    <w:rsid w:val="008B06A7"/>
    <w:rsid w:val="008B0752"/>
    <w:rsid w:val="008B0931"/>
    <w:rsid w:val="008B0941"/>
    <w:rsid w:val="008B0990"/>
    <w:rsid w:val="008B0AB3"/>
    <w:rsid w:val="008B0BE7"/>
    <w:rsid w:val="008B0C10"/>
    <w:rsid w:val="008B0C5E"/>
    <w:rsid w:val="008B0D45"/>
    <w:rsid w:val="008B0D87"/>
    <w:rsid w:val="008B0DDB"/>
    <w:rsid w:val="008B0DE6"/>
    <w:rsid w:val="008B0DFE"/>
    <w:rsid w:val="008B0DFF"/>
    <w:rsid w:val="008B0EA0"/>
    <w:rsid w:val="008B0ED3"/>
    <w:rsid w:val="008B0F1A"/>
    <w:rsid w:val="008B1112"/>
    <w:rsid w:val="008B121F"/>
    <w:rsid w:val="008B13DB"/>
    <w:rsid w:val="008B142B"/>
    <w:rsid w:val="008B1439"/>
    <w:rsid w:val="008B14B2"/>
    <w:rsid w:val="008B1528"/>
    <w:rsid w:val="008B1729"/>
    <w:rsid w:val="008B178E"/>
    <w:rsid w:val="008B17B9"/>
    <w:rsid w:val="008B1852"/>
    <w:rsid w:val="008B192E"/>
    <w:rsid w:val="008B1959"/>
    <w:rsid w:val="008B19C1"/>
    <w:rsid w:val="008B1BD2"/>
    <w:rsid w:val="008B1BDF"/>
    <w:rsid w:val="008B1BE9"/>
    <w:rsid w:val="008B1BFA"/>
    <w:rsid w:val="008B1BFE"/>
    <w:rsid w:val="008B1C3B"/>
    <w:rsid w:val="008B1DA4"/>
    <w:rsid w:val="008B1DFF"/>
    <w:rsid w:val="008B1E52"/>
    <w:rsid w:val="008B1E90"/>
    <w:rsid w:val="008B1F3E"/>
    <w:rsid w:val="008B203D"/>
    <w:rsid w:val="008B207D"/>
    <w:rsid w:val="008B20DC"/>
    <w:rsid w:val="008B20ED"/>
    <w:rsid w:val="008B21C1"/>
    <w:rsid w:val="008B21F7"/>
    <w:rsid w:val="008B2257"/>
    <w:rsid w:val="008B237D"/>
    <w:rsid w:val="008B23A7"/>
    <w:rsid w:val="008B23CB"/>
    <w:rsid w:val="008B23E6"/>
    <w:rsid w:val="008B241D"/>
    <w:rsid w:val="008B24AE"/>
    <w:rsid w:val="008B254B"/>
    <w:rsid w:val="008B2600"/>
    <w:rsid w:val="008B26B9"/>
    <w:rsid w:val="008B26E8"/>
    <w:rsid w:val="008B2763"/>
    <w:rsid w:val="008B2769"/>
    <w:rsid w:val="008B2858"/>
    <w:rsid w:val="008B28FE"/>
    <w:rsid w:val="008B297E"/>
    <w:rsid w:val="008B2A90"/>
    <w:rsid w:val="008B2B2D"/>
    <w:rsid w:val="008B2BAD"/>
    <w:rsid w:val="008B2CFF"/>
    <w:rsid w:val="008B2D9F"/>
    <w:rsid w:val="008B2E41"/>
    <w:rsid w:val="008B2EB0"/>
    <w:rsid w:val="008B2F47"/>
    <w:rsid w:val="008B30E2"/>
    <w:rsid w:val="008B31B6"/>
    <w:rsid w:val="008B328E"/>
    <w:rsid w:val="008B329B"/>
    <w:rsid w:val="008B32A1"/>
    <w:rsid w:val="008B330D"/>
    <w:rsid w:val="008B335E"/>
    <w:rsid w:val="008B3381"/>
    <w:rsid w:val="008B33B1"/>
    <w:rsid w:val="008B3544"/>
    <w:rsid w:val="008B3566"/>
    <w:rsid w:val="008B35DC"/>
    <w:rsid w:val="008B367E"/>
    <w:rsid w:val="008B369C"/>
    <w:rsid w:val="008B36FC"/>
    <w:rsid w:val="008B3779"/>
    <w:rsid w:val="008B377A"/>
    <w:rsid w:val="008B378C"/>
    <w:rsid w:val="008B37B2"/>
    <w:rsid w:val="008B39CD"/>
    <w:rsid w:val="008B39EF"/>
    <w:rsid w:val="008B3AA6"/>
    <w:rsid w:val="008B3AD7"/>
    <w:rsid w:val="008B3C82"/>
    <w:rsid w:val="008B3DD7"/>
    <w:rsid w:val="008B3E05"/>
    <w:rsid w:val="008B3E23"/>
    <w:rsid w:val="008B3EE0"/>
    <w:rsid w:val="008B3F7E"/>
    <w:rsid w:val="008B412D"/>
    <w:rsid w:val="008B4165"/>
    <w:rsid w:val="008B4198"/>
    <w:rsid w:val="008B41AD"/>
    <w:rsid w:val="008B41DB"/>
    <w:rsid w:val="008B429D"/>
    <w:rsid w:val="008B43AA"/>
    <w:rsid w:val="008B43EA"/>
    <w:rsid w:val="008B43F4"/>
    <w:rsid w:val="008B447C"/>
    <w:rsid w:val="008B451E"/>
    <w:rsid w:val="008B455A"/>
    <w:rsid w:val="008B4621"/>
    <w:rsid w:val="008B46C7"/>
    <w:rsid w:val="008B46E9"/>
    <w:rsid w:val="008B47B0"/>
    <w:rsid w:val="008B47E1"/>
    <w:rsid w:val="008B47ED"/>
    <w:rsid w:val="008B486E"/>
    <w:rsid w:val="008B48AD"/>
    <w:rsid w:val="008B4965"/>
    <w:rsid w:val="008B4A7C"/>
    <w:rsid w:val="008B4ADF"/>
    <w:rsid w:val="008B4B4E"/>
    <w:rsid w:val="008B4C37"/>
    <w:rsid w:val="008B4CDE"/>
    <w:rsid w:val="008B4DDD"/>
    <w:rsid w:val="008B4E87"/>
    <w:rsid w:val="008B4E9A"/>
    <w:rsid w:val="008B4EB6"/>
    <w:rsid w:val="008B4ED2"/>
    <w:rsid w:val="008B4EDD"/>
    <w:rsid w:val="008B5052"/>
    <w:rsid w:val="008B5096"/>
    <w:rsid w:val="008B52CE"/>
    <w:rsid w:val="008B5481"/>
    <w:rsid w:val="008B5484"/>
    <w:rsid w:val="008B54FF"/>
    <w:rsid w:val="008B5539"/>
    <w:rsid w:val="008B55CE"/>
    <w:rsid w:val="008B55F9"/>
    <w:rsid w:val="008B5680"/>
    <w:rsid w:val="008B5776"/>
    <w:rsid w:val="008B57D8"/>
    <w:rsid w:val="008B5827"/>
    <w:rsid w:val="008B582B"/>
    <w:rsid w:val="008B59A5"/>
    <w:rsid w:val="008B5A1C"/>
    <w:rsid w:val="008B5A53"/>
    <w:rsid w:val="008B5A6D"/>
    <w:rsid w:val="008B5AEA"/>
    <w:rsid w:val="008B5B1A"/>
    <w:rsid w:val="008B5B1D"/>
    <w:rsid w:val="008B5B4B"/>
    <w:rsid w:val="008B5B9D"/>
    <w:rsid w:val="008B5C2B"/>
    <w:rsid w:val="008B5C45"/>
    <w:rsid w:val="008B5C7F"/>
    <w:rsid w:val="008B5C9C"/>
    <w:rsid w:val="008B5CDC"/>
    <w:rsid w:val="008B5CF1"/>
    <w:rsid w:val="008B5DC9"/>
    <w:rsid w:val="008B5DD0"/>
    <w:rsid w:val="008B5DFA"/>
    <w:rsid w:val="008B5E63"/>
    <w:rsid w:val="008B5F5D"/>
    <w:rsid w:val="008B5F8B"/>
    <w:rsid w:val="008B5F8F"/>
    <w:rsid w:val="008B5FA6"/>
    <w:rsid w:val="008B5FF1"/>
    <w:rsid w:val="008B608C"/>
    <w:rsid w:val="008B6140"/>
    <w:rsid w:val="008B62F4"/>
    <w:rsid w:val="008B63C5"/>
    <w:rsid w:val="008B6563"/>
    <w:rsid w:val="008B6579"/>
    <w:rsid w:val="008B65BB"/>
    <w:rsid w:val="008B65EC"/>
    <w:rsid w:val="008B6606"/>
    <w:rsid w:val="008B660C"/>
    <w:rsid w:val="008B6678"/>
    <w:rsid w:val="008B66AF"/>
    <w:rsid w:val="008B66BC"/>
    <w:rsid w:val="008B682E"/>
    <w:rsid w:val="008B6844"/>
    <w:rsid w:val="008B6A45"/>
    <w:rsid w:val="008B6D3B"/>
    <w:rsid w:val="008B6D50"/>
    <w:rsid w:val="008B6D95"/>
    <w:rsid w:val="008B6DAA"/>
    <w:rsid w:val="008B6EF2"/>
    <w:rsid w:val="008B6F97"/>
    <w:rsid w:val="008B7050"/>
    <w:rsid w:val="008B708B"/>
    <w:rsid w:val="008B70D2"/>
    <w:rsid w:val="008B70F6"/>
    <w:rsid w:val="008B7137"/>
    <w:rsid w:val="008B714C"/>
    <w:rsid w:val="008B714F"/>
    <w:rsid w:val="008B71E8"/>
    <w:rsid w:val="008B732E"/>
    <w:rsid w:val="008B7360"/>
    <w:rsid w:val="008B7385"/>
    <w:rsid w:val="008B739A"/>
    <w:rsid w:val="008B73C9"/>
    <w:rsid w:val="008B74E5"/>
    <w:rsid w:val="008B74FF"/>
    <w:rsid w:val="008B7577"/>
    <w:rsid w:val="008B7595"/>
    <w:rsid w:val="008B75B4"/>
    <w:rsid w:val="008B75ED"/>
    <w:rsid w:val="008B75FD"/>
    <w:rsid w:val="008B7609"/>
    <w:rsid w:val="008B76AB"/>
    <w:rsid w:val="008B76ED"/>
    <w:rsid w:val="008B775A"/>
    <w:rsid w:val="008B77CA"/>
    <w:rsid w:val="008B78A1"/>
    <w:rsid w:val="008B78B1"/>
    <w:rsid w:val="008B790E"/>
    <w:rsid w:val="008B794A"/>
    <w:rsid w:val="008B79F2"/>
    <w:rsid w:val="008B7A34"/>
    <w:rsid w:val="008B7BEE"/>
    <w:rsid w:val="008B7C83"/>
    <w:rsid w:val="008B7D5D"/>
    <w:rsid w:val="008B7E72"/>
    <w:rsid w:val="008B7F97"/>
    <w:rsid w:val="008B7FA4"/>
    <w:rsid w:val="008B7FA5"/>
    <w:rsid w:val="008B7FE9"/>
    <w:rsid w:val="008C001A"/>
    <w:rsid w:val="008C0134"/>
    <w:rsid w:val="008C013D"/>
    <w:rsid w:val="008C0156"/>
    <w:rsid w:val="008C0244"/>
    <w:rsid w:val="008C024E"/>
    <w:rsid w:val="008C0259"/>
    <w:rsid w:val="008C0344"/>
    <w:rsid w:val="008C03AF"/>
    <w:rsid w:val="008C0496"/>
    <w:rsid w:val="008C05DD"/>
    <w:rsid w:val="008C05EC"/>
    <w:rsid w:val="008C0648"/>
    <w:rsid w:val="008C0680"/>
    <w:rsid w:val="008C0804"/>
    <w:rsid w:val="008C0808"/>
    <w:rsid w:val="008C0853"/>
    <w:rsid w:val="008C08FD"/>
    <w:rsid w:val="008C0927"/>
    <w:rsid w:val="008C0B89"/>
    <w:rsid w:val="008C0D66"/>
    <w:rsid w:val="008C0DBD"/>
    <w:rsid w:val="008C0E36"/>
    <w:rsid w:val="008C0E6C"/>
    <w:rsid w:val="008C0F6B"/>
    <w:rsid w:val="008C0FBF"/>
    <w:rsid w:val="008C106F"/>
    <w:rsid w:val="008C10EA"/>
    <w:rsid w:val="008C1171"/>
    <w:rsid w:val="008C1179"/>
    <w:rsid w:val="008C11C2"/>
    <w:rsid w:val="008C1299"/>
    <w:rsid w:val="008C1360"/>
    <w:rsid w:val="008C1512"/>
    <w:rsid w:val="008C154E"/>
    <w:rsid w:val="008C156F"/>
    <w:rsid w:val="008C158B"/>
    <w:rsid w:val="008C15D8"/>
    <w:rsid w:val="008C1614"/>
    <w:rsid w:val="008C161E"/>
    <w:rsid w:val="008C1715"/>
    <w:rsid w:val="008C18CF"/>
    <w:rsid w:val="008C195F"/>
    <w:rsid w:val="008C1961"/>
    <w:rsid w:val="008C1998"/>
    <w:rsid w:val="008C19B8"/>
    <w:rsid w:val="008C1A7E"/>
    <w:rsid w:val="008C1A80"/>
    <w:rsid w:val="008C1B33"/>
    <w:rsid w:val="008C1C24"/>
    <w:rsid w:val="008C1C83"/>
    <w:rsid w:val="008C1CCF"/>
    <w:rsid w:val="008C1DC1"/>
    <w:rsid w:val="008C1DCC"/>
    <w:rsid w:val="008C1E49"/>
    <w:rsid w:val="008C1E85"/>
    <w:rsid w:val="008C1EFB"/>
    <w:rsid w:val="008C1F35"/>
    <w:rsid w:val="008C1F91"/>
    <w:rsid w:val="008C1F99"/>
    <w:rsid w:val="008C205C"/>
    <w:rsid w:val="008C2063"/>
    <w:rsid w:val="008C216B"/>
    <w:rsid w:val="008C2316"/>
    <w:rsid w:val="008C233F"/>
    <w:rsid w:val="008C23C8"/>
    <w:rsid w:val="008C245B"/>
    <w:rsid w:val="008C2472"/>
    <w:rsid w:val="008C2526"/>
    <w:rsid w:val="008C2572"/>
    <w:rsid w:val="008C264E"/>
    <w:rsid w:val="008C26DE"/>
    <w:rsid w:val="008C2709"/>
    <w:rsid w:val="008C290F"/>
    <w:rsid w:val="008C2B96"/>
    <w:rsid w:val="008C2D09"/>
    <w:rsid w:val="008C2D41"/>
    <w:rsid w:val="008C2D7B"/>
    <w:rsid w:val="008C2DBC"/>
    <w:rsid w:val="008C2E79"/>
    <w:rsid w:val="008C2F98"/>
    <w:rsid w:val="008C30CB"/>
    <w:rsid w:val="008C311B"/>
    <w:rsid w:val="008C3137"/>
    <w:rsid w:val="008C316C"/>
    <w:rsid w:val="008C3194"/>
    <w:rsid w:val="008C31BB"/>
    <w:rsid w:val="008C31C4"/>
    <w:rsid w:val="008C3265"/>
    <w:rsid w:val="008C3373"/>
    <w:rsid w:val="008C337C"/>
    <w:rsid w:val="008C337E"/>
    <w:rsid w:val="008C33A9"/>
    <w:rsid w:val="008C3497"/>
    <w:rsid w:val="008C3515"/>
    <w:rsid w:val="008C3524"/>
    <w:rsid w:val="008C352E"/>
    <w:rsid w:val="008C3602"/>
    <w:rsid w:val="008C36CD"/>
    <w:rsid w:val="008C376D"/>
    <w:rsid w:val="008C37DD"/>
    <w:rsid w:val="008C3821"/>
    <w:rsid w:val="008C3876"/>
    <w:rsid w:val="008C397C"/>
    <w:rsid w:val="008C39EB"/>
    <w:rsid w:val="008C3A13"/>
    <w:rsid w:val="008C3AFA"/>
    <w:rsid w:val="008C3B86"/>
    <w:rsid w:val="008C3C3F"/>
    <w:rsid w:val="008C3D3B"/>
    <w:rsid w:val="008C3DE4"/>
    <w:rsid w:val="008C3E8E"/>
    <w:rsid w:val="008C4006"/>
    <w:rsid w:val="008C403C"/>
    <w:rsid w:val="008C4097"/>
    <w:rsid w:val="008C409E"/>
    <w:rsid w:val="008C4138"/>
    <w:rsid w:val="008C4298"/>
    <w:rsid w:val="008C42DB"/>
    <w:rsid w:val="008C43EF"/>
    <w:rsid w:val="008C43F1"/>
    <w:rsid w:val="008C4524"/>
    <w:rsid w:val="008C4530"/>
    <w:rsid w:val="008C4559"/>
    <w:rsid w:val="008C45B8"/>
    <w:rsid w:val="008C463E"/>
    <w:rsid w:val="008C4643"/>
    <w:rsid w:val="008C468D"/>
    <w:rsid w:val="008C469B"/>
    <w:rsid w:val="008C46F4"/>
    <w:rsid w:val="008C47AB"/>
    <w:rsid w:val="008C47B3"/>
    <w:rsid w:val="008C47E2"/>
    <w:rsid w:val="008C480E"/>
    <w:rsid w:val="008C4839"/>
    <w:rsid w:val="008C4848"/>
    <w:rsid w:val="008C4894"/>
    <w:rsid w:val="008C48BD"/>
    <w:rsid w:val="008C48F1"/>
    <w:rsid w:val="008C49E6"/>
    <w:rsid w:val="008C4A7F"/>
    <w:rsid w:val="008C4AA1"/>
    <w:rsid w:val="008C4B34"/>
    <w:rsid w:val="008C4D26"/>
    <w:rsid w:val="008C4F2D"/>
    <w:rsid w:val="008C4FD9"/>
    <w:rsid w:val="008C5013"/>
    <w:rsid w:val="008C502F"/>
    <w:rsid w:val="008C5055"/>
    <w:rsid w:val="008C518E"/>
    <w:rsid w:val="008C51BC"/>
    <w:rsid w:val="008C5232"/>
    <w:rsid w:val="008C5261"/>
    <w:rsid w:val="008C529A"/>
    <w:rsid w:val="008C5320"/>
    <w:rsid w:val="008C537A"/>
    <w:rsid w:val="008C550C"/>
    <w:rsid w:val="008C5515"/>
    <w:rsid w:val="008C5613"/>
    <w:rsid w:val="008C564C"/>
    <w:rsid w:val="008C56D9"/>
    <w:rsid w:val="008C572D"/>
    <w:rsid w:val="008C583C"/>
    <w:rsid w:val="008C5A2E"/>
    <w:rsid w:val="008C5AA8"/>
    <w:rsid w:val="008C5AD9"/>
    <w:rsid w:val="008C5C2F"/>
    <w:rsid w:val="008C5CE7"/>
    <w:rsid w:val="008C5E39"/>
    <w:rsid w:val="008C5EFC"/>
    <w:rsid w:val="008C5F56"/>
    <w:rsid w:val="008C6015"/>
    <w:rsid w:val="008C606E"/>
    <w:rsid w:val="008C6107"/>
    <w:rsid w:val="008C6178"/>
    <w:rsid w:val="008C617D"/>
    <w:rsid w:val="008C61E1"/>
    <w:rsid w:val="008C622A"/>
    <w:rsid w:val="008C6406"/>
    <w:rsid w:val="008C64AF"/>
    <w:rsid w:val="008C65A5"/>
    <w:rsid w:val="008C660F"/>
    <w:rsid w:val="008C6649"/>
    <w:rsid w:val="008C666B"/>
    <w:rsid w:val="008C66E3"/>
    <w:rsid w:val="008C6723"/>
    <w:rsid w:val="008C67B0"/>
    <w:rsid w:val="008C682D"/>
    <w:rsid w:val="008C686C"/>
    <w:rsid w:val="008C689D"/>
    <w:rsid w:val="008C6A61"/>
    <w:rsid w:val="008C6A85"/>
    <w:rsid w:val="008C6A8F"/>
    <w:rsid w:val="008C6A97"/>
    <w:rsid w:val="008C6B47"/>
    <w:rsid w:val="008C6B85"/>
    <w:rsid w:val="008C6BED"/>
    <w:rsid w:val="008C6CC6"/>
    <w:rsid w:val="008C6D09"/>
    <w:rsid w:val="008C6DCB"/>
    <w:rsid w:val="008C6E51"/>
    <w:rsid w:val="008C6E78"/>
    <w:rsid w:val="008C6E8B"/>
    <w:rsid w:val="008C6ED2"/>
    <w:rsid w:val="008C6EF1"/>
    <w:rsid w:val="008C6F66"/>
    <w:rsid w:val="008C6F87"/>
    <w:rsid w:val="008C6FDE"/>
    <w:rsid w:val="008C6FEB"/>
    <w:rsid w:val="008C7197"/>
    <w:rsid w:val="008C71A1"/>
    <w:rsid w:val="008C71C3"/>
    <w:rsid w:val="008C7273"/>
    <w:rsid w:val="008C729C"/>
    <w:rsid w:val="008C732E"/>
    <w:rsid w:val="008C739F"/>
    <w:rsid w:val="008C73C7"/>
    <w:rsid w:val="008C747A"/>
    <w:rsid w:val="008C753E"/>
    <w:rsid w:val="008C75BA"/>
    <w:rsid w:val="008C75EA"/>
    <w:rsid w:val="008C763A"/>
    <w:rsid w:val="008C764C"/>
    <w:rsid w:val="008C76BD"/>
    <w:rsid w:val="008C7727"/>
    <w:rsid w:val="008C7733"/>
    <w:rsid w:val="008C7738"/>
    <w:rsid w:val="008C77E8"/>
    <w:rsid w:val="008C78FA"/>
    <w:rsid w:val="008C7936"/>
    <w:rsid w:val="008C7947"/>
    <w:rsid w:val="008C7A21"/>
    <w:rsid w:val="008C7A9F"/>
    <w:rsid w:val="008C7AC1"/>
    <w:rsid w:val="008C7AD8"/>
    <w:rsid w:val="008C7B3F"/>
    <w:rsid w:val="008C7BB4"/>
    <w:rsid w:val="008C7C32"/>
    <w:rsid w:val="008C7CD8"/>
    <w:rsid w:val="008C7D83"/>
    <w:rsid w:val="008C7E73"/>
    <w:rsid w:val="008C7E91"/>
    <w:rsid w:val="008C7E92"/>
    <w:rsid w:val="008C7F8B"/>
    <w:rsid w:val="008D025F"/>
    <w:rsid w:val="008D02C0"/>
    <w:rsid w:val="008D0308"/>
    <w:rsid w:val="008D0343"/>
    <w:rsid w:val="008D038A"/>
    <w:rsid w:val="008D03CE"/>
    <w:rsid w:val="008D04AE"/>
    <w:rsid w:val="008D04C3"/>
    <w:rsid w:val="008D0523"/>
    <w:rsid w:val="008D058B"/>
    <w:rsid w:val="008D05B7"/>
    <w:rsid w:val="008D066A"/>
    <w:rsid w:val="008D0717"/>
    <w:rsid w:val="008D071D"/>
    <w:rsid w:val="008D074F"/>
    <w:rsid w:val="008D0783"/>
    <w:rsid w:val="008D07FD"/>
    <w:rsid w:val="008D0977"/>
    <w:rsid w:val="008D0982"/>
    <w:rsid w:val="008D09A1"/>
    <w:rsid w:val="008D0AAD"/>
    <w:rsid w:val="008D0B7C"/>
    <w:rsid w:val="008D0C2E"/>
    <w:rsid w:val="008D0C43"/>
    <w:rsid w:val="008D0C52"/>
    <w:rsid w:val="008D0C8E"/>
    <w:rsid w:val="008D0D81"/>
    <w:rsid w:val="008D0DA5"/>
    <w:rsid w:val="008D0EB5"/>
    <w:rsid w:val="008D0F47"/>
    <w:rsid w:val="008D0F94"/>
    <w:rsid w:val="008D11DD"/>
    <w:rsid w:val="008D11EA"/>
    <w:rsid w:val="008D1230"/>
    <w:rsid w:val="008D1242"/>
    <w:rsid w:val="008D1281"/>
    <w:rsid w:val="008D1344"/>
    <w:rsid w:val="008D14A5"/>
    <w:rsid w:val="008D1544"/>
    <w:rsid w:val="008D16EF"/>
    <w:rsid w:val="008D175D"/>
    <w:rsid w:val="008D1804"/>
    <w:rsid w:val="008D181E"/>
    <w:rsid w:val="008D190F"/>
    <w:rsid w:val="008D19FD"/>
    <w:rsid w:val="008D1ABD"/>
    <w:rsid w:val="008D1B27"/>
    <w:rsid w:val="008D1B78"/>
    <w:rsid w:val="008D1CDC"/>
    <w:rsid w:val="008D1D7A"/>
    <w:rsid w:val="008D1E0E"/>
    <w:rsid w:val="008D1E8F"/>
    <w:rsid w:val="008D1FAD"/>
    <w:rsid w:val="008D203F"/>
    <w:rsid w:val="008D2052"/>
    <w:rsid w:val="008D2054"/>
    <w:rsid w:val="008D20AF"/>
    <w:rsid w:val="008D20F3"/>
    <w:rsid w:val="008D2128"/>
    <w:rsid w:val="008D213C"/>
    <w:rsid w:val="008D2162"/>
    <w:rsid w:val="008D2225"/>
    <w:rsid w:val="008D2296"/>
    <w:rsid w:val="008D2301"/>
    <w:rsid w:val="008D230D"/>
    <w:rsid w:val="008D23AF"/>
    <w:rsid w:val="008D23D0"/>
    <w:rsid w:val="008D2427"/>
    <w:rsid w:val="008D24BC"/>
    <w:rsid w:val="008D2570"/>
    <w:rsid w:val="008D2596"/>
    <w:rsid w:val="008D25C2"/>
    <w:rsid w:val="008D2603"/>
    <w:rsid w:val="008D2894"/>
    <w:rsid w:val="008D28A5"/>
    <w:rsid w:val="008D28D3"/>
    <w:rsid w:val="008D28E9"/>
    <w:rsid w:val="008D292E"/>
    <w:rsid w:val="008D2AC5"/>
    <w:rsid w:val="008D2ACF"/>
    <w:rsid w:val="008D2B2D"/>
    <w:rsid w:val="008D2B7B"/>
    <w:rsid w:val="008D2C09"/>
    <w:rsid w:val="008D2C63"/>
    <w:rsid w:val="008D2C83"/>
    <w:rsid w:val="008D2E36"/>
    <w:rsid w:val="008D2E61"/>
    <w:rsid w:val="008D2F8E"/>
    <w:rsid w:val="008D2FDA"/>
    <w:rsid w:val="008D2FF1"/>
    <w:rsid w:val="008D301C"/>
    <w:rsid w:val="008D30E5"/>
    <w:rsid w:val="008D30FD"/>
    <w:rsid w:val="008D31BB"/>
    <w:rsid w:val="008D31FA"/>
    <w:rsid w:val="008D3204"/>
    <w:rsid w:val="008D3225"/>
    <w:rsid w:val="008D3245"/>
    <w:rsid w:val="008D328E"/>
    <w:rsid w:val="008D3356"/>
    <w:rsid w:val="008D3477"/>
    <w:rsid w:val="008D34C6"/>
    <w:rsid w:val="008D3522"/>
    <w:rsid w:val="008D3568"/>
    <w:rsid w:val="008D35B7"/>
    <w:rsid w:val="008D3611"/>
    <w:rsid w:val="008D364C"/>
    <w:rsid w:val="008D367B"/>
    <w:rsid w:val="008D3706"/>
    <w:rsid w:val="008D372D"/>
    <w:rsid w:val="008D3737"/>
    <w:rsid w:val="008D37D6"/>
    <w:rsid w:val="008D3805"/>
    <w:rsid w:val="008D380A"/>
    <w:rsid w:val="008D380E"/>
    <w:rsid w:val="008D38B5"/>
    <w:rsid w:val="008D38BB"/>
    <w:rsid w:val="008D3A0D"/>
    <w:rsid w:val="008D3A62"/>
    <w:rsid w:val="008D3AD1"/>
    <w:rsid w:val="008D3AE6"/>
    <w:rsid w:val="008D3B5C"/>
    <w:rsid w:val="008D3BB4"/>
    <w:rsid w:val="008D3BBF"/>
    <w:rsid w:val="008D3EB0"/>
    <w:rsid w:val="008D3EF3"/>
    <w:rsid w:val="008D3F07"/>
    <w:rsid w:val="008D3F3F"/>
    <w:rsid w:val="008D406B"/>
    <w:rsid w:val="008D4144"/>
    <w:rsid w:val="008D42D7"/>
    <w:rsid w:val="008D438D"/>
    <w:rsid w:val="008D43E7"/>
    <w:rsid w:val="008D4463"/>
    <w:rsid w:val="008D4496"/>
    <w:rsid w:val="008D4520"/>
    <w:rsid w:val="008D46CF"/>
    <w:rsid w:val="008D474C"/>
    <w:rsid w:val="008D4855"/>
    <w:rsid w:val="008D49C2"/>
    <w:rsid w:val="008D49EF"/>
    <w:rsid w:val="008D4A13"/>
    <w:rsid w:val="008D4AA9"/>
    <w:rsid w:val="008D4AAB"/>
    <w:rsid w:val="008D4AE1"/>
    <w:rsid w:val="008D4AE2"/>
    <w:rsid w:val="008D4BEF"/>
    <w:rsid w:val="008D4E3A"/>
    <w:rsid w:val="008D4EF0"/>
    <w:rsid w:val="008D4F32"/>
    <w:rsid w:val="008D4F51"/>
    <w:rsid w:val="008D51C1"/>
    <w:rsid w:val="008D51DC"/>
    <w:rsid w:val="008D52D4"/>
    <w:rsid w:val="008D5346"/>
    <w:rsid w:val="008D5350"/>
    <w:rsid w:val="008D53DD"/>
    <w:rsid w:val="008D549A"/>
    <w:rsid w:val="008D5530"/>
    <w:rsid w:val="008D55A1"/>
    <w:rsid w:val="008D5616"/>
    <w:rsid w:val="008D5670"/>
    <w:rsid w:val="008D5677"/>
    <w:rsid w:val="008D56D4"/>
    <w:rsid w:val="008D5700"/>
    <w:rsid w:val="008D570D"/>
    <w:rsid w:val="008D5742"/>
    <w:rsid w:val="008D5802"/>
    <w:rsid w:val="008D5858"/>
    <w:rsid w:val="008D5877"/>
    <w:rsid w:val="008D5880"/>
    <w:rsid w:val="008D58E7"/>
    <w:rsid w:val="008D5929"/>
    <w:rsid w:val="008D5B7B"/>
    <w:rsid w:val="008D5BF4"/>
    <w:rsid w:val="008D5C36"/>
    <w:rsid w:val="008D5C85"/>
    <w:rsid w:val="008D5CBF"/>
    <w:rsid w:val="008D5CDE"/>
    <w:rsid w:val="008D5D6A"/>
    <w:rsid w:val="008D5E40"/>
    <w:rsid w:val="008D5E4E"/>
    <w:rsid w:val="008D5F0D"/>
    <w:rsid w:val="008D5F10"/>
    <w:rsid w:val="008D6039"/>
    <w:rsid w:val="008D60D5"/>
    <w:rsid w:val="008D6168"/>
    <w:rsid w:val="008D6196"/>
    <w:rsid w:val="008D6281"/>
    <w:rsid w:val="008D62A3"/>
    <w:rsid w:val="008D633C"/>
    <w:rsid w:val="008D636A"/>
    <w:rsid w:val="008D6502"/>
    <w:rsid w:val="008D669E"/>
    <w:rsid w:val="008D66C3"/>
    <w:rsid w:val="008D678A"/>
    <w:rsid w:val="008D67F4"/>
    <w:rsid w:val="008D6804"/>
    <w:rsid w:val="008D68A7"/>
    <w:rsid w:val="008D68C2"/>
    <w:rsid w:val="008D68F4"/>
    <w:rsid w:val="008D69D4"/>
    <w:rsid w:val="008D6A0A"/>
    <w:rsid w:val="008D6A0D"/>
    <w:rsid w:val="008D6A20"/>
    <w:rsid w:val="008D6A67"/>
    <w:rsid w:val="008D6AA2"/>
    <w:rsid w:val="008D6AAA"/>
    <w:rsid w:val="008D6B85"/>
    <w:rsid w:val="008D6B90"/>
    <w:rsid w:val="008D6BDB"/>
    <w:rsid w:val="008D6BE8"/>
    <w:rsid w:val="008D6C23"/>
    <w:rsid w:val="008D6C81"/>
    <w:rsid w:val="008D6C9C"/>
    <w:rsid w:val="008D6CAB"/>
    <w:rsid w:val="008D6CD5"/>
    <w:rsid w:val="008D6D72"/>
    <w:rsid w:val="008D6DAE"/>
    <w:rsid w:val="008D6E47"/>
    <w:rsid w:val="008D6F2C"/>
    <w:rsid w:val="008D6F6A"/>
    <w:rsid w:val="008D7019"/>
    <w:rsid w:val="008D7043"/>
    <w:rsid w:val="008D709C"/>
    <w:rsid w:val="008D711A"/>
    <w:rsid w:val="008D7171"/>
    <w:rsid w:val="008D7180"/>
    <w:rsid w:val="008D7258"/>
    <w:rsid w:val="008D738E"/>
    <w:rsid w:val="008D73A2"/>
    <w:rsid w:val="008D7470"/>
    <w:rsid w:val="008D74E2"/>
    <w:rsid w:val="008D74E6"/>
    <w:rsid w:val="008D7666"/>
    <w:rsid w:val="008D7843"/>
    <w:rsid w:val="008D79BB"/>
    <w:rsid w:val="008D7A6E"/>
    <w:rsid w:val="008D7A95"/>
    <w:rsid w:val="008D7AC8"/>
    <w:rsid w:val="008D7B20"/>
    <w:rsid w:val="008D7C29"/>
    <w:rsid w:val="008D7C4C"/>
    <w:rsid w:val="008D7D89"/>
    <w:rsid w:val="008D7ED7"/>
    <w:rsid w:val="008D7F0A"/>
    <w:rsid w:val="008DE17F"/>
    <w:rsid w:val="008E01B4"/>
    <w:rsid w:val="008E024A"/>
    <w:rsid w:val="008E03C4"/>
    <w:rsid w:val="008E04B7"/>
    <w:rsid w:val="008E0597"/>
    <w:rsid w:val="008E05CF"/>
    <w:rsid w:val="008E063B"/>
    <w:rsid w:val="008E0748"/>
    <w:rsid w:val="008E07EC"/>
    <w:rsid w:val="008E084C"/>
    <w:rsid w:val="008E08D7"/>
    <w:rsid w:val="008E0907"/>
    <w:rsid w:val="008E0964"/>
    <w:rsid w:val="008E0A4C"/>
    <w:rsid w:val="008E0A73"/>
    <w:rsid w:val="008E0ABA"/>
    <w:rsid w:val="008E0ABC"/>
    <w:rsid w:val="008E0AF3"/>
    <w:rsid w:val="008E0B30"/>
    <w:rsid w:val="008E0C11"/>
    <w:rsid w:val="008E0C15"/>
    <w:rsid w:val="008E0CDA"/>
    <w:rsid w:val="008E0D37"/>
    <w:rsid w:val="008E0D96"/>
    <w:rsid w:val="008E0D9A"/>
    <w:rsid w:val="008E0DBA"/>
    <w:rsid w:val="008E0F6A"/>
    <w:rsid w:val="008E0F9A"/>
    <w:rsid w:val="008E0FAE"/>
    <w:rsid w:val="008E0FE0"/>
    <w:rsid w:val="008E108B"/>
    <w:rsid w:val="008E10DF"/>
    <w:rsid w:val="008E11CF"/>
    <w:rsid w:val="008E12A0"/>
    <w:rsid w:val="008E1454"/>
    <w:rsid w:val="008E16A3"/>
    <w:rsid w:val="008E16F3"/>
    <w:rsid w:val="008E179F"/>
    <w:rsid w:val="008E18EA"/>
    <w:rsid w:val="008E1905"/>
    <w:rsid w:val="008E1967"/>
    <w:rsid w:val="008E19AE"/>
    <w:rsid w:val="008E1A0F"/>
    <w:rsid w:val="008E1A70"/>
    <w:rsid w:val="008E1A7F"/>
    <w:rsid w:val="008E1BA1"/>
    <w:rsid w:val="008E1C4E"/>
    <w:rsid w:val="008E1D58"/>
    <w:rsid w:val="008E1DB7"/>
    <w:rsid w:val="008E1E53"/>
    <w:rsid w:val="008E1F95"/>
    <w:rsid w:val="008E20A4"/>
    <w:rsid w:val="008E20C0"/>
    <w:rsid w:val="008E2128"/>
    <w:rsid w:val="008E2173"/>
    <w:rsid w:val="008E218D"/>
    <w:rsid w:val="008E2195"/>
    <w:rsid w:val="008E21F5"/>
    <w:rsid w:val="008E2202"/>
    <w:rsid w:val="008E221A"/>
    <w:rsid w:val="008E2265"/>
    <w:rsid w:val="008E226C"/>
    <w:rsid w:val="008E23C9"/>
    <w:rsid w:val="008E2463"/>
    <w:rsid w:val="008E247C"/>
    <w:rsid w:val="008E248A"/>
    <w:rsid w:val="008E24AE"/>
    <w:rsid w:val="008E24B1"/>
    <w:rsid w:val="008E24FD"/>
    <w:rsid w:val="008E2592"/>
    <w:rsid w:val="008E25D6"/>
    <w:rsid w:val="008E26CA"/>
    <w:rsid w:val="008E26E2"/>
    <w:rsid w:val="008E2725"/>
    <w:rsid w:val="008E2787"/>
    <w:rsid w:val="008E2796"/>
    <w:rsid w:val="008E27A5"/>
    <w:rsid w:val="008E2847"/>
    <w:rsid w:val="008E2869"/>
    <w:rsid w:val="008E28DD"/>
    <w:rsid w:val="008E2969"/>
    <w:rsid w:val="008E2982"/>
    <w:rsid w:val="008E29C3"/>
    <w:rsid w:val="008E29D3"/>
    <w:rsid w:val="008E2A44"/>
    <w:rsid w:val="008E2A48"/>
    <w:rsid w:val="008E2A7C"/>
    <w:rsid w:val="008E2AB9"/>
    <w:rsid w:val="008E2B48"/>
    <w:rsid w:val="008E2B60"/>
    <w:rsid w:val="008E2BD1"/>
    <w:rsid w:val="008E2CD7"/>
    <w:rsid w:val="008E2D4C"/>
    <w:rsid w:val="008E2D4F"/>
    <w:rsid w:val="008E2FD5"/>
    <w:rsid w:val="008E30BC"/>
    <w:rsid w:val="008E31B0"/>
    <w:rsid w:val="008E31BE"/>
    <w:rsid w:val="008E323E"/>
    <w:rsid w:val="008E32AA"/>
    <w:rsid w:val="008E331D"/>
    <w:rsid w:val="008E3415"/>
    <w:rsid w:val="008E3579"/>
    <w:rsid w:val="008E35A5"/>
    <w:rsid w:val="008E35B4"/>
    <w:rsid w:val="008E35C3"/>
    <w:rsid w:val="008E35D3"/>
    <w:rsid w:val="008E35FF"/>
    <w:rsid w:val="008E361B"/>
    <w:rsid w:val="008E3683"/>
    <w:rsid w:val="008E36B4"/>
    <w:rsid w:val="008E36CF"/>
    <w:rsid w:val="008E385B"/>
    <w:rsid w:val="008E387B"/>
    <w:rsid w:val="008E389A"/>
    <w:rsid w:val="008E38AF"/>
    <w:rsid w:val="008E38B4"/>
    <w:rsid w:val="008E3998"/>
    <w:rsid w:val="008E3AE5"/>
    <w:rsid w:val="008E3B25"/>
    <w:rsid w:val="008E3B7F"/>
    <w:rsid w:val="008E3BAD"/>
    <w:rsid w:val="008E3BFF"/>
    <w:rsid w:val="008E3C8C"/>
    <w:rsid w:val="008E3D23"/>
    <w:rsid w:val="008E3D56"/>
    <w:rsid w:val="008E3D96"/>
    <w:rsid w:val="008E3DA6"/>
    <w:rsid w:val="008E3E0F"/>
    <w:rsid w:val="008E3E44"/>
    <w:rsid w:val="008E4021"/>
    <w:rsid w:val="008E409E"/>
    <w:rsid w:val="008E4107"/>
    <w:rsid w:val="008E4121"/>
    <w:rsid w:val="008E4163"/>
    <w:rsid w:val="008E421F"/>
    <w:rsid w:val="008E4256"/>
    <w:rsid w:val="008E426B"/>
    <w:rsid w:val="008E42D7"/>
    <w:rsid w:val="008E42DE"/>
    <w:rsid w:val="008E43A8"/>
    <w:rsid w:val="008E43CD"/>
    <w:rsid w:val="008E443E"/>
    <w:rsid w:val="008E4566"/>
    <w:rsid w:val="008E45B5"/>
    <w:rsid w:val="008E46AB"/>
    <w:rsid w:val="008E474E"/>
    <w:rsid w:val="008E4792"/>
    <w:rsid w:val="008E4937"/>
    <w:rsid w:val="008E4960"/>
    <w:rsid w:val="008E496B"/>
    <w:rsid w:val="008E4AB1"/>
    <w:rsid w:val="008E4AB4"/>
    <w:rsid w:val="008E4AD8"/>
    <w:rsid w:val="008E4B80"/>
    <w:rsid w:val="008E4C1F"/>
    <w:rsid w:val="008E4C4A"/>
    <w:rsid w:val="008E4CE2"/>
    <w:rsid w:val="008E4D46"/>
    <w:rsid w:val="008E5040"/>
    <w:rsid w:val="008E508D"/>
    <w:rsid w:val="008E5130"/>
    <w:rsid w:val="008E5257"/>
    <w:rsid w:val="008E540A"/>
    <w:rsid w:val="008E540D"/>
    <w:rsid w:val="008E5481"/>
    <w:rsid w:val="008E5522"/>
    <w:rsid w:val="008E5532"/>
    <w:rsid w:val="008E554C"/>
    <w:rsid w:val="008E55CA"/>
    <w:rsid w:val="008E56A7"/>
    <w:rsid w:val="008E57E7"/>
    <w:rsid w:val="008E57FD"/>
    <w:rsid w:val="008E58A9"/>
    <w:rsid w:val="008E58B5"/>
    <w:rsid w:val="008E5969"/>
    <w:rsid w:val="008E59EE"/>
    <w:rsid w:val="008E5B0B"/>
    <w:rsid w:val="008E5B2D"/>
    <w:rsid w:val="008E5BF0"/>
    <w:rsid w:val="008E5C28"/>
    <w:rsid w:val="008E5D0D"/>
    <w:rsid w:val="008E5D5D"/>
    <w:rsid w:val="008E5E21"/>
    <w:rsid w:val="008E5F64"/>
    <w:rsid w:val="008E5FC4"/>
    <w:rsid w:val="008E5FE8"/>
    <w:rsid w:val="008E5FE9"/>
    <w:rsid w:val="008E60A4"/>
    <w:rsid w:val="008E60D6"/>
    <w:rsid w:val="008E6191"/>
    <w:rsid w:val="008E61BF"/>
    <w:rsid w:val="008E63CF"/>
    <w:rsid w:val="008E63EA"/>
    <w:rsid w:val="008E64C2"/>
    <w:rsid w:val="008E6500"/>
    <w:rsid w:val="008E65A9"/>
    <w:rsid w:val="008E6697"/>
    <w:rsid w:val="008E66AF"/>
    <w:rsid w:val="008E66D6"/>
    <w:rsid w:val="008E66D9"/>
    <w:rsid w:val="008E6756"/>
    <w:rsid w:val="008E6846"/>
    <w:rsid w:val="008E689D"/>
    <w:rsid w:val="008E68AF"/>
    <w:rsid w:val="008E68D7"/>
    <w:rsid w:val="008E6901"/>
    <w:rsid w:val="008E6B42"/>
    <w:rsid w:val="008E6B4F"/>
    <w:rsid w:val="008E6B88"/>
    <w:rsid w:val="008E6CDA"/>
    <w:rsid w:val="008E6D1D"/>
    <w:rsid w:val="008E6E2B"/>
    <w:rsid w:val="008E6E53"/>
    <w:rsid w:val="008E6EBB"/>
    <w:rsid w:val="008E6EF4"/>
    <w:rsid w:val="008E6FEF"/>
    <w:rsid w:val="008E7002"/>
    <w:rsid w:val="008E7010"/>
    <w:rsid w:val="008E709A"/>
    <w:rsid w:val="008E70B5"/>
    <w:rsid w:val="008E70FB"/>
    <w:rsid w:val="008E711E"/>
    <w:rsid w:val="008E7151"/>
    <w:rsid w:val="008E7552"/>
    <w:rsid w:val="008E758D"/>
    <w:rsid w:val="008E765E"/>
    <w:rsid w:val="008E777C"/>
    <w:rsid w:val="008E7821"/>
    <w:rsid w:val="008E785B"/>
    <w:rsid w:val="008E7863"/>
    <w:rsid w:val="008E7898"/>
    <w:rsid w:val="008E7AF0"/>
    <w:rsid w:val="008E7B16"/>
    <w:rsid w:val="008E7BD2"/>
    <w:rsid w:val="008E7BD4"/>
    <w:rsid w:val="008E7C4B"/>
    <w:rsid w:val="008E7C66"/>
    <w:rsid w:val="008E7CC3"/>
    <w:rsid w:val="008E7CC8"/>
    <w:rsid w:val="008E7D39"/>
    <w:rsid w:val="008E7D4B"/>
    <w:rsid w:val="008E7D95"/>
    <w:rsid w:val="008E7DC8"/>
    <w:rsid w:val="008E7E73"/>
    <w:rsid w:val="008E7F3A"/>
    <w:rsid w:val="008E7FC6"/>
    <w:rsid w:val="008E7FC8"/>
    <w:rsid w:val="008E7FD8"/>
    <w:rsid w:val="008F0085"/>
    <w:rsid w:val="008F0095"/>
    <w:rsid w:val="008F01FC"/>
    <w:rsid w:val="008F035F"/>
    <w:rsid w:val="008F0400"/>
    <w:rsid w:val="008F041D"/>
    <w:rsid w:val="008F045E"/>
    <w:rsid w:val="008F0472"/>
    <w:rsid w:val="008F0576"/>
    <w:rsid w:val="008F058E"/>
    <w:rsid w:val="008F061C"/>
    <w:rsid w:val="008F0632"/>
    <w:rsid w:val="008F063E"/>
    <w:rsid w:val="008F0765"/>
    <w:rsid w:val="008F07F2"/>
    <w:rsid w:val="008F08EF"/>
    <w:rsid w:val="008F090B"/>
    <w:rsid w:val="008F0999"/>
    <w:rsid w:val="008F0A95"/>
    <w:rsid w:val="008F0A99"/>
    <w:rsid w:val="008F0B0A"/>
    <w:rsid w:val="008F0B1D"/>
    <w:rsid w:val="008F0B8E"/>
    <w:rsid w:val="008F0BB9"/>
    <w:rsid w:val="008F0BC6"/>
    <w:rsid w:val="008F0BCC"/>
    <w:rsid w:val="008F0DCE"/>
    <w:rsid w:val="008F0E06"/>
    <w:rsid w:val="008F0E45"/>
    <w:rsid w:val="008F0F5D"/>
    <w:rsid w:val="008F1001"/>
    <w:rsid w:val="008F106D"/>
    <w:rsid w:val="008F10FD"/>
    <w:rsid w:val="008F1135"/>
    <w:rsid w:val="008F117E"/>
    <w:rsid w:val="008F12BA"/>
    <w:rsid w:val="008F12F4"/>
    <w:rsid w:val="008F1460"/>
    <w:rsid w:val="008F153C"/>
    <w:rsid w:val="008F1610"/>
    <w:rsid w:val="008F17E2"/>
    <w:rsid w:val="008F1840"/>
    <w:rsid w:val="008F1A35"/>
    <w:rsid w:val="008F1B79"/>
    <w:rsid w:val="008F1C7B"/>
    <w:rsid w:val="008F1E80"/>
    <w:rsid w:val="008F1F80"/>
    <w:rsid w:val="008F1FAF"/>
    <w:rsid w:val="008F211A"/>
    <w:rsid w:val="008F2126"/>
    <w:rsid w:val="008F215F"/>
    <w:rsid w:val="008F21AA"/>
    <w:rsid w:val="008F21B2"/>
    <w:rsid w:val="008F228A"/>
    <w:rsid w:val="008F232D"/>
    <w:rsid w:val="008F2387"/>
    <w:rsid w:val="008F241B"/>
    <w:rsid w:val="008F248E"/>
    <w:rsid w:val="008F253C"/>
    <w:rsid w:val="008F253D"/>
    <w:rsid w:val="008F25D0"/>
    <w:rsid w:val="008F26EC"/>
    <w:rsid w:val="008F281B"/>
    <w:rsid w:val="008F2887"/>
    <w:rsid w:val="008F289D"/>
    <w:rsid w:val="008F290D"/>
    <w:rsid w:val="008F2935"/>
    <w:rsid w:val="008F2A6F"/>
    <w:rsid w:val="008F2C9B"/>
    <w:rsid w:val="008F2CF8"/>
    <w:rsid w:val="008F2D45"/>
    <w:rsid w:val="008F2DC9"/>
    <w:rsid w:val="008F2E3C"/>
    <w:rsid w:val="008F2ED0"/>
    <w:rsid w:val="008F2FE1"/>
    <w:rsid w:val="008F3005"/>
    <w:rsid w:val="008F306D"/>
    <w:rsid w:val="008F314F"/>
    <w:rsid w:val="008F31A7"/>
    <w:rsid w:val="008F3203"/>
    <w:rsid w:val="008F326A"/>
    <w:rsid w:val="008F32A7"/>
    <w:rsid w:val="008F3393"/>
    <w:rsid w:val="008F33C9"/>
    <w:rsid w:val="008F346E"/>
    <w:rsid w:val="008F3471"/>
    <w:rsid w:val="008F350C"/>
    <w:rsid w:val="008F3520"/>
    <w:rsid w:val="008F353A"/>
    <w:rsid w:val="008F35AB"/>
    <w:rsid w:val="008F35B7"/>
    <w:rsid w:val="008F3660"/>
    <w:rsid w:val="008F36D7"/>
    <w:rsid w:val="008F3731"/>
    <w:rsid w:val="008F3768"/>
    <w:rsid w:val="008F37BB"/>
    <w:rsid w:val="008F37C8"/>
    <w:rsid w:val="008F382E"/>
    <w:rsid w:val="008F3876"/>
    <w:rsid w:val="008F388D"/>
    <w:rsid w:val="008F39C5"/>
    <w:rsid w:val="008F3B6E"/>
    <w:rsid w:val="008F3B84"/>
    <w:rsid w:val="008F3B85"/>
    <w:rsid w:val="008F3BCC"/>
    <w:rsid w:val="008F3BF3"/>
    <w:rsid w:val="008F3C48"/>
    <w:rsid w:val="008F3C97"/>
    <w:rsid w:val="008F3CE6"/>
    <w:rsid w:val="008F3D16"/>
    <w:rsid w:val="008F3D20"/>
    <w:rsid w:val="008F3D4D"/>
    <w:rsid w:val="008F3DB7"/>
    <w:rsid w:val="008F3EA0"/>
    <w:rsid w:val="008F3EE6"/>
    <w:rsid w:val="008F3F25"/>
    <w:rsid w:val="008F3F60"/>
    <w:rsid w:val="008F4078"/>
    <w:rsid w:val="008F40EC"/>
    <w:rsid w:val="008F41DA"/>
    <w:rsid w:val="008F4207"/>
    <w:rsid w:val="008F4275"/>
    <w:rsid w:val="008F429C"/>
    <w:rsid w:val="008F42D0"/>
    <w:rsid w:val="008F42F3"/>
    <w:rsid w:val="008F42FF"/>
    <w:rsid w:val="008F43B5"/>
    <w:rsid w:val="008F43C4"/>
    <w:rsid w:val="008F44B6"/>
    <w:rsid w:val="008F4539"/>
    <w:rsid w:val="008F45A7"/>
    <w:rsid w:val="008F45A9"/>
    <w:rsid w:val="008F46A7"/>
    <w:rsid w:val="008F46B6"/>
    <w:rsid w:val="008F4799"/>
    <w:rsid w:val="008F47A2"/>
    <w:rsid w:val="008F47A7"/>
    <w:rsid w:val="008F47F4"/>
    <w:rsid w:val="008F4879"/>
    <w:rsid w:val="008F497A"/>
    <w:rsid w:val="008F499D"/>
    <w:rsid w:val="008F49AB"/>
    <w:rsid w:val="008F4A49"/>
    <w:rsid w:val="008F4ABE"/>
    <w:rsid w:val="008F4AFB"/>
    <w:rsid w:val="008F4BD5"/>
    <w:rsid w:val="008F4E14"/>
    <w:rsid w:val="008F4E1F"/>
    <w:rsid w:val="008F4E20"/>
    <w:rsid w:val="008F4E70"/>
    <w:rsid w:val="008F5035"/>
    <w:rsid w:val="008F5056"/>
    <w:rsid w:val="008F50C0"/>
    <w:rsid w:val="008F50F1"/>
    <w:rsid w:val="008F50F3"/>
    <w:rsid w:val="008F5196"/>
    <w:rsid w:val="008F53CA"/>
    <w:rsid w:val="008F5421"/>
    <w:rsid w:val="008F542C"/>
    <w:rsid w:val="008F5461"/>
    <w:rsid w:val="008F5510"/>
    <w:rsid w:val="008F55A2"/>
    <w:rsid w:val="008F5625"/>
    <w:rsid w:val="008F564F"/>
    <w:rsid w:val="008F567D"/>
    <w:rsid w:val="008F56A3"/>
    <w:rsid w:val="008F5838"/>
    <w:rsid w:val="008F5A37"/>
    <w:rsid w:val="008F5A4D"/>
    <w:rsid w:val="008F5AA6"/>
    <w:rsid w:val="008F5B1D"/>
    <w:rsid w:val="008F5B24"/>
    <w:rsid w:val="008F5BED"/>
    <w:rsid w:val="008F5C00"/>
    <w:rsid w:val="008F5C6D"/>
    <w:rsid w:val="008F5CF1"/>
    <w:rsid w:val="008F5D6B"/>
    <w:rsid w:val="008F5DA6"/>
    <w:rsid w:val="008F5E18"/>
    <w:rsid w:val="008F5E38"/>
    <w:rsid w:val="008F5E4E"/>
    <w:rsid w:val="008F5E70"/>
    <w:rsid w:val="008F5E8E"/>
    <w:rsid w:val="008F60B7"/>
    <w:rsid w:val="008F621F"/>
    <w:rsid w:val="008F6234"/>
    <w:rsid w:val="008F63B0"/>
    <w:rsid w:val="008F63B3"/>
    <w:rsid w:val="008F6457"/>
    <w:rsid w:val="008F6466"/>
    <w:rsid w:val="008F64D4"/>
    <w:rsid w:val="008F65D7"/>
    <w:rsid w:val="008F665D"/>
    <w:rsid w:val="008F66A5"/>
    <w:rsid w:val="008F66D7"/>
    <w:rsid w:val="008F6718"/>
    <w:rsid w:val="008F6884"/>
    <w:rsid w:val="008F6999"/>
    <w:rsid w:val="008F69CE"/>
    <w:rsid w:val="008F6A72"/>
    <w:rsid w:val="008F6AC5"/>
    <w:rsid w:val="008F6B19"/>
    <w:rsid w:val="008F6B2B"/>
    <w:rsid w:val="008F6C73"/>
    <w:rsid w:val="008F6EA0"/>
    <w:rsid w:val="008F6F1A"/>
    <w:rsid w:val="008F704D"/>
    <w:rsid w:val="008F712A"/>
    <w:rsid w:val="008F7149"/>
    <w:rsid w:val="008F715E"/>
    <w:rsid w:val="008F718F"/>
    <w:rsid w:val="008F7253"/>
    <w:rsid w:val="008F72BD"/>
    <w:rsid w:val="008F72D0"/>
    <w:rsid w:val="008F735F"/>
    <w:rsid w:val="008F7454"/>
    <w:rsid w:val="008F7490"/>
    <w:rsid w:val="008F754B"/>
    <w:rsid w:val="008F7575"/>
    <w:rsid w:val="008F757A"/>
    <w:rsid w:val="008F75CF"/>
    <w:rsid w:val="008F75E0"/>
    <w:rsid w:val="008F75EA"/>
    <w:rsid w:val="008F75F9"/>
    <w:rsid w:val="008F7603"/>
    <w:rsid w:val="008F7641"/>
    <w:rsid w:val="008F766C"/>
    <w:rsid w:val="008F7773"/>
    <w:rsid w:val="008F77B5"/>
    <w:rsid w:val="008F77C8"/>
    <w:rsid w:val="008F7826"/>
    <w:rsid w:val="008F7897"/>
    <w:rsid w:val="008F78C1"/>
    <w:rsid w:val="008F78DF"/>
    <w:rsid w:val="008F7900"/>
    <w:rsid w:val="008F7902"/>
    <w:rsid w:val="008F7946"/>
    <w:rsid w:val="008F79C1"/>
    <w:rsid w:val="008F7A1E"/>
    <w:rsid w:val="008F7B72"/>
    <w:rsid w:val="008F7B80"/>
    <w:rsid w:val="008F7BA1"/>
    <w:rsid w:val="008F7C06"/>
    <w:rsid w:val="008F7C4C"/>
    <w:rsid w:val="008F7CB4"/>
    <w:rsid w:val="008F7DD2"/>
    <w:rsid w:val="008F7E92"/>
    <w:rsid w:val="008F7E98"/>
    <w:rsid w:val="008F7EF3"/>
    <w:rsid w:val="008F7F4A"/>
    <w:rsid w:val="00900012"/>
    <w:rsid w:val="0090006F"/>
    <w:rsid w:val="00900146"/>
    <w:rsid w:val="00900161"/>
    <w:rsid w:val="009001B5"/>
    <w:rsid w:val="009001E3"/>
    <w:rsid w:val="0090021F"/>
    <w:rsid w:val="009002CC"/>
    <w:rsid w:val="00900318"/>
    <w:rsid w:val="00900340"/>
    <w:rsid w:val="009003D3"/>
    <w:rsid w:val="009003DB"/>
    <w:rsid w:val="009003E4"/>
    <w:rsid w:val="0090045C"/>
    <w:rsid w:val="009004D3"/>
    <w:rsid w:val="00900551"/>
    <w:rsid w:val="0090061C"/>
    <w:rsid w:val="009006B9"/>
    <w:rsid w:val="009006C8"/>
    <w:rsid w:val="00900737"/>
    <w:rsid w:val="00900739"/>
    <w:rsid w:val="00900A52"/>
    <w:rsid w:val="00900A64"/>
    <w:rsid w:val="00900B52"/>
    <w:rsid w:val="00900B53"/>
    <w:rsid w:val="00900B66"/>
    <w:rsid w:val="00900BA9"/>
    <w:rsid w:val="00900C19"/>
    <w:rsid w:val="00900C7A"/>
    <w:rsid w:val="00900C94"/>
    <w:rsid w:val="00900D10"/>
    <w:rsid w:val="00900E3F"/>
    <w:rsid w:val="00900E86"/>
    <w:rsid w:val="00900E96"/>
    <w:rsid w:val="00900EAD"/>
    <w:rsid w:val="00900F32"/>
    <w:rsid w:val="00900F69"/>
    <w:rsid w:val="00900FCE"/>
    <w:rsid w:val="00901001"/>
    <w:rsid w:val="00901043"/>
    <w:rsid w:val="00901078"/>
    <w:rsid w:val="00901093"/>
    <w:rsid w:val="009010A0"/>
    <w:rsid w:val="009010B4"/>
    <w:rsid w:val="00901134"/>
    <w:rsid w:val="009011D8"/>
    <w:rsid w:val="00901253"/>
    <w:rsid w:val="009012E6"/>
    <w:rsid w:val="00901318"/>
    <w:rsid w:val="0090137A"/>
    <w:rsid w:val="009014E1"/>
    <w:rsid w:val="009014EF"/>
    <w:rsid w:val="00901503"/>
    <w:rsid w:val="009015E9"/>
    <w:rsid w:val="009016D6"/>
    <w:rsid w:val="009017D4"/>
    <w:rsid w:val="00901934"/>
    <w:rsid w:val="00901A0C"/>
    <w:rsid w:val="00901A53"/>
    <w:rsid w:val="00901A6A"/>
    <w:rsid w:val="00901AC6"/>
    <w:rsid w:val="00901C1C"/>
    <w:rsid w:val="00901C23"/>
    <w:rsid w:val="00901CEE"/>
    <w:rsid w:val="00901D12"/>
    <w:rsid w:val="00901D32"/>
    <w:rsid w:val="00901DD4"/>
    <w:rsid w:val="00901E41"/>
    <w:rsid w:val="00901EA1"/>
    <w:rsid w:val="00901EE8"/>
    <w:rsid w:val="009020BE"/>
    <w:rsid w:val="009021C2"/>
    <w:rsid w:val="00902430"/>
    <w:rsid w:val="009024C7"/>
    <w:rsid w:val="009024F3"/>
    <w:rsid w:val="0090259A"/>
    <w:rsid w:val="00902714"/>
    <w:rsid w:val="0090272A"/>
    <w:rsid w:val="0090289F"/>
    <w:rsid w:val="00902909"/>
    <w:rsid w:val="009029DB"/>
    <w:rsid w:val="00902A0C"/>
    <w:rsid w:val="00902A49"/>
    <w:rsid w:val="00902A79"/>
    <w:rsid w:val="00902A92"/>
    <w:rsid w:val="00902AD5"/>
    <w:rsid w:val="00902CF9"/>
    <w:rsid w:val="00902D4C"/>
    <w:rsid w:val="00902DD6"/>
    <w:rsid w:val="00902DFE"/>
    <w:rsid w:val="00902E47"/>
    <w:rsid w:val="00902F3A"/>
    <w:rsid w:val="00903023"/>
    <w:rsid w:val="0090304C"/>
    <w:rsid w:val="009030C3"/>
    <w:rsid w:val="009030C7"/>
    <w:rsid w:val="00903100"/>
    <w:rsid w:val="009031A8"/>
    <w:rsid w:val="009031D2"/>
    <w:rsid w:val="00903370"/>
    <w:rsid w:val="00903404"/>
    <w:rsid w:val="0090340C"/>
    <w:rsid w:val="00903489"/>
    <w:rsid w:val="009034F1"/>
    <w:rsid w:val="0090353E"/>
    <w:rsid w:val="00903587"/>
    <w:rsid w:val="009035A4"/>
    <w:rsid w:val="00903617"/>
    <w:rsid w:val="00903773"/>
    <w:rsid w:val="009037A8"/>
    <w:rsid w:val="0090380A"/>
    <w:rsid w:val="0090380C"/>
    <w:rsid w:val="0090381E"/>
    <w:rsid w:val="0090383F"/>
    <w:rsid w:val="00903876"/>
    <w:rsid w:val="00903911"/>
    <w:rsid w:val="00903980"/>
    <w:rsid w:val="009039D0"/>
    <w:rsid w:val="00903A15"/>
    <w:rsid w:val="00903A32"/>
    <w:rsid w:val="00903AC7"/>
    <w:rsid w:val="00903BDA"/>
    <w:rsid w:val="00903C52"/>
    <w:rsid w:val="00903CFD"/>
    <w:rsid w:val="00903D19"/>
    <w:rsid w:val="00903E53"/>
    <w:rsid w:val="00903E7D"/>
    <w:rsid w:val="00903E8D"/>
    <w:rsid w:val="00903EBF"/>
    <w:rsid w:val="00903F34"/>
    <w:rsid w:val="00903F9F"/>
    <w:rsid w:val="00904146"/>
    <w:rsid w:val="009041AB"/>
    <w:rsid w:val="0090429E"/>
    <w:rsid w:val="009044E1"/>
    <w:rsid w:val="0090456D"/>
    <w:rsid w:val="009045E4"/>
    <w:rsid w:val="0090464A"/>
    <w:rsid w:val="0090466A"/>
    <w:rsid w:val="00904793"/>
    <w:rsid w:val="00904931"/>
    <w:rsid w:val="00904971"/>
    <w:rsid w:val="009049F1"/>
    <w:rsid w:val="00904A44"/>
    <w:rsid w:val="00904B33"/>
    <w:rsid w:val="00904BA7"/>
    <w:rsid w:val="00904C17"/>
    <w:rsid w:val="00904C3D"/>
    <w:rsid w:val="00904C9F"/>
    <w:rsid w:val="00904D3E"/>
    <w:rsid w:val="00904DF3"/>
    <w:rsid w:val="00904E02"/>
    <w:rsid w:val="00904E52"/>
    <w:rsid w:val="00904E7F"/>
    <w:rsid w:val="00904F4D"/>
    <w:rsid w:val="00904FE7"/>
    <w:rsid w:val="0090502B"/>
    <w:rsid w:val="00905054"/>
    <w:rsid w:val="0090514A"/>
    <w:rsid w:val="0090524F"/>
    <w:rsid w:val="009052BD"/>
    <w:rsid w:val="00905370"/>
    <w:rsid w:val="009053C4"/>
    <w:rsid w:val="0090550F"/>
    <w:rsid w:val="00905653"/>
    <w:rsid w:val="009057E0"/>
    <w:rsid w:val="0090582C"/>
    <w:rsid w:val="009058A7"/>
    <w:rsid w:val="009058E3"/>
    <w:rsid w:val="00905975"/>
    <w:rsid w:val="009059B3"/>
    <w:rsid w:val="00905A4A"/>
    <w:rsid w:val="00905AD2"/>
    <w:rsid w:val="00905AD7"/>
    <w:rsid w:val="00905B82"/>
    <w:rsid w:val="00905B85"/>
    <w:rsid w:val="00905BF2"/>
    <w:rsid w:val="00905C92"/>
    <w:rsid w:val="00905CA8"/>
    <w:rsid w:val="00905D55"/>
    <w:rsid w:val="00905DCA"/>
    <w:rsid w:val="00905E09"/>
    <w:rsid w:val="00905E2A"/>
    <w:rsid w:val="00905EBD"/>
    <w:rsid w:val="00905F20"/>
    <w:rsid w:val="00905F4C"/>
    <w:rsid w:val="00905F65"/>
    <w:rsid w:val="00905F79"/>
    <w:rsid w:val="00906024"/>
    <w:rsid w:val="009061C4"/>
    <w:rsid w:val="009061D0"/>
    <w:rsid w:val="0090621C"/>
    <w:rsid w:val="009062AD"/>
    <w:rsid w:val="009062D8"/>
    <w:rsid w:val="0090632E"/>
    <w:rsid w:val="009063DE"/>
    <w:rsid w:val="009063FA"/>
    <w:rsid w:val="009064CF"/>
    <w:rsid w:val="0090663D"/>
    <w:rsid w:val="00906714"/>
    <w:rsid w:val="009068FC"/>
    <w:rsid w:val="00906906"/>
    <w:rsid w:val="00906A42"/>
    <w:rsid w:val="00906A73"/>
    <w:rsid w:val="00906B75"/>
    <w:rsid w:val="00906C86"/>
    <w:rsid w:val="00906CA0"/>
    <w:rsid w:val="00906D20"/>
    <w:rsid w:val="00906E17"/>
    <w:rsid w:val="00906E3E"/>
    <w:rsid w:val="00906E42"/>
    <w:rsid w:val="00906E45"/>
    <w:rsid w:val="00906F0E"/>
    <w:rsid w:val="00906F79"/>
    <w:rsid w:val="00906FD0"/>
    <w:rsid w:val="00906FF9"/>
    <w:rsid w:val="0090707D"/>
    <w:rsid w:val="009071B7"/>
    <w:rsid w:val="00907212"/>
    <w:rsid w:val="00907272"/>
    <w:rsid w:val="009072F8"/>
    <w:rsid w:val="00907321"/>
    <w:rsid w:val="009073B5"/>
    <w:rsid w:val="009073F2"/>
    <w:rsid w:val="0090751E"/>
    <w:rsid w:val="00907660"/>
    <w:rsid w:val="009076A5"/>
    <w:rsid w:val="009076A6"/>
    <w:rsid w:val="009076A7"/>
    <w:rsid w:val="009077F3"/>
    <w:rsid w:val="00907867"/>
    <w:rsid w:val="009078A8"/>
    <w:rsid w:val="009078D7"/>
    <w:rsid w:val="009078DD"/>
    <w:rsid w:val="0090790C"/>
    <w:rsid w:val="0090797D"/>
    <w:rsid w:val="00907AB2"/>
    <w:rsid w:val="00907B50"/>
    <w:rsid w:val="00907BD2"/>
    <w:rsid w:val="00907C00"/>
    <w:rsid w:val="00907C3D"/>
    <w:rsid w:val="00907CB2"/>
    <w:rsid w:val="00907CCD"/>
    <w:rsid w:val="00907E0E"/>
    <w:rsid w:val="00907EB5"/>
    <w:rsid w:val="00907FB5"/>
    <w:rsid w:val="00910090"/>
    <w:rsid w:val="0091009B"/>
    <w:rsid w:val="009100B6"/>
    <w:rsid w:val="009100BD"/>
    <w:rsid w:val="009100C1"/>
    <w:rsid w:val="00910159"/>
    <w:rsid w:val="00910221"/>
    <w:rsid w:val="00910328"/>
    <w:rsid w:val="00910525"/>
    <w:rsid w:val="00910596"/>
    <w:rsid w:val="009105A5"/>
    <w:rsid w:val="0091062D"/>
    <w:rsid w:val="00910685"/>
    <w:rsid w:val="00910723"/>
    <w:rsid w:val="0091072B"/>
    <w:rsid w:val="009109FC"/>
    <w:rsid w:val="00910A21"/>
    <w:rsid w:val="00910A47"/>
    <w:rsid w:val="00910A94"/>
    <w:rsid w:val="00910ACA"/>
    <w:rsid w:val="00910B2F"/>
    <w:rsid w:val="00910BC1"/>
    <w:rsid w:val="00910BCF"/>
    <w:rsid w:val="00910D73"/>
    <w:rsid w:val="00910DA3"/>
    <w:rsid w:val="00911067"/>
    <w:rsid w:val="009110C8"/>
    <w:rsid w:val="0091111E"/>
    <w:rsid w:val="00911127"/>
    <w:rsid w:val="00911131"/>
    <w:rsid w:val="0091114C"/>
    <w:rsid w:val="0091114E"/>
    <w:rsid w:val="0091115B"/>
    <w:rsid w:val="00911164"/>
    <w:rsid w:val="009111FA"/>
    <w:rsid w:val="00911229"/>
    <w:rsid w:val="0091125E"/>
    <w:rsid w:val="00911289"/>
    <w:rsid w:val="00911337"/>
    <w:rsid w:val="009113AF"/>
    <w:rsid w:val="009113D2"/>
    <w:rsid w:val="009113FD"/>
    <w:rsid w:val="0091150B"/>
    <w:rsid w:val="0091150C"/>
    <w:rsid w:val="0091158D"/>
    <w:rsid w:val="009116FF"/>
    <w:rsid w:val="00911742"/>
    <w:rsid w:val="00911878"/>
    <w:rsid w:val="00911892"/>
    <w:rsid w:val="009118E3"/>
    <w:rsid w:val="00911944"/>
    <w:rsid w:val="0091199E"/>
    <w:rsid w:val="009119B2"/>
    <w:rsid w:val="00911A0E"/>
    <w:rsid w:val="00911A3D"/>
    <w:rsid w:val="00911B37"/>
    <w:rsid w:val="00911B5A"/>
    <w:rsid w:val="00911B5E"/>
    <w:rsid w:val="00911B70"/>
    <w:rsid w:val="00911BA2"/>
    <w:rsid w:val="00911BB2"/>
    <w:rsid w:val="00911C11"/>
    <w:rsid w:val="00911C13"/>
    <w:rsid w:val="00911CAB"/>
    <w:rsid w:val="00911CE8"/>
    <w:rsid w:val="00911DA1"/>
    <w:rsid w:val="00911DB8"/>
    <w:rsid w:val="00911E2C"/>
    <w:rsid w:val="00911E8A"/>
    <w:rsid w:val="00911ECE"/>
    <w:rsid w:val="00911FC2"/>
    <w:rsid w:val="00911FDF"/>
    <w:rsid w:val="00911FEA"/>
    <w:rsid w:val="00912004"/>
    <w:rsid w:val="00912022"/>
    <w:rsid w:val="00912058"/>
    <w:rsid w:val="009120EB"/>
    <w:rsid w:val="0091223F"/>
    <w:rsid w:val="00912290"/>
    <w:rsid w:val="009122AD"/>
    <w:rsid w:val="009122D8"/>
    <w:rsid w:val="009123E3"/>
    <w:rsid w:val="0091244C"/>
    <w:rsid w:val="009125E0"/>
    <w:rsid w:val="009126EE"/>
    <w:rsid w:val="00912713"/>
    <w:rsid w:val="0091279C"/>
    <w:rsid w:val="00912829"/>
    <w:rsid w:val="009129CB"/>
    <w:rsid w:val="00912A5B"/>
    <w:rsid w:val="00912A61"/>
    <w:rsid w:val="00912A8B"/>
    <w:rsid w:val="00912A99"/>
    <w:rsid w:val="00912B7B"/>
    <w:rsid w:val="00912B81"/>
    <w:rsid w:val="00912E2F"/>
    <w:rsid w:val="00912F3E"/>
    <w:rsid w:val="00912FB2"/>
    <w:rsid w:val="00912FDA"/>
    <w:rsid w:val="009130ED"/>
    <w:rsid w:val="0091311B"/>
    <w:rsid w:val="009131B9"/>
    <w:rsid w:val="00913257"/>
    <w:rsid w:val="00913266"/>
    <w:rsid w:val="00913290"/>
    <w:rsid w:val="009133AB"/>
    <w:rsid w:val="009133C0"/>
    <w:rsid w:val="009133CE"/>
    <w:rsid w:val="00913436"/>
    <w:rsid w:val="0091349A"/>
    <w:rsid w:val="009134E2"/>
    <w:rsid w:val="009134EA"/>
    <w:rsid w:val="0091355E"/>
    <w:rsid w:val="0091356B"/>
    <w:rsid w:val="00913571"/>
    <w:rsid w:val="0091358D"/>
    <w:rsid w:val="00913659"/>
    <w:rsid w:val="0091371D"/>
    <w:rsid w:val="00913783"/>
    <w:rsid w:val="00913828"/>
    <w:rsid w:val="009139AA"/>
    <w:rsid w:val="00913AA9"/>
    <w:rsid w:val="00913ACB"/>
    <w:rsid w:val="00913AD6"/>
    <w:rsid w:val="00913B53"/>
    <w:rsid w:val="00913BA8"/>
    <w:rsid w:val="00913D53"/>
    <w:rsid w:val="00913E68"/>
    <w:rsid w:val="00913EB2"/>
    <w:rsid w:val="00913FA6"/>
    <w:rsid w:val="0091404F"/>
    <w:rsid w:val="009141C4"/>
    <w:rsid w:val="00914216"/>
    <w:rsid w:val="009142FE"/>
    <w:rsid w:val="00914399"/>
    <w:rsid w:val="009143BA"/>
    <w:rsid w:val="00914408"/>
    <w:rsid w:val="0091441A"/>
    <w:rsid w:val="00914451"/>
    <w:rsid w:val="00914462"/>
    <w:rsid w:val="00914578"/>
    <w:rsid w:val="009146AF"/>
    <w:rsid w:val="0091475E"/>
    <w:rsid w:val="00914848"/>
    <w:rsid w:val="00914930"/>
    <w:rsid w:val="009149C1"/>
    <w:rsid w:val="00914ADA"/>
    <w:rsid w:val="00914B60"/>
    <w:rsid w:val="00914BBC"/>
    <w:rsid w:val="00914D27"/>
    <w:rsid w:val="00914D63"/>
    <w:rsid w:val="00914E3D"/>
    <w:rsid w:val="00914E64"/>
    <w:rsid w:val="00914EBB"/>
    <w:rsid w:val="00914FE7"/>
    <w:rsid w:val="009150C3"/>
    <w:rsid w:val="00915233"/>
    <w:rsid w:val="0091530C"/>
    <w:rsid w:val="0091538D"/>
    <w:rsid w:val="009154A5"/>
    <w:rsid w:val="009154D2"/>
    <w:rsid w:val="009154F2"/>
    <w:rsid w:val="009154F4"/>
    <w:rsid w:val="00915625"/>
    <w:rsid w:val="00915662"/>
    <w:rsid w:val="009156FE"/>
    <w:rsid w:val="00915838"/>
    <w:rsid w:val="0091588B"/>
    <w:rsid w:val="009158BF"/>
    <w:rsid w:val="00915903"/>
    <w:rsid w:val="0091595F"/>
    <w:rsid w:val="009159E2"/>
    <w:rsid w:val="009159E5"/>
    <w:rsid w:val="00915AC8"/>
    <w:rsid w:val="00915C38"/>
    <w:rsid w:val="00915C4E"/>
    <w:rsid w:val="00915C5B"/>
    <w:rsid w:val="00915D6D"/>
    <w:rsid w:val="00915D9D"/>
    <w:rsid w:val="00915E4E"/>
    <w:rsid w:val="00915ECC"/>
    <w:rsid w:val="00915F1C"/>
    <w:rsid w:val="00915F33"/>
    <w:rsid w:val="00915FFE"/>
    <w:rsid w:val="0091600A"/>
    <w:rsid w:val="00916071"/>
    <w:rsid w:val="00916171"/>
    <w:rsid w:val="00916222"/>
    <w:rsid w:val="009162CB"/>
    <w:rsid w:val="009162E7"/>
    <w:rsid w:val="009163E2"/>
    <w:rsid w:val="00916404"/>
    <w:rsid w:val="00916418"/>
    <w:rsid w:val="0091650E"/>
    <w:rsid w:val="00916553"/>
    <w:rsid w:val="009165D9"/>
    <w:rsid w:val="009166CD"/>
    <w:rsid w:val="0091672C"/>
    <w:rsid w:val="009167AB"/>
    <w:rsid w:val="0091687D"/>
    <w:rsid w:val="009168ED"/>
    <w:rsid w:val="00916930"/>
    <w:rsid w:val="00916978"/>
    <w:rsid w:val="00916999"/>
    <w:rsid w:val="00916A4B"/>
    <w:rsid w:val="00916A4E"/>
    <w:rsid w:val="00916BDB"/>
    <w:rsid w:val="00916C07"/>
    <w:rsid w:val="00916C9F"/>
    <w:rsid w:val="00916D3B"/>
    <w:rsid w:val="00916D80"/>
    <w:rsid w:val="00916E2D"/>
    <w:rsid w:val="00916E9F"/>
    <w:rsid w:val="00916ED9"/>
    <w:rsid w:val="00917044"/>
    <w:rsid w:val="00917154"/>
    <w:rsid w:val="0091731E"/>
    <w:rsid w:val="00917335"/>
    <w:rsid w:val="00917379"/>
    <w:rsid w:val="009173F1"/>
    <w:rsid w:val="00917540"/>
    <w:rsid w:val="00917545"/>
    <w:rsid w:val="00917618"/>
    <w:rsid w:val="0091782A"/>
    <w:rsid w:val="009178D3"/>
    <w:rsid w:val="009178F9"/>
    <w:rsid w:val="00917970"/>
    <w:rsid w:val="00917A65"/>
    <w:rsid w:val="00917B0D"/>
    <w:rsid w:val="00917B17"/>
    <w:rsid w:val="00917B39"/>
    <w:rsid w:val="00917B5A"/>
    <w:rsid w:val="00917B78"/>
    <w:rsid w:val="00917BE2"/>
    <w:rsid w:val="00917E64"/>
    <w:rsid w:val="00920037"/>
    <w:rsid w:val="00920053"/>
    <w:rsid w:val="009200CF"/>
    <w:rsid w:val="0092013C"/>
    <w:rsid w:val="00920277"/>
    <w:rsid w:val="009202DD"/>
    <w:rsid w:val="009203CB"/>
    <w:rsid w:val="009204D8"/>
    <w:rsid w:val="009205AE"/>
    <w:rsid w:val="00920689"/>
    <w:rsid w:val="0092071A"/>
    <w:rsid w:val="00920772"/>
    <w:rsid w:val="009207D9"/>
    <w:rsid w:val="009207FF"/>
    <w:rsid w:val="00920884"/>
    <w:rsid w:val="00920953"/>
    <w:rsid w:val="00920969"/>
    <w:rsid w:val="009209D8"/>
    <w:rsid w:val="009209EA"/>
    <w:rsid w:val="00920A46"/>
    <w:rsid w:val="00920AD9"/>
    <w:rsid w:val="00920B3A"/>
    <w:rsid w:val="00920BA9"/>
    <w:rsid w:val="00920CE4"/>
    <w:rsid w:val="00920D66"/>
    <w:rsid w:val="00920DB5"/>
    <w:rsid w:val="00920E2E"/>
    <w:rsid w:val="00920E3D"/>
    <w:rsid w:val="00920E63"/>
    <w:rsid w:val="00920FE3"/>
    <w:rsid w:val="009211E4"/>
    <w:rsid w:val="009211EB"/>
    <w:rsid w:val="00921207"/>
    <w:rsid w:val="009212F0"/>
    <w:rsid w:val="0092151E"/>
    <w:rsid w:val="00921567"/>
    <w:rsid w:val="0092160B"/>
    <w:rsid w:val="009216F9"/>
    <w:rsid w:val="00921708"/>
    <w:rsid w:val="00921781"/>
    <w:rsid w:val="009218B9"/>
    <w:rsid w:val="0092198A"/>
    <w:rsid w:val="00921BB3"/>
    <w:rsid w:val="00921C01"/>
    <w:rsid w:val="00921C5A"/>
    <w:rsid w:val="00921C7C"/>
    <w:rsid w:val="00921CCB"/>
    <w:rsid w:val="00921D83"/>
    <w:rsid w:val="00921DB9"/>
    <w:rsid w:val="00921EA3"/>
    <w:rsid w:val="00921F01"/>
    <w:rsid w:val="00921F28"/>
    <w:rsid w:val="00921F29"/>
    <w:rsid w:val="00921FF9"/>
    <w:rsid w:val="0092200D"/>
    <w:rsid w:val="00922140"/>
    <w:rsid w:val="00922193"/>
    <w:rsid w:val="009223D9"/>
    <w:rsid w:val="009223F0"/>
    <w:rsid w:val="009224A5"/>
    <w:rsid w:val="009224DD"/>
    <w:rsid w:val="009224F6"/>
    <w:rsid w:val="009225DA"/>
    <w:rsid w:val="009226A1"/>
    <w:rsid w:val="009226B9"/>
    <w:rsid w:val="00922756"/>
    <w:rsid w:val="0092275B"/>
    <w:rsid w:val="00922A9F"/>
    <w:rsid w:val="00922CD9"/>
    <w:rsid w:val="00922D4A"/>
    <w:rsid w:val="00922D9B"/>
    <w:rsid w:val="00922DB1"/>
    <w:rsid w:val="00922E6C"/>
    <w:rsid w:val="00922EE1"/>
    <w:rsid w:val="00922F01"/>
    <w:rsid w:val="00922F54"/>
    <w:rsid w:val="00922FE7"/>
    <w:rsid w:val="00922FEC"/>
    <w:rsid w:val="0092300B"/>
    <w:rsid w:val="0092303D"/>
    <w:rsid w:val="0092308C"/>
    <w:rsid w:val="009230D4"/>
    <w:rsid w:val="00923138"/>
    <w:rsid w:val="00923164"/>
    <w:rsid w:val="009231D0"/>
    <w:rsid w:val="00923289"/>
    <w:rsid w:val="0092328B"/>
    <w:rsid w:val="00923290"/>
    <w:rsid w:val="009232B9"/>
    <w:rsid w:val="009232D0"/>
    <w:rsid w:val="00923376"/>
    <w:rsid w:val="0092338F"/>
    <w:rsid w:val="009233CA"/>
    <w:rsid w:val="00923576"/>
    <w:rsid w:val="00923597"/>
    <w:rsid w:val="009235E4"/>
    <w:rsid w:val="009235F3"/>
    <w:rsid w:val="0092360C"/>
    <w:rsid w:val="009236B2"/>
    <w:rsid w:val="0092373A"/>
    <w:rsid w:val="00923874"/>
    <w:rsid w:val="00923993"/>
    <w:rsid w:val="009239B7"/>
    <w:rsid w:val="009239E9"/>
    <w:rsid w:val="00923A44"/>
    <w:rsid w:val="00923A54"/>
    <w:rsid w:val="00923A98"/>
    <w:rsid w:val="00923A9B"/>
    <w:rsid w:val="00923AA4"/>
    <w:rsid w:val="00923ADE"/>
    <w:rsid w:val="00923AF7"/>
    <w:rsid w:val="00923B1E"/>
    <w:rsid w:val="00923B40"/>
    <w:rsid w:val="00923B55"/>
    <w:rsid w:val="00923B8B"/>
    <w:rsid w:val="00923C86"/>
    <w:rsid w:val="00923CA8"/>
    <w:rsid w:val="00923CAA"/>
    <w:rsid w:val="00923D6A"/>
    <w:rsid w:val="00923E46"/>
    <w:rsid w:val="00923F51"/>
    <w:rsid w:val="00923FC6"/>
    <w:rsid w:val="00924068"/>
    <w:rsid w:val="0092429D"/>
    <w:rsid w:val="009242D9"/>
    <w:rsid w:val="00924334"/>
    <w:rsid w:val="00924368"/>
    <w:rsid w:val="009243E4"/>
    <w:rsid w:val="00924445"/>
    <w:rsid w:val="0092447E"/>
    <w:rsid w:val="009244B4"/>
    <w:rsid w:val="009244DC"/>
    <w:rsid w:val="009245E9"/>
    <w:rsid w:val="0092481B"/>
    <w:rsid w:val="00924869"/>
    <w:rsid w:val="00924A07"/>
    <w:rsid w:val="00924A5E"/>
    <w:rsid w:val="00924AAE"/>
    <w:rsid w:val="00924ADB"/>
    <w:rsid w:val="00924B25"/>
    <w:rsid w:val="00924BA6"/>
    <w:rsid w:val="00924C06"/>
    <w:rsid w:val="00924C5F"/>
    <w:rsid w:val="00924CB8"/>
    <w:rsid w:val="00924DB6"/>
    <w:rsid w:val="00924E1A"/>
    <w:rsid w:val="00924EC3"/>
    <w:rsid w:val="00924F3C"/>
    <w:rsid w:val="009250AA"/>
    <w:rsid w:val="009250BE"/>
    <w:rsid w:val="00925153"/>
    <w:rsid w:val="009251B8"/>
    <w:rsid w:val="009251F6"/>
    <w:rsid w:val="00925228"/>
    <w:rsid w:val="0092524D"/>
    <w:rsid w:val="0092525F"/>
    <w:rsid w:val="0092527E"/>
    <w:rsid w:val="00925363"/>
    <w:rsid w:val="00925366"/>
    <w:rsid w:val="0092539A"/>
    <w:rsid w:val="009253CF"/>
    <w:rsid w:val="00925489"/>
    <w:rsid w:val="0092563B"/>
    <w:rsid w:val="00925643"/>
    <w:rsid w:val="00925697"/>
    <w:rsid w:val="009256CE"/>
    <w:rsid w:val="0092575A"/>
    <w:rsid w:val="00925776"/>
    <w:rsid w:val="009257DB"/>
    <w:rsid w:val="0092581C"/>
    <w:rsid w:val="00925861"/>
    <w:rsid w:val="0092595A"/>
    <w:rsid w:val="00925999"/>
    <w:rsid w:val="00925B1D"/>
    <w:rsid w:val="00925B92"/>
    <w:rsid w:val="00925BA1"/>
    <w:rsid w:val="00925BC4"/>
    <w:rsid w:val="00925BED"/>
    <w:rsid w:val="00925C61"/>
    <w:rsid w:val="00925CD1"/>
    <w:rsid w:val="00925E59"/>
    <w:rsid w:val="00925EA9"/>
    <w:rsid w:val="00925EEA"/>
    <w:rsid w:val="00925EFC"/>
    <w:rsid w:val="00925F73"/>
    <w:rsid w:val="00925FB6"/>
    <w:rsid w:val="00926071"/>
    <w:rsid w:val="00926119"/>
    <w:rsid w:val="00926251"/>
    <w:rsid w:val="00926352"/>
    <w:rsid w:val="009263A7"/>
    <w:rsid w:val="009263BA"/>
    <w:rsid w:val="0092640B"/>
    <w:rsid w:val="0092645C"/>
    <w:rsid w:val="00926495"/>
    <w:rsid w:val="0092649E"/>
    <w:rsid w:val="009265C8"/>
    <w:rsid w:val="00926620"/>
    <w:rsid w:val="009266E6"/>
    <w:rsid w:val="0092677D"/>
    <w:rsid w:val="00926867"/>
    <w:rsid w:val="00926890"/>
    <w:rsid w:val="009268AE"/>
    <w:rsid w:val="0092697A"/>
    <w:rsid w:val="0092698D"/>
    <w:rsid w:val="009269FB"/>
    <w:rsid w:val="00926A41"/>
    <w:rsid w:val="00926AEB"/>
    <w:rsid w:val="00926B37"/>
    <w:rsid w:val="00926BA6"/>
    <w:rsid w:val="00926CAA"/>
    <w:rsid w:val="00926CC0"/>
    <w:rsid w:val="00926D3C"/>
    <w:rsid w:val="00926E3F"/>
    <w:rsid w:val="00926E62"/>
    <w:rsid w:val="00926E74"/>
    <w:rsid w:val="00926E87"/>
    <w:rsid w:val="00926F97"/>
    <w:rsid w:val="00926FE4"/>
    <w:rsid w:val="009271EE"/>
    <w:rsid w:val="009272C8"/>
    <w:rsid w:val="0092744B"/>
    <w:rsid w:val="009274CC"/>
    <w:rsid w:val="00927509"/>
    <w:rsid w:val="00927597"/>
    <w:rsid w:val="009275FF"/>
    <w:rsid w:val="0092761C"/>
    <w:rsid w:val="009276ED"/>
    <w:rsid w:val="009276FA"/>
    <w:rsid w:val="00927880"/>
    <w:rsid w:val="009278C0"/>
    <w:rsid w:val="009278F1"/>
    <w:rsid w:val="00927905"/>
    <w:rsid w:val="0092796E"/>
    <w:rsid w:val="0092799C"/>
    <w:rsid w:val="00927AE2"/>
    <w:rsid w:val="00927AF7"/>
    <w:rsid w:val="00927B05"/>
    <w:rsid w:val="00927B6E"/>
    <w:rsid w:val="00927BBE"/>
    <w:rsid w:val="00927CB3"/>
    <w:rsid w:val="00927D73"/>
    <w:rsid w:val="00927E4B"/>
    <w:rsid w:val="00927E58"/>
    <w:rsid w:val="00927FE4"/>
    <w:rsid w:val="0093002E"/>
    <w:rsid w:val="00930086"/>
    <w:rsid w:val="00930191"/>
    <w:rsid w:val="00930340"/>
    <w:rsid w:val="0093034F"/>
    <w:rsid w:val="009304A9"/>
    <w:rsid w:val="009304C5"/>
    <w:rsid w:val="009305EF"/>
    <w:rsid w:val="00930604"/>
    <w:rsid w:val="0093061D"/>
    <w:rsid w:val="009306C8"/>
    <w:rsid w:val="0093086E"/>
    <w:rsid w:val="00930995"/>
    <w:rsid w:val="009309DA"/>
    <w:rsid w:val="00930A30"/>
    <w:rsid w:val="00930B53"/>
    <w:rsid w:val="00930C47"/>
    <w:rsid w:val="00930CDE"/>
    <w:rsid w:val="00930DC4"/>
    <w:rsid w:val="00930E4D"/>
    <w:rsid w:val="00930EBB"/>
    <w:rsid w:val="00930EFC"/>
    <w:rsid w:val="00930F1A"/>
    <w:rsid w:val="00930F36"/>
    <w:rsid w:val="00930FA9"/>
    <w:rsid w:val="00930FDD"/>
    <w:rsid w:val="00931028"/>
    <w:rsid w:val="009310A4"/>
    <w:rsid w:val="00931175"/>
    <w:rsid w:val="0093119D"/>
    <w:rsid w:val="00931389"/>
    <w:rsid w:val="009313CC"/>
    <w:rsid w:val="00931406"/>
    <w:rsid w:val="0093146F"/>
    <w:rsid w:val="009314EF"/>
    <w:rsid w:val="0093152E"/>
    <w:rsid w:val="0093156D"/>
    <w:rsid w:val="009315A6"/>
    <w:rsid w:val="009315E3"/>
    <w:rsid w:val="009315F0"/>
    <w:rsid w:val="009318C4"/>
    <w:rsid w:val="0093194B"/>
    <w:rsid w:val="009319FD"/>
    <w:rsid w:val="00931B2E"/>
    <w:rsid w:val="00931BE8"/>
    <w:rsid w:val="00931CD3"/>
    <w:rsid w:val="00931CF2"/>
    <w:rsid w:val="00931D2C"/>
    <w:rsid w:val="00931EF0"/>
    <w:rsid w:val="00931F1F"/>
    <w:rsid w:val="0093200C"/>
    <w:rsid w:val="0093202B"/>
    <w:rsid w:val="009320F1"/>
    <w:rsid w:val="00932160"/>
    <w:rsid w:val="0093219B"/>
    <w:rsid w:val="009322F5"/>
    <w:rsid w:val="0093237B"/>
    <w:rsid w:val="00932621"/>
    <w:rsid w:val="0093271E"/>
    <w:rsid w:val="009327E8"/>
    <w:rsid w:val="00932864"/>
    <w:rsid w:val="0093290F"/>
    <w:rsid w:val="009329E5"/>
    <w:rsid w:val="009329F1"/>
    <w:rsid w:val="00932A77"/>
    <w:rsid w:val="00932B1F"/>
    <w:rsid w:val="00932B64"/>
    <w:rsid w:val="00932BDC"/>
    <w:rsid w:val="00932C23"/>
    <w:rsid w:val="00932CB6"/>
    <w:rsid w:val="00932D3C"/>
    <w:rsid w:val="00932E4A"/>
    <w:rsid w:val="00932E75"/>
    <w:rsid w:val="00932F1C"/>
    <w:rsid w:val="00932F2F"/>
    <w:rsid w:val="00933064"/>
    <w:rsid w:val="009330AF"/>
    <w:rsid w:val="009330D0"/>
    <w:rsid w:val="009330E4"/>
    <w:rsid w:val="009331B5"/>
    <w:rsid w:val="009331C9"/>
    <w:rsid w:val="009331E1"/>
    <w:rsid w:val="009331EE"/>
    <w:rsid w:val="009332D5"/>
    <w:rsid w:val="00933303"/>
    <w:rsid w:val="0093336F"/>
    <w:rsid w:val="009333A1"/>
    <w:rsid w:val="00933506"/>
    <w:rsid w:val="00933508"/>
    <w:rsid w:val="00933519"/>
    <w:rsid w:val="0093351D"/>
    <w:rsid w:val="00933577"/>
    <w:rsid w:val="0093358A"/>
    <w:rsid w:val="009335A2"/>
    <w:rsid w:val="009336BE"/>
    <w:rsid w:val="009337F2"/>
    <w:rsid w:val="0093387B"/>
    <w:rsid w:val="009338E4"/>
    <w:rsid w:val="0093393C"/>
    <w:rsid w:val="00933959"/>
    <w:rsid w:val="009339E7"/>
    <w:rsid w:val="00933A3D"/>
    <w:rsid w:val="00933A72"/>
    <w:rsid w:val="00933AA9"/>
    <w:rsid w:val="00933B39"/>
    <w:rsid w:val="00933B5F"/>
    <w:rsid w:val="00933C42"/>
    <w:rsid w:val="00933E08"/>
    <w:rsid w:val="00933F27"/>
    <w:rsid w:val="00934246"/>
    <w:rsid w:val="009342A2"/>
    <w:rsid w:val="009342AE"/>
    <w:rsid w:val="009342FC"/>
    <w:rsid w:val="009343C5"/>
    <w:rsid w:val="00934452"/>
    <w:rsid w:val="00934453"/>
    <w:rsid w:val="009344C7"/>
    <w:rsid w:val="009344CB"/>
    <w:rsid w:val="00934574"/>
    <w:rsid w:val="009345CD"/>
    <w:rsid w:val="009345F1"/>
    <w:rsid w:val="009346BA"/>
    <w:rsid w:val="00934707"/>
    <w:rsid w:val="0093471F"/>
    <w:rsid w:val="009347DD"/>
    <w:rsid w:val="009347FF"/>
    <w:rsid w:val="00934831"/>
    <w:rsid w:val="0093498E"/>
    <w:rsid w:val="00934A16"/>
    <w:rsid w:val="00934A3A"/>
    <w:rsid w:val="00934A63"/>
    <w:rsid w:val="00934A74"/>
    <w:rsid w:val="00934B25"/>
    <w:rsid w:val="00934BA5"/>
    <w:rsid w:val="00934CCD"/>
    <w:rsid w:val="00934CEA"/>
    <w:rsid w:val="00934DAB"/>
    <w:rsid w:val="00934E0F"/>
    <w:rsid w:val="00934F72"/>
    <w:rsid w:val="009351A0"/>
    <w:rsid w:val="009351FF"/>
    <w:rsid w:val="0093532A"/>
    <w:rsid w:val="00935562"/>
    <w:rsid w:val="009355A0"/>
    <w:rsid w:val="009355D6"/>
    <w:rsid w:val="00935611"/>
    <w:rsid w:val="0093574D"/>
    <w:rsid w:val="0093577E"/>
    <w:rsid w:val="00935807"/>
    <w:rsid w:val="00935850"/>
    <w:rsid w:val="0093585A"/>
    <w:rsid w:val="00935884"/>
    <w:rsid w:val="009358D0"/>
    <w:rsid w:val="009358D5"/>
    <w:rsid w:val="0093593C"/>
    <w:rsid w:val="0093594D"/>
    <w:rsid w:val="00935952"/>
    <w:rsid w:val="00935B5A"/>
    <w:rsid w:val="00935BFD"/>
    <w:rsid w:val="00935C1F"/>
    <w:rsid w:val="00935C21"/>
    <w:rsid w:val="00935DA6"/>
    <w:rsid w:val="00935E9D"/>
    <w:rsid w:val="00935EA8"/>
    <w:rsid w:val="00935EFF"/>
    <w:rsid w:val="00936068"/>
    <w:rsid w:val="009360AB"/>
    <w:rsid w:val="009360B0"/>
    <w:rsid w:val="00936219"/>
    <w:rsid w:val="00936289"/>
    <w:rsid w:val="00936298"/>
    <w:rsid w:val="009362F9"/>
    <w:rsid w:val="00936341"/>
    <w:rsid w:val="00936420"/>
    <w:rsid w:val="0093642B"/>
    <w:rsid w:val="00936451"/>
    <w:rsid w:val="0093657D"/>
    <w:rsid w:val="00936590"/>
    <w:rsid w:val="00936705"/>
    <w:rsid w:val="0093671D"/>
    <w:rsid w:val="0093679A"/>
    <w:rsid w:val="009367C6"/>
    <w:rsid w:val="00936966"/>
    <w:rsid w:val="009369A7"/>
    <w:rsid w:val="00936A54"/>
    <w:rsid w:val="00936B01"/>
    <w:rsid w:val="00936B5E"/>
    <w:rsid w:val="00936D43"/>
    <w:rsid w:val="00936D45"/>
    <w:rsid w:val="00936D9D"/>
    <w:rsid w:val="00936DA6"/>
    <w:rsid w:val="00936F5C"/>
    <w:rsid w:val="0093703F"/>
    <w:rsid w:val="0093719C"/>
    <w:rsid w:val="009371DC"/>
    <w:rsid w:val="009371FB"/>
    <w:rsid w:val="0093728B"/>
    <w:rsid w:val="009372AB"/>
    <w:rsid w:val="009372BA"/>
    <w:rsid w:val="00937324"/>
    <w:rsid w:val="009373AB"/>
    <w:rsid w:val="0093748D"/>
    <w:rsid w:val="009376BA"/>
    <w:rsid w:val="0093772B"/>
    <w:rsid w:val="00937732"/>
    <w:rsid w:val="009377C3"/>
    <w:rsid w:val="009377D8"/>
    <w:rsid w:val="0093784C"/>
    <w:rsid w:val="009378F7"/>
    <w:rsid w:val="0093792F"/>
    <w:rsid w:val="009379C4"/>
    <w:rsid w:val="00937A68"/>
    <w:rsid w:val="00937B9A"/>
    <w:rsid w:val="00937C22"/>
    <w:rsid w:val="00937C3A"/>
    <w:rsid w:val="00937C9A"/>
    <w:rsid w:val="00937D21"/>
    <w:rsid w:val="00937D31"/>
    <w:rsid w:val="00937D47"/>
    <w:rsid w:val="00937DE4"/>
    <w:rsid w:val="00937E24"/>
    <w:rsid w:val="00937E53"/>
    <w:rsid w:val="00937EDE"/>
    <w:rsid w:val="00937F07"/>
    <w:rsid w:val="00937F4E"/>
    <w:rsid w:val="00937F80"/>
    <w:rsid w:val="00937FAF"/>
    <w:rsid w:val="00937FEE"/>
    <w:rsid w:val="00940095"/>
    <w:rsid w:val="009400FD"/>
    <w:rsid w:val="0094016F"/>
    <w:rsid w:val="00940201"/>
    <w:rsid w:val="00940246"/>
    <w:rsid w:val="0094027D"/>
    <w:rsid w:val="009402DC"/>
    <w:rsid w:val="00940317"/>
    <w:rsid w:val="00940423"/>
    <w:rsid w:val="00940476"/>
    <w:rsid w:val="009404C8"/>
    <w:rsid w:val="0094057E"/>
    <w:rsid w:val="00940740"/>
    <w:rsid w:val="0094077B"/>
    <w:rsid w:val="0094078D"/>
    <w:rsid w:val="009408BB"/>
    <w:rsid w:val="00940B04"/>
    <w:rsid w:val="00940B0C"/>
    <w:rsid w:val="00940B49"/>
    <w:rsid w:val="00940C37"/>
    <w:rsid w:val="00940C7D"/>
    <w:rsid w:val="00940D16"/>
    <w:rsid w:val="00940E8E"/>
    <w:rsid w:val="00940ED0"/>
    <w:rsid w:val="00940EF7"/>
    <w:rsid w:val="00940F62"/>
    <w:rsid w:val="00940F9B"/>
    <w:rsid w:val="00941002"/>
    <w:rsid w:val="0094109C"/>
    <w:rsid w:val="0094115C"/>
    <w:rsid w:val="009411FB"/>
    <w:rsid w:val="00941226"/>
    <w:rsid w:val="009412A8"/>
    <w:rsid w:val="009412B2"/>
    <w:rsid w:val="0094136D"/>
    <w:rsid w:val="009413ED"/>
    <w:rsid w:val="00941528"/>
    <w:rsid w:val="009415AB"/>
    <w:rsid w:val="0094166C"/>
    <w:rsid w:val="00941731"/>
    <w:rsid w:val="00941781"/>
    <w:rsid w:val="00941818"/>
    <w:rsid w:val="0094187A"/>
    <w:rsid w:val="009418BC"/>
    <w:rsid w:val="009418D9"/>
    <w:rsid w:val="009419F6"/>
    <w:rsid w:val="00941A32"/>
    <w:rsid w:val="00941A40"/>
    <w:rsid w:val="00941BC7"/>
    <w:rsid w:val="00941BE2"/>
    <w:rsid w:val="00941DE8"/>
    <w:rsid w:val="00941E3C"/>
    <w:rsid w:val="00941F3E"/>
    <w:rsid w:val="00941FD8"/>
    <w:rsid w:val="0094201C"/>
    <w:rsid w:val="0094208E"/>
    <w:rsid w:val="009421B6"/>
    <w:rsid w:val="0094234E"/>
    <w:rsid w:val="00942362"/>
    <w:rsid w:val="009423BD"/>
    <w:rsid w:val="009423C2"/>
    <w:rsid w:val="00942431"/>
    <w:rsid w:val="0094254D"/>
    <w:rsid w:val="009425D7"/>
    <w:rsid w:val="00942720"/>
    <w:rsid w:val="009427C4"/>
    <w:rsid w:val="0094283A"/>
    <w:rsid w:val="00942C36"/>
    <w:rsid w:val="00942C98"/>
    <w:rsid w:val="00942CA2"/>
    <w:rsid w:val="00942CD3"/>
    <w:rsid w:val="00942D69"/>
    <w:rsid w:val="00942D92"/>
    <w:rsid w:val="00942DBC"/>
    <w:rsid w:val="00942EEC"/>
    <w:rsid w:val="00942F4B"/>
    <w:rsid w:val="00942F63"/>
    <w:rsid w:val="0094311A"/>
    <w:rsid w:val="00943133"/>
    <w:rsid w:val="0094317F"/>
    <w:rsid w:val="009431D1"/>
    <w:rsid w:val="00943310"/>
    <w:rsid w:val="00943331"/>
    <w:rsid w:val="009433CE"/>
    <w:rsid w:val="009433DA"/>
    <w:rsid w:val="009433E5"/>
    <w:rsid w:val="00943445"/>
    <w:rsid w:val="009434C4"/>
    <w:rsid w:val="00943520"/>
    <w:rsid w:val="0094353D"/>
    <w:rsid w:val="00943582"/>
    <w:rsid w:val="009435A6"/>
    <w:rsid w:val="009435CE"/>
    <w:rsid w:val="009436AF"/>
    <w:rsid w:val="0094370B"/>
    <w:rsid w:val="00943806"/>
    <w:rsid w:val="00943875"/>
    <w:rsid w:val="009438A8"/>
    <w:rsid w:val="0094391C"/>
    <w:rsid w:val="00943A54"/>
    <w:rsid w:val="00943A5C"/>
    <w:rsid w:val="00943A8F"/>
    <w:rsid w:val="00943AA8"/>
    <w:rsid w:val="00943AF4"/>
    <w:rsid w:val="00943BDE"/>
    <w:rsid w:val="00943C52"/>
    <w:rsid w:val="00943CB9"/>
    <w:rsid w:val="00943CDF"/>
    <w:rsid w:val="00943CFA"/>
    <w:rsid w:val="00943E5A"/>
    <w:rsid w:val="00943F38"/>
    <w:rsid w:val="00943F8B"/>
    <w:rsid w:val="0094407A"/>
    <w:rsid w:val="00944182"/>
    <w:rsid w:val="009441B3"/>
    <w:rsid w:val="009441CB"/>
    <w:rsid w:val="00944328"/>
    <w:rsid w:val="00944345"/>
    <w:rsid w:val="009443DD"/>
    <w:rsid w:val="009444B5"/>
    <w:rsid w:val="009446B7"/>
    <w:rsid w:val="009446CD"/>
    <w:rsid w:val="0094482F"/>
    <w:rsid w:val="00944930"/>
    <w:rsid w:val="00944A59"/>
    <w:rsid w:val="00944A89"/>
    <w:rsid w:val="00944AB4"/>
    <w:rsid w:val="00944B5E"/>
    <w:rsid w:val="00944C30"/>
    <w:rsid w:val="00944C78"/>
    <w:rsid w:val="00944C98"/>
    <w:rsid w:val="00944CAB"/>
    <w:rsid w:val="00944E9F"/>
    <w:rsid w:val="00944EEC"/>
    <w:rsid w:val="00944FB6"/>
    <w:rsid w:val="00944FF9"/>
    <w:rsid w:val="00945126"/>
    <w:rsid w:val="0094524D"/>
    <w:rsid w:val="0094529B"/>
    <w:rsid w:val="0094529F"/>
    <w:rsid w:val="009452E1"/>
    <w:rsid w:val="009453ED"/>
    <w:rsid w:val="0094546A"/>
    <w:rsid w:val="009454D6"/>
    <w:rsid w:val="0094556A"/>
    <w:rsid w:val="00945595"/>
    <w:rsid w:val="0094575B"/>
    <w:rsid w:val="0094586C"/>
    <w:rsid w:val="009458D9"/>
    <w:rsid w:val="0094591D"/>
    <w:rsid w:val="009459F4"/>
    <w:rsid w:val="00945A5C"/>
    <w:rsid w:val="00945AB5"/>
    <w:rsid w:val="00945BAF"/>
    <w:rsid w:val="00945BB7"/>
    <w:rsid w:val="00945C77"/>
    <w:rsid w:val="00945D12"/>
    <w:rsid w:val="00945DD5"/>
    <w:rsid w:val="00945E84"/>
    <w:rsid w:val="00945FF1"/>
    <w:rsid w:val="00946148"/>
    <w:rsid w:val="00946155"/>
    <w:rsid w:val="00946204"/>
    <w:rsid w:val="0094620F"/>
    <w:rsid w:val="009462BA"/>
    <w:rsid w:val="009462BF"/>
    <w:rsid w:val="00946351"/>
    <w:rsid w:val="009463C3"/>
    <w:rsid w:val="0094640E"/>
    <w:rsid w:val="009464FE"/>
    <w:rsid w:val="0094655E"/>
    <w:rsid w:val="00946576"/>
    <w:rsid w:val="0094657A"/>
    <w:rsid w:val="0094658C"/>
    <w:rsid w:val="009466C1"/>
    <w:rsid w:val="009466EC"/>
    <w:rsid w:val="0094670F"/>
    <w:rsid w:val="009468DE"/>
    <w:rsid w:val="00946920"/>
    <w:rsid w:val="00946A0E"/>
    <w:rsid w:val="00946A9A"/>
    <w:rsid w:val="00946BC5"/>
    <w:rsid w:val="00946CEC"/>
    <w:rsid w:val="00946D85"/>
    <w:rsid w:val="00946DF2"/>
    <w:rsid w:val="00946E14"/>
    <w:rsid w:val="00946E1F"/>
    <w:rsid w:val="00946E8C"/>
    <w:rsid w:val="00947175"/>
    <w:rsid w:val="009471CB"/>
    <w:rsid w:val="00947223"/>
    <w:rsid w:val="0094732E"/>
    <w:rsid w:val="009473EC"/>
    <w:rsid w:val="009474A0"/>
    <w:rsid w:val="009475DD"/>
    <w:rsid w:val="0094762F"/>
    <w:rsid w:val="009476A1"/>
    <w:rsid w:val="00947744"/>
    <w:rsid w:val="009477AF"/>
    <w:rsid w:val="009477B4"/>
    <w:rsid w:val="00947872"/>
    <w:rsid w:val="00947A18"/>
    <w:rsid w:val="00947A65"/>
    <w:rsid w:val="00947B40"/>
    <w:rsid w:val="00947B4F"/>
    <w:rsid w:val="00947B6E"/>
    <w:rsid w:val="00947BE6"/>
    <w:rsid w:val="00947C13"/>
    <w:rsid w:val="00947C41"/>
    <w:rsid w:val="00947C4D"/>
    <w:rsid w:val="00947D05"/>
    <w:rsid w:val="00947D61"/>
    <w:rsid w:val="00947DA3"/>
    <w:rsid w:val="00947E5C"/>
    <w:rsid w:val="00947E5D"/>
    <w:rsid w:val="00947F5C"/>
    <w:rsid w:val="00947F9B"/>
    <w:rsid w:val="009500CB"/>
    <w:rsid w:val="009500DD"/>
    <w:rsid w:val="009500EF"/>
    <w:rsid w:val="0095014B"/>
    <w:rsid w:val="00950287"/>
    <w:rsid w:val="009503EE"/>
    <w:rsid w:val="009504AD"/>
    <w:rsid w:val="0095050D"/>
    <w:rsid w:val="00950525"/>
    <w:rsid w:val="009505EB"/>
    <w:rsid w:val="0095076B"/>
    <w:rsid w:val="0095079A"/>
    <w:rsid w:val="009507D6"/>
    <w:rsid w:val="00950968"/>
    <w:rsid w:val="00950A1E"/>
    <w:rsid w:val="00950A5C"/>
    <w:rsid w:val="00950A94"/>
    <w:rsid w:val="00950B19"/>
    <w:rsid w:val="00950B2A"/>
    <w:rsid w:val="00950B98"/>
    <w:rsid w:val="00950C04"/>
    <w:rsid w:val="00950D07"/>
    <w:rsid w:val="00950D83"/>
    <w:rsid w:val="00950DB6"/>
    <w:rsid w:val="00950E24"/>
    <w:rsid w:val="00950F29"/>
    <w:rsid w:val="00950F2C"/>
    <w:rsid w:val="009510A7"/>
    <w:rsid w:val="009510BB"/>
    <w:rsid w:val="0095111D"/>
    <w:rsid w:val="00951159"/>
    <w:rsid w:val="009511D3"/>
    <w:rsid w:val="009511E9"/>
    <w:rsid w:val="00951252"/>
    <w:rsid w:val="009512A2"/>
    <w:rsid w:val="009512B7"/>
    <w:rsid w:val="0095137C"/>
    <w:rsid w:val="009513B3"/>
    <w:rsid w:val="009513E6"/>
    <w:rsid w:val="00951491"/>
    <w:rsid w:val="009514D4"/>
    <w:rsid w:val="009514FA"/>
    <w:rsid w:val="0095156F"/>
    <w:rsid w:val="00951581"/>
    <w:rsid w:val="00951596"/>
    <w:rsid w:val="009515DE"/>
    <w:rsid w:val="0095164B"/>
    <w:rsid w:val="00951676"/>
    <w:rsid w:val="009516DB"/>
    <w:rsid w:val="009517CC"/>
    <w:rsid w:val="00951935"/>
    <w:rsid w:val="00951AC4"/>
    <w:rsid w:val="00951AD2"/>
    <w:rsid w:val="00951BFD"/>
    <w:rsid w:val="00951C26"/>
    <w:rsid w:val="00951F64"/>
    <w:rsid w:val="00951F70"/>
    <w:rsid w:val="00951F8F"/>
    <w:rsid w:val="00951F93"/>
    <w:rsid w:val="00951FA4"/>
    <w:rsid w:val="00951FBE"/>
    <w:rsid w:val="00952035"/>
    <w:rsid w:val="009520C6"/>
    <w:rsid w:val="00952197"/>
    <w:rsid w:val="0095220D"/>
    <w:rsid w:val="0095224C"/>
    <w:rsid w:val="00952266"/>
    <w:rsid w:val="00952319"/>
    <w:rsid w:val="0095233A"/>
    <w:rsid w:val="0095238A"/>
    <w:rsid w:val="00952418"/>
    <w:rsid w:val="0095243E"/>
    <w:rsid w:val="009524A0"/>
    <w:rsid w:val="009525DC"/>
    <w:rsid w:val="0095260C"/>
    <w:rsid w:val="009526A6"/>
    <w:rsid w:val="00952871"/>
    <w:rsid w:val="009528AE"/>
    <w:rsid w:val="009529C6"/>
    <w:rsid w:val="00952A53"/>
    <w:rsid w:val="00952B2C"/>
    <w:rsid w:val="00952BA6"/>
    <w:rsid w:val="00952BB1"/>
    <w:rsid w:val="00952C04"/>
    <w:rsid w:val="00952DD6"/>
    <w:rsid w:val="00952E53"/>
    <w:rsid w:val="00952EAB"/>
    <w:rsid w:val="00952EB8"/>
    <w:rsid w:val="00952F1D"/>
    <w:rsid w:val="00952FEA"/>
    <w:rsid w:val="00953033"/>
    <w:rsid w:val="0095326D"/>
    <w:rsid w:val="009532A2"/>
    <w:rsid w:val="009532A3"/>
    <w:rsid w:val="009532B7"/>
    <w:rsid w:val="0095337D"/>
    <w:rsid w:val="009533D5"/>
    <w:rsid w:val="0095341A"/>
    <w:rsid w:val="0095363C"/>
    <w:rsid w:val="00953655"/>
    <w:rsid w:val="00953720"/>
    <w:rsid w:val="00953743"/>
    <w:rsid w:val="00953765"/>
    <w:rsid w:val="00953837"/>
    <w:rsid w:val="0095387B"/>
    <w:rsid w:val="009538C7"/>
    <w:rsid w:val="009539AC"/>
    <w:rsid w:val="00953A14"/>
    <w:rsid w:val="00953AAD"/>
    <w:rsid w:val="00953BCC"/>
    <w:rsid w:val="00953BCE"/>
    <w:rsid w:val="00953C03"/>
    <w:rsid w:val="00953C97"/>
    <w:rsid w:val="00953D31"/>
    <w:rsid w:val="00953D52"/>
    <w:rsid w:val="00953D83"/>
    <w:rsid w:val="00953D97"/>
    <w:rsid w:val="00953DCE"/>
    <w:rsid w:val="00953DD9"/>
    <w:rsid w:val="00953E88"/>
    <w:rsid w:val="00953F83"/>
    <w:rsid w:val="00954291"/>
    <w:rsid w:val="009543D2"/>
    <w:rsid w:val="0095445B"/>
    <w:rsid w:val="009544E8"/>
    <w:rsid w:val="00954553"/>
    <w:rsid w:val="00954589"/>
    <w:rsid w:val="009545DA"/>
    <w:rsid w:val="009545E4"/>
    <w:rsid w:val="0095479B"/>
    <w:rsid w:val="009547E8"/>
    <w:rsid w:val="009547EC"/>
    <w:rsid w:val="00954899"/>
    <w:rsid w:val="00954907"/>
    <w:rsid w:val="00954974"/>
    <w:rsid w:val="00954AAF"/>
    <w:rsid w:val="00954ACE"/>
    <w:rsid w:val="00954AD3"/>
    <w:rsid w:val="00954B39"/>
    <w:rsid w:val="00954B5A"/>
    <w:rsid w:val="00954BB2"/>
    <w:rsid w:val="00954C6D"/>
    <w:rsid w:val="00954DC1"/>
    <w:rsid w:val="00954E69"/>
    <w:rsid w:val="00954EC9"/>
    <w:rsid w:val="00954F56"/>
    <w:rsid w:val="00954FD7"/>
    <w:rsid w:val="00955020"/>
    <w:rsid w:val="00955056"/>
    <w:rsid w:val="009550C6"/>
    <w:rsid w:val="00955131"/>
    <w:rsid w:val="00955165"/>
    <w:rsid w:val="00955178"/>
    <w:rsid w:val="009551C6"/>
    <w:rsid w:val="0095527A"/>
    <w:rsid w:val="00955326"/>
    <w:rsid w:val="0095549F"/>
    <w:rsid w:val="009555B2"/>
    <w:rsid w:val="00955624"/>
    <w:rsid w:val="00955714"/>
    <w:rsid w:val="00955816"/>
    <w:rsid w:val="00955833"/>
    <w:rsid w:val="00955881"/>
    <w:rsid w:val="009558AA"/>
    <w:rsid w:val="00955939"/>
    <w:rsid w:val="00955A8B"/>
    <w:rsid w:val="00955B9A"/>
    <w:rsid w:val="00955BF6"/>
    <w:rsid w:val="00955C96"/>
    <w:rsid w:val="00955D9C"/>
    <w:rsid w:val="00955E15"/>
    <w:rsid w:val="00955E8E"/>
    <w:rsid w:val="00955EB9"/>
    <w:rsid w:val="00955EFB"/>
    <w:rsid w:val="00955F0C"/>
    <w:rsid w:val="00956051"/>
    <w:rsid w:val="009560AC"/>
    <w:rsid w:val="0095618D"/>
    <w:rsid w:val="009561CD"/>
    <w:rsid w:val="00956256"/>
    <w:rsid w:val="00956377"/>
    <w:rsid w:val="00956435"/>
    <w:rsid w:val="009564D5"/>
    <w:rsid w:val="009564E7"/>
    <w:rsid w:val="00956592"/>
    <w:rsid w:val="00956598"/>
    <w:rsid w:val="009566F5"/>
    <w:rsid w:val="0095670A"/>
    <w:rsid w:val="00956772"/>
    <w:rsid w:val="00956821"/>
    <w:rsid w:val="0095694A"/>
    <w:rsid w:val="0095694B"/>
    <w:rsid w:val="009569CC"/>
    <w:rsid w:val="00956A0B"/>
    <w:rsid w:val="00956A11"/>
    <w:rsid w:val="00956AA9"/>
    <w:rsid w:val="00956BF5"/>
    <w:rsid w:val="00956C14"/>
    <w:rsid w:val="00956DEE"/>
    <w:rsid w:val="00956EA2"/>
    <w:rsid w:val="00956F16"/>
    <w:rsid w:val="00956F32"/>
    <w:rsid w:val="00956F56"/>
    <w:rsid w:val="00956F90"/>
    <w:rsid w:val="00956FBF"/>
    <w:rsid w:val="00957026"/>
    <w:rsid w:val="0095702A"/>
    <w:rsid w:val="00957062"/>
    <w:rsid w:val="00957132"/>
    <w:rsid w:val="009572BB"/>
    <w:rsid w:val="009572DF"/>
    <w:rsid w:val="00957320"/>
    <w:rsid w:val="009573FC"/>
    <w:rsid w:val="009574A2"/>
    <w:rsid w:val="00957546"/>
    <w:rsid w:val="009576C4"/>
    <w:rsid w:val="0095771E"/>
    <w:rsid w:val="00957748"/>
    <w:rsid w:val="00957756"/>
    <w:rsid w:val="00957761"/>
    <w:rsid w:val="00957766"/>
    <w:rsid w:val="00957865"/>
    <w:rsid w:val="0095786B"/>
    <w:rsid w:val="00957884"/>
    <w:rsid w:val="00957959"/>
    <w:rsid w:val="00957974"/>
    <w:rsid w:val="00957B6B"/>
    <w:rsid w:val="00957D5D"/>
    <w:rsid w:val="00957D95"/>
    <w:rsid w:val="00957DF1"/>
    <w:rsid w:val="00957ED3"/>
    <w:rsid w:val="00957F5D"/>
    <w:rsid w:val="00957F7D"/>
    <w:rsid w:val="00957FA1"/>
    <w:rsid w:val="0096004F"/>
    <w:rsid w:val="009600A6"/>
    <w:rsid w:val="00960205"/>
    <w:rsid w:val="00960215"/>
    <w:rsid w:val="00960265"/>
    <w:rsid w:val="00960312"/>
    <w:rsid w:val="00960400"/>
    <w:rsid w:val="00960413"/>
    <w:rsid w:val="00960474"/>
    <w:rsid w:val="0096049B"/>
    <w:rsid w:val="009604A5"/>
    <w:rsid w:val="009604C2"/>
    <w:rsid w:val="009604D8"/>
    <w:rsid w:val="0096053E"/>
    <w:rsid w:val="00960824"/>
    <w:rsid w:val="0096082F"/>
    <w:rsid w:val="00960856"/>
    <w:rsid w:val="0096087F"/>
    <w:rsid w:val="009608FC"/>
    <w:rsid w:val="00960A25"/>
    <w:rsid w:val="00960A92"/>
    <w:rsid w:val="00960B16"/>
    <w:rsid w:val="00960BA2"/>
    <w:rsid w:val="00960BB9"/>
    <w:rsid w:val="00960BEC"/>
    <w:rsid w:val="00960C25"/>
    <w:rsid w:val="00960DC7"/>
    <w:rsid w:val="00960DF5"/>
    <w:rsid w:val="00960F97"/>
    <w:rsid w:val="009610CE"/>
    <w:rsid w:val="0096115E"/>
    <w:rsid w:val="0096119E"/>
    <w:rsid w:val="009611ED"/>
    <w:rsid w:val="0096125C"/>
    <w:rsid w:val="009612CB"/>
    <w:rsid w:val="009612FC"/>
    <w:rsid w:val="00961335"/>
    <w:rsid w:val="00961387"/>
    <w:rsid w:val="009613A7"/>
    <w:rsid w:val="009613B7"/>
    <w:rsid w:val="009614BB"/>
    <w:rsid w:val="009614F5"/>
    <w:rsid w:val="0096153A"/>
    <w:rsid w:val="00961540"/>
    <w:rsid w:val="009615C9"/>
    <w:rsid w:val="009615D4"/>
    <w:rsid w:val="00961618"/>
    <w:rsid w:val="00961715"/>
    <w:rsid w:val="0096179E"/>
    <w:rsid w:val="009617B1"/>
    <w:rsid w:val="009617D4"/>
    <w:rsid w:val="00961803"/>
    <w:rsid w:val="009618B2"/>
    <w:rsid w:val="0096191D"/>
    <w:rsid w:val="00961994"/>
    <w:rsid w:val="009619E9"/>
    <w:rsid w:val="00961A44"/>
    <w:rsid w:val="00961B9A"/>
    <w:rsid w:val="00961BAF"/>
    <w:rsid w:val="00961C3F"/>
    <w:rsid w:val="00961CD5"/>
    <w:rsid w:val="00961CE5"/>
    <w:rsid w:val="00961D26"/>
    <w:rsid w:val="00961D42"/>
    <w:rsid w:val="00961E25"/>
    <w:rsid w:val="00961F0D"/>
    <w:rsid w:val="00961FF0"/>
    <w:rsid w:val="00962016"/>
    <w:rsid w:val="00962140"/>
    <w:rsid w:val="009621A3"/>
    <w:rsid w:val="009621D0"/>
    <w:rsid w:val="0096221B"/>
    <w:rsid w:val="00962243"/>
    <w:rsid w:val="0096224D"/>
    <w:rsid w:val="0096228C"/>
    <w:rsid w:val="0096231D"/>
    <w:rsid w:val="00962376"/>
    <w:rsid w:val="0096242D"/>
    <w:rsid w:val="0096248D"/>
    <w:rsid w:val="009624D0"/>
    <w:rsid w:val="009624D6"/>
    <w:rsid w:val="00962712"/>
    <w:rsid w:val="0096274C"/>
    <w:rsid w:val="0096286C"/>
    <w:rsid w:val="00962880"/>
    <w:rsid w:val="009628E1"/>
    <w:rsid w:val="00962905"/>
    <w:rsid w:val="00962A7F"/>
    <w:rsid w:val="00962AA8"/>
    <w:rsid w:val="00962AD2"/>
    <w:rsid w:val="00962AE5"/>
    <w:rsid w:val="00962BC4"/>
    <w:rsid w:val="00962D80"/>
    <w:rsid w:val="00962DDF"/>
    <w:rsid w:val="00962E74"/>
    <w:rsid w:val="00962EAE"/>
    <w:rsid w:val="00962F8B"/>
    <w:rsid w:val="0096300C"/>
    <w:rsid w:val="00963111"/>
    <w:rsid w:val="0096314F"/>
    <w:rsid w:val="0096316E"/>
    <w:rsid w:val="00963172"/>
    <w:rsid w:val="009631B3"/>
    <w:rsid w:val="009631D1"/>
    <w:rsid w:val="00963259"/>
    <w:rsid w:val="00963289"/>
    <w:rsid w:val="009632A8"/>
    <w:rsid w:val="0096337E"/>
    <w:rsid w:val="00963383"/>
    <w:rsid w:val="00963389"/>
    <w:rsid w:val="009633A8"/>
    <w:rsid w:val="00963492"/>
    <w:rsid w:val="0096352F"/>
    <w:rsid w:val="0096357D"/>
    <w:rsid w:val="00963594"/>
    <w:rsid w:val="009635B0"/>
    <w:rsid w:val="009635B4"/>
    <w:rsid w:val="00963640"/>
    <w:rsid w:val="00963669"/>
    <w:rsid w:val="00963729"/>
    <w:rsid w:val="009637E3"/>
    <w:rsid w:val="00963877"/>
    <w:rsid w:val="009639E0"/>
    <w:rsid w:val="00963A07"/>
    <w:rsid w:val="00963ADF"/>
    <w:rsid w:val="00963AF9"/>
    <w:rsid w:val="00963B39"/>
    <w:rsid w:val="00963B68"/>
    <w:rsid w:val="00963B9F"/>
    <w:rsid w:val="00963BBC"/>
    <w:rsid w:val="00963BD0"/>
    <w:rsid w:val="00963BED"/>
    <w:rsid w:val="00963BEF"/>
    <w:rsid w:val="00963C7B"/>
    <w:rsid w:val="00963D40"/>
    <w:rsid w:val="00963D8A"/>
    <w:rsid w:val="00963E31"/>
    <w:rsid w:val="00963E56"/>
    <w:rsid w:val="00963EAC"/>
    <w:rsid w:val="00963EEF"/>
    <w:rsid w:val="00963F1D"/>
    <w:rsid w:val="00963F32"/>
    <w:rsid w:val="00963F3F"/>
    <w:rsid w:val="00963FC1"/>
    <w:rsid w:val="0096406B"/>
    <w:rsid w:val="0096419B"/>
    <w:rsid w:val="009642AC"/>
    <w:rsid w:val="00964474"/>
    <w:rsid w:val="009644BB"/>
    <w:rsid w:val="0096456A"/>
    <w:rsid w:val="0096466B"/>
    <w:rsid w:val="00964680"/>
    <w:rsid w:val="00964727"/>
    <w:rsid w:val="00964761"/>
    <w:rsid w:val="0096476C"/>
    <w:rsid w:val="0096486D"/>
    <w:rsid w:val="00964885"/>
    <w:rsid w:val="00964934"/>
    <w:rsid w:val="00964968"/>
    <w:rsid w:val="00964973"/>
    <w:rsid w:val="00964A3D"/>
    <w:rsid w:val="00964A5B"/>
    <w:rsid w:val="00964B0A"/>
    <w:rsid w:val="00964B9E"/>
    <w:rsid w:val="00964BA0"/>
    <w:rsid w:val="00964BCB"/>
    <w:rsid w:val="00964C11"/>
    <w:rsid w:val="00964C37"/>
    <w:rsid w:val="00964DDD"/>
    <w:rsid w:val="00964E19"/>
    <w:rsid w:val="00964F9C"/>
    <w:rsid w:val="00964FC4"/>
    <w:rsid w:val="00964FDD"/>
    <w:rsid w:val="0096505A"/>
    <w:rsid w:val="00965169"/>
    <w:rsid w:val="00965255"/>
    <w:rsid w:val="0096526B"/>
    <w:rsid w:val="00965482"/>
    <w:rsid w:val="0096555B"/>
    <w:rsid w:val="009655B2"/>
    <w:rsid w:val="009655D6"/>
    <w:rsid w:val="0096561F"/>
    <w:rsid w:val="00965865"/>
    <w:rsid w:val="0096588B"/>
    <w:rsid w:val="009658F0"/>
    <w:rsid w:val="00965932"/>
    <w:rsid w:val="00965A6E"/>
    <w:rsid w:val="00965AD0"/>
    <w:rsid w:val="00965ADD"/>
    <w:rsid w:val="00965C04"/>
    <w:rsid w:val="00965C21"/>
    <w:rsid w:val="00965D17"/>
    <w:rsid w:val="00965DC9"/>
    <w:rsid w:val="00965E55"/>
    <w:rsid w:val="00965F1B"/>
    <w:rsid w:val="00965F71"/>
    <w:rsid w:val="00965FCD"/>
    <w:rsid w:val="00965FDA"/>
    <w:rsid w:val="00966065"/>
    <w:rsid w:val="009660F2"/>
    <w:rsid w:val="009661DF"/>
    <w:rsid w:val="00966364"/>
    <w:rsid w:val="009663C7"/>
    <w:rsid w:val="009664E0"/>
    <w:rsid w:val="00966517"/>
    <w:rsid w:val="0096655E"/>
    <w:rsid w:val="00966578"/>
    <w:rsid w:val="009665A8"/>
    <w:rsid w:val="0096665C"/>
    <w:rsid w:val="0096667E"/>
    <w:rsid w:val="00966702"/>
    <w:rsid w:val="009668BE"/>
    <w:rsid w:val="009669A7"/>
    <w:rsid w:val="00966A49"/>
    <w:rsid w:val="00966A59"/>
    <w:rsid w:val="00966AD3"/>
    <w:rsid w:val="00966B88"/>
    <w:rsid w:val="00966D13"/>
    <w:rsid w:val="00966EE1"/>
    <w:rsid w:val="00966EEA"/>
    <w:rsid w:val="00966F54"/>
    <w:rsid w:val="00966F7D"/>
    <w:rsid w:val="009670C1"/>
    <w:rsid w:val="00967105"/>
    <w:rsid w:val="009672C8"/>
    <w:rsid w:val="009672F3"/>
    <w:rsid w:val="00967327"/>
    <w:rsid w:val="009673AA"/>
    <w:rsid w:val="0096742B"/>
    <w:rsid w:val="00967438"/>
    <w:rsid w:val="00967489"/>
    <w:rsid w:val="009674CE"/>
    <w:rsid w:val="0096755A"/>
    <w:rsid w:val="00967565"/>
    <w:rsid w:val="0096756B"/>
    <w:rsid w:val="00967587"/>
    <w:rsid w:val="00967590"/>
    <w:rsid w:val="009675B8"/>
    <w:rsid w:val="00967607"/>
    <w:rsid w:val="00967644"/>
    <w:rsid w:val="00967724"/>
    <w:rsid w:val="0096782F"/>
    <w:rsid w:val="00967850"/>
    <w:rsid w:val="009678E7"/>
    <w:rsid w:val="0096793E"/>
    <w:rsid w:val="009679E6"/>
    <w:rsid w:val="00967A0F"/>
    <w:rsid w:val="00967AA6"/>
    <w:rsid w:val="00967AD2"/>
    <w:rsid w:val="00967BB1"/>
    <w:rsid w:val="00967C0F"/>
    <w:rsid w:val="00967C4C"/>
    <w:rsid w:val="00967CE6"/>
    <w:rsid w:val="00967DC0"/>
    <w:rsid w:val="00967E64"/>
    <w:rsid w:val="00967EB2"/>
    <w:rsid w:val="00967F59"/>
    <w:rsid w:val="00970000"/>
    <w:rsid w:val="0097009D"/>
    <w:rsid w:val="00970194"/>
    <w:rsid w:val="009701B6"/>
    <w:rsid w:val="009701E5"/>
    <w:rsid w:val="00970234"/>
    <w:rsid w:val="0097046E"/>
    <w:rsid w:val="00970478"/>
    <w:rsid w:val="009704D0"/>
    <w:rsid w:val="009704E8"/>
    <w:rsid w:val="009705EC"/>
    <w:rsid w:val="0097066B"/>
    <w:rsid w:val="00970851"/>
    <w:rsid w:val="009708FE"/>
    <w:rsid w:val="00970953"/>
    <w:rsid w:val="00970961"/>
    <w:rsid w:val="009709A6"/>
    <w:rsid w:val="00970A20"/>
    <w:rsid w:val="00970ACF"/>
    <w:rsid w:val="00970DC0"/>
    <w:rsid w:val="00970E45"/>
    <w:rsid w:val="00970E83"/>
    <w:rsid w:val="00970EAD"/>
    <w:rsid w:val="00970EB6"/>
    <w:rsid w:val="00970FCD"/>
    <w:rsid w:val="0097106D"/>
    <w:rsid w:val="00971237"/>
    <w:rsid w:val="00971304"/>
    <w:rsid w:val="00971311"/>
    <w:rsid w:val="00971332"/>
    <w:rsid w:val="00971363"/>
    <w:rsid w:val="0097139A"/>
    <w:rsid w:val="009713C2"/>
    <w:rsid w:val="009713CC"/>
    <w:rsid w:val="00971415"/>
    <w:rsid w:val="0097149C"/>
    <w:rsid w:val="00971508"/>
    <w:rsid w:val="0097159E"/>
    <w:rsid w:val="009715B7"/>
    <w:rsid w:val="009715CC"/>
    <w:rsid w:val="0097163D"/>
    <w:rsid w:val="00971684"/>
    <w:rsid w:val="00971707"/>
    <w:rsid w:val="00971797"/>
    <w:rsid w:val="00971846"/>
    <w:rsid w:val="00971860"/>
    <w:rsid w:val="009718A0"/>
    <w:rsid w:val="0097198E"/>
    <w:rsid w:val="009719CE"/>
    <w:rsid w:val="00971B04"/>
    <w:rsid w:val="00971D58"/>
    <w:rsid w:val="00971D91"/>
    <w:rsid w:val="00971DF1"/>
    <w:rsid w:val="00971F1A"/>
    <w:rsid w:val="00971F57"/>
    <w:rsid w:val="00971FF9"/>
    <w:rsid w:val="009720CD"/>
    <w:rsid w:val="00972165"/>
    <w:rsid w:val="00972192"/>
    <w:rsid w:val="009721F8"/>
    <w:rsid w:val="009722C4"/>
    <w:rsid w:val="00972375"/>
    <w:rsid w:val="009723B2"/>
    <w:rsid w:val="0097242E"/>
    <w:rsid w:val="00972472"/>
    <w:rsid w:val="009724BA"/>
    <w:rsid w:val="009724EF"/>
    <w:rsid w:val="009724FC"/>
    <w:rsid w:val="00972529"/>
    <w:rsid w:val="00972586"/>
    <w:rsid w:val="00972728"/>
    <w:rsid w:val="00972817"/>
    <w:rsid w:val="0097287D"/>
    <w:rsid w:val="0097289B"/>
    <w:rsid w:val="00972908"/>
    <w:rsid w:val="009729A0"/>
    <w:rsid w:val="009729C1"/>
    <w:rsid w:val="00972A4A"/>
    <w:rsid w:val="00972A6C"/>
    <w:rsid w:val="00972A91"/>
    <w:rsid w:val="00972A99"/>
    <w:rsid w:val="00972AF8"/>
    <w:rsid w:val="00972B04"/>
    <w:rsid w:val="00972B1D"/>
    <w:rsid w:val="00972BBC"/>
    <w:rsid w:val="00972BD5"/>
    <w:rsid w:val="00972C22"/>
    <w:rsid w:val="00972D05"/>
    <w:rsid w:val="00972F1C"/>
    <w:rsid w:val="00972F90"/>
    <w:rsid w:val="0097312D"/>
    <w:rsid w:val="00973211"/>
    <w:rsid w:val="00973311"/>
    <w:rsid w:val="00973352"/>
    <w:rsid w:val="0097337A"/>
    <w:rsid w:val="00973400"/>
    <w:rsid w:val="00973459"/>
    <w:rsid w:val="0097348A"/>
    <w:rsid w:val="009735CF"/>
    <w:rsid w:val="009736A5"/>
    <w:rsid w:val="009736BF"/>
    <w:rsid w:val="00973717"/>
    <w:rsid w:val="0097376B"/>
    <w:rsid w:val="009737A9"/>
    <w:rsid w:val="00973805"/>
    <w:rsid w:val="00973890"/>
    <w:rsid w:val="009738EE"/>
    <w:rsid w:val="0097397C"/>
    <w:rsid w:val="009739AF"/>
    <w:rsid w:val="00973A1A"/>
    <w:rsid w:val="00973A2A"/>
    <w:rsid w:val="00973BFC"/>
    <w:rsid w:val="00973C10"/>
    <w:rsid w:val="00973C1B"/>
    <w:rsid w:val="00973C48"/>
    <w:rsid w:val="00973CFC"/>
    <w:rsid w:val="00973D00"/>
    <w:rsid w:val="00973DD4"/>
    <w:rsid w:val="00973DEB"/>
    <w:rsid w:val="00973E14"/>
    <w:rsid w:val="00973E78"/>
    <w:rsid w:val="00973F86"/>
    <w:rsid w:val="00974031"/>
    <w:rsid w:val="00974098"/>
    <w:rsid w:val="00974130"/>
    <w:rsid w:val="0097424A"/>
    <w:rsid w:val="00974350"/>
    <w:rsid w:val="00974367"/>
    <w:rsid w:val="009743EF"/>
    <w:rsid w:val="00974417"/>
    <w:rsid w:val="0097451C"/>
    <w:rsid w:val="0097451F"/>
    <w:rsid w:val="0097457B"/>
    <w:rsid w:val="00974586"/>
    <w:rsid w:val="00974677"/>
    <w:rsid w:val="009746D7"/>
    <w:rsid w:val="00974755"/>
    <w:rsid w:val="00974790"/>
    <w:rsid w:val="00974803"/>
    <w:rsid w:val="00974856"/>
    <w:rsid w:val="00974857"/>
    <w:rsid w:val="00974995"/>
    <w:rsid w:val="009749A6"/>
    <w:rsid w:val="009749E3"/>
    <w:rsid w:val="00974A1B"/>
    <w:rsid w:val="00974A6A"/>
    <w:rsid w:val="00974A7E"/>
    <w:rsid w:val="00974AB4"/>
    <w:rsid w:val="00974ADB"/>
    <w:rsid w:val="00974B20"/>
    <w:rsid w:val="00974B4B"/>
    <w:rsid w:val="00974B59"/>
    <w:rsid w:val="00974B79"/>
    <w:rsid w:val="00974BA1"/>
    <w:rsid w:val="00974BAD"/>
    <w:rsid w:val="00974BD7"/>
    <w:rsid w:val="00974CBC"/>
    <w:rsid w:val="00974CE2"/>
    <w:rsid w:val="00974DAB"/>
    <w:rsid w:val="00974E91"/>
    <w:rsid w:val="00974F0A"/>
    <w:rsid w:val="00974F55"/>
    <w:rsid w:val="0097500C"/>
    <w:rsid w:val="00975071"/>
    <w:rsid w:val="0097511D"/>
    <w:rsid w:val="00975237"/>
    <w:rsid w:val="00975315"/>
    <w:rsid w:val="00975337"/>
    <w:rsid w:val="00975339"/>
    <w:rsid w:val="009753B9"/>
    <w:rsid w:val="00975456"/>
    <w:rsid w:val="00975467"/>
    <w:rsid w:val="00975479"/>
    <w:rsid w:val="00975500"/>
    <w:rsid w:val="0097551B"/>
    <w:rsid w:val="0097557C"/>
    <w:rsid w:val="0097568F"/>
    <w:rsid w:val="009756E4"/>
    <w:rsid w:val="00975769"/>
    <w:rsid w:val="0097578C"/>
    <w:rsid w:val="00975868"/>
    <w:rsid w:val="0097586B"/>
    <w:rsid w:val="009758A5"/>
    <w:rsid w:val="00975C0C"/>
    <w:rsid w:val="00975CBF"/>
    <w:rsid w:val="00975D5E"/>
    <w:rsid w:val="00975D6B"/>
    <w:rsid w:val="00975D89"/>
    <w:rsid w:val="00975E12"/>
    <w:rsid w:val="00975F57"/>
    <w:rsid w:val="00976023"/>
    <w:rsid w:val="00976030"/>
    <w:rsid w:val="0097603B"/>
    <w:rsid w:val="0097608C"/>
    <w:rsid w:val="0097609F"/>
    <w:rsid w:val="009760CE"/>
    <w:rsid w:val="00976124"/>
    <w:rsid w:val="0097623D"/>
    <w:rsid w:val="0097626A"/>
    <w:rsid w:val="00976376"/>
    <w:rsid w:val="00976397"/>
    <w:rsid w:val="009763FB"/>
    <w:rsid w:val="00976567"/>
    <w:rsid w:val="0097660C"/>
    <w:rsid w:val="00976627"/>
    <w:rsid w:val="0097664B"/>
    <w:rsid w:val="00976799"/>
    <w:rsid w:val="009768DA"/>
    <w:rsid w:val="00976971"/>
    <w:rsid w:val="00976984"/>
    <w:rsid w:val="009769C5"/>
    <w:rsid w:val="00976A0E"/>
    <w:rsid w:val="00976AC9"/>
    <w:rsid w:val="00976AED"/>
    <w:rsid w:val="00976B06"/>
    <w:rsid w:val="00976B45"/>
    <w:rsid w:val="00976BDE"/>
    <w:rsid w:val="00976C8D"/>
    <w:rsid w:val="00976CC5"/>
    <w:rsid w:val="00976D63"/>
    <w:rsid w:val="00976D9B"/>
    <w:rsid w:val="00976F57"/>
    <w:rsid w:val="00976FAB"/>
    <w:rsid w:val="00976FAF"/>
    <w:rsid w:val="00977014"/>
    <w:rsid w:val="00977041"/>
    <w:rsid w:val="0097705E"/>
    <w:rsid w:val="009770C2"/>
    <w:rsid w:val="009770EF"/>
    <w:rsid w:val="009771A7"/>
    <w:rsid w:val="00977284"/>
    <w:rsid w:val="00977297"/>
    <w:rsid w:val="009772F3"/>
    <w:rsid w:val="009772F9"/>
    <w:rsid w:val="009772FD"/>
    <w:rsid w:val="0097739E"/>
    <w:rsid w:val="009774D2"/>
    <w:rsid w:val="00977550"/>
    <w:rsid w:val="00977601"/>
    <w:rsid w:val="0097760C"/>
    <w:rsid w:val="00977611"/>
    <w:rsid w:val="0097786C"/>
    <w:rsid w:val="0097787D"/>
    <w:rsid w:val="009778D5"/>
    <w:rsid w:val="00977901"/>
    <w:rsid w:val="00977B3E"/>
    <w:rsid w:val="00977C17"/>
    <w:rsid w:val="00977D26"/>
    <w:rsid w:val="00977D9A"/>
    <w:rsid w:val="00977DD0"/>
    <w:rsid w:val="00977DF5"/>
    <w:rsid w:val="00977E32"/>
    <w:rsid w:val="00977E40"/>
    <w:rsid w:val="00977ED9"/>
    <w:rsid w:val="00977EE2"/>
    <w:rsid w:val="00977F9C"/>
    <w:rsid w:val="00977FFB"/>
    <w:rsid w:val="00980042"/>
    <w:rsid w:val="00980054"/>
    <w:rsid w:val="009800D9"/>
    <w:rsid w:val="009801A6"/>
    <w:rsid w:val="00980240"/>
    <w:rsid w:val="00980294"/>
    <w:rsid w:val="009802B6"/>
    <w:rsid w:val="0098035F"/>
    <w:rsid w:val="00980427"/>
    <w:rsid w:val="00980447"/>
    <w:rsid w:val="0098044C"/>
    <w:rsid w:val="00980461"/>
    <w:rsid w:val="00980566"/>
    <w:rsid w:val="00980577"/>
    <w:rsid w:val="0098065E"/>
    <w:rsid w:val="0098080D"/>
    <w:rsid w:val="0098085A"/>
    <w:rsid w:val="00980875"/>
    <w:rsid w:val="009808E8"/>
    <w:rsid w:val="00980943"/>
    <w:rsid w:val="00980AC4"/>
    <w:rsid w:val="00980B0D"/>
    <w:rsid w:val="00980B62"/>
    <w:rsid w:val="00980B89"/>
    <w:rsid w:val="00980C88"/>
    <w:rsid w:val="00980CFA"/>
    <w:rsid w:val="00980D10"/>
    <w:rsid w:val="00980D18"/>
    <w:rsid w:val="00980D34"/>
    <w:rsid w:val="00980D62"/>
    <w:rsid w:val="00980E1C"/>
    <w:rsid w:val="00980E53"/>
    <w:rsid w:val="00980EB5"/>
    <w:rsid w:val="00980F65"/>
    <w:rsid w:val="00980FF1"/>
    <w:rsid w:val="00981066"/>
    <w:rsid w:val="00981091"/>
    <w:rsid w:val="0098115B"/>
    <w:rsid w:val="00981204"/>
    <w:rsid w:val="009813D4"/>
    <w:rsid w:val="009814EA"/>
    <w:rsid w:val="009814EE"/>
    <w:rsid w:val="00981571"/>
    <w:rsid w:val="009815C2"/>
    <w:rsid w:val="009815FA"/>
    <w:rsid w:val="0098162F"/>
    <w:rsid w:val="009816C7"/>
    <w:rsid w:val="009816E2"/>
    <w:rsid w:val="00981920"/>
    <w:rsid w:val="00981937"/>
    <w:rsid w:val="00981952"/>
    <w:rsid w:val="009819D1"/>
    <w:rsid w:val="00981A02"/>
    <w:rsid w:val="00981A38"/>
    <w:rsid w:val="00981DB4"/>
    <w:rsid w:val="00981E12"/>
    <w:rsid w:val="00981E68"/>
    <w:rsid w:val="00981F93"/>
    <w:rsid w:val="00982006"/>
    <w:rsid w:val="009820BA"/>
    <w:rsid w:val="00982113"/>
    <w:rsid w:val="00982164"/>
    <w:rsid w:val="009821D3"/>
    <w:rsid w:val="00982307"/>
    <w:rsid w:val="009823D6"/>
    <w:rsid w:val="0098243D"/>
    <w:rsid w:val="0098248A"/>
    <w:rsid w:val="009824A8"/>
    <w:rsid w:val="0098257F"/>
    <w:rsid w:val="00982656"/>
    <w:rsid w:val="0098274E"/>
    <w:rsid w:val="009827C8"/>
    <w:rsid w:val="00982887"/>
    <w:rsid w:val="0098298A"/>
    <w:rsid w:val="009829BB"/>
    <w:rsid w:val="00982AAF"/>
    <w:rsid w:val="00982B9C"/>
    <w:rsid w:val="00982BFD"/>
    <w:rsid w:val="00982CF7"/>
    <w:rsid w:val="00982D60"/>
    <w:rsid w:val="00982D79"/>
    <w:rsid w:val="00982D9A"/>
    <w:rsid w:val="00982DA7"/>
    <w:rsid w:val="00982DC5"/>
    <w:rsid w:val="00982DD1"/>
    <w:rsid w:val="00982E7F"/>
    <w:rsid w:val="00982E98"/>
    <w:rsid w:val="00982ED6"/>
    <w:rsid w:val="00982EED"/>
    <w:rsid w:val="00982F60"/>
    <w:rsid w:val="00982F84"/>
    <w:rsid w:val="00982F97"/>
    <w:rsid w:val="009830C9"/>
    <w:rsid w:val="0098312B"/>
    <w:rsid w:val="00983195"/>
    <w:rsid w:val="009831A4"/>
    <w:rsid w:val="00983237"/>
    <w:rsid w:val="0098328C"/>
    <w:rsid w:val="009832D1"/>
    <w:rsid w:val="009832D7"/>
    <w:rsid w:val="009833F9"/>
    <w:rsid w:val="009834BD"/>
    <w:rsid w:val="0098352C"/>
    <w:rsid w:val="00983536"/>
    <w:rsid w:val="009836B5"/>
    <w:rsid w:val="00983705"/>
    <w:rsid w:val="009837B6"/>
    <w:rsid w:val="009837B9"/>
    <w:rsid w:val="009837FD"/>
    <w:rsid w:val="0098388C"/>
    <w:rsid w:val="00983937"/>
    <w:rsid w:val="009839BB"/>
    <w:rsid w:val="00983A2E"/>
    <w:rsid w:val="00983AA2"/>
    <w:rsid w:val="00983ACD"/>
    <w:rsid w:val="00983B70"/>
    <w:rsid w:val="00983B77"/>
    <w:rsid w:val="00983BD9"/>
    <w:rsid w:val="00983C5F"/>
    <w:rsid w:val="00983CC3"/>
    <w:rsid w:val="00983DE9"/>
    <w:rsid w:val="00983DEB"/>
    <w:rsid w:val="00983E20"/>
    <w:rsid w:val="00983E65"/>
    <w:rsid w:val="00983E69"/>
    <w:rsid w:val="00983E8C"/>
    <w:rsid w:val="00983ECF"/>
    <w:rsid w:val="00983F2A"/>
    <w:rsid w:val="00983F4F"/>
    <w:rsid w:val="00983F87"/>
    <w:rsid w:val="0098401C"/>
    <w:rsid w:val="00984030"/>
    <w:rsid w:val="009840B8"/>
    <w:rsid w:val="009840CA"/>
    <w:rsid w:val="009840E0"/>
    <w:rsid w:val="009841F7"/>
    <w:rsid w:val="00984210"/>
    <w:rsid w:val="0098421E"/>
    <w:rsid w:val="009842A1"/>
    <w:rsid w:val="00984319"/>
    <w:rsid w:val="0098455B"/>
    <w:rsid w:val="00984595"/>
    <w:rsid w:val="0098462D"/>
    <w:rsid w:val="00984674"/>
    <w:rsid w:val="009846E7"/>
    <w:rsid w:val="00984708"/>
    <w:rsid w:val="00984711"/>
    <w:rsid w:val="009847A8"/>
    <w:rsid w:val="009847DB"/>
    <w:rsid w:val="00984975"/>
    <w:rsid w:val="0098498B"/>
    <w:rsid w:val="00984ACB"/>
    <w:rsid w:val="00984AED"/>
    <w:rsid w:val="00984BBC"/>
    <w:rsid w:val="00984BE2"/>
    <w:rsid w:val="00984C25"/>
    <w:rsid w:val="00984C2B"/>
    <w:rsid w:val="00984C58"/>
    <w:rsid w:val="00984DCF"/>
    <w:rsid w:val="00984E74"/>
    <w:rsid w:val="00984F0C"/>
    <w:rsid w:val="00984F14"/>
    <w:rsid w:val="00984FAD"/>
    <w:rsid w:val="00985039"/>
    <w:rsid w:val="00985173"/>
    <w:rsid w:val="00985198"/>
    <w:rsid w:val="00985229"/>
    <w:rsid w:val="009852FA"/>
    <w:rsid w:val="00985361"/>
    <w:rsid w:val="00985413"/>
    <w:rsid w:val="00985445"/>
    <w:rsid w:val="009854CE"/>
    <w:rsid w:val="0098563F"/>
    <w:rsid w:val="009856C1"/>
    <w:rsid w:val="009856DE"/>
    <w:rsid w:val="0098580D"/>
    <w:rsid w:val="00985904"/>
    <w:rsid w:val="009859EB"/>
    <w:rsid w:val="009859F6"/>
    <w:rsid w:val="00985A18"/>
    <w:rsid w:val="00985A48"/>
    <w:rsid w:val="00985A84"/>
    <w:rsid w:val="00985AA5"/>
    <w:rsid w:val="00985AEA"/>
    <w:rsid w:val="00985BC3"/>
    <w:rsid w:val="00985C27"/>
    <w:rsid w:val="00985C39"/>
    <w:rsid w:val="00985C5D"/>
    <w:rsid w:val="00985C6A"/>
    <w:rsid w:val="00985CA9"/>
    <w:rsid w:val="00985D78"/>
    <w:rsid w:val="00985DB9"/>
    <w:rsid w:val="00985DEB"/>
    <w:rsid w:val="00985E1E"/>
    <w:rsid w:val="00985ED9"/>
    <w:rsid w:val="00985F2C"/>
    <w:rsid w:val="00985FF8"/>
    <w:rsid w:val="009860C0"/>
    <w:rsid w:val="00986101"/>
    <w:rsid w:val="00986166"/>
    <w:rsid w:val="009861D3"/>
    <w:rsid w:val="00986208"/>
    <w:rsid w:val="00986358"/>
    <w:rsid w:val="00986410"/>
    <w:rsid w:val="00986428"/>
    <w:rsid w:val="009864AF"/>
    <w:rsid w:val="0098665A"/>
    <w:rsid w:val="009866AD"/>
    <w:rsid w:val="009866F5"/>
    <w:rsid w:val="0098671B"/>
    <w:rsid w:val="009867E9"/>
    <w:rsid w:val="00986887"/>
    <w:rsid w:val="00986896"/>
    <w:rsid w:val="00986974"/>
    <w:rsid w:val="009869B3"/>
    <w:rsid w:val="00986AAA"/>
    <w:rsid w:val="00986B3F"/>
    <w:rsid w:val="00986B4B"/>
    <w:rsid w:val="00986B70"/>
    <w:rsid w:val="00986B7E"/>
    <w:rsid w:val="00986C4E"/>
    <w:rsid w:val="00986C58"/>
    <w:rsid w:val="00986C88"/>
    <w:rsid w:val="00986CB2"/>
    <w:rsid w:val="00986D0F"/>
    <w:rsid w:val="00986ED5"/>
    <w:rsid w:val="00986EFE"/>
    <w:rsid w:val="00986F0C"/>
    <w:rsid w:val="00986F6D"/>
    <w:rsid w:val="00986F78"/>
    <w:rsid w:val="0098709D"/>
    <w:rsid w:val="009870CA"/>
    <w:rsid w:val="00987111"/>
    <w:rsid w:val="00987122"/>
    <w:rsid w:val="009871D5"/>
    <w:rsid w:val="009872FE"/>
    <w:rsid w:val="009873A4"/>
    <w:rsid w:val="009873ED"/>
    <w:rsid w:val="00987476"/>
    <w:rsid w:val="009874CB"/>
    <w:rsid w:val="00987511"/>
    <w:rsid w:val="00987646"/>
    <w:rsid w:val="00987702"/>
    <w:rsid w:val="0098776B"/>
    <w:rsid w:val="0098784B"/>
    <w:rsid w:val="0098791A"/>
    <w:rsid w:val="009879DD"/>
    <w:rsid w:val="00987A29"/>
    <w:rsid w:val="00987A7A"/>
    <w:rsid w:val="00987B4A"/>
    <w:rsid w:val="00987B79"/>
    <w:rsid w:val="00987C60"/>
    <w:rsid w:val="00987CBA"/>
    <w:rsid w:val="00987D19"/>
    <w:rsid w:val="00987D81"/>
    <w:rsid w:val="00987DAF"/>
    <w:rsid w:val="00987EF5"/>
    <w:rsid w:val="00987F72"/>
    <w:rsid w:val="00987F95"/>
    <w:rsid w:val="00990048"/>
    <w:rsid w:val="009900AE"/>
    <w:rsid w:val="009900C5"/>
    <w:rsid w:val="00990179"/>
    <w:rsid w:val="009901F4"/>
    <w:rsid w:val="0099025E"/>
    <w:rsid w:val="0099039F"/>
    <w:rsid w:val="0099047E"/>
    <w:rsid w:val="0099068F"/>
    <w:rsid w:val="00990743"/>
    <w:rsid w:val="009907F6"/>
    <w:rsid w:val="00990931"/>
    <w:rsid w:val="00990A4C"/>
    <w:rsid w:val="00990AA9"/>
    <w:rsid w:val="00990B08"/>
    <w:rsid w:val="00990B16"/>
    <w:rsid w:val="00990B3C"/>
    <w:rsid w:val="00990B86"/>
    <w:rsid w:val="00990B95"/>
    <w:rsid w:val="00990BA2"/>
    <w:rsid w:val="00990C96"/>
    <w:rsid w:val="00990CEA"/>
    <w:rsid w:val="00990CF7"/>
    <w:rsid w:val="00990D0A"/>
    <w:rsid w:val="00990D12"/>
    <w:rsid w:val="00990D9D"/>
    <w:rsid w:val="00990E2D"/>
    <w:rsid w:val="00990E84"/>
    <w:rsid w:val="00990EEB"/>
    <w:rsid w:val="00990F57"/>
    <w:rsid w:val="00990FF4"/>
    <w:rsid w:val="0099109E"/>
    <w:rsid w:val="00991121"/>
    <w:rsid w:val="0099119D"/>
    <w:rsid w:val="0099121B"/>
    <w:rsid w:val="0099143A"/>
    <w:rsid w:val="009914A8"/>
    <w:rsid w:val="009915DB"/>
    <w:rsid w:val="009915DE"/>
    <w:rsid w:val="00991631"/>
    <w:rsid w:val="00991655"/>
    <w:rsid w:val="0099168F"/>
    <w:rsid w:val="0099172E"/>
    <w:rsid w:val="0099179A"/>
    <w:rsid w:val="009918FE"/>
    <w:rsid w:val="00991979"/>
    <w:rsid w:val="009919FD"/>
    <w:rsid w:val="00991A84"/>
    <w:rsid w:val="00991B21"/>
    <w:rsid w:val="00991B34"/>
    <w:rsid w:val="00991B4E"/>
    <w:rsid w:val="00991B9D"/>
    <w:rsid w:val="00991BC0"/>
    <w:rsid w:val="00991C36"/>
    <w:rsid w:val="00991C9A"/>
    <w:rsid w:val="00991CE8"/>
    <w:rsid w:val="00991D3C"/>
    <w:rsid w:val="00991D88"/>
    <w:rsid w:val="00991DFF"/>
    <w:rsid w:val="00991E56"/>
    <w:rsid w:val="00991E8C"/>
    <w:rsid w:val="00991F8A"/>
    <w:rsid w:val="00991FA5"/>
    <w:rsid w:val="00991FA9"/>
    <w:rsid w:val="0099201C"/>
    <w:rsid w:val="0099203F"/>
    <w:rsid w:val="009920CB"/>
    <w:rsid w:val="009920DC"/>
    <w:rsid w:val="00992185"/>
    <w:rsid w:val="009921A2"/>
    <w:rsid w:val="009923A9"/>
    <w:rsid w:val="009923FD"/>
    <w:rsid w:val="00992418"/>
    <w:rsid w:val="00992429"/>
    <w:rsid w:val="0099249F"/>
    <w:rsid w:val="009924F2"/>
    <w:rsid w:val="009925B8"/>
    <w:rsid w:val="009925C1"/>
    <w:rsid w:val="00992634"/>
    <w:rsid w:val="009926D8"/>
    <w:rsid w:val="0099274B"/>
    <w:rsid w:val="0099284B"/>
    <w:rsid w:val="00992964"/>
    <w:rsid w:val="009929AE"/>
    <w:rsid w:val="00992AB8"/>
    <w:rsid w:val="00992AF9"/>
    <w:rsid w:val="00992B9A"/>
    <w:rsid w:val="00992C29"/>
    <w:rsid w:val="00992CB4"/>
    <w:rsid w:val="00992D1F"/>
    <w:rsid w:val="00992D26"/>
    <w:rsid w:val="00992EC8"/>
    <w:rsid w:val="00992ED2"/>
    <w:rsid w:val="00993115"/>
    <w:rsid w:val="0099311F"/>
    <w:rsid w:val="00993203"/>
    <w:rsid w:val="00993210"/>
    <w:rsid w:val="00993349"/>
    <w:rsid w:val="00993396"/>
    <w:rsid w:val="00993520"/>
    <w:rsid w:val="0099356A"/>
    <w:rsid w:val="009935AB"/>
    <w:rsid w:val="009935F4"/>
    <w:rsid w:val="0099370D"/>
    <w:rsid w:val="00993712"/>
    <w:rsid w:val="0099376C"/>
    <w:rsid w:val="009937C0"/>
    <w:rsid w:val="0099390C"/>
    <w:rsid w:val="009939E1"/>
    <w:rsid w:val="009939E7"/>
    <w:rsid w:val="00993A3D"/>
    <w:rsid w:val="00993BD8"/>
    <w:rsid w:val="00993C5C"/>
    <w:rsid w:val="00993D2F"/>
    <w:rsid w:val="00993E7E"/>
    <w:rsid w:val="00993FC8"/>
    <w:rsid w:val="00993FCF"/>
    <w:rsid w:val="00993FD9"/>
    <w:rsid w:val="00994009"/>
    <w:rsid w:val="00994030"/>
    <w:rsid w:val="0099407E"/>
    <w:rsid w:val="009940BB"/>
    <w:rsid w:val="009940FC"/>
    <w:rsid w:val="00994112"/>
    <w:rsid w:val="0099413D"/>
    <w:rsid w:val="00994204"/>
    <w:rsid w:val="00994229"/>
    <w:rsid w:val="0099426C"/>
    <w:rsid w:val="009942E8"/>
    <w:rsid w:val="009943EF"/>
    <w:rsid w:val="009943F2"/>
    <w:rsid w:val="00994498"/>
    <w:rsid w:val="009944A0"/>
    <w:rsid w:val="0099456E"/>
    <w:rsid w:val="0099463E"/>
    <w:rsid w:val="009946D6"/>
    <w:rsid w:val="009947ED"/>
    <w:rsid w:val="0099482D"/>
    <w:rsid w:val="0099485F"/>
    <w:rsid w:val="0099486F"/>
    <w:rsid w:val="0099496D"/>
    <w:rsid w:val="009949A0"/>
    <w:rsid w:val="009949DD"/>
    <w:rsid w:val="00994AA2"/>
    <w:rsid w:val="00994ACB"/>
    <w:rsid w:val="00994B12"/>
    <w:rsid w:val="00994B1F"/>
    <w:rsid w:val="00994B2E"/>
    <w:rsid w:val="00994DC9"/>
    <w:rsid w:val="00994DF1"/>
    <w:rsid w:val="00994E3E"/>
    <w:rsid w:val="00994F10"/>
    <w:rsid w:val="00994F20"/>
    <w:rsid w:val="00994F25"/>
    <w:rsid w:val="00994F43"/>
    <w:rsid w:val="00994F55"/>
    <w:rsid w:val="00995032"/>
    <w:rsid w:val="009950BD"/>
    <w:rsid w:val="009950CB"/>
    <w:rsid w:val="0099524F"/>
    <w:rsid w:val="00995250"/>
    <w:rsid w:val="009952D4"/>
    <w:rsid w:val="009954A9"/>
    <w:rsid w:val="009954B0"/>
    <w:rsid w:val="009954C4"/>
    <w:rsid w:val="00995580"/>
    <w:rsid w:val="0099572D"/>
    <w:rsid w:val="009957D7"/>
    <w:rsid w:val="00995819"/>
    <w:rsid w:val="0099588C"/>
    <w:rsid w:val="00995951"/>
    <w:rsid w:val="00995985"/>
    <w:rsid w:val="0099598C"/>
    <w:rsid w:val="009959A4"/>
    <w:rsid w:val="00995A30"/>
    <w:rsid w:val="00995AFE"/>
    <w:rsid w:val="00995BBA"/>
    <w:rsid w:val="00995CE3"/>
    <w:rsid w:val="00995D97"/>
    <w:rsid w:val="00995DC6"/>
    <w:rsid w:val="00995E05"/>
    <w:rsid w:val="00995E47"/>
    <w:rsid w:val="00995EA0"/>
    <w:rsid w:val="00995F3D"/>
    <w:rsid w:val="00995FDD"/>
    <w:rsid w:val="00995FF1"/>
    <w:rsid w:val="00996146"/>
    <w:rsid w:val="00996177"/>
    <w:rsid w:val="009962E5"/>
    <w:rsid w:val="00996320"/>
    <w:rsid w:val="0099638C"/>
    <w:rsid w:val="00996462"/>
    <w:rsid w:val="00996488"/>
    <w:rsid w:val="009964DB"/>
    <w:rsid w:val="009964F0"/>
    <w:rsid w:val="00996554"/>
    <w:rsid w:val="009965DF"/>
    <w:rsid w:val="009965F7"/>
    <w:rsid w:val="00996807"/>
    <w:rsid w:val="009968B1"/>
    <w:rsid w:val="009968C4"/>
    <w:rsid w:val="0099690B"/>
    <w:rsid w:val="00996988"/>
    <w:rsid w:val="009969C3"/>
    <w:rsid w:val="009969DD"/>
    <w:rsid w:val="009969EA"/>
    <w:rsid w:val="00996A42"/>
    <w:rsid w:val="00996AA8"/>
    <w:rsid w:val="00996ADF"/>
    <w:rsid w:val="00996B27"/>
    <w:rsid w:val="00996B3D"/>
    <w:rsid w:val="00996B90"/>
    <w:rsid w:val="00996BB0"/>
    <w:rsid w:val="00996C43"/>
    <w:rsid w:val="00996CAC"/>
    <w:rsid w:val="00996CB8"/>
    <w:rsid w:val="00996D63"/>
    <w:rsid w:val="00996F41"/>
    <w:rsid w:val="00997054"/>
    <w:rsid w:val="0099706B"/>
    <w:rsid w:val="009970DF"/>
    <w:rsid w:val="00997245"/>
    <w:rsid w:val="0099726D"/>
    <w:rsid w:val="00997307"/>
    <w:rsid w:val="00997459"/>
    <w:rsid w:val="009974B2"/>
    <w:rsid w:val="0099756B"/>
    <w:rsid w:val="00997583"/>
    <w:rsid w:val="0099758D"/>
    <w:rsid w:val="00997597"/>
    <w:rsid w:val="0099759D"/>
    <w:rsid w:val="0099759F"/>
    <w:rsid w:val="009975A0"/>
    <w:rsid w:val="0099760D"/>
    <w:rsid w:val="0099761D"/>
    <w:rsid w:val="0099763B"/>
    <w:rsid w:val="00997699"/>
    <w:rsid w:val="009976F7"/>
    <w:rsid w:val="00997756"/>
    <w:rsid w:val="0099775F"/>
    <w:rsid w:val="00997856"/>
    <w:rsid w:val="00997884"/>
    <w:rsid w:val="00997908"/>
    <w:rsid w:val="00997944"/>
    <w:rsid w:val="009979A6"/>
    <w:rsid w:val="00997A83"/>
    <w:rsid w:val="00997AFA"/>
    <w:rsid w:val="00997BC2"/>
    <w:rsid w:val="00997BD1"/>
    <w:rsid w:val="00997D25"/>
    <w:rsid w:val="00997E49"/>
    <w:rsid w:val="00997E85"/>
    <w:rsid w:val="00997E9C"/>
    <w:rsid w:val="00997EDC"/>
    <w:rsid w:val="00997F4D"/>
    <w:rsid w:val="009A0098"/>
    <w:rsid w:val="009A012D"/>
    <w:rsid w:val="009A01F9"/>
    <w:rsid w:val="009A0216"/>
    <w:rsid w:val="009A0245"/>
    <w:rsid w:val="009A0285"/>
    <w:rsid w:val="009A0295"/>
    <w:rsid w:val="009A02F2"/>
    <w:rsid w:val="009A02F9"/>
    <w:rsid w:val="009A02FA"/>
    <w:rsid w:val="009A0302"/>
    <w:rsid w:val="009A03FA"/>
    <w:rsid w:val="009A0491"/>
    <w:rsid w:val="009A04AF"/>
    <w:rsid w:val="009A04B9"/>
    <w:rsid w:val="009A054A"/>
    <w:rsid w:val="009A054F"/>
    <w:rsid w:val="009A058F"/>
    <w:rsid w:val="009A0616"/>
    <w:rsid w:val="009A06AA"/>
    <w:rsid w:val="009A06C1"/>
    <w:rsid w:val="009A0766"/>
    <w:rsid w:val="009A078B"/>
    <w:rsid w:val="009A0843"/>
    <w:rsid w:val="009A0858"/>
    <w:rsid w:val="009A0880"/>
    <w:rsid w:val="009A0A13"/>
    <w:rsid w:val="009A0A90"/>
    <w:rsid w:val="009A0AAA"/>
    <w:rsid w:val="009A0B17"/>
    <w:rsid w:val="009A0C20"/>
    <w:rsid w:val="009A0C3D"/>
    <w:rsid w:val="009A0C79"/>
    <w:rsid w:val="009A0C8F"/>
    <w:rsid w:val="009A0C99"/>
    <w:rsid w:val="009A0D34"/>
    <w:rsid w:val="009A0D3E"/>
    <w:rsid w:val="009A0D4D"/>
    <w:rsid w:val="009A0D60"/>
    <w:rsid w:val="009A0D9F"/>
    <w:rsid w:val="009A0DAB"/>
    <w:rsid w:val="009A0E23"/>
    <w:rsid w:val="009A0E81"/>
    <w:rsid w:val="009A0E8C"/>
    <w:rsid w:val="009A0EDE"/>
    <w:rsid w:val="009A0FE2"/>
    <w:rsid w:val="009A1012"/>
    <w:rsid w:val="009A1043"/>
    <w:rsid w:val="009A1057"/>
    <w:rsid w:val="009A105E"/>
    <w:rsid w:val="009A107B"/>
    <w:rsid w:val="009A1224"/>
    <w:rsid w:val="009A123B"/>
    <w:rsid w:val="009A127A"/>
    <w:rsid w:val="009A1376"/>
    <w:rsid w:val="009A15AC"/>
    <w:rsid w:val="009A15F3"/>
    <w:rsid w:val="009A16F8"/>
    <w:rsid w:val="009A1885"/>
    <w:rsid w:val="009A1A6F"/>
    <w:rsid w:val="009A1B44"/>
    <w:rsid w:val="009A1BE6"/>
    <w:rsid w:val="009A1D3F"/>
    <w:rsid w:val="009A1DE3"/>
    <w:rsid w:val="009A1DEC"/>
    <w:rsid w:val="009A1E44"/>
    <w:rsid w:val="009A1F3C"/>
    <w:rsid w:val="009A1F86"/>
    <w:rsid w:val="009A204D"/>
    <w:rsid w:val="009A22D8"/>
    <w:rsid w:val="009A231C"/>
    <w:rsid w:val="009A2389"/>
    <w:rsid w:val="009A2407"/>
    <w:rsid w:val="009A2468"/>
    <w:rsid w:val="009A24A8"/>
    <w:rsid w:val="009A24B5"/>
    <w:rsid w:val="009A2528"/>
    <w:rsid w:val="009A258F"/>
    <w:rsid w:val="009A2599"/>
    <w:rsid w:val="009A26CB"/>
    <w:rsid w:val="009A27D2"/>
    <w:rsid w:val="009A284B"/>
    <w:rsid w:val="009A2B44"/>
    <w:rsid w:val="009A2BD6"/>
    <w:rsid w:val="009A2BDE"/>
    <w:rsid w:val="009A2BEC"/>
    <w:rsid w:val="009A2C82"/>
    <w:rsid w:val="009A2C9E"/>
    <w:rsid w:val="009A2D5B"/>
    <w:rsid w:val="009A2EF1"/>
    <w:rsid w:val="009A2EFA"/>
    <w:rsid w:val="009A2F17"/>
    <w:rsid w:val="009A2F94"/>
    <w:rsid w:val="009A2FCE"/>
    <w:rsid w:val="009A300A"/>
    <w:rsid w:val="009A318D"/>
    <w:rsid w:val="009A32D7"/>
    <w:rsid w:val="009A32EC"/>
    <w:rsid w:val="009A3356"/>
    <w:rsid w:val="009A336B"/>
    <w:rsid w:val="009A338C"/>
    <w:rsid w:val="009A3421"/>
    <w:rsid w:val="009A3450"/>
    <w:rsid w:val="009A3486"/>
    <w:rsid w:val="009A35AE"/>
    <w:rsid w:val="009A3684"/>
    <w:rsid w:val="009A36C6"/>
    <w:rsid w:val="009A370E"/>
    <w:rsid w:val="009A37D3"/>
    <w:rsid w:val="009A3882"/>
    <w:rsid w:val="009A3887"/>
    <w:rsid w:val="009A398D"/>
    <w:rsid w:val="009A3BAB"/>
    <w:rsid w:val="009A3BD2"/>
    <w:rsid w:val="009A3C2B"/>
    <w:rsid w:val="009A3DB2"/>
    <w:rsid w:val="009A3DE4"/>
    <w:rsid w:val="009A3E2D"/>
    <w:rsid w:val="009A3E50"/>
    <w:rsid w:val="009A3F35"/>
    <w:rsid w:val="009A430C"/>
    <w:rsid w:val="009A4351"/>
    <w:rsid w:val="009A439F"/>
    <w:rsid w:val="009A43E3"/>
    <w:rsid w:val="009A4452"/>
    <w:rsid w:val="009A4494"/>
    <w:rsid w:val="009A4611"/>
    <w:rsid w:val="009A464B"/>
    <w:rsid w:val="009A478A"/>
    <w:rsid w:val="009A47A3"/>
    <w:rsid w:val="009A4914"/>
    <w:rsid w:val="009A4A6B"/>
    <w:rsid w:val="009A4ACB"/>
    <w:rsid w:val="009A4B48"/>
    <w:rsid w:val="009A4C12"/>
    <w:rsid w:val="009A4C65"/>
    <w:rsid w:val="009A4C66"/>
    <w:rsid w:val="009A4CA0"/>
    <w:rsid w:val="009A4CCE"/>
    <w:rsid w:val="009A4D1A"/>
    <w:rsid w:val="009A4D27"/>
    <w:rsid w:val="009A4DB0"/>
    <w:rsid w:val="009A4E01"/>
    <w:rsid w:val="009A4F27"/>
    <w:rsid w:val="009A4F42"/>
    <w:rsid w:val="009A508C"/>
    <w:rsid w:val="009A50B7"/>
    <w:rsid w:val="009A5154"/>
    <w:rsid w:val="009A52A2"/>
    <w:rsid w:val="009A52FE"/>
    <w:rsid w:val="009A53FD"/>
    <w:rsid w:val="009A5437"/>
    <w:rsid w:val="009A5461"/>
    <w:rsid w:val="009A55E5"/>
    <w:rsid w:val="009A55F4"/>
    <w:rsid w:val="009A5604"/>
    <w:rsid w:val="009A57B9"/>
    <w:rsid w:val="009A57D0"/>
    <w:rsid w:val="009A5804"/>
    <w:rsid w:val="009A583F"/>
    <w:rsid w:val="009A584B"/>
    <w:rsid w:val="009A590A"/>
    <w:rsid w:val="009A5976"/>
    <w:rsid w:val="009A59CF"/>
    <w:rsid w:val="009A59FB"/>
    <w:rsid w:val="009A5C20"/>
    <w:rsid w:val="009A5D0F"/>
    <w:rsid w:val="009A5D4E"/>
    <w:rsid w:val="009A5D93"/>
    <w:rsid w:val="009A5D97"/>
    <w:rsid w:val="009A5DE4"/>
    <w:rsid w:val="009A5E03"/>
    <w:rsid w:val="009A5E53"/>
    <w:rsid w:val="009A5EBE"/>
    <w:rsid w:val="009A5F0F"/>
    <w:rsid w:val="009A5F78"/>
    <w:rsid w:val="009A6056"/>
    <w:rsid w:val="009A614F"/>
    <w:rsid w:val="009A6189"/>
    <w:rsid w:val="009A6199"/>
    <w:rsid w:val="009A6331"/>
    <w:rsid w:val="009A636D"/>
    <w:rsid w:val="009A6427"/>
    <w:rsid w:val="009A6455"/>
    <w:rsid w:val="009A64C1"/>
    <w:rsid w:val="009A6501"/>
    <w:rsid w:val="009A65AE"/>
    <w:rsid w:val="009A669D"/>
    <w:rsid w:val="009A67BC"/>
    <w:rsid w:val="009A67E8"/>
    <w:rsid w:val="009A6871"/>
    <w:rsid w:val="009A6888"/>
    <w:rsid w:val="009A691C"/>
    <w:rsid w:val="009A69C5"/>
    <w:rsid w:val="009A6A15"/>
    <w:rsid w:val="009A6AA0"/>
    <w:rsid w:val="009A6BD4"/>
    <w:rsid w:val="009A6BDD"/>
    <w:rsid w:val="009A6C68"/>
    <w:rsid w:val="009A6CC8"/>
    <w:rsid w:val="009A6D36"/>
    <w:rsid w:val="009A6DE2"/>
    <w:rsid w:val="009A6E67"/>
    <w:rsid w:val="009A6F61"/>
    <w:rsid w:val="009A6F85"/>
    <w:rsid w:val="009A7079"/>
    <w:rsid w:val="009A716B"/>
    <w:rsid w:val="009A71C5"/>
    <w:rsid w:val="009A72A9"/>
    <w:rsid w:val="009A7378"/>
    <w:rsid w:val="009A738A"/>
    <w:rsid w:val="009A73DD"/>
    <w:rsid w:val="009A73F6"/>
    <w:rsid w:val="009A7493"/>
    <w:rsid w:val="009A75E7"/>
    <w:rsid w:val="009A7637"/>
    <w:rsid w:val="009A7678"/>
    <w:rsid w:val="009A7751"/>
    <w:rsid w:val="009A7803"/>
    <w:rsid w:val="009A786D"/>
    <w:rsid w:val="009A7876"/>
    <w:rsid w:val="009A7911"/>
    <w:rsid w:val="009A7970"/>
    <w:rsid w:val="009A79F5"/>
    <w:rsid w:val="009A7A16"/>
    <w:rsid w:val="009A7BAC"/>
    <w:rsid w:val="009A7C1E"/>
    <w:rsid w:val="009A7C66"/>
    <w:rsid w:val="009A7C6C"/>
    <w:rsid w:val="009A7D9C"/>
    <w:rsid w:val="009A7E82"/>
    <w:rsid w:val="009A7E88"/>
    <w:rsid w:val="009A7F2F"/>
    <w:rsid w:val="009A7F45"/>
    <w:rsid w:val="009A7FC0"/>
    <w:rsid w:val="009B006F"/>
    <w:rsid w:val="009B00D3"/>
    <w:rsid w:val="009B00E9"/>
    <w:rsid w:val="009B00F2"/>
    <w:rsid w:val="009B012F"/>
    <w:rsid w:val="009B0135"/>
    <w:rsid w:val="009B0196"/>
    <w:rsid w:val="009B019B"/>
    <w:rsid w:val="009B024A"/>
    <w:rsid w:val="009B0311"/>
    <w:rsid w:val="009B04DD"/>
    <w:rsid w:val="009B0629"/>
    <w:rsid w:val="009B06FD"/>
    <w:rsid w:val="009B0747"/>
    <w:rsid w:val="009B0769"/>
    <w:rsid w:val="009B076C"/>
    <w:rsid w:val="009B07BF"/>
    <w:rsid w:val="009B0836"/>
    <w:rsid w:val="009B08C1"/>
    <w:rsid w:val="009B09BD"/>
    <w:rsid w:val="009B0A72"/>
    <w:rsid w:val="009B0AE4"/>
    <w:rsid w:val="009B0B78"/>
    <w:rsid w:val="009B0BE1"/>
    <w:rsid w:val="009B0CE7"/>
    <w:rsid w:val="009B0CF4"/>
    <w:rsid w:val="009B0DB1"/>
    <w:rsid w:val="009B0E3B"/>
    <w:rsid w:val="009B0F34"/>
    <w:rsid w:val="009B0FC0"/>
    <w:rsid w:val="009B1008"/>
    <w:rsid w:val="009B1076"/>
    <w:rsid w:val="009B1093"/>
    <w:rsid w:val="009B10BD"/>
    <w:rsid w:val="009B1282"/>
    <w:rsid w:val="009B12C6"/>
    <w:rsid w:val="009B1374"/>
    <w:rsid w:val="009B1377"/>
    <w:rsid w:val="009B141A"/>
    <w:rsid w:val="009B1492"/>
    <w:rsid w:val="009B14B9"/>
    <w:rsid w:val="009B14E8"/>
    <w:rsid w:val="009B1518"/>
    <w:rsid w:val="009B1564"/>
    <w:rsid w:val="009B15A4"/>
    <w:rsid w:val="009B15CF"/>
    <w:rsid w:val="009B15EA"/>
    <w:rsid w:val="009B1681"/>
    <w:rsid w:val="009B16E5"/>
    <w:rsid w:val="009B1706"/>
    <w:rsid w:val="009B170C"/>
    <w:rsid w:val="009B1787"/>
    <w:rsid w:val="009B1789"/>
    <w:rsid w:val="009B17F4"/>
    <w:rsid w:val="009B1819"/>
    <w:rsid w:val="009B191A"/>
    <w:rsid w:val="009B1AF6"/>
    <w:rsid w:val="009B1AFE"/>
    <w:rsid w:val="009B1B2C"/>
    <w:rsid w:val="009B1B2D"/>
    <w:rsid w:val="009B1B67"/>
    <w:rsid w:val="009B1C02"/>
    <w:rsid w:val="009B1CDC"/>
    <w:rsid w:val="009B1CE6"/>
    <w:rsid w:val="009B1CEF"/>
    <w:rsid w:val="009B1CFE"/>
    <w:rsid w:val="009B1D67"/>
    <w:rsid w:val="009B1FBC"/>
    <w:rsid w:val="009B2102"/>
    <w:rsid w:val="009B2140"/>
    <w:rsid w:val="009B22CB"/>
    <w:rsid w:val="009B22E5"/>
    <w:rsid w:val="009B22F5"/>
    <w:rsid w:val="009B2316"/>
    <w:rsid w:val="009B2318"/>
    <w:rsid w:val="009B2393"/>
    <w:rsid w:val="009B2446"/>
    <w:rsid w:val="009B2627"/>
    <w:rsid w:val="009B26A0"/>
    <w:rsid w:val="009B2724"/>
    <w:rsid w:val="009B2804"/>
    <w:rsid w:val="009B2806"/>
    <w:rsid w:val="009B2899"/>
    <w:rsid w:val="009B2987"/>
    <w:rsid w:val="009B29CD"/>
    <w:rsid w:val="009B2A41"/>
    <w:rsid w:val="009B2A82"/>
    <w:rsid w:val="009B2B3B"/>
    <w:rsid w:val="009B2B94"/>
    <w:rsid w:val="009B2C26"/>
    <w:rsid w:val="009B2C43"/>
    <w:rsid w:val="009B2CA3"/>
    <w:rsid w:val="009B2CBD"/>
    <w:rsid w:val="009B2DE4"/>
    <w:rsid w:val="009B2E54"/>
    <w:rsid w:val="009B2EF6"/>
    <w:rsid w:val="009B2F52"/>
    <w:rsid w:val="009B30B8"/>
    <w:rsid w:val="009B3180"/>
    <w:rsid w:val="009B31AB"/>
    <w:rsid w:val="009B3263"/>
    <w:rsid w:val="009B3291"/>
    <w:rsid w:val="009B32D7"/>
    <w:rsid w:val="009B3341"/>
    <w:rsid w:val="009B3398"/>
    <w:rsid w:val="009B3487"/>
    <w:rsid w:val="009B34CA"/>
    <w:rsid w:val="009B34EB"/>
    <w:rsid w:val="009B350D"/>
    <w:rsid w:val="009B352D"/>
    <w:rsid w:val="009B3552"/>
    <w:rsid w:val="009B3606"/>
    <w:rsid w:val="009B370E"/>
    <w:rsid w:val="009B375E"/>
    <w:rsid w:val="009B3804"/>
    <w:rsid w:val="009B3841"/>
    <w:rsid w:val="009B389D"/>
    <w:rsid w:val="009B3971"/>
    <w:rsid w:val="009B397D"/>
    <w:rsid w:val="009B3980"/>
    <w:rsid w:val="009B3B11"/>
    <w:rsid w:val="009B3C9A"/>
    <w:rsid w:val="009B3C9C"/>
    <w:rsid w:val="009B3D6E"/>
    <w:rsid w:val="009B3DE0"/>
    <w:rsid w:val="009B3E8C"/>
    <w:rsid w:val="009B3EDD"/>
    <w:rsid w:val="009B3EE4"/>
    <w:rsid w:val="009B3F0A"/>
    <w:rsid w:val="009B3F65"/>
    <w:rsid w:val="009B4005"/>
    <w:rsid w:val="009B4087"/>
    <w:rsid w:val="009B4117"/>
    <w:rsid w:val="009B4150"/>
    <w:rsid w:val="009B4167"/>
    <w:rsid w:val="009B41D6"/>
    <w:rsid w:val="009B41ED"/>
    <w:rsid w:val="009B4215"/>
    <w:rsid w:val="009B42D7"/>
    <w:rsid w:val="009B4326"/>
    <w:rsid w:val="009B4327"/>
    <w:rsid w:val="009B4452"/>
    <w:rsid w:val="009B44F6"/>
    <w:rsid w:val="009B4515"/>
    <w:rsid w:val="009B45BF"/>
    <w:rsid w:val="009B466F"/>
    <w:rsid w:val="009B473D"/>
    <w:rsid w:val="009B4775"/>
    <w:rsid w:val="009B4779"/>
    <w:rsid w:val="009B477D"/>
    <w:rsid w:val="009B48B6"/>
    <w:rsid w:val="009B4959"/>
    <w:rsid w:val="009B497C"/>
    <w:rsid w:val="009B4988"/>
    <w:rsid w:val="009B4996"/>
    <w:rsid w:val="009B4A46"/>
    <w:rsid w:val="009B4A4D"/>
    <w:rsid w:val="009B4A63"/>
    <w:rsid w:val="009B4AFB"/>
    <w:rsid w:val="009B4B04"/>
    <w:rsid w:val="009B4B31"/>
    <w:rsid w:val="009B4B5F"/>
    <w:rsid w:val="009B4BC1"/>
    <w:rsid w:val="009B4BF9"/>
    <w:rsid w:val="009B4C5A"/>
    <w:rsid w:val="009B4C85"/>
    <w:rsid w:val="009B4CA0"/>
    <w:rsid w:val="009B4D68"/>
    <w:rsid w:val="009B4D80"/>
    <w:rsid w:val="009B4F81"/>
    <w:rsid w:val="009B502F"/>
    <w:rsid w:val="009B5058"/>
    <w:rsid w:val="009B516D"/>
    <w:rsid w:val="009B5176"/>
    <w:rsid w:val="009B52A9"/>
    <w:rsid w:val="009B5320"/>
    <w:rsid w:val="009B53F4"/>
    <w:rsid w:val="009B53FF"/>
    <w:rsid w:val="009B549D"/>
    <w:rsid w:val="009B54BF"/>
    <w:rsid w:val="009B5637"/>
    <w:rsid w:val="009B5707"/>
    <w:rsid w:val="009B5751"/>
    <w:rsid w:val="009B575A"/>
    <w:rsid w:val="009B58A9"/>
    <w:rsid w:val="009B5938"/>
    <w:rsid w:val="009B5A94"/>
    <w:rsid w:val="009B5AAE"/>
    <w:rsid w:val="009B5B02"/>
    <w:rsid w:val="009B5B19"/>
    <w:rsid w:val="009B5BC2"/>
    <w:rsid w:val="009B5C33"/>
    <w:rsid w:val="009B5C6A"/>
    <w:rsid w:val="009B5CC0"/>
    <w:rsid w:val="009B5CE5"/>
    <w:rsid w:val="009B5CF1"/>
    <w:rsid w:val="009B5D4C"/>
    <w:rsid w:val="009B5E6D"/>
    <w:rsid w:val="009B5F9B"/>
    <w:rsid w:val="009B6000"/>
    <w:rsid w:val="009B6001"/>
    <w:rsid w:val="009B6040"/>
    <w:rsid w:val="009B60F1"/>
    <w:rsid w:val="009B6129"/>
    <w:rsid w:val="009B618A"/>
    <w:rsid w:val="009B61F1"/>
    <w:rsid w:val="009B6201"/>
    <w:rsid w:val="009B6265"/>
    <w:rsid w:val="009B628B"/>
    <w:rsid w:val="009B629B"/>
    <w:rsid w:val="009B63FB"/>
    <w:rsid w:val="009B657A"/>
    <w:rsid w:val="009B65F8"/>
    <w:rsid w:val="009B676A"/>
    <w:rsid w:val="009B6770"/>
    <w:rsid w:val="009B6780"/>
    <w:rsid w:val="009B6792"/>
    <w:rsid w:val="009B6802"/>
    <w:rsid w:val="009B687A"/>
    <w:rsid w:val="009B698B"/>
    <w:rsid w:val="009B69AA"/>
    <w:rsid w:val="009B69E1"/>
    <w:rsid w:val="009B6AD0"/>
    <w:rsid w:val="009B6B0E"/>
    <w:rsid w:val="009B6B68"/>
    <w:rsid w:val="009B6C0C"/>
    <w:rsid w:val="009B6D9A"/>
    <w:rsid w:val="009B6F4D"/>
    <w:rsid w:val="009B6FA6"/>
    <w:rsid w:val="009B6FC5"/>
    <w:rsid w:val="009B7106"/>
    <w:rsid w:val="009B7255"/>
    <w:rsid w:val="009B7274"/>
    <w:rsid w:val="009B7329"/>
    <w:rsid w:val="009B733E"/>
    <w:rsid w:val="009B75E2"/>
    <w:rsid w:val="009B776A"/>
    <w:rsid w:val="009B7794"/>
    <w:rsid w:val="009B7907"/>
    <w:rsid w:val="009B7958"/>
    <w:rsid w:val="009B7992"/>
    <w:rsid w:val="009B7B8D"/>
    <w:rsid w:val="009B7BA5"/>
    <w:rsid w:val="009B7BD1"/>
    <w:rsid w:val="009B7C20"/>
    <w:rsid w:val="009B7E11"/>
    <w:rsid w:val="009B7E1D"/>
    <w:rsid w:val="009B7E3E"/>
    <w:rsid w:val="009B7EF3"/>
    <w:rsid w:val="009B7F93"/>
    <w:rsid w:val="009C0046"/>
    <w:rsid w:val="009C0175"/>
    <w:rsid w:val="009C01A3"/>
    <w:rsid w:val="009C0202"/>
    <w:rsid w:val="009C025A"/>
    <w:rsid w:val="009C025D"/>
    <w:rsid w:val="009C02B8"/>
    <w:rsid w:val="009C02C7"/>
    <w:rsid w:val="009C0376"/>
    <w:rsid w:val="009C0384"/>
    <w:rsid w:val="009C03C4"/>
    <w:rsid w:val="009C03D6"/>
    <w:rsid w:val="009C04C6"/>
    <w:rsid w:val="009C053E"/>
    <w:rsid w:val="009C0583"/>
    <w:rsid w:val="009C0770"/>
    <w:rsid w:val="009C077A"/>
    <w:rsid w:val="009C0832"/>
    <w:rsid w:val="009C099B"/>
    <w:rsid w:val="009C09BB"/>
    <w:rsid w:val="009C0AC2"/>
    <w:rsid w:val="009C0AEE"/>
    <w:rsid w:val="009C0BFC"/>
    <w:rsid w:val="009C0D0E"/>
    <w:rsid w:val="009C0D44"/>
    <w:rsid w:val="009C0D64"/>
    <w:rsid w:val="009C0D6B"/>
    <w:rsid w:val="009C0DF5"/>
    <w:rsid w:val="009C0E3B"/>
    <w:rsid w:val="009C0E48"/>
    <w:rsid w:val="009C0EA0"/>
    <w:rsid w:val="009C0ECA"/>
    <w:rsid w:val="009C0F14"/>
    <w:rsid w:val="009C0F72"/>
    <w:rsid w:val="009C0FAD"/>
    <w:rsid w:val="009C0FB0"/>
    <w:rsid w:val="009C0FC8"/>
    <w:rsid w:val="009C1004"/>
    <w:rsid w:val="009C1017"/>
    <w:rsid w:val="009C1063"/>
    <w:rsid w:val="009C10A7"/>
    <w:rsid w:val="009C10EA"/>
    <w:rsid w:val="009C111D"/>
    <w:rsid w:val="009C1188"/>
    <w:rsid w:val="009C119F"/>
    <w:rsid w:val="009C1281"/>
    <w:rsid w:val="009C13DE"/>
    <w:rsid w:val="009C1450"/>
    <w:rsid w:val="009C14CD"/>
    <w:rsid w:val="009C14F3"/>
    <w:rsid w:val="009C1504"/>
    <w:rsid w:val="009C1626"/>
    <w:rsid w:val="009C1698"/>
    <w:rsid w:val="009C1776"/>
    <w:rsid w:val="009C17F9"/>
    <w:rsid w:val="009C18E8"/>
    <w:rsid w:val="009C1912"/>
    <w:rsid w:val="009C1936"/>
    <w:rsid w:val="009C1969"/>
    <w:rsid w:val="009C19CF"/>
    <w:rsid w:val="009C1A6C"/>
    <w:rsid w:val="009C1A8F"/>
    <w:rsid w:val="009C1BEA"/>
    <w:rsid w:val="009C1C14"/>
    <w:rsid w:val="009C1CDD"/>
    <w:rsid w:val="009C1D92"/>
    <w:rsid w:val="009C1E5C"/>
    <w:rsid w:val="009C1EF9"/>
    <w:rsid w:val="009C216A"/>
    <w:rsid w:val="009C22B6"/>
    <w:rsid w:val="009C22BC"/>
    <w:rsid w:val="009C22FA"/>
    <w:rsid w:val="009C2305"/>
    <w:rsid w:val="009C2418"/>
    <w:rsid w:val="009C24B0"/>
    <w:rsid w:val="009C24C7"/>
    <w:rsid w:val="009C24E8"/>
    <w:rsid w:val="009C24EA"/>
    <w:rsid w:val="009C2546"/>
    <w:rsid w:val="009C258C"/>
    <w:rsid w:val="009C2630"/>
    <w:rsid w:val="009C26FD"/>
    <w:rsid w:val="009C2826"/>
    <w:rsid w:val="009C28DC"/>
    <w:rsid w:val="009C296E"/>
    <w:rsid w:val="009C2AD4"/>
    <w:rsid w:val="009C2AE2"/>
    <w:rsid w:val="009C2B14"/>
    <w:rsid w:val="009C2B28"/>
    <w:rsid w:val="009C2B38"/>
    <w:rsid w:val="009C2B40"/>
    <w:rsid w:val="009C2B9E"/>
    <w:rsid w:val="009C2C02"/>
    <w:rsid w:val="009C2D5D"/>
    <w:rsid w:val="009C2E6B"/>
    <w:rsid w:val="009C2E99"/>
    <w:rsid w:val="009C2F88"/>
    <w:rsid w:val="009C2FE8"/>
    <w:rsid w:val="009C309C"/>
    <w:rsid w:val="009C30FF"/>
    <w:rsid w:val="009C32AA"/>
    <w:rsid w:val="009C32ED"/>
    <w:rsid w:val="009C332F"/>
    <w:rsid w:val="009C333C"/>
    <w:rsid w:val="009C333D"/>
    <w:rsid w:val="009C3363"/>
    <w:rsid w:val="009C3393"/>
    <w:rsid w:val="009C339D"/>
    <w:rsid w:val="009C33A5"/>
    <w:rsid w:val="009C3451"/>
    <w:rsid w:val="009C3497"/>
    <w:rsid w:val="009C351C"/>
    <w:rsid w:val="009C3527"/>
    <w:rsid w:val="009C3556"/>
    <w:rsid w:val="009C3640"/>
    <w:rsid w:val="009C3684"/>
    <w:rsid w:val="009C3787"/>
    <w:rsid w:val="009C38ED"/>
    <w:rsid w:val="009C398E"/>
    <w:rsid w:val="009C39AA"/>
    <w:rsid w:val="009C39AF"/>
    <w:rsid w:val="009C3A46"/>
    <w:rsid w:val="009C3AAA"/>
    <w:rsid w:val="009C3B06"/>
    <w:rsid w:val="009C3B6A"/>
    <w:rsid w:val="009C3B79"/>
    <w:rsid w:val="009C3BE7"/>
    <w:rsid w:val="009C3CCC"/>
    <w:rsid w:val="009C3E57"/>
    <w:rsid w:val="009C3E74"/>
    <w:rsid w:val="009C3EA7"/>
    <w:rsid w:val="009C3EB7"/>
    <w:rsid w:val="009C3F22"/>
    <w:rsid w:val="009C3FB0"/>
    <w:rsid w:val="009C3FB8"/>
    <w:rsid w:val="009C3FDA"/>
    <w:rsid w:val="009C4017"/>
    <w:rsid w:val="009C4092"/>
    <w:rsid w:val="009C411F"/>
    <w:rsid w:val="009C4125"/>
    <w:rsid w:val="009C4156"/>
    <w:rsid w:val="009C41C8"/>
    <w:rsid w:val="009C4431"/>
    <w:rsid w:val="009C448F"/>
    <w:rsid w:val="009C45A0"/>
    <w:rsid w:val="009C46C9"/>
    <w:rsid w:val="009C4764"/>
    <w:rsid w:val="009C47DF"/>
    <w:rsid w:val="009C4881"/>
    <w:rsid w:val="009C48C2"/>
    <w:rsid w:val="009C4920"/>
    <w:rsid w:val="009C496F"/>
    <w:rsid w:val="009C4991"/>
    <w:rsid w:val="009C49AB"/>
    <w:rsid w:val="009C4A8D"/>
    <w:rsid w:val="009C4AE3"/>
    <w:rsid w:val="009C4B61"/>
    <w:rsid w:val="009C4BE9"/>
    <w:rsid w:val="009C4D92"/>
    <w:rsid w:val="009C4DFD"/>
    <w:rsid w:val="009C4E2B"/>
    <w:rsid w:val="009C4E34"/>
    <w:rsid w:val="009C5023"/>
    <w:rsid w:val="009C5208"/>
    <w:rsid w:val="009C52AB"/>
    <w:rsid w:val="009C5361"/>
    <w:rsid w:val="009C53CE"/>
    <w:rsid w:val="009C545E"/>
    <w:rsid w:val="009C5464"/>
    <w:rsid w:val="009C54F6"/>
    <w:rsid w:val="009C55AF"/>
    <w:rsid w:val="009C5637"/>
    <w:rsid w:val="009C5654"/>
    <w:rsid w:val="009C5719"/>
    <w:rsid w:val="009C5A1E"/>
    <w:rsid w:val="009C5AAE"/>
    <w:rsid w:val="009C5B9C"/>
    <w:rsid w:val="009C5CC9"/>
    <w:rsid w:val="009C5CE5"/>
    <w:rsid w:val="009C5D12"/>
    <w:rsid w:val="009C5DEA"/>
    <w:rsid w:val="009C5E96"/>
    <w:rsid w:val="009C5F83"/>
    <w:rsid w:val="009C5F93"/>
    <w:rsid w:val="009C5FD3"/>
    <w:rsid w:val="009C6075"/>
    <w:rsid w:val="009C60FC"/>
    <w:rsid w:val="009C6157"/>
    <w:rsid w:val="009C617D"/>
    <w:rsid w:val="009C6208"/>
    <w:rsid w:val="009C6216"/>
    <w:rsid w:val="009C621B"/>
    <w:rsid w:val="009C623E"/>
    <w:rsid w:val="009C630A"/>
    <w:rsid w:val="009C6316"/>
    <w:rsid w:val="009C643B"/>
    <w:rsid w:val="009C649C"/>
    <w:rsid w:val="009C64ED"/>
    <w:rsid w:val="009C64F4"/>
    <w:rsid w:val="009C651A"/>
    <w:rsid w:val="009C65C7"/>
    <w:rsid w:val="009C66D4"/>
    <w:rsid w:val="009C6726"/>
    <w:rsid w:val="009C6764"/>
    <w:rsid w:val="009C67B9"/>
    <w:rsid w:val="009C684D"/>
    <w:rsid w:val="009C6B0B"/>
    <w:rsid w:val="009C6B66"/>
    <w:rsid w:val="009C6B7D"/>
    <w:rsid w:val="009C6BC0"/>
    <w:rsid w:val="009C6BC5"/>
    <w:rsid w:val="009C6C35"/>
    <w:rsid w:val="009C6C42"/>
    <w:rsid w:val="009C6CE9"/>
    <w:rsid w:val="009C6DA2"/>
    <w:rsid w:val="009C6DF8"/>
    <w:rsid w:val="009C6E21"/>
    <w:rsid w:val="009C6EDD"/>
    <w:rsid w:val="009C6F30"/>
    <w:rsid w:val="009C7035"/>
    <w:rsid w:val="009C7051"/>
    <w:rsid w:val="009C708D"/>
    <w:rsid w:val="009C7135"/>
    <w:rsid w:val="009C713E"/>
    <w:rsid w:val="009C721A"/>
    <w:rsid w:val="009C722A"/>
    <w:rsid w:val="009C72E6"/>
    <w:rsid w:val="009C7326"/>
    <w:rsid w:val="009C7329"/>
    <w:rsid w:val="009C7482"/>
    <w:rsid w:val="009C7487"/>
    <w:rsid w:val="009C74EA"/>
    <w:rsid w:val="009C7559"/>
    <w:rsid w:val="009C757D"/>
    <w:rsid w:val="009C765E"/>
    <w:rsid w:val="009C7689"/>
    <w:rsid w:val="009C7846"/>
    <w:rsid w:val="009C796C"/>
    <w:rsid w:val="009C7983"/>
    <w:rsid w:val="009C7AA3"/>
    <w:rsid w:val="009C7B34"/>
    <w:rsid w:val="009C7D08"/>
    <w:rsid w:val="009C7D4B"/>
    <w:rsid w:val="009C7D94"/>
    <w:rsid w:val="009C7DBD"/>
    <w:rsid w:val="009C7DE8"/>
    <w:rsid w:val="009C7DFE"/>
    <w:rsid w:val="009C7E44"/>
    <w:rsid w:val="009C7E91"/>
    <w:rsid w:val="009C7F27"/>
    <w:rsid w:val="009C7F83"/>
    <w:rsid w:val="009C7FA2"/>
    <w:rsid w:val="009C7FB9"/>
    <w:rsid w:val="009C7FC5"/>
    <w:rsid w:val="009D0015"/>
    <w:rsid w:val="009D00D8"/>
    <w:rsid w:val="009D01AE"/>
    <w:rsid w:val="009D01C2"/>
    <w:rsid w:val="009D0235"/>
    <w:rsid w:val="009D02A8"/>
    <w:rsid w:val="009D033E"/>
    <w:rsid w:val="009D034D"/>
    <w:rsid w:val="009D03FF"/>
    <w:rsid w:val="009D0415"/>
    <w:rsid w:val="009D0442"/>
    <w:rsid w:val="009D0485"/>
    <w:rsid w:val="009D04E5"/>
    <w:rsid w:val="009D06F7"/>
    <w:rsid w:val="009D07AA"/>
    <w:rsid w:val="009D07D6"/>
    <w:rsid w:val="009D082B"/>
    <w:rsid w:val="009D08C1"/>
    <w:rsid w:val="009D08F9"/>
    <w:rsid w:val="009D0955"/>
    <w:rsid w:val="009D09E1"/>
    <w:rsid w:val="009D0B82"/>
    <w:rsid w:val="009D0C7E"/>
    <w:rsid w:val="009D0CDB"/>
    <w:rsid w:val="009D0D38"/>
    <w:rsid w:val="009D0E6F"/>
    <w:rsid w:val="009D0F0E"/>
    <w:rsid w:val="009D0F88"/>
    <w:rsid w:val="009D0FAB"/>
    <w:rsid w:val="009D0FB4"/>
    <w:rsid w:val="009D0FB5"/>
    <w:rsid w:val="009D0FF9"/>
    <w:rsid w:val="009D10A4"/>
    <w:rsid w:val="009D10DE"/>
    <w:rsid w:val="009D115A"/>
    <w:rsid w:val="009D11AF"/>
    <w:rsid w:val="009D12B1"/>
    <w:rsid w:val="009D12FA"/>
    <w:rsid w:val="009D149C"/>
    <w:rsid w:val="009D157F"/>
    <w:rsid w:val="009D15FD"/>
    <w:rsid w:val="009D16BC"/>
    <w:rsid w:val="009D1790"/>
    <w:rsid w:val="009D17B2"/>
    <w:rsid w:val="009D1801"/>
    <w:rsid w:val="009D185D"/>
    <w:rsid w:val="009D1873"/>
    <w:rsid w:val="009D18BE"/>
    <w:rsid w:val="009D18E3"/>
    <w:rsid w:val="009D195D"/>
    <w:rsid w:val="009D195E"/>
    <w:rsid w:val="009D1A0D"/>
    <w:rsid w:val="009D1AB4"/>
    <w:rsid w:val="009D1B3A"/>
    <w:rsid w:val="009D1B91"/>
    <w:rsid w:val="009D1BB7"/>
    <w:rsid w:val="009D1C62"/>
    <w:rsid w:val="009D1C6E"/>
    <w:rsid w:val="009D1CAF"/>
    <w:rsid w:val="009D1CC8"/>
    <w:rsid w:val="009D1DC9"/>
    <w:rsid w:val="009D1EAB"/>
    <w:rsid w:val="009D1F00"/>
    <w:rsid w:val="009D1F0D"/>
    <w:rsid w:val="009D1F90"/>
    <w:rsid w:val="009D1FD5"/>
    <w:rsid w:val="009D21B5"/>
    <w:rsid w:val="009D21D7"/>
    <w:rsid w:val="009D2200"/>
    <w:rsid w:val="009D2297"/>
    <w:rsid w:val="009D2437"/>
    <w:rsid w:val="009D2443"/>
    <w:rsid w:val="009D24C9"/>
    <w:rsid w:val="009D24F5"/>
    <w:rsid w:val="009D25EE"/>
    <w:rsid w:val="009D26FE"/>
    <w:rsid w:val="009D2744"/>
    <w:rsid w:val="009D2802"/>
    <w:rsid w:val="009D28C3"/>
    <w:rsid w:val="009D2A73"/>
    <w:rsid w:val="009D2A74"/>
    <w:rsid w:val="009D2B21"/>
    <w:rsid w:val="009D2BF9"/>
    <w:rsid w:val="009D2D1D"/>
    <w:rsid w:val="009D2D3C"/>
    <w:rsid w:val="009D2D9C"/>
    <w:rsid w:val="009D2DC4"/>
    <w:rsid w:val="009D2DE4"/>
    <w:rsid w:val="009D2E0E"/>
    <w:rsid w:val="009D2EE0"/>
    <w:rsid w:val="009D2F67"/>
    <w:rsid w:val="009D2F8D"/>
    <w:rsid w:val="009D2FCE"/>
    <w:rsid w:val="009D2FF9"/>
    <w:rsid w:val="009D3050"/>
    <w:rsid w:val="009D3169"/>
    <w:rsid w:val="009D326E"/>
    <w:rsid w:val="009D3297"/>
    <w:rsid w:val="009D32AF"/>
    <w:rsid w:val="009D32F3"/>
    <w:rsid w:val="009D337F"/>
    <w:rsid w:val="009D347C"/>
    <w:rsid w:val="009D3496"/>
    <w:rsid w:val="009D352B"/>
    <w:rsid w:val="009D3596"/>
    <w:rsid w:val="009D35A3"/>
    <w:rsid w:val="009D36AD"/>
    <w:rsid w:val="009D36B6"/>
    <w:rsid w:val="009D36CC"/>
    <w:rsid w:val="009D3756"/>
    <w:rsid w:val="009D375F"/>
    <w:rsid w:val="009D38FC"/>
    <w:rsid w:val="009D3925"/>
    <w:rsid w:val="009D396F"/>
    <w:rsid w:val="009D3A1C"/>
    <w:rsid w:val="009D3B9D"/>
    <w:rsid w:val="009D3BE7"/>
    <w:rsid w:val="009D3C39"/>
    <w:rsid w:val="009D3C61"/>
    <w:rsid w:val="009D3C86"/>
    <w:rsid w:val="009D3D12"/>
    <w:rsid w:val="009D3D13"/>
    <w:rsid w:val="009D3DF2"/>
    <w:rsid w:val="009D3E54"/>
    <w:rsid w:val="009D3F0C"/>
    <w:rsid w:val="009D3F33"/>
    <w:rsid w:val="009D4020"/>
    <w:rsid w:val="009D405B"/>
    <w:rsid w:val="009D40DF"/>
    <w:rsid w:val="009D421B"/>
    <w:rsid w:val="009D4237"/>
    <w:rsid w:val="009D4378"/>
    <w:rsid w:val="009D437A"/>
    <w:rsid w:val="009D4435"/>
    <w:rsid w:val="009D448A"/>
    <w:rsid w:val="009D453A"/>
    <w:rsid w:val="009D463E"/>
    <w:rsid w:val="009D492E"/>
    <w:rsid w:val="009D49F9"/>
    <w:rsid w:val="009D4A01"/>
    <w:rsid w:val="009D4A13"/>
    <w:rsid w:val="009D4A18"/>
    <w:rsid w:val="009D4A27"/>
    <w:rsid w:val="009D4AEB"/>
    <w:rsid w:val="009D4B12"/>
    <w:rsid w:val="009D4B15"/>
    <w:rsid w:val="009D4B96"/>
    <w:rsid w:val="009D4BE6"/>
    <w:rsid w:val="009D4C4B"/>
    <w:rsid w:val="009D4CD1"/>
    <w:rsid w:val="009D4D77"/>
    <w:rsid w:val="009D4E44"/>
    <w:rsid w:val="009D4EF9"/>
    <w:rsid w:val="009D4FEB"/>
    <w:rsid w:val="009D5043"/>
    <w:rsid w:val="009D504D"/>
    <w:rsid w:val="009D508A"/>
    <w:rsid w:val="009D50B7"/>
    <w:rsid w:val="009D50D0"/>
    <w:rsid w:val="009D516A"/>
    <w:rsid w:val="009D5198"/>
    <w:rsid w:val="009D51E3"/>
    <w:rsid w:val="009D526A"/>
    <w:rsid w:val="009D536C"/>
    <w:rsid w:val="009D53FC"/>
    <w:rsid w:val="009D546B"/>
    <w:rsid w:val="009D54A7"/>
    <w:rsid w:val="009D54C1"/>
    <w:rsid w:val="009D5512"/>
    <w:rsid w:val="009D5560"/>
    <w:rsid w:val="009D557D"/>
    <w:rsid w:val="009D55F3"/>
    <w:rsid w:val="009D5639"/>
    <w:rsid w:val="009D56D3"/>
    <w:rsid w:val="009D56D7"/>
    <w:rsid w:val="009D5701"/>
    <w:rsid w:val="009D57EE"/>
    <w:rsid w:val="009D585A"/>
    <w:rsid w:val="009D591E"/>
    <w:rsid w:val="009D59A2"/>
    <w:rsid w:val="009D59EA"/>
    <w:rsid w:val="009D5ADC"/>
    <w:rsid w:val="009D5C1B"/>
    <w:rsid w:val="009D5C57"/>
    <w:rsid w:val="009D5C75"/>
    <w:rsid w:val="009D5D07"/>
    <w:rsid w:val="009D5D62"/>
    <w:rsid w:val="009D5D6F"/>
    <w:rsid w:val="009D5DB1"/>
    <w:rsid w:val="009D5DEA"/>
    <w:rsid w:val="009D602A"/>
    <w:rsid w:val="009D6080"/>
    <w:rsid w:val="009D60D5"/>
    <w:rsid w:val="009D614E"/>
    <w:rsid w:val="009D6155"/>
    <w:rsid w:val="009D61AA"/>
    <w:rsid w:val="009D61BD"/>
    <w:rsid w:val="009D6286"/>
    <w:rsid w:val="009D6355"/>
    <w:rsid w:val="009D639A"/>
    <w:rsid w:val="009D63B8"/>
    <w:rsid w:val="009D645B"/>
    <w:rsid w:val="009D649C"/>
    <w:rsid w:val="009D650B"/>
    <w:rsid w:val="009D65C1"/>
    <w:rsid w:val="009D65F5"/>
    <w:rsid w:val="009D668E"/>
    <w:rsid w:val="009D6768"/>
    <w:rsid w:val="009D67C2"/>
    <w:rsid w:val="009D687D"/>
    <w:rsid w:val="009D693F"/>
    <w:rsid w:val="009D69B6"/>
    <w:rsid w:val="009D6B2A"/>
    <w:rsid w:val="009D6B5B"/>
    <w:rsid w:val="009D6BB5"/>
    <w:rsid w:val="009D6C0F"/>
    <w:rsid w:val="009D6D31"/>
    <w:rsid w:val="009D6DD6"/>
    <w:rsid w:val="009D6ECF"/>
    <w:rsid w:val="009D6F0F"/>
    <w:rsid w:val="009D6FDB"/>
    <w:rsid w:val="009D7046"/>
    <w:rsid w:val="009D7100"/>
    <w:rsid w:val="009D7161"/>
    <w:rsid w:val="009D7167"/>
    <w:rsid w:val="009D7211"/>
    <w:rsid w:val="009D72BF"/>
    <w:rsid w:val="009D72FE"/>
    <w:rsid w:val="009D73AE"/>
    <w:rsid w:val="009D7405"/>
    <w:rsid w:val="009D7410"/>
    <w:rsid w:val="009D7454"/>
    <w:rsid w:val="009D75DB"/>
    <w:rsid w:val="009D7683"/>
    <w:rsid w:val="009D7700"/>
    <w:rsid w:val="009D7766"/>
    <w:rsid w:val="009D785B"/>
    <w:rsid w:val="009D78EC"/>
    <w:rsid w:val="009D7915"/>
    <w:rsid w:val="009D7950"/>
    <w:rsid w:val="009D7A35"/>
    <w:rsid w:val="009D7BB3"/>
    <w:rsid w:val="009D7BB4"/>
    <w:rsid w:val="009D7C24"/>
    <w:rsid w:val="009D7C54"/>
    <w:rsid w:val="009D7C61"/>
    <w:rsid w:val="009D7D16"/>
    <w:rsid w:val="009D7D45"/>
    <w:rsid w:val="009D7D8B"/>
    <w:rsid w:val="009D7DEC"/>
    <w:rsid w:val="009D7E34"/>
    <w:rsid w:val="009D7EAB"/>
    <w:rsid w:val="009D7FB4"/>
    <w:rsid w:val="009D7FC8"/>
    <w:rsid w:val="009E01C1"/>
    <w:rsid w:val="009E0248"/>
    <w:rsid w:val="009E02EE"/>
    <w:rsid w:val="009E02F4"/>
    <w:rsid w:val="009E030A"/>
    <w:rsid w:val="009E032C"/>
    <w:rsid w:val="009E036C"/>
    <w:rsid w:val="009E03B4"/>
    <w:rsid w:val="009E04A2"/>
    <w:rsid w:val="009E04D9"/>
    <w:rsid w:val="009E050C"/>
    <w:rsid w:val="009E0585"/>
    <w:rsid w:val="009E0605"/>
    <w:rsid w:val="009E0620"/>
    <w:rsid w:val="009E062A"/>
    <w:rsid w:val="009E063F"/>
    <w:rsid w:val="009E0654"/>
    <w:rsid w:val="009E06FD"/>
    <w:rsid w:val="009E0796"/>
    <w:rsid w:val="009E0881"/>
    <w:rsid w:val="009E0970"/>
    <w:rsid w:val="009E099A"/>
    <w:rsid w:val="009E09C2"/>
    <w:rsid w:val="009E0C04"/>
    <w:rsid w:val="009E0CC5"/>
    <w:rsid w:val="009E0CF3"/>
    <w:rsid w:val="009E0D73"/>
    <w:rsid w:val="009E0F6A"/>
    <w:rsid w:val="009E0F76"/>
    <w:rsid w:val="009E10E8"/>
    <w:rsid w:val="009E1102"/>
    <w:rsid w:val="009E11BE"/>
    <w:rsid w:val="009E11D2"/>
    <w:rsid w:val="009E11E2"/>
    <w:rsid w:val="009E1245"/>
    <w:rsid w:val="009E124B"/>
    <w:rsid w:val="009E1336"/>
    <w:rsid w:val="009E1339"/>
    <w:rsid w:val="009E133A"/>
    <w:rsid w:val="009E136D"/>
    <w:rsid w:val="009E13D2"/>
    <w:rsid w:val="009E13EB"/>
    <w:rsid w:val="009E149C"/>
    <w:rsid w:val="009E1560"/>
    <w:rsid w:val="009E15A3"/>
    <w:rsid w:val="009E167F"/>
    <w:rsid w:val="009E19A3"/>
    <w:rsid w:val="009E1B36"/>
    <w:rsid w:val="009E1B92"/>
    <w:rsid w:val="009E1C68"/>
    <w:rsid w:val="009E1CA1"/>
    <w:rsid w:val="009E1CF7"/>
    <w:rsid w:val="009E1D1D"/>
    <w:rsid w:val="009E1D38"/>
    <w:rsid w:val="009E1D91"/>
    <w:rsid w:val="009E1D9A"/>
    <w:rsid w:val="009E1DA9"/>
    <w:rsid w:val="009E1EAD"/>
    <w:rsid w:val="009E1F45"/>
    <w:rsid w:val="009E20BB"/>
    <w:rsid w:val="009E215D"/>
    <w:rsid w:val="009E21D9"/>
    <w:rsid w:val="009E2251"/>
    <w:rsid w:val="009E2275"/>
    <w:rsid w:val="009E230B"/>
    <w:rsid w:val="009E2385"/>
    <w:rsid w:val="009E2387"/>
    <w:rsid w:val="009E24AC"/>
    <w:rsid w:val="009E24BB"/>
    <w:rsid w:val="009E2558"/>
    <w:rsid w:val="009E2575"/>
    <w:rsid w:val="009E25D3"/>
    <w:rsid w:val="009E2742"/>
    <w:rsid w:val="009E27BD"/>
    <w:rsid w:val="009E27CD"/>
    <w:rsid w:val="009E2832"/>
    <w:rsid w:val="009E2A60"/>
    <w:rsid w:val="009E2AD3"/>
    <w:rsid w:val="009E2ADC"/>
    <w:rsid w:val="009E2AF1"/>
    <w:rsid w:val="009E2B44"/>
    <w:rsid w:val="009E2B61"/>
    <w:rsid w:val="009E2B94"/>
    <w:rsid w:val="009E2BEE"/>
    <w:rsid w:val="009E2BF5"/>
    <w:rsid w:val="009E2C48"/>
    <w:rsid w:val="009E2C95"/>
    <w:rsid w:val="009E2EB5"/>
    <w:rsid w:val="009E2F67"/>
    <w:rsid w:val="009E2F9B"/>
    <w:rsid w:val="009E300C"/>
    <w:rsid w:val="009E30ED"/>
    <w:rsid w:val="009E3177"/>
    <w:rsid w:val="009E32A3"/>
    <w:rsid w:val="009E32BB"/>
    <w:rsid w:val="009E3331"/>
    <w:rsid w:val="009E3400"/>
    <w:rsid w:val="009E342D"/>
    <w:rsid w:val="009E347E"/>
    <w:rsid w:val="009E3489"/>
    <w:rsid w:val="009E3615"/>
    <w:rsid w:val="009E3678"/>
    <w:rsid w:val="009E36A5"/>
    <w:rsid w:val="009E36A6"/>
    <w:rsid w:val="009E36B9"/>
    <w:rsid w:val="009E38D4"/>
    <w:rsid w:val="009E3911"/>
    <w:rsid w:val="009E392B"/>
    <w:rsid w:val="009E3996"/>
    <w:rsid w:val="009E3B1B"/>
    <w:rsid w:val="009E3BEF"/>
    <w:rsid w:val="009E3C72"/>
    <w:rsid w:val="009E3CB5"/>
    <w:rsid w:val="009E3D2B"/>
    <w:rsid w:val="009E3EB2"/>
    <w:rsid w:val="009E3F60"/>
    <w:rsid w:val="009E3FB2"/>
    <w:rsid w:val="009E3FE5"/>
    <w:rsid w:val="009E40C2"/>
    <w:rsid w:val="009E4183"/>
    <w:rsid w:val="009E4277"/>
    <w:rsid w:val="009E44ED"/>
    <w:rsid w:val="009E453A"/>
    <w:rsid w:val="009E4548"/>
    <w:rsid w:val="009E45CD"/>
    <w:rsid w:val="009E46CA"/>
    <w:rsid w:val="009E47FF"/>
    <w:rsid w:val="009E485D"/>
    <w:rsid w:val="009E4879"/>
    <w:rsid w:val="009E494C"/>
    <w:rsid w:val="009E4960"/>
    <w:rsid w:val="009E499B"/>
    <w:rsid w:val="009E499E"/>
    <w:rsid w:val="009E49E3"/>
    <w:rsid w:val="009E4AFA"/>
    <w:rsid w:val="009E4B62"/>
    <w:rsid w:val="009E4BD4"/>
    <w:rsid w:val="009E4C22"/>
    <w:rsid w:val="009E4C53"/>
    <w:rsid w:val="009E4D41"/>
    <w:rsid w:val="009E4D84"/>
    <w:rsid w:val="009E4DC0"/>
    <w:rsid w:val="009E4DF7"/>
    <w:rsid w:val="009E4E91"/>
    <w:rsid w:val="009E4E9C"/>
    <w:rsid w:val="009E5061"/>
    <w:rsid w:val="009E5224"/>
    <w:rsid w:val="009E523C"/>
    <w:rsid w:val="009E52BF"/>
    <w:rsid w:val="009E5427"/>
    <w:rsid w:val="009E561B"/>
    <w:rsid w:val="009E563F"/>
    <w:rsid w:val="009E569E"/>
    <w:rsid w:val="009E5759"/>
    <w:rsid w:val="009E583F"/>
    <w:rsid w:val="009E589C"/>
    <w:rsid w:val="009E58DF"/>
    <w:rsid w:val="009E59D3"/>
    <w:rsid w:val="009E5A5D"/>
    <w:rsid w:val="009E5A77"/>
    <w:rsid w:val="009E5B74"/>
    <w:rsid w:val="009E5C09"/>
    <w:rsid w:val="009E5F1C"/>
    <w:rsid w:val="009E6009"/>
    <w:rsid w:val="009E604F"/>
    <w:rsid w:val="009E60CB"/>
    <w:rsid w:val="009E60DB"/>
    <w:rsid w:val="009E60E4"/>
    <w:rsid w:val="009E61A8"/>
    <w:rsid w:val="009E6290"/>
    <w:rsid w:val="009E638F"/>
    <w:rsid w:val="009E63BE"/>
    <w:rsid w:val="009E640E"/>
    <w:rsid w:val="009E651C"/>
    <w:rsid w:val="009E6557"/>
    <w:rsid w:val="009E6560"/>
    <w:rsid w:val="009E6650"/>
    <w:rsid w:val="009E66AC"/>
    <w:rsid w:val="009E66E0"/>
    <w:rsid w:val="009E6737"/>
    <w:rsid w:val="009E67AD"/>
    <w:rsid w:val="009E6818"/>
    <w:rsid w:val="009E685C"/>
    <w:rsid w:val="009E690C"/>
    <w:rsid w:val="009E69C1"/>
    <w:rsid w:val="009E6ABF"/>
    <w:rsid w:val="009E6ADD"/>
    <w:rsid w:val="009E6AF4"/>
    <w:rsid w:val="009E6B20"/>
    <w:rsid w:val="009E6B85"/>
    <w:rsid w:val="009E6BE7"/>
    <w:rsid w:val="009E6C20"/>
    <w:rsid w:val="009E6C2B"/>
    <w:rsid w:val="009E6D86"/>
    <w:rsid w:val="009E6EEF"/>
    <w:rsid w:val="009E6F83"/>
    <w:rsid w:val="009E6F90"/>
    <w:rsid w:val="009E7015"/>
    <w:rsid w:val="009E7143"/>
    <w:rsid w:val="009E71A6"/>
    <w:rsid w:val="009E71C6"/>
    <w:rsid w:val="009E71CD"/>
    <w:rsid w:val="009E7221"/>
    <w:rsid w:val="009E724E"/>
    <w:rsid w:val="009E7258"/>
    <w:rsid w:val="009E72AA"/>
    <w:rsid w:val="009E73FC"/>
    <w:rsid w:val="009E7413"/>
    <w:rsid w:val="009E749F"/>
    <w:rsid w:val="009E74E6"/>
    <w:rsid w:val="009E7523"/>
    <w:rsid w:val="009E75C4"/>
    <w:rsid w:val="009E7790"/>
    <w:rsid w:val="009E77C4"/>
    <w:rsid w:val="009E7891"/>
    <w:rsid w:val="009E78C4"/>
    <w:rsid w:val="009E7935"/>
    <w:rsid w:val="009E79B3"/>
    <w:rsid w:val="009E7A14"/>
    <w:rsid w:val="009E7A8B"/>
    <w:rsid w:val="009E7AA5"/>
    <w:rsid w:val="009E7AB4"/>
    <w:rsid w:val="009E7B0F"/>
    <w:rsid w:val="009E7B9B"/>
    <w:rsid w:val="009E7DC8"/>
    <w:rsid w:val="009E7E23"/>
    <w:rsid w:val="009E7F28"/>
    <w:rsid w:val="009E7FFB"/>
    <w:rsid w:val="009E821B"/>
    <w:rsid w:val="009F0037"/>
    <w:rsid w:val="009F0042"/>
    <w:rsid w:val="009F00D8"/>
    <w:rsid w:val="009F00DD"/>
    <w:rsid w:val="009F0108"/>
    <w:rsid w:val="009F0202"/>
    <w:rsid w:val="009F0274"/>
    <w:rsid w:val="009F02C0"/>
    <w:rsid w:val="009F02FF"/>
    <w:rsid w:val="009F0306"/>
    <w:rsid w:val="009F03D9"/>
    <w:rsid w:val="009F03EE"/>
    <w:rsid w:val="009F0448"/>
    <w:rsid w:val="009F0502"/>
    <w:rsid w:val="009F05A7"/>
    <w:rsid w:val="009F05D2"/>
    <w:rsid w:val="009F060B"/>
    <w:rsid w:val="009F062A"/>
    <w:rsid w:val="009F0736"/>
    <w:rsid w:val="009F081F"/>
    <w:rsid w:val="009F0928"/>
    <w:rsid w:val="009F095F"/>
    <w:rsid w:val="009F0980"/>
    <w:rsid w:val="009F0A03"/>
    <w:rsid w:val="009F0A16"/>
    <w:rsid w:val="009F0A67"/>
    <w:rsid w:val="009F0AC4"/>
    <w:rsid w:val="009F0BD3"/>
    <w:rsid w:val="009F0C1D"/>
    <w:rsid w:val="009F0C66"/>
    <w:rsid w:val="009F0C97"/>
    <w:rsid w:val="009F0DE0"/>
    <w:rsid w:val="009F0F1D"/>
    <w:rsid w:val="009F1015"/>
    <w:rsid w:val="009F101A"/>
    <w:rsid w:val="009F107E"/>
    <w:rsid w:val="009F10D6"/>
    <w:rsid w:val="009F10F1"/>
    <w:rsid w:val="009F110C"/>
    <w:rsid w:val="009F1111"/>
    <w:rsid w:val="009F1121"/>
    <w:rsid w:val="009F11CB"/>
    <w:rsid w:val="009F11DC"/>
    <w:rsid w:val="009F1296"/>
    <w:rsid w:val="009F12C3"/>
    <w:rsid w:val="009F1309"/>
    <w:rsid w:val="009F1393"/>
    <w:rsid w:val="009F13AB"/>
    <w:rsid w:val="009F13B5"/>
    <w:rsid w:val="009F13BF"/>
    <w:rsid w:val="009F15A0"/>
    <w:rsid w:val="009F15D3"/>
    <w:rsid w:val="009F15E9"/>
    <w:rsid w:val="009F1666"/>
    <w:rsid w:val="009F1788"/>
    <w:rsid w:val="009F17D5"/>
    <w:rsid w:val="009F1802"/>
    <w:rsid w:val="009F1907"/>
    <w:rsid w:val="009F1A0C"/>
    <w:rsid w:val="009F1A26"/>
    <w:rsid w:val="009F1B01"/>
    <w:rsid w:val="009F1B52"/>
    <w:rsid w:val="009F1B6C"/>
    <w:rsid w:val="009F1B8C"/>
    <w:rsid w:val="009F1C19"/>
    <w:rsid w:val="009F1C1C"/>
    <w:rsid w:val="009F1C57"/>
    <w:rsid w:val="009F1C8E"/>
    <w:rsid w:val="009F1D68"/>
    <w:rsid w:val="009F1E33"/>
    <w:rsid w:val="009F1E4D"/>
    <w:rsid w:val="009F1EEC"/>
    <w:rsid w:val="009F1F08"/>
    <w:rsid w:val="009F1F6B"/>
    <w:rsid w:val="009F1F71"/>
    <w:rsid w:val="009F207A"/>
    <w:rsid w:val="009F2105"/>
    <w:rsid w:val="009F2149"/>
    <w:rsid w:val="009F21A5"/>
    <w:rsid w:val="009F22B9"/>
    <w:rsid w:val="009F22F4"/>
    <w:rsid w:val="009F23A2"/>
    <w:rsid w:val="009F23F3"/>
    <w:rsid w:val="009F2428"/>
    <w:rsid w:val="009F244C"/>
    <w:rsid w:val="009F24D3"/>
    <w:rsid w:val="009F2563"/>
    <w:rsid w:val="009F25A0"/>
    <w:rsid w:val="009F25FE"/>
    <w:rsid w:val="009F27B2"/>
    <w:rsid w:val="009F27B4"/>
    <w:rsid w:val="009F28D6"/>
    <w:rsid w:val="009F29AC"/>
    <w:rsid w:val="009F2A88"/>
    <w:rsid w:val="009F2B13"/>
    <w:rsid w:val="009F2B79"/>
    <w:rsid w:val="009F2B9D"/>
    <w:rsid w:val="009F2D12"/>
    <w:rsid w:val="009F2E24"/>
    <w:rsid w:val="009F2E43"/>
    <w:rsid w:val="009F2E74"/>
    <w:rsid w:val="009F2FB1"/>
    <w:rsid w:val="009F301C"/>
    <w:rsid w:val="009F30D6"/>
    <w:rsid w:val="009F3129"/>
    <w:rsid w:val="009F312D"/>
    <w:rsid w:val="009F3250"/>
    <w:rsid w:val="009F32A9"/>
    <w:rsid w:val="009F32DC"/>
    <w:rsid w:val="009F3329"/>
    <w:rsid w:val="009F332D"/>
    <w:rsid w:val="009F33B1"/>
    <w:rsid w:val="009F33BA"/>
    <w:rsid w:val="009F341D"/>
    <w:rsid w:val="009F348F"/>
    <w:rsid w:val="009F3492"/>
    <w:rsid w:val="009F3521"/>
    <w:rsid w:val="009F372E"/>
    <w:rsid w:val="009F373D"/>
    <w:rsid w:val="009F376A"/>
    <w:rsid w:val="009F376D"/>
    <w:rsid w:val="009F3791"/>
    <w:rsid w:val="009F37A0"/>
    <w:rsid w:val="009F37AC"/>
    <w:rsid w:val="009F3838"/>
    <w:rsid w:val="009F3932"/>
    <w:rsid w:val="009F3947"/>
    <w:rsid w:val="009F3958"/>
    <w:rsid w:val="009F3985"/>
    <w:rsid w:val="009F39A8"/>
    <w:rsid w:val="009F3A98"/>
    <w:rsid w:val="009F3AB2"/>
    <w:rsid w:val="009F3B35"/>
    <w:rsid w:val="009F3BAF"/>
    <w:rsid w:val="009F3BD6"/>
    <w:rsid w:val="009F3D09"/>
    <w:rsid w:val="009F3FA6"/>
    <w:rsid w:val="009F3FB9"/>
    <w:rsid w:val="009F4033"/>
    <w:rsid w:val="009F407F"/>
    <w:rsid w:val="009F4249"/>
    <w:rsid w:val="009F42EE"/>
    <w:rsid w:val="009F4333"/>
    <w:rsid w:val="009F43A6"/>
    <w:rsid w:val="009F43C4"/>
    <w:rsid w:val="009F444E"/>
    <w:rsid w:val="009F4575"/>
    <w:rsid w:val="009F461C"/>
    <w:rsid w:val="009F461F"/>
    <w:rsid w:val="009F47AB"/>
    <w:rsid w:val="009F47EC"/>
    <w:rsid w:val="009F47FB"/>
    <w:rsid w:val="009F48C7"/>
    <w:rsid w:val="009F4943"/>
    <w:rsid w:val="009F49A1"/>
    <w:rsid w:val="009F49A5"/>
    <w:rsid w:val="009F4A78"/>
    <w:rsid w:val="009F4CB1"/>
    <w:rsid w:val="009F4E6F"/>
    <w:rsid w:val="009F4E74"/>
    <w:rsid w:val="009F4F1E"/>
    <w:rsid w:val="009F4F5D"/>
    <w:rsid w:val="009F50E7"/>
    <w:rsid w:val="009F514D"/>
    <w:rsid w:val="009F51A9"/>
    <w:rsid w:val="009F5330"/>
    <w:rsid w:val="009F5383"/>
    <w:rsid w:val="009F5386"/>
    <w:rsid w:val="009F53EF"/>
    <w:rsid w:val="009F53F3"/>
    <w:rsid w:val="009F53F4"/>
    <w:rsid w:val="009F549F"/>
    <w:rsid w:val="009F54E4"/>
    <w:rsid w:val="009F57FF"/>
    <w:rsid w:val="009F58A6"/>
    <w:rsid w:val="009F5921"/>
    <w:rsid w:val="009F592C"/>
    <w:rsid w:val="009F592F"/>
    <w:rsid w:val="009F5970"/>
    <w:rsid w:val="009F5A7E"/>
    <w:rsid w:val="009F5A97"/>
    <w:rsid w:val="009F5ADA"/>
    <w:rsid w:val="009F5B10"/>
    <w:rsid w:val="009F5BED"/>
    <w:rsid w:val="009F5C44"/>
    <w:rsid w:val="009F5C82"/>
    <w:rsid w:val="009F5F28"/>
    <w:rsid w:val="009F5FC0"/>
    <w:rsid w:val="009F5FCA"/>
    <w:rsid w:val="009F5FDE"/>
    <w:rsid w:val="009F6114"/>
    <w:rsid w:val="009F6154"/>
    <w:rsid w:val="009F61FA"/>
    <w:rsid w:val="009F633F"/>
    <w:rsid w:val="009F63AC"/>
    <w:rsid w:val="009F65DC"/>
    <w:rsid w:val="009F6712"/>
    <w:rsid w:val="009F6758"/>
    <w:rsid w:val="009F682B"/>
    <w:rsid w:val="009F68C1"/>
    <w:rsid w:val="009F6936"/>
    <w:rsid w:val="009F695F"/>
    <w:rsid w:val="009F696E"/>
    <w:rsid w:val="009F6991"/>
    <w:rsid w:val="009F69A3"/>
    <w:rsid w:val="009F69E6"/>
    <w:rsid w:val="009F6BF0"/>
    <w:rsid w:val="009F6BF2"/>
    <w:rsid w:val="009F6C21"/>
    <w:rsid w:val="009F6CA2"/>
    <w:rsid w:val="009F6D13"/>
    <w:rsid w:val="009F6DE4"/>
    <w:rsid w:val="009F6E56"/>
    <w:rsid w:val="009F6E62"/>
    <w:rsid w:val="009F6EA9"/>
    <w:rsid w:val="009F6F0D"/>
    <w:rsid w:val="009F6F46"/>
    <w:rsid w:val="009F6F5A"/>
    <w:rsid w:val="009F6F61"/>
    <w:rsid w:val="009F6F9E"/>
    <w:rsid w:val="009F6FC2"/>
    <w:rsid w:val="009F6FF2"/>
    <w:rsid w:val="009F705C"/>
    <w:rsid w:val="009F7145"/>
    <w:rsid w:val="009F71E4"/>
    <w:rsid w:val="009F7370"/>
    <w:rsid w:val="009F7385"/>
    <w:rsid w:val="009F75F8"/>
    <w:rsid w:val="009F764F"/>
    <w:rsid w:val="009F76F9"/>
    <w:rsid w:val="009F7715"/>
    <w:rsid w:val="009F7744"/>
    <w:rsid w:val="009F7774"/>
    <w:rsid w:val="009F78D1"/>
    <w:rsid w:val="009F7976"/>
    <w:rsid w:val="009F79F7"/>
    <w:rsid w:val="009F7AC9"/>
    <w:rsid w:val="009F7AD4"/>
    <w:rsid w:val="009F7B81"/>
    <w:rsid w:val="009F7C27"/>
    <w:rsid w:val="009F7CC8"/>
    <w:rsid w:val="009F7D37"/>
    <w:rsid w:val="009F7D92"/>
    <w:rsid w:val="009F7DCD"/>
    <w:rsid w:val="009F7E7A"/>
    <w:rsid w:val="009F7F31"/>
    <w:rsid w:val="009F7F86"/>
    <w:rsid w:val="00A00088"/>
    <w:rsid w:val="00A00169"/>
    <w:rsid w:val="00A002F3"/>
    <w:rsid w:val="00A0034F"/>
    <w:rsid w:val="00A003B2"/>
    <w:rsid w:val="00A003B5"/>
    <w:rsid w:val="00A00495"/>
    <w:rsid w:val="00A0057E"/>
    <w:rsid w:val="00A00739"/>
    <w:rsid w:val="00A0089E"/>
    <w:rsid w:val="00A00923"/>
    <w:rsid w:val="00A00A07"/>
    <w:rsid w:val="00A00A3D"/>
    <w:rsid w:val="00A00A52"/>
    <w:rsid w:val="00A00B3F"/>
    <w:rsid w:val="00A00B81"/>
    <w:rsid w:val="00A00B9A"/>
    <w:rsid w:val="00A00BE8"/>
    <w:rsid w:val="00A00D49"/>
    <w:rsid w:val="00A00D7A"/>
    <w:rsid w:val="00A00DE6"/>
    <w:rsid w:val="00A00E70"/>
    <w:rsid w:val="00A00EEF"/>
    <w:rsid w:val="00A00F85"/>
    <w:rsid w:val="00A00F90"/>
    <w:rsid w:val="00A01039"/>
    <w:rsid w:val="00A010BC"/>
    <w:rsid w:val="00A01166"/>
    <w:rsid w:val="00A011D6"/>
    <w:rsid w:val="00A0123C"/>
    <w:rsid w:val="00A012ED"/>
    <w:rsid w:val="00A01360"/>
    <w:rsid w:val="00A014FF"/>
    <w:rsid w:val="00A015DD"/>
    <w:rsid w:val="00A015E8"/>
    <w:rsid w:val="00A0169E"/>
    <w:rsid w:val="00A016CE"/>
    <w:rsid w:val="00A0171C"/>
    <w:rsid w:val="00A017BA"/>
    <w:rsid w:val="00A018AB"/>
    <w:rsid w:val="00A01908"/>
    <w:rsid w:val="00A019B5"/>
    <w:rsid w:val="00A01A9A"/>
    <w:rsid w:val="00A01AA1"/>
    <w:rsid w:val="00A01B91"/>
    <w:rsid w:val="00A01BB6"/>
    <w:rsid w:val="00A01C21"/>
    <w:rsid w:val="00A01C46"/>
    <w:rsid w:val="00A01D79"/>
    <w:rsid w:val="00A01E1E"/>
    <w:rsid w:val="00A01E42"/>
    <w:rsid w:val="00A01E55"/>
    <w:rsid w:val="00A01E6E"/>
    <w:rsid w:val="00A01F16"/>
    <w:rsid w:val="00A01F4D"/>
    <w:rsid w:val="00A01F85"/>
    <w:rsid w:val="00A01FA9"/>
    <w:rsid w:val="00A01FFD"/>
    <w:rsid w:val="00A02127"/>
    <w:rsid w:val="00A02138"/>
    <w:rsid w:val="00A021D8"/>
    <w:rsid w:val="00A0232F"/>
    <w:rsid w:val="00A0234E"/>
    <w:rsid w:val="00A024C4"/>
    <w:rsid w:val="00A024E5"/>
    <w:rsid w:val="00A02566"/>
    <w:rsid w:val="00A025BC"/>
    <w:rsid w:val="00A02623"/>
    <w:rsid w:val="00A027CD"/>
    <w:rsid w:val="00A0287F"/>
    <w:rsid w:val="00A0289C"/>
    <w:rsid w:val="00A028AD"/>
    <w:rsid w:val="00A0297B"/>
    <w:rsid w:val="00A029BE"/>
    <w:rsid w:val="00A02A1F"/>
    <w:rsid w:val="00A02AC8"/>
    <w:rsid w:val="00A02ACE"/>
    <w:rsid w:val="00A02AF9"/>
    <w:rsid w:val="00A02B18"/>
    <w:rsid w:val="00A02B26"/>
    <w:rsid w:val="00A02B50"/>
    <w:rsid w:val="00A02B51"/>
    <w:rsid w:val="00A02BE7"/>
    <w:rsid w:val="00A02CCD"/>
    <w:rsid w:val="00A02D4E"/>
    <w:rsid w:val="00A02DF5"/>
    <w:rsid w:val="00A02E11"/>
    <w:rsid w:val="00A02E92"/>
    <w:rsid w:val="00A02ED7"/>
    <w:rsid w:val="00A02ED8"/>
    <w:rsid w:val="00A02F56"/>
    <w:rsid w:val="00A02F7B"/>
    <w:rsid w:val="00A02F88"/>
    <w:rsid w:val="00A03014"/>
    <w:rsid w:val="00A0308C"/>
    <w:rsid w:val="00A0320A"/>
    <w:rsid w:val="00A03240"/>
    <w:rsid w:val="00A033AC"/>
    <w:rsid w:val="00A0346A"/>
    <w:rsid w:val="00A03478"/>
    <w:rsid w:val="00A03481"/>
    <w:rsid w:val="00A03546"/>
    <w:rsid w:val="00A03605"/>
    <w:rsid w:val="00A0360A"/>
    <w:rsid w:val="00A03670"/>
    <w:rsid w:val="00A0376C"/>
    <w:rsid w:val="00A037BE"/>
    <w:rsid w:val="00A037F5"/>
    <w:rsid w:val="00A038BB"/>
    <w:rsid w:val="00A03987"/>
    <w:rsid w:val="00A03A24"/>
    <w:rsid w:val="00A03C68"/>
    <w:rsid w:val="00A03C71"/>
    <w:rsid w:val="00A03CC4"/>
    <w:rsid w:val="00A03D0E"/>
    <w:rsid w:val="00A03DBB"/>
    <w:rsid w:val="00A03EC9"/>
    <w:rsid w:val="00A04008"/>
    <w:rsid w:val="00A0402D"/>
    <w:rsid w:val="00A04096"/>
    <w:rsid w:val="00A040AE"/>
    <w:rsid w:val="00A04140"/>
    <w:rsid w:val="00A041AF"/>
    <w:rsid w:val="00A04210"/>
    <w:rsid w:val="00A04289"/>
    <w:rsid w:val="00A042F4"/>
    <w:rsid w:val="00A0433C"/>
    <w:rsid w:val="00A044E6"/>
    <w:rsid w:val="00A045F1"/>
    <w:rsid w:val="00A04621"/>
    <w:rsid w:val="00A0466E"/>
    <w:rsid w:val="00A0470D"/>
    <w:rsid w:val="00A047E2"/>
    <w:rsid w:val="00A048B5"/>
    <w:rsid w:val="00A048CF"/>
    <w:rsid w:val="00A04930"/>
    <w:rsid w:val="00A04B3C"/>
    <w:rsid w:val="00A04B48"/>
    <w:rsid w:val="00A04B61"/>
    <w:rsid w:val="00A04BDA"/>
    <w:rsid w:val="00A04C58"/>
    <w:rsid w:val="00A04CDC"/>
    <w:rsid w:val="00A04CEC"/>
    <w:rsid w:val="00A04D10"/>
    <w:rsid w:val="00A04D28"/>
    <w:rsid w:val="00A04D57"/>
    <w:rsid w:val="00A04F49"/>
    <w:rsid w:val="00A04F5E"/>
    <w:rsid w:val="00A04FA5"/>
    <w:rsid w:val="00A0504D"/>
    <w:rsid w:val="00A0528C"/>
    <w:rsid w:val="00A0536E"/>
    <w:rsid w:val="00A053C5"/>
    <w:rsid w:val="00A053CA"/>
    <w:rsid w:val="00A05556"/>
    <w:rsid w:val="00A056FA"/>
    <w:rsid w:val="00A058F1"/>
    <w:rsid w:val="00A0594B"/>
    <w:rsid w:val="00A0597C"/>
    <w:rsid w:val="00A0597D"/>
    <w:rsid w:val="00A059B8"/>
    <w:rsid w:val="00A059FD"/>
    <w:rsid w:val="00A05B8B"/>
    <w:rsid w:val="00A05B8E"/>
    <w:rsid w:val="00A05C99"/>
    <w:rsid w:val="00A05DA8"/>
    <w:rsid w:val="00A05E7A"/>
    <w:rsid w:val="00A05ED0"/>
    <w:rsid w:val="00A05EFB"/>
    <w:rsid w:val="00A0609C"/>
    <w:rsid w:val="00A060C7"/>
    <w:rsid w:val="00A06198"/>
    <w:rsid w:val="00A061D0"/>
    <w:rsid w:val="00A061FC"/>
    <w:rsid w:val="00A06222"/>
    <w:rsid w:val="00A06361"/>
    <w:rsid w:val="00A0636F"/>
    <w:rsid w:val="00A063BA"/>
    <w:rsid w:val="00A06438"/>
    <w:rsid w:val="00A064AE"/>
    <w:rsid w:val="00A064DF"/>
    <w:rsid w:val="00A06539"/>
    <w:rsid w:val="00A0670D"/>
    <w:rsid w:val="00A0670F"/>
    <w:rsid w:val="00A0682C"/>
    <w:rsid w:val="00A06885"/>
    <w:rsid w:val="00A068B2"/>
    <w:rsid w:val="00A068B4"/>
    <w:rsid w:val="00A069DF"/>
    <w:rsid w:val="00A06A27"/>
    <w:rsid w:val="00A06AB0"/>
    <w:rsid w:val="00A06B3A"/>
    <w:rsid w:val="00A06B48"/>
    <w:rsid w:val="00A06B8B"/>
    <w:rsid w:val="00A06CFD"/>
    <w:rsid w:val="00A06D01"/>
    <w:rsid w:val="00A06DA8"/>
    <w:rsid w:val="00A06ED1"/>
    <w:rsid w:val="00A06EF7"/>
    <w:rsid w:val="00A06F1C"/>
    <w:rsid w:val="00A07064"/>
    <w:rsid w:val="00A0712D"/>
    <w:rsid w:val="00A071C1"/>
    <w:rsid w:val="00A071C7"/>
    <w:rsid w:val="00A07242"/>
    <w:rsid w:val="00A07312"/>
    <w:rsid w:val="00A07354"/>
    <w:rsid w:val="00A074A7"/>
    <w:rsid w:val="00A07501"/>
    <w:rsid w:val="00A07559"/>
    <w:rsid w:val="00A0757A"/>
    <w:rsid w:val="00A0768B"/>
    <w:rsid w:val="00A0769B"/>
    <w:rsid w:val="00A078BD"/>
    <w:rsid w:val="00A0792C"/>
    <w:rsid w:val="00A07935"/>
    <w:rsid w:val="00A07A06"/>
    <w:rsid w:val="00A07A11"/>
    <w:rsid w:val="00A07A15"/>
    <w:rsid w:val="00A07AC4"/>
    <w:rsid w:val="00A07B57"/>
    <w:rsid w:val="00A07C18"/>
    <w:rsid w:val="00A07C94"/>
    <w:rsid w:val="00A07CFF"/>
    <w:rsid w:val="00A07D92"/>
    <w:rsid w:val="00A07DBA"/>
    <w:rsid w:val="00A07DD3"/>
    <w:rsid w:val="00A07F85"/>
    <w:rsid w:val="00A07FCF"/>
    <w:rsid w:val="00A10360"/>
    <w:rsid w:val="00A103BC"/>
    <w:rsid w:val="00A10427"/>
    <w:rsid w:val="00A104B0"/>
    <w:rsid w:val="00A1055C"/>
    <w:rsid w:val="00A105DA"/>
    <w:rsid w:val="00A10614"/>
    <w:rsid w:val="00A106BB"/>
    <w:rsid w:val="00A10766"/>
    <w:rsid w:val="00A1077F"/>
    <w:rsid w:val="00A10852"/>
    <w:rsid w:val="00A108CC"/>
    <w:rsid w:val="00A108DF"/>
    <w:rsid w:val="00A10908"/>
    <w:rsid w:val="00A10911"/>
    <w:rsid w:val="00A10939"/>
    <w:rsid w:val="00A10998"/>
    <w:rsid w:val="00A109F8"/>
    <w:rsid w:val="00A10AFB"/>
    <w:rsid w:val="00A10B28"/>
    <w:rsid w:val="00A10BC4"/>
    <w:rsid w:val="00A10BDD"/>
    <w:rsid w:val="00A10BFA"/>
    <w:rsid w:val="00A10C25"/>
    <w:rsid w:val="00A10FEA"/>
    <w:rsid w:val="00A11011"/>
    <w:rsid w:val="00A110D5"/>
    <w:rsid w:val="00A110F0"/>
    <w:rsid w:val="00A110F8"/>
    <w:rsid w:val="00A11328"/>
    <w:rsid w:val="00A11329"/>
    <w:rsid w:val="00A1132E"/>
    <w:rsid w:val="00A11370"/>
    <w:rsid w:val="00A1150B"/>
    <w:rsid w:val="00A1153A"/>
    <w:rsid w:val="00A11551"/>
    <w:rsid w:val="00A11572"/>
    <w:rsid w:val="00A115E4"/>
    <w:rsid w:val="00A11602"/>
    <w:rsid w:val="00A116D6"/>
    <w:rsid w:val="00A1173A"/>
    <w:rsid w:val="00A11779"/>
    <w:rsid w:val="00A11792"/>
    <w:rsid w:val="00A117B2"/>
    <w:rsid w:val="00A1189B"/>
    <w:rsid w:val="00A11968"/>
    <w:rsid w:val="00A1198D"/>
    <w:rsid w:val="00A119C1"/>
    <w:rsid w:val="00A11C40"/>
    <w:rsid w:val="00A11DB3"/>
    <w:rsid w:val="00A11E36"/>
    <w:rsid w:val="00A11EAE"/>
    <w:rsid w:val="00A11FA8"/>
    <w:rsid w:val="00A11FCF"/>
    <w:rsid w:val="00A12135"/>
    <w:rsid w:val="00A12160"/>
    <w:rsid w:val="00A12190"/>
    <w:rsid w:val="00A121E9"/>
    <w:rsid w:val="00A12264"/>
    <w:rsid w:val="00A12325"/>
    <w:rsid w:val="00A1234E"/>
    <w:rsid w:val="00A12357"/>
    <w:rsid w:val="00A123C6"/>
    <w:rsid w:val="00A123E2"/>
    <w:rsid w:val="00A125B6"/>
    <w:rsid w:val="00A12606"/>
    <w:rsid w:val="00A12766"/>
    <w:rsid w:val="00A1286D"/>
    <w:rsid w:val="00A128B7"/>
    <w:rsid w:val="00A128C4"/>
    <w:rsid w:val="00A128DF"/>
    <w:rsid w:val="00A12939"/>
    <w:rsid w:val="00A129AE"/>
    <w:rsid w:val="00A12A06"/>
    <w:rsid w:val="00A12C4E"/>
    <w:rsid w:val="00A12CC8"/>
    <w:rsid w:val="00A12DBF"/>
    <w:rsid w:val="00A12F49"/>
    <w:rsid w:val="00A12F53"/>
    <w:rsid w:val="00A12F5F"/>
    <w:rsid w:val="00A13051"/>
    <w:rsid w:val="00A13098"/>
    <w:rsid w:val="00A130D5"/>
    <w:rsid w:val="00A13136"/>
    <w:rsid w:val="00A1315C"/>
    <w:rsid w:val="00A13170"/>
    <w:rsid w:val="00A131A8"/>
    <w:rsid w:val="00A1327C"/>
    <w:rsid w:val="00A13394"/>
    <w:rsid w:val="00A1343D"/>
    <w:rsid w:val="00A134C9"/>
    <w:rsid w:val="00A13554"/>
    <w:rsid w:val="00A135B7"/>
    <w:rsid w:val="00A13628"/>
    <w:rsid w:val="00A13664"/>
    <w:rsid w:val="00A1379D"/>
    <w:rsid w:val="00A137A4"/>
    <w:rsid w:val="00A13816"/>
    <w:rsid w:val="00A13883"/>
    <w:rsid w:val="00A13968"/>
    <w:rsid w:val="00A13A08"/>
    <w:rsid w:val="00A13A51"/>
    <w:rsid w:val="00A13A90"/>
    <w:rsid w:val="00A13AD4"/>
    <w:rsid w:val="00A13B15"/>
    <w:rsid w:val="00A13C6E"/>
    <w:rsid w:val="00A13C75"/>
    <w:rsid w:val="00A13CDB"/>
    <w:rsid w:val="00A13D20"/>
    <w:rsid w:val="00A13DAA"/>
    <w:rsid w:val="00A13DD2"/>
    <w:rsid w:val="00A13E4B"/>
    <w:rsid w:val="00A13EAE"/>
    <w:rsid w:val="00A13ECB"/>
    <w:rsid w:val="00A1401B"/>
    <w:rsid w:val="00A14049"/>
    <w:rsid w:val="00A14128"/>
    <w:rsid w:val="00A1412D"/>
    <w:rsid w:val="00A141DF"/>
    <w:rsid w:val="00A141EE"/>
    <w:rsid w:val="00A14268"/>
    <w:rsid w:val="00A14316"/>
    <w:rsid w:val="00A1434C"/>
    <w:rsid w:val="00A14381"/>
    <w:rsid w:val="00A143B2"/>
    <w:rsid w:val="00A14487"/>
    <w:rsid w:val="00A1457B"/>
    <w:rsid w:val="00A14592"/>
    <w:rsid w:val="00A145EB"/>
    <w:rsid w:val="00A146CF"/>
    <w:rsid w:val="00A14718"/>
    <w:rsid w:val="00A1479C"/>
    <w:rsid w:val="00A14898"/>
    <w:rsid w:val="00A1491C"/>
    <w:rsid w:val="00A14941"/>
    <w:rsid w:val="00A14B43"/>
    <w:rsid w:val="00A14BC2"/>
    <w:rsid w:val="00A14C33"/>
    <w:rsid w:val="00A14E63"/>
    <w:rsid w:val="00A14EAF"/>
    <w:rsid w:val="00A14F40"/>
    <w:rsid w:val="00A14FD3"/>
    <w:rsid w:val="00A14FEE"/>
    <w:rsid w:val="00A150AA"/>
    <w:rsid w:val="00A150C9"/>
    <w:rsid w:val="00A1510A"/>
    <w:rsid w:val="00A152F4"/>
    <w:rsid w:val="00A154FA"/>
    <w:rsid w:val="00A15502"/>
    <w:rsid w:val="00A15630"/>
    <w:rsid w:val="00A15701"/>
    <w:rsid w:val="00A157FA"/>
    <w:rsid w:val="00A157FF"/>
    <w:rsid w:val="00A1582A"/>
    <w:rsid w:val="00A15888"/>
    <w:rsid w:val="00A1597F"/>
    <w:rsid w:val="00A159FB"/>
    <w:rsid w:val="00A15A40"/>
    <w:rsid w:val="00A15ABE"/>
    <w:rsid w:val="00A15B35"/>
    <w:rsid w:val="00A15B5B"/>
    <w:rsid w:val="00A15B70"/>
    <w:rsid w:val="00A15C89"/>
    <w:rsid w:val="00A15DF7"/>
    <w:rsid w:val="00A15E18"/>
    <w:rsid w:val="00A15ECB"/>
    <w:rsid w:val="00A15EFA"/>
    <w:rsid w:val="00A15F69"/>
    <w:rsid w:val="00A15FFB"/>
    <w:rsid w:val="00A161D1"/>
    <w:rsid w:val="00A16335"/>
    <w:rsid w:val="00A16451"/>
    <w:rsid w:val="00A16506"/>
    <w:rsid w:val="00A16544"/>
    <w:rsid w:val="00A165D5"/>
    <w:rsid w:val="00A16661"/>
    <w:rsid w:val="00A16725"/>
    <w:rsid w:val="00A16780"/>
    <w:rsid w:val="00A16814"/>
    <w:rsid w:val="00A168F0"/>
    <w:rsid w:val="00A16A4F"/>
    <w:rsid w:val="00A16AF2"/>
    <w:rsid w:val="00A16AFE"/>
    <w:rsid w:val="00A16B3A"/>
    <w:rsid w:val="00A16B91"/>
    <w:rsid w:val="00A16C1C"/>
    <w:rsid w:val="00A16C4E"/>
    <w:rsid w:val="00A16C6F"/>
    <w:rsid w:val="00A16D0A"/>
    <w:rsid w:val="00A16D47"/>
    <w:rsid w:val="00A16D9B"/>
    <w:rsid w:val="00A16D9C"/>
    <w:rsid w:val="00A16E17"/>
    <w:rsid w:val="00A16E34"/>
    <w:rsid w:val="00A16E3C"/>
    <w:rsid w:val="00A16EF6"/>
    <w:rsid w:val="00A16F08"/>
    <w:rsid w:val="00A16F2B"/>
    <w:rsid w:val="00A16F5F"/>
    <w:rsid w:val="00A16FA3"/>
    <w:rsid w:val="00A17070"/>
    <w:rsid w:val="00A171A2"/>
    <w:rsid w:val="00A1721C"/>
    <w:rsid w:val="00A172C4"/>
    <w:rsid w:val="00A172C8"/>
    <w:rsid w:val="00A172FA"/>
    <w:rsid w:val="00A1733B"/>
    <w:rsid w:val="00A17347"/>
    <w:rsid w:val="00A17498"/>
    <w:rsid w:val="00A174D9"/>
    <w:rsid w:val="00A17535"/>
    <w:rsid w:val="00A1755F"/>
    <w:rsid w:val="00A175A2"/>
    <w:rsid w:val="00A175A3"/>
    <w:rsid w:val="00A175D8"/>
    <w:rsid w:val="00A1762E"/>
    <w:rsid w:val="00A1773E"/>
    <w:rsid w:val="00A1790C"/>
    <w:rsid w:val="00A17937"/>
    <w:rsid w:val="00A17944"/>
    <w:rsid w:val="00A179F4"/>
    <w:rsid w:val="00A17BEB"/>
    <w:rsid w:val="00A17CAA"/>
    <w:rsid w:val="00A17D1B"/>
    <w:rsid w:val="00A17DAA"/>
    <w:rsid w:val="00A17DB7"/>
    <w:rsid w:val="00A17E20"/>
    <w:rsid w:val="00A17F02"/>
    <w:rsid w:val="00A17F5D"/>
    <w:rsid w:val="00A20075"/>
    <w:rsid w:val="00A2013F"/>
    <w:rsid w:val="00A20174"/>
    <w:rsid w:val="00A20188"/>
    <w:rsid w:val="00A201FA"/>
    <w:rsid w:val="00A20268"/>
    <w:rsid w:val="00A202C3"/>
    <w:rsid w:val="00A20352"/>
    <w:rsid w:val="00A20391"/>
    <w:rsid w:val="00A203AA"/>
    <w:rsid w:val="00A203C6"/>
    <w:rsid w:val="00A20404"/>
    <w:rsid w:val="00A20419"/>
    <w:rsid w:val="00A20445"/>
    <w:rsid w:val="00A20457"/>
    <w:rsid w:val="00A204F0"/>
    <w:rsid w:val="00A20562"/>
    <w:rsid w:val="00A205F6"/>
    <w:rsid w:val="00A20683"/>
    <w:rsid w:val="00A206FC"/>
    <w:rsid w:val="00A2070A"/>
    <w:rsid w:val="00A2081A"/>
    <w:rsid w:val="00A2081E"/>
    <w:rsid w:val="00A208A5"/>
    <w:rsid w:val="00A208B7"/>
    <w:rsid w:val="00A208CA"/>
    <w:rsid w:val="00A209C4"/>
    <w:rsid w:val="00A209E7"/>
    <w:rsid w:val="00A20AAF"/>
    <w:rsid w:val="00A20C0B"/>
    <w:rsid w:val="00A20C6B"/>
    <w:rsid w:val="00A20D20"/>
    <w:rsid w:val="00A20D83"/>
    <w:rsid w:val="00A20D85"/>
    <w:rsid w:val="00A20F49"/>
    <w:rsid w:val="00A20F61"/>
    <w:rsid w:val="00A21078"/>
    <w:rsid w:val="00A2114F"/>
    <w:rsid w:val="00A211B1"/>
    <w:rsid w:val="00A211E5"/>
    <w:rsid w:val="00A211ED"/>
    <w:rsid w:val="00A21287"/>
    <w:rsid w:val="00A2139A"/>
    <w:rsid w:val="00A2141B"/>
    <w:rsid w:val="00A2154F"/>
    <w:rsid w:val="00A2156E"/>
    <w:rsid w:val="00A215B0"/>
    <w:rsid w:val="00A216F7"/>
    <w:rsid w:val="00A217B1"/>
    <w:rsid w:val="00A217BC"/>
    <w:rsid w:val="00A217D7"/>
    <w:rsid w:val="00A217E8"/>
    <w:rsid w:val="00A21808"/>
    <w:rsid w:val="00A21ACA"/>
    <w:rsid w:val="00A21B09"/>
    <w:rsid w:val="00A21BC0"/>
    <w:rsid w:val="00A21CEC"/>
    <w:rsid w:val="00A21E78"/>
    <w:rsid w:val="00A2200A"/>
    <w:rsid w:val="00A2208E"/>
    <w:rsid w:val="00A221F3"/>
    <w:rsid w:val="00A22308"/>
    <w:rsid w:val="00A22399"/>
    <w:rsid w:val="00A223DA"/>
    <w:rsid w:val="00A2241D"/>
    <w:rsid w:val="00A22425"/>
    <w:rsid w:val="00A224D9"/>
    <w:rsid w:val="00A224EC"/>
    <w:rsid w:val="00A22519"/>
    <w:rsid w:val="00A225F0"/>
    <w:rsid w:val="00A225FD"/>
    <w:rsid w:val="00A2265E"/>
    <w:rsid w:val="00A226EB"/>
    <w:rsid w:val="00A22744"/>
    <w:rsid w:val="00A22790"/>
    <w:rsid w:val="00A227DE"/>
    <w:rsid w:val="00A228BB"/>
    <w:rsid w:val="00A22914"/>
    <w:rsid w:val="00A229BB"/>
    <w:rsid w:val="00A22A94"/>
    <w:rsid w:val="00A22AD2"/>
    <w:rsid w:val="00A22B03"/>
    <w:rsid w:val="00A22CCD"/>
    <w:rsid w:val="00A22CE3"/>
    <w:rsid w:val="00A22D11"/>
    <w:rsid w:val="00A22D44"/>
    <w:rsid w:val="00A22D45"/>
    <w:rsid w:val="00A22E54"/>
    <w:rsid w:val="00A22EA7"/>
    <w:rsid w:val="00A22EA9"/>
    <w:rsid w:val="00A22F49"/>
    <w:rsid w:val="00A22F56"/>
    <w:rsid w:val="00A22F99"/>
    <w:rsid w:val="00A22FE0"/>
    <w:rsid w:val="00A23068"/>
    <w:rsid w:val="00A2327D"/>
    <w:rsid w:val="00A232EE"/>
    <w:rsid w:val="00A23303"/>
    <w:rsid w:val="00A23316"/>
    <w:rsid w:val="00A2337D"/>
    <w:rsid w:val="00A233A2"/>
    <w:rsid w:val="00A23552"/>
    <w:rsid w:val="00A23581"/>
    <w:rsid w:val="00A23586"/>
    <w:rsid w:val="00A23780"/>
    <w:rsid w:val="00A237E1"/>
    <w:rsid w:val="00A237E8"/>
    <w:rsid w:val="00A2385E"/>
    <w:rsid w:val="00A2387D"/>
    <w:rsid w:val="00A238D4"/>
    <w:rsid w:val="00A2394A"/>
    <w:rsid w:val="00A23A7A"/>
    <w:rsid w:val="00A23A84"/>
    <w:rsid w:val="00A23AAB"/>
    <w:rsid w:val="00A23BB8"/>
    <w:rsid w:val="00A23CA9"/>
    <w:rsid w:val="00A23CC4"/>
    <w:rsid w:val="00A23D0A"/>
    <w:rsid w:val="00A23D96"/>
    <w:rsid w:val="00A23DEE"/>
    <w:rsid w:val="00A23DF7"/>
    <w:rsid w:val="00A23E88"/>
    <w:rsid w:val="00A23E9A"/>
    <w:rsid w:val="00A23EF9"/>
    <w:rsid w:val="00A23FB4"/>
    <w:rsid w:val="00A23FD5"/>
    <w:rsid w:val="00A23FEE"/>
    <w:rsid w:val="00A23FF2"/>
    <w:rsid w:val="00A2400E"/>
    <w:rsid w:val="00A241C7"/>
    <w:rsid w:val="00A2420D"/>
    <w:rsid w:val="00A24213"/>
    <w:rsid w:val="00A24240"/>
    <w:rsid w:val="00A2429B"/>
    <w:rsid w:val="00A243A0"/>
    <w:rsid w:val="00A243F6"/>
    <w:rsid w:val="00A244AE"/>
    <w:rsid w:val="00A24560"/>
    <w:rsid w:val="00A24593"/>
    <w:rsid w:val="00A24638"/>
    <w:rsid w:val="00A2468F"/>
    <w:rsid w:val="00A248FA"/>
    <w:rsid w:val="00A249C0"/>
    <w:rsid w:val="00A24A4A"/>
    <w:rsid w:val="00A24A4D"/>
    <w:rsid w:val="00A24AF3"/>
    <w:rsid w:val="00A24BC5"/>
    <w:rsid w:val="00A24F40"/>
    <w:rsid w:val="00A24F61"/>
    <w:rsid w:val="00A24F80"/>
    <w:rsid w:val="00A25026"/>
    <w:rsid w:val="00A25047"/>
    <w:rsid w:val="00A2504F"/>
    <w:rsid w:val="00A250A6"/>
    <w:rsid w:val="00A250FB"/>
    <w:rsid w:val="00A251A5"/>
    <w:rsid w:val="00A25203"/>
    <w:rsid w:val="00A2522F"/>
    <w:rsid w:val="00A25296"/>
    <w:rsid w:val="00A2537C"/>
    <w:rsid w:val="00A2538E"/>
    <w:rsid w:val="00A253D0"/>
    <w:rsid w:val="00A25496"/>
    <w:rsid w:val="00A254AE"/>
    <w:rsid w:val="00A255E4"/>
    <w:rsid w:val="00A2579A"/>
    <w:rsid w:val="00A2579E"/>
    <w:rsid w:val="00A257DF"/>
    <w:rsid w:val="00A25847"/>
    <w:rsid w:val="00A258D9"/>
    <w:rsid w:val="00A258F9"/>
    <w:rsid w:val="00A25A4A"/>
    <w:rsid w:val="00A25A87"/>
    <w:rsid w:val="00A25AD7"/>
    <w:rsid w:val="00A25BAD"/>
    <w:rsid w:val="00A25BB8"/>
    <w:rsid w:val="00A25C47"/>
    <w:rsid w:val="00A25C6E"/>
    <w:rsid w:val="00A25C7F"/>
    <w:rsid w:val="00A25D57"/>
    <w:rsid w:val="00A25ED8"/>
    <w:rsid w:val="00A25EE9"/>
    <w:rsid w:val="00A25F6E"/>
    <w:rsid w:val="00A26009"/>
    <w:rsid w:val="00A2603C"/>
    <w:rsid w:val="00A26089"/>
    <w:rsid w:val="00A260A9"/>
    <w:rsid w:val="00A26110"/>
    <w:rsid w:val="00A26114"/>
    <w:rsid w:val="00A261C3"/>
    <w:rsid w:val="00A261F3"/>
    <w:rsid w:val="00A2620E"/>
    <w:rsid w:val="00A262B0"/>
    <w:rsid w:val="00A26392"/>
    <w:rsid w:val="00A2648A"/>
    <w:rsid w:val="00A26490"/>
    <w:rsid w:val="00A264A6"/>
    <w:rsid w:val="00A26560"/>
    <w:rsid w:val="00A265A0"/>
    <w:rsid w:val="00A26620"/>
    <w:rsid w:val="00A266CA"/>
    <w:rsid w:val="00A26793"/>
    <w:rsid w:val="00A267AE"/>
    <w:rsid w:val="00A26819"/>
    <w:rsid w:val="00A268D4"/>
    <w:rsid w:val="00A26A17"/>
    <w:rsid w:val="00A26BA9"/>
    <w:rsid w:val="00A26C26"/>
    <w:rsid w:val="00A26C87"/>
    <w:rsid w:val="00A26CBB"/>
    <w:rsid w:val="00A26CD6"/>
    <w:rsid w:val="00A26D18"/>
    <w:rsid w:val="00A26DE8"/>
    <w:rsid w:val="00A26DED"/>
    <w:rsid w:val="00A26E01"/>
    <w:rsid w:val="00A26E71"/>
    <w:rsid w:val="00A26F5C"/>
    <w:rsid w:val="00A27162"/>
    <w:rsid w:val="00A2719F"/>
    <w:rsid w:val="00A272E2"/>
    <w:rsid w:val="00A27316"/>
    <w:rsid w:val="00A27416"/>
    <w:rsid w:val="00A27499"/>
    <w:rsid w:val="00A274E5"/>
    <w:rsid w:val="00A275F5"/>
    <w:rsid w:val="00A27626"/>
    <w:rsid w:val="00A27663"/>
    <w:rsid w:val="00A27733"/>
    <w:rsid w:val="00A2775C"/>
    <w:rsid w:val="00A27774"/>
    <w:rsid w:val="00A2778F"/>
    <w:rsid w:val="00A27853"/>
    <w:rsid w:val="00A278F5"/>
    <w:rsid w:val="00A2790D"/>
    <w:rsid w:val="00A27ABB"/>
    <w:rsid w:val="00A27AD4"/>
    <w:rsid w:val="00A27AEB"/>
    <w:rsid w:val="00A27EB0"/>
    <w:rsid w:val="00A27ED6"/>
    <w:rsid w:val="00A3001B"/>
    <w:rsid w:val="00A3003E"/>
    <w:rsid w:val="00A301B7"/>
    <w:rsid w:val="00A302A1"/>
    <w:rsid w:val="00A302A7"/>
    <w:rsid w:val="00A302BB"/>
    <w:rsid w:val="00A30355"/>
    <w:rsid w:val="00A30363"/>
    <w:rsid w:val="00A3040E"/>
    <w:rsid w:val="00A304D4"/>
    <w:rsid w:val="00A305D4"/>
    <w:rsid w:val="00A30803"/>
    <w:rsid w:val="00A3089E"/>
    <w:rsid w:val="00A308B5"/>
    <w:rsid w:val="00A308CB"/>
    <w:rsid w:val="00A309FA"/>
    <w:rsid w:val="00A30A1F"/>
    <w:rsid w:val="00A30AB9"/>
    <w:rsid w:val="00A30B4D"/>
    <w:rsid w:val="00A30B99"/>
    <w:rsid w:val="00A30C30"/>
    <w:rsid w:val="00A30D1F"/>
    <w:rsid w:val="00A30D56"/>
    <w:rsid w:val="00A30EAD"/>
    <w:rsid w:val="00A30FB7"/>
    <w:rsid w:val="00A31075"/>
    <w:rsid w:val="00A310A0"/>
    <w:rsid w:val="00A310F3"/>
    <w:rsid w:val="00A3110F"/>
    <w:rsid w:val="00A3118F"/>
    <w:rsid w:val="00A311AE"/>
    <w:rsid w:val="00A311B2"/>
    <w:rsid w:val="00A312AB"/>
    <w:rsid w:val="00A312E2"/>
    <w:rsid w:val="00A31301"/>
    <w:rsid w:val="00A314C8"/>
    <w:rsid w:val="00A31544"/>
    <w:rsid w:val="00A31567"/>
    <w:rsid w:val="00A31576"/>
    <w:rsid w:val="00A315F4"/>
    <w:rsid w:val="00A315F6"/>
    <w:rsid w:val="00A31658"/>
    <w:rsid w:val="00A31663"/>
    <w:rsid w:val="00A31820"/>
    <w:rsid w:val="00A31996"/>
    <w:rsid w:val="00A31A2D"/>
    <w:rsid w:val="00A31A86"/>
    <w:rsid w:val="00A31A9C"/>
    <w:rsid w:val="00A31AC6"/>
    <w:rsid w:val="00A31B24"/>
    <w:rsid w:val="00A31C0C"/>
    <w:rsid w:val="00A31C20"/>
    <w:rsid w:val="00A31C9B"/>
    <w:rsid w:val="00A31DD3"/>
    <w:rsid w:val="00A31EF6"/>
    <w:rsid w:val="00A31F97"/>
    <w:rsid w:val="00A32039"/>
    <w:rsid w:val="00A320A3"/>
    <w:rsid w:val="00A322E7"/>
    <w:rsid w:val="00A32365"/>
    <w:rsid w:val="00A32380"/>
    <w:rsid w:val="00A32388"/>
    <w:rsid w:val="00A323AF"/>
    <w:rsid w:val="00A323EC"/>
    <w:rsid w:val="00A32483"/>
    <w:rsid w:val="00A324E6"/>
    <w:rsid w:val="00A324F9"/>
    <w:rsid w:val="00A325A2"/>
    <w:rsid w:val="00A32682"/>
    <w:rsid w:val="00A326A4"/>
    <w:rsid w:val="00A3282B"/>
    <w:rsid w:val="00A32851"/>
    <w:rsid w:val="00A328A0"/>
    <w:rsid w:val="00A329C8"/>
    <w:rsid w:val="00A32A4C"/>
    <w:rsid w:val="00A32B3D"/>
    <w:rsid w:val="00A32C08"/>
    <w:rsid w:val="00A32C6F"/>
    <w:rsid w:val="00A32CF3"/>
    <w:rsid w:val="00A32DAA"/>
    <w:rsid w:val="00A32DAB"/>
    <w:rsid w:val="00A32DC2"/>
    <w:rsid w:val="00A32DCC"/>
    <w:rsid w:val="00A32E4A"/>
    <w:rsid w:val="00A32E6E"/>
    <w:rsid w:val="00A32EA0"/>
    <w:rsid w:val="00A32EF0"/>
    <w:rsid w:val="00A32FCB"/>
    <w:rsid w:val="00A33024"/>
    <w:rsid w:val="00A330CF"/>
    <w:rsid w:val="00A33123"/>
    <w:rsid w:val="00A3318E"/>
    <w:rsid w:val="00A332B1"/>
    <w:rsid w:val="00A332D4"/>
    <w:rsid w:val="00A33441"/>
    <w:rsid w:val="00A33538"/>
    <w:rsid w:val="00A335A2"/>
    <w:rsid w:val="00A335AC"/>
    <w:rsid w:val="00A33601"/>
    <w:rsid w:val="00A33754"/>
    <w:rsid w:val="00A33779"/>
    <w:rsid w:val="00A337B9"/>
    <w:rsid w:val="00A3383C"/>
    <w:rsid w:val="00A338A2"/>
    <w:rsid w:val="00A338E9"/>
    <w:rsid w:val="00A33941"/>
    <w:rsid w:val="00A339F7"/>
    <w:rsid w:val="00A33A54"/>
    <w:rsid w:val="00A33AA3"/>
    <w:rsid w:val="00A33AC9"/>
    <w:rsid w:val="00A33ADC"/>
    <w:rsid w:val="00A33AE0"/>
    <w:rsid w:val="00A33AF4"/>
    <w:rsid w:val="00A33B0C"/>
    <w:rsid w:val="00A33B14"/>
    <w:rsid w:val="00A33B17"/>
    <w:rsid w:val="00A33C23"/>
    <w:rsid w:val="00A33C34"/>
    <w:rsid w:val="00A33D14"/>
    <w:rsid w:val="00A33D23"/>
    <w:rsid w:val="00A33D5D"/>
    <w:rsid w:val="00A33DE9"/>
    <w:rsid w:val="00A33EC2"/>
    <w:rsid w:val="00A33F60"/>
    <w:rsid w:val="00A33FDF"/>
    <w:rsid w:val="00A340D6"/>
    <w:rsid w:val="00A342B9"/>
    <w:rsid w:val="00A34358"/>
    <w:rsid w:val="00A3439B"/>
    <w:rsid w:val="00A344A9"/>
    <w:rsid w:val="00A344DF"/>
    <w:rsid w:val="00A346AB"/>
    <w:rsid w:val="00A346C5"/>
    <w:rsid w:val="00A347F0"/>
    <w:rsid w:val="00A348FE"/>
    <w:rsid w:val="00A3491E"/>
    <w:rsid w:val="00A34BCA"/>
    <w:rsid w:val="00A34C00"/>
    <w:rsid w:val="00A34C1F"/>
    <w:rsid w:val="00A34CA4"/>
    <w:rsid w:val="00A34E1B"/>
    <w:rsid w:val="00A34E22"/>
    <w:rsid w:val="00A34E2B"/>
    <w:rsid w:val="00A34E37"/>
    <w:rsid w:val="00A34E66"/>
    <w:rsid w:val="00A34F2E"/>
    <w:rsid w:val="00A34F3C"/>
    <w:rsid w:val="00A34F6D"/>
    <w:rsid w:val="00A34F7B"/>
    <w:rsid w:val="00A3501D"/>
    <w:rsid w:val="00A3502E"/>
    <w:rsid w:val="00A3510C"/>
    <w:rsid w:val="00A35130"/>
    <w:rsid w:val="00A351B0"/>
    <w:rsid w:val="00A351BB"/>
    <w:rsid w:val="00A35281"/>
    <w:rsid w:val="00A352E6"/>
    <w:rsid w:val="00A3538F"/>
    <w:rsid w:val="00A35452"/>
    <w:rsid w:val="00A354F7"/>
    <w:rsid w:val="00A3554E"/>
    <w:rsid w:val="00A355BE"/>
    <w:rsid w:val="00A359D2"/>
    <w:rsid w:val="00A35A28"/>
    <w:rsid w:val="00A35A3E"/>
    <w:rsid w:val="00A35A53"/>
    <w:rsid w:val="00A35AB1"/>
    <w:rsid w:val="00A35BD5"/>
    <w:rsid w:val="00A35C47"/>
    <w:rsid w:val="00A35CE1"/>
    <w:rsid w:val="00A35D11"/>
    <w:rsid w:val="00A35E1F"/>
    <w:rsid w:val="00A35E2E"/>
    <w:rsid w:val="00A35E4B"/>
    <w:rsid w:val="00A35E92"/>
    <w:rsid w:val="00A35F93"/>
    <w:rsid w:val="00A36020"/>
    <w:rsid w:val="00A3607F"/>
    <w:rsid w:val="00A3623C"/>
    <w:rsid w:val="00A362DC"/>
    <w:rsid w:val="00A36324"/>
    <w:rsid w:val="00A36347"/>
    <w:rsid w:val="00A36351"/>
    <w:rsid w:val="00A36370"/>
    <w:rsid w:val="00A36398"/>
    <w:rsid w:val="00A363C4"/>
    <w:rsid w:val="00A363EA"/>
    <w:rsid w:val="00A364B7"/>
    <w:rsid w:val="00A3650D"/>
    <w:rsid w:val="00A365EB"/>
    <w:rsid w:val="00A36613"/>
    <w:rsid w:val="00A3671D"/>
    <w:rsid w:val="00A367DF"/>
    <w:rsid w:val="00A3682D"/>
    <w:rsid w:val="00A36839"/>
    <w:rsid w:val="00A3685D"/>
    <w:rsid w:val="00A368D2"/>
    <w:rsid w:val="00A368D5"/>
    <w:rsid w:val="00A36916"/>
    <w:rsid w:val="00A36A0C"/>
    <w:rsid w:val="00A36A2A"/>
    <w:rsid w:val="00A36A7E"/>
    <w:rsid w:val="00A36ABE"/>
    <w:rsid w:val="00A36AD5"/>
    <w:rsid w:val="00A36B9C"/>
    <w:rsid w:val="00A36BAA"/>
    <w:rsid w:val="00A36CEC"/>
    <w:rsid w:val="00A36D3E"/>
    <w:rsid w:val="00A36DC4"/>
    <w:rsid w:val="00A36DD1"/>
    <w:rsid w:val="00A36DD6"/>
    <w:rsid w:val="00A36F9E"/>
    <w:rsid w:val="00A370F1"/>
    <w:rsid w:val="00A370FF"/>
    <w:rsid w:val="00A37137"/>
    <w:rsid w:val="00A3715B"/>
    <w:rsid w:val="00A3715D"/>
    <w:rsid w:val="00A37191"/>
    <w:rsid w:val="00A371EB"/>
    <w:rsid w:val="00A37296"/>
    <w:rsid w:val="00A373FD"/>
    <w:rsid w:val="00A37460"/>
    <w:rsid w:val="00A37658"/>
    <w:rsid w:val="00A37666"/>
    <w:rsid w:val="00A376E4"/>
    <w:rsid w:val="00A376E6"/>
    <w:rsid w:val="00A3778A"/>
    <w:rsid w:val="00A3782C"/>
    <w:rsid w:val="00A37864"/>
    <w:rsid w:val="00A37904"/>
    <w:rsid w:val="00A3793F"/>
    <w:rsid w:val="00A37995"/>
    <w:rsid w:val="00A379E8"/>
    <w:rsid w:val="00A37A43"/>
    <w:rsid w:val="00A37A6D"/>
    <w:rsid w:val="00A37AAF"/>
    <w:rsid w:val="00A37B4E"/>
    <w:rsid w:val="00A37B74"/>
    <w:rsid w:val="00A37B82"/>
    <w:rsid w:val="00A37BB6"/>
    <w:rsid w:val="00A37CC2"/>
    <w:rsid w:val="00A37CD1"/>
    <w:rsid w:val="00A37D21"/>
    <w:rsid w:val="00A37DB4"/>
    <w:rsid w:val="00A37DE1"/>
    <w:rsid w:val="00A37E1B"/>
    <w:rsid w:val="00A37E4B"/>
    <w:rsid w:val="00A37F57"/>
    <w:rsid w:val="00A37FB6"/>
    <w:rsid w:val="00A40025"/>
    <w:rsid w:val="00A4008D"/>
    <w:rsid w:val="00A400B3"/>
    <w:rsid w:val="00A400D9"/>
    <w:rsid w:val="00A400F6"/>
    <w:rsid w:val="00A4011B"/>
    <w:rsid w:val="00A4011D"/>
    <w:rsid w:val="00A402DF"/>
    <w:rsid w:val="00A4031A"/>
    <w:rsid w:val="00A404B1"/>
    <w:rsid w:val="00A40504"/>
    <w:rsid w:val="00A40526"/>
    <w:rsid w:val="00A4053A"/>
    <w:rsid w:val="00A40549"/>
    <w:rsid w:val="00A40610"/>
    <w:rsid w:val="00A40615"/>
    <w:rsid w:val="00A4061F"/>
    <w:rsid w:val="00A40646"/>
    <w:rsid w:val="00A406B6"/>
    <w:rsid w:val="00A40767"/>
    <w:rsid w:val="00A40787"/>
    <w:rsid w:val="00A407EF"/>
    <w:rsid w:val="00A4083E"/>
    <w:rsid w:val="00A4087E"/>
    <w:rsid w:val="00A408B4"/>
    <w:rsid w:val="00A408B6"/>
    <w:rsid w:val="00A4090B"/>
    <w:rsid w:val="00A4094F"/>
    <w:rsid w:val="00A40AC1"/>
    <w:rsid w:val="00A40BEF"/>
    <w:rsid w:val="00A40BF5"/>
    <w:rsid w:val="00A40DB1"/>
    <w:rsid w:val="00A40DE1"/>
    <w:rsid w:val="00A40E32"/>
    <w:rsid w:val="00A40F06"/>
    <w:rsid w:val="00A40F38"/>
    <w:rsid w:val="00A41141"/>
    <w:rsid w:val="00A411A4"/>
    <w:rsid w:val="00A41232"/>
    <w:rsid w:val="00A41313"/>
    <w:rsid w:val="00A4137B"/>
    <w:rsid w:val="00A413CB"/>
    <w:rsid w:val="00A4145D"/>
    <w:rsid w:val="00A41478"/>
    <w:rsid w:val="00A41503"/>
    <w:rsid w:val="00A41534"/>
    <w:rsid w:val="00A4166C"/>
    <w:rsid w:val="00A416AD"/>
    <w:rsid w:val="00A417CC"/>
    <w:rsid w:val="00A417D8"/>
    <w:rsid w:val="00A41949"/>
    <w:rsid w:val="00A419EC"/>
    <w:rsid w:val="00A41A86"/>
    <w:rsid w:val="00A41AB7"/>
    <w:rsid w:val="00A41BDF"/>
    <w:rsid w:val="00A41C91"/>
    <w:rsid w:val="00A41CEF"/>
    <w:rsid w:val="00A41D25"/>
    <w:rsid w:val="00A41DFE"/>
    <w:rsid w:val="00A41F2A"/>
    <w:rsid w:val="00A41F6A"/>
    <w:rsid w:val="00A422F1"/>
    <w:rsid w:val="00A42353"/>
    <w:rsid w:val="00A42459"/>
    <w:rsid w:val="00A424BA"/>
    <w:rsid w:val="00A424D0"/>
    <w:rsid w:val="00A4253A"/>
    <w:rsid w:val="00A4255E"/>
    <w:rsid w:val="00A42755"/>
    <w:rsid w:val="00A428A0"/>
    <w:rsid w:val="00A428DA"/>
    <w:rsid w:val="00A42B12"/>
    <w:rsid w:val="00A42B1C"/>
    <w:rsid w:val="00A42B27"/>
    <w:rsid w:val="00A42B36"/>
    <w:rsid w:val="00A42BC4"/>
    <w:rsid w:val="00A42CFF"/>
    <w:rsid w:val="00A42D1D"/>
    <w:rsid w:val="00A43095"/>
    <w:rsid w:val="00A430EB"/>
    <w:rsid w:val="00A431A3"/>
    <w:rsid w:val="00A43283"/>
    <w:rsid w:val="00A432FF"/>
    <w:rsid w:val="00A4342E"/>
    <w:rsid w:val="00A4345F"/>
    <w:rsid w:val="00A434CF"/>
    <w:rsid w:val="00A434F6"/>
    <w:rsid w:val="00A4361B"/>
    <w:rsid w:val="00A4362A"/>
    <w:rsid w:val="00A43650"/>
    <w:rsid w:val="00A43661"/>
    <w:rsid w:val="00A43690"/>
    <w:rsid w:val="00A43729"/>
    <w:rsid w:val="00A437B4"/>
    <w:rsid w:val="00A437E6"/>
    <w:rsid w:val="00A43809"/>
    <w:rsid w:val="00A4389D"/>
    <w:rsid w:val="00A438E8"/>
    <w:rsid w:val="00A43919"/>
    <w:rsid w:val="00A439AF"/>
    <w:rsid w:val="00A439B9"/>
    <w:rsid w:val="00A439BB"/>
    <w:rsid w:val="00A439E8"/>
    <w:rsid w:val="00A43A0B"/>
    <w:rsid w:val="00A43A79"/>
    <w:rsid w:val="00A43AFC"/>
    <w:rsid w:val="00A43B81"/>
    <w:rsid w:val="00A43B8B"/>
    <w:rsid w:val="00A43B8E"/>
    <w:rsid w:val="00A43C73"/>
    <w:rsid w:val="00A43CCB"/>
    <w:rsid w:val="00A43D2F"/>
    <w:rsid w:val="00A43D75"/>
    <w:rsid w:val="00A43DB2"/>
    <w:rsid w:val="00A43EF0"/>
    <w:rsid w:val="00A43F25"/>
    <w:rsid w:val="00A43FCD"/>
    <w:rsid w:val="00A43FEC"/>
    <w:rsid w:val="00A4413F"/>
    <w:rsid w:val="00A441C8"/>
    <w:rsid w:val="00A441C9"/>
    <w:rsid w:val="00A442D3"/>
    <w:rsid w:val="00A442D8"/>
    <w:rsid w:val="00A442EC"/>
    <w:rsid w:val="00A44302"/>
    <w:rsid w:val="00A44393"/>
    <w:rsid w:val="00A443D3"/>
    <w:rsid w:val="00A44409"/>
    <w:rsid w:val="00A44426"/>
    <w:rsid w:val="00A44487"/>
    <w:rsid w:val="00A44598"/>
    <w:rsid w:val="00A4466E"/>
    <w:rsid w:val="00A44A02"/>
    <w:rsid w:val="00A44A1B"/>
    <w:rsid w:val="00A44A7E"/>
    <w:rsid w:val="00A44B58"/>
    <w:rsid w:val="00A44BA0"/>
    <w:rsid w:val="00A44BBB"/>
    <w:rsid w:val="00A44CCF"/>
    <w:rsid w:val="00A44CFE"/>
    <w:rsid w:val="00A44D7C"/>
    <w:rsid w:val="00A44D87"/>
    <w:rsid w:val="00A44DFB"/>
    <w:rsid w:val="00A44F2B"/>
    <w:rsid w:val="00A44F37"/>
    <w:rsid w:val="00A44F6B"/>
    <w:rsid w:val="00A44F88"/>
    <w:rsid w:val="00A44FD6"/>
    <w:rsid w:val="00A44FEE"/>
    <w:rsid w:val="00A451CD"/>
    <w:rsid w:val="00A452EB"/>
    <w:rsid w:val="00A4531A"/>
    <w:rsid w:val="00A454CA"/>
    <w:rsid w:val="00A454F0"/>
    <w:rsid w:val="00A455F5"/>
    <w:rsid w:val="00A45666"/>
    <w:rsid w:val="00A456C2"/>
    <w:rsid w:val="00A456D3"/>
    <w:rsid w:val="00A45708"/>
    <w:rsid w:val="00A45762"/>
    <w:rsid w:val="00A458ED"/>
    <w:rsid w:val="00A45921"/>
    <w:rsid w:val="00A45A41"/>
    <w:rsid w:val="00A45AC5"/>
    <w:rsid w:val="00A45AED"/>
    <w:rsid w:val="00A45D85"/>
    <w:rsid w:val="00A45DCF"/>
    <w:rsid w:val="00A45F24"/>
    <w:rsid w:val="00A45FD5"/>
    <w:rsid w:val="00A45FE8"/>
    <w:rsid w:val="00A46029"/>
    <w:rsid w:val="00A46099"/>
    <w:rsid w:val="00A460BC"/>
    <w:rsid w:val="00A4610F"/>
    <w:rsid w:val="00A4616C"/>
    <w:rsid w:val="00A46198"/>
    <w:rsid w:val="00A46218"/>
    <w:rsid w:val="00A4626B"/>
    <w:rsid w:val="00A4630C"/>
    <w:rsid w:val="00A46314"/>
    <w:rsid w:val="00A4632A"/>
    <w:rsid w:val="00A464C2"/>
    <w:rsid w:val="00A46675"/>
    <w:rsid w:val="00A4667B"/>
    <w:rsid w:val="00A466F8"/>
    <w:rsid w:val="00A46763"/>
    <w:rsid w:val="00A46783"/>
    <w:rsid w:val="00A467C9"/>
    <w:rsid w:val="00A46838"/>
    <w:rsid w:val="00A469DA"/>
    <w:rsid w:val="00A469F1"/>
    <w:rsid w:val="00A46A78"/>
    <w:rsid w:val="00A46B25"/>
    <w:rsid w:val="00A46B4D"/>
    <w:rsid w:val="00A46BAD"/>
    <w:rsid w:val="00A46C98"/>
    <w:rsid w:val="00A46D06"/>
    <w:rsid w:val="00A46DE0"/>
    <w:rsid w:val="00A46E78"/>
    <w:rsid w:val="00A46E7C"/>
    <w:rsid w:val="00A46F19"/>
    <w:rsid w:val="00A46F58"/>
    <w:rsid w:val="00A46FC8"/>
    <w:rsid w:val="00A4713C"/>
    <w:rsid w:val="00A4719A"/>
    <w:rsid w:val="00A471AE"/>
    <w:rsid w:val="00A471E4"/>
    <w:rsid w:val="00A47203"/>
    <w:rsid w:val="00A47242"/>
    <w:rsid w:val="00A472F8"/>
    <w:rsid w:val="00A473A0"/>
    <w:rsid w:val="00A473A4"/>
    <w:rsid w:val="00A473FB"/>
    <w:rsid w:val="00A47494"/>
    <w:rsid w:val="00A474B5"/>
    <w:rsid w:val="00A475F8"/>
    <w:rsid w:val="00A4764F"/>
    <w:rsid w:val="00A476C5"/>
    <w:rsid w:val="00A47748"/>
    <w:rsid w:val="00A4777F"/>
    <w:rsid w:val="00A477F8"/>
    <w:rsid w:val="00A4781D"/>
    <w:rsid w:val="00A47861"/>
    <w:rsid w:val="00A478A2"/>
    <w:rsid w:val="00A4794C"/>
    <w:rsid w:val="00A47965"/>
    <w:rsid w:val="00A4797F"/>
    <w:rsid w:val="00A47A21"/>
    <w:rsid w:val="00A47A9B"/>
    <w:rsid w:val="00A47BFA"/>
    <w:rsid w:val="00A47C68"/>
    <w:rsid w:val="00A47CCF"/>
    <w:rsid w:val="00A47DC4"/>
    <w:rsid w:val="00A47DF8"/>
    <w:rsid w:val="00A47EA7"/>
    <w:rsid w:val="00A47ED6"/>
    <w:rsid w:val="00A47F53"/>
    <w:rsid w:val="00A47F7D"/>
    <w:rsid w:val="00A47FFC"/>
    <w:rsid w:val="00A50077"/>
    <w:rsid w:val="00A5025A"/>
    <w:rsid w:val="00A50268"/>
    <w:rsid w:val="00A502F5"/>
    <w:rsid w:val="00A50364"/>
    <w:rsid w:val="00A50494"/>
    <w:rsid w:val="00A507AD"/>
    <w:rsid w:val="00A50869"/>
    <w:rsid w:val="00A5087A"/>
    <w:rsid w:val="00A5090E"/>
    <w:rsid w:val="00A5094A"/>
    <w:rsid w:val="00A509BE"/>
    <w:rsid w:val="00A50AD9"/>
    <w:rsid w:val="00A50B4A"/>
    <w:rsid w:val="00A50CA7"/>
    <w:rsid w:val="00A50CD9"/>
    <w:rsid w:val="00A50CF1"/>
    <w:rsid w:val="00A50DA5"/>
    <w:rsid w:val="00A50E2D"/>
    <w:rsid w:val="00A50E9E"/>
    <w:rsid w:val="00A50EA0"/>
    <w:rsid w:val="00A50F33"/>
    <w:rsid w:val="00A50F75"/>
    <w:rsid w:val="00A50FA2"/>
    <w:rsid w:val="00A510A8"/>
    <w:rsid w:val="00A510AE"/>
    <w:rsid w:val="00A5114B"/>
    <w:rsid w:val="00A511EC"/>
    <w:rsid w:val="00A51200"/>
    <w:rsid w:val="00A5129B"/>
    <w:rsid w:val="00A51374"/>
    <w:rsid w:val="00A5158D"/>
    <w:rsid w:val="00A515C7"/>
    <w:rsid w:val="00A515FA"/>
    <w:rsid w:val="00A51612"/>
    <w:rsid w:val="00A51632"/>
    <w:rsid w:val="00A517D0"/>
    <w:rsid w:val="00A51860"/>
    <w:rsid w:val="00A518BB"/>
    <w:rsid w:val="00A51939"/>
    <w:rsid w:val="00A51983"/>
    <w:rsid w:val="00A519E7"/>
    <w:rsid w:val="00A51A2E"/>
    <w:rsid w:val="00A51A40"/>
    <w:rsid w:val="00A51C12"/>
    <w:rsid w:val="00A51C45"/>
    <w:rsid w:val="00A51CA3"/>
    <w:rsid w:val="00A51CC8"/>
    <w:rsid w:val="00A51D6C"/>
    <w:rsid w:val="00A51D71"/>
    <w:rsid w:val="00A51DD0"/>
    <w:rsid w:val="00A51DDE"/>
    <w:rsid w:val="00A51DFE"/>
    <w:rsid w:val="00A51E75"/>
    <w:rsid w:val="00A51E7A"/>
    <w:rsid w:val="00A52055"/>
    <w:rsid w:val="00A520A8"/>
    <w:rsid w:val="00A52211"/>
    <w:rsid w:val="00A52287"/>
    <w:rsid w:val="00A522F4"/>
    <w:rsid w:val="00A52360"/>
    <w:rsid w:val="00A5236E"/>
    <w:rsid w:val="00A52734"/>
    <w:rsid w:val="00A52740"/>
    <w:rsid w:val="00A52757"/>
    <w:rsid w:val="00A52765"/>
    <w:rsid w:val="00A52774"/>
    <w:rsid w:val="00A527AB"/>
    <w:rsid w:val="00A52809"/>
    <w:rsid w:val="00A528FA"/>
    <w:rsid w:val="00A52937"/>
    <w:rsid w:val="00A52942"/>
    <w:rsid w:val="00A52A3F"/>
    <w:rsid w:val="00A52A74"/>
    <w:rsid w:val="00A52ACD"/>
    <w:rsid w:val="00A52BB5"/>
    <w:rsid w:val="00A52C1A"/>
    <w:rsid w:val="00A52C37"/>
    <w:rsid w:val="00A52C4A"/>
    <w:rsid w:val="00A52C90"/>
    <w:rsid w:val="00A52D27"/>
    <w:rsid w:val="00A52DEF"/>
    <w:rsid w:val="00A52EAC"/>
    <w:rsid w:val="00A52F95"/>
    <w:rsid w:val="00A53018"/>
    <w:rsid w:val="00A5313D"/>
    <w:rsid w:val="00A5324F"/>
    <w:rsid w:val="00A5329D"/>
    <w:rsid w:val="00A533AA"/>
    <w:rsid w:val="00A533BF"/>
    <w:rsid w:val="00A534A1"/>
    <w:rsid w:val="00A534DC"/>
    <w:rsid w:val="00A5353B"/>
    <w:rsid w:val="00A5357F"/>
    <w:rsid w:val="00A53609"/>
    <w:rsid w:val="00A5368C"/>
    <w:rsid w:val="00A536CD"/>
    <w:rsid w:val="00A53723"/>
    <w:rsid w:val="00A53727"/>
    <w:rsid w:val="00A5374D"/>
    <w:rsid w:val="00A53776"/>
    <w:rsid w:val="00A537A5"/>
    <w:rsid w:val="00A537CC"/>
    <w:rsid w:val="00A53860"/>
    <w:rsid w:val="00A53968"/>
    <w:rsid w:val="00A539A8"/>
    <w:rsid w:val="00A539FB"/>
    <w:rsid w:val="00A53A95"/>
    <w:rsid w:val="00A53A97"/>
    <w:rsid w:val="00A53AC1"/>
    <w:rsid w:val="00A53B1D"/>
    <w:rsid w:val="00A53C38"/>
    <w:rsid w:val="00A53C40"/>
    <w:rsid w:val="00A53C59"/>
    <w:rsid w:val="00A53CCD"/>
    <w:rsid w:val="00A53CFB"/>
    <w:rsid w:val="00A53DB4"/>
    <w:rsid w:val="00A53DBE"/>
    <w:rsid w:val="00A53DCE"/>
    <w:rsid w:val="00A53FD8"/>
    <w:rsid w:val="00A53FEE"/>
    <w:rsid w:val="00A5401D"/>
    <w:rsid w:val="00A5404E"/>
    <w:rsid w:val="00A5405F"/>
    <w:rsid w:val="00A5407B"/>
    <w:rsid w:val="00A541D0"/>
    <w:rsid w:val="00A5431F"/>
    <w:rsid w:val="00A54325"/>
    <w:rsid w:val="00A5439B"/>
    <w:rsid w:val="00A54415"/>
    <w:rsid w:val="00A5445D"/>
    <w:rsid w:val="00A5451B"/>
    <w:rsid w:val="00A54551"/>
    <w:rsid w:val="00A54661"/>
    <w:rsid w:val="00A54683"/>
    <w:rsid w:val="00A546B6"/>
    <w:rsid w:val="00A54736"/>
    <w:rsid w:val="00A5477C"/>
    <w:rsid w:val="00A547B4"/>
    <w:rsid w:val="00A54848"/>
    <w:rsid w:val="00A54868"/>
    <w:rsid w:val="00A548A5"/>
    <w:rsid w:val="00A548E8"/>
    <w:rsid w:val="00A549B1"/>
    <w:rsid w:val="00A549CC"/>
    <w:rsid w:val="00A549D4"/>
    <w:rsid w:val="00A54A00"/>
    <w:rsid w:val="00A54A6E"/>
    <w:rsid w:val="00A54A86"/>
    <w:rsid w:val="00A54ACF"/>
    <w:rsid w:val="00A54C1E"/>
    <w:rsid w:val="00A54C66"/>
    <w:rsid w:val="00A54C6D"/>
    <w:rsid w:val="00A54C72"/>
    <w:rsid w:val="00A54C81"/>
    <w:rsid w:val="00A54CAC"/>
    <w:rsid w:val="00A54CCA"/>
    <w:rsid w:val="00A54D9D"/>
    <w:rsid w:val="00A54DD2"/>
    <w:rsid w:val="00A54E5B"/>
    <w:rsid w:val="00A54F3A"/>
    <w:rsid w:val="00A54F43"/>
    <w:rsid w:val="00A5513E"/>
    <w:rsid w:val="00A551C3"/>
    <w:rsid w:val="00A551C4"/>
    <w:rsid w:val="00A55297"/>
    <w:rsid w:val="00A5529A"/>
    <w:rsid w:val="00A552B8"/>
    <w:rsid w:val="00A5537B"/>
    <w:rsid w:val="00A55450"/>
    <w:rsid w:val="00A55579"/>
    <w:rsid w:val="00A55641"/>
    <w:rsid w:val="00A55687"/>
    <w:rsid w:val="00A5569F"/>
    <w:rsid w:val="00A55774"/>
    <w:rsid w:val="00A55793"/>
    <w:rsid w:val="00A557CD"/>
    <w:rsid w:val="00A557CF"/>
    <w:rsid w:val="00A557DB"/>
    <w:rsid w:val="00A558B9"/>
    <w:rsid w:val="00A55950"/>
    <w:rsid w:val="00A55991"/>
    <w:rsid w:val="00A5599A"/>
    <w:rsid w:val="00A55A82"/>
    <w:rsid w:val="00A55A9D"/>
    <w:rsid w:val="00A55AC5"/>
    <w:rsid w:val="00A55AD5"/>
    <w:rsid w:val="00A55C1D"/>
    <w:rsid w:val="00A55C27"/>
    <w:rsid w:val="00A55C95"/>
    <w:rsid w:val="00A55C9C"/>
    <w:rsid w:val="00A55D35"/>
    <w:rsid w:val="00A55DC5"/>
    <w:rsid w:val="00A55E8C"/>
    <w:rsid w:val="00A55F5B"/>
    <w:rsid w:val="00A55FF0"/>
    <w:rsid w:val="00A5602E"/>
    <w:rsid w:val="00A56185"/>
    <w:rsid w:val="00A561C7"/>
    <w:rsid w:val="00A563F3"/>
    <w:rsid w:val="00A56432"/>
    <w:rsid w:val="00A5659E"/>
    <w:rsid w:val="00A565E8"/>
    <w:rsid w:val="00A565F9"/>
    <w:rsid w:val="00A56609"/>
    <w:rsid w:val="00A5667C"/>
    <w:rsid w:val="00A566DA"/>
    <w:rsid w:val="00A5674E"/>
    <w:rsid w:val="00A5679F"/>
    <w:rsid w:val="00A56949"/>
    <w:rsid w:val="00A569B8"/>
    <w:rsid w:val="00A56AF5"/>
    <w:rsid w:val="00A56B0E"/>
    <w:rsid w:val="00A56B5C"/>
    <w:rsid w:val="00A56B75"/>
    <w:rsid w:val="00A56C09"/>
    <w:rsid w:val="00A56D1D"/>
    <w:rsid w:val="00A56DBC"/>
    <w:rsid w:val="00A56EC9"/>
    <w:rsid w:val="00A56EF9"/>
    <w:rsid w:val="00A56F2C"/>
    <w:rsid w:val="00A56F3B"/>
    <w:rsid w:val="00A56F79"/>
    <w:rsid w:val="00A56FCA"/>
    <w:rsid w:val="00A5703F"/>
    <w:rsid w:val="00A571B7"/>
    <w:rsid w:val="00A57299"/>
    <w:rsid w:val="00A572CC"/>
    <w:rsid w:val="00A572D5"/>
    <w:rsid w:val="00A57382"/>
    <w:rsid w:val="00A57400"/>
    <w:rsid w:val="00A5742D"/>
    <w:rsid w:val="00A5744E"/>
    <w:rsid w:val="00A5748F"/>
    <w:rsid w:val="00A574BE"/>
    <w:rsid w:val="00A574D4"/>
    <w:rsid w:val="00A575A3"/>
    <w:rsid w:val="00A57621"/>
    <w:rsid w:val="00A57737"/>
    <w:rsid w:val="00A577B2"/>
    <w:rsid w:val="00A577D9"/>
    <w:rsid w:val="00A578DF"/>
    <w:rsid w:val="00A578F3"/>
    <w:rsid w:val="00A5792A"/>
    <w:rsid w:val="00A57A24"/>
    <w:rsid w:val="00A57A4C"/>
    <w:rsid w:val="00A57A4F"/>
    <w:rsid w:val="00A57B89"/>
    <w:rsid w:val="00A57C37"/>
    <w:rsid w:val="00A57DF3"/>
    <w:rsid w:val="00A57ED8"/>
    <w:rsid w:val="00A57EDE"/>
    <w:rsid w:val="00A57EFD"/>
    <w:rsid w:val="00A6006E"/>
    <w:rsid w:val="00A60073"/>
    <w:rsid w:val="00A6012A"/>
    <w:rsid w:val="00A6016B"/>
    <w:rsid w:val="00A60323"/>
    <w:rsid w:val="00A6037D"/>
    <w:rsid w:val="00A60386"/>
    <w:rsid w:val="00A6054F"/>
    <w:rsid w:val="00A60599"/>
    <w:rsid w:val="00A60620"/>
    <w:rsid w:val="00A6063C"/>
    <w:rsid w:val="00A60659"/>
    <w:rsid w:val="00A60690"/>
    <w:rsid w:val="00A606F9"/>
    <w:rsid w:val="00A6079B"/>
    <w:rsid w:val="00A60805"/>
    <w:rsid w:val="00A6080B"/>
    <w:rsid w:val="00A60891"/>
    <w:rsid w:val="00A60892"/>
    <w:rsid w:val="00A608BF"/>
    <w:rsid w:val="00A60A39"/>
    <w:rsid w:val="00A60A6B"/>
    <w:rsid w:val="00A60AA5"/>
    <w:rsid w:val="00A60BC9"/>
    <w:rsid w:val="00A60C55"/>
    <w:rsid w:val="00A60C57"/>
    <w:rsid w:val="00A60C65"/>
    <w:rsid w:val="00A60E2B"/>
    <w:rsid w:val="00A60E70"/>
    <w:rsid w:val="00A60E8D"/>
    <w:rsid w:val="00A60ECC"/>
    <w:rsid w:val="00A60F9D"/>
    <w:rsid w:val="00A6125C"/>
    <w:rsid w:val="00A61271"/>
    <w:rsid w:val="00A6135B"/>
    <w:rsid w:val="00A613A1"/>
    <w:rsid w:val="00A613BB"/>
    <w:rsid w:val="00A614AB"/>
    <w:rsid w:val="00A61527"/>
    <w:rsid w:val="00A61581"/>
    <w:rsid w:val="00A615F5"/>
    <w:rsid w:val="00A616E2"/>
    <w:rsid w:val="00A6170D"/>
    <w:rsid w:val="00A6172E"/>
    <w:rsid w:val="00A6173F"/>
    <w:rsid w:val="00A6179A"/>
    <w:rsid w:val="00A618D4"/>
    <w:rsid w:val="00A6194F"/>
    <w:rsid w:val="00A619B3"/>
    <w:rsid w:val="00A61A2F"/>
    <w:rsid w:val="00A61A5D"/>
    <w:rsid w:val="00A61AF5"/>
    <w:rsid w:val="00A61B64"/>
    <w:rsid w:val="00A61BD0"/>
    <w:rsid w:val="00A61D31"/>
    <w:rsid w:val="00A61D33"/>
    <w:rsid w:val="00A61DC9"/>
    <w:rsid w:val="00A61EB0"/>
    <w:rsid w:val="00A61F27"/>
    <w:rsid w:val="00A6208E"/>
    <w:rsid w:val="00A620B9"/>
    <w:rsid w:val="00A6226D"/>
    <w:rsid w:val="00A624E5"/>
    <w:rsid w:val="00A62597"/>
    <w:rsid w:val="00A625DA"/>
    <w:rsid w:val="00A6268B"/>
    <w:rsid w:val="00A62698"/>
    <w:rsid w:val="00A627F4"/>
    <w:rsid w:val="00A6287F"/>
    <w:rsid w:val="00A628C5"/>
    <w:rsid w:val="00A62946"/>
    <w:rsid w:val="00A62A2C"/>
    <w:rsid w:val="00A62AC0"/>
    <w:rsid w:val="00A62B76"/>
    <w:rsid w:val="00A62B8A"/>
    <w:rsid w:val="00A62C13"/>
    <w:rsid w:val="00A62C72"/>
    <w:rsid w:val="00A62D10"/>
    <w:rsid w:val="00A62D8D"/>
    <w:rsid w:val="00A62E9B"/>
    <w:rsid w:val="00A630FB"/>
    <w:rsid w:val="00A63180"/>
    <w:rsid w:val="00A631B2"/>
    <w:rsid w:val="00A631DE"/>
    <w:rsid w:val="00A63211"/>
    <w:rsid w:val="00A63239"/>
    <w:rsid w:val="00A63339"/>
    <w:rsid w:val="00A63459"/>
    <w:rsid w:val="00A634DE"/>
    <w:rsid w:val="00A63501"/>
    <w:rsid w:val="00A6353A"/>
    <w:rsid w:val="00A635B1"/>
    <w:rsid w:val="00A63635"/>
    <w:rsid w:val="00A6366B"/>
    <w:rsid w:val="00A63679"/>
    <w:rsid w:val="00A636DE"/>
    <w:rsid w:val="00A63791"/>
    <w:rsid w:val="00A637AF"/>
    <w:rsid w:val="00A637C5"/>
    <w:rsid w:val="00A63846"/>
    <w:rsid w:val="00A63936"/>
    <w:rsid w:val="00A63990"/>
    <w:rsid w:val="00A63A4A"/>
    <w:rsid w:val="00A63A93"/>
    <w:rsid w:val="00A63B18"/>
    <w:rsid w:val="00A63BD0"/>
    <w:rsid w:val="00A63D25"/>
    <w:rsid w:val="00A63DFC"/>
    <w:rsid w:val="00A63EC4"/>
    <w:rsid w:val="00A64001"/>
    <w:rsid w:val="00A64003"/>
    <w:rsid w:val="00A6402B"/>
    <w:rsid w:val="00A640BB"/>
    <w:rsid w:val="00A6416E"/>
    <w:rsid w:val="00A641FA"/>
    <w:rsid w:val="00A64207"/>
    <w:rsid w:val="00A64294"/>
    <w:rsid w:val="00A642C1"/>
    <w:rsid w:val="00A642CF"/>
    <w:rsid w:val="00A64457"/>
    <w:rsid w:val="00A644E2"/>
    <w:rsid w:val="00A6453E"/>
    <w:rsid w:val="00A6453F"/>
    <w:rsid w:val="00A64576"/>
    <w:rsid w:val="00A645F8"/>
    <w:rsid w:val="00A64713"/>
    <w:rsid w:val="00A64778"/>
    <w:rsid w:val="00A647FF"/>
    <w:rsid w:val="00A648C4"/>
    <w:rsid w:val="00A649FF"/>
    <w:rsid w:val="00A64A2B"/>
    <w:rsid w:val="00A64A99"/>
    <w:rsid w:val="00A64B00"/>
    <w:rsid w:val="00A64B5E"/>
    <w:rsid w:val="00A64E22"/>
    <w:rsid w:val="00A64E93"/>
    <w:rsid w:val="00A64E98"/>
    <w:rsid w:val="00A64ED0"/>
    <w:rsid w:val="00A64F11"/>
    <w:rsid w:val="00A64F79"/>
    <w:rsid w:val="00A6506D"/>
    <w:rsid w:val="00A6514D"/>
    <w:rsid w:val="00A6519E"/>
    <w:rsid w:val="00A6519F"/>
    <w:rsid w:val="00A652B2"/>
    <w:rsid w:val="00A652BB"/>
    <w:rsid w:val="00A652F1"/>
    <w:rsid w:val="00A65383"/>
    <w:rsid w:val="00A653E6"/>
    <w:rsid w:val="00A6546F"/>
    <w:rsid w:val="00A65589"/>
    <w:rsid w:val="00A6570D"/>
    <w:rsid w:val="00A65739"/>
    <w:rsid w:val="00A6578E"/>
    <w:rsid w:val="00A65993"/>
    <w:rsid w:val="00A659F6"/>
    <w:rsid w:val="00A65A04"/>
    <w:rsid w:val="00A65A7E"/>
    <w:rsid w:val="00A65B3F"/>
    <w:rsid w:val="00A65B50"/>
    <w:rsid w:val="00A65BA6"/>
    <w:rsid w:val="00A65DCB"/>
    <w:rsid w:val="00A65F0B"/>
    <w:rsid w:val="00A65F3A"/>
    <w:rsid w:val="00A65FDE"/>
    <w:rsid w:val="00A65FE9"/>
    <w:rsid w:val="00A65FF8"/>
    <w:rsid w:val="00A660F2"/>
    <w:rsid w:val="00A66127"/>
    <w:rsid w:val="00A66197"/>
    <w:rsid w:val="00A66232"/>
    <w:rsid w:val="00A66246"/>
    <w:rsid w:val="00A6626C"/>
    <w:rsid w:val="00A6626D"/>
    <w:rsid w:val="00A66283"/>
    <w:rsid w:val="00A6635F"/>
    <w:rsid w:val="00A6636F"/>
    <w:rsid w:val="00A6639F"/>
    <w:rsid w:val="00A663B7"/>
    <w:rsid w:val="00A66463"/>
    <w:rsid w:val="00A6647F"/>
    <w:rsid w:val="00A664D8"/>
    <w:rsid w:val="00A665C2"/>
    <w:rsid w:val="00A66616"/>
    <w:rsid w:val="00A6687C"/>
    <w:rsid w:val="00A668D5"/>
    <w:rsid w:val="00A668DD"/>
    <w:rsid w:val="00A66957"/>
    <w:rsid w:val="00A6697E"/>
    <w:rsid w:val="00A66A4A"/>
    <w:rsid w:val="00A66B31"/>
    <w:rsid w:val="00A66B53"/>
    <w:rsid w:val="00A66B66"/>
    <w:rsid w:val="00A66B80"/>
    <w:rsid w:val="00A66BCB"/>
    <w:rsid w:val="00A66C0E"/>
    <w:rsid w:val="00A66C1F"/>
    <w:rsid w:val="00A66CA0"/>
    <w:rsid w:val="00A66D03"/>
    <w:rsid w:val="00A66D64"/>
    <w:rsid w:val="00A66D96"/>
    <w:rsid w:val="00A66DC5"/>
    <w:rsid w:val="00A66DFC"/>
    <w:rsid w:val="00A66E33"/>
    <w:rsid w:val="00A66EA6"/>
    <w:rsid w:val="00A66F00"/>
    <w:rsid w:val="00A66F2A"/>
    <w:rsid w:val="00A66F4F"/>
    <w:rsid w:val="00A6706D"/>
    <w:rsid w:val="00A67091"/>
    <w:rsid w:val="00A6724D"/>
    <w:rsid w:val="00A6728B"/>
    <w:rsid w:val="00A672A4"/>
    <w:rsid w:val="00A672B7"/>
    <w:rsid w:val="00A67399"/>
    <w:rsid w:val="00A67498"/>
    <w:rsid w:val="00A674D4"/>
    <w:rsid w:val="00A674E8"/>
    <w:rsid w:val="00A67577"/>
    <w:rsid w:val="00A675E7"/>
    <w:rsid w:val="00A6763E"/>
    <w:rsid w:val="00A67682"/>
    <w:rsid w:val="00A67691"/>
    <w:rsid w:val="00A676BA"/>
    <w:rsid w:val="00A676E7"/>
    <w:rsid w:val="00A6777D"/>
    <w:rsid w:val="00A6781F"/>
    <w:rsid w:val="00A6783A"/>
    <w:rsid w:val="00A6789C"/>
    <w:rsid w:val="00A67937"/>
    <w:rsid w:val="00A67A04"/>
    <w:rsid w:val="00A67A85"/>
    <w:rsid w:val="00A67A90"/>
    <w:rsid w:val="00A67AFA"/>
    <w:rsid w:val="00A67B78"/>
    <w:rsid w:val="00A67BC8"/>
    <w:rsid w:val="00A67C62"/>
    <w:rsid w:val="00A67C84"/>
    <w:rsid w:val="00A67C8C"/>
    <w:rsid w:val="00A67CF7"/>
    <w:rsid w:val="00A67D3D"/>
    <w:rsid w:val="00A67D62"/>
    <w:rsid w:val="00A67E10"/>
    <w:rsid w:val="00A67E53"/>
    <w:rsid w:val="00A67E66"/>
    <w:rsid w:val="00A67EE3"/>
    <w:rsid w:val="00A67EF8"/>
    <w:rsid w:val="00A67F36"/>
    <w:rsid w:val="00A70051"/>
    <w:rsid w:val="00A70113"/>
    <w:rsid w:val="00A7014E"/>
    <w:rsid w:val="00A701A8"/>
    <w:rsid w:val="00A701E3"/>
    <w:rsid w:val="00A701FE"/>
    <w:rsid w:val="00A70285"/>
    <w:rsid w:val="00A702A9"/>
    <w:rsid w:val="00A702C3"/>
    <w:rsid w:val="00A70443"/>
    <w:rsid w:val="00A7047D"/>
    <w:rsid w:val="00A705B1"/>
    <w:rsid w:val="00A705EF"/>
    <w:rsid w:val="00A70605"/>
    <w:rsid w:val="00A707B6"/>
    <w:rsid w:val="00A70870"/>
    <w:rsid w:val="00A709D6"/>
    <w:rsid w:val="00A709FA"/>
    <w:rsid w:val="00A70A1C"/>
    <w:rsid w:val="00A70A2A"/>
    <w:rsid w:val="00A70A30"/>
    <w:rsid w:val="00A70AE7"/>
    <w:rsid w:val="00A70B3B"/>
    <w:rsid w:val="00A70C57"/>
    <w:rsid w:val="00A70C7A"/>
    <w:rsid w:val="00A70CD3"/>
    <w:rsid w:val="00A70E41"/>
    <w:rsid w:val="00A70E61"/>
    <w:rsid w:val="00A70E77"/>
    <w:rsid w:val="00A70F1B"/>
    <w:rsid w:val="00A70F54"/>
    <w:rsid w:val="00A70FA9"/>
    <w:rsid w:val="00A70FEB"/>
    <w:rsid w:val="00A710CA"/>
    <w:rsid w:val="00A71116"/>
    <w:rsid w:val="00A711D1"/>
    <w:rsid w:val="00A7124A"/>
    <w:rsid w:val="00A713CE"/>
    <w:rsid w:val="00A71409"/>
    <w:rsid w:val="00A7145F"/>
    <w:rsid w:val="00A714E9"/>
    <w:rsid w:val="00A715FD"/>
    <w:rsid w:val="00A717A9"/>
    <w:rsid w:val="00A718D8"/>
    <w:rsid w:val="00A71924"/>
    <w:rsid w:val="00A7192E"/>
    <w:rsid w:val="00A71A39"/>
    <w:rsid w:val="00A71A62"/>
    <w:rsid w:val="00A71BB8"/>
    <w:rsid w:val="00A71CE4"/>
    <w:rsid w:val="00A71DCA"/>
    <w:rsid w:val="00A71DE7"/>
    <w:rsid w:val="00A71E25"/>
    <w:rsid w:val="00A71E43"/>
    <w:rsid w:val="00A71EB1"/>
    <w:rsid w:val="00A71EFE"/>
    <w:rsid w:val="00A71F91"/>
    <w:rsid w:val="00A720B5"/>
    <w:rsid w:val="00A721DB"/>
    <w:rsid w:val="00A7221B"/>
    <w:rsid w:val="00A722C9"/>
    <w:rsid w:val="00A72308"/>
    <w:rsid w:val="00A72386"/>
    <w:rsid w:val="00A723C4"/>
    <w:rsid w:val="00A7242E"/>
    <w:rsid w:val="00A724BD"/>
    <w:rsid w:val="00A724BF"/>
    <w:rsid w:val="00A725C1"/>
    <w:rsid w:val="00A7260B"/>
    <w:rsid w:val="00A72626"/>
    <w:rsid w:val="00A7264B"/>
    <w:rsid w:val="00A7268C"/>
    <w:rsid w:val="00A726D0"/>
    <w:rsid w:val="00A7275E"/>
    <w:rsid w:val="00A72799"/>
    <w:rsid w:val="00A72850"/>
    <w:rsid w:val="00A728B4"/>
    <w:rsid w:val="00A72988"/>
    <w:rsid w:val="00A72AA5"/>
    <w:rsid w:val="00A72AAA"/>
    <w:rsid w:val="00A72ABE"/>
    <w:rsid w:val="00A72AED"/>
    <w:rsid w:val="00A72B5D"/>
    <w:rsid w:val="00A72CCA"/>
    <w:rsid w:val="00A72D85"/>
    <w:rsid w:val="00A72ECE"/>
    <w:rsid w:val="00A72F3C"/>
    <w:rsid w:val="00A72F48"/>
    <w:rsid w:val="00A72F82"/>
    <w:rsid w:val="00A72F96"/>
    <w:rsid w:val="00A730C5"/>
    <w:rsid w:val="00A731FB"/>
    <w:rsid w:val="00A73277"/>
    <w:rsid w:val="00A732E8"/>
    <w:rsid w:val="00A73321"/>
    <w:rsid w:val="00A7334A"/>
    <w:rsid w:val="00A733BB"/>
    <w:rsid w:val="00A73469"/>
    <w:rsid w:val="00A734F3"/>
    <w:rsid w:val="00A734FC"/>
    <w:rsid w:val="00A7350C"/>
    <w:rsid w:val="00A73578"/>
    <w:rsid w:val="00A73702"/>
    <w:rsid w:val="00A73703"/>
    <w:rsid w:val="00A73752"/>
    <w:rsid w:val="00A737D5"/>
    <w:rsid w:val="00A73826"/>
    <w:rsid w:val="00A73847"/>
    <w:rsid w:val="00A73976"/>
    <w:rsid w:val="00A739D2"/>
    <w:rsid w:val="00A739FE"/>
    <w:rsid w:val="00A73AF9"/>
    <w:rsid w:val="00A73BA6"/>
    <w:rsid w:val="00A73C65"/>
    <w:rsid w:val="00A73C98"/>
    <w:rsid w:val="00A73D66"/>
    <w:rsid w:val="00A73EFF"/>
    <w:rsid w:val="00A73F28"/>
    <w:rsid w:val="00A73F7C"/>
    <w:rsid w:val="00A7401D"/>
    <w:rsid w:val="00A7407D"/>
    <w:rsid w:val="00A74118"/>
    <w:rsid w:val="00A74166"/>
    <w:rsid w:val="00A741BE"/>
    <w:rsid w:val="00A742C1"/>
    <w:rsid w:val="00A742E4"/>
    <w:rsid w:val="00A742EE"/>
    <w:rsid w:val="00A743B5"/>
    <w:rsid w:val="00A744C2"/>
    <w:rsid w:val="00A745B7"/>
    <w:rsid w:val="00A7465A"/>
    <w:rsid w:val="00A746D1"/>
    <w:rsid w:val="00A7475A"/>
    <w:rsid w:val="00A747B5"/>
    <w:rsid w:val="00A74884"/>
    <w:rsid w:val="00A748DA"/>
    <w:rsid w:val="00A74904"/>
    <w:rsid w:val="00A749FB"/>
    <w:rsid w:val="00A74A13"/>
    <w:rsid w:val="00A74AAA"/>
    <w:rsid w:val="00A74BF2"/>
    <w:rsid w:val="00A74E1F"/>
    <w:rsid w:val="00A74E7D"/>
    <w:rsid w:val="00A74F6F"/>
    <w:rsid w:val="00A7509E"/>
    <w:rsid w:val="00A750A1"/>
    <w:rsid w:val="00A751BC"/>
    <w:rsid w:val="00A75252"/>
    <w:rsid w:val="00A75271"/>
    <w:rsid w:val="00A752A4"/>
    <w:rsid w:val="00A75324"/>
    <w:rsid w:val="00A753D5"/>
    <w:rsid w:val="00A755FC"/>
    <w:rsid w:val="00A756AA"/>
    <w:rsid w:val="00A757B7"/>
    <w:rsid w:val="00A75804"/>
    <w:rsid w:val="00A75849"/>
    <w:rsid w:val="00A7584B"/>
    <w:rsid w:val="00A758A7"/>
    <w:rsid w:val="00A758BB"/>
    <w:rsid w:val="00A758EE"/>
    <w:rsid w:val="00A758FB"/>
    <w:rsid w:val="00A75B47"/>
    <w:rsid w:val="00A75C10"/>
    <w:rsid w:val="00A75CCE"/>
    <w:rsid w:val="00A75D70"/>
    <w:rsid w:val="00A75DCB"/>
    <w:rsid w:val="00A75E0B"/>
    <w:rsid w:val="00A75E9F"/>
    <w:rsid w:val="00A75F31"/>
    <w:rsid w:val="00A75F9A"/>
    <w:rsid w:val="00A76004"/>
    <w:rsid w:val="00A76094"/>
    <w:rsid w:val="00A760B5"/>
    <w:rsid w:val="00A760B7"/>
    <w:rsid w:val="00A760CB"/>
    <w:rsid w:val="00A76110"/>
    <w:rsid w:val="00A76123"/>
    <w:rsid w:val="00A761A0"/>
    <w:rsid w:val="00A761AC"/>
    <w:rsid w:val="00A761CE"/>
    <w:rsid w:val="00A76205"/>
    <w:rsid w:val="00A76225"/>
    <w:rsid w:val="00A7622B"/>
    <w:rsid w:val="00A7634D"/>
    <w:rsid w:val="00A763AB"/>
    <w:rsid w:val="00A764B3"/>
    <w:rsid w:val="00A764E9"/>
    <w:rsid w:val="00A76577"/>
    <w:rsid w:val="00A765BD"/>
    <w:rsid w:val="00A765D9"/>
    <w:rsid w:val="00A76726"/>
    <w:rsid w:val="00A7678D"/>
    <w:rsid w:val="00A767C5"/>
    <w:rsid w:val="00A767DE"/>
    <w:rsid w:val="00A767EF"/>
    <w:rsid w:val="00A7685D"/>
    <w:rsid w:val="00A76A91"/>
    <w:rsid w:val="00A76BE2"/>
    <w:rsid w:val="00A76C07"/>
    <w:rsid w:val="00A76C93"/>
    <w:rsid w:val="00A76D1E"/>
    <w:rsid w:val="00A76D1F"/>
    <w:rsid w:val="00A76D29"/>
    <w:rsid w:val="00A76D37"/>
    <w:rsid w:val="00A76DE9"/>
    <w:rsid w:val="00A76F16"/>
    <w:rsid w:val="00A770A7"/>
    <w:rsid w:val="00A7714C"/>
    <w:rsid w:val="00A771B9"/>
    <w:rsid w:val="00A771C2"/>
    <w:rsid w:val="00A77346"/>
    <w:rsid w:val="00A7737A"/>
    <w:rsid w:val="00A774AB"/>
    <w:rsid w:val="00A774D5"/>
    <w:rsid w:val="00A774FB"/>
    <w:rsid w:val="00A7755E"/>
    <w:rsid w:val="00A77570"/>
    <w:rsid w:val="00A77584"/>
    <w:rsid w:val="00A77661"/>
    <w:rsid w:val="00A776FC"/>
    <w:rsid w:val="00A77704"/>
    <w:rsid w:val="00A7770C"/>
    <w:rsid w:val="00A77846"/>
    <w:rsid w:val="00A77883"/>
    <w:rsid w:val="00A7791C"/>
    <w:rsid w:val="00A77A2F"/>
    <w:rsid w:val="00A77AC6"/>
    <w:rsid w:val="00A77AE1"/>
    <w:rsid w:val="00A77B52"/>
    <w:rsid w:val="00A77B98"/>
    <w:rsid w:val="00A77BD4"/>
    <w:rsid w:val="00A77C2A"/>
    <w:rsid w:val="00A77C33"/>
    <w:rsid w:val="00A77CA0"/>
    <w:rsid w:val="00A77DB7"/>
    <w:rsid w:val="00A77DB9"/>
    <w:rsid w:val="00A77DCB"/>
    <w:rsid w:val="00A77E00"/>
    <w:rsid w:val="00A77FB7"/>
    <w:rsid w:val="00A801A9"/>
    <w:rsid w:val="00A80208"/>
    <w:rsid w:val="00A80311"/>
    <w:rsid w:val="00A80421"/>
    <w:rsid w:val="00A8061F"/>
    <w:rsid w:val="00A80630"/>
    <w:rsid w:val="00A8067D"/>
    <w:rsid w:val="00A806C6"/>
    <w:rsid w:val="00A806DD"/>
    <w:rsid w:val="00A80722"/>
    <w:rsid w:val="00A8079F"/>
    <w:rsid w:val="00A80825"/>
    <w:rsid w:val="00A8082B"/>
    <w:rsid w:val="00A808B4"/>
    <w:rsid w:val="00A80921"/>
    <w:rsid w:val="00A80937"/>
    <w:rsid w:val="00A8096C"/>
    <w:rsid w:val="00A809DE"/>
    <w:rsid w:val="00A80A3B"/>
    <w:rsid w:val="00A80A7F"/>
    <w:rsid w:val="00A80A80"/>
    <w:rsid w:val="00A80CEB"/>
    <w:rsid w:val="00A80D3E"/>
    <w:rsid w:val="00A80D8A"/>
    <w:rsid w:val="00A80D98"/>
    <w:rsid w:val="00A80E8D"/>
    <w:rsid w:val="00A80EA2"/>
    <w:rsid w:val="00A80F8E"/>
    <w:rsid w:val="00A80FBD"/>
    <w:rsid w:val="00A80FDA"/>
    <w:rsid w:val="00A810D4"/>
    <w:rsid w:val="00A810FC"/>
    <w:rsid w:val="00A81391"/>
    <w:rsid w:val="00A8139A"/>
    <w:rsid w:val="00A813CE"/>
    <w:rsid w:val="00A81408"/>
    <w:rsid w:val="00A8140A"/>
    <w:rsid w:val="00A814CC"/>
    <w:rsid w:val="00A8151C"/>
    <w:rsid w:val="00A815A7"/>
    <w:rsid w:val="00A8162F"/>
    <w:rsid w:val="00A81636"/>
    <w:rsid w:val="00A817A9"/>
    <w:rsid w:val="00A817F3"/>
    <w:rsid w:val="00A8180A"/>
    <w:rsid w:val="00A8183A"/>
    <w:rsid w:val="00A819AD"/>
    <w:rsid w:val="00A81A15"/>
    <w:rsid w:val="00A81AA8"/>
    <w:rsid w:val="00A81AD8"/>
    <w:rsid w:val="00A81BC6"/>
    <w:rsid w:val="00A81E04"/>
    <w:rsid w:val="00A81F0C"/>
    <w:rsid w:val="00A81F50"/>
    <w:rsid w:val="00A81F8F"/>
    <w:rsid w:val="00A81FF4"/>
    <w:rsid w:val="00A81FFC"/>
    <w:rsid w:val="00A8208A"/>
    <w:rsid w:val="00A8211D"/>
    <w:rsid w:val="00A822BC"/>
    <w:rsid w:val="00A826DB"/>
    <w:rsid w:val="00A82797"/>
    <w:rsid w:val="00A827B5"/>
    <w:rsid w:val="00A82837"/>
    <w:rsid w:val="00A8289E"/>
    <w:rsid w:val="00A828BE"/>
    <w:rsid w:val="00A829E5"/>
    <w:rsid w:val="00A82A2E"/>
    <w:rsid w:val="00A82A4E"/>
    <w:rsid w:val="00A82CFF"/>
    <w:rsid w:val="00A82D31"/>
    <w:rsid w:val="00A82DC7"/>
    <w:rsid w:val="00A82EBE"/>
    <w:rsid w:val="00A82FAE"/>
    <w:rsid w:val="00A83088"/>
    <w:rsid w:val="00A83160"/>
    <w:rsid w:val="00A83166"/>
    <w:rsid w:val="00A831A9"/>
    <w:rsid w:val="00A831FE"/>
    <w:rsid w:val="00A8327E"/>
    <w:rsid w:val="00A8329A"/>
    <w:rsid w:val="00A832A9"/>
    <w:rsid w:val="00A83338"/>
    <w:rsid w:val="00A83450"/>
    <w:rsid w:val="00A8345B"/>
    <w:rsid w:val="00A83484"/>
    <w:rsid w:val="00A834C8"/>
    <w:rsid w:val="00A83624"/>
    <w:rsid w:val="00A8365D"/>
    <w:rsid w:val="00A83697"/>
    <w:rsid w:val="00A8376E"/>
    <w:rsid w:val="00A8380B"/>
    <w:rsid w:val="00A83920"/>
    <w:rsid w:val="00A83924"/>
    <w:rsid w:val="00A83957"/>
    <w:rsid w:val="00A83998"/>
    <w:rsid w:val="00A839ED"/>
    <w:rsid w:val="00A83C16"/>
    <w:rsid w:val="00A83C3C"/>
    <w:rsid w:val="00A83CEA"/>
    <w:rsid w:val="00A83D19"/>
    <w:rsid w:val="00A83D9F"/>
    <w:rsid w:val="00A83DCB"/>
    <w:rsid w:val="00A83DD2"/>
    <w:rsid w:val="00A83DDF"/>
    <w:rsid w:val="00A83DE6"/>
    <w:rsid w:val="00A83E69"/>
    <w:rsid w:val="00A83F63"/>
    <w:rsid w:val="00A83F8F"/>
    <w:rsid w:val="00A83FA1"/>
    <w:rsid w:val="00A84099"/>
    <w:rsid w:val="00A840D2"/>
    <w:rsid w:val="00A84176"/>
    <w:rsid w:val="00A84197"/>
    <w:rsid w:val="00A84225"/>
    <w:rsid w:val="00A8428B"/>
    <w:rsid w:val="00A842BB"/>
    <w:rsid w:val="00A842C1"/>
    <w:rsid w:val="00A8433A"/>
    <w:rsid w:val="00A843B4"/>
    <w:rsid w:val="00A844E0"/>
    <w:rsid w:val="00A8451B"/>
    <w:rsid w:val="00A8453E"/>
    <w:rsid w:val="00A845A3"/>
    <w:rsid w:val="00A846C3"/>
    <w:rsid w:val="00A84700"/>
    <w:rsid w:val="00A847F9"/>
    <w:rsid w:val="00A848AC"/>
    <w:rsid w:val="00A84944"/>
    <w:rsid w:val="00A84980"/>
    <w:rsid w:val="00A849B5"/>
    <w:rsid w:val="00A849D7"/>
    <w:rsid w:val="00A84AF5"/>
    <w:rsid w:val="00A84B91"/>
    <w:rsid w:val="00A84C00"/>
    <w:rsid w:val="00A84C56"/>
    <w:rsid w:val="00A84CA5"/>
    <w:rsid w:val="00A84D29"/>
    <w:rsid w:val="00A84D87"/>
    <w:rsid w:val="00A84E01"/>
    <w:rsid w:val="00A84E1C"/>
    <w:rsid w:val="00A84E2F"/>
    <w:rsid w:val="00A84F25"/>
    <w:rsid w:val="00A84F7B"/>
    <w:rsid w:val="00A8502A"/>
    <w:rsid w:val="00A8506A"/>
    <w:rsid w:val="00A85075"/>
    <w:rsid w:val="00A850E9"/>
    <w:rsid w:val="00A850F8"/>
    <w:rsid w:val="00A85160"/>
    <w:rsid w:val="00A851CA"/>
    <w:rsid w:val="00A851CC"/>
    <w:rsid w:val="00A8521E"/>
    <w:rsid w:val="00A852B2"/>
    <w:rsid w:val="00A852F6"/>
    <w:rsid w:val="00A85360"/>
    <w:rsid w:val="00A85379"/>
    <w:rsid w:val="00A853A5"/>
    <w:rsid w:val="00A853F2"/>
    <w:rsid w:val="00A8546C"/>
    <w:rsid w:val="00A854A9"/>
    <w:rsid w:val="00A85583"/>
    <w:rsid w:val="00A85610"/>
    <w:rsid w:val="00A85675"/>
    <w:rsid w:val="00A8570B"/>
    <w:rsid w:val="00A8571A"/>
    <w:rsid w:val="00A8579A"/>
    <w:rsid w:val="00A857F2"/>
    <w:rsid w:val="00A85804"/>
    <w:rsid w:val="00A858AC"/>
    <w:rsid w:val="00A858E3"/>
    <w:rsid w:val="00A8597B"/>
    <w:rsid w:val="00A85A93"/>
    <w:rsid w:val="00A85C09"/>
    <w:rsid w:val="00A85C3D"/>
    <w:rsid w:val="00A85CB5"/>
    <w:rsid w:val="00A85DDE"/>
    <w:rsid w:val="00A85E42"/>
    <w:rsid w:val="00A85E83"/>
    <w:rsid w:val="00A85F1B"/>
    <w:rsid w:val="00A85F4A"/>
    <w:rsid w:val="00A85F6C"/>
    <w:rsid w:val="00A8603D"/>
    <w:rsid w:val="00A86051"/>
    <w:rsid w:val="00A860EB"/>
    <w:rsid w:val="00A860FA"/>
    <w:rsid w:val="00A861A8"/>
    <w:rsid w:val="00A8625A"/>
    <w:rsid w:val="00A8625F"/>
    <w:rsid w:val="00A8631F"/>
    <w:rsid w:val="00A8636B"/>
    <w:rsid w:val="00A86383"/>
    <w:rsid w:val="00A8639A"/>
    <w:rsid w:val="00A863C5"/>
    <w:rsid w:val="00A86448"/>
    <w:rsid w:val="00A8646B"/>
    <w:rsid w:val="00A86494"/>
    <w:rsid w:val="00A8649E"/>
    <w:rsid w:val="00A86646"/>
    <w:rsid w:val="00A86674"/>
    <w:rsid w:val="00A867FF"/>
    <w:rsid w:val="00A868F6"/>
    <w:rsid w:val="00A86903"/>
    <w:rsid w:val="00A8691C"/>
    <w:rsid w:val="00A86932"/>
    <w:rsid w:val="00A8693A"/>
    <w:rsid w:val="00A86971"/>
    <w:rsid w:val="00A86975"/>
    <w:rsid w:val="00A869BE"/>
    <w:rsid w:val="00A86A6A"/>
    <w:rsid w:val="00A86CA2"/>
    <w:rsid w:val="00A86CBA"/>
    <w:rsid w:val="00A86D90"/>
    <w:rsid w:val="00A86DCF"/>
    <w:rsid w:val="00A86DE1"/>
    <w:rsid w:val="00A86EF4"/>
    <w:rsid w:val="00A86F42"/>
    <w:rsid w:val="00A87068"/>
    <w:rsid w:val="00A870CD"/>
    <w:rsid w:val="00A8714C"/>
    <w:rsid w:val="00A871DE"/>
    <w:rsid w:val="00A87204"/>
    <w:rsid w:val="00A87217"/>
    <w:rsid w:val="00A87277"/>
    <w:rsid w:val="00A872C0"/>
    <w:rsid w:val="00A87341"/>
    <w:rsid w:val="00A8739A"/>
    <w:rsid w:val="00A87433"/>
    <w:rsid w:val="00A874FD"/>
    <w:rsid w:val="00A87537"/>
    <w:rsid w:val="00A8753F"/>
    <w:rsid w:val="00A875C1"/>
    <w:rsid w:val="00A87746"/>
    <w:rsid w:val="00A8774F"/>
    <w:rsid w:val="00A87753"/>
    <w:rsid w:val="00A87774"/>
    <w:rsid w:val="00A877E6"/>
    <w:rsid w:val="00A87851"/>
    <w:rsid w:val="00A8790F"/>
    <w:rsid w:val="00A87956"/>
    <w:rsid w:val="00A8799D"/>
    <w:rsid w:val="00A87A9B"/>
    <w:rsid w:val="00A87AB4"/>
    <w:rsid w:val="00A87B37"/>
    <w:rsid w:val="00A87BDC"/>
    <w:rsid w:val="00A87BF2"/>
    <w:rsid w:val="00A87C41"/>
    <w:rsid w:val="00A87D01"/>
    <w:rsid w:val="00A87D10"/>
    <w:rsid w:val="00A87D1B"/>
    <w:rsid w:val="00A87D5B"/>
    <w:rsid w:val="00A87E2C"/>
    <w:rsid w:val="00A87F4D"/>
    <w:rsid w:val="00A87FAC"/>
    <w:rsid w:val="00A90123"/>
    <w:rsid w:val="00A90151"/>
    <w:rsid w:val="00A9016C"/>
    <w:rsid w:val="00A90223"/>
    <w:rsid w:val="00A90256"/>
    <w:rsid w:val="00A90371"/>
    <w:rsid w:val="00A90489"/>
    <w:rsid w:val="00A90556"/>
    <w:rsid w:val="00A90573"/>
    <w:rsid w:val="00A90593"/>
    <w:rsid w:val="00A906FD"/>
    <w:rsid w:val="00A90731"/>
    <w:rsid w:val="00A9078C"/>
    <w:rsid w:val="00A9080D"/>
    <w:rsid w:val="00A9087E"/>
    <w:rsid w:val="00A90906"/>
    <w:rsid w:val="00A909EA"/>
    <w:rsid w:val="00A90BFD"/>
    <w:rsid w:val="00A90C9B"/>
    <w:rsid w:val="00A90CB6"/>
    <w:rsid w:val="00A90CC8"/>
    <w:rsid w:val="00A90CE8"/>
    <w:rsid w:val="00A90D40"/>
    <w:rsid w:val="00A90D65"/>
    <w:rsid w:val="00A90E55"/>
    <w:rsid w:val="00A90EE4"/>
    <w:rsid w:val="00A90F3B"/>
    <w:rsid w:val="00A90F4B"/>
    <w:rsid w:val="00A90F97"/>
    <w:rsid w:val="00A9104E"/>
    <w:rsid w:val="00A9105D"/>
    <w:rsid w:val="00A91157"/>
    <w:rsid w:val="00A9115C"/>
    <w:rsid w:val="00A9115D"/>
    <w:rsid w:val="00A912AB"/>
    <w:rsid w:val="00A912AE"/>
    <w:rsid w:val="00A9133B"/>
    <w:rsid w:val="00A91361"/>
    <w:rsid w:val="00A9136E"/>
    <w:rsid w:val="00A9149E"/>
    <w:rsid w:val="00A914AB"/>
    <w:rsid w:val="00A91551"/>
    <w:rsid w:val="00A915E7"/>
    <w:rsid w:val="00A915E9"/>
    <w:rsid w:val="00A9164D"/>
    <w:rsid w:val="00A916FB"/>
    <w:rsid w:val="00A918A6"/>
    <w:rsid w:val="00A918D9"/>
    <w:rsid w:val="00A919D9"/>
    <w:rsid w:val="00A91A1E"/>
    <w:rsid w:val="00A91A43"/>
    <w:rsid w:val="00A91B8D"/>
    <w:rsid w:val="00A91BBD"/>
    <w:rsid w:val="00A91C23"/>
    <w:rsid w:val="00A91D97"/>
    <w:rsid w:val="00A91DFC"/>
    <w:rsid w:val="00A91F35"/>
    <w:rsid w:val="00A92007"/>
    <w:rsid w:val="00A9228F"/>
    <w:rsid w:val="00A922EA"/>
    <w:rsid w:val="00A92385"/>
    <w:rsid w:val="00A9248F"/>
    <w:rsid w:val="00A924EE"/>
    <w:rsid w:val="00A92540"/>
    <w:rsid w:val="00A92552"/>
    <w:rsid w:val="00A926E2"/>
    <w:rsid w:val="00A92702"/>
    <w:rsid w:val="00A9274D"/>
    <w:rsid w:val="00A92835"/>
    <w:rsid w:val="00A9284D"/>
    <w:rsid w:val="00A928BE"/>
    <w:rsid w:val="00A9294C"/>
    <w:rsid w:val="00A92984"/>
    <w:rsid w:val="00A92997"/>
    <w:rsid w:val="00A929AE"/>
    <w:rsid w:val="00A929BA"/>
    <w:rsid w:val="00A929E2"/>
    <w:rsid w:val="00A92A72"/>
    <w:rsid w:val="00A92C02"/>
    <w:rsid w:val="00A92C8D"/>
    <w:rsid w:val="00A92D98"/>
    <w:rsid w:val="00A92F56"/>
    <w:rsid w:val="00A92FB7"/>
    <w:rsid w:val="00A9303F"/>
    <w:rsid w:val="00A930EF"/>
    <w:rsid w:val="00A9315E"/>
    <w:rsid w:val="00A93208"/>
    <w:rsid w:val="00A9323A"/>
    <w:rsid w:val="00A9326E"/>
    <w:rsid w:val="00A93330"/>
    <w:rsid w:val="00A9333F"/>
    <w:rsid w:val="00A933B7"/>
    <w:rsid w:val="00A9355E"/>
    <w:rsid w:val="00A9359B"/>
    <w:rsid w:val="00A9362B"/>
    <w:rsid w:val="00A93694"/>
    <w:rsid w:val="00A93734"/>
    <w:rsid w:val="00A93738"/>
    <w:rsid w:val="00A937F3"/>
    <w:rsid w:val="00A938BE"/>
    <w:rsid w:val="00A938CA"/>
    <w:rsid w:val="00A938F3"/>
    <w:rsid w:val="00A939F9"/>
    <w:rsid w:val="00A93C91"/>
    <w:rsid w:val="00A93CE6"/>
    <w:rsid w:val="00A93D97"/>
    <w:rsid w:val="00A93F25"/>
    <w:rsid w:val="00A93F7F"/>
    <w:rsid w:val="00A94018"/>
    <w:rsid w:val="00A941BD"/>
    <w:rsid w:val="00A9433C"/>
    <w:rsid w:val="00A94357"/>
    <w:rsid w:val="00A94361"/>
    <w:rsid w:val="00A9443C"/>
    <w:rsid w:val="00A9445F"/>
    <w:rsid w:val="00A94475"/>
    <w:rsid w:val="00A9457A"/>
    <w:rsid w:val="00A945D3"/>
    <w:rsid w:val="00A945F7"/>
    <w:rsid w:val="00A94616"/>
    <w:rsid w:val="00A947AB"/>
    <w:rsid w:val="00A94873"/>
    <w:rsid w:val="00A94910"/>
    <w:rsid w:val="00A9494B"/>
    <w:rsid w:val="00A94955"/>
    <w:rsid w:val="00A949BD"/>
    <w:rsid w:val="00A94A46"/>
    <w:rsid w:val="00A94A78"/>
    <w:rsid w:val="00A94B93"/>
    <w:rsid w:val="00A94C36"/>
    <w:rsid w:val="00A94C85"/>
    <w:rsid w:val="00A94C8F"/>
    <w:rsid w:val="00A94CFE"/>
    <w:rsid w:val="00A94D3C"/>
    <w:rsid w:val="00A94DE1"/>
    <w:rsid w:val="00A94E33"/>
    <w:rsid w:val="00A94EEF"/>
    <w:rsid w:val="00A94F08"/>
    <w:rsid w:val="00A94F41"/>
    <w:rsid w:val="00A94F93"/>
    <w:rsid w:val="00A94FC6"/>
    <w:rsid w:val="00A94FD5"/>
    <w:rsid w:val="00A95033"/>
    <w:rsid w:val="00A950D5"/>
    <w:rsid w:val="00A9513A"/>
    <w:rsid w:val="00A95203"/>
    <w:rsid w:val="00A9529A"/>
    <w:rsid w:val="00A952AE"/>
    <w:rsid w:val="00A952BD"/>
    <w:rsid w:val="00A9533A"/>
    <w:rsid w:val="00A95350"/>
    <w:rsid w:val="00A9537B"/>
    <w:rsid w:val="00A953B2"/>
    <w:rsid w:val="00A9541F"/>
    <w:rsid w:val="00A95459"/>
    <w:rsid w:val="00A9545C"/>
    <w:rsid w:val="00A95484"/>
    <w:rsid w:val="00A954B7"/>
    <w:rsid w:val="00A95533"/>
    <w:rsid w:val="00A955D6"/>
    <w:rsid w:val="00A956AB"/>
    <w:rsid w:val="00A957CB"/>
    <w:rsid w:val="00A95833"/>
    <w:rsid w:val="00A958A4"/>
    <w:rsid w:val="00A958C0"/>
    <w:rsid w:val="00A958CE"/>
    <w:rsid w:val="00A959CA"/>
    <w:rsid w:val="00A95B01"/>
    <w:rsid w:val="00A95B0D"/>
    <w:rsid w:val="00A95D18"/>
    <w:rsid w:val="00A95DD3"/>
    <w:rsid w:val="00A95E06"/>
    <w:rsid w:val="00A95EBF"/>
    <w:rsid w:val="00A95F74"/>
    <w:rsid w:val="00A95F7B"/>
    <w:rsid w:val="00A95F9A"/>
    <w:rsid w:val="00A96023"/>
    <w:rsid w:val="00A9603B"/>
    <w:rsid w:val="00A96201"/>
    <w:rsid w:val="00A9629F"/>
    <w:rsid w:val="00A963C7"/>
    <w:rsid w:val="00A9646C"/>
    <w:rsid w:val="00A9648B"/>
    <w:rsid w:val="00A965AF"/>
    <w:rsid w:val="00A965C0"/>
    <w:rsid w:val="00A9665B"/>
    <w:rsid w:val="00A9677B"/>
    <w:rsid w:val="00A96786"/>
    <w:rsid w:val="00A96835"/>
    <w:rsid w:val="00A96877"/>
    <w:rsid w:val="00A96893"/>
    <w:rsid w:val="00A969C8"/>
    <w:rsid w:val="00A96C4E"/>
    <w:rsid w:val="00A96C81"/>
    <w:rsid w:val="00A96DC4"/>
    <w:rsid w:val="00A96E41"/>
    <w:rsid w:val="00A96EF1"/>
    <w:rsid w:val="00A97002"/>
    <w:rsid w:val="00A9702B"/>
    <w:rsid w:val="00A97035"/>
    <w:rsid w:val="00A9704E"/>
    <w:rsid w:val="00A97093"/>
    <w:rsid w:val="00A9709E"/>
    <w:rsid w:val="00A970A6"/>
    <w:rsid w:val="00A971F4"/>
    <w:rsid w:val="00A97294"/>
    <w:rsid w:val="00A972D9"/>
    <w:rsid w:val="00A97306"/>
    <w:rsid w:val="00A97314"/>
    <w:rsid w:val="00A97382"/>
    <w:rsid w:val="00A973C5"/>
    <w:rsid w:val="00A9740A"/>
    <w:rsid w:val="00A9740D"/>
    <w:rsid w:val="00A974F0"/>
    <w:rsid w:val="00A97514"/>
    <w:rsid w:val="00A975E1"/>
    <w:rsid w:val="00A97613"/>
    <w:rsid w:val="00A97688"/>
    <w:rsid w:val="00A976A5"/>
    <w:rsid w:val="00A976C1"/>
    <w:rsid w:val="00A976DA"/>
    <w:rsid w:val="00A976DC"/>
    <w:rsid w:val="00A978DD"/>
    <w:rsid w:val="00A97994"/>
    <w:rsid w:val="00A979EF"/>
    <w:rsid w:val="00A97A73"/>
    <w:rsid w:val="00A97AC2"/>
    <w:rsid w:val="00A97B80"/>
    <w:rsid w:val="00A97BE6"/>
    <w:rsid w:val="00A97C22"/>
    <w:rsid w:val="00A97D2C"/>
    <w:rsid w:val="00A97D64"/>
    <w:rsid w:val="00A97D9B"/>
    <w:rsid w:val="00A97DE6"/>
    <w:rsid w:val="00A97DF9"/>
    <w:rsid w:val="00A97E0E"/>
    <w:rsid w:val="00A97E44"/>
    <w:rsid w:val="00A97E89"/>
    <w:rsid w:val="00A97F07"/>
    <w:rsid w:val="00A97F17"/>
    <w:rsid w:val="00A97F9A"/>
    <w:rsid w:val="00A97FC5"/>
    <w:rsid w:val="00AA002A"/>
    <w:rsid w:val="00AA0127"/>
    <w:rsid w:val="00AA036F"/>
    <w:rsid w:val="00AA0371"/>
    <w:rsid w:val="00AA03F1"/>
    <w:rsid w:val="00AA0404"/>
    <w:rsid w:val="00AA046B"/>
    <w:rsid w:val="00AA04E6"/>
    <w:rsid w:val="00AA052D"/>
    <w:rsid w:val="00AA0587"/>
    <w:rsid w:val="00AA066E"/>
    <w:rsid w:val="00AA0699"/>
    <w:rsid w:val="00AA0739"/>
    <w:rsid w:val="00AA0779"/>
    <w:rsid w:val="00AA0807"/>
    <w:rsid w:val="00AA0851"/>
    <w:rsid w:val="00AA08FC"/>
    <w:rsid w:val="00AA0954"/>
    <w:rsid w:val="00AA0A4B"/>
    <w:rsid w:val="00AA0A53"/>
    <w:rsid w:val="00AA0A96"/>
    <w:rsid w:val="00AA0AF4"/>
    <w:rsid w:val="00AA0B26"/>
    <w:rsid w:val="00AA0B29"/>
    <w:rsid w:val="00AA0B4C"/>
    <w:rsid w:val="00AA0CCE"/>
    <w:rsid w:val="00AA0CF6"/>
    <w:rsid w:val="00AA0E9B"/>
    <w:rsid w:val="00AA0EDB"/>
    <w:rsid w:val="00AA0EFE"/>
    <w:rsid w:val="00AA0F13"/>
    <w:rsid w:val="00AA10B0"/>
    <w:rsid w:val="00AA113C"/>
    <w:rsid w:val="00AA119C"/>
    <w:rsid w:val="00AA12D5"/>
    <w:rsid w:val="00AA1440"/>
    <w:rsid w:val="00AA1475"/>
    <w:rsid w:val="00AA1494"/>
    <w:rsid w:val="00AA149D"/>
    <w:rsid w:val="00AA14DD"/>
    <w:rsid w:val="00AA14F2"/>
    <w:rsid w:val="00AA151E"/>
    <w:rsid w:val="00AA163B"/>
    <w:rsid w:val="00AA16D0"/>
    <w:rsid w:val="00AA16ED"/>
    <w:rsid w:val="00AA16FD"/>
    <w:rsid w:val="00AA17A5"/>
    <w:rsid w:val="00AA185E"/>
    <w:rsid w:val="00AA1899"/>
    <w:rsid w:val="00AA190C"/>
    <w:rsid w:val="00AA19BD"/>
    <w:rsid w:val="00AA1B74"/>
    <w:rsid w:val="00AA1BE2"/>
    <w:rsid w:val="00AA1BFE"/>
    <w:rsid w:val="00AA1C23"/>
    <w:rsid w:val="00AA1C8F"/>
    <w:rsid w:val="00AA1D3C"/>
    <w:rsid w:val="00AA1D51"/>
    <w:rsid w:val="00AA1E53"/>
    <w:rsid w:val="00AA1ECA"/>
    <w:rsid w:val="00AA1F1C"/>
    <w:rsid w:val="00AA1F26"/>
    <w:rsid w:val="00AA2014"/>
    <w:rsid w:val="00AA2023"/>
    <w:rsid w:val="00AA203C"/>
    <w:rsid w:val="00AA220F"/>
    <w:rsid w:val="00AA22B7"/>
    <w:rsid w:val="00AA233B"/>
    <w:rsid w:val="00AA234B"/>
    <w:rsid w:val="00AA2398"/>
    <w:rsid w:val="00AA23EF"/>
    <w:rsid w:val="00AA2464"/>
    <w:rsid w:val="00AA2556"/>
    <w:rsid w:val="00AA2618"/>
    <w:rsid w:val="00AA261D"/>
    <w:rsid w:val="00AA263A"/>
    <w:rsid w:val="00AA26D3"/>
    <w:rsid w:val="00AA2763"/>
    <w:rsid w:val="00AA285F"/>
    <w:rsid w:val="00AA297D"/>
    <w:rsid w:val="00AA2B16"/>
    <w:rsid w:val="00AA2B8A"/>
    <w:rsid w:val="00AA2C16"/>
    <w:rsid w:val="00AA2C47"/>
    <w:rsid w:val="00AA2D69"/>
    <w:rsid w:val="00AA2DC3"/>
    <w:rsid w:val="00AA2E74"/>
    <w:rsid w:val="00AA2E8A"/>
    <w:rsid w:val="00AA2EB6"/>
    <w:rsid w:val="00AA2ECC"/>
    <w:rsid w:val="00AA305D"/>
    <w:rsid w:val="00AA32A2"/>
    <w:rsid w:val="00AA332B"/>
    <w:rsid w:val="00AA3422"/>
    <w:rsid w:val="00AA3458"/>
    <w:rsid w:val="00AA3481"/>
    <w:rsid w:val="00AA349E"/>
    <w:rsid w:val="00AA34EA"/>
    <w:rsid w:val="00AA34EE"/>
    <w:rsid w:val="00AA3569"/>
    <w:rsid w:val="00AA3577"/>
    <w:rsid w:val="00AA3587"/>
    <w:rsid w:val="00AA35C6"/>
    <w:rsid w:val="00AA3668"/>
    <w:rsid w:val="00AA3692"/>
    <w:rsid w:val="00AA376F"/>
    <w:rsid w:val="00AA37E7"/>
    <w:rsid w:val="00AA383B"/>
    <w:rsid w:val="00AA3872"/>
    <w:rsid w:val="00AA3942"/>
    <w:rsid w:val="00AA3964"/>
    <w:rsid w:val="00AA39B7"/>
    <w:rsid w:val="00AA39CD"/>
    <w:rsid w:val="00AA3A39"/>
    <w:rsid w:val="00AA3B62"/>
    <w:rsid w:val="00AA3BEC"/>
    <w:rsid w:val="00AA3C62"/>
    <w:rsid w:val="00AA3C73"/>
    <w:rsid w:val="00AA3CEA"/>
    <w:rsid w:val="00AA3EDA"/>
    <w:rsid w:val="00AA3FF4"/>
    <w:rsid w:val="00AA4074"/>
    <w:rsid w:val="00AA418E"/>
    <w:rsid w:val="00AA41AC"/>
    <w:rsid w:val="00AA436E"/>
    <w:rsid w:val="00AA439D"/>
    <w:rsid w:val="00AA44DF"/>
    <w:rsid w:val="00AA45C0"/>
    <w:rsid w:val="00AA460A"/>
    <w:rsid w:val="00AA4788"/>
    <w:rsid w:val="00AA4822"/>
    <w:rsid w:val="00AA4862"/>
    <w:rsid w:val="00AA48F2"/>
    <w:rsid w:val="00AA49D4"/>
    <w:rsid w:val="00AA4B5C"/>
    <w:rsid w:val="00AA4BB7"/>
    <w:rsid w:val="00AA4BE6"/>
    <w:rsid w:val="00AA4BF1"/>
    <w:rsid w:val="00AA4C3A"/>
    <w:rsid w:val="00AA4DCE"/>
    <w:rsid w:val="00AA4E7B"/>
    <w:rsid w:val="00AA4F52"/>
    <w:rsid w:val="00AA50C4"/>
    <w:rsid w:val="00AA5127"/>
    <w:rsid w:val="00AA521A"/>
    <w:rsid w:val="00AA5373"/>
    <w:rsid w:val="00AA548B"/>
    <w:rsid w:val="00AA564C"/>
    <w:rsid w:val="00AA56D6"/>
    <w:rsid w:val="00AA577D"/>
    <w:rsid w:val="00AA57F8"/>
    <w:rsid w:val="00AA584E"/>
    <w:rsid w:val="00AA5881"/>
    <w:rsid w:val="00AA58E6"/>
    <w:rsid w:val="00AA5964"/>
    <w:rsid w:val="00AA5A48"/>
    <w:rsid w:val="00AA5B90"/>
    <w:rsid w:val="00AA5CC2"/>
    <w:rsid w:val="00AA5F31"/>
    <w:rsid w:val="00AA6070"/>
    <w:rsid w:val="00AA6129"/>
    <w:rsid w:val="00AA614E"/>
    <w:rsid w:val="00AA6166"/>
    <w:rsid w:val="00AA6295"/>
    <w:rsid w:val="00AA62A6"/>
    <w:rsid w:val="00AA62D1"/>
    <w:rsid w:val="00AA63FD"/>
    <w:rsid w:val="00AA6419"/>
    <w:rsid w:val="00AA642F"/>
    <w:rsid w:val="00AA648C"/>
    <w:rsid w:val="00AA649E"/>
    <w:rsid w:val="00AA651A"/>
    <w:rsid w:val="00AA6553"/>
    <w:rsid w:val="00AA659F"/>
    <w:rsid w:val="00AA65DA"/>
    <w:rsid w:val="00AA670E"/>
    <w:rsid w:val="00AA67F8"/>
    <w:rsid w:val="00AA6835"/>
    <w:rsid w:val="00AA684F"/>
    <w:rsid w:val="00AA68B0"/>
    <w:rsid w:val="00AA6B51"/>
    <w:rsid w:val="00AA6C4C"/>
    <w:rsid w:val="00AA6C8F"/>
    <w:rsid w:val="00AA6C9B"/>
    <w:rsid w:val="00AA6CEF"/>
    <w:rsid w:val="00AA6D66"/>
    <w:rsid w:val="00AA6DFC"/>
    <w:rsid w:val="00AA6E7F"/>
    <w:rsid w:val="00AA6E9E"/>
    <w:rsid w:val="00AA6F7E"/>
    <w:rsid w:val="00AA70BF"/>
    <w:rsid w:val="00AA71D9"/>
    <w:rsid w:val="00AA73C3"/>
    <w:rsid w:val="00AA756B"/>
    <w:rsid w:val="00AA756C"/>
    <w:rsid w:val="00AA757D"/>
    <w:rsid w:val="00AA76A9"/>
    <w:rsid w:val="00AA76D6"/>
    <w:rsid w:val="00AA76EF"/>
    <w:rsid w:val="00AA7706"/>
    <w:rsid w:val="00AA7761"/>
    <w:rsid w:val="00AA78AF"/>
    <w:rsid w:val="00AA79CF"/>
    <w:rsid w:val="00AA7A2D"/>
    <w:rsid w:val="00AA7C32"/>
    <w:rsid w:val="00AA7C8D"/>
    <w:rsid w:val="00AA7CB3"/>
    <w:rsid w:val="00AA7D0E"/>
    <w:rsid w:val="00AA7F62"/>
    <w:rsid w:val="00AA7FC3"/>
    <w:rsid w:val="00AB000A"/>
    <w:rsid w:val="00AB00A7"/>
    <w:rsid w:val="00AB00C7"/>
    <w:rsid w:val="00AB013D"/>
    <w:rsid w:val="00AB0193"/>
    <w:rsid w:val="00AB0270"/>
    <w:rsid w:val="00AB02C4"/>
    <w:rsid w:val="00AB02F2"/>
    <w:rsid w:val="00AB02F3"/>
    <w:rsid w:val="00AB034C"/>
    <w:rsid w:val="00AB0359"/>
    <w:rsid w:val="00AB03EA"/>
    <w:rsid w:val="00AB0409"/>
    <w:rsid w:val="00AB043D"/>
    <w:rsid w:val="00AB0556"/>
    <w:rsid w:val="00AB0623"/>
    <w:rsid w:val="00AB068F"/>
    <w:rsid w:val="00AB07A6"/>
    <w:rsid w:val="00AB0AA8"/>
    <w:rsid w:val="00AB0B5A"/>
    <w:rsid w:val="00AB0B60"/>
    <w:rsid w:val="00AB0BD5"/>
    <w:rsid w:val="00AB0BF6"/>
    <w:rsid w:val="00AB0C30"/>
    <w:rsid w:val="00AB0CA8"/>
    <w:rsid w:val="00AB0D3D"/>
    <w:rsid w:val="00AB0DA8"/>
    <w:rsid w:val="00AB0EED"/>
    <w:rsid w:val="00AB106F"/>
    <w:rsid w:val="00AB1096"/>
    <w:rsid w:val="00AB10F4"/>
    <w:rsid w:val="00AB11F5"/>
    <w:rsid w:val="00AB122D"/>
    <w:rsid w:val="00AB1257"/>
    <w:rsid w:val="00AB12FA"/>
    <w:rsid w:val="00AB13C3"/>
    <w:rsid w:val="00AB13C5"/>
    <w:rsid w:val="00AB13FC"/>
    <w:rsid w:val="00AB1438"/>
    <w:rsid w:val="00AB1449"/>
    <w:rsid w:val="00AB1558"/>
    <w:rsid w:val="00AB160D"/>
    <w:rsid w:val="00AB1659"/>
    <w:rsid w:val="00AB16C8"/>
    <w:rsid w:val="00AB17B0"/>
    <w:rsid w:val="00AB18E9"/>
    <w:rsid w:val="00AB1938"/>
    <w:rsid w:val="00AB1A5A"/>
    <w:rsid w:val="00AB1BA1"/>
    <w:rsid w:val="00AB1C25"/>
    <w:rsid w:val="00AB1C33"/>
    <w:rsid w:val="00AB1C53"/>
    <w:rsid w:val="00AB1D98"/>
    <w:rsid w:val="00AB2098"/>
    <w:rsid w:val="00AB2244"/>
    <w:rsid w:val="00AB2247"/>
    <w:rsid w:val="00AB22B3"/>
    <w:rsid w:val="00AB2368"/>
    <w:rsid w:val="00AB2378"/>
    <w:rsid w:val="00AB23E2"/>
    <w:rsid w:val="00AB2428"/>
    <w:rsid w:val="00AB24D9"/>
    <w:rsid w:val="00AB24FA"/>
    <w:rsid w:val="00AB2602"/>
    <w:rsid w:val="00AB2609"/>
    <w:rsid w:val="00AB2640"/>
    <w:rsid w:val="00AB26C3"/>
    <w:rsid w:val="00AB26DB"/>
    <w:rsid w:val="00AB26DF"/>
    <w:rsid w:val="00AB276C"/>
    <w:rsid w:val="00AB2774"/>
    <w:rsid w:val="00AB2778"/>
    <w:rsid w:val="00AB2864"/>
    <w:rsid w:val="00AB2892"/>
    <w:rsid w:val="00AB28B3"/>
    <w:rsid w:val="00AB296A"/>
    <w:rsid w:val="00AB2988"/>
    <w:rsid w:val="00AB2AF0"/>
    <w:rsid w:val="00AB2B2D"/>
    <w:rsid w:val="00AB2C46"/>
    <w:rsid w:val="00AB2C76"/>
    <w:rsid w:val="00AB2C7E"/>
    <w:rsid w:val="00AB2CCD"/>
    <w:rsid w:val="00AB2CD4"/>
    <w:rsid w:val="00AB2D17"/>
    <w:rsid w:val="00AB2D95"/>
    <w:rsid w:val="00AB2D99"/>
    <w:rsid w:val="00AB2DCE"/>
    <w:rsid w:val="00AB2E49"/>
    <w:rsid w:val="00AB2E8E"/>
    <w:rsid w:val="00AB2F27"/>
    <w:rsid w:val="00AB2FE2"/>
    <w:rsid w:val="00AB313C"/>
    <w:rsid w:val="00AB3167"/>
    <w:rsid w:val="00AB324D"/>
    <w:rsid w:val="00AB329C"/>
    <w:rsid w:val="00AB32A4"/>
    <w:rsid w:val="00AB32AB"/>
    <w:rsid w:val="00AB32C6"/>
    <w:rsid w:val="00AB32CE"/>
    <w:rsid w:val="00AB3320"/>
    <w:rsid w:val="00AB33FF"/>
    <w:rsid w:val="00AB3432"/>
    <w:rsid w:val="00AB34AD"/>
    <w:rsid w:val="00AB34C2"/>
    <w:rsid w:val="00AB34E7"/>
    <w:rsid w:val="00AB3507"/>
    <w:rsid w:val="00AB35B8"/>
    <w:rsid w:val="00AB361F"/>
    <w:rsid w:val="00AB3645"/>
    <w:rsid w:val="00AB3682"/>
    <w:rsid w:val="00AB376D"/>
    <w:rsid w:val="00AB378C"/>
    <w:rsid w:val="00AB37BD"/>
    <w:rsid w:val="00AB37DB"/>
    <w:rsid w:val="00AB396D"/>
    <w:rsid w:val="00AB3989"/>
    <w:rsid w:val="00AB39F9"/>
    <w:rsid w:val="00AB3B5A"/>
    <w:rsid w:val="00AB3C3F"/>
    <w:rsid w:val="00AB3C59"/>
    <w:rsid w:val="00AB3CE3"/>
    <w:rsid w:val="00AB3DFE"/>
    <w:rsid w:val="00AB3E0D"/>
    <w:rsid w:val="00AB3E80"/>
    <w:rsid w:val="00AB3E95"/>
    <w:rsid w:val="00AB3E9C"/>
    <w:rsid w:val="00AB3EA9"/>
    <w:rsid w:val="00AB3F4D"/>
    <w:rsid w:val="00AB3F93"/>
    <w:rsid w:val="00AB4243"/>
    <w:rsid w:val="00AB4245"/>
    <w:rsid w:val="00AB4249"/>
    <w:rsid w:val="00AB42FD"/>
    <w:rsid w:val="00AB4310"/>
    <w:rsid w:val="00AB43F8"/>
    <w:rsid w:val="00AB44A8"/>
    <w:rsid w:val="00AB4574"/>
    <w:rsid w:val="00AB45A3"/>
    <w:rsid w:val="00AB45BB"/>
    <w:rsid w:val="00AB4615"/>
    <w:rsid w:val="00AB46E2"/>
    <w:rsid w:val="00AB46EB"/>
    <w:rsid w:val="00AB4802"/>
    <w:rsid w:val="00AB487B"/>
    <w:rsid w:val="00AB4914"/>
    <w:rsid w:val="00AB4994"/>
    <w:rsid w:val="00AB4A3F"/>
    <w:rsid w:val="00AB4B6C"/>
    <w:rsid w:val="00AB4B98"/>
    <w:rsid w:val="00AB4E20"/>
    <w:rsid w:val="00AB5014"/>
    <w:rsid w:val="00AB50E6"/>
    <w:rsid w:val="00AB510A"/>
    <w:rsid w:val="00AB513C"/>
    <w:rsid w:val="00AB518E"/>
    <w:rsid w:val="00AB5327"/>
    <w:rsid w:val="00AB5349"/>
    <w:rsid w:val="00AB5364"/>
    <w:rsid w:val="00AB5436"/>
    <w:rsid w:val="00AB54CD"/>
    <w:rsid w:val="00AB54D3"/>
    <w:rsid w:val="00AB5513"/>
    <w:rsid w:val="00AB551B"/>
    <w:rsid w:val="00AB5574"/>
    <w:rsid w:val="00AB564E"/>
    <w:rsid w:val="00AB5727"/>
    <w:rsid w:val="00AB59F2"/>
    <w:rsid w:val="00AB5AB6"/>
    <w:rsid w:val="00AB5B04"/>
    <w:rsid w:val="00AB5C2B"/>
    <w:rsid w:val="00AB5C32"/>
    <w:rsid w:val="00AB5D81"/>
    <w:rsid w:val="00AB5DAA"/>
    <w:rsid w:val="00AB5DFF"/>
    <w:rsid w:val="00AB5E59"/>
    <w:rsid w:val="00AB5E7D"/>
    <w:rsid w:val="00AB6045"/>
    <w:rsid w:val="00AB616E"/>
    <w:rsid w:val="00AB6196"/>
    <w:rsid w:val="00AB62D7"/>
    <w:rsid w:val="00AB63A6"/>
    <w:rsid w:val="00AB6421"/>
    <w:rsid w:val="00AB6496"/>
    <w:rsid w:val="00AB6554"/>
    <w:rsid w:val="00AB65FE"/>
    <w:rsid w:val="00AB661A"/>
    <w:rsid w:val="00AB668B"/>
    <w:rsid w:val="00AB6750"/>
    <w:rsid w:val="00AB67F2"/>
    <w:rsid w:val="00AB6880"/>
    <w:rsid w:val="00AB68E8"/>
    <w:rsid w:val="00AB6A0F"/>
    <w:rsid w:val="00AB6A5E"/>
    <w:rsid w:val="00AB6A7B"/>
    <w:rsid w:val="00AB6AC8"/>
    <w:rsid w:val="00AB6B30"/>
    <w:rsid w:val="00AB6BD0"/>
    <w:rsid w:val="00AB6C54"/>
    <w:rsid w:val="00AB6C74"/>
    <w:rsid w:val="00AB6E1C"/>
    <w:rsid w:val="00AB6EC7"/>
    <w:rsid w:val="00AB6EC9"/>
    <w:rsid w:val="00AB6FB2"/>
    <w:rsid w:val="00AB6FD8"/>
    <w:rsid w:val="00AB7142"/>
    <w:rsid w:val="00AB7358"/>
    <w:rsid w:val="00AB7389"/>
    <w:rsid w:val="00AB74C2"/>
    <w:rsid w:val="00AB74F5"/>
    <w:rsid w:val="00AB7548"/>
    <w:rsid w:val="00AB7562"/>
    <w:rsid w:val="00AB75E9"/>
    <w:rsid w:val="00AB76AB"/>
    <w:rsid w:val="00AB7728"/>
    <w:rsid w:val="00AB7861"/>
    <w:rsid w:val="00AB78E4"/>
    <w:rsid w:val="00AB78EB"/>
    <w:rsid w:val="00AB7920"/>
    <w:rsid w:val="00AB79E9"/>
    <w:rsid w:val="00AB7A4D"/>
    <w:rsid w:val="00AB7A52"/>
    <w:rsid w:val="00AB7BB1"/>
    <w:rsid w:val="00AB7C24"/>
    <w:rsid w:val="00AB7C83"/>
    <w:rsid w:val="00AB7DEB"/>
    <w:rsid w:val="00AB7E1C"/>
    <w:rsid w:val="00AB7ED0"/>
    <w:rsid w:val="00AB7F2D"/>
    <w:rsid w:val="00AB7F90"/>
    <w:rsid w:val="00AB7FD4"/>
    <w:rsid w:val="00AC0099"/>
    <w:rsid w:val="00AC009E"/>
    <w:rsid w:val="00AC00C4"/>
    <w:rsid w:val="00AC0177"/>
    <w:rsid w:val="00AC017F"/>
    <w:rsid w:val="00AC0188"/>
    <w:rsid w:val="00AC0237"/>
    <w:rsid w:val="00AC04AF"/>
    <w:rsid w:val="00AC04C7"/>
    <w:rsid w:val="00AC04C9"/>
    <w:rsid w:val="00AC0514"/>
    <w:rsid w:val="00AC0560"/>
    <w:rsid w:val="00AC05CF"/>
    <w:rsid w:val="00AC0772"/>
    <w:rsid w:val="00AC0884"/>
    <w:rsid w:val="00AC08CD"/>
    <w:rsid w:val="00AC0B1A"/>
    <w:rsid w:val="00AC0B1D"/>
    <w:rsid w:val="00AC0D62"/>
    <w:rsid w:val="00AC0D74"/>
    <w:rsid w:val="00AC0E92"/>
    <w:rsid w:val="00AC0F01"/>
    <w:rsid w:val="00AC0F54"/>
    <w:rsid w:val="00AC0F60"/>
    <w:rsid w:val="00AC1037"/>
    <w:rsid w:val="00AC106A"/>
    <w:rsid w:val="00AC1143"/>
    <w:rsid w:val="00AC1313"/>
    <w:rsid w:val="00AC13EA"/>
    <w:rsid w:val="00AC146A"/>
    <w:rsid w:val="00AC14CC"/>
    <w:rsid w:val="00AC1506"/>
    <w:rsid w:val="00AC151C"/>
    <w:rsid w:val="00AC1722"/>
    <w:rsid w:val="00AC172E"/>
    <w:rsid w:val="00AC17BC"/>
    <w:rsid w:val="00AC189E"/>
    <w:rsid w:val="00AC18AC"/>
    <w:rsid w:val="00AC1933"/>
    <w:rsid w:val="00AC19ED"/>
    <w:rsid w:val="00AC1A29"/>
    <w:rsid w:val="00AC1A39"/>
    <w:rsid w:val="00AC1A6C"/>
    <w:rsid w:val="00AC1A8C"/>
    <w:rsid w:val="00AC1B28"/>
    <w:rsid w:val="00AC1BB4"/>
    <w:rsid w:val="00AC1BC0"/>
    <w:rsid w:val="00AC1C97"/>
    <w:rsid w:val="00AC1CDC"/>
    <w:rsid w:val="00AC1DB1"/>
    <w:rsid w:val="00AC1DC2"/>
    <w:rsid w:val="00AC1DF7"/>
    <w:rsid w:val="00AC1FFC"/>
    <w:rsid w:val="00AC207C"/>
    <w:rsid w:val="00AC20A2"/>
    <w:rsid w:val="00AC20D7"/>
    <w:rsid w:val="00AC215C"/>
    <w:rsid w:val="00AC2273"/>
    <w:rsid w:val="00AC2276"/>
    <w:rsid w:val="00AC237E"/>
    <w:rsid w:val="00AC2432"/>
    <w:rsid w:val="00AC2441"/>
    <w:rsid w:val="00AC249E"/>
    <w:rsid w:val="00AC24A3"/>
    <w:rsid w:val="00AC251B"/>
    <w:rsid w:val="00AC2546"/>
    <w:rsid w:val="00AC2592"/>
    <w:rsid w:val="00AC2754"/>
    <w:rsid w:val="00AC277D"/>
    <w:rsid w:val="00AC27DA"/>
    <w:rsid w:val="00AC2814"/>
    <w:rsid w:val="00AC2834"/>
    <w:rsid w:val="00AC289F"/>
    <w:rsid w:val="00AC28A4"/>
    <w:rsid w:val="00AC28D2"/>
    <w:rsid w:val="00AC2965"/>
    <w:rsid w:val="00AC29B2"/>
    <w:rsid w:val="00AC2A73"/>
    <w:rsid w:val="00AC2B6E"/>
    <w:rsid w:val="00AC2B7B"/>
    <w:rsid w:val="00AC2B8D"/>
    <w:rsid w:val="00AC2D2B"/>
    <w:rsid w:val="00AC2DBA"/>
    <w:rsid w:val="00AC2E1F"/>
    <w:rsid w:val="00AC2E97"/>
    <w:rsid w:val="00AC2EEE"/>
    <w:rsid w:val="00AC2F0E"/>
    <w:rsid w:val="00AC2F87"/>
    <w:rsid w:val="00AC305C"/>
    <w:rsid w:val="00AC310C"/>
    <w:rsid w:val="00AC31CD"/>
    <w:rsid w:val="00AC3201"/>
    <w:rsid w:val="00AC3264"/>
    <w:rsid w:val="00AC335E"/>
    <w:rsid w:val="00AC349F"/>
    <w:rsid w:val="00AC3563"/>
    <w:rsid w:val="00AC3580"/>
    <w:rsid w:val="00AC359B"/>
    <w:rsid w:val="00AC3660"/>
    <w:rsid w:val="00AC36D6"/>
    <w:rsid w:val="00AC36E7"/>
    <w:rsid w:val="00AC3857"/>
    <w:rsid w:val="00AC394C"/>
    <w:rsid w:val="00AC3959"/>
    <w:rsid w:val="00AC3A6A"/>
    <w:rsid w:val="00AC3ABF"/>
    <w:rsid w:val="00AC3AFF"/>
    <w:rsid w:val="00AC3B31"/>
    <w:rsid w:val="00AC3BD5"/>
    <w:rsid w:val="00AC3CEB"/>
    <w:rsid w:val="00AC3D29"/>
    <w:rsid w:val="00AC3D63"/>
    <w:rsid w:val="00AC3DBB"/>
    <w:rsid w:val="00AC3EFB"/>
    <w:rsid w:val="00AC3F19"/>
    <w:rsid w:val="00AC3F43"/>
    <w:rsid w:val="00AC3F7B"/>
    <w:rsid w:val="00AC4112"/>
    <w:rsid w:val="00AC4128"/>
    <w:rsid w:val="00AC424D"/>
    <w:rsid w:val="00AC440A"/>
    <w:rsid w:val="00AC446F"/>
    <w:rsid w:val="00AC44EB"/>
    <w:rsid w:val="00AC45AA"/>
    <w:rsid w:val="00AC4686"/>
    <w:rsid w:val="00AC475F"/>
    <w:rsid w:val="00AC482F"/>
    <w:rsid w:val="00AC4885"/>
    <w:rsid w:val="00AC4988"/>
    <w:rsid w:val="00AC498E"/>
    <w:rsid w:val="00AC49AE"/>
    <w:rsid w:val="00AC49FD"/>
    <w:rsid w:val="00AC4BAB"/>
    <w:rsid w:val="00AC4BF2"/>
    <w:rsid w:val="00AC4D1B"/>
    <w:rsid w:val="00AC4D7B"/>
    <w:rsid w:val="00AC4DB6"/>
    <w:rsid w:val="00AC4F7C"/>
    <w:rsid w:val="00AC4FB0"/>
    <w:rsid w:val="00AC5129"/>
    <w:rsid w:val="00AC51BC"/>
    <w:rsid w:val="00AC51BD"/>
    <w:rsid w:val="00AC52EC"/>
    <w:rsid w:val="00AC5311"/>
    <w:rsid w:val="00AC5459"/>
    <w:rsid w:val="00AC54B7"/>
    <w:rsid w:val="00AC54CF"/>
    <w:rsid w:val="00AC5574"/>
    <w:rsid w:val="00AC55BF"/>
    <w:rsid w:val="00AC5654"/>
    <w:rsid w:val="00AC5682"/>
    <w:rsid w:val="00AC56F1"/>
    <w:rsid w:val="00AC5764"/>
    <w:rsid w:val="00AC57B9"/>
    <w:rsid w:val="00AC587D"/>
    <w:rsid w:val="00AC58A6"/>
    <w:rsid w:val="00AC599C"/>
    <w:rsid w:val="00AC5BFE"/>
    <w:rsid w:val="00AC5D28"/>
    <w:rsid w:val="00AC5E2D"/>
    <w:rsid w:val="00AC5EB4"/>
    <w:rsid w:val="00AC5F37"/>
    <w:rsid w:val="00AC5FE3"/>
    <w:rsid w:val="00AC6003"/>
    <w:rsid w:val="00AC60CF"/>
    <w:rsid w:val="00AC6106"/>
    <w:rsid w:val="00AC6410"/>
    <w:rsid w:val="00AC6425"/>
    <w:rsid w:val="00AC650A"/>
    <w:rsid w:val="00AC6569"/>
    <w:rsid w:val="00AC67EC"/>
    <w:rsid w:val="00AC6835"/>
    <w:rsid w:val="00AC6870"/>
    <w:rsid w:val="00AC68C9"/>
    <w:rsid w:val="00AC692D"/>
    <w:rsid w:val="00AC69C2"/>
    <w:rsid w:val="00AC69E1"/>
    <w:rsid w:val="00AC69E5"/>
    <w:rsid w:val="00AC6A2D"/>
    <w:rsid w:val="00AC6A6D"/>
    <w:rsid w:val="00AC6C24"/>
    <w:rsid w:val="00AC6CC7"/>
    <w:rsid w:val="00AC6E40"/>
    <w:rsid w:val="00AC6F97"/>
    <w:rsid w:val="00AC6FE4"/>
    <w:rsid w:val="00AC7072"/>
    <w:rsid w:val="00AC711F"/>
    <w:rsid w:val="00AC717C"/>
    <w:rsid w:val="00AC71B0"/>
    <w:rsid w:val="00AC7223"/>
    <w:rsid w:val="00AC723C"/>
    <w:rsid w:val="00AC72C1"/>
    <w:rsid w:val="00AC7306"/>
    <w:rsid w:val="00AC73B5"/>
    <w:rsid w:val="00AC7482"/>
    <w:rsid w:val="00AC7525"/>
    <w:rsid w:val="00AC752B"/>
    <w:rsid w:val="00AC754C"/>
    <w:rsid w:val="00AC7553"/>
    <w:rsid w:val="00AC756C"/>
    <w:rsid w:val="00AC75BA"/>
    <w:rsid w:val="00AC7669"/>
    <w:rsid w:val="00AC76A3"/>
    <w:rsid w:val="00AC76ED"/>
    <w:rsid w:val="00AC7822"/>
    <w:rsid w:val="00AC78FD"/>
    <w:rsid w:val="00AC7A0A"/>
    <w:rsid w:val="00AC7A50"/>
    <w:rsid w:val="00AC7A67"/>
    <w:rsid w:val="00AC7AF5"/>
    <w:rsid w:val="00AC7BAF"/>
    <w:rsid w:val="00AC7BE1"/>
    <w:rsid w:val="00AC7CB0"/>
    <w:rsid w:val="00AC7D7C"/>
    <w:rsid w:val="00AC7E27"/>
    <w:rsid w:val="00AC7E4F"/>
    <w:rsid w:val="00AC7F12"/>
    <w:rsid w:val="00AC7FBB"/>
    <w:rsid w:val="00AD001C"/>
    <w:rsid w:val="00AD0025"/>
    <w:rsid w:val="00AD01B1"/>
    <w:rsid w:val="00AD0216"/>
    <w:rsid w:val="00AD0283"/>
    <w:rsid w:val="00AD02CC"/>
    <w:rsid w:val="00AD0316"/>
    <w:rsid w:val="00AD0329"/>
    <w:rsid w:val="00AD032A"/>
    <w:rsid w:val="00AD0347"/>
    <w:rsid w:val="00AD0378"/>
    <w:rsid w:val="00AD03F8"/>
    <w:rsid w:val="00AD0445"/>
    <w:rsid w:val="00AD0545"/>
    <w:rsid w:val="00AD0589"/>
    <w:rsid w:val="00AD06F0"/>
    <w:rsid w:val="00AD0756"/>
    <w:rsid w:val="00AD0778"/>
    <w:rsid w:val="00AD07E2"/>
    <w:rsid w:val="00AD07EB"/>
    <w:rsid w:val="00AD08E3"/>
    <w:rsid w:val="00AD09B5"/>
    <w:rsid w:val="00AD09C9"/>
    <w:rsid w:val="00AD0AF7"/>
    <w:rsid w:val="00AD0BCD"/>
    <w:rsid w:val="00AD0C1B"/>
    <w:rsid w:val="00AD0C8D"/>
    <w:rsid w:val="00AD0CCC"/>
    <w:rsid w:val="00AD0CE8"/>
    <w:rsid w:val="00AD0E37"/>
    <w:rsid w:val="00AD1001"/>
    <w:rsid w:val="00AD10B4"/>
    <w:rsid w:val="00AD10E3"/>
    <w:rsid w:val="00AD10F2"/>
    <w:rsid w:val="00AD110A"/>
    <w:rsid w:val="00AD1124"/>
    <w:rsid w:val="00AD1131"/>
    <w:rsid w:val="00AD114A"/>
    <w:rsid w:val="00AD1153"/>
    <w:rsid w:val="00AD115C"/>
    <w:rsid w:val="00AD120E"/>
    <w:rsid w:val="00AD1245"/>
    <w:rsid w:val="00AD12E5"/>
    <w:rsid w:val="00AD13BF"/>
    <w:rsid w:val="00AD13FC"/>
    <w:rsid w:val="00AD1464"/>
    <w:rsid w:val="00AD1481"/>
    <w:rsid w:val="00AD1616"/>
    <w:rsid w:val="00AD16C4"/>
    <w:rsid w:val="00AD1727"/>
    <w:rsid w:val="00AD172D"/>
    <w:rsid w:val="00AD17BA"/>
    <w:rsid w:val="00AD1928"/>
    <w:rsid w:val="00AD1963"/>
    <w:rsid w:val="00AD19EB"/>
    <w:rsid w:val="00AD1A0C"/>
    <w:rsid w:val="00AD1A91"/>
    <w:rsid w:val="00AD1AA2"/>
    <w:rsid w:val="00AD1B01"/>
    <w:rsid w:val="00AD1B89"/>
    <w:rsid w:val="00AD1BAC"/>
    <w:rsid w:val="00AD1BE6"/>
    <w:rsid w:val="00AD1C31"/>
    <w:rsid w:val="00AD1C54"/>
    <w:rsid w:val="00AD1D08"/>
    <w:rsid w:val="00AD1D56"/>
    <w:rsid w:val="00AD1D80"/>
    <w:rsid w:val="00AD1E67"/>
    <w:rsid w:val="00AD1EAB"/>
    <w:rsid w:val="00AD1EF2"/>
    <w:rsid w:val="00AD1F30"/>
    <w:rsid w:val="00AD1F5A"/>
    <w:rsid w:val="00AD1F60"/>
    <w:rsid w:val="00AD1F96"/>
    <w:rsid w:val="00AD1FD4"/>
    <w:rsid w:val="00AD2049"/>
    <w:rsid w:val="00AD2082"/>
    <w:rsid w:val="00AD20E9"/>
    <w:rsid w:val="00AD2140"/>
    <w:rsid w:val="00AD21B7"/>
    <w:rsid w:val="00AD224D"/>
    <w:rsid w:val="00AD22F0"/>
    <w:rsid w:val="00AD231A"/>
    <w:rsid w:val="00AD2501"/>
    <w:rsid w:val="00AD259B"/>
    <w:rsid w:val="00AD25AB"/>
    <w:rsid w:val="00AD25C5"/>
    <w:rsid w:val="00AD265A"/>
    <w:rsid w:val="00AD275F"/>
    <w:rsid w:val="00AD27DE"/>
    <w:rsid w:val="00AD28F8"/>
    <w:rsid w:val="00AD2975"/>
    <w:rsid w:val="00AD2979"/>
    <w:rsid w:val="00AD297E"/>
    <w:rsid w:val="00AD29A3"/>
    <w:rsid w:val="00AD29AB"/>
    <w:rsid w:val="00AD29B4"/>
    <w:rsid w:val="00AD2A1A"/>
    <w:rsid w:val="00AD2BAB"/>
    <w:rsid w:val="00AD2C53"/>
    <w:rsid w:val="00AD2CEF"/>
    <w:rsid w:val="00AD2DA4"/>
    <w:rsid w:val="00AD2DEF"/>
    <w:rsid w:val="00AD2E4A"/>
    <w:rsid w:val="00AD2F6B"/>
    <w:rsid w:val="00AD2FD4"/>
    <w:rsid w:val="00AD3073"/>
    <w:rsid w:val="00AD32B1"/>
    <w:rsid w:val="00AD339E"/>
    <w:rsid w:val="00AD33C1"/>
    <w:rsid w:val="00AD341D"/>
    <w:rsid w:val="00AD345E"/>
    <w:rsid w:val="00AD346C"/>
    <w:rsid w:val="00AD34A6"/>
    <w:rsid w:val="00AD351C"/>
    <w:rsid w:val="00AD3537"/>
    <w:rsid w:val="00AD35C0"/>
    <w:rsid w:val="00AD36A5"/>
    <w:rsid w:val="00AD37DA"/>
    <w:rsid w:val="00AD386B"/>
    <w:rsid w:val="00AD38A7"/>
    <w:rsid w:val="00AD3A0A"/>
    <w:rsid w:val="00AD3C39"/>
    <w:rsid w:val="00AD3D74"/>
    <w:rsid w:val="00AD3E7E"/>
    <w:rsid w:val="00AD408C"/>
    <w:rsid w:val="00AD40B6"/>
    <w:rsid w:val="00AD40C1"/>
    <w:rsid w:val="00AD41CC"/>
    <w:rsid w:val="00AD4245"/>
    <w:rsid w:val="00AD42CF"/>
    <w:rsid w:val="00AD4332"/>
    <w:rsid w:val="00AD43A5"/>
    <w:rsid w:val="00AD43E1"/>
    <w:rsid w:val="00AD4430"/>
    <w:rsid w:val="00AD44B0"/>
    <w:rsid w:val="00AD4627"/>
    <w:rsid w:val="00AD46C3"/>
    <w:rsid w:val="00AD47A6"/>
    <w:rsid w:val="00AD4861"/>
    <w:rsid w:val="00AD49BF"/>
    <w:rsid w:val="00AD49E5"/>
    <w:rsid w:val="00AD4A69"/>
    <w:rsid w:val="00AD4AAE"/>
    <w:rsid w:val="00AD4ABE"/>
    <w:rsid w:val="00AD4B75"/>
    <w:rsid w:val="00AD4B80"/>
    <w:rsid w:val="00AD4BF7"/>
    <w:rsid w:val="00AD4C94"/>
    <w:rsid w:val="00AD4CA3"/>
    <w:rsid w:val="00AD4D24"/>
    <w:rsid w:val="00AD4DC7"/>
    <w:rsid w:val="00AD4EAB"/>
    <w:rsid w:val="00AD4EC6"/>
    <w:rsid w:val="00AD4F16"/>
    <w:rsid w:val="00AD5018"/>
    <w:rsid w:val="00AD50AA"/>
    <w:rsid w:val="00AD50B4"/>
    <w:rsid w:val="00AD50BE"/>
    <w:rsid w:val="00AD518D"/>
    <w:rsid w:val="00AD53B3"/>
    <w:rsid w:val="00AD540F"/>
    <w:rsid w:val="00AD542F"/>
    <w:rsid w:val="00AD544C"/>
    <w:rsid w:val="00AD556A"/>
    <w:rsid w:val="00AD5592"/>
    <w:rsid w:val="00AD5600"/>
    <w:rsid w:val="00AD5781"/>
    <w:rsid w:val="00AD5787"/>
    <w:rsid w:val="00AD57AB"/>
    <w:rsid w:val="00AD57BB"/>
    <w:rsid w:val="00AD58FD"/>
    <w:rsid w:val="00AD5940"/>
    <w:rsid w:val="00AD5B83"/>
    <w:rsid w:val="00AD5C12"/>
    <w:rsid w:val="00AD5CA0"/>
    <w:rsid w:val="00AD5CB3"/>
    <w:rsid w:val="00AD5D98"/>
    <w:rsid w:val="00AD5DC8"/>
    <w:rsid w:val="00AD5E23"/>
    <w:rsid w:val="00AD5E37"/>
    <w:rsid w:val="00AD5FEB"/>
    <w:rsid w:val="00AD6012"/>
    <w:rsid w:val="00AD62AC"/>
    <w:rsid w:val="00AD62D4"/>
    <w:rsid w:val="00AD6329"/>
    <w:rsid w:val="00AD632F"/>
    <w:rsid w:val="00AD64EC"/>
    <w:rsid w:val="00AD65AB"/>
    <w:rsid w:val="00AD65D1"/>
    <w:rsid w:val="00AD663F"/>
    <w:rsid w:val="00AD6704"/>
    <w:rsid w:val="00AD6740"/>
    <w:rsid w:val="00AD67BA"/>
    <w:rsid w:val="00AD6912"/>
    <w:rsid w:val="00AD69C5"/>
    <w:rsid w:val="00AD6A06"/>
    <w:rsid w:val="00AD6ACC"/>
    <w:rsid w:val="00AD6D20"/>
    <w:rsid w:val="00AD6D3B"/>
    <w:rsid w:val="00AD6D57"/>
    <w:rsid w:val="00AD6EE7"/>
    <w:rsid w:val="00AD6F8F"/>
    <w:rsid w:val="00AD6FC4"/>
    <w:rsid w:val="00AD7020"/>
    <w:rsid w:val="00AD7044"/>
    <w:rsid w:val="00AD7127"/>
    <w:rsid w:val="00AD71AC"/>
    <w:rsid w:val="00AD71ED"/>
    <w:rsid w:val="00AD723D"/>
    <w:rsid w:val="00AD724D"/>
    <w:rsid w:val="00AD72F2"/>
    <w:rsid w:val="00AD73A2"/>
    <w:rsid w:val="00AD73F1"/>
    <w:rsid w:val="00AD7438"/>
    <w:rsid w:val="00AD7470"/>
    <w:rsid w:val="00AD74D7"/>
    <w:rsid w:val="00AD7520"/>
    <w:rsid w:val="00AD757A"/>
    <w:rsid w:val="00AD75F8"/>
    <w:rsid w:val="00AD763B"/>
    <w:rsid w:val="00AD76A6"/>
    <w:rsid w:val="00AD781A"/>
    <w:rsid w:val="00AD7905"/>
    <w:rsid w:val="00AD7A30"/>
    <w:rsid w:val="00AD7A66"/>
    <w:rsid w:val="00AD7BF8"/>
    <w:rsid w:val="00AD7CE0"/>
    <w:rsid w:val="00AD7CE9"/>
    <w:rsid w:val="00AD7D08"/>
    <w:rsid w:val="00AD7DEC"/>
    <w:rsid w:val="00AD7E06"/>
    <w:rsid w:val="00AD7ED6"/>
    <w:rsid w:val="00AD7F60"/>
    <w:rsid w:val="00AD7FF5"/>
    <w:rsid w:val="00AE0076"/>
    <w:rsid w:val="00AE0096"/>
    <w:rsid w:val="00AE00F0"/>
    <w:rsid w:val="00AE013B"/>
    <w:rsid w:val="00AE0187"/>
    <w:rsid w:val="00AE018C"/>
    <w:rsid w:val="00AE0226"/>
    <w:rsid w:val="00AE050B"/>
    <w:rsid w:val="00AE0526"/>
    <w:rsid w:val="00AE0672"/>
    <w:rsid w:val="00AE0858"/>
    <w:rsid w:val="00AE0981"/>
    <w:rsid w:val="00AE0A54"/>
    <w:rsid w:val="00AE0AFF"/>
    <w:rsid w:val="00AE0B10"/>
    <w:rsid w:val="00AE0BCD"/>
    <w:rsid w:val="00AE0C20"/>
    <w:rsid w:val="00AE0C89"/>
    <w:rsid w:val="00AE0C9F"/>
    <w:rsid w:val="00AE0CCE"/>
    <w:rsid w:val="00AE0CE6"/>
    <w:rsid w:val="00AE0DD0"/>
    <w:rsid w:val="00AE0F26"/>
    <w:rsid w:val="00AE0F5E"/>
    <w:rsid w:val="00AE0F9C"/>
    <w:rsid w:val="00AE1029"/>
    <w:rsid w:val="00AE1131"/>
    <w:rsid w:val="00AE1244"/>
    <w:rsid w:val="00AE126C"/>
    <w:rsid w:val="00AE127A"/>
    <w:rsid w:val="00AE12E5"/>
    <w:rsid w:val="00AE1358"/>
    <w:rsid w:val="00AE1380"/>
    <w:rsid w:val="00AE14B2"/>
    <w:rsid w:val="00AE14DF"/>
    <w:rsid w:val="00AE1500"/>
    <w:rsid w:val="00AE159A"/>
    <w:rsid w:val="00AE15FD"/>
    <w:rsid w:val="00AE16A3"/>
    <w:rsid w:val="00AE16A8"/>
    <w:rsid w:val="00AE1763"/>
    <w:rsid w:val="00AE176B"/>
    <w:rsid w:val="00AE179B"/>
    <w:rsid w:val="00AE1869"/>
    <w:rsid w:val="00AE1946"/>
    <w:rsid w:val="00AE19DD"/>
    <w:rsid w:val="00AE1A9C"/>
    <w:rsid w:val="00AE1B00"/>
    <w:rsid w:val="00AE1B39"/>
    <w:rsid w:val="00AE1B9B"/>
    <w:rsid w:val="00AE1C0B"/>
    <w:rsid w:val="00AE1C2D"/>
    <w:rsid w:val="00AE1C54"/>
    <w:rsid w:val="00AE1D1A"/>
    <w:rsid w:val="00AE1D7F"/>
    <w:rsid w:val="00AE1E50"/>
    <w:rsid w:val="00AE1E95"/>
    <w:rsid w:val="00AE1F1E"/>
    <w:rsid w:val="00AE1FEE"/>
    <w:rsid w:val="00AE2039"/>
    <w:rsid w:val="00AE20AA"/>
    <w:rsid w:val="00AE20DC"/>
    <w:rsid w:val="00AE2283"/>
    <w:rsid w:val="00AE234E"/>
    <w:rsid w:val="00AE2416"/>
    <w:rsid w:val="00AE244A"/>
    <w:rsid w:val="00AE2519"/>
    <w:rsid w:val="00AE25B0"/>
    <w:rsid w:val="00AE25C0"/>
    <w:rsid w:val="00AE25E1"/>
    <w:rsid w:val="00AE2652"/>
    <w:rsid w:val="00AE2670"/>
    <w:rsid w:val="00AE26AA"/>
    <w:rsid w:val="00AE274F"/>
    <w:rsid w:val="00AE2782"/>
    <w:rsid w:val="00AE27CE"/>
    <w:rsid w:val="00AE2849"/>
    <w:rsid w:val="00AE291A"/>
    <w:rsid w:val="00AE296D"/>
    <w:rsid w:val="00AE2A26"/>
    <w:rsid w:val="00AE2A2D"/>
    <w:rsid w:val="00AE2B20"/>
    <w:rsid w:val="00AE2BD2"/>
    <w:rsid w:val="00AE2CA3"/>
    <w:rsid w:val="00AE2D22"/>
    <w:rsid w:val="00AE2D94"/>
    <w:rsid w:val="00AE2DFC"/>
    <w:rsid w:val="00AE2E39"/>
    <w:rsid w:val="00AE2EDA"/>
    <w:rsid w:val="00AE2EEA"/>
    <w:rsid w:val="00AE2F78"/>
    <w:rsid w:val="00AE30F5"/>
    <w:rsid w:val="00AE3140"/>
    <w:rsid w:val="00AE31F2"/>
    <w:rsid w:val="00AE3210"/>
    <w:rsid w:val="00AE324B"/>
    <w:rsid w:val="00AE32FD"/>
    <w:rsid w:val="00AE3325"/>
    <w:rsid w:val="00AE3409"/>
    <w:rsid w:val="00AE3460"/>
    <w:rsid w:val="00AE348B"/>
    <w:rsid w:val="00AE376D"/>
    <w:rsid w:val="00AE37D1"/>
    <w:rsid w:val="00AE3839"/>
    <w:rsid w:val="00AE3845"/>
    <w:rsid w:val="00AE3984"/>
    <w:rsid w:val="00AE3A68"/>
    <w:rsid w:val="00AE3A9E"/>
    <w:rsid w:val="00AE3D18"/>
    <w:rsid w:val="00AE3D3B"/>
    <w:rsid w:val="00AE3D3E"/>
    <w:rsid w:val="00AE3DF6"/>
    <w:rsid w:val="00AE3FAA"/>
    <w:rsid w:val="00AE3FDB"/>
    <w:rsid w:val="00AE401B"/>
    <w:rsid w:val="00AE41E8"/>
    <w:rsid w:val="00AE4250"/>
    <w:rsid w:val="00AE425D"/>
    <w:rsid w:val="00AE4303"/>
    <w:rsid w:val="00AE4316"/>
    <w:rsid w:val="00AE43F0"/>
    <w:rsid w:val="00AE4468"/>
    <w:rsid w:val="00AE44CB"/>
    <w:rsid w:val="00AE44CC"/>
    <w:rsid w:val="00AE450B"/>
    <w:rsid w:val="00AE45F3"/>
    <w:rsid w:val="00AE461C"/>
    <w:rsid w:val="00AE473E"/>
    <w:rsid w:val="00AE475E"/>
    <w:rsid w:val="00AE47DF"/>
    <w:rsid w:val="00AE4827"/>
    <w:rsid w:val="00AE4893"/>
    <w:rsid w:val="00AE4948"/>
    <w:rsid w:val="00AE49EF"/>
    <w:rsid w:val="00AE4AB2"/>
    <w:rsid w:val="00AE4BBA"/>
    <w:rsid w:val="00AE4BEF"/>
    <w:rsid w:val="00AE4BF4"/>
    <w:rsid w:val="00AE4C06"/>
    <w:rsid w:val="00AE4CD3"/>
    <w:rsid w:val="00AE4D00"/>
    <w:rsid w:val="00AE4D1C"/>
    <w:rsid w:val="00AE4DDB"/>
    <w:rsid w:val="00AE4EC0"/>
    <w:rsid w:val="00AE4F7B"/>
    <w:rsid w:val="00AE5075"/>
    <w:rsid w:val="00AE50DA"/>
    <w:rsid w:val="00AE5104"/>
    <w:rsid w:val="00AE5205"/>
    <w:rsid w:val="00AE5245"/>
    <w:rsid w:val="00AE5272"/>
    <w:rsid w:val="00AE528A"/>
    <w:rsid w:val="00AE52A3"/>
    <w:rsid w:val="00AE52C6"/>
    <w:rsid w:val="00AE52F0"/>
    <w:rsid w:val="00AE5373"/>
    <w:rsid w:val="00AE538B"/>
    <w:rsid w:val="00AE53BE"/>
    <w:rsid w:val="00AE53F2"/>
    <w:rsid w:val="00AE54CE"/>
    <w:rsid w:val="00AE553B"/>
    <w:rsid w:val="00AE55AF"/>
    <w:rsid w:val="00AE55BC"/>
    <w:rsid w:val="00AE5713"/>
    <w:rsid w:val="00AE576E"/>
    <w:rsid w:val="00AE581C"/>
    <w:rsid w:val="00AE5860"/>
    <w:rsid w:val="00AE5A15"/>
    <w:rsid w:val="00AE5A28"/>
    <w:rsid w:val="00AE5A67"/>
    <w:rsid w:val="00AE5A93"/>
    <w:rsid w:val="00AE5BE3"/>
    <w:rsid w:val="00AE5BF2"/>
    <w:rsid w:val="00AE5C27"/>
    <w:rsid w:val="00AE5C7E"/>
    <w:rsid w:val="00AE5CA1"/>
    <w:rsid w:val="00AE5D49"/>
    <w:rsid w:val="00AE5D88"/>
    <w:rsid w:val="00AE5D8B"/>
    <w:rsid w:val="00AE5E15"/>
    <w:rsid w:val="00AE5E72"/>
    <w:rsid w:val="00AE5E7E"/>
    <w:rsid w:val="00AE5EDC"/>
    <w:rsid w:val="00AE5FE8"/>
    <w:rsid w:val="00AE617F"/>
    <w:rsid w:val="00AE6346"/>
    <w:rsid w:val="00AE63BA"/>
    <w:rsid w:val="00AE63F5"/>
    <w:rsid w:val="00AE6419"/>
    <w:rsid w:val="00AE64D6"/>
    <w:rsid w:val="00AE6615"/>
    <w:rsid w:val="00AE6665"/>
    <w:rsid w:val="00AE6711"/>
    <w:rsid w:val="00AE6754"/>
    <w:rsid w:val="00AE67B2"/>
    <w:rsid w:val="00AE67D2"/>
    <w:rsid w:val="00AE6801"/>
    <w:rsid w:val="00AE6978"/>
    <w:rsid w:val="00AE69BB"/>
    <w:rsid w:val="00AE69F1"/>
    <w:rsid w:val="00AE6A3C"/>
    <w:rsid w:val="00AE6A93"/>
    <w:rsid w:val="00AE6B61"/>
    <w:rsid w:val="00AE6B85"/>
    <w:rsid w:val="00AE6C22"/>
    <w:rsid w:val="00AE6C40"/>
    <w:rsid w:val="00AE6C54"/>
    <w:rsid w:val="00AE6C60"/>
    <w:rsid w:val="00AE6C94"/>
    <w:rsid w:val="00AE6D1F"/>
    <w:rsid w:val="00AE6E03"/>
    <w:rsid w:val="00AE6E2F"/>
    <w:rsid w:val="00AE6E4C"/>
    <w:rsid w:val="00AE6EE8"/>
    <w:rsid w:val="00AE6F31"/>
    <w:rsid w:val="00AE6FCF"/>
    <w:rsid w:val="00AE7127"/>
    <w:rsid w:val="00AE7202"/>
    <w:rsid w:val="00AE720A"/>
    <w:rsid w:val="00AE7287"/>
    <w:rsid w:val="00AE7293"/>
    <w:rsid w:val="00AE7360"/>
    <w:rsid w:val="00AE744F"/>
    <w:rsid w:val="00AE7472"/>
    <w:rsid w:val="00AE751A"/>
    <w:rsid w:val="00AE756E"/>
    <w:rsid w:val="00AE76F0"/>
    <w:rsid w:val="00AE7743"/>
    <w:rsid w:val="00AE77A8"/>
    <w:rsid w:val="00AE77E8"/>
    <w:rsid w:val="00AE7826"/>
    <w:rsid w:val="00AE78DA"/>
    <w:rsid w:val="00AE7904"/>
    <w:rsid w:val="00AE7A88"/>
    <w:rsid w:val="00AE7B42"/>
    <w:rsid w:val="00AE7B73"/>
    <w:rsid w:val="00AE7B8B"/>
    <w:rsid w:val="00AE7C34"/>
    <w:rsid w:val="00AE7C43"/>
    <w:rsid w:val="00AE7C4B"/>
    <w:rsid w:val="00AE7D03"/>
    <w:rsid w:val="00AE7D1E"/>
    <w:rsid w:val="00AE7DE1"/>
    <w:rsid w:val="00AE7DFE"/>
    <w:rsid w:val="00AE7E02"/>
    <w:rsid w:val="00AE7E28"/>
    <w:rsid w:val="00AE7EA0"/>
    <w:rsid w:val="00AE7FBE"/>
    <w:rsid w:val="00AF0096"/>
    <w:rsid w:val="00AF0110"/>
    <w:rsid w:val="00AF012E"/>
    <w:rsid w:val="00AF0427"/>
    <w:rsid w:val="00AF0449"/>
    <w:rsid w:val="00AF048A"/>
    <w:rsid w:val="00AF04CD"/>
    <w:rsid w:val="00AF0506"/>
    <w:rsid w:val="00AF058A"/>
    <w:rsid w:val="00AF06AD"/>
    <w:rsid w:val="00AF06D0"/>
    <w:rsid w:val="00AF074F"/>
    <w:rsid w:val="00AF07B8"/>
    <w:rsid w:val="00AF07EA"/>
    <w:rsid w:val="00AF0813"/>
    <w:rsid w:val="00AF0834"/>
    <w:rsid w:val="00AF0887"/>
    <w:rsid w:val="00AF0987"/>
    <w:rsid w:val="00AF0A3B"/>
    <w:rsid w:val="00AF0AA5"/>
    <w:rsid w:val="00AF0B49"/>
    <w:rsid w:val="00AF0B4E"/>
    <w:rsid w:val="00AF0C1E"/>
    <w:rsid w:val="00AF0C6E"/>
    <w:rsid w:val="00AF0C72"/>
    <w:rsid w:val="00AF0D1E"/>
    <w:rsid w:val="00AF0DA0"/>
    <w:rsid w:val="00AF0DCA"/>
    <w:rsid w:val="00AF0ED8"/>
    <w:rsid w:val="00AF0F70"/>
    <w:rsid w:val="00AF1115"/>
    <w:rsid w:val="00AF11A8"/>
    <w:rsid w:val="00AF121F"/>
    <w:rsid w:val="00AF125D"/>
    <w:rsid w:val="00AF1439"/>
    <w:rsid w:val="00AF144F"/>
    <w:rsid w:val="00AF1450"/>
    <w:rsid w:val="00AF145F"/>
    <w:rsid w:val="00AF1460"/>
    <w:rsid w:val="00AF1502"/>
    <w:rsid w:val="00AF154A"/>
    <w:rsid w:val="00AF1664"/>
    <w:rsid w:val="00AF16F8"/>
    <w:rsid w:val="00AF170B"/>
    <w:rsid w:val="00AF1A02"/>
    <w:rsid w:val="00AF1B36"/>
    <w:rsid w:val="00AF1B70"/>
    <w:rsid w:val="00AF1CAC"/>
    <w:rsid w:val="00AF1E07"/>
    <w:rsid w:val="00AF1F5C"/>
    <w:rsid w:val="00AF1F6E"/>
    <w:rsid w:val="00AF1FA1"/>
    <w:rsid w:val="00AF1FDE"/>
    <w:rsid w:val="00AF1FEC"/>
    <w:rsid w:val="00AF204E"/>
    <w:rsid w:val="00AF20BC"/>
    <w:rsid w:val="00AF20DD"/>
    <w:rsid w:val="00AF2100"/>
    <w:rsid w:val="00AF22DA"/>
    <w:rsid w:val="00AF231A"/>
    <w:rsid w:val="00AF23D5"/>
    <w:rsid w:val="00AF2458"/>
    <w:rsid w:val="00AF2482"/>
    <w:rsid w:val="00AF2498"/>
    <w:rsid w:val="00AF24C8"/>
    <w:rsid w:val="00AF2507"/>
    <w:rsid w:val="00AF2738"/>
    <w:rsid w:val="00AF27EA"/>
    <w:rsid w:val="00AF284F"/>
    <w:rsid w:val="00AF28A2"/>
    <w:rsid w:val="00AF28C5"/>
    <w:rsid w:val="00AF28F4"/>
    <w:rsid w:val="00AF2985"/>
    <w:rsid w:val="00AF2A80"/>
    <w:rsid w:val="00AF2B1D"/>
    <w:rsid w:val="00AF2B40"/>
    <w:rsid w:val="00AF2B52"/>
    <w:rsid w:val="00AF2C13"/>
    <w:rsid w:val="00AF2C47"/>
    <w:rsid w:val="00AF2D9C"/>
    <w:rsid w:val="00AF2E64"/>
    <w:rsid w:val="00AF2EE6"/>
    <w:rsid w:val="00AF2F57"/>
    <w:rsid w:val="00AF2F82"/>
    <w:rsid w:val="00AF30E8"/>
    <w:rsid w:val="00AF3112"/>
    <w:rsid w:val="00AF3235"/>
    <w:rsid w:val="00AF32BE"/>
    <w:rsid w:val="00AF32EB"/>
    <w:rsid w:val="00AF3385"/>
    <w:rsid w:val="00AF33F3"/>
    <w:rsid w:val="00AF343B"/>
    <w:rsid w:val="00AF3459"/>
    <w:rsid w:val="00AF352F"/>
    <w:rsid w:val="00AF3598"/>
    <w:rsid w:val="00AF3679"/>
    <w:rsid w:val="00AF36F0"/>
    <w:rsid w:val="00AF37CE"/>
    <w:rsid w:val="00AF384B"/>
    <w:rsid w:val="00AF38F3"/>
    <w:rsid w:val="00AF3965"/>
    <w:rsid w:val="00AF39C5"/>
    <w:rsid w:val="00AF3AEF"/>
    <w:rsid w:val="00AF3B1C"/>
    <w:rsid w:val="00AF3BD9"/>
    <w:rsid w:val="00AF3BEC"/>
    <w:rsid w:val="00AF3BF9"/>
    <w:rsid w:val="00AF3CAD"/>
    <w:rsid w:val="00AF3D62"/>
    <w:rsid w:val="00AF3E29"/>
    <w:rsid w:val="00AF3E45"/>
    <w:rsid w:val="00AF3E49"/>
    <w:rsid w:val="00AF3E4A"/>
    <w:rsid w:val="00AF3EB4"/>
    <w:rsid w:val="00AF3F16"/>
    <w:rsid w:val="00AF408F"/>
    <w:rsid w:val="00AF4104"/>
    <w:rsid w:val="00AF4128"/>
    <w:rsid w:val="00AF41CB"/>
    <w:rsid w:val="00AF4243"/>
    <w:rsid w:val="00AF425A"/>
    <w:rsid w:val="00AF43BB"/>
    <w:rsid w:val="00AF441F"/>
    <w:rsid w:val="00AF4457"/>
    <w:rsid w:val="00AF44D1"/>
    <w:rsid w:val="00AF459A"/>
    <w:rsid w:val="00AF4643"/>
    <w:rsid w:val="00AF4701"/>
    <w:rsid w:val="00AF479F"/>
    <w:rsid w:val="00AF486D"/>
    <w:rsid w:val="00AF4877"/>
    <w:rsid w:val="00AF4924"/>
    <w:rsid w:val="00AF4926"/>
    <w:rsid w:val="00AF493C"/>
    <w:rsid w:val="00AF49EB"/>
    <w:rsid w:val="00AF4C0A"/>
    <w:rsid w:val="00AF4CBC"/>
    <w:rsid w:val="00AF4D73"/>
    <w:rsid w:val="00AF4F76"/>
    <w:rsid w:val="00AF50AB"/>
    <w:rsid w:val="00AF50E5"/>
    <w:rsid w:val="00AF5134"/>
    <w:rsid w:val="00AF5215"/>
    <w:rsid w:val="00AF521C"/>
    <w:rsid w:val="00AF5281"/>
    <w:rsid w:val="00AF528D"/>
    <w:rsid w:val="00AF5344"/>
    <w:rsid w:val="00AF53B4"/>
    <w:rsid w:val="00AF53F7"/>
    <w:rsid w:val="00AF5423"/>
    <w:rsid w:val="00AF5429"/>
    <w:rsid w:val="00AF545B"/>
    <w:rsid w:val="00AF547F"/>
    <w:rsid w:val="00AF54B0"/>
    <w:rsid w:val="00AF54BD"/>
    <w:rsid w:val="00AF554D"/>
    <w:rsid w:val="00AF556E"/>
    <w:rsid w:val="00AF55C0"/>
    <w:rsid w:val="00AF5681"/>
    <w:rsid w:val="00AF571B"/>
    <w:rsid w:val="00AF5784"/>
    <w:rsid w:val="00AF57BD"/>
    <w:rsid w:val="00AF57DD"/>
    <w:rsid w:val="00AF57E7"/>
    <w:rsid w:val="00AF584D"/>
    <w:rsid w:val="00AF5872"/>
    <w:rsid w:val="00AF5933"/>
    <w:rsid w:val="00AF5949"/>
    <w:rsid w:val="00AF59F3"/>
    <w:rsid w:val="00AF5ACB"/>
    <w:rsid w:val="00AF5B4C"/>
    <w:rsid w:val="00AF5C2C"/>
    <w:rsid w:val="00AF5D00"/>
    <w:rsid w:val="00AF5D76"/>
    <w:rsid w:val="00AF5E4C"/>
    <w:rsid w:val="00AF5E56"/>
    <w:rsid w:val="00AF5F50"/>
    <w:rsid w:val="00AF5F51"/>
    <w:rsid w:val="00AF5F60"/>
    <w:rsid w:val="00AF5F65"/>
    <w:rsid w:val="00AF5F6D"/>
    <w:rsid w:val="00AF5F7C"/>
    <w:rsid w:val="00AF5FDA"/>
    <w:rsid w:val="00AF602D"/>
    <w:rsid w:val="00AF612F"/>
    <w:rsid w:val="00AF625C"/>
    <w:rsid w:val="00AF63CC"/>
    <w:rsid w:val="00AF63D4"/>
    <w:rsid w:val="00AF6436"/>
    <w:rsid w:val="00AF6534"/>
    <w:rsid w:val="00AF6539"/>
    <w:rsid w:val="00AF6541"/>
    <w:rsid w:val="00AF655C"/>
    <w:rsid w:val="00AF678E"/>
    <w:rsid w:val="00AF67D5"/>
    <w:rsid w:val="00AF6832"/>
    <w:rsid w:val="00AF6898"/>
    <w:rsid w:val="00AF68A8"/>
    <w:rsid w:val="00AF68EA"/>
    <w:rsid w:val="00AF695F"/>
    <w:rsid w:val="00AF6996"/>
    <w:rsid w:val="00AF699B"/>
    <w:rsid w:val="00AF699D"/>
    <w:rsid w:val="00AF69AA"/>
    <w:rsid w:val="00AF69C5"/>
    <w:rsid w:val="00AF6A5D"/>
    <w:rsid w:val="00AF6ACF"/>
    <w:rsid w:val="00AF6B19"/>
    <w:rsid w:val="00AF6BBA"/>
    <w:rsid w:val="00AF6EB7"/>
    <w:rsid w:val="00AF7000"/>
    <w:rsid w:val="00AF7093"/>
    <w:rsid w:val="00AF712D"/>
    <w:rsid w:val="00AF7136"/>
    <w:rsid w:val="00AF71EF"/>
    <w:rsid w:val="00AF7282"/>
    <w:rsid w:val="00AF72E5"/>
    <w:rsid w:val="00AF72FD"/>
    <w:rsid w:val="00AF7322"/>
    <w:rsid w:val="00AF738E"/>
    <w:rsid w:val="00AF73F4"/>
    <w:rsid w:val="00AF7431"/>
    <w:rsid w:val="00AF74E7"/>
    <w:rsid w:val="00AF7557"/>
    <w:rsid w:val="00AF7654"/>
    <w:rsid w:val="00AF76AD"/>
    <w:rsid w:val="00AF7721"/>
    <w:rsid w:val="00AF782A"/>
    <w:rsid w:val="00AF7842"/>
    <w:rsid w:val="00AF784E"/>
    <w:rsid w:val="00AF7885"/>
    <w:rsid w:val="00AF78B6"/>
    <w:rsid w:val="00AF78BE"/>
    <w:rsid w:val="00AF7994"/>
    <w:rsid w:val="00AF79F0"/>
    <w:rsid w:val="00AF7A3D"/>
    <w:rsid w:val="00AF7B1D"/>
    <w:rsid w:val="00AF7C6E"/>
    <w:rsid w:val="00AF7CC2"/>
    <w:rsid w:val="00AF7CF6"/>
    <w:rsid w:val="00AF7D01"/>
    <w:rsid w:val="00B00071"/>
    <w:rsid w:val="00B0017D"/>
    <w:rsid w:val="00B001F9"/>
    <w:rsid w:val="00B0024D"/>
    <w:rsid w:val="00B0025E"/>
    <w:rsid w:val="00B002D6"/>
    <w:rsid w:val="00B003B8"/>
    <w:rsid w:val="00B003ED"/>
    <w:rsid w:val="00B004E2"/>
    <w:rsid w:val="00B0053F"/>
    <w:rsid w:val="00B00560"/>
    <w:rsid w:val="00B00579"/>
    <w:rsid w:val="00B006B1"/>
    <w:rsid w:val="00B006D9"/>
    <w:rsid w:val="00B0078B"/>
    <w:rsid w:val="00B007F3"/>
    <w:rsid w:val="00B0080A"/>
    <w:rsid w:val="00B00867"/>
    <w:rsid w:val="00B009AE"/>
    <w:rsid w:val="00B00CBD"/>
    <w:rsid w:val="00B00CC6"/>
    <w:rsid w:val="00B00CE2"/>
    <w:rsid w:val="00B00D04"/>
    <w:rsid w:val="00B00D11"/>
    <w:rsid w:val="00B00DE6"/>
    <w:rsid w:val="00B00E1E"/>
    <w:rsid w:val="00B010CE"/>
    <w:rsid w:val="00B01145"/>
    <w:rsid w:val="00B01260"/>
    <w:rsid w:val="00B01286"/>
    <w:rsid w:val="00B0128F"/>
    <w:rsid w:val="00B012A8"/>
    <w:rsid w:val="00B013AA"/>
    <w:rsid w:val="00B0140E"/>
    <w:rsid w:val="00B01424"/>
    <w:rsid w:val="00B0146F"/>
    <w:rsid w:val="00B014E1"/>
    <w:rsid w:val="00B018B4"/>
    <w:rsid w:val="00B0190C"/>
    <w:rsid w:val="00B01989"/>
    <w:rsid w:val="00B019B6"/>
    <w:rsid w:val="00B01A23"/>
    <w:rsid w:val="00B01A4D"/>
    <w:rsid w:val="00B01A8E"/>
    <w:rsid w:val="00B01AE6"/>
    <w:rsid w:val="00B01B76"/>
    <w:rsid w:val="00B01BD4"/>
    <w:rsid w:val="00B01C73"/>
    <w:rsid w:val="00B01C7C"/>
    <w:rsid w:val="00B01D01"/>
    <w:rsid w:val="00B01D3E"/>
    <w:rsid w:val="00B01D7D"/>
    <w:rsid w:val="00B01E7F"/>
    <w:rsid w:val="00B01E90"/>
    <w:rsid w:val="00B01F5D"/>
    <w:rsid w:val="00B01F5E"/>
    <w:rsid w:val="00B02031"/>
    <w:rsid w:val="00B0207E"/>
    <w:rsid w:val="00B0210C"/>
    <w:rsid w:val="00B02160"/>
    <w:rsid w:val="00B0216A"/>
    <w:rsid w:val="00B02175"/>
    <w:rsid w:val="00B021EC"/>
    <w:rsid w:val="00B02216"/>
    <w:rsid w:val="00B02249"/>
    <w:rsid w:val="00B02273"/>
    <w:rsid w:val="00B023F7"/>
    <w:rsid w:val="00B024BE"/>
    <w:rsid w:val="00B024F8"/>
    <w:rsid w:val="00B025CE"/>
    <w:rsid w:val="00B02609"/>
    <w:rsid w:val="00B0260D"/>
    <w:rsid w:val="00B02690"/>
    <w:rsid w:val="00B026C3"/>
    <w:rsid w:val="00B026D1"/>
    <w:rsid w:val="00B0277E"/>
    <w:rsid w:val="00B027A5"/>
    <w:rsid w:val="00B027B7"/>
    <w:rsid w:val="00B027CE"/>
    <w:rsid w:val="00B028E4"/>
    <w:rsid w:val="00B028FC"/>
    <w:rsid w:val="00B0299A"/>
    <w:rsid w:val="00B02B64"/>
    <w:rsid w:val="00B02B7B"/>
    <w:rsid w:val="00B02B7F"/>
    <w:rsid w:val="00B02B9B"/>
    <w:rsid w:val="00B02B9F"/>
    <w:rsid w:val="00B02C0F"/>
    <w:rsid w:val="00B02C2E"/>
    <w:rsid w:val="00B02CE6"/>
    <w:rsid w:val="00B02CFE"/>
    <w:rsid w:val="00B02DB7"/>
    <w:rsid w:val="00B02DD3"/>
    <w:rsid w:val="00B02E21"/>
    <w:rsid w:val="00B02E7C"/>
    <w:rsid w:val="00B02EBB"/>
    <w:rsid w:val="00B02EC4"/>
    <w:rsid w:val="00B02F51"/>
    <w:rsid w:val="00B0303D"/>
    <w:rsid w:val="00B03264"/>
    <w:rsid w:val="00B0328D"/>
    <w:rsid w:val="00B032C2"/>
    <w:rsid w:val="00B0340C"/>
    <w:rsid w:val="00B034D1"/>
    <w:rsid w:val="00B0354B"/>
    <w:rsid w:val="00B035AB"/>
    <w:rsid w:val="00B035D5"/>
    <w:rsid w:val="00B03651"/>
    <w:rsid w:val="00B03680"/>
    <w:rsid w:val="00B0378B"/>
    <w:rsid w:val="00B037AE"/>
    <w:rsid w:val="00B038BC"/>
    <w:rsid w:val="00B0392E"/>
    <w:rsid w:val="00B03940"/>
    <w:rsid w:val="00B03976"/>
    <w:rsid w:val="00B03A10"/>
    <w:rsid w:val="00B03A8F"/>
    <w:rsid w:val="00B03A9D"/>
    <w:rsid w:val="00B03BF7"/>
    <w:rsid w:val="00B03C4A"/>
    <w:rsid w:val="00B03C80"/>
    <w:rsid w:val="00B03CE7"/>
    <w:rsid w:val="00B03D9F"/>
    <w:rsid w:val="00B03EC6"/>
    <w:rsid w:val="00B04014"/>
    <w:rsid w:val="00B0405C"/>
    <w:rsid w:val="00B04109"/>
    <w:rsid w:val="00B0413F"/>
    <w:rsid w:val="00B04231"/>
    <w:rsid w:val="00B04280"/>
    <w:rsid w:val="00B042F8"/>
    <w:rsid w:val="00B04333"/>
    <w:rsid w:val="00B044BC"/>
    <w:rsid w:val="00B04541"/>
    <w:rsid w:val="00B045AD"/>
    <w:rsid w:val="00B0463E"/>
    <w:rsid w:val="00B0467D"/>
    <w:rsid w:val="00B048EC"/>
    <w:rsid w:val="00B04953"/>
    <w:rsid w:val="00B049E0"/>
    <w:rsid w:val="00B04A47"/>
    <w:rsid w:val="00B04A5D"/>
    <w:rsid w:val="00B04A63"/>
    <w:rsid w:val="00B04A82"/>
    <w:rsid w:val="00B04BC3"/>
    <w:rsid w:val="00B04C04"/>
    <w:rsid w:val="00B04D05"/>
    <w:rsid w:val="00B04DFB"/>
    <w:rsid w:val="00B04E90"/>
    <w:rsid w:val="00B04ED8"/>
    <w:rsid w:val="00B04F88"/>
    <w:rsid w:val="00B04FD9"/>
    <w:rsid w:val="00B05121"/>
    <w:rsid w:val="00B051B4"/>
    <w:rsid w:val="00B05285"/>
    <w:rsid w:val="00B05299"/>
    <w:rsid w:val="00B052D6"/>
    <w:rsid w:val="00B05376"/>
    <w:rsid w:val="00B053C7"/>
    <w:rsid w:val="00B05488"/>
    <w:rsid w:val="00B05508"/>
    <w:rsid w:val="00B05522"/>
    <w:rsid w:val="00B055F9"/>
    <w:rsid w:val="00B0569C"/>
    <w:rsid w:val="00B056A5"/>
    <w:rsid w:val="00B056FE"/>
    <w:rsid w:val="00B05792"/>
    <w:rsid w:val="00B057D9"/>
    <w:rsid w:val="00B058D1"/>
    <w:rsid w:val="00B05904"/>
    <w:rsid w:val="00B0596D"/>
    <w:rsid w:val="00B05982"/>
    <w:rsid w:val="00B059A2"/>
    <w:rsid w:val="00B059A8"/>
    <w:rsid w:val="00B05A44"/>
    <w:rsid w:val="00B05B1E"/>
    <w:rsid w:val="00B05BDC"/>
    <w:rsid w:val="00B05CE3"/>
    <w:rsid w:val="00B05D48"/>
    <w:rsid w:val="00B05DC4"/>
    <w:rsid w:val="00B05E06"/>
    <w:rsid w:val="00B05E1E"/>
    <w:rsid w:val="00B05E33"/>
    <w:rsid w:val="00B05E34"/>
    <w:rsid w:val="00B05E4D"/>
    <w:rsid w:val="00B05E5B"/>
    <w:rsid w:val="00B05E78"/>
    <w:rsid w:val="00B05F3F"/>
    <w:rsid w:val="00B05F52"/>
    <w:rsid w:val="00B05F69"/>
    <w:rsid w:val="00B05F6C"/>
    <w:rsid w:val="00B05F74"/>
    <w:rsid w:val="00B05FBB"/>
    <w:rsid w:val="00B05FF2"/>
    <w:rsid w:val="00B06087"/>
    <w:rsid w:val="00B06093"/>
    <w:rsid w:val="00B06189"/>
    <w:rsid w:val="00B0628C"/>
    <w:rsid w:val="00B062CD"/>
    <w:rsid w:val="00B062CE"/>
    <w:rsid w:val="00B062ED"/>
    <w:rsid w:val="00B0630A"/>
    <w:rsid w:val="00B0635C"/>
    <w:rsid w:val="00B0640C"/>
    <w:rsid w:val="00B0644B"/>
    <w:rsid w:val="00B064DE"/>
    <w:rsid w:val="00B064E7"/>
    <w:rsid w:val="00B06518"/>
    <w:rsid w:val="00B06523"/>
    <w:rsid w:val="00B06541"/>
    <w:rsid w:val="00B0654C"/>
    <w:rsid w:val="00B066B6"/>
    <w:rsid w:val="00B066F0"/>
    <w:rsid w:val="00B0679E"/>
    <w:rsid w:val="00B068D1"/>
    <w:rsid w:val="00B06984"/>
    <w:rsid w:val="00B06A32"/>
    <w:rsid w:val="00B06B56"/>
    <w:rsid w:val="00B06CDF"/>
    <w:rsid w:val="00B06D08"/>
    <w:rsid w:val="00B06D4B"/>
    <w:rsid w:val="00B06D56"/>
    <w:rsid w:val="00B06E29"/>
    <w:rsid w:val="00B06E32"/>
    <w:rsid w:val="00B06F1D"/>
    <w:rsid w:val="00B06F7D"/>
    <w:rsid w:val="00B06FE3"/>
    <w:rsid w:val="00B07041"/>
    <w:rsid w:val="00B07051"/>
    <w:rsid w:val="00B07081"/>
    <w:rsid w:val="00B0722C"/>
    <w:rsid w:val="00B072D1"/>
    <w:rsid w:val="00B0737E"/>
    <w:rsid w:val="00B074F2"/>
    <w:rsid w:val="00B0752D"/>
    <w:rsid w:val="00B076E0"/>
    <w:rsid w:val="00B07815"/>
    <w:rsid w:val="00B07835"/>
    <w:rsid w:val="00B07AA0"/>
    <w:rsid w:val="00B07B13"/>
    <w:rsid w:val="00B07B18"/>
    <w:rsid w:val="00B07BD0"/>
    <w:rsid w:val="00B07C0E"/>
    <w:rsid w:val="00B07C63"/>
    <w:rsid w:val="00B07C8B"/>
    <w:rsid w:val="00B07CB1"/>
    <w:rsid w:val="00B07D1E"/>
    <w:rsid w:val="00B07D55"/>
    <w:rsid w:val="00B07D5B"/>
    <w:rsid w:val="00B07E64"/>
    <w:rsid w:val="00B07E8D"/>
    <w:rsid w:val="00B07F53"/>
    <w:rsid w:val="00B1022A"/>
    <w:rsid w:val="00B10287"/>
    <w:rsid w:val="00B103C8"/>
    <w:rsid w:val="00B103DA"/>
    <w:rsid w:val="00B10451"/>
    <w:rsid w:val="00B10452"/>
    <w:rsid w:val="00B104DE"/>
    <w:rsid w:val="00B105E9"/>
    <w:rsid w:val="00B10692"/>
    <w:rsid w:val="00B106CA"/>
    <w:rsid w:val="00B106E9"/>
    <w:rsid w:val="00B10807"/>
    <w:rsid w:val="00B10872"/>
    <w:rsid w:val="00B109BA"/>
    <w:rsid w:val="00B10A78"/>
    <w:rsid w:val="00B10A9E"/>
    <w:rsid w:val="00B10AA9"/>
    <w:rsid w:val="00B10AFB"/>
    <w:rsid w:val="00B10B3A"/>
    <w:rsid w:val="00B10C22"/>
    <w:rsid w:val="00B10C47"/>
    <w:rsid w:val="00B10C66"/>
    <w:rsid w:val="00B10C81"/>
    <w:rsid w:val="00B10D62"/>
    <w:rsid w:val="00B10DA1"/>
    <w:rsid w:val="00B10DF3"/>
    <w:rsid w:val="00B10E45"/>
    <w:rsid w:val="00B10E48"/>
    <w:rsid w:val="00B10E55"/>
    <w:rsid w:val="00B10E5A"/>
    <w:rsid w:val="00B10ED5"/>
    <w:rsid w:val="00B10FA0"/>
    <w:rsid w:val="00B110B9"/>
    <w:rsid w:val="00B11108"/>
    <w:rsid w:val="00B11225"/>
    <w:rsid w:val="00B1125D"/>
    <w:rsid w:val="00B11340"/>
    <w:rsid w:val="00B1137A"/>
    <w:rsid w:val="00B1141E"/>
    <w:rsid w:val="00B11451"/>
    <w:rsid w:val="00B114DC"/>
    <w:rsid w:val="00B115F8"/>
    <w:rsid w:val="00B116BE"/>
    <w:rsid w:val="00B1181B"/>
    <w:rsid w:val="00B118C6"/>
    <w:rsid w:val="00B11974"/>
    <w:rsid w:val="00B11981"/>
    <w:rsid w:val="00B1198C"/>
    <w:rsid w:val="00B11C05"/>
    <w:rsid w:val="00B11C31"/>
    <w:rsid w:val="00B11CB1"/>
    <w:rsid w:val="00B11D03"/>
    <w:rsid w:val="00B11D5F"/>
    <w:rsid w:val="00B11DB9"/>
    <w:rsid w:val="00B11E3C"/>
    <w:rsid w:val="00B11E6F"/>
    <w:rsid w:val="00B11F01"/>
    <w:rsid w:val="00B11F80"/>
    <w:rsid w:val="00B11FC6"/>
    <w:rsid w:val="00B1212D"/>
    <w:rsid w:val="00B12278"/>
    <w:rsid w:val="00B123CD"/>
    <w:rsid w:val="00B12441"/>
    <w:rsid w:val="00B1248B"/>
    <w:rsid w:val="00B124EC"/>
    <w:rsid w:val="00B124F9"/>
    <w:rsid w:val="00B12551"/>
    <w:rsid w:val="00B12555"/>
    <w:rsid w:val="00B12643"/>
    <w:rsid w:val="00B12704"/>
    <w:rsid w:val="00B12764"/>
    <w:rsid w:val="00B12B1E"/>
    <w:rsid w:val="00B12DBD"/>
    <w:rsid w:val="00B12DCB"/>
    <w:rsid w:val="00B12E15"/>
    <w:rsid w:val="00B13025"/>
    <w:rsid w:val="00B130AE"/>
    <w:rsid w:val="00B130F6"/>
    <w:rsid w:val="00B13104"/>
    <w:rsid w:val="00B1318A"/>
    <w:rsid w:val="00B131A1"/>
    <w:rsid w:val="00B131A9"/>
    <w:rsid w:val="00B1324A"/>
    <w:rsid w:val="00B1348A"/>
    <w:rsid w:val="00B134CB"/>
    <w:rsid w:val="00B1352B"/>
    <w:rsid w:val="00B1378F"/>
    <w:rsid w:val="00B13792"/>
    <w:rsid w:val="00B137C0"/>
    <w:rsid w:val="00B137EF"/>
    <w:rsid w:val="00B13A4D"/>
    <w:rsid w:val="00B13B01"/>
    <w:rsid w:val="00B13B32"/>
    <w:rsid w:val="00B13B4B"/>
    <w:rsid w:val="00B13CA8"/>
    <w:rsid w:val="00B13DD1"/>
    <w:rsid w:val="00B13E92"/>
    <w:rsid w:val="00B13ED4"/>
    <w:rsid w:val="00B13FD8"/>
    <w:rsid w:val="00B14035"/>
    <w:rsid w:val="00B14060"/>
    <w:rsid w:val="00B14064"/>
    <w:rsid w:val="00B14089"/>
    <w:rsid w:val="00B14108"/>
    <w:rsid w:val="00B1416F"/>
    <w:rsid w:val="00B14170"/>
    <w:rsid w:val="00B14181"/>
    <w:rsid w:val="00B14210"/>
    <w:rsid w:val="00B1424C"/>
    <w:rsid w:val="00B1425C"/>
    <w:rsid w:val="00B14334"/>
    <w:rsid w:val="00B14364"/>
    <w:rsid w:val="00B1436B"/>
    <w:rsid w:val="00B143EF"/>
    <w:rsid w:val="00B14453"/>
    <w:rsid w:val="00B14460"/>
    <w:rsid w:val="00B14473"/>
    <w:rsid w:val="00B144F4"/>
    <w:rsid w:val="00B1455B"/>
    <w:rsid w:val="00B14639"/>
    <w:rsid w:val="00B146B5"/>
    <w:rsid w:val="00B1476C"/>
    <w:rsid w:val="00B147A1"/>
    <w:rsid w:val="00B14AEF"/>
    <w:rsid w:val="00B14BB7"/>
    <w:rsid w:val="00B14D35"/>
    <w:rsid w:val="00B14DDB"/>
    <w:rsid w:val="00B14EAE"/>
    <w:rsid w:val="00B14F1E"/>
    <w:rsid w:val="00B14F2D"/>
    <w:rsid w:val="00B14F74"/>
    <w:rsid w:val="00B14FFE"/>
    <w:rsid w:val="00B1511F"/>
    <w:rsid w:val="00B153D6"/>
    <w:rsid w:val="00B1547E"/>
    <w:rsid w:val="00B154AC"/>
    <w:rsid w:val="00B15502"/>
    <w:rsid w:val="00B15530"/>
    <w:rsid w:val="00B1557A"/>
    <w:rsid w:val="00B15651"/>
    <w:rsid w:val="00B15736"/>
    <w:rsid w:val="00B157B8"/>
    <w:rsid w:val="00B15836"/>
    <w:rsid w:val="00B1591F"/>
    <w:rsid w:val="00B159DC"/>
    <w:rsid w:val="00B159FB"/>
    <w:rsid w:val="00B15A09"/>
    <w:rsid w:val="00B15A96"/>
    <w:rsid w:val="00B15AFF"/>
    <w:rsid w:val="00B15C32"/>
    <w:rsid w:val="00B15C34"/>
    <w:rsid w:val="00B15C4C"/>
    <w:rsid w:val="00B15C87"/>
    <w:rsid w:val="00B15CDB"/>
    <w:rsid w:val="00B15D48"/>
    <w:rsid w:val="00B15D7A"/>
    <w:rsid w:val="00B15DA8"/>
    <w:rsid w:val="00B15DF7"/>
    <w:rsid w:val="00B15F41"/>
    <w:rsid w:val="00B15FAE"/>
    <w:rsid w:val="00B15FCA"/>
    <w:rsid w:val="00B16036"/>
    <w:rsid w:val="00B16079"/>
    <w:rsid w:val="00B1612B"/>
    <w:rsid w:val="00B16247"/>
    <w:rsid w:val="00B16274"/>
    <w:rsid w:val="00B16278"/>
    <w:rsid w:val="00B16337"/>
    <w:rsid w:val="00B1645D"/>
    <w:rsid w:val="00B16502"/>
    <w:rsid w:val="00B1654D"/>
    <w:rsid w:val="00B16550"/>
    <w:rsid w:val="00B165A0"/>
    <w:rsid w:val="00B165D8"/>
    <w:rsid w:val="00B166B9"/>
    <w:rsid w:val="00B16716"/>
    <w:rsid w:val="00B167E2"/>
    <w:rsid w:val="00B16879"/>
    <w:rsid w:val="00B16ABA"/>
    <w:rsid w:val="00B16ABE"/>
    <w:rsid w:val="00B16B39"/>
    <w:rsid w:val="00B16BB3"/>
    <w:rsid w:val="00B16C66"/>
    <w:rsid w:val="00B16D11"/>
    <w:rsid w:val="00B16F32"/>
    <w:rsid w:val="00B16F3E"/>
    <w:rsid w:val="00B16F48"/>
    <w:rsid w:val="00B16F56"/>
    <w:rsid w:val="00B17038"/>
    <w:rsid w:val="00B171C9"/>
    <w:rsid w:val="00B1721B"/>
    <w:rsid w:val="00B1723D"/>
    <w:rsid w:val="00B17250"/>
    <w:rsid w:val="00B17265"/>
    <w:rsid w:val="00B1727F"/>
    <w:rsid w:val="00B17337"/>
    <w:rsid w:val="00B1737D"/>
    <w:rsid w:val="00B17465"/>
    <w:rsid w:val="00B174DA"/>
    <w:rsid w:val="00B1753E"/>
    <w:rsid w:val="00B17596"/>
    <w:rsid w:val="00B175A8"/>
    <w:rsid w:val="00B175BD"/>
    <w:rsid w:val="00B175F2"/>
    <w:rsid w:val="00B17636"/>
    <w:rsid w:val="00B1763F"/>
    <w:rsid w:val="00B17860"/>
    <w:rsid w:val="00B178B5"/>
    <w:rsid w:val="00B17956"/>
    <w:rsid w:val="00B17A76"/>
    <w:rsid w:val="00B17AB6"/>
    <w:rsid w:val="00B17ABA"/>
    <w:rsid w:val="00B17BF1"/>
    <w:rsid w:val="00B17BFC"/>
    <w:rsid w:val="00B17C4B"/>
    <w:rsid w:val="00B17DD3"/>
    <w:rsid w:val="00B17F53"/>
    <w:rsid w:val="00B17F5C"/>
    <w:rsid w:val="00B17F6A"/>
    <w:rsid w:val="00B17FB1"/>
    <w:rsid w:val="00B17FBA"/>
    <w:rsid w:val="00B200FC"/>
    <w:rsid w:val="00B20146"/>
    <w:rsid w:val="00B2022F"/>
    <w:rsid w:val="00B20239"/>
    <w:rsid w:val="00B20267"/>
    <w:rsid w:val="00B202B1"/>
    <w:rsid w:val="00B20451"/>
    <w:rsid w:val="00B2052D"/>
    <w:rsid w:val="00B2058F"/>
    <w:rsid w:val="00B205B0"/>
    <w:rsid w:val="00B205D0"/>
    <w:rsid w:val="00B2074F"/>
    <w:rsid w:val="00B207C2"/>
    <w:rsid w:val="00B207E4"/>
    <w:rsid w:val="00B2083E"/>
    <w:rsid w:val="00B2084F"/>
    <w:rsid w:val="00B20852"/>
    <w:rsid w:val="00B20868"/>
    <w:rsid w:val="00B208A0"/>
    <w:rsid w:val="00B2094B"/>
    <w:rsid w:val="00B20A22"/>
    <w:rsid w:val="00B20A38"/>
    <w:rsid w:val="00B20A70"/>
    <w:rsid w:val="00B20AFD"/>
    <w:rsid w:val="00B20B13"/>
    <w:rsid w:val="00B20CA6"/>
    <w:rsid w:val="00B20D2A"/>
    <w:rsid w:val="00B20D6E"/>
    <w:rsid w:val="00B20EC5"/>
    <w:rsid w:val="00B20ECC"/>
    <w:rsid w:val="00B20EFC"/>
    <w:rsid w:val="00B20F85"/>
    <w:rsid w:val="00B2102F"/>
    <w:rsid w:val="00B210A6"/>
    <w:rsid w:val="00B210B5"/>
    <w:rsid w:val="00B210C7"/>
    <w:rsid w:val="00B210F2"/>
    <w:rsid w:val="00B21106"/>
    <w:rsid w:val="00B211A9"/>
    <w:rsid w:val="00B21264"/>
    <w:rsid w:val="00B21297"/>
    <w:rsid w:val="00B21316"/>
    <w:rsid w:val="00B21326"/>
    <w:rsid w:val="00B213FC"/>
    <w:rsid w:val="00B21467"/>
    <w:rsid w:val="00B21587"/>
    <w:rsid w:val="00B21611"/>
    <w:rsid w:val="00B216D2"/>
    <w:rsid w:val="00B21757"/>
    <w:rsid w:val="00B217E3"/>
    <w:rsid w:val="00B218CA"/>
    <w:rsid w:val="00B21983"/>
    <w:rsid w:val="00B219C9"/>
    <w:rsid w:val="00B21A6A"/>
    <w:rsid w:val="00B21B02"/>
    <w:rsid w:val="00B21B64"/>
    <w:rsid w:val="00B21BE1"/>
    <w:rsid w:val="00B21BE7"/>
    <w:rsid w:val="00B21CDC"/>
    <w:rsid w:val="00B21D17"/>
    <w:rsid w:val="00B21D25"/>
    <w:rsid w:val="00B21D57"/>
    <w:rsid w:val="00B21E01"/>
    <w:rsid w:val="00B21E70"/>
    <w:rsid w:val="00B21FBE"/>
    <w:rsid w:val="00B21FD4"/>
    <w:rsid w:val="00B2202A"/>
    <w:rsid w:val="00B22073"/>
    <w:rsid w:val="00B220C8"/>
    <w:rsid w:val="00B222BC"/>
    <w:rsid w:val="00B22472"/>
    <w:rsid w:val="00B224D6"/>
    <w:rsid w:val="00B22547"/>
    <w:rsid w:val="00B225EB"/>
    <w:rsid w:val="00B22628"/>
    <w:rsid w:val="00B22670"/>
    <w:rsid w:val="00B22702"/>
    <w:rsid w:val="00B2271B"/>
    <w:rsid w:val="00B22723"/>
    <w:rsid w:val="00B2274A"/>
    <w:rsid w:val="00B22828"/>
    <w:rsid w:val="00B22896"/>
    <w:rsid w:val="00B228F6"/>
    <w:rsid w:val="00B22918"/>
    <w:rsid w:val="00B22A84"/>
    <w:rsid w:val="00B22B10"/>
    <w:rsid w:val="00B22C58"/>
    <w:rsid w:val="00B22CEB"/>
    <w:rsid w:val="00B22DA0"/>
    <w:rsid w:val="00B22DDA"/>
    <w:rsid w:val="00B22E26"/>
    <w:rsid w:val="00B22E48"/>
    <w:rsid w:val="00B22E77"/>
    <w:rsid w:val="00B22F07"/>
    <w:rsid w:val="00B22FD9"/>
    <w:rsid w:val="00B2304F"/>
    <w:rsid w:val="00B23063"/>
    <w:rsid w:val="00B230CB"/>
    <w:rsid w:val="00B2313A"/>
    <w:rsid w:val="00B231A4"/>
    <w:rsid w:val="00B231CA"/>
    <w:rsid w:val="00B23258"/>
    <w:rsid w:val="00B232A3"/>
    <w:rsid w:val="00B2330E"/>
    <w:rsid w:val="00B23360"/>
    <w:rsid w:val="00B2337D"/>
    <w:rsid w:val="00B233E2"/>
    <w:rsid w:val="00B233FC"/>
    <w:rsid w:val="00B234B8"/>
    <w:rsid w:val="00B234FE"/>
    <w:rsid w:val="00B23596"/>
    <w:rsid w:val="00B235A1"/>
    <w:rsid w:val="00B235BD"/>
    <w:rsid w:val="00B23603"/>
    <w:rsid w:val="00B23618"/>
    <w:rsid w:val="00B23791"/>
    <w:rsid w:val="00B2381F"/>
    <w:rsid w:val="00B23A09"/>
    <w:rsid w:val="00B23AE9"/>
    <w:rsid w:val="00B23C59"/>
    <w:rsid w:val="00B23D2C"/>
    <w:rsid w:val="00B23D35"/>
    <w:rsid w:val="00B23D6A"/>
    <w:rsid w:val="00B23DA9"/>
    <w:rsid w:val="00B23FA4"/>
    <w:rsid w:val="00B24004"/>
    <w:rsid w:val="00B24033"/>
    <w:rsid w:val="00B2406B"/>
    <w:rsid w:val="00B24189"/>
    <w:rsid w:val="00B24352"/>
    <w:rsid w:val="00B2435D"/>
    <w:rsid w:val="00B2436C"/>
    <w:rsid w:val="00B2438A"/>
    <w:rsid w:val="00B243CE"/>
    <w:rsid w:val="00B243EC"/>
    <w:rsid w:val="00B244A1"/>
    <w:rsid w:val="00B24533"/>
    <w:rsid w:val="00B245E2"/>
    <w:rsid w:val="00B2462E"/>
    <w:rsid w:val="00B2463C"/>
    <w:rsid w:val="00B246E9"/>
    <w:rsid w:val="00B246F1"/>
    <w:rsid w:val="00B247CB"/>
    <w:rsid w:val="00B24AA3"/>
    <w:rsid w:val="00B24B29"/>
    <w:rsid w:val="00B24B78"/>
    <w:rsid w:val="00B24C15"/>
    <w:rsid w:val="00B24CC6"/>
    <w:rsid w:val="00B24CCD"/>
    <w:rsid w:val="00B24D49"/>
    <w:rsid w:val="00B24E81"/>
    <w:rsid w:val="00B24EA9"/>
    <w:rsid w:val="00B24F4D"/>
    <w:rsid w:val="00B24F5E"/>
    <w:rsid w:val="00B24FD9"/>
    <w:rsid w:val="00B2505A"/>
    <w:rsid w:val="00B25129"/>
    <w:rsid w:val="00B25168"/>
    <w:rsid w:val="00B25176"/>
    <w:rsid w:val="00B251C2"/>
    <w:rsid w:val="00B251FF"/>
    <w:rsid w:val="00B25228"/>
    <w:rsid w:val="00B25296"/>
    <w:rsid w:val="00B25337"/>
    <w:rsid w:val="00B25348"/>
    <w:rsid w:val="00B253C6"/>
    <w:rsid w:val="00B253F2"/>
    <w:rsid w:val="00B2547B"/>
    <w:rsid w:val="00B254A9"/>
    <w:rsid w:val="00B254B0"/>
    <w:rsid w:val="00B254B5"/>
    <w:rsid w:val="00B254F8"/>
    <w:rsid w:val="00B25842"/>
    <w:rsid w:val="00B25870"/>
    <w:rsid w:val="00B258A5"/>
    <w:rsid w:val="00B25913"/>
    <w:rsid w:val="00B25923"/>
    <w:rsid w:val="00B25953"/>
    <w:rsid w:val="00B25B13"/>
    <w:rsid w:val="00B25B2D"/>
    <w:rsid w:val="00B25B78"/>
    <w:rsid w:val="00B25BC7"/>
    <w:rsid w:val="00B25D7C"/>
    <w:rsid w:val="00B25ED9"/>
    <w:rsid w:val="00B25F3B"/>
    <w:rsid w:val="00B25F70"/>
    <w:rsid w:val="00B26019"/>
    <w:rsid w:val="00B26094"/>
    <w:rsid w:val="00B260C3"/>
    <w:rsid w:val="00B2618F"/>
    <w:rsid w:val="00B261A5"/>
    <w:rsid w:val="00B261CD"/>
    <w:rsid w:val="00B261F3"/>
    <w:rsid w:val="00B26293"/>
    <w:rsid w:val="00B262AB"/>
    <w:rsid w:val="00B26353"/>
    <w:rsid w:val="00B26460"/>
    <w:rsid w:val="00B265BE"/>
    <w:rsid w:val="00B266D3"/>
    <w:rsid w:val="00B266DE"/>
    <w:rsid w:val="00B26798"/>
    <w:rsid w:val="00B267E0"/>
    <w:rsid w:val="00B267FE"/>
    <w:rsid w:val="00B26823"/>
    <w:rsid w:val="00B26965"/>
    <w:rsid w:val="00B269B3"/>
    <w:rsid w:val="00B269F6"/>
    <w:rsid w:val="00B26A4F"/>
    <w:rsid w:val="00B26A78"/>
    <w:rsid w:val="00B26BBC"/>
    <w:rsid w:val="00B26BCC"/>
    <w:rsid w:val="00B26D3A"/>
    <w:rsid w:val="00B26D40"/>
    <w:rsid w:val="00B26D62"/>
    <w:rsid w:val="00B26D77"/>
    <w:rsid w:val="00B26DAA"/>
    <w:rsid w:val="00B26E3A"/>
    <w:rsid w:val="00B2715A"/>
    <w:rsid w:val="00B27220"/>
    <w:rsid w:val="00B2726B"/>
    <w:rsid w:val="00B2734C"/>
    <w:rsid w:val="00B273D2"/>
    <w:rsid w:val="00B273E7"/>
    <w:rsid w:val="00B2748E"/>
    <w:rsid w:val="00B274EA"/>
    <w:rsid w:val="00B27521"/>
    <w:rsid w:val="00B2752B"/>
    <w:rsid w:val="00B27557"/>
    <w:rsid w:val="00B275A4"/>
    <w:rsid w:val="00B275D1"/>
    <w:rsid w:val="00B27608"/>
    <w:rsid w:val="00B27808"/>
    <w:rsid w:val="00B2785C"/>
    <w:rsid w:val="00B27886"/>
    <w:rsid w:val="00B2796A"/>
    <w:rsid w:val="00B27A3B"/>
    <w:rsid w:val="00B27AA0"/>
    <w:rsid w:val="00B27B53"/>
    <w:rsid w:val="00B27B96"/>
    <w:rsid w:val="00B27BAA"/>
    <w:rsid w:val="00B27C11"/>
    <w:rsid w:val="00B27C3C"/>
    <w:rsid w:val="00B27CA9"/>
    <w:rsid w:val="00B27CF7"/>
    <w:rsid w:val="00B27F6E"/>
    <w:rsid w:val="00B30031"/>
    <w:rsid w:val="00B30098"/>
    <w:rsid w:val="00B300DB"/>
    <w:rsid w:val="00B30196"/>
    <w:rsid w:val="00B301B4"/>
    <w:rsid w:val="00B302FA"/>
    <w:rsid w:val="00B30409"/>
    <w:rsid w:val="00B3045A"/>
    <w:rsid w:val="00B30492"/>
    <w:rsid w:val="00B305C2"/>
    <w:rsid w:val="00B30726"/>
    <w:rsid w:val="00B30797"/>
    <w:rsid w:val="00B3085F"/>
    <w:rsid w:val="00B3095E"/>
    <w:rsid w:val="00B309DC"/>
    <w:rsid w:val="00B30A05"/>
    <w:rsid w:val="00B30A31"/>
    <w:rsid w:val="00B30A7A"/>
    <w:rsid w:val="00B30B0A"/>
    <w:rsid w:val="00B30B40"/>
    <w:rsid w:val="00B30C0C"/>
    <w:rsid w:val="00B30C61"/>
    <w:rsid w:val="00B30C73"/>
    <w:rsid w:val="00B30D1E"/>
    <w:rsid w:val="00B30D69"/>
    <w:rsid w:val="00B30DCE"/>
    <w:rsid w:val="00B30E21"/>
    <w:rsid w:val="00B30F1D"/>
    <w:rsid w:val="00B31076"/>
    <w:rsid w:val="00B310AD"/>
    <w:rsid w:val="00B310BB"/>
    <w:rsid w:val="00B310C7"/>
    <w:rsid w:val="00B310C8"/>
    <w:rsid w:val="00B310D3"/>
    <w:rsid w:val="00B31167"/>
    <w:rsid w:val="00B311F8"/>
    <w:rsid w:val="00B31292"/>
    <w:rsid w:val="00B31293"/>
    <w:rsid w:val="00B312BB"/>
    <w:rsid w:val="00B31385"/>
    <w:rsid w:val="00B313AD"/>
    <w:rsid w:val="00B313DD"/>
    <w:rsid w:val="00B31454"/>
    <w:rsid w:val="00B31469"/>
    <w:rsid w:val="00B314FE"/>
    <w:rsid w:val="00B31575"/>
    <w:rsid w:val="00B31657"/>
    <w:rsid w:val="00B316CD"/>
    <w:rsid w:val="00B31801"/>
    <w:rsid w:val="00B318BD"/>
    <w:rsid w:val="00B3193A"/>
    <w:rsid w:val="00B31A54"/>
    <w:rsid w:val="00B31A6A"/>
    <w:rsid w:val="00B31A70"/>
    <w:rsid w:val="00B31BA7"/>
    <w:rsid w:val="00B31BB9"/>
    <w:rsid w:val="00B31BD3"/>
    <w:rsid w:val="00B31C0A"/>
    <w:rsid w:val="00B31C63"/>
    <w:rsid w:val="00B31CBC"/>
    <w:rsid w:val="00B31D4D"/>
    <w:rsid w:val="00B31E21"/>
    <w:rsid w:val="00B31EB3"/>
    <w:rsid w:val="00B31EC0"/>
    <w:rsid w:val="00B31F3C"/>
    <w:rsid w:val="00B31F58"/>
    <w:rsid w:val="00B31FBD"/>
    <w:rsid w:val="00B3217E"/>
    <w:rsid w:val="00B321A9"/>
    <w:rsid w:val="00B321CF"/>
    <w:rsid w:val="00B321EE"/>
    <w:rsid w:val="00B32274"/>
    <w:rsid w:val="00B32277"/>
    <w:rsid w:val="00B3231D"/>
    <w:rsid w:val="00B3237C"/>
    <w:rsid w:val="00B323C8"/>
    <w:rsid w:val="00B3243C"/>
    <w:rsid w:val="00B325A8"/>
    <w:rsid w:val="00B325AF"/>
    <w:rsid w:val="00B3269A"/>
    <w:rsid w:val="00B328B8"/>
    <w:rsid w:val="00B328EF"/>
    <w:rsid w:val="00B32948"/>
    <w:rsid w:val="00B329E7"/>
    <w:rsid w:val="00B329E9"/>
    <w:rsid w:val="00B32A5E"/>
    <w:rsid w:val="00B32B74"/>
    <w:rsid w:val="00B32BE8"/>
    <w:rsid w:val="00B32CB4"/>
    <w:rsid w:val="00B32CE0"/>
    <w:rsid w:val="00B32D21"/>
    <w:rsid w:val="00B32D6C"/>
    <w:rsid w:val="00B32D6F"/>
    <w:rsid w:val="00B32D73"/>
    <w:rsid w:val="00B32DF8"/>
    <w:rsid w:val="00B32E2F"/>
    <w:rsid w:val="00B32E5D"/>
    <w:rsid w:val="00B32EDB"/>
    <w:rsid w:val="00B32EDC"/>
    <w:rsid w:val="00B32F0A"/>
    <w:rsid w:val="00B330BD"/>
    <w:rsid w:val="00B3311F"/>
    <w:rsid w:val="00B3312B"/>
    <w:rsid w:val="00B33198"/>
    <w:rsid w:val="00B331A0"/>
    <w:rsid w:val="00B332DA"/>
    <w:rsid w:val="00B332F5"/>
    <w:rsid w:val="00B333DB"/>
    <w:rsid w:val="00B3357D"/>
    <w:rsid w:val="00B33635"/>
    <w:rsid w:val="00B336C8"/>
    <w:rsid w:val="00B337A5"/>
    <w:rsid w:val="00B337BD"/>
    <w:rsid w:val="00B338FE"/>
    <w:rsid w:val="00B3393F"/>
    <w:rsid w:val="00B33DC4"/>
    <w:rsid w:val="00B33DF6"/>
    <w:rsid w:val="00B33DF9"/>
    <w:rsid w:val="00B33E13"/>
    <w:rsid w:val="00B33E56"/>
    <w:rsid w:val="00B33E86"/>
    <w:rsid w:val="00B33E90"/>
    <w:rsid w:val="00B33EBC"/>
    <w:rsid w:val="00B33F29"/>
    <w:rsid w:val="00B33F99"/>
    <w:rsid w:val="00B3400D"/>
    <w:rsid w:val="00B34048"/>
    <w:rsid w:val="00B34104"/>
    <w:rsid w:val="00B3418F"/>
    <w:rsid w:val="00B3419B"/>
    <w:rsid w:val="00B341D1"/>
    <w:rsid w:val="00B341E6"/>
    <w:rsid w:val="00B341FB"/>
    <w:rsid w:val="00B3429E"/>
    <w:rsid w:val="00B34324"/>
    <w:rsid w:val="00B34338"/>
    <w:rsid w:val="00B3436D"/>
    <w:rsid w:val="00B343B1"/>
    <w:rsid w:val="00B343C9"/>
    <w:rsid w:val="00B343FA"/>
    <w:rsid w:val="00B3442A"/>
    <w:rsid w:val="00B344EE"/>
    <w:rsid w:val="00B345E3"/>
    <w:rsid w:val="00B34683"/>
    <w:rsid w:val="00B34734"/>
    <w:rsid w:val="00B34740"/>
    <w:rsid w:val="00B348E4"/>
    <w:rsid w:val="00B34924"/>
    <w:rsid w:val="00B34951"/>
    <w:rsid w:val="00B349F7"/>
    <w:rsid w:val="00B34AA1"/>
    <w:rsid w:val="00B34AF4"/>
    <w:rsid w:val="00B34B24"/>
    <w:rsid w:val="00B34C70"/>
    <w:rsid w:val="00B34C85"/>
    <w:rsid w:val="00B34DCD"/>
    <w:rsid w:val="00B34DE0"/>
    <w:rsid w:val="00B34DF8"/>
    <w:rsid w:val="00B34E25"/>
    <w:rsid w:val="00B34E4B"/>
    <w:rsid w:val="00B34E50"/>
    <w:rsid w:val="00B34EB7"/>
    <w:rsid w:val="00B34EDB"/>
    <w:rsid w:val="00B34EF9"/>
    <w:rsid w:val="00B34F50"/>
    <w:rsid w:val="00B34FAC"/>
    <w:rsid w:val="00B35079"/>
    <w:rsid w:val="00B35173"/>
    <w:rsid w:val="00B3517E"/>
    <w:rsid w:val="00B35286"/>
    <w:rsid w:val="00B3539C"/>
    <w:rsid w:val="00B353CF"/>
    <w:rsid w:val="00B353EB"/>
    <w:rsid w:val="00B35400"/>
    <w:rsid w:val="00B3540D"/>
    <w:rsid w:val="00B3549F"/>
    <w:rsid w:val="00B355F2"/>
    <w:rsid w:val="00B35624"/>
    <w:rsid w:val="00B35668"/>
    <w:rsid w:val="00B35674"/>
    <w:rsid w:val="00B35786"/>
    <w:rsid w:val="00B35853"/>
    <w:rsid w:val="00B35869"/>
    <w:rsid w:val="00B359C7"/>
    <w:rsid w:val="00B35A51"/>
    <w:rsid w:val="00B35A95"/>
    <w:rsid w:val="00B35AC4"/>
    <w:rsid w:val="00B35BBC"/>
    <w:rsid w:val="00B35BF0"/>
    <w:rsid w:val="00B35CCB"/>
    <w:rsid w:val="00B35CE2"/>
    <w:rsid w:val="00B35D1E"/>
    <w:rsid w:val="00B35E12"/>
    <w:rsid w:val="00B35E6F"/>
    <w:rsid w:val="00B35E88"/>
    <w:rsid w:val="00B35ED9"/>
    <w:rsid w:val="00B35F15"/>
    <w:rsid w:val="00B35FA1"/>
    <w:rsid w:val="00B35FCD"/>
    <w:rsid w:val="00B361DE"/>
    <w:rsid w:val="00B361F3"/>
    <w:rsid w:val="00B3629A"/>
    <w:rsid w:val="00B362F5"/>
    <w:rsid w:val="00B36304"/>
    <w:rsid w:val="00B36382"/>
    <w:rsid w:val="00B363FE"/>
    <w:rsid w:val="00B36418"/>
    <w:rsid w:val="00B36463"/>
    <w:rsid w:val="00B364C5"/>
    <w:rsid w:val="00B36669"/>
    <w:rsid w:val="00B366A5"/>
    <w:rsid w:val="00B36775"/>
    <w:rsid w:val="00B367C3"/>
    <w:rsid w:val="00B367D1"/>
    <w:rsid w:val="00B367EE"/>
    <w:rsid w:val="00B36870"/>
    <w:rsid w:val="00B368EC"/>
    <w:rsid w:val="00B3693B"/>
    <w:rsid w:val="00B369EB"/>
    <w:rsid w:val="00B36A87"/>
    <w:rsid w:val="00B36AB2"/>
    <w:rsid w:val="00B36AF4"/>
    <w:rsid w:val="00B36B19"/>
    <w:rsid w:val="00B36B6F"/>
    <w:rsid w:val="00B36C03"/>
    <w:rsid w:val="00B36CFE"/>
    <w:rsid w:val="00B36E4F"/>
    <w:rsid w:val="00B37040"/>
    <w:rsid w:val="00B37195"/>
    <w:rsid w:val="00B371F8"/>
    <w:rsid w:val="00B37219"/>
    <w:rsid w:val="00B37327"/>
    <w:rsid w:val="00B373E4"/>
    <w:rsid w:val="00B37440"/>
    <w:rsid w:val="00B3748E"/>
    <w:rsid w:val="00B3749D"/>
    <w:rsid w:val="00B37562"/>
    <w:rsid w:val="00B37579"/>
    <w:rsid w:val="00B3759F"/>
    <w:rsid w:val="00B375AB"/>
    <w:rsid w:val="00B3763D"/>
    <w:rsid w:val="00B37733"/>
    <w:rsid w:val="00B3775A"/>
    <w:rsid w:val="00B377F9"/>
    <w:rsid w:val="00B3789E"/>
    <w:rsid w:val="00B378EA"/>
    <w:rsid w:val="00B3791E"/>
    <w:rsid w:val="00B37A9A"/>
    <w:rsid w:val="00B37AF4"/>
    <w:rsid w:val="00B37AFC"/>
    <w:rsid w:val="00B37B14"/>
    <w:rsid w:val="00B37C5A"/>
    <w:rsid w:val="00B37C85"/>
    <w:rsid w:val="00B37D1A"/>
    <w:rsid w:val="00B37EE0"/>
    <w:rsid w:val="00B37F3D"/>
    <w:rsid w:val="00B37FDA"/>
    <w:rsid w:val="00B400C7"/>
    <w:rsid w:val="00B4012C"/>
    <w:rsid w:val="00B40198"/>
    <w:rsid w:val="00B40213"/>
    <w:rsid w:val="00B4029B"/>
    <w:rsid w:val="00B4032F"/>
    <w:rsid w:val="00B4033A"/>
    <w:rsid w:val="00B40358"/>
    <w:rsid w:val="00B40401"/>
    <w:rsid w:val="00B40425"/>
    <w:rsid w:val="00B404C3"/>
    <w:rsid w:val="00B40530"/>
    <w:rsid w:val="00B405E9"/>
    <w:rsid w:val="00B40665"/>
    <w:rsid w:val="00B40757"/>
    <w:rsid w:val="00B4079A"/>
    <w:rsid w:val="00B407AD"/>
    <w:rsid w:val="00B407CB"/>
    <w:rsid w:val="00B40922"/>
    <w:rsid w:val="00B4093E"/>
    <w:rsid w:val="00B40960"/>
    <w:rsid w:val="00B409CE"/>
    <w:rsid w:val="00B409F1"/>
    <w:rsid w:val="00B40A12"/>
    <w:rsid w:val="00B40A8E"/>
    <w:rsid w:val="00B40AAB"/>
    <w:rsid w:val="00B40B9F"/>
    <w:rsid w:val="00B40BDE"/>
    <w:rsid w:val="00B40CA8"/>
    <w:rsid w:val="00B40CB1"/>
    <w:rsid w:val="00B40CFD"/>
    <w:rsid w:val="00B40D69"/>
    <w:rsid w:val="00B40D9C"/>
    <w:rsid w:val="00B40E1F"/>
    <w:rsid w:val="00B40E75"/>
    <w:rsid w:val="00B40EB7"/>
    <w:rsid w:val="00B40FE5"/>
    <w:rsid w:val="00B411E4"/>
    <w:rsid w:val="00B41225"/>
    <w:rsid w:val="00B41273"/>
    <w:rsid w:val="00B4135C"/>
    <w:rsid w:val="00B41553"/>
    <w:rsid w:val="00B415C2"/>
    <w:rsid w:val="00B416CA"/>
    <w:rsid w:val="00B41771"/>
    <w:rsid w:val="00B41824"/>
    <w:rsid w:val="00B41841"/>
    <w:rsid w:val="00B418D8"/>
    <w:rsid w:val="00B41904"/>
    <w:rsid w:val="00B41A05"/>
    <w:rsid w:val="00B41A90"/>
    <w:rsid w:val="00B41ADC"/>
    <w:rsid w:val="00B41ADE"/>
    <w:rsid w:val="00B41AFE"/>
    <w:rsid w:val="00B41B44"/>
    <w:rsid w:val="00B41B4A"/>
    <w:rsid w:val="00B41B56"/>
    <w:rsid w:val="00B41BDD"/>
    <w:rsid w:val="00B41D48"/>
    <w:rsid w:val="00B41D8E"/>
    <w:rsid w:val="00B41ED5"/>
    <w:rsid w:val="00B41F39"/>
    <w:rsid w:val="00B41F9F"/>
    <w:rsid w:val="00B41FAE"/>
    <w:rsid w:val="00B42000"/>
    <w:rsid w:val="00B42036"/>
    <w:rsid w:val="00B421F2"/>
    <w:rsid w:val="00B4220A"/>
    <w:rsid w:val="00B42390"/>
    <w:rsid w:val="00B42399"/>
    <w:rsid w:val="00B423D1"/>
    <w:rsid w:val="00B4242B"/>
    <w:rsid w:val="00B4242E"/>
    <w:rsid w:val="00B42491"/>
    <w:rsid w:val="00B424B5"/>
    <w:rsid w:val="00B42501"/>
    <w:rsid w:val="00B42507"/>
    <w:rsid w:val="00B4253F"/>
    <w:rsid w:val="00B425B0"/>
    <w:rsid w:val="00B426C6"/>
    <w:rsid w:val="00B426F0"/>
    <w:rsid w:val="00B42735"/>
    <w:rsid w:val="00B427AC"/>
    <w:rsid w:val="00B42859"/>
    <w:rsid w:val="00B428C6"/>
    <w:rsid w:val="00B429DD"/>
    <w:rsid w:val="00B42A0B"/>
    <w:rsid w:val="00B42A1C"/>
    <w:rsid w:val="00B42B0F"/>
    <w:rsid w:val="00B42BD7"/>
    <w:rsid w:val="00B42CB8"/>
    <w:rsid w:val="00B42D65"/>
    <w:rsid w:val="00B42F6C"/>
    <w:rsid w:val="00B43051"/>
    <w:rsid w:val="00B430C2"/>
    <w:rsid w:val="00B4322E"/>
    <w:rsid w:val="00B43234"/>
    <w:rsid w:val="00B433B3"/>
    <w:rsid w:val="00B43428"/>
    <w:rsid w:val="00B434AB"/>
    <w:rsid w:val="00B4355C"/>
    <w:rsid w:val="00B43574"/>
    <w:rsid w:val="00B4359B"/>
    <w:rsid w:val="00B4375E"/>
    <w:rsid w:val="00B43813"/>
    <w:rsid w:val="00B4384D"/>
    <w:rsid w:val="00B43903"/>
    <w:rsid w:val="00B4393C"/>
    <w:rsid w:val="00B439CA"/>
    <w:rsid w:val="00B439F2"/>
    <w:rsid w:val="00B43A08"/>
    <w:rsid w:val="00B43C70"/>
    <w:rsid w:val="00B43D71"/>
    <w:rsid w:val="00B43DE8"/>
    <w:rsid w:val="00B43DF5"/>
    <w:rsid w:val="00B43E16"/>
    <w:rsid w:val="00B440E0"/>
    <w:rsid w:val="00B4412E"/>
    <w:rsid w:val="00B44273"/>
    <w:rsid w:val="00B4427C"/>
    <w:rsid w:val="00B442D3"/>
    <w:rsid w:val="00B44346"/>
    <w:rsid w:val="00B443A5"/>
    <w:rsid w:val="00B443CC"/>
    <w:rsid w:val="00B4441C"/>
    <w:rsid w:val="00B44423"/>
    <w:rsid w:val="00B44432"/>
    <w:rsid w:val="00B444C1"/>
    <w:rsid w:val="00B445B0"/>
    <w:rsid w:val="00B445F7"/>
    <w:rsid w:val="00B44625"/>
    <w:rsid w:val="00B446B6"/>
    <w:rsid w:val="00B4471F"/>
    <w:rsid w:val="00B4477A"/>
    <w:rsid w:val="00B44780"/>
    <w:rsid w:val="00B44884"/>
    <w:rsid w:val="00B4489F"/>
    <w:rsid w:val="00B448B3"/>
    <w:rsid w:val="00B449B2"/>
    <w:rsid w:val="00B449C7"/>
    <w:rsid w:val="00B44A41"/>
    <w:rsid w:val="00B44C3A"/>
    <w:rsid w:val="00B44C95"/>
    <w:rsid w:val="00B44CA7"/>
    <w:rsid w:val="00B44CDC"/>
    <w:rsid w:val="00B44D06"/>
    <w:rsid w:val="00B44E32"/>
    <w:rsid w:val="00B44E42"/>
    <w:rsid w:val="00B44E4A"/>
    <w:rsid w:val="00B44E91"/>
    <w:rsid w:val="00B44F20"/>
    <w:rsid w:val="00B44FD3"/>
    <w:rsid w:val="00B450B9"/>
    <w:rsid w:val="00B450DE"/>
    <w:rsid w:val="00B450E6"/>
    <w:rsid w:val="00B4512A"/>
    <w:rsid w:val="00B4513F"/>
    <w:rsid w:val="00B4526A"/>
    <w:rsid w:val="00B4526C"/>
    <w:rsid w:val="00B45299"/>
    <w:rsid w:val="00B452B6"/>
    <w:rsid w:val="00B452BB"/>
    <w:rsid w:val="00B45492"/>
    <w:rsid w:val="00B454FF"/>
    <w:rsid w:val="00B45520"/>
    <w:rsid w:val="00B4555B"/>
    <w:rsid w:val="00B4559C"/>
    <w:rsid w:val="00B45731"/>
    <w:rsid w:val="00B4578D"/>
    <w:rsid w:val="00B457E0"/>
    <w:rsid w:val="00B457F3"/>
    <w:rsid w:val="00B45806"/>
    <w:rsid w:val="00B45964"/>
    <w:rsid w:val="00B45A0F"/>
    <w:rsid w:val="00B45A5A"/>
    <w:rsid w:val="00B45A60"/>
    <w:rsid w:val="00B45BA6"/>
    <w:rsid w:val="00B45C2A"/>
    <w:rsid w:val="00B45D4F"/>
    <w:rsid w:val="00B45D6F"/>
    <w:rsid w:val="00B45D84"/>
    <w:rsid w:val="00B45E01"/>
    <w:rsid w:val="00B45E8E"/>
    <w:rsid w:val="00B45E9D"/>
    <w:rsid w:val="00B45EBF"/>
    <w:rsid w:val="00B45EC5"/>
    <w:rsid w:val="00B45ED1"/>
    <w:rsid w:val="00B45ED7"/>
    <w:rsid w:val="00B45FEF"/>
    <w:rsid w:val="00B46004"/>
    <w:rsid w:val="00B46233"/>
    <w:rsid w:val="00B46349"/>
    <w:rsid w:val="00B46445"/>
    <w:rsid w:val="00B46481"/>
    <w:rsid w:val="00B464E3"/>
    <w:rsid w:val="00B465F3"/>
    <w:rsid w:val="00B4670A"/>
    <w:rsid w:val="00B46729"/>
    <w:rsid w:val="00B46826"/>
    <w:rsid w:val="00B468C1"/>
    <w:rsid w:val="00B46901"/>
    <w:rsid w:val="00B4694C"/>
    <w:rsid w:val="00B46A11"/>
    <w:rsid w:val="00B46A8C"/>
    <w:rsid w:val="00B46AEA"/>
    <w:rsid w:val="00B46B3B"/>
    <w:rsid w:val="00B46B65"/>
    <w:rsid w:val="00B46B66"/>
    <w:rsid w:val="00B46BA0"/>
    <w:rsid w:val="00B46D90"/>
    <w:rsid w:val="00B46D92"/>
    <w:rsid w:val="00B46E17"/>
    <w:rsid w:val="00B46F41"/>
    <w:rsid w:val="00B46F4E"/>
    <w:rsid w:val="00B46F81"/>
    <w:rsid w:val="00B46FD7"/>
    <w:rsid w:val="00B47032"/>
    <w:rsid w:val="00B47097"/>
    <w:rsid w:val="00B47362"/>
    <w:rsid w:val="00B473A0"/>
    <w:rsid w:val="00B473BF"/>
    <w:rsid w:val="00B4742D"/>
    <w:rsid w:val="00B474BD"/>
    <w:rsid w:val="00B47520"/>
    <w:rsid w:val="00B47531"/>
    <w:rsid w:val="00B47601"/>
    <w:rsid w:val="00B4761F"/>
    <w:rsid w:val="00B476A2"/>
    <w:rsid w:val="00B476AD"/>
    <w:rsid w:val="00B476B6"/>
    <w:rsid w:val="00B47756"/>
    <w:rsid w:val="00B477A2"/>
    <w:rsid w:val="00B477AA"/>
    <w:rsid w:val="00B4790A"/>
    <w:rsid w:val="00B47A50"/>
    <w:rsid w:val="00B47A69"/>
    <w:rsid w:val="00B47A85"/>
    <w:rsid w:val="00B47B3E"/>
    <w:rsid w:val="00B47C2E"/>
    <w:rsid w:val="00B47CAE"/>
    <w:rsid w:val="00B47D83"/>
    <w:rsid w:val="00B47D84"/>
    <w:rsid w:val="00B47DB6"/>
    <w:rsid w:val="00B47E99"/>
    <w:rsid w:val="00B47EB0"/>
    <w:rsid w:val="00B47EC8"/>
    <w:rsid w:val="00B50055"/>
    <w:rsid w:val="00B50060"/>
    <w:rsid w:val="00B50230"/>
    <w:rsid w:val="00B502B7"/>
    <w:rsid w:val="00B502C7"/>
    <w:rsid w:val="00B502C8"/>
    <w:rsid w:val="00B50337"/>
    <w:rsid w:val="00B50345"/>
    <w:rsid w:val="00B5040A"/>
    <w:rsid w:val="00B50634"/>
    <w:rsid w:val="00B50656"/>
    <w:rsid w:val="00B506A5"/>
    <w:rsid w:val="00B5074D"/>
    <w:rsid w:val="00B507A5"/>
    <w:rsid w:val="00B507BD"/>
    <w:rsid w:val="00B5086C"/>
    <w:rsid w:val="00B50921"/>
    <w:rsid w:val="00B5098D"/>
    <w:rsid w:val="00B509B3"/>
    <w:rsid w:val="00B50AD1"/>
    <w:rsid w:val="00B50BAE"/>
    <w:rsid w:val="00B50BB6"/>
    <w:rsid w:val="00B50C4D"/>
    <w:rsid w:val="00B50D3C"/>
    <w:rsid w:val="00B50D52"/>
    <w:rsid w:val="00B50E03"/>
    <w:rsid w:val="00B50E90"/>
    <w:rsid w:val="00B50EF8"/>
    <w:rsid w:val="00B50F2C"/>
    <w:rsid w:val="00B50FC7"/>
    <w:rsid w:val="00B50FDB"/>
    <w:rsid w:val="00B5100E"/>
    <w:rsid w:val="00B51084"/>
    <w:rsid w:val="00B510DB"/>
    <w:rsid w:val="00B511CE"/>
    <w:rsid w:val="00B511F4"/>
    <w:rsid w:val="00B51341"/>
    <w:rsid w:val="00B51453"/>
    <w:rsid w:val="00B51504"/>
    <w:rsid w:val="00B515DC"/>
    <w:rsid w:val="00B515EF"/>
    <w:rsid w:val="00B515F0"/>
    <w:rsid w:val="00B51621"/>
    <w:rsid w:val="00B5164B"/>
    <w:rsid w:val="00B51755"/>
    <w:rsid w:val="00B51940"/>
    <w:rsid w:val="00B519F7"/>
    <w:rsid w:val="00B51A3E"/>
    <w:rsid w:val="00B51B79"/>
    <w:rsid w:val="00B51BCD"/>
    <w:rsid w:val="00B51CB2"/>
    <w:rsid w:val="00B51D83"/>
    <w:rsid w:val="00B51E83"/>
    <w:rsid w:val="00B51F0D"/>
    <w:rsid w:val="00B51F0E"/>
    <w:rsid w:val="00B51F90"/>
    <w:rsid w:val="00B51FB1"/>
    <w:rsid w:val="00B52070"/>
    <w:rsid w:val="00B5213E"/>
    <w:rsid w:val="00B52143"/>
    <w:rsid w:val="00B5215E"/>
    <w:rsid w:val="00B521FF"/>
    <w:rsid w:val="00B5223A"/>
    <w:rsid w:val="00B5228F"/>
    <w:rsid w:val="00B52368"/>
    <w:rsid w:val="00B52431"/>
    <w:rsid w:val="00B52444"/>
    <w:rsid w:val="00B5252A"/>
    <w:rsid w:val="00B52544"/>
    <w:rsid w:val="00B525C2"/>
    <w:rsid w:val="00B525FB"/>
    <w:rsid w:val="00B5266C"/>
    <w:rsid w:val="00B526E5"/>
    <w:rsid w:val="00B527A2"/>
    <w:rsid w:val="00B52803"/>
    <w:rsid w:val="00B528CA"/>
    <w:rsid w:val="00B52935"/>
    <w:rsid w:val="00B529CA"/>
    <w:rsid w:val="00B52A32"/>
    <w:rsid w:val="00B52A9F"/>
    <w:rsid w:val="00B52AC9"/>
    <w:rsid w:val="00B52AED"/>
    <w:rsid w:val="00B52B37"/>
    <w:rsid w:val="00B52B4D"/>
    <w:rsid w:val="00B52B74"/>
    <w:rsid w:val="00B52B7B"/>
    <w:rsid w:val="00B52B89"/>
    <w:rsid w:val="00B52D58"/>
    <w:rsid w:val="00B52DDD"/>
    <w:rsid w:val="00B52E2E"/>
    <w:rsid w:val="00B52ED0"/>
    <w:rsid w:val="00B52F11"/>
    <w:rsid w:val="00B52F2D"/>
    <w:rsid w:val="00B53089"/>
    <w:rsid w:val="00B530C5"/>
    <w:rsid w:val="00B531A6"/>
    <w:rsid w:val="00B53257"/>
    <w:rsid w:val="00B5335B"/>
    <w:rsid w:val="00B533C1"/>
    <w:rsid w:val="00B533D2"/>
    <w:rsid w:val="00B533D9"/>
    <w:rsid w:val="00B533FE"/>
    <w:rsid w:val="00B53534"/>
    <w:rsid w:val="00B53588"/>
    <w:rsid w:val="00B53625"/>
    <w:rsid w:val="00B5369D"/>
    <w:rsid w:val="00B53718"/>
    <w:rsid w:val="00B53722"/>
    <w:rsid w:val="00B537BF"/>
    <w:rsid w:val="00B53856"/>
    <w:rsid w:val="00B53886"/>
    <w:rsid w:val="00B5389F"/>
    <w:rsid w:val="00B538FF"/>
    <w:rsid w:val="00B53955"/>
    <w:rsid w:val="00B53A35"/>
    <w:rsid w:val="00B53B8A"/>
    <w:rsid w:val="00B53BD5"/>
    <w:rsid w:val="00B53BDD"/>
    <w:rsid w:val="00B53C86"/>
    <w:rsid w:val="00B53CB5"/>
    <w:rsid w:val="00B53DD8"/>
    <w:rsid w:val="00B53DE8"/>
    <w:rsid w:val="00B53DF0"/>
    <w:rsid w:val="00B53E3B"/>
    <w:rsid w:val="00B53F22"/>
    <w:rsid w:val="00B53FBE"/>
    <w:rsid w:val="00B54016"/>
    <w:rsid w:val="00B54046"/>
    <w:rsid w:val="00B54055"/>
    <w:rsid w:val="00B540AF"/>
    <w:rsid w:val="00B540BB"/>
    <w:rsid w:val="00B540DC"/>
    <w:rsid w:val="00B54104"/>
    <w:rsid w:val="00B54122"/>
    <w:rsid w:val="00B541C0"/>
    <w:rsid w:val="00B541D4"/>
    <w:rsid w:val="00B54446"/>
    <w:rsid w:val="00B5454F"/>
    <w:rsid w:val="00B54606"/>
    <w:rsid w:val="00B546A3"/>
    <w:rsid w:val="00B546AF"/>
    <w:rsid w:val="00B5470D"/>
    <w:rsid w:val="00B547AD"/>
    <w:rsid w:val="00B547D2"/>
    <w:rsid w:val="00B54828"/>
    <w:rsid w:val="00B5486B"/>
    <w:rsid w:val="00B5487B"/>
    <w:rsid w:val="00B54917"/>
    <w:rsid w:val="00B549D2"/>
    <w:rsid w:val="00B549D5"/>
    <w:rsid w:val="00B54A08"/>
    <w:rsid w:val="00B54B7E"/>
    <w:rsid w:val="00B54BC3"/>
    <w:rsid w:val="00B54BFA"/>
    <w:rsid w:val="00B54C81"/>
    <w:rsid w:val="00B54D62"/>
    <w:rsid w:val="00B54E7C"/>
    <w:rsid w:val="00B54E7E"/>
    <w:rsid w:val="00B54EA3"/>
    <w:rsid w:val="00B54F8E"/>
    <w:rsid w:val="00B54FF6"/>
    <w:rsid w:val="00B55018"/>
    <w:rsid w:val="00B55026"/>
    <w:rsid w:val="00B552AF"/>
    <w:rsid w:val="00B5539A"/>
    <w:rsid w:val="00B554DB"/>
    <w:rsid w:val="00B55550"/>
    <w:rsid w:val="00B55555"/>
    <w:rsid w:val="00B556F5"/>
    <w:rsid w:val="00B557E0"/>
    <w:rsid w:val="00B55841"/>
    <w:rsid w:val="00B5587A"/>
    <w:rsid w:val="00B5593B"/>
    <w:rsid w:val="00B55A0A"/>
    <w:rsid w:val="00B55B02"/>
    <w:rsid w:val="00B55B4D"/>
    <w:rsid w:val="00B55C5B"/>
    <w:rsid w:val="00B55C9A"/>
    <w:rsid w:val="00B55CBF"/>
    <w:rsid w:val="00B55D2D"/>
    <w:rsid w:val="00B55DF3"/>
    <w:rsid w:val="00B55DF4"/>
    <w:rsid w:val="00B55E5A"/>
    <w:rsid w:val="00B55E98"/>
    <w:rsid w:val="00B55EFA"/>
    <w:rsid w:val="00B55F3C"/>
    <w:rsid w:val="00B55F58"/>
    <w:rsid w:val="00B56056"/>
    <w:rsid w:val="00B560B3"/>
    <w:rsid w:val="00B560F1"/>
    <w:rsid w:val="00B56123"/>
    <w:rsid w:val="00B5617E"/>
    <w:rsid w:val="00B561F7"/>
    <w:rsid w:val="00B56203"/>
    <w:rsid w:val="00B56243"/>
    <w:rsid w:val="00B56277"/>
    <w:rsid w:val="00B562B5"/>
    <w:rsid w:val="00B564EC"/>
    <w:rsid w:val="00B5659A"/>
    <w:rsid w:val="00B5659D"/>
    <w:rsid w:val="00B565FF"/>
    <w:rsid w:val="00B56783"/>
    <w:rsid w:val="00B567D0"/>
    <w:rsid w:val="00B56807"/>
    <w:rsid w:val="00B568C7"/>
    <w:rsid w:val="00B5690A"/>
    <w:rsid w:val="00B569B2"/>
    <w:rsid w:val="00B56B02"/>
    <w:rsid w:val="00B56BA3"/>
    <w:rsid w:val="00B56BC8"/>
    <w:rsid w:val="00B56D2F"/>
    <w:rsid w:val="00B56DA0"/>
    <w:rsid w:val="00B56E55"/>
    <w:rsid w:val="00B56ECA"/>
    <w:rsid w:val="00B56F45"/>
    <w:rsid w:val="00B56FDA"/>
    <w:rsid w:val="00B57068"/>
    <w:rsid w:val="00B570C7"/>
    <w:rsid w:val="00B5714B"/>
    <w:rsid w:val="00B571C2"/>
    <w:rsid w:val="00B571D1"/>
    <w:rsid w:val="00B5729F"/>
    <w:rsid w:val="00B57329"/>
    <w:rsid w:val="00B57418"/>
    <w:rsid w:val="00B57515"/>
    <w:rsid w:val="00B57550"/>
    <w:rsid w:val="00B57577"/>
    <w:rsid w:val="00B575D3"/>
    <w:rsid w:val="00B575FE"/>
    <w:rsid w:val="00B5768E"/>
    <w:rsid w:val="00B57770"/>
    <w:rsid w:val="00B5781C"/>
    <w:rsid w:val="00B5782A"/>
    <w:rsid w:val="00B578E9"/>
    <w:rsid w:val="00B579B4"/>
    <w:rsid w:val="00B579DC"/>
    <w:rsid w:val="00B57A10"/>
    <w:rsid w:val="00B57A2D"/>
    <w:rsid w:val="00B57A79"/>
    <w:rsid w:val="00B57AB0"/>
    <w:rsid w:val="00B57B0C"/>
    <w:rsid w:val="00B57BCB"/>
    <w:rsid w:val="00B57BE8"/>
    <w:rsid w:val="00B57BFC"/>
    <w:rsid w:val="00B57D8A"/>
    <w:rsid w:val="00B57DC7"/>
    <w:rsid w:val="00B57E3D"/>
    <w:rsid w:val="00B57FF9"/>
    <w:rsid w:val="00B600CA"/>
    <w:rsid w:val="00B60171"/>
    <w:rsid w:val="00B601CD"/>
    <w:rsid w:val="00B601E4"/>
    <w:rsid w:val="00B60270"/>
    <w:rsid w:val="00B602F7"/>
    <w:rsid w:val="00B60339"/>
    <w:rsid w:val="00B603B5"/>
    <w:rsid w:val="00B60447"/>
    <w:rsid w:val="00B60463"/>
    <w:rsid w:val="00B6061A"/>
    <w:rsid w:val="00B6082A"/>
    <w:rsid w:val="00B60916"/>
    <w:rsid w:val="00B6097B"/>
    <w:rsid w:val="00B60AB5"/>
    <w:rsid w:val="00B60BA4"/>
    <w:rsid w:val="00B60C27"/>
    <w:rsid w:val="00B60C63"/>
    <w:rsid w:val="00B60E52"/>
    <w:rsid w:val="00B60ED6"/>
    <w:rsid w:val="00B60EE0"/>
    <w:rsid w:val="00B61003"/>
    <w:rsid w:val="00B611D9"/>
    <w:rsid w:val="00B6137B"/>
    <w:rsid w:val="00B61466"/>
    <w:rsid w:val="00B6146B"/>
    <w:rsid w:val="00B615F6"/>
    <w:rsid w:val="00B6168C"/>
    <w:rsid w:val="00B61776"/>
    <w:rsid w:val="00B61786"/>
    <w:rsid w:val="00B6184F"/>
    <w:rsid w:val="00B618E6"/>
    <w:rsid w:val="00B61963"/>
    <w:rsid w:val="00B619DC"/>
    <w:rsid w:val="00B61A02"/>
    <w:rsid w:val="00B61A53"/>
    <w:rsid w:val="00B61B01"/>
    <w:rsid w:val="00B61B56"/>
    <w:rsid w:val="00B61B5A"/>
    <w:rsid w:val="00B61B82"/>
    <w:rsid w:val="00B61C01"/>
    <w:rsid w:val="00B61D2D"/>
    <w:rsid w:val="00B61D85"/>
    <w:rsid w:val="00B61E24"/>
    <w:rsid w:val="00B61E73"/>
    <w:rsid w:val="00B61F4F"/>
    <w:rsid w:val="00B61F5B"/>
    <w:rsid w:val="00B62111"/>
    <w:rsid w:val="00B6218E"/>
    <w:rsid w:val="00B621E5"/>
    <w:rsid w:val="00B6222D"/>
    <w:rsid w:val="00B62235"/>
    <w:rsid w:val="00B6227B"/>
    <w:rsid w:val="00B6237C"/>
    <w:rsid w:val="00B6243B"/>
    <w:rsid w:val="00B625DB"/>
    <w:rsid w:val="00B625F6"/>
    <w:rsid w:val="00B626BB"/>
    <w:rsid w:val="00B626FD"/>
    <w:rsid w:val="00B6274F"/>
    <w:rsid w:val="00B627A6"/>
    <w:rsid w:val="00B627E7"/>
    <w:rsid w:val="00B627E9"/>
    <w:rsid w:val="00B62808"/>
    <w:rsid w:val="00B62967"/>
    <w:rsid w:val="00B62ACE"/>
    <w:rsid w:val="00B62AF4"/>
    <w:rsid w:val="00B62B04"/>
    <w:rsid w:val="00B62B0F"/>
    <w:rsid w:val="00B62C76"/>
    <w:rsid w:val="00B62D1B"/>
    <w:rsid w:val="00B62D60"/>
    <w:rsid w:val="00B62DAF"/>
    <w:rsid w:val="00B62DEA"/>
    <w:rsid w:val="00B62E8F"/>
    <w:rsid w:val="00B62ED1"/>
    <w:rsid w:val="00B62EF1"/>
    <w:rsid w:val="00B62F02"/>
    <w:rsid w:val="00B62F3F"/>
    <w:rsid w:val="00B62F73"/>
    <w:rsid w:val="00B62FB5"/>
    <w:rsid w:val="00B630D9"/>
    <w:rsid w:val="00B630EC"/>
    <w:rsid w:val="00B63133"/>
    <w:rsid w:val="00B63139"/>
    <w:rsid w:val="00B63166"/>
    <w:rsid w:val="00B631EF"/>
    <w:rsid w:val="00B632B8"/>
    <w:rsid w:val="00B633E8"/>
    <w:rsid w:val="00B6347D"/>
    <w:rsid w:val="00B634C6"/>
    <w:rsid w:val="00B63512"/>
    <w:rsid w:val="00B635D1"/>
    <w:rsid w:val="00B635D2"/>
    <w:rsid w:val="00B6366C"/>
    <w:rsid w:val="00B63681"/>
    <w:rsid w:val="00B63686"/>
    <w:rsid w:val="00B638C1"/>
    <w:rsid w:val="00B63901"/>
    <w:rsid w:val="00B639D9"/>
    <w:rsid w:val="00B639FF"/>
    <w:rsid w:val="00B63A59"/>
    <w:rsid w:val="00B63AA5"/>
    <w:rsid w:val="00B63ABA"/>
    <w:rsid w:val="00B63BCE"/>
    <w:rsid w:val="00B63BD7"/>
    <w:rsid w:val="00B63BD8"/>
    <w:rsid w:val="00B63BE2"/>
    <w:rsid w:val="00B63CEB"/>
    <w:rsid w:val="00B63D3A"/>
    <w:rsid w:val="00B63E58"/>
    <w:rsid w:val="00B63F4B"/>
    <w:rsid w:val="00B63F65"/>
    <w:rsid w:val="00B64032"/>
    <w:rsid w:val="00B64075"/>
    <w:rsid w:val="00B640A7"/>
    <w:rsid w:val="00B640B5"/>
    <w:rsid w:val="00B641AE"/>
    <w:rsid w:val="00B64262"/>
    <w:rsid w:val="00B6427A"/>
    <w:rsid w:val="00B64428"/>
    <w:rsid w:val="00B6445A"/>
    <w:rsid w:val="00B644E7"/>
    <w:rsid w:val="00B64551"/>
    <w:rsid w:val="00B64568"/>
    <w:rsid w:val="00B6457F"/>
    <w:rsid w:val="00B6462C"/>
    <w:rsid w:val="00B6469B"/>
    <w:rsid w:val="00B64770"/>
    <w:rsid w:val="00B64802"/>
    <w:rsid w:val="00B64845"/>
    <w:rsid w:val="00B64936"/>
    <w:rsid w:val="00B64946"/>
    <w:rsid w:val="00B649E5"/>
    <w:rsid w:val="00B64A57"/>
    <w:rsid w:val="00B64B51"/>
    <w:rsid w:val="00B64B52"/>
    <w:rsid w:val="00B64C0F"/>
    <w:rsid w:val="00B64C76"/>
    <w:rsid w:val="00B64DBE"/>
    <w:rsid w:val="00B64DF5"/>
    <w:rsid w:val="00B64E0E"/>
    <w:rsid w:val="00B64EC2"/>
    <w:rsid w:val="00B64EC4"/>
    <w:rsid w:val="00B64F89"/>
    <w:rsid w:val="00B64FAF"/>
    <w:rsid w:val="00B64FD9"/>
    <w:rsid w:val="00B65089"/>
    <w:rsid w:val="00B650C6"/>
    <w:rsid w:val="00B650D3"/>
    <w:rsid w:val="00B650FA"/>
    <w:rsid w:val="00B6517F"/>
    <w:rsid w:val="00B651D1"/>
    <w:rsid w:val="00B651E9"/>
    <w:rsid w:val="00B651EE"/>
    <w:rsid w:val="00B65276"/>
    <w:rsid w:val="00B652C2"/>
    <w:rsid w:val="00B65394"/>
    <w:rsid w:val="00B653A8"/>
    <w:rsid w:val="00B65401"/>
    <w:rsid w:val="00B65554"/>
    <w:rsid w:val="00B655E8"/>
    <w:rsid w:val="00B65609"/>
    <w:rsid w:val="00B6567C"/>
    <w:rsid w:val="00B6579A"/>
    <w:rsid w:val="00B657F6"/>
    <w:rsid w:val="00B657FB"/>
    <w:rsid w:val="00B65951"/>
    <w:rsid w:val="00B65B25"/>
    <w:rsid w:val="00B65C06"/>
    <w:rsid w:val="00B65C3A"/>
    <w:rsid w:val="00B65C62"/>
    <w:rsid w:val="00B65C75"/>
    <w:rsid w:val="00B65C94"/>
    <w:rsid w:val="00B65D6C"/>
    <w:rsid w:val="00B65DAA"/>
    <w:rsid w:val="00B65DDB"/>
    <w:rsid w:val="00B65E52"/>
    <w:rsid w:val="00B65E65"/>
    <w:rsid w:val="00B65E8F"/>
    <w:rsid w:val="00B65E91"/>
    <w:rsid w:val="00B65F0F"/>
    <w:rsid w:val="00B66034"/>
    <w:rsid w:val="00B66074"/>
    <w:rsid w:val="00B66151"/>
    <w:rsid w:val="00B66221"/>
    <w:rsid w:val="00B6624E"/>
    <w:rsid w:val="00B66258"/>
    <w:rsid w:val="00B662A6"/>
    <w:rsid w:val="00B663C3"/>
    <w:rsid w:val="00B6648C"/>
    <w:rsid w:val="00B664DF"/>
    <w:rsid w:val="00B6652D"/>
    <w:rsid w:val="00B66548"/>
    <w:rsid w:val="00B666A5"/>
    <w:rsid w:val="00B666C9"/>
    <w:rsid w:val="00B666D0"/>
    <w:rsid w:val="00B6670C"/>
    <w:rsid w:val="00B667CC"/>
    <w:rsid w:val="00B66901"/>
    <w:rsid w:val="00B66A19"/>
    <w:rsid w:val="00B66ADD"/>
    <w:rsid w:val="00B66AF7"/>
    <w:rsid w:val="00B66AFA"/>
    <w:rsid w:val="00B66B04"/>
    <w:rsid w:val="00B66B2F"/>
    <w:rsid w:val="00B66B76"/>
    <w:rsid w:val="00B66B8E"/>
    <w:rsid w:val="00B66BBA"/>
    <w:rsid w:val="00B66CC8"/>
    <w:rsid w:val="00B66DF2"/>
    <w:rsid w:val="00B66F2E"/>
    <w:rsid w:val="00B66F89"/>
    <w:rsid w:val="00B6717C"/>
    <w:rsid w:val="00B671DB"/>
    <w:rsid w:val="00B67286"/>
    <w:rsid w:val="00B672D8"/>
    <w:rsid w:val="00B672E8"/>
    <w:rsid w:val="00B67362"/>
    <w:rsid w:val="00B67485"/>
    <w:rsid w:val="00B6752F"/>
    <w:rsid w:val="00B676A7"/>
    <w:rsid w:val="00B676C4"/>
    <w:rsid w:val="00B67729"/>
    <w:rsid w:val="00B67731"/>
    <w:rsid w:val="00B677A2"/>
    <w:rsid w:val="00B67803"/>
    <w:rsid w:val="00B6785C"/>
    <w:rsid w:val="00B67892"/>
    <w:rsid w:val="00B678EE"/>
    <w:rsid w:val="00B678EF"/>
    <w:rsid w:val="00B6798B"/>
    <w:rsid w:val="00B679C0"/>
    <w:rsid w:val="00B67AB1"/>
    <w:rsid w:val="00B67B26"/>
    <w:rsid w:val="00B67B93"/>
    <w:rsid w:val="00B67BFD"/>
    <w:rsid w:val="00B67D26"/>
    <w:rsid w:val="00B67D50"/>
    <w:rsid w:val="00B67DBF"/>
    <w:rsid w:val="00B67DF0"/>
    <w:rsid w:val="00B67F9D"/>
    <w:rsid w:val="00B700D3"/>
    <w:rsid w:val="00B7011B"/>
    <w:rsid w:val="00B7016A"/>
    <w:rsid w:val="00B703A1"/>
    <w:rsid w:val="00B70521"/>
    <w:rsid w:val="00B70547"/>
    <w:rsid w:val="00B705AF"/>
    <w:rsid w:val="00B70618"/>
    <w:rsid w:val="00B70777"/>
    <w:rsid w:val="00B707BC"/>
    <w:rsid w:val="00B70825"/>
    <w:rsid w:val="00B70827"/>
    <w:rsid w:val="00B7083D"/>
    <w:rsid w:val="00B70851"/>
    <w:rsid w:val="00B7087B"/>
    <w:rsid w:val="00B709BA"/>
    <w:rsid w:val="00B70A6E"/>
    <w:rsid w:val="00B70A73"/>
    <w:rsid w:val="00B70A75"/>
    <w:rsid w:val="00B70AD7"/>
    <w:rsid w:val="00B70B77"/>
    <w:rsid w:val="00B70C5F"/>
    <w:rsid w:val="00B70C6C"/>
    <w:rsid w:val="00B70C8D"/>
    <w:rsid w:val="00B70D22"/>
    <w:rsid w:val="00B70D70"/>
    <w:rsid w:val="00B70D90"/>
    <w:rsid w:val="00B70E15"/>
    <w:rsid w:val="00B70E44"/>
    <w:rsid w:val="00B70E9C"/>
    <w:rsid w:val="00B70ECD"/>
    <w:rsid w:val="00B70F06"/>
    <w:rsid w:val="00B70F43"/>
    <w:rsid w:val="00B70FD1"/>
    <w:rsid w:val="00B70FDD"/>
    <w:rsid w:val="00B70FE0"/>
    <w:rsid w:val="00B71088"/>
    <w:rsid w:val="00B71253"/>
    <w:rsid w:val="00B71366"/>
    <w:rsid w:val="00B71469"/>
    <w:rsid w:val="00B7148D"/>
    <w:rsid w:val="00B71528"/>
    <w:rsid w:val="00B71611"/>
    <w:rsid w:val="00B7161D"/>
    <w:rsid w:val="00B71639"/>
    <w:rsid w:val="00B71673"/>
    <w:rsid w:val="00B71709"/>
    <w:rsid w:val="00B717A9"/>
    <w:rsid w:val="00B718D0"/>
    <w:rsid w:val="00B71944"/>
    <w:rsid w:val="00B7196E"/>
    <w:rsid w:val="00B7199E"/>
    <w:rsid w:val="00B719EC"/>
    <w:rsid w:val="00B719F2"/>
    <w:rsid w:val="00B71BAD"/>
    <w:rsid w:val="00B71C1C"/>
    <w:rsid w:val="00B71C7E"/>
    <w:rsid w:val="00B71C9D"/>
    <w:rsid w:val="00B71CD1"/>
    <w:rsid w:val="00B71E56"/>
    <w:rsid w:val="00B71EBC"/>
    <w:rsid w:val="00B71F68"/>
    <w:rsid w:val="00B7204D"/>
    <w:rsid w:val="00B720AB"/>
    <w:rsid w:val="00B720B0"/>
    <w:rsid w:val="00B720B6"/>
    <w:rsid w:val="00B720EC"/>
    <w:rsid w:val="00B721AB"/>
    <w:rsid w:val="00B72353"/>
    <w:rsid w:val="00B72382"/>
    <w:rsid w:val="00B72389"/>
    <w:rsid w:val="00B723D7"/>
    <w:rsid w:val="00B723E7"/>
    <w:rsid w:val="00B72591"/>
    <w:rsid w:val="00B7281E"/>
    <w:rsid w:val="00B72836"/>
    <w:rsid w:val="00B72939"/>
    <w:rsid w:val="00B7296F"/>
    <w:rsid w:val="00B729B0"/>
    <w:rsid w:val="00B72A3F"/>
    <w:rsid w:val="00B72ACF"/>
    <w:rsid w:val="00B72BAE"/>
    <w:rsid w:val="00B72C53"/>
    <w:rsid w:val="00B72C55"/>
    <w:rsid w:val="00B72C89"/>
    <w:rsid w:val="00B72D5C"/>
    <w:rsid w:val="00B72DA7"/>
    <w:rsid w:val="00B72E19"/>
    <w:rsid w:val="00B72E21"/>
    <w:rsid w:val="00B72E7A"/>
    <w:rsid w:val="00B72F5F"/>
    <w:rsid w:val="00B730EA"/>
    <w:rsid w:val="00B730FD"/>
    <w:rsid w:val="00B73169"/>
    <w:rsid w:val="00B73246"/>
    <w:rsid w:val="00B734E4"/>
    <w:rsid w:val="00B73546"/>
    <w:rsid w:val="00B7364C"/>
    <w:rsid w:val="00B7367D"/>
    <w:rsid w:val="00B736C4"/>
    <w:rsid w:val="00B736E4"/>
    <w:rsid w:val="00B736F7"/>
    <w:rsid w:val="00B7373D"/>
    <w:rsid w:val="00B7378C"/>
    <w:rsid w:val="00B737B0"/>
    <w:rsid w:val="00B737FF"/>
    <w:rsid w:val="00B73859"/>
    <w:rsid w:val="00B73860"/>
    <w:rsid w:val="00B73A10"/>
    <w:rsid w:val="00B73C04"/>
    <w:rsid w:val="00B73C0C"/>
    <w:rsid w:val="00B73C42"/>
    <w:rsid w:val="00B73C50"/>
    <w:rsid w:val="00B73C52"/>
    <w:rsid w:val="00B73C69"/>
    <w:rsid w:val="00B73CA1"/>
    <w:rsid w:val="00B73CEE"/>
    <w:rsid w:val="00B73E38"/>
    <w:rsid w:val="00B73EA1"/>
    <w:rsid w:val="00B73F08"/>
    <w:rsid w:val="00B73F12"/>
    <w:rsid w:val="00B741C0"/>
    <w:rsid w:val="00B741CC"/>
    <w:rsid w:val="00B74203"/>
    <w:rsid w:val="00B74209"/>
    <w:rsid w:val="00B74242"/>
    <w:rsid w:val="00B742C0"/>
    <w:rsid w:val="00B742D9"/>
    <w:rsid w:val="00B74374"/>
    <w:rsid w:val="00B743DF"/>
    <w:rsid w:val="00B743F8"/>
    <w:rsid w:val="00B7448D"/>
    <w:rsid w:val="00B744C0"/>
    <w:rsid w:val="00B744CE"/>
    <w:rsid w:val="00B74601"/>
    <w:rsid w:val="00B74602"/>
    <w:rsid w:val="00B74775"/>
    <w:rsid w:val="00B747CB"/>
    <w:rsid w:val="00B74857"/>
    <w:rsid w:val="00B7494E"/>
    <w:rsid w:val="00B74978"/>
    <w:rsid w:val="00B74AE6"/>
    <w:rsid w:val="00B74B63"/>
    <w:rsid w:val="00B74BE4"/>
    <w:rsid w:val="00B74CAB"/>
    <w:rsid w:val="00B74DEC"/>
    <w:rsid w:val="00B74E7E"/>
    <w:rsid w:val="00B74F2A"/>
    <w:rsid w:val="00B74F7F"/>
    <w:rsid w:val="00B7503A"/>
    <w:rsid w:val="00B75057"/>
    <w:rsid w:val="00B75074"/>
    <w:rsid w:val="00B7508C"/>
    <w:rsid w:val="00B75096"/>
    <w:rsid w:val="00B751C5"/>
    <w:rsid w:val="00B75298"/>
    <w:rsid w:val="00B752D7"/>
    <w:rsid w:val="00B75356"/>
    <w:rsid w:val="00B7536C"/>
    <w:rsid w:val="00B753A4"/>
    <w:rsid w:val="00B75416"/>
    <w:rsid w:val="00B754BC"/>
    <w:rsid w:val="00B75511"/>
    <w:rsid w:val="00B75546"/>
    <w:rsid w:val="00B7560A"/>
    <w:rsid w:val="00B7563F"/>
    <w:rsid w:val="00B7567B"/>
    <w:rsid w:val="00B756DC"/>
    <w:rsid w:val="00B75711"/>
    <w:rsid w:val="00B757B6"/>
    <w:rsid w:val="00B757DB"/>
    <w:rsid w:val="00B757FD"/>
    <w:rsid w:val="00B7587D"/>
    <w:rsid w:val="00B758A0"/>
    <w:rsid w:val="00B7594B"/>
    <w:rsid w:val="00B759A1"/>
    <w:rsid w:val="00B759BF"/>
    <w:rsid w:val="00B75A67"/>
    <w:rsid w:val="00B75B08"/>
    <w:rsid w:val="00B75BFF"/>
    <w:rsid w:val="00B75C61"/>
    <w:rsid w:val="00B75CC9"/>
    <w:rsid w:val="00B75CE8"/>
    <w:rsid w:val="00B75D10"/>
    <w:rsid w:val="00B75DE7"/>
    <w:rsid w:val="00B75E0B"/>
    <w:rsid w:val="00B75E67"/>
    <w:rsid w:val="00B75E71"/>
    <w:rsid w:val="00B75FEA"/>
    <w:rsid w:val="00B76028"/>
    <w:rsid w:val="00B7617F"/>
    <w:rsid w:val="00B76198"/>
    <w:rsid w:val="00B761D4"/>
    <w:rsid w:val="00B7625A"/>
    <w:rsid w:val="00B76323"/>
    <w:rsid w:val="00B7637A"/>
    <w:rsid w:val="00B763D8"/>
    <w:rsid w:val="00B763E2"/>
    <w:rsid w:val="00B76484"/>
    <w:rsid w:val="00B764E8"/>
    <w:rsid w:val="00B765B0"/>
    <w:rsid w:val="00B7662F"/>
    <w:rsid w:val="00B7663C"/>
    <w:rsid w:val="00B7668E"/>
    <w:rsid w:val="00B767A6"/>
    <w:rsid w:val="00B767DA"/>
    <w:rsid w:val="00B767EF"/>
    <w:rsid w:val="00B7681F"/>
    <w:rsid w:val="00B768FD"/>
    <w:rsid w:val="00B769D1"/>
    <w:rsid w:val="00B76AC3"/>
    <w:rsid w:val="00B76AED"/>
    <w:rsid w:val="00B76AF2"/>
    <w:rsid w:val="00B76B27"/>
    <w:rsid w:val="00B76B38"/>
    <w:rsid w:val="00B76C95"/>
    <w:rsid w:val="00B76CC8"/>
    <w:rsid w:val="00B76D3F"/>
    <w:rsid w:val="00B76D67"/>
    <w:rsid w:val="00B76DFE"/>
    <w:rsid w:val="00B76ECB"/>
    <w:rsid w:val="00B76EE8"/>
    <w:rsid w:val="00B76F5A"/>
    <w:rsid w:val="00B76F5B"/>
    <w:rsid w:val="00B76FF8"/>
    <w:rsid w:val="00B7702A"/>
    <w:rsid w:val="00B77189"/>
    <w:rsid w:val="00B77223"/>
    <w:rsid w:val="00B77277"/>
    <w:rsid w:val="00B77298"/>
    <w:rsid w:val="00B77336"/>
    <w:rsid w:val="00B776EA"/>
    <w:rsid w:val="00B77798"/>
    <w:rsid w:val="00B77801"/>
    <w:rsid w:val="00B778C6"/>
    <w:rsid w:val="00B77965"/>
    <w:rsid w:val="00B77B96"/>
    <w:rsid w:val="00B77BCE"/>
    <w:rsid w:val="00B77C71"/>
    <w:rsid w:val="00B77E2E"/>
    <w:rsid w:val="00B800CF"/>
    <w:rsid w:val="00B80207"/>
    <w:rsid w:val="00B8027A"/>
    <w:rsid w:val="00B8027D"/>
    <w:rsid w:val="00B802F9"/>
    <w:rsid w:val="00B80304"/>
    <w:rsid w:val="00B80323"/>
    <w:rsid w:val="00B803C3"/>
    <w:rsid w:val="00B804D2"/>
    <w:rsid w:val="00B80525"/>
    <w:rsid w:val="00B8058B"/>
    <w:rsid w:val="00B805EB"/>
    <w:rsid w:val="00B8060A"/>
    <w:rsid w:val="00B80613"/>
    <w:rsid w:val="00B806C2"/>
    <w:rsid w:val="00B807A8"/>
    <w:rsid w:val="00B808C7"/>
    <w:rsid w:val="00B8099C"/>
    <w:rsid w:val="00B809A2"/>
    <w:rsid w:val="00B80A13"/>
    <w:rsid w:val="00B80AAD"/>
    <w:rsid w:val="00B80AE3"/>
    <w:rsid w:val="00B80D7F"/>
    <w:rsid w:val="00B80D81"/>
    <w:rsid w:val="00B80E5C"/>
    <w:rsid w:val="00B80E6D"/>
    <w:rsid w:val="00B81081"/>
    <w:rsid w:val="00B810A4"/>
    <w:rsid w:val="00B8110A"/>
    <w:rsid w:val="00B8111B"/>
    <w:rsid w:val="00B8115C"/>
    <w:rsid w:val="00B811A4"/>
    <w:rsid w:val="00B812A6"/>
    <w:rsid w:val="00B81348"/>
    <w:rsid w:val="00B813AA"/>
    <w:rsid w:val="00B8148C"/>
    <w:rsid w:val="00B8152E"/>
    <w:rsid w:val="00B81584"/>
    <w:rsid w:val="00B815D2"/>
    <w:rsid w:val="00B815E5"/>
    <w:rsid w:val="00B8160B"/>
    <w:rsid w:val="00B8160D"/>
    <w:rsid w:val="00B81702"/>
    <w:rsid w:val="00B81711"/>
    <w:rsid w:val="00B817C1"/>
    <w:rsid w:val="00B81814"/>
    <w:rsid w:val="00B8187D"/>
    <w:rsid w:val="00B81882"/>
    <w:rsid w:val="00B818BE"/>
    <w:rsid w:val="00B81924"/>
    <w:rsid w:val="00B819C9"/>
    <w:rsid w:val="00B81AEC"/>
    <w:rsid w:val="00B81AF0"/>
    <w:rsid w:val="00B81B27"/>
    <w:rsid w:val="00B81B8F"/>
    <w:rsid w:val="00B81B92"/>
    <w:rsid w:val="00B81BE2"/>
    <w:rsid w:val="00B81C29"/>
    <w:rsid w:val="00B81C4B"/>
    <w:rsid w:val="00B81E07"/>
    <w:rsid w:val="00B81E3E"/>
    <w:rsid w:val="00B81E80"/>
    <w:rsid w:val="00B81EF0"/>
    <w:rsid w:val="00B82019"/>
    <w:rsid w:val="00B82035"/>
    <w:rsid w:val="00B8205D"/>
    <w:rsid w:val="00B82084"/>
    <w:rsid w:val="00B8209C"/>
    <w:rsid w:val="00B820E4"/>
    <w:rsid w:val="00B82149"/>
    <w:rsid w:val="00B821D3"/>
    <w:rsid w:val="00B82307"/>
    <w:rsid w:val="00B8231F"/>
    <w:rsid w:val="00B82327"/>
    <w:rsid w:val="00B823B9"/>
    <w:rsid w:val="00B8244F"/>
    <w:rsid w:val="00B82681"/>
    <w:rsid w:val="00B8273C"/>
    <w:rsid w:val="00B82759"/>
    <w:rsid w:val="00B827F3"/>
    <w:rsid w:val="00B82801"/>
    <w:rsid w:val="00B82816"/>
    <w:rsid w:val="00B82928"/>
    <w:rsid w:val="00B8292D"/>
    <w:rsid w:val="00B82B01"/>
    <w:rsid w:val="00B82C24"/>
    <w:rsid w:val="00B82D67"/>
    <w:rsid w:val="00B82E18"/>
    <w:rsid w:val="00B82EC7"/>
    <w:rsid w:val="00B82ED5"/>
    <w:rsid w:val="00B82F81"/>
    <w:rsid w:val="00B82FB1"/>
    <w:rsid w:val="00B82FB4"/>
    <w:rsid w:val="00B82FFF"/>
    <w:rsid w:val="00B830A1"/>
    <w:rsid w:val="00B83113"/>
    <w:rsid w:val="00B831A0"/>
    <w:rsid w:val="00B831CE"/>
    <w:rsid w:val="00B831F3"/>
    <w:rsid w:val="00B832C3"/>
    <w:rsid w:val="00B83310"/>
    <w:rsid w:val="00B833C4"/>
    <w:rsid w:val="00B8346C"/>
    <w:rsid w:val="00B8347B"/>
    <w:rsid w:val="00B83590"/>
    <w:rsid w:val="00B83646"/>
    <w:rsid w:val="00B8388A"/>
    <w:rsid w:val="00B8388E"/>
    <w:rsid w:val="00B838C1"/>
    <w:rsid w:val="00B8390D"/>
    <w:rsid w:val="00B83911"/>
    <w:rsid w:val="00B83967"/>
    <w:rsid w:val="00B8398C"/>
    <w:rsid w:val="00B83B02"/>
    <w:rsid w:val="00B83BF2"/>
    <w:rsid w:val="00B83C91"/>
    <w:rsid w:val="00B83C9D"/>
    <w:rsid w:val="00B83D35"/>
    <w:rsid w:val="00B83E62"/>
    <w:rsid w:val="00B83E81"/>
    <w:rsid w:val="00B83EC0"/>
    <w:rsid w:val="00B83EE7"/>
    <w:rsid w:val="00B83F38"/>
    <w:rsid w:val="00B83F81"/>
    <w:rsid w:val="00B84073"/>
    <w:rsid w:val="00B84127"/>
    <w:rsid w:val="00B8412F"/>
    <w:rsid w:val="00B84184"/>
    <w:rsid w:val="00B841CB"/>
    <w:rsid w:val="00B84286"/>
    <w:rsid w:val="00B84321"/>
    <w:rsid w:val="00B84440"/>
    <w:rsid w:val="00B844AC"/>
    <w:rsid w:val="00B844BB"/>
    <w:rsid w:val="00B84686"/>
    <w:rsid w:val="00B84690"/>
    <w:rsid w:val="00B846B0"/>
    <w:rsid w:val="00B846CC"/>
    <w:rsid w:val="00B846F5"/>
    <w:rsid w:val="00B847F3"/>
    <w:rsid w:val="00B84869"/>
    <w:rsid w:val="00B84897"/>
    <w:rsid w:val="00B84A4D"/>
    <w:rsid w:val="00B84ABC"/>
    <w:rsid w:val="00B84AC2"/>
    <w:rsid w:val="00B84AFC"/>
    <w:rsid w:val="00B84BC1"/>
    <w:rsid w:val="00B84C0F"/>
    <w:rsid w:val="00B84CBC"/>
    <w:rsid w:val="00B84D48"/>
    <w:rsid w:val="00B84DE3"/>
    <w:rsid w:val="00B84E20"/>
    <w:rsid w:val="00B84E5D"/>
    <w:rsid w:val="00B84E6F"/>
    <w:rsid w:val="00B84E7A"/>
    <w:rsid w:val="00B84F41"/>
    <w:rsid w:val="00B84FA1"/>
    <w:rsid w:val="00B84FBA"/>
    <w:rsid w:val="00B84FE6"/>
    <w:rsid w:val="00B8505C"/>
    <w:rsid w:val="00B85073"/>
    <w:rsid w:val="00B850C8"/>
    <w:rsid w:val="00B85133"/>
    <w:rsid w:val="00B85136"/>
    <w:rsid w:val="00B851B1"/>
    <w:rsid w:val="00B852A8"/>
    <w:rsid w:val="00B852F2"/>
    <w:rsid w:val="00B85399"/>
    <w:rsid w:val="00B853CA"/>
    <w:rsid w:val="00B8541B"/>
    <w:rsid w:val="00B854A0"/>
    <w:rsid w:val="00B854DB"/>
    <w:rsid w:val="00B85555"/>
    <w:rsid w:val="00B85633"/>
    <w:rsid w:val="00B85689"/>
    <w:rsid w:val="00B8570A"/>
    <w:rsid w:val="00B85728"/>
    <w:rsid w:val="00B8572F"/>
    <w:rsid w:val="00B85744"/>
    <w:rsid w:val="00B85800"/>
    <w:rsid w:val="00B85824"/>
    <w:rsid w:val="00B85AA2"/>
    <w:rsid w:val="00B85AA7"/>
    <w:rsid w:val="00B85B00"/>
    <w:rsid w:val="00B85B4F"/>
    <w:rsid w:val="00B85C25"/>
    <w:rsid w:val="00B85C7D"/>
    <w:rsid w:val="00B85D04"/>
    <w:rsid w:val="00B85DF4"/>
    <w:rsid w:val="00B85E33"/>
    <w:rsid w:val="00B85E98"/>
    <w:rsid w:val="00B85EDB"/>
    <w:rsid w:val="00B85F09"/>
    <w:rsid w:val="00B85F60"/>
    <w:rsid w:val="00B85FE0"/>
    <w:rsid w:val="00B85FE1"/>
    <w:rsid w:val="00B86064"/>
    <w:rsid w:val="00B86073"/>
    <w:rsid w:val="00B860FC"/>
    <w:rsid w:val="00B861B7"/>
    <w:rsid w:val="00B861F0"/>
    <w:rsid w:val="00B862E9"/>
    <w:rsid w:val="00B863BB"/>
    <w:rsid w:val="00B864DC"/>
    <w:rsid w:val="00B864FF"/>
    <w:rsid w:val="00B86575"/>
    <w:rsid w:val="00B86607"/>
    <w:rsid w:val="00B86651"/>
    <w:rsid w:val="00B86654"/>
    <w:rsid w:val="00B86669"/>
    <w:rsid w:val="00B866C8"/>
    <w:rsid w:val="00B86751"/>
    <w:rsid w:val="00B8675B"/>
    <w:rsid w:val="00B8679C"/>
    <w:rsid w:val="00B867B7"/>
    <w:rsid w:val="00B86842"/>
    <w:rsid w:val="00B869B8"/>
    <w:rsid w:val="00B86A17"/>
    <w:rsid w:val="00B86A8C"/>
    <w:rsid w:val="00B86A9A"/>
    <w:rsid w:val="00B86A9E"/>
    <w:rsid w:val="00B86B52"/>
    <w:rsid w:val="00B86B84"/>
    <w:rsid w:val="00B86C55"/>
    <w:rsid w:val="00B86C6E"/>
    <w:rsid w:val="00B86CEA"/>
    <w:rsid w:val="00B86CF8"/>
    <w:rsid w:val="00B86D28"/>
    <w:rsid w:val="00B86D62"/>
    <w:rsid w:val="00B86E1B"/>
    <w:rsid w:val="00B86F5F"/>
    <w:rsid w:val="00B86F69"/>
    <w:rsid w:val="00B86F88"/>
    <w:rsid w:val="00B8706E"/>
    <w:rsid w:val="00B8718A"/>
    <w:rsid w:val="00B871DA"/>
    <w:rsid w:val="00B871DC"/>
    <w:rsid w:val="00B872BD"/>
    <w:rsid w:val="00B8734B"/>
    <w:rsid w:val="00B8745B"/>
    <w:rsid w:val="00B874BC"/>
    <w:rsid w:val="00B8751E"/>
    <w:rsid w:val="00B8768A"/>
    <w:rsid w:val="00B876A5"/>
    <w:rsid w:val="00B877D6"/>
    <w:rsid w:val="00B877F1"/>
    <w:rsid w:val="00B8780B"/>
    <w:rsid w:val="00B87840"/>
    <w:rsid w:val="00B87859"/>
    <w:rsid w:val="00B878D0"/>
    <w:rsid w:val="00B87A37"/>
    <w:rsid w:val="00B87B14"/>
    <w:rsid w:val="00B87B3E"/>
    <w:rsid w:val="00B87B5B"/>
    <w:rsid w:val="00B87C43"/>
    <w:rsid w:val="00B87C60"/>
    <w:rsid w:val="00B87CC4"/>
    <w:rsid w:val="00B87CE3"/>
    <w:rsid w:val="00B87CEB"/>
    <w:rsid w:val="00B87DBF"/>
    <w:rsid w:val="00B87F26"/>
    <w:rsid w:val="00B87F5E"/>
    <w:rsid w:val="00B87FAA"/>
    <w:rsid w:val="00B9001E"/>
    <w:rsid w:val="00B90077"/>
    <w:rsid w:val="00B9009A"/>
    <w:rsid w:val="00B900AE"/>
    <w:rsid w:val="00B90125"/>
    <w:rsid w:val="00B901BF"/>
    <w:rsid w:val="00B90212"/>
    <w:rsid w:val="00B9027E"/>
    <w:rsid w:val="00B90337"/>
    <w:rsid w:val="00B9037D"/>
    <w:rsid w:val="00B9038B"/>
    <w:rsid w:val="00B90392"/>
    <w:rsid w:val="00B903F0"/>
    <w:rsid w:val="00B90421"/>
    <w:rsid w:val="00B9043A"/>
    <w:rsid w:val="00B9047F"/>
    <w:rsid w:val="00B907A4"/>
    <w:rsid w:val="00B907D8"/>
    <w:rsid w:val="00B907FC"/>
    <w:rsid w:val="00B908C9"/>
    <w:rsid w:val="00B908E4"/>
    <w:rsid w:val="00B90A48"/>
    <w:rsid w:val="00B90AF1"/>
    <w:rsid w:val="00B90B44"/>
    <w:rsid w:val="00B90BA1"/>
    <w:rsid w:val="00B90BBC"/>
    <w:rsid w:val="00B90CC1"/>
    <w:rsid w:val="00B90D88"/>
    <w:rsid w:val="00B90E44"/>
    <w:rsid w:val="00B90EC2"/>
    <w:rsid w:val="00B90ECE"/>
    <w:rsid w:val="00B90F5D"/>
    <w:rsid w:val="00B90F94"/>
    <w:rsid w:val="00B91015"/>
    <w:rsid w:val="00B910FF"/>
    <w:rsid w:val="00B91182"/>
    <w:rsid w:val="00B912A6"/>
    <w:rsid w:val="00B91356"/>
    <w:rsid w:val="00B9141C"/>
    <w:rsid w:val="00B91455"/>
    <w:rsid w:val="00B9146A"/>
    <w:rsid w:val="00B914EE"/>
    <w:rsid w:val="00B91554"/>
    <w:rsid w:val="00B917DE"/>
    <w:rsid w:val="00B918B0"/>
    <w:rsid w:val="00B91940"/>
    <w:rsid w:val="00B919C3"/>
    <w:rsid w:val="00B91A10"/>
    <w:rsid w:val="00B91A6E"/>
    <w:rsid w:val="00B91A6F"/>
    <w:rsid w:val="00B91A91"/>
    <w:rsid w:val="00B91AD6"/>
    <w:rsid w:val="00B91B57"/>
    <w:rsid w:val="00B91B6B"/>
    <w:rsid w:val="00B91D47"/>
    <w:rsid w:val="00B91D6D"/>
    <w:rsid w:val="00B91D7C"/>
    <w:rsid w:val="00B91D96"/>
    <w:rsid w:val="00B91DDD"/>
    <w:rsid w:val="00B91E2B"/>
    <w:rsid w:val="00B91E9E"/>
    <w:rsid w:val="00B91F62"/>
    <w:rsid w:val="00B92057"/>
    <w:rsid w:val="00B9210C"/>
    <w:rsid w:val="00B92165"/>
    <w:rsid w:val="00B921AE"/>
    <w:rsid w:val="00B92229"/>
    <w:rsid w:val="00B922AE"/>
    <w:rsid w:val="00B922C1"/>
    <w:rsid w:val="00B92331"/>
    <w:rsid w:val="00B9246D"/>
    <w:rsid w:val="00B9255E"/>
    <w:rsid w:val="00B925E0"/>
    <w:rsid w:val="00B925EC"/>
    <w:rsid w:val="00B925FD"/>
    <w:rsid w:val="00B926ED"/>
    <w:rsid w:val="00B926F1"/>
    <w:rsid w:val="00B92772"/>
    <w:rsid w:val="00B9278E"/>
    <w:rsid w:val="00B927FA"/>
    <w:rsid w:val="00B92917"/>
    <w:rsid w:val="00B92ADA"/>
    <w:rsid w:val="00B92B43"/>
    <w:rsid w:val="00B92BA3"/>
    <w:rsid w:val="00B92BB5"/>
    <w:rsid w:val="00B92BDA"/>
    <w:rsid w:val="00B92C52"/>
    <w:rsid w:val="00B92C71"/>
    <w:rsid w:val="00B92C98"/>
    <w:rsid w:val="00B92D92"/>
    <w:rsid w:val="00B92F19"/>
    <w:rsid w:val="00B92F48"/>
    <w:rsid w:val="00B92F92"/>
    <w:rsid w:val="00B930C8"/>
    <w:rsid w:val="00B931AB"/>
    <w:rsid w:val="00B931B8"/>
    <w:rsid w:val="00B9320D"/>
    <w:rsid w:val="00B93219"/>
    <w:rsid w:val="00B93345"/>
    <w:rsid w:val="00B93419"/>
    <w:rsid w:val="00B93549"/>
    <w:rsid w:val="00B935A3"/>
    <w:rsid w:val="00B936C2"/>
    <w:rsid w:val="00B93805"/>
    <w:rsid w:val="00B9382E"/>
    <w:rsid w:val="00B938D8"/>
    <w:rsid w:val="00B93995"/>
    <w:rsid w:val="00B93A10"/>
    <w:rsid w:val="00B93A75"/>
    <w:rsid w:val="00B93A86"/>
    <w:rsid w:val="00B93B42"/>
    <w:rsid w:val="00B93B9B"/>
    <w:rsid w:val="00B93D97"/>
    <w:rsid w:val="00B93E3A"/>
    <w:rsid w:val="00B93F1E"/>
    <w:rsid w:val="00B93F31"/>
    <w:rsid w:val="00B93FC3"/>
    <w:rsid w:val="00B940A8"/>
    <w:rsid w:val="00B940FA"/>
    <w:rsid w:val="00B9415E"/>
    <w:rsid w:val="00B9417C"/>
    <w:rsid w:val="00B941C9"/>
    <w:rsid w:val="00B94285"/>
    <w:rsid w:val="00B942E1"/>
    <w:rsid w:val="00B9433E"/>
    <w:rsid w:val="00B943B8"/>
    <w:rsid w:val="00B944C3"/>
    <w:rsid w:val="00B945A3"/>
    <w:rsid w:val="00B94661"/>
    <w:rsid w:val="00B946AC"/>
    <w:rsid w:val="00B947EE"/>
    <w:rsid w:val="00B94944"/>
    <w:rsid w:val="00B9497D"/>
    <w:rsid w:val="00B94A05"/>
    <w:rsid w:val="00B94A59"/>
    <w:rsid w:val="00B94B14"/>
    <w:rsid w:val="00B94B3D"/>
    <w:rsid w:val="00B94BC1"/>
    <w:rsid w:val="00B94C69"/>
    <w:rsid w:val="00B94C88"/>
    <w:rsid w:val="00B94CFB"/>
    <w:rsid w:val="00B94CFC"/>
    <w:rsid w:val="00B94ECA"/>
    <w:rsid w:val="00B94FE5"/>
    <w:rsid w:val="00B95020"/>
    <w:rsid w:val="00B95063"/>
    <w:rsid w:val="00B95169"/>
    <w:rsid w:val="00B95187"/>
    <w:rsid w:val="00B951FD"/>
    <w:rsid w:val="00B95337"/>
    <w:rsid w:val="00B9534A"/>
    <w:rsid w:val="00B9538A"/>
    <w:rsid w:val="00B953C6"/>
    <w:rsid w:val="00B953E2"/>
    <w:rsid w:val="00B953E6"/>
    <w:rsid w:val="00B95437"/>
    <w:rsid w:val="00B9545B"/>
    <w:rsid w:val="00B955D8"/>
    <w:rsid w:val="00B955EA"/>
    <w:rsid w:val="00B95617"/>
    <w:rsid w:val="00B95670"/>
    <w:rsid w:val="00B956EF"/>
    <w:rsid w:val="00B956F1"/>
    <w:rsid w:val="00B95787"/>
    <w:rsid w:val="00B9580E"/>
    <w:rsid w:val="00B959DD"/>
    <w:rsid w:val="00B95A14"/>
    <w:rsid w:val="00B95A26"/>
    <w:rsid w:val="00B95BF9"/>
    <w:rsid w:val="00B95C2B"/>
    <w:rsid w:val="00B95C47"/>
    <w:rsid w:val="00B95CFC"/>
    <w:rsid w:val="00B95EAD"/>
    <w:rsid w:val="00B95EAE"/>
    <w:rsid w:val="00B95F0D"/>
    <w:rsid w:val="00B95F13"/>
    <w:rsid w:val="00B95FC8"/>
    <w:rsid w:val="00B95FE7"/>
    <w:rsid w:val="00B960D8"/>
    <w:rsid w:val="00B961A3"/>
    <w:rsid w:val="00B962C5"/>
    <w:rsid w:val="00B96315"/>
    <w:rsid w:val="00B96397"/>
    <w:rsid w:val="00B963EA"/>
    <w:rsid w:val="00B9643C"/>
    <w:rsid w:val="00B9652E"/>
    <w:rsid w:val="00B96591"/>
    <w:rsid w:val="00B966A1"/>
    <w:rsid w:val="00B966E1"/>
    <w:rsid w:val="00B967FE"/>
    <w:rsid w:val="00B967FF"/>
    <w:rsid w:val="00B96898"/>
    <w:rsid w:val="00B968D2"/>
    <w:rsid w:val="00B96922"/>
    <w:rsid w:val="00B96AC3"/>
    <w:rsid w:val="00B96ACF"/>
    <w:rsid w:val="00B96C48"/>
    <w:rsid w:val="00B96D20"/>
    <w:rsid w:val="00B96D9C"/>
    <w:rsid w:val="00B96DDB"/>
    <w:rsid w:val="00B96E1C"/>
    <w:rsid w:val="00B96EC7"/>
    <w:rsid w:val="00B96EEE"/>
    <w:rsid w:val="00B96EF4"/>
    <w:rsid w:val="00B97015"/>
    <w:rsid w:val="00B970F2"/>
    <w:rsid w:val="00B97247"/>
    <w:rsid w:val="00B9729C"/>
    <w:rsid w:val="00B9732F"/>
    <w:rsid w:val="00B973C0"/>
    <w:rsid w:val="00B974B2"/>
    <w:rsid w:val="00B974D1"/>
    <w:rsid w:val="00B974FE"/>
    <w:rsid w:val="00B976A4"/>
    <w:rsid w:val="00B9787F"/>
    <w:rsid w:val="00B978AB"/>
    <w:rsid w:val="00B97968"/>
    <w:rsid w:val="00B97A41"/>
    <w:rsid w:val="00B97A45"/>
    <w:rsid w:val="00B97B58"/>
    <w:rsid w:val="00B97B91"/>
    <w:rsid w:val="00B97C15"/>
    <w:rsid w:val="00B97C1A"/>
    <w:rsid w:val="00B97C62"/>
    <w:rsid w:val="00B97CD6"/>
    <w:rsid w:val="00B97CE3"/>
    <w:rsid w:val="00B97DF7"/>
    <w:rsid w:val="00B97EA8"/>
    <w:rsid w:val="00B97F52"/>
    <w:rsid w:val="00BA0004"/>
    <w:rsid w:val="00BA002D"/>
    <w:rsid w:val="00BA00B8"/>
    <w:rsid w:val="00BA012D"/>
    <w:rsid w:val="00BA0136"/>
    <w:rsid w:val="00BA0180"/>
    <w:rsid w:val="00BA0199"/>
    <w:rsid w:val="00BA01CB"/>
    <w:rsid w:val="00BA01E9"/>
    <w:rsid w:val="00BA0238"/>
    <w:rsid w:val="00BA0362"/>
    <w:rsid w:val="00BA03E0"/>
    <w:rsid w:val="00BA0450"/>
    <w:rsid w:val="00BA056E"/>
    <w:rsid w:val="00BA05C4"/>
    <w:rsid w:val="00BA0600"/>
    <w:rsid w:val="00BA066B"/>
    <w:rsid w:val="00BA0733"/>
    <w:rsid w:val="00BA074E"/>
    <w:rsid w:val="00BA07F0"/>
    <w:rsid w:val="00BA0987"/>
    <w:rsid w:val="00BA09D5"/>
    <w:rsid w:val="00BA0A46"/>
    <w:rsid w:val="00BA0B10"/>
    <w:rsid w:val="00BA0B20"/>
    <w:rsid w:val="00BA0B66"/>
    <w:rsid w:val="00BA0C5A"/>
    <w:rsid w:val="00BA0DC2"/>
    <w:rsid w:val="00BA0DFC"/>
    <w:rsid w:val="00BA0F11"/>
    <w:rsid w:val="00BA113A"/>
    <w:rsid w:val="00BA1198"/>
    <w:rsid w:val="00BA11CC"/>
    <w:rsid w:val="00BA1201"/>
    <w:rsid w:val="00BA13CF"/>
    <w:rsid w:val="00BA1421"/>
    <w:rsid w:val="00BA1466"/>
    <w:rsid w:val="00BA14B1"/>
    <w:rsid w:val="00BA156C"/>
    <w:rsid w:val="00BA1894"/>
    <w:rsid w:val="00BA199E"/>
    <w:rsid w:val="00BA1A49"/>
    <w:rsid w:val="00BA1B6D"/>
    <w:rsid w:val="00BA1BA2"/>
    <w:rsid w:val="00BA1C39"/>
    <w:rsid w:val="00BA1D00"/>
    <w:rsid w:val="00BA1D50"/>
    <w:rsid w:val="00BA1DD9"/>
    <w:rsid w:val="00BA1E16"/>
    <w:rsid w:val="00BA1E1B"/>
    <w:rsid w:val="00BA1E23"/>
    <w:rsid w:val="00BA1E83"/>
    <w:rsid w:val="00BA1F03"/>
    <w:rsid w:val="00BA1F91"/>
    <w:rsid w:val="00BA2085"/>
    <w:rsid w:val="00BA212E"/>
    <w:rsid w:val="00BA2132"/>
    <w:rsid w:val="00BA217D"/>
    <w:rsid w:val="00BA23FB"/>
    <w:rsid w:val="00BA2400"/>
    <w:rsid w:val="00BA240F"/>
    <w:rsid w:val="00BA242F"/>
    <w:rsid w:val="00BA243E"/>
    <w:rsid w:val="00BA24DB"/>
    <w:rsid w:val="00BA25AD"/>
    <w:rsid w:val="00BA25AE"/>
    <w:rsid w:val="00BA25F0"/>
    <w:rsid w:val="00BA2750"/>
    <w:rsid w:val="00BA277A"/>
    <w:rsid w:val="00BA278A"/>
    <w:rsid w:val="00BA27D4"/>
    <w:rsid w:val="00BA28DA"/>
    <w:rsid w:val="00BA29BD"/>
    <w:rsid w:val="00BA2A46"/>
    <w:rsid w:val="00BA2AFC"/>
    <w:rsid w:val="00BA2B6C"/>
    <w:rsid w:val="00BA2C48"/>
    <w:rsid w:val="00BA2CE5"/>
    <w:rsid w:val="00BA2D4C"/>
    <w:rsid w:val="00BA2D69"/>
    <w:rsid w:val="00BA2F23"/>
    <w:rsid w:val="00BA2FDC"/>
    <w:rsid w:val="00BA2FF9"/>
    <w:rsid w:val="00BA3027"/>
    <w:rsid w:val="00BA3047"/>
    <w:rsid w:val="00BA307F"/>
    <w:rsid w:val="00BA3111"/>
    <w:rsid w:val="00BA32BB"/>
    <w:rsid w:val="00BA32E9"/>
    <w:rsid w:val="00BA3359"/>
    <w:rsid w:val="00BA3369"/>
    <w:rsid w:val="00BA3378"/>
    <w:rsid w:val="00BA343A"/>
    <w:rsid w:val="00BA355A"/>
    <w:rsid w:val="00BA356F"/>
    <w:rsid w:val="00BA3638"/>
    <w:rsid w:val="00BA36B7"/>
    <w:rsid w:val="00BA3752"/>
    <w:rsid w:val="00BA384B"/>
    <w:rsid w:val="00BA386F"/>
    <w:rsid w:val="00BA38D3"/>
    <w:rsid w:val="00BA3985"/>
    <w:rsid w:val="00BA3989"/>
    <w:rsid w:val="00BA39CD"/>
    <w:rsid w:val="00BA39CF"/>
    <w:rsid w:val="00BA39E7"/>
    <w:rsid w:val="00BA3A63"/>
    <w:rsid w:val="00BA3B11"/>
    <w:rsid w:val="00BA3C07"/>
    <w:rsid w:val="00BA3C12"/>
    <w:rsid w:val="00BA3C6F"/>
    <w:rsid w:val="00BA3C74"/>
    <w:rsid w:val="00BA3CB6"/>
    <w:rsid w:val="00BA3CB8"/>
    <w:rsid w:val="00BA3CFA"/>
    <w:rsid w:val="00BA3D7F"/>
    <w:rsid w:val="00BA3E18"/>
    <w:rsid w:val="00BA3E67"/>
    <w:rsid w:val="00BA3ED2"/>
    <w:rsid w:val="00BA3ED9"/>
    <w:rsid w:val="00BA3F20"/>
    <w:rsid w:val="00BA3FC5"/>
    <w:rsid w:val="00BA4315"/>
    <w:rsid w:val="00BA43D5"/>
    <w:rsid w:val="00BA446A"/>
    <w:rsid w:val="00BA449D"/>
    <w:rsid w:val="00BA4517"/>
    <w:rsid w:val="00BA45C1"/>
    <w:rsid w:val="00BA45CE"/>
    <w:rsid w:val="00BA460F"/>
    <w:rsid w:val="00BA4671"/>
    <w:rsid w:val="00BA4708"/>
    <w:rsid w:val="00BA477C"/>
    <w:rsid w:val="00BA47B2"/>
    <w:rsid w:val="00BA47BB"/>
    <w:rsid w:val="00BA4813"/>
    <w:rsid w:val="00BA4A09"/>
    <w:rsid w:val="00BA4A0F"/>
    <w:rsid w:val="00BA4A43"/>
    <w:rsid w:val="00BA4A94"/>
    <w:rsid w:val="00BA4B34"/>
    <w:rsid w:val="00BA4B38"/>
    <w:rsid w:val="00BA4C46"/>
    <w:rsid w:val="00BA4C84"/>
    <w:rsid w:val="00BA4C8C"/>
    <w:rsid w:val="00BA4CF7"/>
    <w:rsid w:val="00BA4EF8"/>
    <w:rsid w:val="00BA5050"/>
    <w:rsid w:val="00BA5558"/>
    <w:rsid w:val="00BA5586"/>
    <w:rsid w:val="00BA5599"/>
    <w:rsid w:val="00BA560F"/>
    <w:rsid w:val="00BA5686"/>
    <w:rsid w:val="00BA569D"/>
    <w:rsid w:val="00BA56B2"/>
    <w:rsid w:val="00BA5775"/>
    <w:rsid w:val="00BA57C0"/>
    <w:rsid w:val="00BA57C8"/>
    <w:rsid w:val="00BA5855"/>
    <w:rsid w:val="00BA58EB"/>
    <w:rsid w:val="00BA5A43"/>
    <w:rsid w:val="00BA5A4A"/>
    <w:rsid w:val="00BA5A4E"/>
    <w:rsid w:val="00BA5A68"/>
    <w:rsid w:val="00BA5A7B"/>
    <w:rsid w:val="00BA5A8D"/>
    <w:rsid w:val="00BA5AB8"/>
    <w:rsid w:val="00BA5AE3"/>
    <w:rsid w:val="00BA5BD4"/>
    <w:rsid w:val="00BA5BFA"/>
    <w:rsid w:val="00BA5C05"/>
    <w:rsid w:val="00BA5C85"/>
    <w:rsid w:val="00BA5CCA"/>
    <w:rsid w:val="00BA5DE7"/>
    <w:rsid w:val="00BA5EA4"/>
    <w:rsid w:val="00BA5FC3"/>
    <w:rsid w:val="00BA6001"/>
    <w:rsid w:val="00BA60BD"/>
    <w:rsid w:val="00BA6170"/>
    <w:rsid w:val="00BA61F5"/>
    <w:rsid w:val="00BA62E8"/>
    <w:rsid w:val="00BA633E"/>
    <w:rsid w:val="00BA63E9"/>
    <w:rsid w:val="00BA6401"/>
    <w:rsid w:val="00BA6422"/>
    <w:rsid w:val="00BA6515"/>
    <w:rsid w:val="00BA6556"/>
    <w:rsid w:val="00BA6653"/>
    <w:rsid w:val="00BA66AF"/>
    <w:rsid w:val="00BA679D"/>
    <w:rsid w:val="00BA67F2"/>
    <w:rsid w:val="00BA686B"/>
    <w:rsid w:val="00BA6955"/>
    <w:rsid w:val="00BA6A53"/>
    <w:rsid w:val="00BA6ADD"/>
    <w:rsid w:val="00BA6BBB"/>
    <w:rsid w:val="00BA6BCF"/>
    <w:rsid w:val="00BA6BD2"/>
    <w:rsid w:val="00BA6BDA"/>
    <w:rsid w:val="00BA6BF0"/>
    <w:rsid w:val="00BA6BFF"/>
    <w:rsid w:val="00BA6CF7"/>
    <w:rsid w:val="00BA6D41"/>
    <w:rsid w:val="00BA6E6E"/>
    <w:rsid w:val="00BA6E9D"/>
    <w:rsid w:val="00BA6F4F"/>
    <w:rsid w:val="00BA70B2"/>
    <w:rsid w:val="00BA7204"/>
    <w:rsid w:val="00BA721B"/>
    <w:rsid w:val="00BA7249"/>
    <w:rsid w:val="00BA72CF"/>
    <w:rsid w:val="00BA7386"/>
    <w:rsid w:val="00BA74E8"/>
    <w:rsid w:val="00BA7623"/>
    <w:rsid w:val="00BA7663"/>
    <w:rsid w:val="00BA77F1"/>
    <w:rsid w:val="00BA781D"/>
    <w:rsid w:val="00BA7857"/>
    <w:rsid w:val="00BA7881"/>
    <w:rsid w:val="00BA794A"/>
    <w:rsid w:val="00BA795A"/>
    <w:rsid w:val="00BA7A55"/>
    <w:rsid w:val="00BA7A61"/>
    <w:rsid w:val="00BA7A8A"/>
    <w:rsid w:val="00BA7AA6"/>
    <w:rsid w:val="00BA7AD3"/>
    <w:rsid w:val="00BA7B3C"/>
    <w:rsid w:val="00BA7C1F"/>
    <w:rsid w:val="00BA7C26"/>
    <w:rsid w:val="00BA7CA1"/>
    <w:rsid w:val="00BA7D4B"/>
    <w:rsid w:val="00BA7DC7"/>
    <w:rsid w:val="00BA7DE5"/>
    <w:rsid w:val="00BA7EBB"/>
    <w:rsid w:val="00BB0082"/>
    <w:rsid w:val="00BB00B5"/>
    <w:rsid w:val="00BB0325"/>
    <w:rsid w:val="00BB03EB"/>
    <w:rsid w:val="00BB040A"/>
    <w:rsid w:val="00BB045F"/>
    <w:rsid w:val="00BB0489"/>
    <w:rsid w:val="00BB057B"/>
    <w:rsid w:val="00BB05DA"/>
    <w:rsid w:val="00BB060C"/>
    <w:rsid w:val="00BB06C7"/>
    <w:rsid w:val="00BB06D3"/>
    <w:rsid w:val="00BB072D"/>
    <w:rsid w:val="00BB0782"/>
    <w:rsid w:val="00BB0786"/>
    <w:rsid w:val="00BB07DF"/>
    <w:rsid w:val="00BB08A3"/>
    <w:rsid w:val="00BB08DD"/>
    <w:rsid w:val="00BB08FA"/>
    <w:rsid w:val="00BB0954"/>
    <w:rsid w:val="00BB0980"/>
    <w:rsid w:val="00BB0AA8"/>
    <w:rsid w:val="00BB0B99"/>
    <w:rsid w:val="00BB0C91"/>
    <w:rsid w:val="00BB0D72"/>
    <w:rsid w:val="00BB0E07"/>
    <w:rsid w:val="00BB0E13"/>
    <w:rsid w:val="00BB0E3D"/>
    <w:rsid w:val="00BB0EBE"/>
    <w:rsid w:val="00BB0F2C"/>
    <w:rsid w:val="00BB0F79"/>
    <w:rsid w:val="00BB112F"/>
    <w:rsid w:val="00BB113D"/>
    <w:rsid w:val="00BB114C"/>
    <w:rsid w:val="00BB118F"/>
    <w:rsid w:val="00BB1270"/>
    <w:rsid w:val="00BB12B8"/>
    <w:rsid w:val="00BB1358"/>
    <w:rsid w:val="00BB1369"/>
    <w:rsid w:val="00BB13C6"/>
    <w:rsid w:val="00BB1648"/>
    <w:rsid w:val="00BB1661"/>
    <w:rsid w:val="00BB1753"/>
    <w:rsid w:val="00BB1809"/>
    <w:rsid w:val="00BB18BE"/>
    <w:rsid w:val="00BB18CA"/>
    <w:rsid w:val="00BB18FE"/>
    <w:rsid w:val="00BB192F"/>
    <w:rsid w:val="00BB19F1"/>
    <w:rsid w:val="00BB1A8B"/>
    <w:rsid w:val="00BB1BC0"/>
    <w:rsid w:val="00BB1BD5"/>
    <w:rsid w:val="00BB1CC1"/>
    <w:rsid w:val="00BB1CCC"/>
    <w:rsid w:val="00BB1D03"/>
    <w:rsid w:val="00BB1D7E"/>
    <w:rsid w:val="00BB1DF7"/>
    <w:rsid w:val="00BB1EE5"/>
    <w:rsid w:val="00BB1EE8"/>
    <w:rsid w:val="00BB1FA0"/>
    <w:rsid w:val="00BB1FD1"/>
    <w:rsid w:val="00BB212D"/>
    <w:rsid w:val="00BB233B"/>
    <w:rsid w:val="00BB2380"/>
    <w:rsid w:val="00BB2393"/>
    <w:rsid w:val="00BB23E5"/>
    <w:rsid w:val="00BB24B7"/>
    <w:rsid w:val="00BB24F1"/>
    <w:rsid w:val="00BB250A"/>
    <w:rsid w:val="00BB2591"/>
    <w:rsid w:val="00BB2641"/>
    <w:rsid w:val="00BB2734"/>
    <w:rsid w:val="00BB2899"/>
    <w:rsid w:val="00BB28E5"/>
    <w:rsid w:val="00BB299E"/>
    <w:rsid w:val="00BB29C3"/>
    <w:rsid w:val="00BB29E4"/>
    <w:rsid w:val="00BB2ACD"/>
    <w:rsid w:val="00BB2AEE"/>
    <w:rsid w:val="00BB2BC8"/>
    <w:rsid w:val="00BB2C32"/>
    <w:rsid w:val="00BB2C71"/>
    <w:rsid w:val="00BB2CEB"/>
    <w:rsid w:val="00BB2D55"/>
    <w:rsid w:val="00BB2DC7"/>
    <w:rsid w:val="00BB2DD9"/>
    <w:rsid w:val="00BB2DEB"/>
    <w:rsid w:val="00BB2E12"/>
    <w:rsid w:val="00BB2F3A"/>
    <w:rsid w:val="00BB2F6C"/>
    <w:rsid w:val="00BB2F7B"/>
    <w:rsid w:val="00BB3028"/>
    <w:rsid w:val="00BB3041"/>
    <w:rsid w:val="00BB306C"/>
    <w:rsid w:val="00BB30C6"/>
    <w:rsid w:val="00BB316E"/>
    <w:rsid w:val="00BB31EF"/>
    <w:rsid w:val="00BB32D1"/>
    <w:rsid w:val="00BB33B9"/>
    <w:rsid w:val="00BB35A5"/>
    <w:rsid w:val="00BB35BB"/>
    <w:rsid w:val="00BB365B"/>
    <w:rsid w:val="00BB36C3"/>
    <w:rsid w:val="00BB3732"/>
    <w:rsid w:val="00BB379A"/>
    <w:rsid w:val="00BB3889"/>
    <w:rsid w:val="00BB38C8"/>
    <w:rsid w:val="00BB38ED"/>
    <w:rsid w:val="00BB39A6"/>
    <w:rsid w:val="00BB3A24"/>
    <w:rsid w:val="00BB3A57"/>
    <w:rsid w:val="00BB3AA5"/>
    <w:rsid w:val="00BB3B19"/>
    <w:rsid w:val="00BB3CF5"/>
    <w:rsid w:val="00BB3D62"/>
    <w:rsid w:val="00BB3DB1"/>
    <w:rsid w:val="00BB3DBD"/>
    <w:rsid w:val="00BB3DF4"/>
    <w:rsid w:val="00BB3E29"/>
    <w:rsid w:val="00BB3E39"/>
    <w:rsid w:val="00BB3EC6"/>
    <w:rsid w:val="00BB3F57"/>
    <w:rsid w:val="00BB3FBD"/>
    <w:rsid w:val="00BB3FC6"/>
    <w:rsid w:val="00BB402B"/>
    <w:rsid w:val="00BB4038"/>
    <w:rsid w:val="00BB409F"/>
    <w:rsid w:val="00BB4154"/>
    <w:rsid w:val="00BB41C9"/>
    <w:rsid w:val="00BB41E3"/>
    <w:rsid w:val="00BB4287"/>
    <w:rsid w:val="00BB42B2"/>
    <w:rsid w:val="00BB42E4"/>
    <w:rsid w:val="00BB43BD"/>
    <w:rsid w:val="00BB43EC"/>
    <w:rsid w:val="00BB44AB"/>
    <w:rsid w:val="00BB4681"/>
    <w:rsid w:val="00BB46CD"/>
    <w:rsid w:val="00BB4734"/>
    <w:rsid w:val="00BB4837"/>
    <w:rsid w:val="00BB493F"/>
    <w:rsid w:val="00BB4986"/>
    <w:rsid w:val="00BB4AF3"/>
    <w:rsid w:val="00BB4B1B"/>
    <w:rsid w:val="00BB4B42"/>
    <w:rsid w:val="00BB4B47"/>
    <w:rsid w:val="00BB4BF4"/>
    <w:rsid w:val="00BB4C86"/>
    <w:rsid w:val="00BB4D27"/>
    <w:rsid w:val="00BB4DBF"/>
    <w:rsid w:val="00BB4DC9"/>
    <w:rsid w:val="00BB4F35"/>
    <w:rsid w:val="00BB5178"/>
    <w:rsid w:val="00BB526A"/>
    <w:rsid w:val="00BB5273"/>
    <w:rsid w:val="00BB5401"/>
    <w:rsid w:val="00BB54FA"/>
    <w:rsid w:val="00BB5598"/>
    <w:rsid w:val="00BB5677"/>
    <w:rsid w:val="00BB56D7"/>
    <w:rsid w:val="00BB5740"/>
    <w:rsid w:val="00BB5779"/>
    <w:rsid w:val="00BB5787"/>
    <w:rsid w:val="00BB578C"/>
    <w:rsid w:val="00BB5932"/>
    <w:rsid w:val="00BB5952"/>
    <w:rsid w:val="00BB5998"/>
    <w:rsid w:val="00BB5B7A"/>
    <w:rsid w:val="00BB5C10"/>
    <w:rsid w:val="00BB5C12"/>
    <w:rsid w:val="00BB5C33"/>
    <w:rsid w:val="00BB5C69"/>
    <w:rsid w:val="00BB5D10"/>
    <w:rsid w:val="00BB5D50"/>
    <w:rsid w:val="00BB5D7F"/>
    <w:rsid w:val="00BB5DB9"/>
    <w:rsid w:val="00BB5E4A"/>
    <w:rsid w:val="00BB5E52"/>
    <w:rsid w:val="00BB5F58"/>
    <w:rsid w:val="00BB6065"/>
    <w:rsid w:val="00BB60FB"/>
    <w:rsid w:val="00BB6153"/>
    <w:rsid w:val="00BB6158"/>
    <w:rsid w:val="00BB6384"/>
    <w:rsid w:val="00BB6406"/>
    <w:rsid w:val="00BB6517"/>
    <w:rsid w:val="00BB65D2"/>
    <w:rsid w:val="00BB65E4"/>
    <w:rsid w:val="00BB66DC"/>
    <w:rsid w:val="00BB6836"/>
    <w:rsid w:val="00BB6883"/>
    <w:rsid w:val="00BB68FA"/>
    <w:rsid w:val="00BB6932"/>
    <w:rsid w:val="00BB698C"/>
    <w:rsid w:val="00BB69BC"/>
    <w:rsid w:val="00BB69E1"/>
    <w:rsid w:val="00BB6A00"/>
    <w:rsid w:val="00BB6AA5"/>
    <w:rsid w:val="00BB6AC5"/>
    <w:rsid w:val="00BB6B49"/>
    <w:rsid w:val="00BB6B83"/>
    <w:rsid w:val="00BB6B9E"/>
    <w:rsid w:val="00BB6BAE"/>
    <w:rsid w:val="00BB6BBE"/>
    <w:rsid w:val="00BB6BF9"/>
    <w:rsid w:val="00BB6CFE"/>
    <w:rsid w:val="00BB6D1B"/>
    <w:rsid w:val="00BB6E06"/>
    <w:rsid w:val="00BB6E6E"/>
    <w:rsid w:val="00BB6E85"/>
    <w:rsid w:val="00BB6EC5"/>
    <w:rsid w:val="00BB6F00"/>
    <w:rsid w:val="00BB7119"/>
    <w:rsid w:val="00BB717C"/>
    <w:rsid w:val="00BB717D"/>
    <w:rsid w:val="00BB71AB"/>
    <w:rsid w:val="00BB71B8"/>
    <w:rsid w:val="00BB72E4"/>
    <w:rsid w:val="00BB7320"/>
    <w:rsid w:val="00BB7337"/>
    <w:rsid w:val="00BB757D"/>
    <w:rsid w:val="00BB7651"/>
    <w:rsid w:val="00BB7681"/>
    <w:rsid w:val="00BB76C9"/>
    <w:rsid w:val="00BB7703"/>
    <w:rsid w:val="00BB7762"/>
    <w:rsid w:val="00BB7781"/>
    <w:rsid w:val="00BB7788"/>
    <w:rsid w:val="00BB77B6"/>
    <w:rsid w:val="00BB7810"/>
    <w:rsid w:val="00BB783A"/>
    <w:rsid w:val="00BB784F"/>
    <w:rsid w:val="00BB791D"/>
    <w:rsid w:val="00BB7C50"/>
    <w:rsid w:val="00BB7C78"/>
    <w:rsid w:val="00BB7CD7"/>
    <w:rsid w:val="00BB7E82"/>
    <w:rsid w:val="00BB7ECE"/>
    <w:rsid w:val="00BB7F72"/>
    <w:rsid w:val="00BC0021"/>
    <w:rsid w:val="00BC002A"/>
    <w:rsid w:val="00BC00C5"/>
    <w:rsid w:val="00BC018D"/>
    <w:rsid w:val="00BC01EF"/>
    <w:rsid w:val="00BC027D"/>
    <w:rsid w:val="00BC044D"/>
    <w:rsid w:val="00BC0548"/>
    <w:rsid w:val="00BC054C"/>
    <w:rsid w:val="00BC058D"/>
    <w:rsid w:val="00BC05C9"/>
    <w:rsid w:val="00BC0629"/>
    <w:rsid w:val="00BC069B"/>
    <w:rsid w:val="00BC07C2"/>
    <w:rsid w:val="00BC0809"/>
    <w:rsid w:val="00BC0968"/>
    <w:rsid w:val="00BC098F"/>
    <w:rsid w:val="00BC099B"/>
    <w:rsid w:val="00BC09AB"/>
    <w:rsid w:val="00BC09B3"/>
    <w:rsid w:val="00BC0A30"/>
    <w:rsid w:val="00BC0AA4"/>
    <w:rsid w:val="00BC0AE8"/>
    <w:rsid w:val="00BC0BA1"/>
    <w:rsid w:val="00BC0C02"/>
    <w:rsid w:val="00BC0C48"/>
    <w:rsid w:val="00BC0C58"/>
    <w:rsid w:val="00BC0D55"/>
    <w:rsid w:val="00BC0DB6"/>
    <w:rsid w:val="00BC0DCE"/>
    <w:rsid w:val="00BC1039"/>
    <w:rsid w:val="00BC1090"/>
    <w:rsid w:val="00BC11AD"/>
    <w:rsid w:val="00BC1211"/>
    <w:rsid w:val="00BC1259"/>
    <w:rsid w:val="00BC127C"/>
    <w:rsid w:val="00BC1327"/>
    <w:rsid w:val="00BC1341"/>
    <w:rsid w:val="00BC13A8"/>
    <w:rsid w:val="00BC13C3"/>
    <w:rsid w:val="00BC1444"/>
    <w:rsid w:val="00BC149C"/>
    <w:rsid w:val="00BC1597"/>
    <w:rsid w:val="00BC1643"/>
    <w:rsid w:val="00BC170E"/>
    <w:rsid w:val="00BC173D"/>
    <w:rsid w:val="00BC17D5"/>
    <w:rsid w:val="00BC18B6"/>
    <w:rsid w:val="00BC18E5"/>
    <w:rsid w:val="00BC1921"/>
    <w:rsid w:val="00BC198F"/>
    <w:rsid w:val="00BC19E5"/>
    <w:rsid w:val="00BC19FE"/>
    <w:rsid w:val="00BC1A52"/>
    <w:rsid w:val="00BC1AC9"/>
    <w:rsid w:val="00BC1AE7"/>
    <w:rsid w:val="00BC1B5B"/>
    <w:rsid w:val="00BC1B76"/>
    <w:rsid w:val="00BC1C09"/>
    <w:rsid w:val="00BC1D16"/>
    <w:rsid w:val="00BC1EA6"/>
    <w:rsid w:val="00BC1F66"/>
    <w:rsid w:val="00BC1FA1"/>
    <w:rsid w:val="00BC1FC7"/>
    <w:rsid w:val="00BC2076"/>
    <w:rsid w:val="00BC20AF"/>
    <w:rsid w:val="00BC20C3"/>
    <w:rsid w:val="00BC20FC"/>
    <w:rsid w:val="00BC2163"/>
    <w:rsid w:val="00BC219C"/>
    <w:rsid w:val="00BC21CA"/>
    <w:rsid w:val="00BC2238"/>
    <w:rsid w:val="00BC226F"/>
    <w:rsid w:val="00BC23AD"/>
    <w:rsid w:val="00BC23E6"/>
    <w:rsid w:val="00BC241E"/>
    <w:rsid w:val="00BC2451"/>
    <w:rsid w:val="00BC2487"/>
    <w:rsid w:val="00BC249D"/>
    <w:rsid w:val="00BC24BF"/>
    <w:rsid w:val="00BC2541"/>
    <w:rsid w:val="00BC25CF"/>
    <w:rsid w:val="00BC261B"/>
    <w:rsid w:val="00BC26DB"/>
    <w:rsid w:val="00BC278A"/>
    <w:rsid w:val="00BC278B"/>
    <w:rsid w:val="00BC27D9"/>
    <w:rsid w:val="00BC2840"/>
    <w:rsid w:val="00BC28DC"/>
    <w:rsid w:val="00BC2962"/>
    <w:rsid w:val="00BC2A08"/>
    <w:rsid w:val="00BC2A73"/>
    <w:rsid w:val="00BC2B36"/>
    <w:rsid w:val="00BC2C13"/>
    <w:rsid w:val="00BC2D5D"/>
    <w:rsid w:val="00BC2D86"/>
    <w:rsid w:val="00BC2DFD"/>
    <w:rsid w:val="00BC2EDC"/>
    <w:rsid w:val="00BC2EFB"/>
    <w:rsid w:val="00BC2F74"/>
    <w:rsid w:val="00BC2FCD"/>
    <w:rsid w:val="00BC2FF4"/>
    <w:rsid w:val="00BC3170"/>
    <w:rsid w:val="00BC31AC"/>
    <w:rsid w:val="00BC322A"/>
    <w:rsid w:val="00BC322E"/>
    <w:rsid w:val="00BC3354"/>
    <w:rsid w:val="00BC3434"/>
    <w:rsid w:val="00BC3453"/>
    <w:rsid w:val="00BC35AB"/>
    <w:rsid w:val="00BC35B0"/>
    <w:rsid w:val="00BC367F"/>
    <w:rsid w:val="00BC3741"/>
    <w:rsid w:val="00BC37F6"/>
    <w:rsid w:val="00BC3953"/>
    <w:rsid w:val="00BC3AD0"/>
    <w:rsid w:val="00BC3AED"/>
    <w:rsid w:val="00BC3B11"/>
    <w:rsid w:val="00BC3B6A"/>
    <w:rsid w:val="00BC3BCA"/>
    <w:rsid w:val="00BC3C2B"/>
    <w:rsid w:val="00BC3C69"/>
    <w:rsid w:val="00BC3CF6"/>
    <w:rsid w:val="00BC3D2B"/>
    <w:rsid w:val="00BC3EA0"/>
    <w:rsid w:val="00BC3EBD"/>
    <w:rsid w:val="00BC3EC4"/>
    <w:rsid w:val="00BC3F81"/>
    <w:rsid w:val="00BC3FEF"/>
    <w:rsid w:val="00BC40EC"/>
    <w:rsid w:val="00BC4139"/>
    <w:rsid w:val="00BC4153"/>
    <w:rsid w:val="00BC4167"/>
    <w:rsid w:val="00BC4260"/>
    <w:rsid w:val="00BC42A7"/>
    <w:rsid w:val="00BC440D"/>
    <w:rsid w:val="00BC441E"/>
    <w:rsid w:val="00BC4438"/>
    <w:rsid w:val="00BC443B"/>
    <w:rsid w:val="00BC445B"/>
    <w:rsid w:val="00BC448D"/>
    <w:rsid w:val="00BC44D6"/>
    <w:rsid w:val="00BC44DA"/>
    <w:rsid w:val="00BC44FF"/>
    <w:rsid w:val="00BC4504"/>
    <w:rsid w:val="00BC47C2"/>
    <w:rsid w:val="00BC48E7"/>
    <w:rsid w:val="00BC49B2"/>
    <w:rsid w:val="00BC49F4"/>
    <w:rsid w:val="00BC4A2D"/>
    <w:rsid w:val="00BC4ADF"/>
    <w:rsid w:val="00BC4B44"/>
    <w:rsid w:val="00BC4B67"/>
    <w:rsid w:val="00BC4C3A"/>
    <w:rsid w:val="00BC4D8F"/>
    <w:rsid w:val="00BC4E11"/>
    <w:rsid w:val="00BC4ECB"/>
    <w:rsid w:val="00BC4F27"/>
    <w:rsid w:val="00BC4F93"/>
    <w:rsid w:val="00BC50A5"/>
    <w:rsid w:val="00BC50DF"/>
    <w:rsid w:val="00BC50E1"/>
    <w:rsid w:val="00BC51D4"/>
    <w:rsid w:val="00BC523E"/>
    <w:rsid w:val="00BC537A"/>
    <w:rsid w:val="00BC5382"/>
    <w:rsid w:val="00BC541F"/>
    <w:rsid w:val="00BC546C"/>
    <w:rsid w:val="00BC54D5"/>
    <w:rsid w:val="00BC5510"/>
    <w:rsid w:val="00BC5526"/>
    <w:rsid w:val="00BC561E"/>
    <w:rsid w:val="00BC5624"/>
    <w:rsid w:val="00BC570C"/>
    <w:rsid w:val="00BC576E"/>
    <w:rsid w:val="00BC57CE"/>
    <w:rsid w:val="00BC57D1"/>
    <w:rsid w:val="00BC5949"/>
    <w:rsid w:val="00BC59BF"/>
    <w:rsid w:val="00BC5AAF"/>
    <w:rsid w:val="00BC5B2F"/>
    <w:rsid w:val="00BC5BCA"/>
    <w:rsid w:val="00BC5C39"/>
    <w:rsid w:val="00BC5CBE"/>
    <w:rsid w:val="00BC5D26"/>
    <w:rsid w:val="00BC5D28"/>
    <w:rsid w:val="00BC5D81"/>
    <w:rsid w:val="00BC5E25"/>
    <w:rsid w:val="00BC5EF5"/>
    <w:rsid w:val="00BC5F74"/>
    <w:rsid w:val="00BC5FBA"/>
    <w:rsid w:val="00BC602D"/>
    <w:rsid w:val="00BC6062"/>
    <w:rsid w:val="00BC60E8"/>
    <w:rsid w:val="00BC6111"/>
    <w:rsid w:val="00BC6191"/>
    <w:rsid w:val="00BC61EE"/>
    <w:rsid w:val="00BC61F7"/>
    <w:rsid w:val="00BC6204"/>
    <w:rsid w:val="00BC6241"/>
    <w:rsid w:val="00BC6252"/>
    <w:rsid w:val="00BC6274"/>
    <w:rsid w:val="00BC62B5"/>
    <w:rsid w:val="00BC62E2"/>
    <w:rsid w:val="00BC633F"/>
    <w:rsid w:val="00BC6364"/>
    <w:rsid w:val="00BC637E"/>
    <w:rsid w:val="00BC640D"/>
    <w:rsid w:val="00BC6413"/>
    <w:rsid w:val="00BC6438"/>
    <w:rsid w:val="00BC64B1"/>
    <w:rsid w:val="00BC655E"/>
    <w:rsid w:val="00BC6583"/>
    <w:rsid w:val="00BC6606"/>
    <w:rsid w:val="00BC660E"/>
    <w:rsid w:val="00BC6647"/>
    <w:rsid w:val="00BC668E"/>
    <w:rsid w:val="00BC67BA"/>
    <w:rsid w:val="00BC6915"/>
    <w:rsid w:val="00BC69C2"/>
    <w:rsid w:val="00BC6AAE"/>
    <w:rsid w:val="00BC6B80"/>
    <w:rsid w:val="00BC6C79"/>
    <w:rsid w:val="00BC6D6F"/>
    <w:rsid w:val="00BC6E16"/>
    <w:rsid w:val="00BC6E7E"/>
    <w:rsid w:val="00BC6F71"/>
    <w:rsid w:val="00BC71A5"/>
    <w:rsid w:val="00BC71A6"/>
    <w:rsid w:val="00BC71FF"/>
    <w:rsid w:val="00BC7230"/>
    <w:rsid w:val="00BC724D"/>
    <w:rsid w:val="00BC7287"/>
    <w:rsid w:val="00BC72BB"/>
    <w:rsid w:val="00BC72BC"/>
    <w:rsid w:val="00BC72E4"/>
    <w:rsid w:val="00BC7337"/>
    <w:rsid w:val="00BC7343"/>
    <w:rsid w:val="00BC7473"/>
    <w:rsid w:val="00BC74AB"/>
    <w:rsid w:val="00BC74C4"/>
    <w:rsid w:val="00BC760D"/>
    <w:rsid w:val="00BC7632"/>
    <w:rsid w:val="00BC7709"/>
    <w:rsid w:val="00BC7750"/>
    <w:rsid w:val="00BC77BE"/>
    <w:rsid w:val="00BC77EC"/>
    <w:rsid w:val="00BC7962"/>
    <w:rsid w:val="00BC79A1"/>
    <w:rsid w:val="00BC79A6"/>
    <w:rsid w:val="00BC79E3"/>
    <w:rsid w:val="00BC7A59"/>
    <w:rsid w:val="00BC7C0F"/>
    <w:rsid w:val="00BC7C1B"/>
    <w:rsid w:val="00BC7C5B"/>
    <w:rsid w:val="00BC7C8B"/>
    <w:rsid w:val="00BC7CEB"/>
    <w:rsid w:val="00BC7D7C"/>
    <w:rsid w:val="00BC7DC7"/>
    <w:rsid w:val="00BC7E20"/>
    <w:rsid w:val="00BC7E7A"/>
    <w:rsid w:val="00BC7F6E"/>
    <w:rsid w:val="00BC7FAF"/>
    <w:rsid w:val="00BC7FDD"/>
    <w:rsid w:val="00BC935B"/>
    <w:rsid w:val="00BD006C"/>
    <w:rsid w:val="00BD013C"/>
    <w:rsid w:val="00BD01BC"/>
    <w:rsid w:val="00BD01C3"/>
    <w:rsid w:val="00BD0227"/>
    <w:rsid w:val="00BD02D3"/>
    <w:rsid w:val="00BD0358"/>
    <w:rsid w:val="00BD035F"/>
    <w:rsid w:val="00BD0486"/>
    <w:rsid w:val="00BD05A4"/>
    <w:rsid w:val="00BD05CE"/>
    <w:rsid w:val="00BD05DF"/>
    <w:rsid w:val="00BD05FC"/>
    <w:rsid w:val="00BD06A0"/>
    <w:rsid w:val="00BD06B4"/>
    <w:rsid w:val="00BD070C"/>
    <w:rsid w:val="00BD078B"/>
    <w:rsid w:val="00BD07C6"/>
    <w:rsid w:val="00BD0879"/>
    <w:rsid w:val="00BD08BF"/>
    <w:rsid w:val="00BD099D"/>
    <w:rsid w:val="00BD0A44"/>
    <w:rsid w:val="00BD0B3D"/>
    <w:rsid w:val="00BD0C1E"/>
    <w:rsid w:val="00BD0CA1"/>
    <w:rsid w:val="00BD0D21"/>
    <w:rsid w:val="00BD0D59"/>
    <w:rsid w:val="00BD0D91"/>
    <w:rsid w:val="00BD0D95"/>
    <w:rsid w:val="00BD0EE3"/>
    <w:rsid w:val="00BD0F11"/>
    <w:rsid w:val="00BD0F86"/>
    <w:rsid w:val="00BD0FE1"/>
    <w:rsid w:val="00BD1164"/>
    <w:rsid w:val="00BD1242"/>
    <w:rsid w:val="00BD1279"/>
    <w:rsid w:val="00BD12A2"/>
    <w:rsid w:val="00BD1372"/>
    <w:rsid w:val="00BD138F"/>
    <w:rsid w:val="00BD13B4"/>
    <w:rsid w:val="00BD13BA"/>
    <w:rsid w:val="00BD13ED"/>
    <w:rsid w:val="00BD14E9"/>
    <w:rsid w:val="00BD15C4"/>
    <w:rsid w:val="00BD15DE"/>
    <w:rsid w:val="00BD15F2"/>
    <w:rsid w:val="00BD1630"/>
    <w:rsid w:val="00BD1656"/>
    <w:rsid w:val="00BD1723"/>
    <w:rsid w:val="00BD178A"/>
    <w:rsid w:val="00BD179F"/>
    <w:rsid w:val="00BD17E9"/>
    <w:rsid w:val="00BD1882"/>
    <w:rsid w:val="00BD190D"/>
    <w:rsid w:val="00BD1985"/>
    <w:rsid w:val="00BD1B86"/>
    <w:rsid w:val="00BD1B8A"/>
    <w:rsid w:val="00BD1BBC"/>
    <w:rsid w:val="00BD1CBD"/>
    <w:rsid w:val="00BD1D71"/>
    <w:rsid w:val="00BD1DAA"/>
    <w:rsid w:val="00BD1F52"/>
    <w:rsid w:val="00BD1FE1"/>
    <w:rsid w:val="00BD2036"/>
    <w:rsid w:val="00BD2073"/>
    <w:rsid w:val="00BD20EA"/>
    <w:rsid w:val="00BD213B"/>
    <w:rsid w:val="00BD232B"/>
    <w:rsid w:val="00BD23F5"/>
    <w:rsid w:val="00BD248B"/>
    <w:rsid w:val="00BD24DA"/>
    <w:rsid w:val="00BD2646"/>
    <w:rsid w:val="00BD26FF"/>
    <w:rsid w:val="00BD275A"/>
    <w:rsid w:val="00BD28A0"/>
    <w:rsid w:val="00BD28B5"/>
    <w:rsid w:val="00BD2972"/>
    <w:rsid w:val="00BD29F9"/>
    <w:rsid w:val="00BD2A79"/>
    <w:rsid w:val="00BD2AB6"/>
    <w:rsid w:val="00BD2ACB"/>
    <w:rsid w:val="00BD2BCC"/>
    <w:rsid w:val="00BD2C49"/>
    <w:rsid w:val="00BD2CE0"/>
    <w:rsid w:val="00BD2D24"/>
    <w:rsid w:val="00BD2D8A"/>
    <w:rsid w:val="00BD2DBC"/>
    <w:rsid w:val="00BD2E8B"/>
    <w:rsid w:val="00BD2EDD"/>
    <w:rsid w:val="00BD2F78"/>
    <w:rsid w:val="00BD2F7C"/>
    <w:rsid w:val="00BD300D"/>
    <w:rsid w:val="00BD3045"/>
    <w:rsid w:val="00BD30E5"/>
    <w:rsid w:val="00BD31D0"/>
    <w:rsid w:val="00BD3264"/>
    <w:rsid w:val="00BD3277"/>
    <w:rsid w:val="00BD329C"/>
    <w:rsid w:val="00BD3323"/>
    <w:rsid w:val="00BD3383"/>
    <w:rsid w:val="00BD33BA"/>
    <w:rsid w:val="00BD3510"/>
    <w:rsid w:val="00BD3517"/>
    <w:rsid w:val="00BD3530"/>
    <w:rsid w:val="00BD35A7"/>
    <w:rsid w:val="00BD360C"/>
    <w:rsid w:val="00BD3652"/>
    <w:rsid w:val="00BD3681"/>
    <w:rsid w:val="00BD3793"/>
    <w:rsid w:val="00BD37DF"/>
    <w:rsid w:val="00BD382E"/>
    <w:rsid w:val="00BD38DF"/>
    <w:rsid w:val="00BD38F4"/>
    <w:rsid w:val="00BD3984"/>
    <w:rsid w:val="00BD398A"/>
    <w:rsid w:val="00BD39B2"/>
    <w:rsid w:val="00BD3A8C"/>
    <w:rsid w:val="00BD3A9B"/>
    <w:rsid w:val="00BD3AA7"/>
    <w:rsid w:val="00BD3B84"/>
    <w:rsid w:val="00BD3C37"/>
    <w:rsid w:val="00BD3C6C"/>
    <w:rsid w:val="00BD3C70"/>
    <w:rsid w:val="00BD3D00"/>
    <w:rsid w:val="00BD3D52"/>
    <w:rsid w:val="00BD3E50"/>
    <w:rsid w:val="00BD3E85"/>
    <w:rsid w:val="00BD3EE5"/>
    <w:rsid w:val="00BD406E"/>
    <w:rsid w:val="00BD40A5"/>
    <w:rsid w:val="00BD41ED"/>
    <w:rsid w:val="00BD4246"/>
    <w:rsid w:val="00BD4360"/>
    <w:rsid w:val="00BD4385"/>
    <w:rsid w:val="00BD45A7"/>
    <w:rsid w:val="00BD460E"/>
    <w:rsid w:val="00BD46C2"/>
    <w:rsid w:val="00BD4715"/>
    <w:rsid w:val="00BD4727"/>
    <w:rsid w:val="00BD4784"/>
    <w:rsid w:val="00BD479D"/>
    <w:rsid w:val="00BD480D"/>
    <w:rsid w:val="00BD480F"/>
    <w:rsid w:val="00BD482B"/>
    <w:rsid w:val="00BD4897"/>
    <w:rsid w:val="00BD4966"/>
    <w:rsid w:val="00BD49BB"/>
    <w:rsid w:val="00BD4A2E"/>
    <w:rsid w:val="00BD4A3C"/>
    <w:rsid w:val="00BD4A55"/>
    <w:rsid w:val="00BD4ADA"/>
    <w:rsid w:val="00BD4B79"/>
    <w:rsid w:val="00BD4D3C"/>
    <w:rsid w:val="00BD4D84"/>
    <w:rsid w:val="00BD4DBD"/>
    <w:rsid w:val="00BD4E9C"/>
    <w:rsid w:val="00BD4FBE"/>
    <w:rsid w:val="00BD4FE6"/>
    <w:rsid w:val="00BD5065"/>
    <w:rsid w:val="00BD5118"/>
    <w:rsid w:val="00BD513F"/>
    <w:rsid w:val="00BD5249"/>
    <w:rsid w:val="00BD52B5"/>
    <w:rsid w:val="00BD5308"/>
    <w:rsid w:val="00BD532B"/>
    <w:rsid w:val="00BD53B0"/>
    <w:rsid w:val="00BD5424"/>
    <w:rsid w:val="00BD5486"/>
    <w:rsid w:val="00BD5537"/>
    <w:rsid w:val="00BD5589"/>
    <w:rsid w:val="00BD55DE"/>
    <w:rsid w:val="00BD55E9"/>
    <w:rsid w:val="00BD57CB"/>
    <w:rsid w:val="00BD57E4"/>
    <w:rsid w:val="00BD57EF"/>
    <w:rsid w:val="00BD584A"/>
    <w:rsid w:val="00BD5894"/>
    <w:rsid w:val="00BD58FE"/>
    <w:rsid w:val="00BD5900"/>
    <w:rsid w:val="00BD594D"/>
    <w:rsid w:val="00BD59B1"/>
    <w:rsid w:val="00BD5AA5"/>
    <w:rsid w:val="00BD5AB2"/>
    <w:rsid w:val="00BD5B47"/>
    <w:rsid w:val="00BD5C04"/>
    <w:rsid w:val="00BD5C33"/>
    <w:rsid w:val="00BD5C7D"/>
    <w:rsid w:val="00BD5CCC"/>
    <w:rsid w:val="00BD5D4D"/>
    <w:rsid w:val="00BD5D6E"/>
    <w:rsid w:val="00BD5D82"/>
    <w:rsid w:val="00BD5DCF"/>
    <w:rsid w:val="00BD5E2D"/>
    <w:rsid w:val="00BD5EE0"/>
    <w:rsid w:val="00BD5F71"/>
    <w:rsid w:val="00BD604F"/>
    <w:rsid w:val="00BD6051"/>
    <w:rsid w:val="00BD60CC"/>
    <w:rsid w:val="00BD613B"/>
    <w:rsid w:val="00BD6169"/>
    <w:rsid w:val="00BD6180"/>
    <w:rsid w:val="00BD61AA"/>
    <w:rsid w:val="00BD61C4"/>
    <w:rsid w:val="00BD620C"/>
    <w:rsid w:val="00BD623A"/>
    <w:rsid w:val="00BD6293"/>
    <w:rsid w:val="00BD62D4"/>
    <w:rsid w:val="00BD63D8"/>
    <w:rsid w:val="00BD643C"/>
    <w:rsid w:val="00BD6463"/>
    <w:rsid w:val="00BD6477"/>
    <w:rsid w:val="00BD64BC"/>
    <w:rsid w:val="00BD6508"/>
    <w:rsid w:val="00BD6574"/>
    <w:rsid w:val="00BD6582"/>
    <w:rsid w:val="00BD6642"/>
    <w:rsid w:val="00BD6679"/>
    <w:rsid w:val="00BD669F"/>
    <w:rsid w:val="00BD66AE"/>
    <w:rsid w:val="00BD67E1"/>
    <w:rsid w:val="00BD688B"/>
    <w:rsid w:val="00BD696D"/>
    <w:rsid w:val="00BD6997"/>
    <w:rsid w:val="00BD69CB"/>
    <w:rsid w:val="00BD6A24"/>
    <w:rsid w:val="00BD6A33"/>
    <w:rsid w:val="00BD6B33"/>
    <w:rsid w:val="00BD6C0E"/>
    <w:rsid w:val="00BD6C51"/>
    <w:rsid w:val="00BD6CAF"/>
    <w:rsid w:val="00BD6F72"/>
    <w:rsid w:val="00BD6FCD"/>
    <w:rsid w:val="00BD703A"/>
    <w:rsid w:val="00BD70AE"/>
    <w:rsid w:val="00BD716B"/>
    <w:rsid w:val="00BD71C9"/>
    <w:rsid w:val="00BD739F"/>
    <w:rsid w:val="00BD74C2"/>
    <w:rsid w:val="00BD74FF"/>
    <w:rsid w:val="00BD752A"/>
    <w:rsid w:val="00BD75DE"/>
    <w:rsid w:val="00BD75F1"/>
    <w:rsid w:val="00BD7604"/>
    <w:rsid w:val="00BD7671"/>
    <w:rsid w:val="00BD7699"/>
    <w:rsid w:val="00BD7789"/>
    <w:rsid w:val="00BD7802"/>
    <w:rsid w:val="00BD7869"/>
    <w:rsid w:val="00BD7967"/>
    <w:rsid w:val="00BD79A3"/>
    <w:rsid w:val="00BD79CD"/>
    <w:rsid w:val="00BD79F4"/>
    <w:rsid w:val="00BD7AAF"/>
    <w:rsid w:val="00BD7AFC"/>
    <w:rsid w:val="00BD7B4D"/>
    <w:rsid w:val="00BD7B59"/>
    <w:rsid w:val="00BD7BF4"/>
    <w:rsid w:val="00BD7C26"/>
    <w:rsid w:val="00BD7C51"/>
    <w:rsid w:val="00BD7D85"/>
    <w:rsid w:val="00BD7DDE"/>
    <w:rsid w:val="00BD7FA9"/>
    <w:rsid w:val="00BE0008"/>
    <w:rsid w:val="00BE000C"/>
    <w:rsid w:val="00BE000F"/>
    <w:rsid w:val="00BE0035"/>
    <w:rsid w:val="00BE0085"/>
    <w:rsid w:val="00BE0094"/>
    <w:rsid w:val="00BE00F5"/>
    <w:rsid w:val="00BE0264"/>
    <w:rsid w:val="00BE0282"/>
    <w:rsid w:val="00BE0388"/>
    <w:rsid w:val="00BE03AE"/>
    <w:rsid w:val="00BE03CC"/>
    <w:rsid w:val="00BE0456"/>
    <w:rsid w:val="00BE04F1"/>
    <w:rsid w:val="00BE0521"/>
    <w:rsid w:val="00BE0670"/>
    <w:rsid w:val="00BE069A"/>
    <w:rsid w:val="00BE06B1"/>
    <w:rsid w:val="00BE0729"/>
    <w:rsid w:val="00BE0733"/>
    <w:rsid w:val="00BE089B"/>
    <w:rsid w:val="00BE0902"/>
    <w:rsid w:val="00BE097E"/>
    <w:rsid w:val="00BE0A4B"/>
    <w:rsid w:val="00BE0A98"/>
    <w:rsid w:val="00BE0ADD"/>
    <w:rsid w:val="00BE0AE8"/>
    <w:rsid w:val="00BE0C6A"/>
    <w:rsid w:val="00BE0C9D"/>
    <w:rsid w:val="00BE0CC1"/>
    <w:rsid w:val="00BE0D01"/>
    <w:rsid w:val="00BE0E91"/>
    <w:rsid w:val="00BE0EA4"/>
    <w:rsid w:val="00BE0EAD"/>
    <w:rsid w:val="00BE0EB4"/>
    <w:rsid w:val="00BE0F39"/>
    <w:rsid w:val="00BE0F61"/>
    <w:rsid w:val="00BE0FDA"/>
    <w:rsid w:val="00BE1009"/>
    <w:rsid w:val="00BE106D"/>
    <w:rsid w:val="00BE10D5"/>
    <w:rsid w:val="00BE1257"/>
    <w:rsid w:val="00BE1299"/>
    <w:rsid w:val="00BE13E2"/>
    <w:rsid w:val="00BE1400"/>
    <w:rsid w:val="00BE1418"/>
    <w:rsid w:val="00BE1427"/>
    <w:rsid w:val="00BE1563"/>
    <w:rsid w:val="00BE17DC"/>
    <w:rsid w:val="00BE17F3"/>
    <w:rsid w:val="00BE1987"/>
    <w:rsid w:val="00BE1AFA"/>
    <w:rsid w:val="00BE1B3B"/>
    <w:rsid w:val="00BE1B44"/>
    <w:rsid w:val="00BE1C23"/>
    <w:rsid w:val="00BE1CD2"/>
    <w:rsid w:val="00BE1D2F"/>
    <w:rsid w:val="00BE1DA5"/>
    <w:rsid w:val="00BE1DEA"/>
    <w:rsid w:val="00BE1E6E"/>
    <w:rsid w:val="00BE1E9E"/>
    <w:rsid w:val="00BE1FE2"/>
    <w:rsid w:val="00BE1FE8"/>
    <w:rsid w:val="00BE2054"/>
    <w:rsid w:val="00BE20BE"/>
    <w:rsid w:val="00BE20F3"/>
    <w:rsid w:val="00BE2168"/>
    <w:rsid w:val="00BE21A7"/>
    <w:rsid w:val="00BE221D"/>
    <w:rsid w:val="00BE2248"/>
    <w:rsid w:val="00BE23EB"/>
    <w:rsid w:val="00BE248F"/>
    <w:rsid w:val="00BE24E8"/>
    <w:rsid w:val="00BE2548"/>
    <w:rsid w:val="00BE2554"/>
    <w:rsid w:val="00BE27A8"/>
    <w:rsid w:val="00BE2A8C"/>
    <w:rsid w:val="00BE2BCE"/>
    <w:rsid w:val="00BE2CA9"/>
    <w:rsid w:val="00BE2CD1"/>
    <w:rsid w:val="00BE2DA1"/>
    <w:rsid w:val="00BE2E13"/>
    <w:rsid w:val="00BE2EF8"/>
    <w:rsid w:val="00BE2EFB"/>
    <w:rsid w:val="00BE301E"/>
    <w:rsid w:val="00BE307D"/>
    <w:rsid w:val="00BE31CB"/>
    <w:rsid w:val="00BE31D2"/>
    <w:rsid w:val="00BE31FB"/>
    <w:rsid w:val="00BE3248"/>
    <w:rsid w:val="00BE339B"/>
    <w:rsid w:val="00BE33F1"/>
    <w:rsid w:val="00BE3485"/>
    <w:rsid w:val="00BE34A9"/>
    <w:rsid w:val="00BE351D"/>
    <w:rsid w:val="00BE3615"/>
    <w:rsid w:val="00BE36A9"/>
    <w:rsid w:val="00BE3753"/>
    <w:rsid w:val="00BE37A1"/>
    <w:rsid w:val="00BE37BB"/>
    <w:rsid w:val="00BE38BB"/>
    <w:rsid w:val="00BE3969"/>
    <w:rsid w:val="00BE39D4"/>
    <w:rsid w:val="00BE3A66"/>
    <w:rsid w:val="00BE3A72"/>
    <w:rsid w:val="00BE3B37"/>
    <w:rsid w:val="00BE3B94"/>
    <w:rsid w:val="00BE3BD4"/>
    <w:rsid w:val="00BE3BFF"/>
    <w:rsid w:val="00BE3C67"/>
    <w:rsid w:val="00BE3C9F"/>
    <w:rsid w:val="00BE3D3C"/>
    <w:rsid w:val="00BE3D7F"/>
    <w:rsid w:val="00BE3E35"/>
    <w:rsid w:val="00BE3E8F"/>
    <w:rsid w:val="00BE3EC4"/>
    <w:rsid w:val="00BE3EE6"/>
    <w:rsid w:val="00BE3F1F"/>
    <w:rsid w:val="00BE3F78"/>
    <w:rsid w:val="00BE3FE0"/>
    <w:rsid w:val="00BE4079"/>
    <w:rsid w:val="00BE410E"/>
    <w:rsid w:val="00BE42F7"/>
    <w:rsid w:val="00BE42FB"/>
    <w:rsid w:val="00BE43B9"/>
    <w:rsid w:val="00BE43C7"/>
    <w:rsid w:val="00BE44BD"/>
    <w:rsid w:val="00BE44D1"/>
    <w:rsid w:val="00BE4763"/>
    <w:rsid w:val="00BE479B"/>
    <w:rsid w:val="00BE47BC"/>
    <w:rsid w:val="00BE48AA"/>
    <w:rsid w:val="00BE494D"/>
    <w:rsid w:val="00BE497A"/>
    <w:rsid w:val="00BE4A44"/>
    <w:rsid w:val="00BE4A48"/>
    <w:rsid w:val="00BE4ADA"/>
    <w:rsid w:val="00BE4B02"/>
    <w:rsid w:val="00BE4B46"/>
    <w:rsid w:val="00BE4C07"/>
    <w:rsid w:val="00BE4C1E"/>
    <w:rsid w:val="00BE4D2B"/>
    <w:rsid w:val="00BE4F0F"/>
    <w:rsid w:val="00BE4FDA"/>
    <w:rsid w:val="00BE5017"/>
    <w:rsid w:val="00BE52A4"/>
    <w:rsid w:val="00BE5329"/>
    <w:rsid w:val="00BE5392"/>
    <w:rsid w:val="00BE5429"/>
    <w:rsid w:val="00BE5442"/>
    <w:rsid w:val="00BE54E7"/>
    <w:rsid w:val="00BE5526"/>
    <w:rsid w:val="00BE5591"/>
    <w:rsid w:val="00BE55FA"/>
    <w:rsid w:val="00BE564F"/>
    <w:rsid w:val="00BE567A"/>
    <w:rsid w:val="00BE5697"/>
    <w:rsid w:val="00BE56D6"/>
    <w:rsid w:val="00BE584A"/>
    <w:rsid w:val="00BE594B"/>
    <w:rsid w:val="00BE59AA"/>
    <w:rsid w:val="00BE59CE"/>
    <w:rsid w:val="00BE5AAA"/>
    <w:rsid w:val="00BE5B47"/>
    <w:rsid w:val="00BE5B59"/>
    <w:rsid w:val="00BE5B6F"/>
    <w:rsid w:val="00BE5B87"/>
    <w:rsid w:val="00BE5BC1"/>
    <w:rsid w:val="00BE5BF3"/>
    <w:rsid w:val="00BE5BF8"/>
    <w:rsid w:val="00BE5C04"/>
    <w:rsid w:val="00BE5CCD"/>
    <w:rsid w:val="00BE5CD7"/>
    <w:rsid w:val="00BE5D6B"/>
    <w:rsid w:val="00BE5DDD"/>
    <w:rsid w:val="00BE5EE3"/>
    <w:rsid w:val="00BE5F52"/>
    <w:rsid w:val="00BE5F82"/>
    <w:rsid w:val="00BE5FD6"/>
    <w:rsid w:val="00BE60B5"/>
    <w:rsid w:val="00BE61BC"/>
    <w:rsid w:val="00BE6202"/>
    <w:rsid w:val="00BE626D"/>
    <w:rsid w:val="00BE6297"/>
    <w:rsid w:val="00BE62C6"/>
    <w:rsid w:val="00BE62EB"/>
    <w:rsid w:val="00BE6406"/>
    <w:rsid w:val="00BE6430"/>
    <w:rsid w:val="00BE646D"/>
    <w:rsid w:val="00BE64B8"/>
    <w:rsid w:val="00BE6591"/>
    <w:rsid w:val="00BE65BB"/>
    <w:rsid w:val="00BE65D8"/>
    <w:rsid w:val="00BE662A"/>
    <w:rsid w:val="00BE6643"/>
    <w:rsid w:val="00BE676A"/>
    <w:rsid w:val="00BE68EC"/>
    <w:rsid w:val="00BE6907"/>
    <w:rsid w:val="00BE69DA"/>
    <w:rsid w:val="00BE69F4"/>
    <w:rsid w:val="00BE6B21"/>
    <w:rsid w:val="00BE6B67"/>
    <w:rsid w:val="00BE6C43"/>
    <w:rsid w:val="00BE6C57"/>
    <w:rsid w:val="00BE6CDE"/>
    <w:rsid w:val="00BE6D3E"/>
    <w:rsid w:val="00BE6D71"/>
    <w:rsid w:val="00BE6DA8"/>
    <w:rsid w:val="00BE6DD5"/>
    <w:rsid w:val="00BE6E7D"/>
    <w:rsid w:val="00BE6EEF"/>
    <w:rsid w:val="00BE6F57"/>
    <w:rsid w:val="00BE6F67"/>
    <w:rsid w:val="00BE7201"/>
    <w:rsid w:val="00BE7203"/>
    <w:rsid w:val="00BE7226"/>
    <w:rsid w:val="00BE724B"/>
    <w:rsid w:val="00BE726B"/>
    <w:rsid w:val="00BE727E"/>
    <w:rsid w:val="00BE730F"/>
    <w:rsid w:val="00BE7357"/>
    <w:rsid w:val="00BE73E3"/>
    <w:rsid w:val="00BE747F"/>
    <w:rsid w:val="00BE74BD"/>
    <w:rsid w:val="00BE75AD"/>
    <w:rsid w:val="00BE75E6"/>
    <w:rsid w:val="00BE764C"/>
    <w:rsid w:val="00BE76DD"/>
    <w:rsid w:val="00BE7708"/>
    <w:rsid w:val="00BE7755"/>
    <w:rsid w:val="00BE7794"/>
    <w:rsid w:val="00BE7801"/>
    <w:rsid w:val="00BE7803"/>
    <w:rsid w:val="00BE7827"/>
    <w:rsid w:val="00BE785B"/>
    <w:rsid w:val="00BE785E"/>
    <w:rsid w:val="00BE7A48"/>
    <w:rsid w:val="00BE7B5C"/>
    <w:rsid w:val="00BE7B89"/>
    <w:rsid w:val="00BE7BAB"/>
    <w:rsid w:val="00BE7CE0"/>
    <w:rsid w:val="00BE7E1A"/>
    <w:rsid w:val="00BE7E2D"/>
    <w:rsid w:val="00BE7EBE"/>
    <w:rsid w:val="00BE7EC5"/>
    <w:rsid w:val="00BE7EE1"/>
    <w:rsid w:val="00BE7F2D"/>
    <w:rsid w:val="00BF0049"/>
    <w:rsid w:val="00BF00B7"/>
    <w:rsid w:val="00BF0207"/>
    <w:rsid w:val="00BF025B"/>
    <w:rsid w:val="00BF031D"/>
    <w:rsid w:val="00BF034A"/>
    <w:rsid w:val="00BF036E"/>
    <w:rsid w:val="00BF037E"/>
    <w:rsid w:val="00BF03DE"/>
    <w:rsid w:val="00BF0418"/>
    <w:rsid w:val="00BF048A"/>
    <w:rsid w:val="00BF054C"/>
    <w:rsid w:val="00BF0702"/>
    <w:rsid w:val="00BF07CD"/>
    <w:rsid w:val="00BF08AC"/>
    <w:rsid w:val="00BF0992"/>
    <w:rsid w:val="00BF0A6C"/>
    <w:rsid w:val="00BF0B13"/>
    <w:rsid w:val="00BF0B26"/>
    <w:rsid w:val="00BF0B6E"/>
    <w:rsid w:val="00BF0BDB"/>
    <w:rsid w:val="00BF0CF5"/>
    <w:rsid w:val="00BF0D09"/>
    <w:rsid w:val="00BF0D6C"/>
    <w:rsid w:val="00BF0D7A"/>
    <w:rsid w:val="00BF0DD4"/>
    <w:rsid w:val="00BF0DF9"/>
    <w:rsid w:val="00BF0EF2"/>
    <w:rsid w:val="00BF0F98"/>
    <w:rsid w:val="00BF10DA"/>
    <w:rsid w:val="00BF1148"/>
    <w:rsid w:val="00BF11A0"/>
    <w:rsid w:val="00BF123D"/>
    <w:rsid w:val="00BF1349"/>
    <w:rsid w:val="00BF14C5"/>
    <w:rsid w:val="00BF1583"/>
    <w:rsid w:val="00BF17A5"/>
    <w:rsid w:val="00BF1801"/>
    <w:rsid w:val="00BF18C3"/>
    <w:rsid w:val="00BF1A6F"/>
    <w:rsid w:val="00BF1A80"/>
    <w:rsid w:val="00BF1ACC"/>
    <w:rsid w:val="00BF1AE1"/>
    <w:rsid w:val="00BF1B0D"/>
    <w:rsid w:val="00BF1B92"/>
    <w:rsid w:val="00BF1BE1"/>
    <w:rsid w:val="00BF1C17"/>
    <w:rsid w:val="00BF1C21"/>
    <w:rsid w:val="00BF1C42"/>
    <w:rsid w:val="00BF1C98"/>
    <w:rsid w:val="00BF1DEA"/>
    <w:rsid w:val="00BF1E59"/>
    <w:rsid w:val="00BF1EC9"/>
    <w:rsid w:val="00BF1ED0"/>
    <w:rsid w:val="00BF1F17"/>
    <w:rsid w:val="00BF1F5D"/>
    <w:rsid w:val="00BF1F63"/>
    <w:rsid w:val="00BF208D"/>
    <w:rsid w:val="00BF2269"/>
    <w:rsid w:val="00BF22CF"/>
    <w:rsid w:val="00BF2308"/>
    <w:rsid w:val="00BF23D2"/>
    <w:rsid w:val="00BF23DC"/>
    <w:rsid w:val="00BF2422"/>
    <w:rsid w:val="00BF242E"/>
    <w:rsid w:val="00BF2491"/>
    <w:rsid w:val="00BF2511"/>
    <w:rsid w:val="00BF2619"/>
    <w:rsid w:val="00BF263C"/>
    <w:rsid w:val="00BF272E"/>
    <w:rsid w:val="00BF2730"/>
    <w:rsid w:val="00BF2734"/>
    <w:rsid w:val="00BF27BD"/>
    <w:rsid w:val="00BF27DE"/>
    <w:rsid w:val="00BF285D"/>
    <w:rsid w:val="00BF2AC2"/>
    <w:rsid w:val="00BF2B8B"/>
    <w:rsid w:val="00BF2CCB"/>
    <w:rsid w:val="00BF2D2D"/>
    <w:rsid w:val="00BF2D73"/>
    <w:rsid w:val="00BF3038"/>
    <w:rsid w:val="00BF3068"/>
    <w:rsid w:val="00BF315C"/>
    <w:rsid w:val="00BF3199"/>
    <w:rsid w:val="00BF31C0"/>
    <w:rsid w:val="00BF31C2"/>
    <w:rsid w:val="00BF31CB"/>
    <w:rsid w:val="00BF3206"/>
    <w:rsid w:val="00BF3235"/>
    <w:rsid w:val="00BF3278"/>
    <w:rsid w:val="00BF32B2"/>
    <w:rsid w:val="00BF32CB"/>
    <w:rsid w:val="00BF33E2"/>
    <w:rsid w:val="00BF33F4"/>
    <w:rsid w:val="00BF34E3"/>
    <w:rsid w:val="00BF3511"/>
    <w:rsid w:val="00BF3517"/>
    <w:rsid w:val="00BF3520"/>
    <w:rsid w:val="00BF3551"/>
    <w:rsid w:val="00BF356A"/>
    <w:rsid w:val="00BF357C"/>
    <w:rsid w:val="00BF35AC"/>
    <w:rsid w:val="00BF3774"/>
    <w:rsid w:val="00BF37A4"/>
    <w:rsid w:val="00BF38CE"/>
    <w:rsid w:val="00BF38D1"/>
    <w:rsid w:val="00BF38DA"/>
    <w:rsid w:val="00BF38F1"/>
    <w:rsid w:val="00BF390B"/>
    <w:rsid w:val="00BF3988"/>
    <w:rsid w:val="00BF39BE"/>
    <w:rsid w:val="00BF39EF"/>
    <w:rsid w:val="00BF3A2B"/>
    <w:rsid w:val="00BF3B03"/>
    <w:rsid w:val="00BF3B46"/>
    <w:rsid w:val="00BF3BA5"/>
    <w:rsid w:val="00BF3BFF"/>
    <w:rsid w:val="00BF3C14"/>
    <w:rsid w:val="00BF3D92"/>
    <w:rsid w:val="00BF3DAF"/>
    <w:rsid w:val="00BF3DDF"/>
    <w:rsid w:val="00BF3E1E"/>
    <w:rsid w:val="00BF3EFB"/>
    <w:rsid w:val="00BF408C"/>
    <w:rsid w:val="00BF41BD"/>
    <w:rsid w:val="00BF420C"/>
    <w:rsid w:val="00BF427E"/>
    <w:rsid w:val="00BF4313"/>
    <w:rsid w:val="00BF43B6"/>
    <w:rsid w:val="00BF4470"/>
    <w:rsid w:val="00BF44B0"/>
    <w:rsid w:val="00BF468E"/>
    <w:rsid w:val="00BF4736"/>
    <w:rsid w:val="00BF47B9"/>
    <w:rsid w:val="00BF4849"/>
    <w:rsid w:val="00BF48AC"/>
    <w:rsid w:val="00BF48D7"/>
    <w:rsid w:val="00BF4968"/>
    <w:rsid w:val="00BF4B3E"/>
    <w:rsid w:val="00BF4BF0"/>
    <w:rsid w:val="00BF4BFF"/>
    <w:rsid w:val="00BF4C4C"/>
    <w:rsid w:val="00BF4C89"/>
    <w:rsid w:val="00BF4D0B"/>
    <w:rsid w:val="00BF4DB7"/>
    <w:rsid w:val="00BF4DD7"/>
    <w:rsid w:val="00BF4DF6"/>
    <w:rsid w:val="00BF4E8C"/>
    <w:rsid w:val="00BF4ED9"/>
    <w:rsid w:val="00BF4FBA"/>
    <w:rsid w:val="00BF4FD4"/>
    <w:rsid w:val="00BF506E"/>
    <w:rsid w:val="00BF5082"/>
    <w:rsid w:val="00BF509F"/>
    <w:rsid w:val="00BF5141"/>
    <w:rsid w:val="00BF5169"/>
    <w:rsid w:val="00BF5223"/>
    <w:rsid w:val="00BF5282"/>
    <w:rsid w:val="00BF52FE"/>
    <w:rsid w:val="00BF5355"/>
    <w:rsid w:val="00BF5361"/>
    <w:rsid w:val="00BF5362"/>
    <w:rsid w:val="00BF5396"/>
    <w:rsid w:val="00BF5403"/>
    <w:rsid w:val="00BF543E"/>
    <w:rsid w:val="00BF5559"/>
    <w:rsid w:val="00BF55A2"/>
    <w:rsid w:val="00BF55C4"/>
    <w:rsid w:val="00BF5662"/>
    <w:rsid w:val="00BF56A4"/>
    <w:rsid w:val="00BF570B"/>
    <w:rsid w:val="00BF574C"/>
    <w:rsid w:val="00BF5761"/>
    <w:rsid w:val="00BF592C"/>
    <w:rsid w:val="00BF5973"/>
    <w:rsid w:val="00BF5986"/>
    <w:rsid w:val="00BF5993"/>
    <w:rsid w:val="00BF5A07"/>
    <w:rsid w:val="00BF5CE8"/>
    <w:rsid w:val="00BF5D0A"/>
    <w:rsid w:val="00BF5D9D"/>
    <w:rsid w:val="00BF5E0B"/>
    <w:rsid w:val="00BF5E5C"/>
    <w:rsid w:val="00BF5E84"/>
    <w:rsid w:val="00BF5E8B"/>
    <w:rsid w:val="00BF5E8C"/>
    <w:rsid w:val="00BF5EA5"/>
    <w:rsid w:val="00BF5F1B"/>
    <w:rsid w:val="00BF5FD7"/>
    <w:rsid w:val="00BF6067"/>
    <w:rsid w:val="00BF609A"/>
    <w:rsid w:val="00BF6160"/>
    <w:rsid w:val="00BF618B"/>
    <w:rsid w:val="00BF61A2"/>
    <w:rsid w:val="00BF61B6"/>
    <w:rsid w:val="00BF6208"/>
    <w:rsid w:val="00BF6324"/>
    <w:rsid w:val="00BF63A5"/>
    <w:rsid w:val="00BF667A"/>
    <w:rsid w:val="00BF66BE"/>
    <w:rsid w:val="00BF6700"/>
    <w:rsid w:val="00BF670D"/>
    <w:rsid w:val="00BF671F"/>
    <w:rsid w:val="00BF6787"/>
    <w:rsid w:val="00BF67A5"/>
    <w:rsid w:val="00BF67CB"/>
    <w:rsid w:val="00BF6817"/>
    <w:rsid w:val="00BF68AA"/>
    <w:rsid w:val="00BF68C8"/>
    <w:rsid w:val="00BF690E"/>
    <w:rsid w:val="00BF6950"/>
    <w:rsid w:val="00BF698C"/>
    <w:rsid w:val="00BF69EF"/>
    <w:rsid w:val="00BF6A08"/>
    <w:rsid w:val="00BF6C35"/>
    <w:rsid w:val="00BF6C56"/>
    <w:rsid w:val="00BF6C7F"/>
    <w:rsid w:val="00BF6DE3"/>
    <w:rsid w:val="00BF6E1A"/>
    <w:rsid w:val="00BF6F6B"/>
    <w:rsid w:val="00BF7241"/>
    <w:rsid w:val="00BF72B4"/>
    <w:rsid w:val="00BF72CA"/>
    <w:rsid w:val="00BF72ED"/>
    <w:rsid w:val="00BF7413"/>
    <w:rsid w:val="00BF7457"/>
    <w:rsid w:val="00BF7498"/>
    <w:rsid w:val="00BF74E7"/>
    <w:rsid w:val="00BF7552"/>
    <w:rsid w:val="00BF757A"/>
    <w:rsid w:val="00BF75B2"/>
    <w:rsid w:val="00BF7615"/>
    <w:rsid w:val="00BF7691"/>
    <w:rsid w:val="00BF76FE"/>
    <w:rsid w:val="00BF7756"/>
    <w:rsid w:val="00BF77B5"/>
    <w:rsid w:val="00BF7893"/>
    <w:rsid w:val="00BF7A27"/>
    <w:rsid w:val="00BF7A97"/>
    <w:rsid w:val="00BF7B00"/>
    <w:rsid w:val="00BF7B1D"/>
    <w:rsid w:val="00BF7B4A"/>
    <w:rsid w:val="00BF7BBE"/>
    <w:rsid w:val="00BF7C93"/>
    <w:rsid w:val="00BF7CD4"/>
    <w:rsid w:val="00BF7CE8"/>
    <w:rsid w:val="00BF7DAD"/>
    <w:rsid w:val="00BF7DDA"/>
    <w:rsid w:val="00BF7E8D"/>
    <w:rsid w:val="00C00044"/>
    <w:rsid w:val="00C000DC"/>
    <w:rsid w:val="00C00179"/>
    <w:rsid w:val="00C001FB"/>
    <w:rsid w:val="00C0023D"/>
    <w:rsid w:val="00C0024B"/>
    <w:rsid w:val="00C0027A"/>
    <w:rsid w:val="00C0029F"/>
    <w:rsid w:val="00C002A3"/>
    <w:rsid w:val="00C002C2"/>
    <w:rsid w:val="00C002CF"/>
    <w:rsid w:val="00C00394"/>
    <w:rsid w:val="00C0046D"/>
    <w:rsid w:val="00C004AD"/>
    <w:rsid w:val="00C0055E"/>
    <w:rsid w:val="00C0067D"/>
    <w:rsid w:val="00C006A2"/>
    <w:rsid w:val="00C006F1"/>
    <w:rsid w:val="00C0075F"/>
    <w:rsid w:val="00C007E4"/>
    <w:rsid w:val="00C00859"/>
    <w:rsid w:val="00C009AD"/>
    <w:rsid w:val="00C009AF"/>
    <w:rsid w:val="00C00A4C"/>
    <w:rsid w:val="00C00A71"/>
    <w:rsid w:val="00C00AF4"/>
    <w:rsid w:val="00C00B0F"/>
    <w:rsid w:val="00C00C21"/>
    <w:rsid w:val="00C00C6F"/>
    <w:rsid w:val="00C00DC6"/>
    <w:rsid w:val="00C00E07"/>
    <w:rsid w:val="00C00E5D"/>
    <w:rsid w:val="00C00E82"/>
    <w:rsid w:val="00C00EC3"/>
    <w:rsid w:val="00C00FA2"/>
    <w:rsid w:val="00C01011"/>
    <w:rsid w:val="00C0104F"/>
    <w:rsid w:val="00C0119A"/>
    <w:rsid w:val="00C01236"/>
    <w:rsid w:val="00C01248"/>
    <w:rsid w:val="00C0124A"/>
    <w:rsid w:val="00C01260"/>
    <w:rsid w:val="00C01279"/>
    <w:rsid w:val="00C012CB"/>
    <w:rsid w:val="00C012E4"/>
    <w:rsid w:val="00C01349"/>
    <w:rsid w:val="00C01480"/>
    <w:rsid w:val="00C015AF"/>
    <w:rsid w:val="00C016A3"/>
    <w:rsid w:val="00C016EC"/>
    <w:rsid w:val="00C016F2"/>
    <w:rsid w:val="00C017C8"/>
    <w:rsid w:val="00C01853"/>
    <w:rsid w:val="00C01860"/>
    <w:rsid w:val="00C0186D"/>
    <w:rsid w:val="00C01986"/>
    <w:rsid w:val="00C019E1"/>
    <w:rsid w:val="00C01A86"/>
    <w:rsid w:val="00C01AF7"/>
    <w:rsid w:val="00C01C35"/>
    <w:rsid w:val="00C01DAF"/>
    <w:rsid w:val="00C01DE0"/>
    <w:rsid w:val="00C01E53"/>
    <w:rsid w:val="00C01E68"/>
    <w:rsid w:val="00C01EC6"/>
    <w:rsid w:val="00C01F71"/>
    <w:rsid w:val="00C02078"/>
    <w:rsid w:val="00C02121"/>
    <w:rsid w:val="00C0214C"/>
    <w:rsid w:val="00C02348"/>
    <w:rsid w:val="00C023B2"/>
    <w:rsid w:val="00C02479"/>
    <w:rsid w:val="00C024D8"/>
    <w:rsid w:val="00C024EB"/>
    <w:rsid w:val="00C0256D"/>
    <w:rsid w:val="00C02589"/>
    <w:rsid w:val="00C02604"/>
    <w:rsid w:val="00C02797"/>
    <w:rsid w:val="00C02823"/>
    <w:rsid w:val="00C02860"/>
    <w:rsid w:val="00C028D6"/>
    <w:rsid w:val="00C02AFB"/>
    <w:rsid w:val="00C02B28"/>
    <w:rsid w:val="00C02CB8"/>
    <w:rsid w:val="00C02DDF"/>
    <w:rsid w:val="00C02EB4"/>
    <w:rsid w:val="00C02ECD"/>
    <w:rsid w:val="00C02F27"/>
    <w:rsid w:val="00C02F4F"/>
    <w:rsid w:val="00C02F74"/>
    <w:rsid w:val="00C0309F"/>
    <w:rsid w:val="00C03104"/>
    <w:rsid w:val="00C03165"/>
    <w:rsid w:val="00C03222"/>
    <w:rsid w:val="00C03306"/>
    <w:rsid w:val="00C03440"/>
    <w:rsid w:val="00C0345F"/>
    <w:rsid w:val="00C034BE"/>
    <w:rsid w:val="00C034EA"/>
    <w:rsid w:val="00C03557"/>
    <w:rsid w:val="00C035A7"/>
    <w:rsid w:val="00C035D3"/>
    <w:rsid w:val="00C03617"/>
    <w:rsid w:val="00C0361E"/>
    <w:rsid w:val="00C0367E"/>
    <w:rsid w:val="00C036AD"/>
    <w:rsid w:val="00C036E4"/>
    <w:rsid w:val="00C03842"/>
    <w:rsid w:val="00C03889"/>
    <w:rsid w:val="00C038BF"/>
    <w:rsid w:val="00C03907"/>
    <w:rsid w:val="00C0394C"/>
    <w:rsid w:val="00C03971"/>
    <w:rsid w:val="00C0399C"/>
    <w:rsid w:val="00C03AA5"/>
    <w:rsid w:val="00C03AF0"/>
    <w:rsid w:val="00C03BA5"/>
    <w:rsid w:val="00C03BC7"/>
    <w:rsid w:val="00C03DFE"/>
    <w:rsid w:val="00C03E06"/>
    <w:rsid w:val="00C03E2B"/>
    <w:rsid w:val="00C03F94"/>
    <w:rsid w:val="00C04196"/>
    <w:rsid w:val="00C041B1"/>
    <w:rsid w:val="00C042F5"/>
    <w:rsid w:val="00C0434E"/>
    <w:rsid w:val="00C044A0"/>
    <w:rsid w:val="00C045A7"/>
    <w:rsid w:val="00C045DD"/>
    <w:rsid w:val="00C0463D"/>
    <w:rsid w:val="00C0463E"/>
    <w:rsid w:val="00C046E8"/>
    <w:rsid w:val="00C047D1"/>
    <w:rsid w:val="00C04847"/>
    <w:rsid w:val="00C048E5"/>
    <w:rsid w:val="00C04954"/>
    <w:rsid w:val="00C04A6C"/>
    <w:rsid w:val="00C04AAB"/>
    <w:rsid w:val="00C04AD6"/>
    <w:rsid w:val="00C04B54"/>
    <w:rsid w:val="00C04B6D"/>
    <w:rsid w:val="00C04BE0"/>
    <w:rsid w:val="00C04C6F"/>
    <w:rsid w:val="00C04D4C"/>
    <w:rsid w:val="00C04D4D"/>
    <w:rsid w:val="00C04D77"/>
    <w:rsid w:val="00C04EB2"/>
    <w:rsid w:val="00C04EC4"/>
    <w:rsid w:val="00C04F9F"/>
    <w:rsid w:val="00C0502B"/>
    <w:rsid w:val="00C05040"/>
    <w:rsid w:val="00C050F2"/>
    <w:rsid w:val="00C0514C"/>
    <w:rsid w:val="00C05198"/>
    <w:rsid w:val="00C05213"/>
    <w:rsid w:val="00C05284"/>
    <w:rsid w:val="00C053BF"/>
    <w:rsid w:val="00C0543D"/>
    <w:rsid w:val="00C054AF"/>
    <w:rsid w:val="00C054DF"/>
    <w:rsid w:val="00C055E6"/>
    <w:rsid w:val="00C0567E"/>
    <w:rsid w:val="00C056EC"/>
    <w:rsid w:val="00C05740"/>
    <w:rsid w:val="00C057D9"/>
    <w:rsid w:val="00C05901"/>
    <w:rsid w:val="00C05925"/>
    <w:rsid w:val="00C05A4F"/>
    <w:rsid w:val="00C05A74"/>
    <w:rsid w:val="00C05A86"/>
    <w:rsid w:val="00C05A9E"/>
    <w:rsid w:val="00C05AAD"/>
    <w:rsid w:val="00C05AC2"/>
    <w:rsid w:val="00C05ACD"/>
    <w:rsid w:val="00C05B9A"/>
    <w:rsid w:val="00C05CB6"/>
    <w:rsid w:val="00C05D2F"/>
    <w:rsid w:val="00C05D69"/>
    <w:rsid w:val="00C05E61"/>
    <w:rsid w:val="00C05E67"/>
    <w:rsid w:val="00C05EEB"/>
    <w:rsid w:val="00C05F1A"/>
    <w:rsid w:val="00C05F74"/>
    <w:rsid w:val="00C06043"/>
    <w:rsid w:val="00C06118"/>
    <w:rsid w:val="00C06132"/>
    <w:rsid w:val="00C06184"/>
    <w:rsid w:val="00C0625F"/>
    <w:rsid w:val="00C062DA"/>
    <w:rsid w:val="00C0634F"/>
    <w:rsid w:val="00C06471"/>
    <w:rsid w:val="00C06475"/>
    <w:rsid w:val="00C0648E"/>
    <w:rsid w:val="00C064C6"/>
    <w:rsid w:val="00C066C6"/>
    <w:rsid w:val="00C06854"/>
    <w:rsid w:val="00C0690B"/>
    <w:rsid w:val="00C06924"/>
    <w:rsid w:val="00C06A06"/>
    <w:rsid w:val="00C06AF0"/>
    <w:rsid w:val="00C06BA2"/>
    <w:rsid w:val="00C06D73"/>
    <w:rsid w:val="00C06DA8"/>
    <w:rsid w:val="00C06FDF"/>
    <w:rsid w:val="00C06FF9"/>
    <w:rsid w:val="00C070B1"/>
    <w:rsid w:val="00C070C6"/>
    <w:rsid w:val="00C070FB"/>
    <w:rsid w:val="00C07183"/>
    <w:rsid w:val="00C07353"/>
    <w:rsid w:val="00C0736C"/>
    <w:rsid w:val="00C073B9"/>
    <w:rsid w:val="00C073D6"/>
    <w:rsid w:val="00C073ED"/>
    <w:rsid w:val="00C07450"/>
    <w:rsid w:val="00C076DF"/>
    <w:rsid w:val="00C07721"/>
    <w:rsid w:val="00C07832"/>
    <w:rsid w:val="00C07912"/>
    <w:rsid w:val="00C07BF0"/>
    <w:rsid w:val="00C07C02"/>
    <w:rsid w:val="00C07C36"/>
    <w:rsid w:val="00C07E47"/>
    <w:rsid w:val="00C10026"/>
    <w:rsid w:val="00C100D5"/>
    <w:rsid w:val="00C1011F"/>
    <w:rsid w:val="00C10206"/>
    <w:rsid w:val="00C1025F"/>
    <w:rsid w:val="00C10283"/>
    <w:rsid w:val="00C10358"/>
    <w:rsid w:val="00C103EF"/>
    <w:rsid w:val="00C1042A"/>
    <w:rsid w:val="00C10448"/>
    <w:rsid w:val="00C105CF"/>
    <w:rsid w:val="00C1062C"/>
    <w:rsid w:val="00C1066C"/>
    <w:rsid w:val="00C107AC"/>
    <w:rsid w:val="00C1084B"/>
    <w:rsid w:val="00C1086C"/>
    <w:rsid w:val="00C108DA"/>
    <w:rsid w:val="00C10A69"/>
    <w:rsid w:val="00C10AD6"/>
    <w:rsid w:val="00C10AD8"/>
    <w:rsid w:val="00C10BF6"/>
    <w:rsid w:val="00C10BFB"/>
    <w:rsid w:val="00C10C57"/>
    <w:rsid w:val="00C10E36"/>
    <w:rsid w:val="00C10E81"/>
    <w:rsid w:val="00C10EF5"/>
    <w:rsid w:val="00C10FAD"/>
    <w:rsid w:val="00C11025"/>
    <w:rsid w:val="00C11031"/>
    <w:rsid w:val="00C1107E"/>
    <w:rsid w:val="00C11082"/>
    <w:rsid w:val="00C11145"/>
    <w:rsid w:val="00C11184"/>
    <w:rsid w:val="00C111E1"/>
    <w:rsid w:val="00C11205"/>
    <w:rsid w:val="00C11247"/>
    <w:rsid w:val="00C11285"/>
    <w:rsid w:val="00C11294"/>
    <w:rsid w:val="00C112F9"/>
    <w:rsid w:val="00C11363"/>
    <w:rsid w:val="00C1139F"/>
    <w:rsid w:val="00C113C1"/>
    <w:rsid w:val="00C113C8"/>
    <w:rsid w:val="00C113F2"/>
    <w:rsid w:val="00C114E3"/>
    <w:rsid w:val="00C114EB"/>
    <w:rsid w:val="00C11543"/>
    <w:rsid w:val="00C11553"/>
    <w:rsid w:val="00C115B2"/>
    <w:rsid w:val="00C11650"/>
    <w:rsid w:val="00C11678"/>
    <w:rsid w:val="00C11686"/>
    <w:rsid w:val="00C116A3"/>
    <w:rsid w:val="00C117C0"/>
    <w:rsid w:val="00C11924"/>
    <w:rsid w:val="00C1193B"/>
    <w:rsid w:val="00C119FA"/>
    <w:rsid w:val="00C11AE0"/>
    <w:rsid w:val="00C11BFB"/>
    <w:rsid w:val="00C11C32"/>
    <w:rsid w:val="00C11C36"/>
    <w:rsid w:val="00C11CA7"/>
    <w:rsid w:val="00C11CEC"/>
    <w:rsid w:val="00C11D03"/>
    <w:rsid w:val="00C11D6F"/>
    <w:rsid w:val="00C11D71"/>
    <w:rsid w:val="00C11DDC"/>
    <w:rsid w:val="00C11EC9"/>
    <w:rsid w:val="00C11F0A"/>
    <w:rsid w:val="00C11F5F"/>
    <w:rsid w:val="00C11F84"/>
    <w:rsid w:val="00C12012"/>
    <w:rsid w:val="00C120D2"/>
    <w:rsid w:val="00C120FC"/>
    <w:rsid w:val="00C12114"/>
    <w:rsid w:val="00C12128"/>
    <w:rsid w:val="00C12129"/>
    <w:rsid w:val="00C12176"/>
    <w:rsid w:val="00C12183"/>
    <w:rsid w:val="00C121F3"/>
    <w:rsid w:val="00C121F8"/>
    <w:rsid w:val="00C1224E"/>
    <w:rsid w:val="00C12252"/>
    <w:rsid w:val="00C12273"/>
    <w:rsid w:val="00C122DE"/>
    <w:rsid w:val="00C122ED"/>
    <w:rsid w:val="00C12322"/>
    <w:rsid w:val="00C123B3"/>
    <w:rsid w:val="00C1252F"/>
    <w:rsid w:val="00C1255E"/>
    <w:rsid w:val="00C12589"/>
    <w:rsid w:val="00C125C0"/>
    <w:rsid w:val="00C125E9"/>
    <w:rsid w:val="00C12652"/>
    <w:rsid w:val="00C128AD"/>
    <w:rsid w:val="00C128F2"/>
    <w:rsid w:val="00C12926"/>
    <w:rsid w:val="00C12970"/>
    <w:rsid w:val="00C12A5F"/>
    <w:rsid w:val="00C12B07"/>
    <w:rsid w:val="00C12B33"/>
    <w:rsid w:val="00C12B9E"/>
    <w:rsid w:val="00C12BFC"/>
    <w:rsid w:val="00C12C3D"/>
    <w:rsid w:val="00C12D02"/>
    <w:rsid w:val="00C12D3C"/>
    <w:rsid w:val="00C12DD8"/>
    <w:rsid w:val="00C12F5D"/>
    <w:rsid w:val="00C12FAD"/>
    <w:rsid w:val="00C12FAF"/>
    <w:rsid w:val="00C13021"/>
    <w:rsid w:val="00C1308D"/>
    <w:rsid w:val="00C1313E"/>
    <w:rsid w:val="00C1314C"/>
    <w:rsid w:val="00C13172"/>
    <w:rsid w:val="00C131CC"/>
    <w:rsid w:val="00C13388"/>
    <w:rsid w:val="00C133A2"/>
    <w:rsid w:val="00C13400"/>
    <w:rsid w:val="00C13410"/>
    <w:rsid w:val="00C135A7"/>
    <w:rsid w:val="00C1368A"/>
    <w:rsid w:val="00C13763"/>
    <w:rsid w:val="00C137A3"/>
    <w:rsid w:val="00C1392A"/>
    <w:rsid w:val="00C13970"/>
    <w:rsid w:val="00C139BD"/>
    <w:rsid w:val="00C13B1A"/>
    <w:rsid w:val="00C13B20"/>
    <w:rsid w:val="00C13B43"/>
    <w:rsid w:val="00C13B99"/>
    <w:rsid w:val="00C13BCE"/>
    <w:rsid w:val="00C13C4F"/>
    <w:rsid w:val="00C13C51"/>
    <w:rsid w:val="00C13CD5"/>
    <w:rsid w:val="00C13F41"/>
    <w:rsid w:val="00C13F8A"/>
    <w:rsid w:val="00C14014"/>
    <w:rsid w:val="00C14016"/>
    <w:rsid w:val="00C14025"/>
    <w:rsid w:val="00C1405C"/>
    <w:rsid w:val="00C14094"/>
    <w:rsid w:val="00C14164"/>
    <w:rsid w:val="00C1422F"/>
    <w:rsid w:val="00C14300"/>
    <w:rsid w:val="00C143DA"/>
    <w:rsid w:val="00C14505"/>
    <w:rsid w:val="00C1451A"/>
    <w:rsid w:val="00C1454D"/>
    <w:rsid w:val="00C14582"/>
    <w:rsid w:val="00C145BB"/>
    <w:rsid w:val="00C146C1"/>
    <w:rsid w:val="00C147A9"/>
    <w:rsid w:val="00C147F1"/>
    <w:rsid w:val="00C1480F"/>
    <w:rsid w:val="00C14888"/>
    <w:rsid w:val="00C14980"/>
    <w:rsid w:val="00C14A4C"/>
    <w:rsid w:val="00C14A60"/>
    <w:rsid w:val="00C14B51"/>
    <w:rsid w:val="00C14B83"/>
    <w:rsid w:val="00C14BA4"/>
    <w:rsid w:val="00C14BE3"/>
    <w:rsid w:val="00C14C71"/>
    <w:rsid w:val="00C14CAD"/>
    <w:rsid w:val="00C14D5A"/>
    <w:rsid w:val="00C14DFA"/>
    <w:rsid w:val="00C14F5F"/>
    <w:rsid w:val="00C14F6D"/>
    <w:rsid w:val="00C15077"/>
    <w:rsid w:val="00C15112"/>
    <w:rsid w:val="00C15133"/>
    <w:rsid w:val="00C15198"/>
    <w:rsid w:val="00C151B0"/>
    <w:rsid w:val="00C15209"/>
    <w:rsid w:val="00C15225"/>
    <w:rsid w:val="00C1555D"/>
    <w:rsid w:val="00C15562"/>
    <w:rsid w:val="00C1558E"/>
    <w:rsid w:val="00C155BD"/>
    <w:rsid w:val="00C1570B"/>
    <w:rsid w:val="00C1575F"/>
    <w:rsid w:val="00C1576B"/>
    <w:rsid w:val="00C1577E"/>
    <w:rsid w:val="00C1590A"/>
    <w:rsid w:val="00C15B68"/>
    <w:rsid w:val="00C15BA4"/>
    <w:rsid w:val="00C15BB6"/>
    <w:rsid w:val="00C15BBB"/>
    <w:rsid w:val="00C15BE1"/>
    <w:rsid w:val="00C15D20"/>
    <w:rsid w:val="00C15D49"/>
    <w:rsid w:val="00C15DA6"/>
    <w:rsid w:val="00C15E00"/>
    <w:rsid w:val="00C15E79"/>
    <w:rsid w:val="00C15EE3"/>
    <w:rsid w:val="00C15F0E"/>
    <w:rsid w:val="00C15F18"/>
    <w:rsid w:val="00C15F94"/>
    <w:rsid w:val="00C16033"/>
    <w:rsid w:val="00C16051"/>
    <w:rsid w:val="00C160A8"/>
    <w:rsid w:val="00C160B7"/>
    <w:rsid w:val="00C162DE"/>
    <w:rsid w:val="00C16413"/>
    <w:rsid w:val="00C16416"/>
    <w:rsid w:val="00C1641F"/>
    <w:rsid w:val="00C164E0"/>
    <w:rsid w:val="00C16519"/>
    <w:rsid w:val="00C165F9"/>
    <w:rsid w:val="00C16601"/>
    <w:rsid w:val="00C1673C"/>
    <w:rsid w:val="00C167DA"/>
    <w:rsid w:val="00C16864"/>
    <w:rsid w:val="00C168AC"/>
    <w:rsid w:val="00C1696B"/>
    <w:rsid w:val="00C169B1"/>
    <w:rsid w:val="00C16AA2"/>
    <w:rsid w:val="00C16AD3"/>
    <w:rsid w:val="00C16ADE"/>
    <w:rsid w:val="00C16B4B"/>
    <w:rsid w:val="00C16B84"/>
    <w:rsid w:val="00C16C2B"/>
    <w:rsid w:val="00C16D1D"/>
    <w:rsid w:val="00C16D80"/>
    <w:rsid w:val="00C16DB9"/>
    <w:rsid w:val="00C16E0A"/>
    <w:rsid w:val="00C16E18"/>
    <w:rsid w:val="00C16F27"/>
    <w:rsid w:val="00C16F83"/>
    <w:rsid w:val="00C1702D"/>
    <w:rsid w:val="00C1717E"/>
    <w:rsid w:val="00C17274"/>
    <w:rsid w:val="00C17318"/>
    <w:rsid w:val="00C17329"/>
    <w:rsid w:val="00C1733F"/>
    <w:rsid w:val="00C17418"/>
    <w:rsid w:val="00C17445"/>
    <w:rsid w:val="00C17534"/>
    <w:rsid w:val="00C175A7"/>
    <w:rsid w:val="00C17606"/>
    <w:rsid w:val="00C176E6"/>
    <w:rsid w:val="00C17720"/>
    <w:rsid w:val="00C17884"/>
    <w:rsid w:val="00C17906"/>
    <w:rsid w:val="00C1797E"/>
    <w:rsid w:val="00C17A23"/>
    <w:rsid w:val="00C17A33"/>
    <w:rsid w:val="00C17B0F"/>
    <w:rsid w:val="00C17B40"/>
    <w:rsid w:val="00C17B75"/>
    <w:rsid w:val="00C17B80"/>
    <w:rsid w:val="00C17BC4"/>
    <w:rsid w:val="00C17BDC"/>
    <w:rsid w:val="00C17D73"/>
    <w:rsid w:val="00C17EDD"/>
    <w:rsid w:val="00C17F42"/>
    <w:rsid w:val="00C17FFD"/>
    <w:rsid w:val="00C200D9"/>
    <w:rsid w:val="00C200E2"/>
    <w:rsid w:val="00C200F9"/>
    <w:rsid w:val="00C2017A"/>
    <w:rsid w:val="00C201AB"/>
    <w:rsid w:val="00C20232"/>
    <w:rsid w:val="00C2023C"/>
    <w:rsid w:val="00C2032D"/>
    <w:rsid w:val="00C20369"/>
    <w:rsid w:val="00C2037C"/>
    <w:rsid w:val="00C203CB"/>
    <w:rsid w:val="00C203E1"/>
    <w:rsid w:val="00C2041A"/>
    <w:rsid w:val="00C20594"/>
    <w:rsid w:val="00C206F7"/>
    <w:rsid w:val="00C2075F"/>
    <w:rsid w:val="00C20763"/>
    <w:rsid w:val="00C20868"/>
    <w:rsid w:val="00C20887"/>
    <w:rsid w:val="00C209B3"/>
    <w:rsid w:val="00C20A68"/>
    <w:rsid w:val="00C20BA9"/>
    <w:rsid w:val="00C20C17"/>
    <w:rsid w:val="00C20D02"/>
    <w:rsid w:val="00C20D60"/>
    <w:rsid w:val="00C20D9D"/>
    <w:rsid w:val="00C20DEF"/>
    <w:rsid w:val="00C20EDA"/>
    <w:rsid w:val="00C20F5E"/>
    <w:rsid w:val="00C20FC3"/>
    <w:rsid w:val="00C2102D"/>
    <w:rsid w:val="00C21055"/>
    <w:rsid w:val="00C210AD"/>
    <w:rsid w:val="00C210DF"/>
    <w:rsid w:val="00C2114D"/>
    <w:rsid w:val="00C211B3"/>
    <w:rsid w:val="00C211EB"/>
    <w:rsid w:val="00C2131C"/>
    <w:rsid w:val="00C21384"/>
    <w:rsid w:val="00C2141A"/>
    <w:rsid w:val="00C21437"/>
    <w:rsid w:val="00C21452"/>
    <w:rsid w:val="00C21457"/>
    <w:rsid w:val="00C21547"/>
    <w:rsid w:val="00C215A9"/>
    <w:rsid w:val="00C215D9"/>
    <w:rsid w:val="00C2168E"/>
    <w:rsid w:val="00C216FC"/>
    <w:rsid w:val="00C2173E"/>
    <w:rsid w:val="00C21788"/>
    <w:rsid w:val="00C218A9"/>
    <w:rsid w:val="00C219AF"/>
    <w:rsid w:val="00C21A42"/>
    <w:rsid w:val="00C21B33"/>
    <w:rsid w:val="00C21B79"/>
    <w:rsid w:val="00C21B90"/>
    <w:rsid w:val="00C21BD9"/>
    <w:rsid w:val="00C21CB4"/>
    <w:rsid w:val="00C21CB5"/>
    <w:rsid w:val="00C21D99"/>
    <w:rsid w:val="00C21E82"/>
    <w:rsid w:val="00C21EA0"/>
    <w:rsid w:val="00C21F05"/>
    <w:rsid w:val="00C21F14"/>
    <w:rsid w:val="00C21F9F"/>
    <w:rsid w:val="00C2214A"/>
    <w:rsid w:val="00C221A0"/>
    <w:rsid w:val="00C221EC"/>
    <w:rsid w:val="00C2220E"/>
    <w:rsid w:val="00C22265"/>
    <w:rsid w:val="00C22283"/>
    <w:rsid w:val="00C22286"/>
    <w:rsid w:val="00C222B1"/>
    <w:rsid w:val="00C222C6"/>
    <w:rsid w:val="00C2231D"/>
    <w:rsid w:val="00C22389"/>
    <w:rsid w:val="00C223A9"/>
    <w:rsid w:val="00C22435"/>
    <w:rsid w:val="00C2250F"/>
    <w:rsid w:val="00C22529"/>
    <w:rsid w:val="00C2256A"/>
    <w:rsid w:val="00C22692"/>
    <w:rsid w:val="00C226CE"/>
    <w:rsid w:val="00C22869"/>
    <w:rsid w:val="00C22957"/>
    <w:rsid w:val="00C22BB8"/>
    <w:rsid w:val="00C22BBA"/>
    <w:rsid w:val="00C22CDC"/>
    <w:rsid w:val="00C22DA8"/>
    <w:rsid w:val="00C22DE8"/>
    <w:rsid w:val="00C22E58"/>
    <w:rsid w:val="00C22E7B"/>
    <w:rsid w:val="00C22EAA"/>
    <w:rsid w:val="00C22F22"/>
    <w:rsid w:val="00C22F6E"/>
    <w:rsid w:val="00C22F7F"/>
    <w:rsid w:val="00C22FFA"/>
    <w:rsid w:val="00C2303D"/>
    <w:rsid w:val="00C23179"/>
    <w:rsid w:val="00C231E4"/>
    <w:rsid w:val="00C23209"/>
    <w:rsid w:val="00C23318"/>
    <w:rsid w:val="00C2344C"/>
    <w:rsid w:val="00C23493"/>
    <w:rsid w:val="00C2365C"/>
    <w:rsid w:val="00C2367D"/>
    <w:rsid w:val="00C23690"/>
    <w:rsid w:val="00C236A7"/>
    <w:rsid w:val="00C23771"/>
    <w:rsid w:val="00C237D7"/>
    <w:rsid w:val="00C23804"/>
    <w:rsid w:val="00C23811"/>
    <w:rsid w:val="00C23853"/>
    <w:rsid w:val="00C23876"/>
    <w:rsid w:val="00C23880"/>
    <w:rsid w:val="00C2389D"/>
    <w:rsid w:val="00C238A2"/>
    <w:rsid w:val="00C238D1"/>
    <w:rsid w:val="00C238DA"/>
    <w:rsid w:val="00C238F7"/>
    <w:rsid w:val="00C2396A"/>
    <w:rsid w:val="00C2397C"/>
    <w:rsid w:val="00C239DD"/>
    <w:rsid w:val="00C239FB"/>
    <w:rsid w:val="00C23A85"/>
    <w:rsid w:val="00C23B56"/>
    <w:rsid w:val="00C23B89"/>
    <w:rsid w:val="00C23C02"/>
    <w:rsid w:val="00C23C50"/>
    <w:rsid w:val="00C23CDE"/>
    <w:rsid w:val="00C23D60"/>
    <w:rsid w:val="00C23D78"/>
    <w:rsid w:val="00C23D7A"/>
    <w:rsid w:val="00C23E10"/>
    <w:rsid w:val="00C23E44"/>
    <w:rsid w:val="00C23EAA"/>
    <w:rsid w:val="00C23EDA"/>
    <w:rsid w:val="00C23EE4"/>
    <w:rsid w:val="00C23FA1"/>
    <w:rsid w:val="00C23FA6"/>
    <w:rsid w:val="00C24006"/>
    <w:rsid w:val="00C2402B"/>
    <w:rsid w:val="00C24032"/>
    <w:rsid w:val="00C240F4"/>
    <w:rsid w:val="00C24166"/>
    <w:rsid w:val="00C24175"/>
    <w:rsid w:val="00C24222"/>
    <w:rsid w:val="00C242C7"/>
    <w:rsid w:val="00C242D0"/>
    <w:rsid w:val="00C2436D"/>
    <w:rsid w:val="00C24457"/>
    <w:rsid w:val="00C24487"/>
    <w:rsid w:val="00C2454A"/>
    <w:rsid w:val="00C245B6"/>
    <w:rsid w:val="00C24687"/>
    <w:rsid w:val="00C2476A"/>
    <w:rsid w:val="00C247DA"/>
    <w:rsid w:val="00C2480E"/>
    <w:rsid w:val="00C24819"/>
    <w:rsid w:val="00C24895"/>
    <w:rsid w:val="00C248F1"/>
    <w:rsid w:val="00C24993"/>
    <w:rsid w:val="00C249DF"/>
    <w:rsid w:val="00C249E2"/>
    <w:rsid w:val="00C24A4F"/>
    <w:rsid w:val="00C24A90"/>
    <w:rsid w:val="00C24BB1"/>
    <w:rsid w:val="00C24BFF"/>
    <w:rsid w:val="00C24C02"/>
    <w:rsid w:val="00C24C49"/>
    <w:rsid w:val="00C24D00"/>
    <w:rsid w:val="00C24D94"/>
    <w:rsid w:val="00C24E50"/>
    <w:rsid w:val="00C24E92"/>
    <w:rsid w:val="00C24EF0"/>
    <w:rsid w:val="00C24EF2"/>
    <w:rsid w:val="00C24FA0"/>
    <w:rsid w:val="00C24FCC"/>
    <w:rsid w:val="00C24FE1"/>
    <w:rsid w:val="00C25122"/>
    <w:rsid w:val="00C251A8"/>
    <w:rsid w:val="00C25232"/>
    <w:rsid w:val="00C25335"/>
    <w:rsid w:val="00C2534E"/>
    <w:rsid w:val="00C2544A"/>
    <w:rsid w:val="00C254D2"/>
    <w:rsid w:val="00C2560C"/>
    <w:rsid w:val="00C25635"/>
    <w:rsid w:val="00C25641"/>
    <w:rsid w:val="00C256E8"/>
    <w:rsid w:val="00C25727"/>
    <w:rsid w:val="00C2589D"/>
    <w:rsid w:val="00C259A8"/>
    <w:rsid w:val="00C25AA9"/>
    <w:rsid w:val="00C25BA8"/>
    <w:rsid w:val="00C25C46"/>
    <w:rsid w:val="00C25CA2"/>
    <w:rsid w:val="00C25CAA"/>
    <w:rsid w:val="00C25E15"/>
    <w:rsid w:val="00C25F0B"/>
    <w:rsid w:val="00C25FAB"/>
    <w:rsid w:val="00C25FD0"/>
    <w:rsid w:val="00C260AC"/>
    <w:rsid w:val="00C260EC"/>
    <w:rsid w:val="00C26158"/>
    <w:rsid w:val="00C26253"/>
    <w:rsid w:val="00C26276"/>
    <w:rsid w:val="00C262F6"/>
    <w:rsid w:val="00C26433"/>
    <w:rsid w:val="00C26471"/>
    <w:rsid w:val="00C264A4"/>
    <w:rsid w:val="00C264A7"/>
    <w:rsid w:val="00C26514"/>
    <w:rsid w:val="00C265FC"/>
    <w:rsid w:val="00C266A5"/>
    <w:rsid w:val="00C266FE"/>
    <w:rsid w:val="00C2678D"/>
    <w:rsid w:val="00C2682C"/>
    <w:rsid w:val="00C268A0"/>
    <w:rsid w:val="00C26973"/>
    <w:rsid w:val="00C269AA"/>
    <w:rsid w:val="00C269D6"/>
    <w:rsid w:val="00C26A30"/>
    <w:rsid w:val="00C26B1C"/>
    <w:rsid w:val="00C26B9F"/>
    <w:rsid w:val="00C26C51"/>
    <w:rsid w:val="00C26C66"/>
    <w:rsid w:val="00C26D53"/>
    <w:rsid w:val="00C26E28"/>
    <w:rsid w:val="00C26F55"/>
    <w:rsid w:val="00C26FFC"/>
    <w:rsid w:val="00C2711C"/>
    <w:rsid w:val="00C27139"/>
    <w:rsid w:val="00C2729D"/>
    <w:rsid w:val="00C27333"/>
    <w:rsid w:val="00C273C6"/>
    <w:rsid w:val="00C273CE"/>
    <w:rsid w:val="00C274D5"/>
    <w:rsid w:val="00C27590"/>
    <w:rsid w:val="00C2759C"/>
    <w:rsid w:val="00C275BD"/>
    <w:rsid w:val="00C275DD"/>
    <w:rsid w:val="00C276A5"/>
    <w:rsid w:val="00C276F5"/>
    <w:rsid w:val="00C277CD"/>
    <w:rsid w:val="00C2783E"/>
    <w:rsid w:val="00C27845"/>
    <w:rsid w:val="00C2792F"/>
    <w:rsid w:val="00C27971"/>
    <w:rsid w:val="00C27A85"/>
    <w:rsid w:val="00C27B16"/>
    <w:rsid w:val="00C27B9B"/>
    <w:rsid w:val="00C27BA1"/>
    <w:rsid w:val="00C27C8B"/>
    <w:rsid w:val="00C27D41"/>
    <w:rsid w:val="00C27D79"/>
    <w:rsid w:val="00C27DA1"/>
    <w:rsid w:val="00C27DEC"/>
    <w:rsid w:val="00C27ECC"/>
    <w:rsid w:val="00C27FCD"/>
    <w:rsid w:val="00C3009E"/>
    <w:rsid w:val="00C3013B"/>
    <w:rsid w:val="00C30278"/>
    <w:rsid w:val="00C30303"/>
    <w:rsid w:val="00C30330"/>
    <w:rsid w:val="00C303B2"/>
    <w:rsid w:val="00C303BC"/>
    <w:rsid w:val="00C30418"/>
    <w:rsid w:val="00C30568"/>
    <w:rsid w:val="00C305CD"/>
    <w:rsid w:val="00C3063D"/>
    <w:rsid w:val="00C30716"/>
    <w:rsid w:val="00C30802"/>
    <w:rsid w:val="00C30A4F"/>
    <w:rsid w:val="00C30AFC"/>
    <w:rsid w:val="00C30B37"/>
    <w:rsid w:val="00C30B7B"/>
    <w:rsid w:val="00C30BFB"/>
    <w:rsid w:val="00C30C20"/>
    <w:rsid w:val="00C30C41"/>
    <w:rsid w:val="00C30CE7"/>
    <w:rsid w:val="00C30D94"/>
    <w:rsid w:val="00C30DE7"/>
    <w:rsid w:val="00C30EB7"/>
    <w:rsid w:val="00C30F26"/>
    <w:rsid w:val="00C30F58"/>
    <w:rsid w:val="00C3102C"/>
    <w:rsid w:val="00C31044"/>
    <w:rsid w:val="00C31059"/>
    <w:rsid w:val="00C31066"/>
    <w:rsid w:val="00C310FD"/>
    <w:rsid w:val="00C31119"/>
    <w:rsid w:val="00C311C7"/>
    <w:rsid w:val="00C3126E"/>
    <w:rsid w:val="00C312DC"/>
    <w:rsid w:val="00C31352"/>
    <w:rsid w:val="00C31375"/>
    <w:rsid w:val="00C31498"/>
    <w:rsid w:val="00C314A7"/>
    <w:rsid w:val="00C31548"/>
    <w:rsid w:val="00C315C6"/>
    <w:rsid w:val="00C315C7"/>
    <w:rsid w:val="00C31678"/>
    <w:rsid w:val="00C3170F"/>
    <w:rsid w:val="00C31AB7"/>
    <w:rsid w:val="00C31C7C"/>
    <w:rsid w:val="00C31D57"/>
    <w:rsid w:val="00C31E17"/>
    <w:rsid w:val="00C31E23"/>
    <w:rsid w:val="00C31EEC"/>
    <w:rsid w:val="00C31FD4"/>
    <w:rsid w:val="00C32001"/>
    <w:rsid w:val="00C3202E"/>
    <w:rsid w:val="00C32042"/>
    <w:rsid w:val="00C32076"/>
    <w:rsid w:val="00C320D9"/>
    <w:rsid w:val="00C321A2"/>
    <w:rsid w:val="00C321E8"/>
    <w:rsid w:val="00C3227B"/>
    <w:rsid w:val="00C32438"/>
    <w:rsid w:val="00C324B9"/>
    <w:rsid w:val="00C32565"/>
    <w:rsid w:val="00C325ED"/>
    <w:rsid w:val="00C32680"/>
    <w:rsid w:val="00C326F9"/>
    <w:rsid w:val="00C32848"/>
    <w:rsid w:val="00C32874"/>
    <w:rsid w:val="00C32892"/>
    <w:rsid w:val="00C328CD"/>
    <w:rsid w:val="00C32942"/>
    <w:rsid w:val="00C32968"/>
    <w:rsid w:val="00C329E0"/>
    <w:rsid w:val="00C32A01"/>
    <w:rsid w:val="00C32B28"/>
    <w:rsid w:val="00C32BFD"/>
    <w:rsid w:val="00C32CD5"/>
    <w:rsid w:val="00C32D55"/>
    <w:rsid w:val="00C32D76"/>
    <w:rsid w:val="00C32DE7"/>
    <w:rsid w:val="00C32E9A"/>
    <w:rsid w:val="00C32F11"/>
    <w:rsid w:val="00C33045"/>
    <w:rsid w:val="00C330CE"/>
    <w:rsid w:val="00C33183"/>
    <w:rsid w:val="00C331D4"/>
    <w:rsid w:val="00C33213"/>
    <w:rsid w:val="00C333CF"/>
    <w:rsid w:val="00C334D2"/>
    <w:rsid w:val="00C3350D"/>
    <w:rsid w:val="00C3354F"/>
    <w:rsid w:val="00C335C8"/>
    <w:rsid w:val="00C33620"/>
    <w:rsid w:val="00C33627"/>
    <w:rsid w:val="00C3368A"/>
    <w:rsid w:val="00C336EE"/>
    <w:rsid w:val="00C33712"/>
    <w:rsid w:val="00C33843"/>
    <w:rsid w:val="00C338CD"/>
    <w:rsid w:val="00C338F3"/>
    <w:rsid w:val="00C338FA"/>
    <w:rsid w:val="00C3393A"/>
    <w:rsid w:val="00C33949"/>
    <w:rsid w:val="00C3394E"/>
    <w:rsid w:val="00C3398F"/>
    <w:rsid w:val="00C33A81"/>
    <w:rsid w:val="00C33AB3"/>
    <w:rsid w:val="00C33AC4"/>
    <w:rsid w:val="00C33AEE"/>
    <w:rsid w:val="00C33AEF"/>
    <w:rsid w:val="00C33AFB"/>
    <w:rsid w:val="00C33BEE"/>
    <w:rsid w:val="00C33C2F"/>
    <w:rsid w:val="00C33E51"/>
    <w:rsid w:val="00C33E69"/>
    <w:rsid w:val="00C33E8C"/>
    <w:rsid w:val="00C33F10"/>
    <w:rsid w:val="00C33F53"/>
    <w:rsid w:val="00C33F6F"/>
    <w:rsid w:val="00C33FF1"/>
    <w:rsid w:val="00C34078"/>
    <w:rsid w:val="00C340B1"/>
    <w:rsid w:val="00C340EF"/>
    <w:rsid w:val="00C3411C"/>
    <w:rsid w:val="00C34268"/>
    <w:rsid w:val="00C34369"/>
    <w:rsid w:val="00C343FA"/>
    <w:rsid w:val="00C34490"/>
    <w:rsid w:val="00C34507"/>
    <w:rsid w:val="00C3452E"/>
    <w:rsid w:val="00C34584"/>
    <w:rsid w:val="00C34615"/>
    <w:rsid w:val="00C34637"/>
    <w:rsid w:val="00C3463F"/>
    <w:rsid w:val="00C34702"/>
    <w:rsid w:val="00C347A7"/>
    <w:rsid w:val="00C3491C"/>
    <w:rsid w:val="00C34939"/>
    <w:rsid w:val="00C3499B"/>
    <w:rsid w:val="00C34AFC"/>
    <w:rsid w:val="00C34B36"/>
    <w:rsid w:val="00C34B94"/>
    <w:rsid w:val="00C34BC5"/>
    <w:rsid w:val="00C34BF3"/>
    <w:rsid w:val="00C34CDF"/>
    <w:rsid w:val="00C34CFD"/>
    <w:rsid w:val="00C34D54"/>
    <w:rsid w:val="00C34DD8"/>
    <w:rsid w:val="00C34E29"/>
    <w:rsid w:val="00C34E38"/>
    <w:rsid w:val="00C34FC2"/>
    <w:rsid w:val="00C3505A"/>
    <w:rsid w:val="00C3512F"/>
    <w:rsid w:val="00C351ED"/>
    <w:rsid w:val="00C352FD"/>
    <w:rsid w:val="00C3537B"/>
    <w:rsid w:val="00C353BC"/>
    <w:rsid w:val="00C353BE"/>
    <w:rsid w:val="00C353DA"/>
    <w:rsid w:val="00C3542E"/>
    <w:rsid w:val="00C354E4"/>
    <w:rsid w:val="00C3560E"/>
    <w:rsid w:val="00C356D9"/>
    <w:rsid w:val="00C3570D"/>
    <w:rsid w:val="00C35784"/>
    <w:rsid w:val="00C35813"/>
    <w:rsid w:val="00C35875"/>
    <w:rsid w:val="00C358F8"/>
    <w:rsid w:val="00C35B7F"/>
    <w:rsid w:val="00C35C34"/>
    <w:rsid w:val="00C35C9E"/>
    <w:rsid w:val="00C35CA5"/>
    <w:rsid w:val="00C35CEE"/>
    <w:rsid w:val="00C35D43"/>
    <w:rsid w:val="00C35D6A"/>
    <w:rsid w:val="00C36131"/>
    <w:rsid w:val="00C36196"/>
    <w:rsid w:val="00C361F3"/>
    <w:rsid w:val="00C36455"/>
    <w:rsid w:val="00C3654E"/>
    <w:rsid w:val="00C367C9"/>
    <w:rsid w:val="00C367FD"/>
    <w:rsid w:val="00C3683E"/>
    <w:rsid w:val="00C368A6"/>
    <w:rsid w:val="00C36A0E"/>
    <w:rsid w:val="00C36A79"/>
    <w:rsid w:val="00C36A83"/>
    <w:rsid w:val="00C36AD3"/>
    <w:rsid w:val="00C36B6E"/>
    <w:rsid w:val="00C36BC0"/>
    <w:rsid w:val="00C36C54"/>
    <w:rsid w:val="00C36CA2"/>
    <w:rsid w:val="00C36DA2"/>
    <w:rsid w:val="00C36E8C"/>
    <w:rsid w:val="00C36E94"/>
    <w:rsid w:val="00C36FD4"/>
    <w:rsid w:val="00C36FFC"/>
    <w:rsid w:val="00C3705E"/>
    <w:rsid w:val="00C370FA"/>
    <w:rsid w:val="00C3710C"/>
    <w:rsid w:val="00C371AC"/>
    <w:rsid w:val="00C3724F"/>
    <w:rsid w:val="00C372AF"/>
    <w:rsid w:val="00C372EC"/>
    <w:rsid w:val="00C37336"/>
    <w:rsid w:val="00C37344"/>
    <w:rsid w:val="00C3734F"/>
    <w:rsid w:val="00C373FE"/>
    <w:rsid w:val="00C37459"/>
    <w:rsid w:val="00C37461"/>
    <w:rsid w:val="00C374EC"/>
    <w:rsid w:val="00C375D9"/>
    <w:rsid w:val="00C37687"/>
    <w:rsid w:val="00C3768D"/>
    <w:rsid w:val="00C376BB"/>
    <w:rsid w:val="00C3778A"/>
    <w:rsid w:val="00C3787E"/>
    <w:rsid w:val="00C3793F"/>
    <w:rsid w:val="00C379C4"/>
    <w:rsid w:val="00C379E0"/>
    <w:rsid w:val="00C379ED"/>
    <w:rsid w:val="00C37A29"/>
    <w:rsid w:val="00C37A99"/>
    <w:rsid w:val="00C37B79"/>
    <w:rsid w:val="00C37C06"/>
    <w:rsid w:val="00C37C0E"/>
    <w:rsid w:val="00C37D2F"/>
    <w:rsid w:val="00C37D91"/>
    <w:rsid w:val="00C37EB2"/>
    <w:rsid w:val="00C37F16"/>
    <w:rsid w:val="00C4002F"/>
    <w:rsid w:val="00C40093"/>
    <w:rsid w:val="00C400DA"/>
    <w:rsid w:val="00C40135"/>
    <w:rsid w:val="00C4014D"/>
    <w:rsid w:val="00C40199"/>
    <w:rsid w:val="00C401C3"/>
    <w:rsid w:val="00C40217"/>
    <w:rsid w:val="00C40389"/>
    <w:rsid w:val="00C403A4"/>
    <w:rsid w:val="00C4048F"/>
    <w:rsid w:val="00C404A8"/>
    <w:rsid w:val="00C40502"/>
    <w:rsid w:val="00C4053B"/>
    <w:rsid w:val="00C40545"/>
    <w:rsid w:val="00C4054D"/>
    <w:rsid w:val="00C4057A"/>
    <w:rsid w:val="00C405B6"/>
    <w:rsid w:val="00C40673"/>
    <w:rsid w:val="00C406B3"/>
    <w:rsid w:val="00C407A9"/>
    <w:rsid w:val="00C40883"/>
    <w:rsid w:val="00C408C6"/>
    <w:rsid w:val="00C408D4"/>
    <w:rsid w:val="00C4096D"/>
    <w:rsid w:val="00C4097F"/>
    <w:rsid w:val="00C40985"/>
    <w:rsid w:val="00C409DC"/>
    <w:rsid w:val="00C40A1E"/>
    <w:rsid w:val="00C40A47"/>
    <w:rsid w:val="00C40A79"/>
    <w:rsid w:val="00C40AC2"/>
    <w:rsid w:val="00C40B64"/>
    <w:rsid w:val="00C40BD4"/>
    <w:rsid w:val="00C40BF6"/>
    <w:rsid w:val="00C40CB3"/>
    <w:rsid w:val="00C40D7D"/>
    <w:rsid w:val="00C40DA8"/>
    <w:rsid w:val="00C40E13"/>
    <w:rsid w:val="00C40E1F"/>
    <w:rsid w:val="00C40E62"/>
    <w:rsid w:val="00C40EE2"/>
    <w:rsid w:val="00C40F0C"/>
    <w:rsid w:val="00C40F2D"/>
    <w:rsid w:val="00C40F43"/>
    <w:rsid w:val="00C40F5E"/>
    <w:rsid w:val="00C40F9F"/>
    <w:rsid w:val="00C412E5"/>
    <w:rsid w:val="00C4142A"/>
    <w:rsid w:val="00C414D6"/>
    <w:rsid w:val="00C41506"/>
    <w:rsid w:val="00C41514"/>
    <w:rsid w:val="00C416D7"/>
    <w:rsid w:val="00C416FD"/>
    <w:rsid w:val="00C4170D"/>
    <w:rsid w:val="00C41717"/>
    <w:rsid w:val="00C417A1"/>
    <w:rsid w:val="00C418F3"/>
    <w:rsid w:val="00C4190F"/>
    <w:rsid w:val="00C41A1B"/>
    <w:rsid w:val="00C41A61"/>
    <w:rsid w:val="00C41A81"/>
    <w:rsid w:val="00C41B1D"/>
    <w:rsid w:val="00C41B28"/>
    <w:rsid w:val="00C41BA3"/>
    <w:rsid w:val="00C41BDF"/>
    <w:rsid w:val="00C41C9B"/>
    <w:rsid w:val="00C41CB5"/>
    <w:rsid w:val="00C41D07"/>
    <w:rsid w:val="00C41D23"/>
    <w:rsid w:val="00C41E0D"/>
    <w:rsid w:val="00C41F29"/>
    <w:rsid w:val="00C41F3E"/>
    <w:rsid w:val="00C42007"/>
    <w:rsid w:val="00C420A4"/>
    <w:rsid w:val="00C420A8"/>
    <w:rsid w:val="00C420C9"/>
    <w:rsid w:val="00C420F5"/>
    <w:rsid w:val="00C42101"/>
    <w:rsid w:val="00C4210F"/>
    <w:rsid w:val="00C42111"/>
    <w:rsid w:val="00C423DB"/>
    <w:rsid w:val="00C423E6"/>
    <w:rsid w:val="00C42429"/>
    <w:rsid w:val="00C42487"/>
    <w:rsid w:val="00C425C7"/>
    <w:rsid w:val="00C4277B"/>
    <w:rsid w:val="00C42801"/>
    <w:rsid w:val="00C42850"/>
    <w:rsid w:val="00C4288E"/>
    <w:rsid w:val="00C4299A"/>
    <w:rsid w:val="00C429D0"/>
    <w:rsid w:val="00C429F7"/>
    <w:rsid w:val="00C42B29"/>
    <w:rsid w:val="00C42B51"/>
    <w:rsid w:val="00C42E7B"/>
    <w:rsid w:val="00C42F54"/>
    <w:rsid w:val="00C4307C"/>
    <w:rsid w:val="00C430A5"/>
    <w:rsid w:val="00C430BC"/>
    <w:rsid w:val="00C430F9"/>
    <w:rsid w:val="00C4316D"/>
    <w:rsid w:val="00C431EE"/>
    <w:rsid w:val="00C4324A"/>
    <w:rsid w:val="00C43268"/>
    <w:rsid w:val="00C433C1"/>
    <w:rsid w:val="00C433F5"/>
    <w:rsid w:val="00C43422"/>
    <w:rsid w:val="00C434AC"/>
    <w:rsid w:val="00C435AA"/>
    <w:rsid w:val="00C437B0"/>
    <w:rsid w:val="00C43849"/>
    <w:rsid w:val="00C43988"/>
    <w:rsid w:val="00C43994"/>
    <w:rsid w:val="00C43A16"/>
    <w:rsid w:val="00C43A69"/>
    <w:rsid w:val="00C43AC4"/>
    <w:rsid w:val="00C43C05"/>
    <w:rsid w:val="00C43C60"/>
    <w:rsid w:val="00C43C76"/>
    <w:rsid w:val="00C43CF4"/>
    <w:rsid w:val="00C43CFD"/>
    <w:rsid w:val="00C43D81"/>
    <w:rsid w:val="00C43D9C"/>
    <w:rsid w:val="00C43DCE"/>
    <w:rsid w:val="00C43DDD"/>
    <w:rsid w:val="00C43E0F"/>
    <w:rsid w:val="00C43EAB"/>
    <w:rsid w:val="00C43EE2"/>
    <w:rsid w:val="00C43EEA"/>
    <w:rsid w:val="00C43F5E"/>
    <w:rsid w:val="00C440D0"/>
    <w:rsid w:val="00C4416D"/>
    <w:rsid w:val="00C441D2"/>
    <w:rsid w:val="00C442CC"/>
    <w:rsid w:val="00C443C6"/>
    <w:rsid w:val="00C44465"/>
    <w:rsid w:val="00C444C6"/>
    <w:rsid w:val="00C446D0"/>
    <w:rsid w:val="00C447AA"/>
    <w:rsid w:val="00C44873"/>
    <w:rsid w:val="00C448A3"/>
    <w:rsid w:val="00C44A81"/>
    <w:rsid w:val="00C44B22"/>
    <w:rsid w:val="00C44B29"/>
    <w:rsid w:val="00C44B2F"/>
    <w:rsid w:val="00C44B6C"/>
    <w:rsid w:val="00C44BAA"/>
    <w:rsid w:val="00C44BD7"/>
    <w:rsid w:val="00C44C03"/>
    <w:rsid w:val="00C44C19"/>
    <w:rsid w:val="00C44C79"/>
    <w:rsid w:val="00C44D00"/>
    <w:rsid w:val="00C44D0D"/>
    <w:rsid w:val="00C44D1F"/>
    <w:rsid w:val="00C44D29"/>
    <w:rsid w:val="00C44DAD"/>
    <w:rsid w:val="00C44E19"/>
    <w:rsid w:val="00C44F80"/>
    <w:rsid w:val="00C44FEB"/>
    <w:rsid w:val="00C4501E"/>
    <w:rsid w:val="00C450BC"/>
    <w:rsid w:val="00C4519A"/>
    <w:rsid w:val="00C45321"/>
    <w:rsid w:val="00C45587"/>
    <w:rsid w:val="00C455FD"/>
    <w:rsid w:val="00C45621"/>
    <w:rsid w:val="00C4563E"/>
    <w:rsid w:val="00C458DD"/>
    <w:rsid w:val="00C45992"/>
    <w:rsid w:val="00C45993"/>
    <w:rsid w:val="00C459BD"/>
    <w:rsid w:val="00C459DA"/>
    <w:rsid w:val="00C459FE"/>
    <w:rsid w:val="00C45A29"/>
    <w:rsid w:val="00C45B42"/>
    <w:rsid w:val="00C45C94"/>
    <w:rsid w:val="00C45CC3"/>
    <w:rsid w:val="00C45D48"/>
    <w:rsid w:val="00C45E0E"/>
    <w:rsid w:val="00C45E1B"/>
    <w:rsid w:val="00C45EC2"/>
    <w:rsid w:val="00C45EF8"/>
    <w:rsid w:val="00C46043"/>
    <w:rsid w:val="00C46189"/>
    <w:rsid w:val="00C461D8"/>
    <w:rsid w:val="00C46200"/>
    <w:rsid w:val="00C46335"/>
    <w:rsid w:val="00C463C1"/>
    <w:rsid w:val="00C463EB"/>
    <w:rsid w:val="00C463F8"/>
    <w:rsid w:val="00C464B4"/>
    <w:rsid w:val="00C4659C"/>
    <w:rsid w:val="00C465CA"/>
    <w:rsid w:val="00C466C9"/>
    <w:rsid w:val="00C466D0"/>
    <w:rsid w:val="00C4673C"/>
    <w:rsid w:val="00C46799"/>
    <w:rsid w:val="00C467A4"/>
    <w:rsid w:val="00C46836"/>
    <w:rsid w:val="00C4686D"/>
    <w:rsid w:val="00C46897"/>
    <w:rsid w:val="00C46924"/>
    <w:rsid w:val="00C46941"/>
    <w:rsid w:val="00C46A10"/>
    <w:rsid w:val="00C46A46"/>
    <w:rsid w:val="00C46BF1"/>
    <w:rsid w:val="00C46BF2"/>
    <w:rsid w:val="00C46CC3"/>
    <w:rsid w:val="00C46CE5"/>
    <w:rsid w:val="00C46E86"/>
    <w:rsid w:val="00C46EF7"/>
    <w:rsid w:val="00C46F1B"/>
    <w:rsid w:val="00C46F4F"/>
    <w:rsid w:val="00C47004"/>
    <w:rsid w:val="00C47020"/>
    <w:rsid w:val="00C47041"/>
    <w:rsid w:val="00C470A5"/>
    <w:rsid w:val="00C47186"/>
    <w:rsid w:val="00C4720E"/>
    <w:rsid w:val="00C472B4"/>
    <w:rsid w:val="00C47370"/>
    <w:rsid w:val="00C47415"/>
    <w:rsid w:val="00C474D3"/>
    <w:rsid w:val="00C474F6"/>
    <w:rsid w:val="00C4757B"/>
    <w:rsid w:val="00C47605"/>
    <w:rsid w:val="00C47620"/>
    <w:rsid w:val="00C4776C"/>
    <w:rsid w:val="00C47807"/>
    <w:rsid w:val="00C4782E"/>
    <w:rsid w:val="00C4784B"/>
    <w:rsid w:val="00C478D4"/>
    <w:rsid w:val="00C47986"/>
    <w:rsid w:val="00C47A8F"/>
    <w:rsid w:val="00C47AB7"/>
    <w:rsid w:val="00C47AF0"/>
    <w:rsid w:val="00C47AF6"/>
    <w:rsid w:val="00C47CF1"/>
    <w:rsid w:val="00C47D2C"/>
    <w:rsid w:val="00C47D71"/>
    <w:rsid w:val="00C47E18"/>
    <w:rsid w:val="00C47EEA"/>
    <w:rsid w:val="00C47EEC"/>
    <w:rsid w:val="00C47F3D"/>
    <w:rsid w:val="00C47F8E"/>
    <w:rsid w:val="00C47FA3"/>
    <w:rsid w:val="00C47FB9"/>
    <w:rsid w:val="00C50039"/>
    <w:rsid w:val="00C50040"/>
    <w:rsid w:val="00C50051"/>
    <w:rsid w:val="00C50124"/>
    <w:rsid w:val="00C50160"/>
    <w:rsid w:val="00C50164"/>
    <w:rsid w:val="00C50245"/>
    <w:rsid w:val="00C5029C"/>
    <w:rsid w:val="00C50359"/>
    <w:rsid w:val="00C504DB"/>
    <w:rsid w:val="00C50523"/>
    <w:rsid w:val="00C50573"/>
    <w:rsid w:val="00C505BF"/>
    <w:rsid w:val="00C50635"/>
    <w:rsid w:val="00C50767"/>
    <w:rsid w:val="00C507BC"/>
    <w:rsid w:val="00C507D7"/>
    <w:rsid w:val="00C507E5"/>
    <w:rsid w:val="00C5093B"/>
    <w:rsid w:val="00C50A42"/>
    <w:rsid w:val="00C50AEA"/>
    <w:rsid w:val="00C50B47"/>
    <w:rsid w:val="00C50B54"/>
    <w:rsid w:val="00C50BAB"/>
    <w:rsid w:val="00C50BBC"/>
    <w:rsid w:val="00C50C1D"/>
    <w:rsid w:val="00C50CD2"/>
    <w:rsid w:val="00C50CD9"/>
    <w:rsid w:val="00C50DFA"/>
    <w:rsid w:val="00C50E3F"/>
    <w:rsid w:val="00C50E84"/>
    <w:rsid w:val="00C50F26"/>
    <w:rsid w:val="00C50F72"/>
    <w:rsid w:val="00C50FB1"/>
    <w:rsid w:val="00C5101D"/>
    <w:rsid w:val="00C5105E"/>
    <w:rsid w:val="00C5113B"/>
    <w:rsid w:val="00C51156"/>
    <w:rsid w:val="00C511A4"/>
    <w:rsid w:val="00C512CB"/>
    <w:rsid w:val="00C51303"/>
    <w:rsid w:val="00C51323"/>
    <w:rsid w:val="00C513FF"/>
    <w:rsid w:val="00C516FA"/>
    <w:rsid w:val="00C51742"/>
    <w:rsid w:val="00C51752"/>
    <w:rsid w:val="00C518DA"/>
    <w:rsid w:val="00C51902"/>
    <w:rsid w:val="00C5193B"/>
    <w:rsid w:val="00C5193D"/>
    <w:rsid w:val="00C5194A"/>
    <w:rsid w:val="00C51998"/>
    <w:rsid w:val="00C519C9"/>
    <w:rsid w:val="00C51B40"/>
    <w:rsid w:val="00C51C56"/>
    <w:rsid w:val="00C51C75"/>
    <w:rsid w:val="00C51CB5"/>
    <w:rsid w:val="00C51D0A"/>
    <w:rsid w:val="00C51DD8"/>
    <w:rsid w:val="00C51F34"/>
    <w:rsid w:val="00C51F58"/>
    <w:rsid w:val="00C51FCC"/>
    <w:rsid w:val="00C51FE9"/>
    <w:rsid w:val="00C520C4"/>
    <w:rsid w:val="00C521E3"/>
    <w:rsid w:val="00C521F8"/>
    <w:rsid w:val="00C52278"/>
    <w:rsid w:val="00C522B8"/>
    <w:rsid w:val="00C52363"/>
    <w:rsid w:val="00C5239C"/>
    <w:rsid w:val="00C523F3"/>
    <w:rsid w:val="00C52486"/>
    <w:rsid w:val="00C524CD"/>
    <w:rsid w:val="00C524E2"/>
    <w:rsid w:val="00C525ED"/>
    <w:rsid w:val="00C526D2"/>
    <w:rsid w:val="00C5279A"/>
    <w:rsid w:val="00C52813"/>
    <w:rsid w:val="00C528A4"/>
    <w:rsid w:val="00C528AA"/>
    <w:rsid w:val="00C52911"/>
    <w:rsid w:val="00C52989"/>
    <w:rsid w:val="00C52A30"/>
    <w:rsid w:val="00C52A47"/>
    <w:rsid w:val="00C52A6A"/>
    <w:rsid w:val="00C52AA7"/>
    <w:rsid w:val="00C52AAE"/>
    <w:rsid w:val="00C52B8A"/>
    <w:rsid w:val="00C52BDA"/>
    <w:rsid w:val="00C52C24"/>
    <w:rsid w:val="00C52C5D"/>
    <w:rsid w:val="00C52D12"/>
    <w:rsid w:val="00C52DF6"/>
    <w:rsid w:val="00C52E44"/>
    <w:rsid w:val="00C52EFB"/>
    <w:rsid w:val="00C52F44"/>
    <w:rsid w:val="00C53002"/>
    <w:rsid w:val="00C5300F"/>
    <w:rsid w:val="00C53039"/>
    <w:rsid w:val="00C53097"/>
    <w:rsid w:val="00C53105"/>
    <w:rsid w:val="00C531F0"/>
    <w:rsid w:val="00C53209"/>
    <w:rsid w:val="00C53259"/>
    <w:rsid w:val="00C532F1"/>
    <w:rsid w:val="00C533C5"/>
    <w:rsid w:val="00C53489"/>
    <w:rsid w:val="00C53563"/>
    <w:rsid w:val="00C53616"/>
    <w:rsid w:val="00C53738"/>
    <w:rsid w:val="00C5373D"/>
    <w:rsid w:val="00C5376F"/>
    <w:rsid w:val="00C537FB"/>
    <w:rsid w:val="00C5386A"/>
    <w:rsid w:val="00C538BB"/>
    <w:rsid w:val="00C539BB"/>
    <w:rsid w:val="00C53A2B"/>
    <w:rsid w:val="00C53A93"/>
    <w:rsid w:val="00C53AB6"/>
    <w:rsid w:val="00C53AD3"/>
    <w:rsid w:val="00C53B33"/>
    <w:rsid w:val="00C53B4D"/>
    <w:rsid w:val="00C53BFB"/>
    <w:rsid w:val="00C53CC8"/>
    <w:rsid w:val="00C53D0D"/>
    <w:rsid w:val="00C53D1E"/>
    <w:rsid w:val="00C53D2A"/>
    <w:rsid w:val="00C53DD1"/>
    <w:rsid w:val="00C53DE1"/>
    <w:rsid w:val="00C53E50"/>
    <w:rsid w:val="00C53FAB"/>
    <w:rsid w:val="00C53FBF"/>
    <w:rsid w:val="00C53FEF"/>
    <w:rsid w:val="00C54044"/>
    <w:rsid w:val="00C540A2"/>
    <w:rsid w:val="00C54192"/>
    <w:rsid w:val="00C542D3"/>
    <w:rsid w:val="00C542F1"/>
    <w:rsid w:val="00C5437D"/>
    <w:rsid w:val="00C54440"/>
    <w:rsid w:val="00C5448A"/>
    <w:rsid w:val="00C54560"/>
    <w:rsid w:val="00C545D4"/>
    <w:rsid w:val="00C54604"/>
    <w:rsid w:val="00C5466F"/>
    <w:rsid w:val="00C546FD"/>
    <w:rsid w:val="00C54708"/>
    <w:rsid w:val="00C547A6"/>
    <w:rsid w:val="00C54874"/>
    <w:rsid w:val="00C5487C"/>
    <w:rsid w:val="00C5488A"/>
    <w:rsid w:val="00C548EA"/>
    <w:rsid w:val="00C54A24"/>
    <w:rsid w:val="00C54A74"/>
    <w:rsid w:val="00C54AAA"/>
    <w:rsid w:val="00C54B3F"/>
    <w:rsid w:val="00C54C8F"/>
    <w:rsid w:val="00C54CA5"/>
    <w:rsid w:val="00C54CEA"/>
    <w:rsid w:val="00C54D36"/>
    <w:rsid w:val="00C54D40"/>
    <w:rsid w:val="00C54D67"/>
    <w:rsid w:val="00C54E47"/>
    <w:rsid w:val="00C54E85"/>
    <w:rsid w:val="00C54EAF"/>
    <w:rsid w:val="00C54FB2"/>
    <w:rsid w:val="00C55026"/>
    <w:rsid w:val="00C55033"/>
    <w:rsid w:val="00C55087"/>
    <w:rsid w:val="00C55103"/>
    <w:rsid w:val="00C55114"/>
    <w:rsid w:val="00C5519F"/>
    <w:rsid w:val="00C55204"/>
    <w:rsid w:val="00C55229"/>
    <w:rsid w:val="00C5526C"/>
    <w:rsid w:val="00C552D6"/>
    <w:rsid w:val="00C55325"/>
    <w:rsid w:val="00C5536B"/>
    <w:rsid w:val="00C55491"/>
    <w:rsid w:val="00C554DF"/>
    <w:rsid w:val="00C55537"/>
    <w:rsid w:val="00C5559A"/>
    <w:rsid w:val="00C556BB"/>
    <w:rsid w:val="00C556E5"/>
    <w:rsid w:val="00C557BE"/>
    <w:rsid w:val="00C55832"/>
    <w:rsid w:val="00C55888"/>
    <w:rsid w:val="00C5588D"/>
    <w:rsid w:val="00C558DE"/>
    <w:rsid w:val="00C559F3"/>
    <w:rsid w:val="00C55A2B"/>
    <w:rsid w:val="00C55C15"/>
    <w:rsid w:val="00C55C26"/>
    <w:rsid w:val="00C55C4A"/>
    <w:rsid w:val="00C55CAB"/>
    <w:rsid w:val="00C55DA5"/>
    <w:rsid w:val="00C55E08"/>
    <w:rsid w:val="00C55E49"/>
    <w:rsid w:val="00C55FD3"/>
    <w:rsid w:val="00C5600B"/>
    <w:rsid w:val="00C56257"/>
    <w:rsid w:val="00C56283"/>
    <w:rsid w:val="00C562E9"/>
    <w:rsid w:val="00C562FB"/>
    <w:rsid w:val="00C5632A"/>
    <w:rsid w:val="00C56339"/>
    <w:rsid w:val="00C563AE"/>
    <w:rsid w:val="00C563EA"/>
    <w:rsid w:val="00C56465"/>
    <w:rsid w:val="00C56474"/>
    <w:rsid w:val="00C564B6"/>
    <w:rsid w:val="00C56507"/>
    <w:rsid w:val="00C56596"/>
    <w:rsid w:val="00C566BE"/>
    <w:rsid w:val="00C5671F"/>
    <w:rsid w:val="00C567DE"/>
    <w:rsid w:val="00C567FE"/>
    <w:rsid w:val="00C5680C"/>
    <w:rsid w:val="00C56831"/>
    <w:rsid w:val="00C56860"/>
    <w:rsid w:val="00C5691C"/>
    <w:rsid w:val="00C56D50"/>
    <w:rsid w:val="00C56D71"/>
    <w:rsid w:val="00C56DAD"/>
    <w:rsid w:val="00C56DB7"/>
    <w:rsid w:val="00C56E67"/>
    <w:rsid w:val="00C56E9A"/>
    <w:rsid w:val="00C56E9C"/>
    <w:rsid w:val="00C56F54"/>
    <w:rsid w:val="00C56F61"/>
    <w:rsid w:val="00C56F68"/>
    <w:rsid w:val="00C57078"/>
    <w:rsid w:val="00C571C7"/>
    <w:rsid w:val="00C57205"/>
    <w:rsid w:val="00C5726E"/>
    <w:rsid w:val="00C5729E"/>
    <w:rsid w:val="00C572E0"/>
    <w:rsid w:val="00C57305"/>
    <w:rsid w:val="00C5730B"/>
    <w:rsid w:val="00C57340"/>
    <w:rsid w:val="00C57496"/>
    <w:rsid w:val="00C57643"/>
    <w:rsid w:val="00C576B5"/>
    <w:rsid w:val="00C576D2"/>
    <w:rsid w:val="00C57703"/>
    <w:rsid w:val="00C5771F"/>
    <w:rsid w:val="00C57841"/>
    <w:rsid w:val="00C57895"/>
    <w:rsid w:val="00C57909"/>
    <w:rsid w:val="00C579E7"/>
    <w:rsid w:val="00C57A70"/>
    <w:rsid w:val="00C57BAF"/>
    <w:rsid w:val="00C57C19"/>
    <w:rsid w:val="00C57C2F"/>
    <w:rsid w:val="00C57C86"/>
    <w:rsid w:val="00C57CA1"/>
    <w:rsid w:val="00C57D1F"/>
    <w:rsid w:val="00C57E08"/>
    <w:rsid w:val="00C57EA8"/>
    <w:rsid w:val="00C57F4F"/>
    <w:rsid w:val="00C57F58"/>
    <w:rsid w:val="00C57FC1"/>
    <w:rsid w:val="00C57FD3"/>
    <w:rsid w:val="00C60070"/>
    <w:rsid w:val="00C600B5"/>
    <w:rsid w:val="00C60103"/>
    <w:rsid w:val="00C6011C"/>
    <w:rsid w:val="00C60135"/>
    <w:rsid w:val="00C6018E"/>
    <w:rsid w:val="00C6019A"/>
    <w:rsid w:val="00C6031B"/>
    <w:rsid w:val="00C6033E"/>
    <w:rsid w:val="00C60393"/>
    <w:rsid w:val="00C60622"/>
    <w:rsid w:val="00C60641"/>
    <w:rsid w:val="00C60675"/>
    <w:rsid w:val="00C60681"/>
    <w:rsid w:val="00C606EF"/>
    <w:rsid w:val="00C6084D"/>
    <w:rsid w:val="00C60892"/>
    <w:rsid w:val="00C60914"/>
    <w:rsid w:val="00C6095D"/>
    <w:rsid w:val="00C6097C"/>
    <w:rsid w:val="00C60A58"/>
    <w:rsid w:val="00C60A95"/>
    <w:rsid w:val="00C60B3D"/>
    <w:rsid w:val="00C60C56"/>
    <w:rsid w:val="00C60CEC"/>
    <w:rsid w:val="00C60D73"/>
    <w:rsid w:val="00C60DD6"/>
    <w:rsid w:val="00C60DF6"/>
    <w:rsid w:val="00C60E89"/>
    <w:rsid w:val="00C60EF4"/>
    <w:rsid w:val="00C61146"/>
    <w:rsid w:val="00C61187"/>
    <w:rsid w:val="00C611D3"/>
    <w:rsid w:val="00C6120B"/>
    <w:rsid w:val="00C6124C"/>
    <w:rsid w:val="00C6136A"/>
    <w:rsid w:val="00C613A2"/>
    <w:rsid w:val="00C613B2"/>
    <w:rsid w:val="00C6149A"/>
    <w:rsid w:val="00C614B4"/>
    <w:rsid w:val="00C61529"/>
    <w:rsid w:val="00C615B3"/>
    <w:rsid w:val="00C61602"/>
    <w:rsid w:val="00C616F0"/>
    <w:rsid w:val="00C617D6"/>
    <w:rsid w:val="00C6184E"/>
    <w:rsid w:val="00C618F2"/>
    <w:rsid w:val="00C61926"/>
    <w:rsid w:val="00C61951"/>
    <w:rsid w:val="00C619C7"/>
    <w:rsid w:val="00C619CF"/>
    <w:rsid w:val="00C61A27"/>
    <w:rsid w:val="00C61A9C"/>
    <w:rsid w:val="00C61B47"/>
    <w:rsid w:val="00C61B62"/>
    <w:rsid w:val="00C61BBC"/>
    <w:rsid w:val="00C61DDD"/>
    <w:rsid w:val="00C61E62"/>
    <w:rsid w:val="00C61E6B"/>
    <w:rsid w:val="00C61EC7"/>
    <w:rsid w:val="00C62021"/>
    <w:rsid w:val="00C62059"/>
    <w:rsid w:val="00C62093"/>
    <w:rsid w:val="00C620E2"/>
    <w:rsid w:val="00C6210E"/>
    <w:rsid w:val="00C62117"/>
    <w:rsid w:val="00C62142"/>
    <w:rsid w:val="00C621B2"/>
    <w:rsid w:val="00C62362"/>
    <w:rsid w:val="00C623F9"/>
    <w:rsid w:val="00C623FD"/>
    <w:rsid w:val="00C6241F"/>
    <w:rsid w:val="00C62426"/>
    <w:rsid w:val="00C62442"/>
    <w:rsid w:val="00C624A4"/>
    <w:rsid w:val="00C624F4"/>
    <w:rsid w:val="00C62527"/>
    <w:rsid w:val="00C6253A"/>
    <w:rsid w:val="00C625F3"/>
    <w:rsid w:val="00C625FC"/>
    <w:rsid w:val="00C62748"/>
    <w:rsid w:val="00C62786"/>
    <w:rsid w:val="00C6278A"/>
    <w:rsid w:val="00C628E0"/>
    <w:rsid w:val="00C629EA"/>
    <w:rsid w:val="00C629F2"/>
    <w:rsid w:val="00C62B38"/>
    <w:rsid w:val="00C62BBC"/>
    <w:rsid w:val="00C62CEB"/>
    <w:rsid w:val="00C62CFE"/>
    <w:rsid w:val="00C62D4B"/>
    <w:rsid w:val="00C62EF3"/>
    <w:rsid w:val="00C62F8D"/>
    <w:rsid w:val="00C62F99"/>
    <w:rsid w:val="00C62FC3"/>
    <w:rsid w:val="00C62FFB"/>
    <w:rsid w:val="00C63101"/>
    <w:rsid w:val="00C63160"/>
    <w:rsid w:val="00C631E2"/>
    <w:rsid w:val="00C63271"/>
    <w:rsid w:val="00C63495"/>
    <w:rsid w:val="00C6350D"/>
    <w:rsid w:val="00C63601"/>
    <w:rsid w:val="00C63633"/>
    <w:rsid w:val="00C636A8"/>
    <w:rsid w:val="00C63719"/>
    <w:rsid w:val="00C6371D"/>
    <w:rsid w:val="00C6380A"/>
    <w:rsid w:val="00C638D8"/>
    <w:rsid w:val="00C63911"/>
    <w:rsid w:val="00C639EF"/>
    <w:rsid w:val="00C63A4D"/>
    <w:rsid w:val="00C63AEF"/>
    <w:rsid w:val="00C63B11"/>
    <w:rsid w:val="00C63B4B"/>
    <w:rsid w:val="00C63B93"/>
    <w:rsid w:val="00C63C2C"/>
    <w:rsid w:val="00C63C57"/>
    <w:rsid w:val="00C63C5B"/>
    <w:rsid w:val="00C63C60"/>
    <w:rsid w:val="00C63CB6"/>
    <w:rsid w:val="00C63E51"/>
    <w:rsid w:val="00C64037"/>
    <w:rsid w:val="00C640D0"/>
    <w:rsid w:val="00C64105"/>
    <w:rsid w:val="00C6412D"/>
    <w:rsid w:val="00C64152"/>
    <w:rsid w:val="00C6419E"/>
    <w:rsid w:val="00C642BE"/>
    <w:rsid w:val="00C642FE"/>
    <w:rsid w:val="00C643B5"/>
    <w:rsid w:val="00C64445"/>
    <w:rsid w:val="00C64532"/>
    <w:rsid w:val="00C6456E"/>
    <w:rsid w:val="00C6464F"/>
    <w:rsid w:val="00C6467A"/>
    <w:rsid w:val="00C646E4"/>
    <w:rsid w:val="00C64730"/>
    <w:rsid w:val="00C647A4"/>
    <w:rsid w:val="00C647AB"/>
    <w:rsid w:val="00C647DB"/>
    <w:rsid w:val="00C648BB"/>
    <w:rsid w:val="00C6491D"/>
    <w:rsid w:val="00C64966"/>
    <w:rsid w:val="00C649B1"/>
    <w:rsid w:val="00C64A27"/>
    <w:rsid w:val="00C64B2E"/>
    <w:rsid w:val="00C64B95"/>
    <w:rsid w:val="00C64C60"/>
    <w:rsid w:val="00C64CED"/>
    <w:rsid w:val="00C64D19"/>
    <w:rsid w:val="00C64DAE"/>
    <w:rsid w:val="00C64DCA"/>
    <w:rsid w:val="00C64DE6"/>
    <w:rsid w:val="00C64ED5"/>
    <w:rsid w:val="00C64EE1"/>
    <w:rsid w:val="00C64FB5"/>
    <w:rsid w:val="00C64FE3"/>
    <w:rsid w:val="00C65013"/>
    <w:rsid w:val="00C650F6"/>
    <w:rsid w:val="00C65147"/>
    <w:rsid w:val="00C651BE"/>
    <w:rsid w:val="00C651CF"/>
    <w:rsid w:val="00C652A6"/>
    <w:rsid w:val="00C6532D"/>
    <w:rsid w:val="00C65395"/>
    <w:rsid w:val="00C653FC"/>
    <w:rsid w:val="00C6542F"/>
    <w:rsid w:val="00C655B8"/>
    <w:rsid w:val="00C655D4"/>
    <w:rsid w:val="00C656C0"/>
    <w:rsid w:val="00C6587C"/>
    <w:rsid w:val="00C658FF"/>
    <w:rsid w:val="00C65912"/>
    <w:rsid w:val="00C65950"/>
    <w:rsid w:val="00C65970"/>
    <w:rsid w:val="00C65A85"/>
    <w:rsid w:val="00C65AFD"/>
    <w:rsid w:val="00C65B39"/>
    <w:rsid w:val="00C65BB0"/>
    <w:rsid w:val="00C65BFF"/>
    <w:rsid w:val="00C65C75"/>
    <w:rsid w:val="00C65CBB"/>
    <w:rsid w:val="00C65D0D"/>
    <w:rsid w:val="00C65DD3"/>
    <w:rsid w:val="00C65E02"/>
    <w:rsid w:val="00C65F62"/>
    <w:rsid w:val="00C660BA"/>
    <w:rsid w:val="00C66211"/>
    <w:rsid w:val="00C662CB"/>
    <w:rsid w:val="00C662F2"/>
    <w:rsid w:val="00C66384"/>
    <w:rsid w:val="00C6647A"/>
    <w:rsid w:val="00C66588"/>
    <w:rsid w:val="00C665B2"/>
    <w:rsid w:val="00C6663C"/>
    <w:rsid w:val="00C66706"/>
    <w:rsid w:val="00C66841"/>
    <w:rsid w:val="00C668EA"/>
    <w:rsid w:val="00C6696D"/>
    <w:rsid w:val="00C669EA"/>
    <w:rsid w:val="00C66A41"/>
    <w:rsid w:val="00C66BD6"/>
    <w:rsid w:val="00C66DFD"/>
    <w:rsid w:val="00C66E8C"/>
    <w:rsid w:val="00C66EBE"/>
    <w:rsid w:val="00C66EC5"/>
    <w:rsid w:val="00C66F63"/>
    <w:rsid w:val="00C6703C"/>
    <w:rsid w:val="00C67055"/>
    <w:rsid w:val="00C67105"/>
    <w:rsid w:val="00C67258"/>
    <w:rsid w:val="00C67273"/>
    <w:rsid w:val="00C67342"/>
    <w:rsid w:val="00C673F4"/>
    <w:rsid w:val="00C673F5"/>
    <w:rsid w:val="00C67481"/>
    <w:rsid w:val="00C67532"/>
    <w:rsid w:val="00C676D7"/>
    <w:rsid w:val="00C67700"/>
    <w:rsid w:val="00C6775B"/>
    <w:rsid w:val="00C6778F"/>
    <w:rsid w:val="00C67824"/>
    <w:rsid w:val="00C67923"/>
    <w:rsid w:val="00C6794B"/>
    <w:rsid w:val="00C679D9"/>
    <w:rsid w:val="00C67A83"/>
    <w:rsid w:val="00C67BAB"/>
    <w:rsid w:val="00C67BB8"/>
    <w:rsid w:val="00C67CE0"/>
    <w:rsid w:val="00C67CF8"/>
    <w:rsid w:val="00C67D72"/>
    <w:rsid w:val="00C67DB3"/>
    <w:rsid w:val="00C67DF5"/>
    <w:rsid w:val="00C67E04"/>
    <w:rsid w:val="00C67F1D"/>
    <w:rsid w:val="00C67F4A"/>
    <w:rsid w:val="00C67FC5"/>
    <w:rsid w:val="00C700BA"/>
    <w:rsid w:val="00C70394"/>
    <w:rsid w:val="00C7043B"/>
    <w:rsid w:val="00C70457"/>
    <w:rsid w:val="00C704AB"/>
    <w:rsid w:val="00C704BE"/>
    <w:rsid w:val="00C704C2"/>
    <w:rsid w:val="00C70597"/>
    <w:rsid w:val="00C7059C"/>
    <w:rsid w:val="00C705A3"/>
    <w:rsid w:val="00C705E9"/>
    <w:rsid w:val="00C705EF"/>
    <w:rsid w:val="00C7060E"/>
    <w:rsid w:val="00C706AA"/>
    <w:rsid w:val="00C706CA"/>
    <w:rsid w:val="00C706D2"/>
    <w:rsid w:val="00C70850"/>
    <w:rsid w:val="00C7086B"/>
    <w:rsid w:val="00C70872"/>
    <w:rsid w:val="00C70883"/>
    <w:rsid w:val="00C708E6"/>
    <w:rsid w:val="00C7090B"/>
    <w:rsid w:val="00C709AF"/>
    <w:rsid w:val="00C709FB"/>
    <w:rsid w:val="00C70A50"/>
    <w:rsid w:val="00C70B41"/>
    <w:rsid w:val="00C70B55"/>
    <w:rsid w:val="00C70B68"/>
    <w:rsid w:val="00C70BED"/>
    <w:rsid w:val="00C70C30"/>
    <w:rsid w:val="00C70C6C"/>
    <w:rsid w:val="00C70D80"/>
    <w:rsid w:val="00C70DD5"/>
    <w:rsid w:val="00C70E31"/>
    <w:rsid w:val="00C70E4F"/>
    <w:rsid w:val="00C70E5B"/>
    <w:rsid w:val="00C70EFC"/>
    <w:rsid w:val="00C70F40"/>
    <w:rsid w:val="00C70F49"/>
    <w:rsid w:val="00C71170"/>
    <w:rsid w:val="00C7118C"/>
    <w:rsid w:val="00C71265"/>
    <w:rsid w:val="00C71273"/>
    <w:rsid w:val="00C712C6"/>
    <w:rsid w:val="00C7135A"/>
    <w:rsid w:val="00C7137D"/>
    <w:rsid w:val="00C713FD"/>
    <w:rsid w:val="00C71444"/>
    <w:rsid w:val="00C7156F"/>
    <w:rsid w:val="00C7164C"/>
    <w:rsid w:val="00C71688"/>
    <w:rsid w:val="00C7174B"/>
    <w:rsid w:val="00C7175F"/>
    <w:rsid w:val="00C717B2"/>
    <w:rsid w:val="00C717F1"/>
    <w:rsid w:val="00C717F2"/>
    <w:rsid w:val="00C718F0"/>
    <w:rsid w:val="00C71930"/>
    <w:rsid w:val="00C719DF"/>
    <w:rsid w:val="00C71A0A"/>
    <w:rsid w:val="00C71C39"/>
    <w:rsid w:val="00C71CF0"/>
    <w:rsid w:val="00C71CF5"/>
    <w:rsid w:val="00C71D17"/>
    <w:rsid w:val="00C71D82"/>
    <w:rsid w:val="00C71DBD"/>
    <w:rsid w:val="00C71E0E"/>
    <w:rsid w:val="00C71E26"/>
    <w:rsid w:val="00C71F89"/>
    <w:rsid w:val="00C71FDE"/>
    <w:rsid w:val="00C7202C"/>
    <w:rsid w:val="00C72052"/>
    <w:rsid w:val="00C7220D"/>
    <w:rsid w:val="00C72221"/>
    <w:rsid w:val="00C7222C"/>
    <w:rsid w:val="00C72251"/>
    <w:rsid w:val="00C7229A"/>
    <w:rsid w:val="00C722AC"/>
    <w:rsid w:val="00C722CC"/>
    <w:rsid w:val="00C7232B"/>
    <w:rsid w:val="00C724BD"/>
    <w:rsid w:val="00C72576"/>
    <w:rsid w:val="00C72763"/>
    <w:rsid w:val="00C727BC"/>
    <w:rsid w:val="00C72960"/>
    <w:rsid w:val="00C7296D"/>
    <w:rsid w:val="00C72A32"/>
    <w:rsid w:val="00C72A5E"/>
    <w:rsid w:val="00C72AE0"/>
    <w:rsid w:val="00C72B7F"/>
    <w:rsid w:val="00C72C04"/>
    <w:rsid w:val="00C72C0C"/>
    <w:rsid w:val="00C72C1E"/>
    <w:rsid w:val="00C72C78"/>
    <w:rsid w:val="00C72D20"/>
    <w:rsid w:val="00C72DDF"/>
    <w:rsid w:val="00C72EFD"/>
    <w:rsid w:val="00C72F56"/>
    <w:rsid w:val="00C72F5C"/>
    <w:rsid w:val="00C7306E"/>
    <w:rsid w:val="00C730B0"/>
    <w:rsid w:val="00C730F6"/>
    <w:rsid w:val="00C73116"/>
    <w:rsid w:val="00C73272"/>
    <w:rsid w:val="00C7339B"/>
    <w:rsid w:val="00C73460"/>
    <w:rsid w:val="00C7349D"/>
    <w:rsid w:val="00C734A9"/>
    <w:rsid w:val="00C734D0"/>
    <w:rsid w:val="00C735F1"/>
    <w:rsid w:val="00C736E5"/>
    <w:rsid w:val="00C73927"/>
    <w:rsid w:val="00C739D2"/>
    <w:rsid w:val="00C739F1"/>
    <w:rsid w:val="00C73A3C"/>
    <w:rsid w:val="00C73AC6"/>
    <w:rsid w:val="00C73BB0"/>
    <w:rsid w:val="00C73BC3"/>
    <w:rsid w:val="00C73C4E"/>
    <w:rsid w:val="00C73C81"/>
    <w:rsid w:val="00C73CFB"/>
    <w:rsid w:val="00C73D09"/>
    <w:rsid w:val="00C73D6C"/>
    <w:rsid w:val="00C73DE2"/>
    <w:rsid w:val="00C73DFE"/>
    <w:rsid w:val="00C73E20"/>
    <w:rsid w:val="00C73E6C"/>
    <w:rsid w:val="00C73F06"/>
    <w:rsid w:val="00C73FB2"/>
    <w:rsid w:val="00C74060"/>
    <w:rsid w:val="00C740DD"/>
    <w:rsid w:val="00C7427F"/>
    <w:rsid w:val="00C742D1"/>
    <w:rsid w:val="00C742F2"/>
    <w:rsid w:val="00C743A9"/>
    <w:rsid w:val="00C7453A"/>
    <w:rsid w:val="00C745AB"/>
    <w:rsid w:val="00C74602"/>
    <w:rsid w:val="00C7472D"/>
    <w:rsid w:val="00C74797"/>
    <w:rsid w:val="00C74878"/>
    <w:rsid w:val="00C749F7"/>
    <w:rsid w:val="00C74ABE"/>
    <w:rsid w:val="00C74B6E"/>
    <w:rsid w:val="00C74BBA"/>
    <w:rsid w:val="00C74BC5"/>
    <w:rsid w:val="00C74C74"/>
    <w:rsid w:val="00C74CE3"/>
    <w:rsid w:val="00C74D12"/>
    <w:rsid w:val="00C74D24"/>
    <w:rsid w:val="00C74D63"/>
    <w:rsid w:val="00C74E2A"/>
    <w:rsid w:val="00C74E44"/>
    <w:rsid w:val="00C74F09"/>
    <w:rsid w:val="00C74F12"/>
    <w:rsid w:val="00C7506F"/>
    <w:rsid w:val="00C7508A"/>
    <w:rsid w:val="00C750C6"/>
    <w:rsid w:val="00C751D9"/>
    <w:rsid w:val="00C75284"/>
    <w:rsid w:val="00C7528B"/>
    <w:rsid w:val="00C75299"/>
    <w:rsid w:val="00C75331"/>
    <w:rsid w:val="00C753BC"/>
    <w:rsid w:val="00C754B3"/>
    <w:rsid w:val="00C7552C"/>
    <w:rsid w:val="00C75562"/>
    <w:rsid w:val="00C755C0"/>
    <w:rsid w:val="00C755E3"/>
    <w:rsid w:val="00C75612"/>
    <w:rsid w:val="00C75703"/>
    <w:rsid w:val="00C7570A"/>
    <w:rsid w:val="00C7570E"/>
    <w:rsid w:val="00C75799"/>
    <w:rsid w:val="00C75871"/>
    <w:rsid w:val="00C7595F"/>
    <w:rsid w:val="00C75A9C"/>
    <w:rsid w:val="00C75AD1"/>
    <w:rsid w:val="00C75AD5"/>
    <w:rsid w:val="00C75AEA"/>
    <w:rsid w:val="00C75BAB"/>
    <w:rsid w:val="00C75C4D"/>
    <w:rsid w:val="00C75C56"/>
    <w:rsid w:val="00C75CA4"/>
    <w:rsid w:val="00C75E15"/>
    <w:rsid w:val="00C75EEF"/>
    <w:rsid w:val="00C75FA8"/>
    <w:rsid w:val="00C760D5"/>
    <w:rsid w:val="00C7612D"/>
    <w:rsid w:val="00C76194"/>
    <w:rsid w:val="00C761CC"/>
    <w:rsid w:val="00C76256"/>
    <w:rsid w:val="00C763BB"/>
    <w:rsid w:val="00C7641D"/>
    <w:rsid w:val="00C7644C"/>
    <w:rsid w:val="00C764B4"/>
    <w:rsid w:val="00C7650D"/>
    <w:rsid w:val="00C76578"/>
    <w:rsid w:val="00C7661A"/>
    <w:rsid w:val="00C76660"/>
    <w:rsid w:val="00C766D1"/>
    <w:rsid w:val="00C76738"/>
    <w:rsid w:val="00C76746"/>
    <w:rsid w:val="00C76786"/>
    <w:rsid w:val="00C7685B"/>
    <w:rsid w:val="00C768A4"/>
    <w:rsid w:val="00C768DD"/>
    <w:rsid w:val="00C76968"/>
    <w:rsid w:val="00C76993"/>
    <w:rsid w:val="00C769A0"/>
    <w:rsid w:val="00C769B4"/>
    <w:rsid w:val="00C76A2D"/>
    <w:rsid w:val="00C76A3F"/>
    <w:rsid w:val="00C76B73"/>
    <w:rsid w:val="00C76B8A"/>
    <w:rsid w:val="00C76BA9"/>
    <w:rsid w:val="00C76BAC"/>
    <w:rsid w:val="00C76BC9"/>
    <w:rsid w:val="00C76BDD"/>
    <w:rsid w:val="00C76BFF"/>
    <w:rsid w:val="00C76CA2"/>
    <w:rsid w:val="00C76CB8"/>
    <w:rsid w:val="00C76CE1"/>
    <w:rsid w:val="00C76DFC"/>
    <w:rsid w:val="00C7703E"/>
    <w:rsid w:val="00C770AD"/>
    <w:rsid w:val="00C770B4"/>
    <w:rsid w:val="00C77108"/>
    <w:rsid w:val="00C77110"/>
    <w:rsid w:val="00C77260"/>
    <w:rsid w:val="00C772F7"/>
    <w:rsid w:val="00C77364"/>
    <w:rsid w:val="00C7737F"/>
    <w:rsid w:val="00C773D8"/>
    <w:rsid w:val="00C7742F"/>
    <w:rsid w:val="00C77445"/>
    <w:rsid w:val="00C77447"/>
    <w:rsid w:val="00C77449"/>
    <w:rsid w:val="00C774CE"/>
    <w:rsid w:val="00C774EF"/>
    <w:rsid w:val="00C774F8"/>
    <w:rsid w:val="00C77531"/>
    <w:rsid w:val="00C775B8"/>
    <w:rsid w:val="00C775EF"/>
    <w:rsid w:val="00C77637"/>
    <w:rsid w:val="00C776B3"/>
    <w:rsid w:val="00C776D7"/>
    <w:rsid w:val="00C776FF"/>
    <w:rsid w:val="00C7771A"/>
    <w:rsid w:val="00C7773C"/>
    <w:rsid w:val="00C77758"/>
    <w:rsid w:val="00C77837"/>
    <w:rsid w:val="00C7787F"/>
    <w:rsid w:val="00C77891"/>
    <w:rsid w:val="00C7791B"/>
    <w:rsid w:val="00C77963"/>
    <w:rsid w:val="00C77A2E"/>
    <w:rsid w:val="00C77A88"/>
    <w:rsid w:val="00C77AA3"/>
    <w:rsid w:val="00C77ABA"/>
    <w:rsid w:val="00C77B1B"/>
    <w:rsid w:val="00C77C84"/>
    <w:rsid w:val="00C77D25"/>
    <w:rsid w:val="00C77D59"/>
    <w:rsid w:val="00C77DAB"/>
    <w:rsid w:val="00C77E4F"/>
    <w:rsid w:val="00C77E6B"/>
    <w:rsid w:val="00C77FF6"/>
    <w:rsid w:val="00C80033"/>
    <w:rsid w:val="00C80183"/>
    <w:rsid w:val="00C801C3"/>
    <w:rsid w:val="00C802DD"/>
    <w:rsid w:val="00C80323"/>
    <w:rsid w:val="00C80339"/>
    <w:rsid w:val="00C80351"/>
    <w:rsid w:val="00C80434"/>
    <w:rsid w:val="00C804C7"/>
    <w:rsid w:val="00C805E9"/>
    <w:rsid w:val="00C80600"/>
    <w:rsid w:val="00C806C0"/>
    <w:rsid w:val="00C806D9"/>
    <w:rsid w:val="00C80783"/>
    <w:rsid w:val="00C808ED"/>
    <w:rsid w:val="00C8097D"/>
    <w:rsid w:val="00C80A31"/>
    <w:rsid w:val="00C80A51"/>
    <w:rsid w:val="00C80C3C"/>
    <w:rsid w:val="00C80D4C"/>
    <w:rsid w:val="00C80DB8"/>
    <w:rsid w:val="00C80E39"/>
    <w:rsid w:val="00C80E47"/>
    <w:rsid w:val="00C80EB0"/>
    <w:rsid w:val="00C80FFE"/>
    <w:rsid w:val="00C810B1"/>
    <w:rsid w:val="00C811E7"/>
    <w:rsid w:val="00C811F4"/>
    <w:rsid w:val="00C81210"/>
    <w:rsid w:val="00C81220"/>
    <w:rsid w:val="00C81350"/>
    <w:rsid w:val="00C8142F"/>
    <w:rsid w:val="00C8151A"/>
    <w:rsid w:val="00C8159F"/>
    <w:rsid w:val="00C8164B"/>
    <w:rsid w:val="00C8168A"/>
    <w:rsid w:val="00C816EC"/>
    <w:rsid w:val="00C8171D"/>
    <w:rsid w:val="00C8182F"/>
    <w:rsid w:val="00C81877"/>
    <w:rsid w:val="00C81891"/>
    <w:rsid w:val="00C818FD"/>
    <w:rsid w:val="00C8191D"/>
    <w:rsid w:val="00C81981"/>
    <w:rsid w:val="00C819DF"/>
    <w:rsid w:val="00C81A42"/>
    <w:rsid w:val="00C81A8E"/>
    <w:rsid w:val="00C81BC3"/>
    <w:rsid w:val="00C81C6F"/>
    <w:rsid w:val="00C81D23"/>
    <w:rsid w:val="00C81DBE"/>
    <w:rsid w:val="00C81DED"/>
    <w:rsid w:val="00C81E62"/>
    <w:rsid w:val="00C81EEE"/>
    <w:rsid w:val="00C81FC2"/>
    <w:rsid w:val="00C8227A"/>
    <w:rsid w:val="00C82325"/>
    <w:rsid w:val="00C8237F"/>
    <w:rsid w:val="00C823DC"/>
    <w:rsid w:val="00C82556"/>
    <w:rsid w:val="00C82591"/>
    <w:rsid w:val="00C82666"/>
    <w:rsid w:val="00C826C2"/>
    <w:rsid w:val="00C8275E"/>
    <w:rsid w:val="00C827A8"/>
    <w:rsid w:val="00C82861"/>
    <w:rsid w:val="00C8296B"/>
    <w:rsid w:val="00C82A2E"/>
    <w:rsid w:val="00C82A65"/>
    <w:rsid w:val="00C82A94"/>
    <w:rsid w:val="00C82B29"/>
    <w:rsid w:val="00C82B62"/>
    <w:rsid w:val="00C82C08"/>
    <w:rsid w:val="00C82C3C"/>
    <w:rsid w:val="00C82C9F"/>
    <w:rsid w:val="00C82CED"/>
    <w:rsid w:val="00C82D18"/>
    <w:rsid w:val="00C82D7B"/>
    <w:rsid w:val="00C82E29"/>
    <w:rsid w:val="00C82ED8"/>
    <w:rsid w:val="00C83042"/>
    <w:rsid w:val="00C830C8"/>
    <w:rsid w:val="00C8319D"/>
    <w:rsid w:val="00C8321D"/>
    <w:rsid w:val="00C832BE"/>
    <w:rsid w:val="00C832D1"/>
    <w:rsid w:val="00C8349E"/>
    <w:rsid w:val="00C834E3"/>
    <w:rsid w:val="00C8354F"/>
    <w:rsid w:val="00C83569"/>
    <w:rsid w:val="00C83572"/>
    <w:rsid w:val="00C8363A"/>
    <w:rsid w:val="00C8369E"/>
    <w:rsid w:val="00C836AB"/>
    <w:rsid w:val="00C836BD"/>
    <w:rsid w:val="00C8378D"/>
    <w:rsid w:val="00C837E9"/>
    <w:rsid w:val="00C837FD"/>
    <w:rsid w:val="00C83875"/>
    <w:rsid w:val="00C8388D"/>
    <w:rsid w:val="00C83959"/>
    <w:rsid w:val="00C83A93"/>
    <w:rsid w:val="00C83AEE"/>
    <w:rsid w:val="00C83DBA"/>
    <w:rsid w:val="00C83E5A"/>
    <w:rsid w:val="00C83EBC"/>
    <w:rsid w:val="00C83F52"/>
    <w:rsid w:val="00C8406F"/>
    <w:rsid w:val="00C840BA"/>
    <w:rsid w:val="00C84150"/>
    <w:rsid w:val="00C84163"/>
    <w:rsid w:val="00C84267"/>
    <w:rsid w:val="00C84273"/>
    <w:rsid w:val="00C84277"/>
    <w:rsid w:val="00C842CE"/>
    <w:rsid w:val="00C84351"/>
    <w:rsid w:val="00C84383"/>
    <w:rsid w:val="00C844E7"/>
    <w:rsid w:val="00C84502"/>
    <w:rsid w:val="00C84645"/>
    <w:rsid w:val="00C84662"/>
    <w:rsid w:val="00C846B2"/>
    <w:rsid w:val="00C846D4"/>
    <w:rsid w:val="00C8474A"/>
    <w:rsid w:val="00C847D4"/>
    <w:rsid w:val="00C84850"/>
    <w:rsid w:val="00C8493C"/>
    <w:rsid w:val="00C84981"/>
    <w:rsid w:val="00C849F0"/>
    <w:rsid w:val="00C84A7E"/>
    <w:rsid w:val="00C84B7E"/>
    <w:rsid w:val="00C84C1D"/>
    <w:rsid w:val="00C84C93"/>
    <w:rsid w:val="00C84CCC"/>
    <w:rsid w:val="00C84F31"/>
    <w:rsid w:val="00C84F49"/>
    <w:rsid w:val="00C84F89"/>
    <w:rsid w:val="00C85039"/>
    <w:rsid w:val="00C85075"/>
    <w:rsid w:val="00C850EB"/>
    <w:rsid w:val="00C8511B"/>
    <w:rsid w:val="00C85186"/>
    <w:rsid w:val="00C85220"/>
    <w:rsid w:val="00C852C9"/>
    <w:rsid w:val="00C852E5"/>
    <w:rsid w:val="00C85356"/>
    <w:rsid w:val="00C85436"/>
    <w:rsid w:val="00C85467"/>
    <w:rsid w:val="00C85469"/>
    <w:rsid w:val="00C85477"/>
    <w:rsid w:val="00C854B7"/>
    <w:rsid w:val="00C854F0"/>
    <w:rsid w:val="00C85592"/>
    <w:rsid w:val="00C8559E"/>
    <w:rsid w:val="00C85624"/>
    <w:rsid w:val="00C8567A"/>
    <w:rsid w:val="00C85706"/>
    <w:rsid w:val="00C8571C"/>
    <w:rsid w:val="00C857BD"/>
    <w:rsid w:val="00C857EC"/>
    <w:rsid w:val="00C8581D"/>
    <w:rsid w:val="00C858D1"/>
    <w:rsid w:val="00C85918"/>
    <w:rsid w:val="00C85919"/>
    <w:rsid w:val="00C8599A"/>
    <w:rsid w:val="00C85A0F"/>
    <w:rsid w:val="00C85AD3"/>
    <w:rsid w:val="00C85B59"/>
    <w:rsid w:val="00C85B85"/>
    <w:rsid w:val="00C85CCF"/>
    <w:rsid w:val="00C85D78"/>
    <w:rsid w:val="00C85F1E"/>
    <w:rsid w:val="00C85FC7"/>
    <w:rsid w:val="00C86117"/>
    <w:rsid w:val="00C86188"/>
    <w:rsid w:val="00C861A1"/>
    <w:rsid w:val="00C861A2"/>
    <w:rsid w:val="00C86233"/>
    <w:rsid w:val="00C86290"/>
    <w:rsid w:val="00C86430"/>
    <w:rsid w:val="00C8650A"/>
    <w:rsid w:val="00C8654A"/>
    <w:rsid w:val="00C8659D"/>
    <w:rsid w:val="00C8663C"/>
    <w:rsid w:val="00C8665C"/>
    <w:rsid w:val="00C8667F"/>
    <w:rsid w:val="00C866AE"/>
    <w:rsid w:val="00C86858"/>
    <w:rsid w:val="00C86874"/>
    <w:rsid w:val="00C86A04"/>
    <w:rsid w:val="00C86A87"/>
    <w:rsid w:val="00C86AEF"/>
    <w:rsid w:val="00C86B44"/>
    <w:rsid w:val="00C86C00"/>
    <w:rsid w:val="00C86C3E"/>
    <w:rsid w:val="00C86CB4"/>
    <w:rsid w:val="00C86CF9"/>
    <w:rsid w:val="00C86D3E"/>
    <w:rsid w:val="00C86D92"/>
    <w:rsid w:val="00C86E45"/>
    <w:rsid w:val="00C86F7D"/>
    <w:rsid w:val="00C86FE2"/>
    <w:rsid w:val="00C870E4"/>
    <w:rsid w:val="00C87149"/>
    <w:rsid w:val="00C87200"/>
    <w:rsid w:val="00C873C6"/>
    <w:rsid w:val="00C87407"/>
    <w:rsid w:val="00C87485"/>
    <w:rsid w:val="00C87577"/>
    <w:rsid w:val="00C875F3"/>
    <w:rsid w:val="00C876A7"/>
    <w:rsid w:val="00C876AD"/>
    <w:rsid w:val="00C876C6"/>
    <w:rsid w:val="00C87719"/>
    <w:rsid w:val="00C87778"/>
    <w:rsid w:val="00C877C9"/>
    <w:rsid w:val="00C877FB"/>
    <w:rsid w:val="00C87816"/>
    <w:rsid w:val="00C87929"/>
    <w:rsid w:val="00C87A89"/>
    <w:rsid w:val="00C87B1E"/>
    <w:rsid w:val="00C87B54"/>
    <w:rsid w:val="00C87BBF"/>
    <w:rsid w:val="00C87BDE"/>
    <w:rsid w:val="00C87C93"/>
    <w:rsid w:val="00C87CAB"/>
    <w:rsid w:val="00C87CB8"/>
    <w:rsid w:val="00C87CBC"/>
    <w:rsid w:val="00C87DBC"/>
    <w:rsid w:val="00C87EED"/>
    <w:rsid w:val="00C9004E"/>
    <w:rsid w:val="00C9007E"/>
    <w:rsid w:val="00C900D5"/>
    <w:rsid w:val="00C90183"/>
    <w:rsid w:val="00C901C1"/>
    <w:rsid w:val="00C901D7"/>
    <w:rsid w:val="00C90344"/>
    <w:rsid w:val="00C9044C"/>
    <w:rsid w:val="00C905D3"/>
    <w:rsid w:val="00C90626"/>
    <w:rsid w:val="00C9062F"/>
    <w:rsid w:val="00C906BB"/>
    <w:rsid w:val="00C90751"/>
    <w:rsid w:val="00C90798"/>
    <w:rsid w:val="00C90808"/>
    <w:rsid w:val="00C908B9"/>
    <w:rsid w:val="00C908C4"/>
    <w:rsid w:val="00C90910"/>
    <w:rsid w:val="00C9095F"/>
    <w:rsid w:val="00C9099F"/>
    <w:rsid w:val="00C909D3"/>
    <w:rsid w:val="00C909E5"/>
    <w:rsid w:val="00C90A88"/>
    <w:rsid w:val="00C90AAF"/>
    <w:rsid w:val="00C90B9D"/>
    <w:rsid w:val="00C90BF0"/>
    <w:rsid w:val="00C90BF9"/>
    <w:rsid w:val="00C90C12"/>
    <w:rsid w:val="00C90CA9"/>
    <w:rsid w:val="00C90CB4"/>
    <w:rsid w:val="00C90CCC"/>
    <w:rsid w:val="00C90D27"/>
    <w:rsid w:val="00C9102D"/>
    <w:rsid w:val="00C91065"/>
    <w:rsid w:val="00C9106D"/>
    <w:rsid w:val="00C911B5"/>
    <w:rsid w:val="00C91259"/>
    <w:rsid w:val="00C91287"/>
    <w:rsid w:val="00C912DA"/>
    <w:rsid w:val="00C913F1"/>
    <w:rsid w:val="00C9151C"/>
    <w:rsid w:val="00C91655"/>
    <w:rsid w:val="00C9165B"/>
    <w:rsid w:val="00C916A4"/>
    <w:rsid w:val="00C91789"/>
    <w:rsid w:val="00C9178D"/>
    <w:rsid w:val="00C91836"/>
    <w:rsid w:val="00C9184C"/>
    <w:rsid w:val="00C91858"/>
    <w:rsid w:val="00C919F3"/>
    <w:rsid w:val="00C91A80"/>
    <w:rsid w:val="00C91A8F"/>
    <w:rsid w:val="00C91B59"/>
    <w:rsid w:val="00C91E9E"/>
    <w:rsid w:val="00C91F07"/>
    <w:rsid w:val="00C91F8C"/>
    <w:rsid w:val="00C91FB0"/>
    <w:rsid w:val="00C92000"/>
    <w:rsid w:val="00C92007"/>
    <w:rsid w:val="00C92092"/>
    <w:rsid w:val="00C92143"/>
    <w:rsid w:val="00C9217B"/>
    <w:rsid w:val="00C92193"/>
    <w:rsid w:val="00C92217"/>
    <w:rsid w:val="00C9228E"/>
    <w:rsid w:val="00C9229E"/>
    <w:rsid w:val="00C924C3"/>
    <w:rsid w:val="00C924F8"/>
    <w:rsid w:val="00C92510"/>
    <w:rsid w:val="00C92580"/>
    <w:rsid w:val="00C925DF"/>
    <w:rsid w:val="00C926F4"/>
    <w:rsid w:val="00C92801"/>
    <w:rsid w:val="00C9281A"/>
    <w:rsid w:val="00C92883"/>
    <w:rsid w:val="00C929D2"/>
    <w:rsid w:val="00C92A2D"/>
    <w:rsid w:val="00C92AF9"/>
    <w:rsid w:val="00C92B42"/>
    <w:rsid w:val="00C92B7E"/>
    <w:rsid w:val="00C92B87"/>
    <w:rsid w:val="00C92C83"/>
    <w:rsid w:val="00C92DFD"/>
    <w:rsid w:val="00C92E30"/>
    <w:rsid w:val="00C92EBC"/>
    <w:rsid w:val="00C92ECA"/>
    <w:rsid w:val="00C92F89"/>
    <w:rsid w:val="00C9304A"/>
    <w:rsid w:val="00C9305F"/>
    <w:rsid w:val="00C930B9"/>
    <w:rsid w:val="00C930BF"/>
    <w:rsid w:val="00C930C1"/>
    <w:rsid w:val="00C93232"/>
    <w:rsid w:val="00C9327C"/>
    <w:rsid w:val="00C93299"/>
    <w:rsid w:val="00C932BE"/>
    <w:rsid w:val="00C932F3"/>
    <w:rsid w:val="00C93333"/>
    <w:rsid w:val="00C93341"/>
    <w:rsid w:val="00C93360"/>
    <w:rsid w:val="00C93399"/>
    <w:rsid w:val="00C93443"/>
    <w:rsid w:val="00C934BA"/>
    <w:rsid w:val="00C9356C"/>
    <w:rsid w:val="00C935B3"/>
    <w:rsid w:val="00C9360D"/>
    <w:rsid w:val="00C93787"/>
    <w:rsid w:val="00C9379A"/>
    <w:rsid w:val="00C9382B"/>
    <w:rsid w:val="00C93AB7"/>
    <w:rsid w:val="00C93ABB"/>
    <w:rsid w:val="00C93AEE"/>
    <w:rsid w:val="00C93B24"/>
    <w:rsid w:val="00C93BCC"/>
    <w:rsid w:val="00C93C2B"/>
    <w:rsid w:val="00C93C9C"/>
    <w:rsid w:val="00C93CC1"/>
    <w:rsid w:val="00C93CEC"/>
    <w:rsid w:val="00C93D47"/>
    <w:rsid w:val="00C93D51"/>
    <w:rsid w:val="00C93DAC"/>
    <w:rsid w:val="00C93E44"/>
    <w:rsid w:val="00C93EBB"/>
    <w:rsid w:val="00C93EEF"/>
    <w:rsid w:val="00C93F67"/>
    <w:rsid w:val="00C93FFB"/>
    <w:rsid w:val="00C940A5"/>
    <w:rsid w:val="00C940E3"/>
    <w:rsid w:val="00C9427C"/>
    <w:rsid w:val="00C94345"/>
    <w:rsid w:val="00C94387"/>
    <w:rsid w:val="00C94399"/>
    <w:rsid w:val="00C943CD"/>
    <w:rsid w:val="00C94784"/>
    <w:rsid w:val="00C94872"/>
    <w:rsid w:val="00C948A9"/>
    <w:rsid w:val="00C948FB"/>
    <w:rsid w:val="00C94956"/>
    <w:rsid w:val="00C94972"/>
    <w:rsid w:val="00C949E7"/>
    <w:rsid w:val="00C94A21"/>
    <w:rsid w:val="00C94A38"/>
    <w:rsid w:val="00C94CA6"/>
    <w:rsid w:val="00C94D74"/>
    <w:rsid w:val="00C94E1A"/>
    <w:rsid w:val="00C94E41"/>
    <w:rsid w:val="00C94F2A"/>
    <w:rsid w:val="00C94F32"/>
    <w:rsid w:val="00C94F49"/>
    <w:rsid w:val="00C94F6C"/>
    <w:rsid w:val="00C94F81"/>
    <w:rsid w:val="00C94FA2"/>
    <w:rsid w:val="00C95234"/>
    <w:rsid w:val="00C952A2"/>
    <w:rsid w:val="00C952D0"/>
    <w:rsid w:val="00C9539E"/>
    <w:rsid w:val="00C953E2"/>
    <w:rsid w:val="00C95441"/>
    <w:rsid w:val="00C9545A"/>
    <w:rsid w:val="00C954E0"/>
    <w:rsid w:val="00C9554E"/>
    <w:rsid w:val="00C955AB"/>
    <w:rsid w:val="00C95615"/>
    <w:rsid w:val="00C95728"/>
    <w:rsid w:val="00C9572F"/>
    <w:rsid w:val="00C95743"/>
    <w:rsid w:val="00C9581E"/>
    <w:rsid w:val="00C95847"/>
    <w:rsid w:val="00C9585D"/>
    <w:rsid w:val="00C958AD"/>
    <w:rsid w:val="00C95A16"/>
    <w:rsid w:val="00C95AF3"/>
    <w:rsid w:val="00C95C08"/>
    <w:rsid w:val="00C95CA4"/>
    <w:rsid w:val="00C95E75"/>
    <w:rsid w:val="00C95E99"/>
    <w:rsid w:val="00C95EBA"/>
    <w:rsid w:val="00C960AF"/>
    <w:rsid w:val="00C96118"/>
    <w:rsid w:val="00C9612A"/>
    <w:rsid w:val="00C96145"/>
    <w:rsid w:val="00C9623C"/>
    <w:rsid w:val="00C962B9"/>
    <w:rsid w:val="00C96330"/>
    <w:rsid w:val="00C96443"/>
    <w:rsid w:val="00C9644F"/>
    <w:rsid w:val="00C96462"/>
    <w:rsid w:val="00C96637"/>
    <w:rsid w:val="00C96745"/>
    <w:rsid w:val="00C96805"/>
    <w:rsid w:val="00C968BE"/>
    <w:rsid w:val="00C968E9"/>
    <w:rsid w:val="00C969E3"/>
    <w:rsid w:val="00C96A1B"/>
    <w:rsid w:val="00C96A39"/>
    <w:rsid w:val="00C96AF5"/>
    <w:rsid w:val="00C96B8B"/>
    <w:rsid w:val="00C96BA1"/>
    <w:rsid w:val="00C96BB6"/>
    <w:rsid w:val="00C96BD7"/>
    <w:rsid w:val="00C96C5D"/>
    <w:rsid w:val="00C96CDA"/>
    <w:rsid w:val="00C96D82"/>
    <w:rsid w:val="00C96DA9"/>
    <w:rsid w:val="00C96FE6"/>
    <w:rsid w:val="00C97121"/>
    <w:rsid w:val="00C9714E"/>
    <w:rsid w:val="00C971AB"/>
    <w:rsid w:val="00C971D7"/>
    <w:rsid w:val="00C973A5"/>
    <w:rsid w:val="00C973BA"/>
    <w:rsid w:val="00C97410"/>
    <w:rsid w:val="00C9745C"/>
    <w:rsid w:val="00C97525"/>
    <w:rsid w:val="00C975C3"/>
    <w:rsid w:val="00C976AB"/>
    <w:rsid w:val="00C9772D"/>
    <w:rsid w:val="00C9775D"/>
    <w:rsid w:val="00C9781F"/>
    <w:rsid w:val="00C978CB"/>
    <w:rsid w:val="00C9790F"/>
    <w:rsid w:val="00C979DA"/>
    <w:rsid w:val="00C97A07"/>
    <w:rsid w:val="00C97A83"/>
    <w:rsid w:val="00C97B84"/>
    <w:rsid w:val="00C97D34"/>
    <w:rsid w:val="00C97D98"/>
    <w:rsid w:val="00C97EFB"/>
    <w:rsid w:val="00C97F12"/>
    <w:rsid w:val="00CA001F"/>
    <w:rsid w:val="00CA020B"/>
    <w:rsid w:val="00CA0259"/>
    <w:rsid w:val="00CA034C"/>
    <w:rsid w:val="00CA0371"/>
    <w:rsid w:val="00CA0453"/>
    <w:rsid w:val="00CA04C3"/>
    <w:rsid w:val="00CA04E0"/>
    <w:rsid w:val="00CA0534"/>
    <w:rsid w:val="00CA0580"/>
    <w:rsid w:val="00CA05F9"/>
    <w:rsid w:val="00CA0637"/>
    <w:rsid w:val="00CA06D5"/>
    <w:rsid w:val="00CA06F4"/>
    <w:rsid w:val="00CA0739"/>
    <w:rsid w:val="00CA074E"/>
    <w:rsid w:val="00CA0893"/>
    <w:rsid w:val="00CA08C1"/>
    <w:rsid w:val="00CA09CB"/>
    <w:rsid w:val="00CA0A4E"/>
    <w:rsid w:val="00CA0AAB"/>
    <w:rsid w:val="00CA0B03"/>
    <w:rsid w:val="00CA0B1D"/>
    <w:rsid w:val="00CA0B3F"/>
    <w:rsid w:val="00CA0C45"/>
    <w:rsid w:val="00CA0CB9"/>
    <w:rsid w:val="00CA0E2F"/>
    <w:rsid w:val="00CA0E3C"/>
    <w:rsid w:val="00CA0E6B"/>
    <w:rsid w:val="00CA0E92"/>
    <w:rsid w:val="00CA0EFB"/>
    <w:rsid w:val="00CA1011"/>
    <w:rsid w:val="00CA1021"/>
    <w:rsid w:val="00CA1055"/>
    <w:rsid w:val="00CA1065"/>
    <w:rsid w:val="00CA12D1"/>
    <w:rsid w:val="00CA12FE"/>
    <w:rsid w:val="00CA1341"/>
    <w:rsid w:val="00CA1474"/>
    <w:rsid w:val="00CA14BB"/>
    <w:rsid w:val="00CA14C2"/>
    <w:rsid w:val="00CA14E6"/>
    <w:rsid w:val="00CA14E8"/>
    <w:rsid w:val="00CA1544"/>
    <w:rsid w:val="00CA1753"/>
    <w:rsid w:val="00CA175A"/>
    <w:rsid w:val="00CA176C"/>
    <w:rsid w:val="00CA1834"/>
    <w:rsid w:val="00CA187D"/>
    <w:rsid w:val="00CA1930"/>
    <w:rsid w:val="00CA1961"/>
    <w:rsid w:val="00CA1A4E"/>
    <w:rsid w:val="00CA1AAA"/>
    <w:rsid w:val="00CA1C3F"/>
    <w:rsid w:val="00CA1C76"/>
    <w:rsid w:val="00CA1CC8"/>
    <w:rsid w:val="00CA1D54"/>
    <w:rsid w:val="00CA1D95"/>
    <w:rsid w:val="00CA1E37"/>
    <w:rsid w:val="00CA1E94"/>
    <w:rsid w:val="00CA1EC9"/>
    <w:rsid w:val="00CA1F09"/>
    <w:rsid w:val="00CA1F32"/>
    <w:rsid w:val="00CA1FC5"/>
    <w:rsid w:val="00CA1FD7"/>
    <w:rsid w:val="00CA2058"/>
    <w:rsid w:val="00CA2086"/>
    <w:rsid w:val="00CA209E"/>
    <w:rsid w:val="00CA2148"/>
    <w:rsid w:val="00CA21C0"/>
    <w:rsid w:val="00CA2201"/>
    <w:rsid w:val="00CA2231"/>
    <w:rsid w:val="00CA2254"/>
    <w:rsid w:val="00CA22EB"/>
    <w:rsid w:val="00CA233E"/>
    <w:rsid w:val="00CA2466"/>
    <w:rsid w:val="00CA24DF"/>
    <w:rsid w:val="00CA2515"/>
    <w:rsid w:val="00CA2529"/>
    <w:rsid w:val="00CA256F"/>
    <w:rsid w:val="00CA25A7"/>
    <w:rsid w:val="00CA26D6"/>
    <w:rsid w:val="00CA2912"/>
    <w:rsid w:val="00CA2940"/>
    <w:rsid w:val="00CA2952"/>
    <w:rsid w:val="00CA2AA1"/>
    <w:rsid w:val="00CA2B04"/>
    <w:rsid w:val="00CA2B30"/>
    <w:rsid w:val="00CA2B4F"/>
    <w:rsid w:val="00CA2CCF"/>
    <w:rsid w:val="00CA2D84"/>
    <w:rsid w:val="00CA2DAE"/>
    <w:rsid w:val="00CA2DB3"/>
    <w:rsid w:val="00CA2DDC"/>
    <w:rsid w:val="00CA2E15"/>
    <w:rsid w:val="00CA2ED1"/>
    <w:rsid w:val="00CA306C"/>
    <w:rsid w:val="00CA3075"/>
    <w:rsid w:val="00CA30AA"/>
    <w:rsid w:val="00CA311A"/>
    <w:rsid w:val="00CA31C1"/>
    <w:rsid w:val="00CA3294"/>
    <w:rsid w:val="00CA3324"/>
    <w:rsid w:val="00CA3338"/>
    <w:rsid w:val="00CA33FD"/>
    <w:rsid w:val="00CA351F"/>
    <w:rsid w:val="00CA3528"/>
    <w:rsid w:val="00CA358E"/>
    <w:rsid w:val="00CA35D4"/>
    <w:rsid w:val="00CA35D7"/>
    <w:rsid w:val="00CA37C0"/>
    <w:rsid w:val="00CA3862"/>
    <w:rsid w:val="00CA38F2"/>
    <w:rsid w:val="00CA3908"/>
    <w:rsid w:val="00CA3AB2"/>
    <w:rsid w:val="00CA3B6A"/>
    <w:rsid w:val="00CA3B89"/>
    <w:rsid w:val="00CA3BC4"/>
    <w:rsid w:val="00CA3BE8"/>
    <w:rsid w:val="00CA3C50"/>
    <w:rsid w:val="00CA3CC8"/>
    <w:rsid w:val="00CA3D33"/>
    <w:rsid w:val="00CA3D46"/>
    <w:rsid w:val="00CA3D5D"/>
    <w:rsid w:val="00CA3D66"/>
    <w:rsid w:val="00CA3E1E"/>
    <w:rsid w:val="00CA3ED7"/>
    <w:rsid w:val="00CA3EE3"/>
    <w:rsid w:val="00CA3F09"/>
    <w:rsid w:val="00CA408C"/>
    <w:rsid w:val="00CA4101"/>
    <w:rsid w:val="00CA4189"/>
    <w:rsid w:val="00CA41A1"/>
    <w:rsid w:val="00CA439D"/>
    <w:rsid w:val="00CA4458"/>
    <w:rsid w:val="00CA445A"/>
    <w:rsid w:val="00CA460F"/>
    <w:rsid w:val="00CA468B"/>
    <w:rsid w:val="00CA4745"/>
    <w:rsid w:val="00CA476B"/>
    <w:rsid w:val="00CA476D"/>
    <w:rsid w:val="00CA4784"/>
    <w:rsid w:val="00CA4812"/>
    <w:rsid w:val="00CA48D5"/>
    <w:rsid w:val="00CA48FC"/>
    <w:rsid w:val="00CA4916"/>
    <w:rsid w:val="00CA4925"/>
    <w:rsid w:val="00CA4949"/>
    <w:rsid w:val="00CA498F"/>
    <w:rsid w:val="00CA49AC"/>
    <w:rsid w:val="00CA4A1B"/>
    <w:rsid w:val="00CA4B4B"/>
    <w:rsid w:val="00CA4B75"/>
    <w:rsid w:val="00CA4BC6"/>
    <w:rsid w:val="00CA4C04"/>
    <w:rsid w:val="00CA4C92"/>
    <w:rsid w:val="00CA4CD0"/>
    <w:rsid w:val="00CA4CD7"/>
    <w:rsid w:val="00CA4E42"/>
    <w:rsid w:val="00CA4E49"/>
    <w:rsid w:val="00CA4E8B"/>
    <w:rsid w:val="00CA4E9C"/>
    <w:rsid w:val="00CA4EC0"/>
    <w:rsid w:val="00CA4ED9"/>
    <w:rsid w:val="00CA4EEE"/>
    <w:rsid w:val="00CA4F06"/>
    <w:rsid w:val="00CA4F64"/>
    <w:rsid w:val="00CA4FF4"/>
    <w:rsid w:val="00CA506F"/>
    <w:rsid w:val="00CA510E"/>
    <w:rsid w:val="00CA51C2"/>
    <w:rsid w:val="00CA5279"/>
    <w:rsid w:val="00CA5291"/>
    <w:rsid w:val="00CA53A3"/>
    <w:rsid w:val="00CA53AB"/>
    <w:rsid w:val="00CA54DB"/>
    <w:rsid w:val="00CA5671"/>
    <w:rsid w:val="00CA56EA"/>
    <w:rsid w:val="00CA5812"/>
    <w:rsid w:val="00CA5855"/>
    <w:rsid w:val="00CA58B7"/>
    <w:rsid w:val="00CA59BC"/>
    <w:rsid w:val="00CA59D2"/>
    <w:rsid w:val="00CA5A5D"/>
    <w:rsid w:val="00CA5ACA"/>
    <w:rsid w:val="00CA5C77"/>
    <w:rsid w:val="00CA5C8E"/>
    <w:rsid w:val="00CA5D63"/>
    <w:rsid w:val="00CA5DB5"/>
    <w:rsid w:val="00CA5DE6"/>
    <w:rsid w:val="00CA5E5A"/>
    <w:rsid w:val="00CA5E83"/>
    <w:rsid w:val="00CA5EA5"/>
    <w:rsid w:val="00CA6103"/>
    <w:rsid w:val="00CA610F"/>
    <w:rsid w:val="00CA618B"/>
    <w:rsid w:val="00CA6196"/>
    <w:rsid w:val="00CA6198"/>
    <w:rsid w:val="00CA635A"/>
    <w:rsid w:val="00CA641D"/>
    <w:rsid w:val="00CA6426"/>
    <w:rsid w:val="00CA6450"/>
    <w:rsid w:val="00CA6497"/>
    <w:rsid w:val="00CA6604"/>
    <w:rsid w:val="00CA67A7"/>
    <w:rsid w:val="00CA680B"/>
    <w:rsid w:val="00CA68FC"/>
    <w:rsid w:val="00CA69EF"/>
    <w:rsid w:val="00CA6B85"/>
    <w:rsid w:val="00CA6D3F"/>
    <w:rsid w:val="00CA6DB3"/>
    <w:rsid w:val="00CA6E7A"/>
    <w:rsid w:val="00CA6EC5"/>
    <w:rsid w:val="00CA6F11"/>
    <w:rsid w:val="00CA6F35"/>
    <w:rsid w:val="00CA6F37"/>
    <w:rsid w:val="00CA6F3C"/>
    <w:rsid w:val="00CA6F57"/>
    <w:rsid w:val="00CA6F7D"/>
    <w:rsid w:val="00CA7139"/>
    <w:rsid w:val="00CA71CF"/>
    <w:rsid w:val="00CA7223"/>
    <w:rsid w:val="00CA7245"/>
    <w:rsid w:val="00CA728B"/>
    <w:rsid w:val="00CA7300"/>
    <w:rsid w:val="00CA7379"/>
    <w:rsid w:val="00CA738E"/>
    <w:rsid w:val="00CA7414"/>
    <w:rsid w:val="00CA741C"/>
    <w:rsid w:val="00CA746F"/>
    <w:rsid w:val="00CA7482"/>
    <w:rsid w:val="00CA7512"/>
    <w:rsid w:val="00CA7531"/>
    <w:rsid w:val="00CA756B"/>
    <w:rsid w:val="00CA75D0"/>
    <w:rsid w:val="00CA76E6"/>
    <w:rsid w:val="00CA76F8"/>
    <w:rsid w:val="00CA7700"/>
    <w:rsid w:val="00CA7701"/>
    <w:rsid w:val="00CA7711"/>
    <w:rsid w:val="00CA773F"/>
    <w:rsid w:val="00CA777F"/>
    <w:rsid w:val="00CA779E"/>
    <w:rsid w:val="00CA77FE"/>
    <w:rsid w:val="00CA7872"/>
    <w:rsid w:val="00CA7923"/>
    <w:rsid w:val="00CA796A"/>
    <w:rsid w:val="00CA79D3"/>
    <w:rsid w:val="00CA7A07"/>
    <w:rsid w:val="00CA7AC2"/>
    <w:rsid w:val="00CA7B30"/>
    <w:rsid w:val="00CA7BA9"/>
    <w:rsid w:val="00CA7BE1"/>
    <w:rsid w:val="00CA7C1D"/>
    <w:rsid w:val="00CA7CB6"/>
    <w:rsid w:val="00CA7D5F"/>
    <w:rsid w:val="00CA7D69"/>
    <w:rsid w:val="00CA7D7F"/>
    <w:rsid w:val="00CA7DDC"/>
    <w:rsid w:val="00CA7E9B"/>
    <w:rsid w:val="00CA7EC7"/>
    <w:rsid w:val="00CA7F11"/>
    <w:rsid w:val="00CA7FD4"/>
    <w:rsid w:val="00CB0011"/>
    <w:rsid w:val="00CB00B2"/>
    <w:rsid w:val="00CB011B"/>
    <w:rsid w:val="00CB0143"/>
    <w:rsid w:val="00CB015E"/>
    <w:rsid w:val="00CB0239"/>
    <w:rsid w:val="00CB0401"/>
    <w:rsid w:val="00CB0429"/>
    <w:rsid w:val="00CB042E"/>
    <w:rsid w:val="00CB0467"/>
    <w:rsid w:val="00CB049E"/>
    <w:rsid w:val="00CB04C8"/>
    <w:rsid w:val="00CB04D9"/>
    <w:rsid w:val="00CB0683"/>
    <w:rsid w:val="00CB0759"/>
    <w:rsid w:val="00CB0791"/>
    <w:rsid w:val="00CB085D"/>
    <w:rsid w:val="00CB08CE"/>
    <w:rsid w:val="00CB093B"/>
    <w:rsid w:val="00CB09EE"/>
    <w:rsid w:val="00CB0B0C"/>
    <w:rsid w:val="00CB0B33"/>
    <w:rsid w:val="00CB0B39"/>
    <w:rsid w:val="00CB0BFE"/>
    <w:rsid w:val="00CB0C38"/>
    <w:rsid w:val="00CB0C59"/>
    <w:rsid w:val="00CB0F02"/>
    <w:rsid w:val="00CB0F95"/>
    <w:rsid w:val="00CB0FA2"/>
    <w:rsid w:val="00CB0FC7"/>
    <w:rsid w:val="00CB0FF1"/>
    <w:rsid w:val="00CB0FF8"/>
    <w:rsid w:val="00CB10FC"/>
    <w:rsid w:val="00CB1202"/>
    <w:rsid w:val="00CB1294"/>
    <w:rsid w:val="00CB12AB"/>
    <w:rsid w:val="00CB12BA"/>
    <w:rsid w:val="00CB1334"/>
    <w:rsid w:val="00CB13F8"/>
    <w:rsid w:val="00CB1629"/>
    <w:rsid w:val="00CB174C"/>
    <w:rsid w:val="00CB1790"/>
    <w:rsid w:val="00CB18D8"/>
    <w:rsid w:val="00CB18F6"/>
    <w:rsid w:val="00CB1A21"/>
    <w:rsid w:val="00CB1A32"/>
    <w:rsid w:val="00CB1B18"/>
    <w:rsid w:val="00CB1B30"/>
    <w:rsid w:val="00CB1B46"/>
    <w:rsid w:val="00CB1C06"/>
    <w:rsid w:val="00CB1D90"/>
    <w:rsid w:val="00CB1DF6"/>
    <w:rsid w:val="00CB1EC9"/>
    <w:rsid w:val="00CB1F26"/>
    <w:rsid w:val="00CB1F44"/>
    <w:rsid w:val="00CB2046"/>
    <w:rsid w:val="00CB2058"/>
    <w:rsid w:val="00CB214F"/>
    <w:rsid w:val="00CB21C3"/>
    <w:rsid w:val="00CB2291"/>
    <w:rsid w:val="00CB2324"/>
    <w:rsid w:val="00CB23C9"/>
    <w:rsid w:val="00CB2401"/>
    <w:rsid w:val="00CB24B1"/>
    <w:rsid w:val="00CB24B6"/>
    <w:rsid w:val="00CB24C0"/>
    <w:rsid w:val="00CB24D1"/>
    <w:rsid w:val="00CB2559"/>
    <w:rsid w:val="00CB2562"/>
    <w:rsid w:val="00CB266E"/>
    <w:rsid w:val="00CB2736"/>
    <w:rsid w:val="00CB27CB"/>
    <w:rsid w:val="00CB28DA"/>
    <w:rsid w:val="00CB291A"/>
    <w:rsid w:val="00CB294D"/>
    <w:rsid w:val="00CB2997"/>
    <w:rsid w:val="00CB29F8"/>
    <w:rsid w:val="00CB2A52"/>
    <w:rsid w:val="00CB2B1D"/>
    <w:rsid w:val="00CB2B29"/>
    <w:rsid w:val="00CB2B4A"/>
    <w:rsid w:val="00CB2C24"/>
    <w:rsid w:val="00CB2D38"/>
    <w:rsid w:val="00CB2E1C"/>
    <w:rsid w:val="00CB2EC1"/>
    <w:rsid w:val="00CB2F19"/>
    <w:rsid w:val="00CB2F4B"/>
    <w:rsid w:val="00CB2FA8"/>
    <w:rsid w:val="00CB2FE6"/>
    <w:rsid w:val="00CB308B"/>
    <w:rsid w:val="00CB315C"/>
    <w:rsid w:val="00CB32F3"/>
    <w:rsid w:val="00CB334B"/>
    <w:rsid w:val="00CB334C"/>
    <w:rsid w:val="00CB337A"/>
    <w:rsid w:val="00CB33D9"/>
    <w:rsid w:val="00CB341A"/>
    <w:rsid w:val="00CB349F"/>
    <w:rsid w:val="00CB34D1"/>
    <w:rsid w:val="00CB34E9"/>
    <w:rsid w:val="00CB364E"/>
    <w:rsid w:val="00CB366F"/>
    <w:rsid w:val="00CB369C"/>
    <w:rsid w:val="00CB36E0"/>
    <w:rsid w:val="00CB37F4"/>
    <w:rsid w:val="00CB382B"/>
    <w:rsid w:val="00CB38E2"/>
    <w:rsid w:val="00CB38E6"/>
    <w:rsid w:val="00CB38F0"/>
    <w:rsid w:val="00CB3A0B"/>
    <w:rsid w:val="00CB3A0E"/>
    <w:rsid w:val="00CB3C6E"/>
    <w:rsid w:val="00CB3D58"/>
    <w:rsid w:val="00CB3D90"/>
    <w:rsid w:val="00CB3DC1"/>
    <w:rsid w:val="00CB3DCB"/>
    <w:rsid w:val="00CB3E81"/>
    <w:rsid w:val="00CB3EF5"/>
    <w:rsid w:val="00CB3FB7"/>
    <w:rsid w:val="00CB40B3"/>
    <w:rsid w:val="00CB419B"/>
    <w:rsid w:val="00CB41A1"/>
    <w:rsid w:val="00CB41D7"/>
    <w:rsid w:val="00CB4312"/>
    <w:rsid w:val="00CB444B"/>
    <w:rsid w:val="00CB4454"/>
    <w:rsid w:val="00CB45A1"/>
    <w:rsid w:val="00CB462D"/>
    <w:rsid w:val="00CB46B9"/>
    <w:rsid w:val="00CB46DB"/>
    <w:rsid w:val="00CB4721"/>
    <w:rsid w:val="00CB4750"/>
    <w:rsid w:val="00CB47E4"/>
    <w:rsid w:val="00CB485F"/>
    <w:rsid w:val="00CB4866"/>
    <w:rsid w:val="00CB48B5"/>
    <w:rsid w:val="00CB48F6"/>
    <w:rsid w:val="00CB4963"/>
    <w:rsid w:val="00CB496D"/>
    <w:rsid w:val="00CB4AF3"/>
    <w:rsid w:val="00CB4C66"/>
    <w:rsid w:val="00CB4C9F"/>
    <w:rsid w:val="00CB4D1D"/>
    <w:rsid w:val="00CB4D36"/>
    <w:rsid w:val="00CB4D44"/>
    <w:rsid w:val="00CB4D4D"/>
    <w:rsid w:val="00CB4D6E"/>
    <w:rsid w:val="00CB4DE4"/>
    <w:rsid w:val="00CB4E30"/>
    <w:rsid w:val="00CB4E7C"/>
    <w:rsid w:val="00CB4F71"/>
    <w:rsid w:val="00CB4FCA"/>
    <w:rsid w:val="00CB5030"/>
    <w:rsid w:val="00CB5060"/>
    <w:rsid w:val="00CB5216"/>
    <w:rsid w:val="00CB5419"/>
    <w:rsid w:val="00CB542A"/>
    <w:rsid w:val="00CB5436"/>
    <w:rsid w:val="00CB54B1"/>
    <w:rsid w:val="00CB56AB"/>
    <w:rsid w:val="00CB56DE"/>
    <w:rsid w:val="00CB5771"/>
    <w:rsid w:val="00CB5775"/>
    <w:rsid w:val="00CB577D"/>
    <w:rsid w:val="00CB5859"/>
    <w:rsid w:val="00CB5905"/>
    <w:rsid w:val="00CB5A8B"/>
    <w:rsid w:val="00CB5A9C"/>
    <w:rsid w:val="00CB5AA0"/>
    <w:rsid w:val="00CB5BC3"/>
    <w:rsid w:val="00CB5C94"/>
    <w:rsid w:val="00CB5DBF"/>
    <w:rsid w:val="00CB5DC5"/>
    <w:rsid w:val="00CB5F0D"/>
    <w:rsid w:val="00CB5F32"/>
    <w:rsid w:val="00CB6097"/>
    <w:rsid w:val="00CB6196"/>
    <w:rsid w:val="00CB6224"/>
    <w:rsid w:val="00CB6252"/>
    <w:rsid w:val="00CB6267"/>
    <w:rsid w:val="00CB6268"/>
    <w:rsid w:val="00CB6289"/>
    <w:rsid w:val="00CB6305"/>
    <w:rsid w:val="00CB6322"/>
    <w:rsid w:val="00CB6341"/>
    <w:rsid w:val="00CB6362"/>
    <w:rsid w:val="00CB64B3"/>
    <w:rsid w:val="00CB6525"/>
    <w:rsid w:val="00CB663A"/>
    <w:rsid w:val="00CB6662"/>
    <w:rsid w:val="00CB66CC"/>
    <w:rsid w:val="00CB674D"/>
    <w:rsid w:val="00CB67FC"/>
    <w:rsid w:val="00CB6969"/>
    <w:rsid w:val="00CB69A4"/>
    <w:rsid w:val="00CB6A59"/>
    <w:rsid w:val="00CB6ACB"/>
    <w:rsid w:val="00CB6C6B"/>
    <w:rsid w:val="00CB6CF1"/>
    <w:rsid w:val="00CB6D4B"/>
    <w:rsid w:val="00CB6DA9"/>
    <w:rsid w:val="00CB6E32"/>
    <w:rsid w:val="00CB6EE2"/>
    <w:rsid w:val="00CB6F47"/>
    <w:rsid w:val="00CB7034"/>
    <w:rsid w:val="00CB70CA"/>
    <w:rsid w:val="00CB7192"/>
    <w:rsid w:val="00CB71A7"/>
    <w:rsid w:val="00CB72A0"/>
    <w:rsid w:val="00CB72BF"/>
    <w:rsid w:val="00CB72FE"/>
    <w:rsid w:val="00CB7307"/>
    <w:rsid w:val="00CB735B"/>
    <w:rsid w:val="00CB7364"/>
    <w:rsid w:val="00CB7367"/>
    <w:rsid w:val="00CB73ED"/>
    <w:rsid w:val="00CB7406"/>
    <w:rsid w:val="00CB7462"/>
    <w:rsid w:val="00CB74A8"/>
    <w:rsid w:val="00CB7517"/>
    <w:rsid w:val="00CB7532"/>
    <w:rsid w:val="00CB756C"/>
    <w:rsid w:val="00CB7582"/>
    <w:rsid w:val="00CB767C"/>
    <w:rsid w:val="00CB76A8"/>
    <w:rsid w:val="00CB7774"/>
    <w:rsid w:val="00CB7787"/>
    <w:rsid w:val="00CB77BE"/>
    <w:rsid w:val="00CB77C3"/>
    <w:rsid w:val="00CB77EF"/>
    <w:rsid w:val="00CB7802"/>
    <w:rsid w:val="00CB7810"/>
    <w:rsid w:val="00CB7895"/>
    <w:rsid w:val="00CB7896"/>
    <w:rsid w:val="00CB79C6"/>
    <w:rsid w:val="00CB7B06"/>
    <w:rsid w:val="00CB7BBA"/>
    <w:rsid w:val="00CB7BD5"/>
    <w:rsid w:val="00CB7C75"/>
    <w:rsid w:val="00CB7CFE"/>
    <w:rsid w:val="00CB7D03"/>
    <w:rsid w:val="00CB7D6C"/>
    <w:rsid w:val="00CB7EDB"/>
    <w:rsid w:val="00CB7EE7"/>
    <w:rsid w:val="00CB7EF8"/>
    <w:rsid w:val="00CB7F40"/>
    <w:rsid w:val="00CC005B"/>
    <w:rsid w:val="00CC00BF"/>
    <w:rsid w:val="00CC0168"/>
    <w:rsid w:val="00CC0191"/>
    <w:rsid w:val="00CC0237"/>
    <w:rsid w:val="00CC0289"/>
    <w:rsid w:val="00CC0299"/>
    <w:rsid w:val="00CC0326"/>
    <w:rsid w:val="00CC0335"/>
    <w:rsid w:val="00CC0367"/>
    <w:rsid w:val="00CC042D"/>
    <w:rsid w:val="00CC04EE"/>
    <w:rsid w:val="00CC055C"/>
    <w:rsid w:val="00CC06CB"/>
    <w:rsid w:val="00CC06CD"/>
    <w:rsid w:val="00CC06CE"/>
    <w:rsid w:val="00CC06D1"/>
    <w:rsid w:val="00CC07D3"/>
    <w:rsid w:val="00CC0804"/>
    <w:rsid w:val="00CC080C"/>
    <w:rsid w:val="00CC082D"/>
    <w:rsid w:val="00CC08D8"/>
    <w:rsid w:val="00CC0939"/>
    <w:rsid w:val="00CC097D"/>
    <w:rsid w:val="00CC09A3"/>
    <w:rsid w:val="00CC0A48"/>
    <w:rsid w:val="00CC0AEA"/>
    <w:rsid w:val="00CC0C1A"/>
    <w:rsid w:val="00CC0CBF"/>
    <w:rsid w:val="00CC0D18"/>
    <w:rsid w:val="00CC0E40"/>
    <w:rsid w:val="00CC0FB1"/>
    <w:rsid w:val="00CC0FC1"/>
    <w:rsid w:val="00CC0FC5"/>
    <w:rsid w:val="00CC1043"/>
    <w:rsid w:val="00CC1078"/>
    <w:rsid w:val="00CC1133"/>
    <w:rsid w:val="00CC119A"/>
    <w:rsid w:val="00CC1349"/>
    <w:rsid w:val="00CC135D"/>
    <w:rsid w:val="00CC1385"/>
    <w:rsid w:val="00CC13AA"/>
    <w:rsid w:val="00CC13BA"/>
    <w:rsid w:val="00CC13F9"/>
    <w:rsid w:val="00CC1451"/>
    <w:rsid w:val="00CC1471"/>
    <w:rsid w:val="00CC1501"/>
    <w:rsid w:val="00CC1551"/>
    <w:rsid w:val="00CC15D0"/>
    <w:rsid w:val="00CC1619"/>
    <w:rsid w:val="00CC168E"/>
    <w:rsid w:val="00CC1710"/>
    <w:rsid w:val="00CC1841"/>
    <w:rsid w:val="00CC1883"/>
    <w:rsid w:val="00CC18DB"/>
    <w:rsid w:val="00CC1968"/>
    <w:rsid w:val="00CC1A48"/>
    <w:rsid w:val="00CC1B54"/>
    <w:rsid w:val="00CC1BFE"/>
    <w:rsid w:val="00CC1CAE"/>
    <w:rsid w:val="00CC1D05"/>
    <w:rsid w:val="00CC1D10"/>
    <w:rsid w:val="00CC1D2A"/>
    <w:rsid w:val="00CC1DC9"/>
    <w:rsid w:val="00CC1DD1"/>
    <w:rsid w:val="00CC1E1F"/>
    <w:rsid w:val="00CC1E3A"/>
    <w:rsid w:val="00CC1E8E"/>
    <w:rsid w:val="00CC1ECE"/>
    <w:rsid w:val="00CC1ED3"/>
    <w:rsid w:val="00CC1FEB"/>
    <w:rsid w:val="00CC20D9"/>
    <w:rsid w:val="00CC2126"/>
    <w:rsid w:val="00CC2157"/>
    <w:rsid w:val="00CC215C"/>
    <w:rsid w:val="00CC2164"/>
    <w:rsid w:val="00CC21A3"/>
    <w:rsid w:val="00CC21D3"/>
    <w:rsid w:val="00CC23A2"/>
    <w:rsid w:val="00CC244D"/>
    <w:rsid w:val="00CC24AD"/>
    <w:rsid w:val="00CC25E2"/>
    <w:rsid w:val="00CC25F7"/>
    <w:rsid w:val="00CC25F9"/>
    <w:rsid w:val="00CC265D"/>
    <w:rsid w:val="00CC2695"/>
    <w:rsid w:val="00CC26ED"/>
    <w:rsid w:val="00CC27F1"/>
    <w:rsid w:val="00CC284D"/>
    <w:rsid w:val="00CC29E3"/>
    <w:rsid w:val="00CC2A05"/>
    <w:rsid w:val="00CC2A41"/>
    <w:rsid w:val="00CC2AB0"/>
    <w:rsid w:val="00CC2AC5"/>
    <w:rsid w:val="00CC2ACE"/>
    <w:rsid w:val="00CC2B45"/>
    <w:rsid w:val="00CC2B65"/>
    <w:rsid w:val="00CC2BD9"/>
    <w:rsid w:val="00CC2C28"/>
    <w:rsid w:val="00CC2C5E"/>
    <w:rsid w:val="00CC2D08"/>
    <w:rsid w:val="00CC2D87"/>
    <w:rsid w:val="00CC2D9E"/>
    <w:rsid w:val="00CC2DD5"/>
    <w:rsid w:val="00CC2E27"/>
    <w:rsid w:val="00CC2EC8"/>
    <w:rsid w:val="00CC2EE4"/>
    <w:rsid w:val="00CC2EF0"/>
    <w:rsid w:val="00CC2F22"/>
    <w:rsid w:val="00CC2F56"/>
    <w:rsid w:val="00CC3074"/>
    <w:rsid w:val="00CC308F"/>
    <w:rsid w:val="00CC30C8"/>
    <w:rsid w:val="00CC32E8"/>
    <w:rsid w:val="00CC32EF"/>
    <w:rsid w:val="00CC331B"/>
    <w:rsid w:val="00CC351B"/>
    <w:rsid w:val="00CC352A"/>
    <w:rsid w:val="00CC3554"/>
    <w:rsid w:val="00CC3579"/>
    <w:rsid w:val="00CC35E2"/>
    <w:rsid w:val="00CC3691"/>
    <w:rsid w:val="00CC36C7"/>
    <w:rsid w:val="00CC3733"/>
    <w:rsid w:val="00CC373A"/>
    <w:rsid w:val="00CC375E"/>
    <w:rsid w:val="00CC37A8"/>
    <w:rsid w:val="00CC3889"/>
    <w:rsid w:val="00CC3901"/>
    <w:rsid w:val="00CC3947"/>
    <w:rsid w:val="00CC39BD"/>
    <w:rsid w:val="00CC3A1C"/>
    <w:rsid w:val="00CC3A6E"/>
    <w:rsid w:val="00CC3A91"/>
    <w:rsid w:val="00CC3ABC"/>
    <w:rsid w:val="00CC3B31"/>
    <w:rsid w:val="00CC3BAE"/>
    <w:rsid w:val="00CC3BD5"/>
    <w:rsid w:val="00CC3C6F"/>
    <w:rsid w:val="00CC3DE4"/>
    <w:rsid w:val="00CC3E1E"/>
    <w:rsid w:val="00CC3E2A"/>
    <w:rsid w:val="00CC3EFA"/>
    <w:rsid w:val="00CC3F16"/>
    <w:rsid w:val="00CC3F92"/>
    <w:rsid w:val="00CC40C1"/>
    <w:rsid w:val="00CC4155"/>
    <w:rsid w:val="00CC41B2"/>
    <w:rsid w:val="00CC41F5"/>
    <w:rsid w:val="00CC4284"/>
    <w:rsid w:val="00CC42EC"/>
    <w:rsid w:val="00CC4316"/>
    <w:rsid w:val="00CC432B"/>
    <w:rsid w:val="00CC4453"/>
    <w:rsid w:val="00CC448C"/>
    <w:rsid w:val="00CC459B"/>
    <w:rsid w:val="00CC4677"/>
    <w:rsid w:val="00CC46F0"/>
    <w:rsid w:val="00CC4777"/>
    <w:rsid w:val="00CC47DC"/>
    <w:rsid w:val="00CC47E4"/>
    <w:rsid w:val="00CC481E"/>
    <w:rsid w:val="00CC482C"/>
    <w:rsid w:val="00CC4851"/>
    <w:rsid w:val="00CC48DB"/>
    <w:rsid w:val="00CC4911"/>
    <w:rsid w:val="00CC491D"/>
    <w:rsid w:val="00CC495E"/>
    <w:rsid w:val="00CC4A51"/>
    <w:rsid w:val="00CC4AEF"/>
    <w:rsid w:val="00CC4B07"/>
    <w:rsid w:val="00CC4B71"/>
    <w:rsid w:val="00CC4C44"/>
    <w:rsid w:val="00CC4C7F"/>
    <w:rsid w:val="00CC4D84"/>
    <w:rsid w:val="00CC4DD8"/>
    <w:rsid w:val="00CC4DF4"/>
    <w:rsid w:val="00CC4E1D"/>
    <w:rsid w:val="00CC4E39"/>
    <w:rsid w:val="00CC4E76"/>
    <w:rsid w:val="00CC4FB5"/>
    <w:rsid w:val="00CC5071"/>
    <w:rsid w:val="00CC50A6"/>
    <w:rsid w:val="00CC50BF"/>
    <w:rsid w:val="00CC5146"/>
    <w:rsid w:val="00CC521B"/>
    <w:rsid w:val="00CC5228"/>
    <w:rsid w:val="00CC5230"/>
    <w:rsid w:val="00CC529E"/>
    <w:rsid w:val="00CC5445"/>
    <w:rsid w:val="00CC544B"/>
    <w:rsid w:val="00CC5503"/>
    <w:rsid w:val="00CC5554"/>
    <w:rsid w:val="00CC55E3"/>
    <w:rsid w:val="00CC562B"/>
    <w:rsid w:val="00CC5655"/>
    <w:rsid w:val="00CC5700"/>
    <w:rsid w:val="00CC5768"/>
    <w:rsid w:val="00CC581D"/>
    <w:rsid w:val="00CC5856"/>
    <w:rsid w:val="00CC58A0"/>
    <w:rsid w:val="00CC5915"/>
    <w:rsid w:val="00CC5927"/>
    <w:rsid w:val="00CC594F"/>
    <w:rsid w:val="00CC5952"/>
    <w:rsid w:val="00CC59B0"/>
    <w:rsid w:val="00CC5A1D"/>
    <w:rsid w:val="00CC5A3B"/>
    <w:rsid w:val="00CC5A93"/>
    <w:rsid w:val="00CC5AF4"/>
    <w:rsid w:val="00CC5E15"/>
    <w:rsid w:val="00CC5E88"/>
    <w:rsid w:val="00CC5F5B"/>
    <w:rsid w:val="00CC5F85"/>
    <w:rsid w:val="00CC5FA9"/>
    <w:rsid w:val="00CC5FFD"/>
    <w:rsid w:val="00CC6081"/>
    <w:rsid w:val="00CC6260"/>
    <w:rsid w:val="00CC62A6"/>
    <w:rsid w:val="00CC64B2"/>
    <w:rsid w:val="00CC64B9"/>
    <w:rsid w:val="00CC655B"/>
    <w:rsid w:val="00CC663A"/>
    <w:rsid w:val="00CC669E"/>
    <w:rsid w:val="00CC675B"/>
    <w:rsid w:val="00CC67E5"/>
    <w:rsid w:val="00CC69E7"/>
    <w:rsid w:val="00CC6A50"/>
    <w:rsid w:val="00CC6AF9"/>
    <w:rsid w:val="00CC6B12"/>
    <w:rsid w:val="00CC6B85"/>
    <w:rsid w:val="00CC6C62"/>
    <w:rsid w:val="00CC6D83"/>
    <w:rsid w:val="00CC6DB9"/>
    <w:rsid w:val="00CC6E07"/>
    <w:rsid w:val="00CC6E74"/>
    <w:rsid w:val="00CC6F91"/>
    <w:rsid w:val="00CC704A"/>
    <w:rsid w:val="00CC714F"/>
    <w:rsid w:val="00CC71F4"/>
    <w:rsid w:val="00CC720C"/>
    <w:rsid w:val="00CC7240"/>
    <w:rsid w:val="00CC72BC"/>
    <w:rsid w:val="00CC7316"/>
    <w:rsid w:val="00CC7321"/>
    <w:rsid w:val="00CC7364"/>
    <w:rsid w:val="00CC7393"/>
    <w:rsid w:val="00CC73AC"/>
    <w:rsid w:val="00CC74FC"/>
    <w:rsid w:val="00CC74FD"/>
    <w:rsid w:val="00CC75E3"/>
    <w:rsid w:val="00CC76FA"/>
    <w:rsid w:val="00CC775C"/>
    <w:rsid w:val="00CC7784"/>
    <w:rsid w:val="00CC77A3"/>
    <w:rsid w:val="00CC7A0C"/>
    <w:rsid w:val="00CC7A84"/>
    <w:rsid w:val="00CC7B0F"/>
    <w:rsid w:val="00CC7C1B"/>
    <w:rsid w:val="00CC7D48"/>
    <w:rsid w:val="00CC7DD0"/>
    <w:rsid w:val="00CC7E40"/>
    <w:rsid w:val="00CC7F4D"/>
    <w:rsid w:val="00CC7FD6"/>
    <w:rsid w:val="00CD0020"/>
    <w:rsid w:val="00CD0053"/>
    <w:rsid w:val="00CD00AB"/>
    <w:rsid w:val="00CD0166"/>
    <w:rsid w:val="00CD016A"/>
    <w:rsid w:val="00CD040B"/>
    <w:rsid w:val="00CD042B"/>
    <w:rsid w:val="00CD047A"/>
    <w:rsid w:val="00CD0545"/>
    <w:rsid w:val="00CD05D8"/>
    <w:rsid w:val="00CD06DC"/>
    <w:rsid w:val="00CD073E"/>
    <w:rsid w:val="00CD07CE"/>
    <w:rsid w:val="00CD0821"/>
    <w:rsid w:val="00CD0898"/>
    <w:rsid w:val="00CD0923"/>
    <w:rsid w:val="00CD093E"/>
    <w:rsid w:val="00CD095F"/>
    <w:rsid w:val="00CD09B4"/>
    <w:rsid w:val="00CD09D5"/>
    <w:rsid w:val="00CD0A30"/>
    <w:rsid w:val="00CD0B19"/>
    <w:rsid w:val="00CD0B67"/>
    <w:rsid w:val="00CD0C6D"/>
    <w:rsid w:val="00CD0CB4"/>
    <w:rsid w:val="00CD0ECA"/>
    <w:rsid w:val="00CD0F4D"/>
    <w:rsid w:val="00CD0F6F"/>
    <w:rsid w:val="00CD1079"/>
    <w:rsid w:val="00CD1096"/>
    <w:rsid w:val="00CD1144"/>
    <w:rsid w:val="00CD11A8"/>
    <w:rsid w:val="00CD11C0"/>
    <w:rsid w:val="00CD11DA"/>
    <w:rsid w:val="00CD1217"/>
    <w:rsid w:val="00CD127B"/>
    <w:rsid w:val="00CD133A"/>
    <w:rsid w:val="00CD13A1"/>
    <w:rsid w:val="00CD1405"/>
    <w:rsid w:val="00CD1507"/>
    <w:rsid w:val="00CD1559"/>
    <w:rsid w:val="00CD1705"/>
    <w:rsid w:val="00CD1730"/>
    <w:rsid w:val="00CD1738"/>
    <w:rsid w:val="00CD1783"/>
    <w:rsid w:val="00CD17D1"/>
    <w:rsid w:val="00CD188C"/>
    <w:rsid w:val="00CD18F9"/>
    <w:rsid w:val="00CD196C"/>
    <w:rsid w:val="00CD19B3"/>
    <w:rsid w:val="00CD19B7"/>
    <w:rsid w:val="00CD19DE"/>
    <w:rsid w:val="00CD1A02"/>
    <w:rsid w:val="00CD1A18"/>
    <w:rsid w:val="00CD1ACD"/>
    <w:rsid w:val="00CD1B26"/>
    <w:rsid w:val="00CD1B4D"/>
    <w:rsid w:val="00CD1B5D"/>
    <w:rsid w:val="00CD1B62"/>
    <w:rsid w:val="00CD1CBB"/>
    <w:rsid w:val="00CD1CF8"/>
    <w:rsid w:val="00CD1D4D"/>
    <w:rsid w:val="00CD1D59"/>
    <w:rsid w:val="00CD1D92"/>
    <w:rsid w:val="00CD1D9B"/>
    <w:rsid w:val="00CD1E0E"/>
    <w:rsid w:val="00CD1E26"/>
    <w:rsid w:val="00CD1F7C"/>
    <w:rsid w:val="00CD1FF9"/>
    <w:rsid w:val="00CD2018"/>
    <w:rsid w:val="00CD202D"/>
    <w:rsid w:val="00CD202F"/>
    <w:rsid w:val="00CD2066"/>
    <w:rsid w:val="00CD206D"/>
    <w:rsid w:val="00CD20DF"/>
    <w:rsid w:val="00CD20E0"/>
    <w:rsid w:val="00CD21BD"/>
    <w:rsid w:val="00CD226F"/>
    <w:rsid w:val="00CD2281"/>
    <w:rsid w:val="00CD229A"/>
    <w:rsid w:val="00CD25AE"/>
    <w:rsid w:val="00CD25B0"/>
    <w:rsid w:val="00CD25BA"/>
    <w:rsid w:val="00CD280C"/>
    <w:rsid w:val="00CD2834"/>
    <w:rsid w:val="00CD291D"/>
    <w:rsid w:val="00CD29D8"/>
    <w:rsid w:val="00CD2BE5"/>
    <w:rsid w:val="00CD2CD3"/>
    <w:rsid w:val="00CD2E35"/>
    <w:rsid w:val="00CD3027"/>
    <w:rsid w:val="00CD3033"/>
    <w:rsid w:val="00CD30BA"/>
    <w:rsid w:val="00CD31D3"/>
    <w:rsid w:val="00CD31FE"/>
    <w:rsid w:val="00CD3394"/>
    <w:rsid w:val="00CD33AD"/>
    <w:rsid w:val="00CD34B9"/>
    <w:rsid w:val="00CD34C7"/>
    <w:rsid w:val="00CD3625"/>
    <w:rsid w:val="00CD3636"/>
    <w:rsid w:val="00CD3674"/>
    <w:rsid w:val="00CD36CD"/>
    <w:rsid w:val="00CD3750"/>
    <w:rsid w:val="00CD3760"/>
    <w:rsid w:val="00CD37B7"/>
    <w:rsid w:val="00CD3954"/>
    <w:rsid w:val="00CD3994"/>
    <w:rsid w:val="00CD39BF"/>
    <w:rsid w:val="00CD39CD"/>
    <w:rsid w:val="00CD39D4"/>
    <w:rsid w:val="00CD3AD2"/>
    <w:rsid w:val="00CD3B0A"/>
    <w:rsid w:val="00CD3B73"/>
    <w:rsid w:val="00CD3D2F"/>
    <w:rsid w:val="00CD3D47"/>
    <w:rsid w:val="00CD3E19"/>
    <w:rsid w:val="00CD3F53"/>
    <w:rsid w:val="00CD4056"/>
    <w:rsid w:val="00CD413D"/>
    <w:rsid w:val="00CD417E"/>
    <w:rsid w:val="00CD421C"/>
    <w:rsid w:val="00CD4290"/>
    <w:rsid w:val="00CD42FA"/>
    <w:rsid w:val="00CD433C"/>
    <w:rsid w:val="00CD4395"/>
    <w:rsid w:val="00CD43D5"/>
    <w:rsid w:val="00CD4498"/>
    <w:rsid w:val="00CD45A2"/>
    <w:rsid w:val="00CD4621"/>
    <w:rsid w:val="00CD463C"/>
    <w:rsid w:val="00CD4702"/>
    <w:rsid w:val="00CD470E"/>
    <w:rsid w:val="00CD4758"/>
    <w:rsid w:val="00CD4770"/>
    <w:rsid w:val="00CD489B"/>
    <w:rsid w:val="00CD4B02"/>
    <w:rsid w:val="00CD4B23"/>
    <w:rsid w:val="00CD4C31"/>
    <w:rsid w:val="00CD4C71"/>
    <w:rsid w:val="00CD4CC5"/>
    <w:rsid w:val="00CD4D1B"/>
    <w:rsid w:val="00CD4D70"/>
    <w:rsid w:val="00CD4D78"/>
    <w:rsid w:val="00CD4DED"/>
    <w:rsid w:val="00CD4E26"/>
    <w:rsid w:val="00CD4E70"/>
    <w:rsid w:val="00CD4F25"/>
    <w:rsid w:val="00CD4F2C"/>
    <w:rsid w:val="00CD51FE"/>
    <w:rsid w:val="00CD5231"/>
    <w:rsid w:val="00CD5258"/>
    <w:rsid w:val="00CD5385"/>
    <w:rsid w:val="00CD541A"/>
    <w:rsid w:val="00CD5445"/>
    <w:rsid w:val="00CD54A8"/>
    <w:rsid w:val="00CD54AE"/>
    <w:rsid w:val="00CD54F2"/>
    <w:rsid w:val="00CD54FA"/>
    <w:rsid w:val="00CD5544"/>
    <w:rsid w:val="00CD5623"/>
    <w:rsid w:val="00CD5687"/>
    <w:rsid w:val="00CD56DE"/>
    <w:rsid w:val="00CD571C"/>
    <w:rsid w:val="00CD580C"/>
    <w:rsid w:val="00CD58D8"/>
    <w:rsid w:val="00CD58FA"/>
    <w:rsid w:val="00CD5903"/>
    <w:rsid w:val="00CD596A"/>
    <w:rsid w:val="00CD59B3"/>
    <w:rsid w:val="00CD59D3"/>
    <w:rsid w:val="00CD5B48"/>
    <w:rsid w:val="00CD5C24"/>
    <w:rsid w:val="00CD5C2D"/>
    <w:rsid w:val="00CD5C75"/>
    <w:rsid w:val="00CD5D88"/>
    <w:rsid w:val="00CD5DA9"/>
    <w:rsid w:val="00CD5DB9"/>
    <w:rsid w:val="00CD5E10"/>
    <w:rsid w:val="00CD5E12"/>
    <w:rsid w:val="00CD5E26"/>
    <w:rsid w:val="00CD5E51"/>
    <w:rsid w:val="00CD5F7C"/>
    <w:rsid w:val="00CD5FD1"/>
    <w:rsid w:val="00CD6052"/>
    <w:rsid w:val="00CD6100"/>
    <w:rsid w:val="00CD6112"/>
    <w:rsid w:val="00CD613E"/>
    <w:rsid w:val="00CD61A3"/>
    <w:rsid w:val="00CD61EB"/>
    <w:rsid w:val="00CD62D4"/>
    <w:rsid w:val="00CD62FF"/>
    <w:rsid w:val="00CD6329"/>
    <w:rsid w:val="00CD6365"/>
    <w:rsid w:val="00CD6534"/>
    <w:rsid w:val="00CD65B8"/>
    <w:rsid w:val="00CD65DE"/>
    <w:rsid w:val="00CD664D"/>
    <w:rsid w:val="00CD6654"/>
    <w:rsid w:val="00CD6666"/>
    <w:rsid w:val="00CD6703"/>
    <w:rsid w:val="00CD670C"/>
    <w:rsid w:val="00CD6761"/>
    <w:rsid w:val="00CD67BF"/>
    <w:rsid w:val="00CD67FE"/>
    <w:rsid w:val="00CD681A"/>
    <w:rsid w:val="00CD6953"/>
    <w:rsid w:val="00CD6967"/>
    <w:rsid w:val="00CD69A7"/>
    <w:rsid w:val="00CD69CD"/>
    <w:rsid w:val="00CD6A42"/>
    <w:rsid w:val="00CD6BDF"/>
    <w:rsid w:val="00CD6DF1"/>
    <w:rsid w:val="00CD6F1D"/>
    <w:rsid w:val="00CD6F24"/>
    <w:rsid w:val="00CD6F9D"/>
    <w:rsid w:val="00CD7010"/>
    <w:rsid w:val="00CD71F5"/>
    <w:rsid w:val="00CD72CD"/>
    <w:rsid w:val="00CD7301"/>
    <w:rsid w:val="00CD7377"/>
    <w:rsid w:val="00CD73A0"/>
    <w:rsid w:val="00CD74D4"/>
    <w:rsid w:val="00CD75A9"/>
    <w:rsid w:val="00CD75E5"/>
    <w:rsid w:val="00CD75FC"/>
    <w:rsid w:val="00CD7615"/>
    <w:rsid w:val="00CD762C"/>
    <w:rsid w:val="00CD7699"/>
    <w:rsid w:val="00CD78F8"/>
    <w:rsid w:val="00CD791D"/>
    <w:rsid w:val="00CD795D"/>
    <w:rsid w:val="00CD7B36"/>
    <w:rsid w:val="00CD7D17"/>
    <w:rsid w:val="00CD7D3A"/>
    <w:rsid w:val="00CD7D65"/>
    <w:rsid w:val="00CD7D6D"/>
    <w:rsid w:val="00CD7DE2"/>
    <w:rsid w:val="00CD7E85"/>
    <w:rsid w:val="00CD7F44"/>
    <w:rsid w:val="00CD7FC7"/>
    <w:rsid w:val="00CD7FE3"/>
    <w:rsid w:val="00CD7FF8"/>
    <w:rsid w:val="00CE000A"/>
    <w:rsid w:val="00CE0011"/>
    <w:rsid w:val="00CE0020"/>
    <w:rsid w:val="00CE008B"/>
    <w:rsid w:val="00CE0155"/>
    <w:rsid w:val="00CE024E"/>
    <w:rsid w:val="00CE0352"/>
    <w:rsid w:val="00CE0358"/>
    <w:rsid w:val="00CE0374"/>
    <w:rsid w:val="00CE03A9"/>
    <w:rsid w:val="00CE03B4"/>
    <w:rsid w:val="00CE03D6"/>
    <w:rsid w:val="00CE0411"/>
    <w:rsid w:val="00CE04B1"/>
    <w:rsid w:val="00CE0705"/>
    <w:rsid w:val="00CE0727"/>
    <w:rsid w:val="00CE0768"/>
    <w:rsid w:val="00CE0788"/>
    <w:rsid w:val="00CE07EF"/>
    <w:rsid w:val="00CE080D"/>
    <w:rsid w:val="00CE081F"/>
    <w:rsid w:val="00CE0870"/>
    <w:rsid w:val="00CE0949"/>
    <w:rsid w:val="00CE0950"/>
    <w:rsid w:val="00CE0972"/>
    <w:rsid w:val="00CE09CF"/>
    <w:rsid w:val="00CE09D3"/>
    <w:rsid w:val="00CE0ACD"/>
    <w:rsid w:val="00CE0CB1"/>
    <w:rsid w:val="00CE0CC5"/>
    <w:rsid w:val="00CE0D6F"/>
    <w:rsid w:val="00CE0DCE"/>
    <w:rsid w:val="00CE0DE4"/>
    <w:rsid w:val="00CE0E25"/>
    <w:rsid w:val="00CE0EA6"/>
    <w:rsid w:val="00CE0F5C"/>
    <w:rsid w:val="00CE1014"/>
    <w:rsid w:val="00CE1075"/>
    <w:rsid w:val="00CE10C8"/>
    <w:rsid w:val="00CE12C0"/>
    <w:rsid w:val="00CE1311"/>
    <w:rsid w:val="00CE1394"/>
    <w:rsid w:val="00CE13E4"/>
    <w:rsid w:val="00CE1489"/>
    <w:rsid w:val="00CE158C"/>
    <w:rsid w:val="00CE158D"/>
    <w:rsid w:val="00CE162B"/>
    <w:rsid w:val="00CE16DC"/>
    <w:rsid w:val="00CE16F2"/>
    <w:rsid w:val="00CE180C"/>
    <w:rsid w:val="00CE18E2"/>
    <w:rsid w:val="00CE1A39"/>
    <w:rsid w:val="00CE1A87"/>
    <w:rsid w:val="00CE1ACB"/>
    <w:rsid w:val="00CE1AD1"/>
    <w:rsid w:val="00CE1B17"/>
    <w:rsid w:val="00CE1B50"/>
    <w:rsid w:val="00CE1BAE"/>
    <w:rsid w:val="00CE1BB7"/>
    <w:rsid w:val="00CE1C55"/>
    <w:rsid w:val="00CE1E53"/>
    <w:rsid w:val="00CE1E87"/>
    <w:rsid w:val="00CE1EA1"/>
    <w:rsid w:val="00CE1F4B"/>
    <w:rsid w:val="00CE1F62"/>
    <w:rsid w:val="00CE201E"/>
    <w:rsid w:val="00CE203F"/>
    <w:rsid w:val="00CE2106"/>
    <w:rsid w:val="00CE215B"/>
    <w:rsid w:val="00CE217A"/>
    <w:rsid w:val="00CE21E9"/>
    <w:rsid w:val="00CE2209"/>
    <w:rsid w:val="00CE2295"/>
    <w:rsid w:val="00CE22D7"/>
    <w:rsid w:val="00CE22EC"/>
    <w:rsid w:val="00CE2334"/>
    <w:rsid w:val="00CE23B6"/>
    <w:rsid w:val="00CE2419"/>
    <w:rsid w:val="00CE2550"/>
    <w:rsid w:val="00CE26A6"/>
    <w:rsid w:val="00CE26C0"/>
    <w:rsid w:val="00CE2700"/>
    <w:rsid w:val="00CE2740"/>
    <w:rsid w:val="00CE2879"/>
    <w:rsid w:val="00CE28B5"/>
    <w:rsid w:val="00CE2935"/>
    <w:rsid w:val="00CE299B"/>
    <w:rsid w:val="00CE2ACD"/>
    <w:rsid w:val="00CE2D27"/>
    <w:rsid w:val="00CE2E85"/>
    <w:rsid w:val="00CE2EC9"/>
    <w:rsid w:val="00CE2EF2"/>
    <w:rsid w:val="00CE2F71"/>
    <w:rsid w:val="00CE301B"/>
    <w:rsid w:val="00CE3048"/>
    <w:rsid w:val="00CE306D"/>
    <w:rsid w:val="00CE3077"/>
    <w:rsid w:val="00CE3095"/>
    <w:rsid w:val="00CE30B5"/>
    <w:rsid w:val="00CE30FC"/>
    <w:rsid w:val="00CE3100"/>
    <w:rsid w:val="00CE3148"/>
    <w:rsid w:val="00CE315B"/>
    <w:rsid w:val="00CE323A"/>
    <w:rsid w:val="00CE32F8"/>
    <w:rsid w:val="00CE333C"/>
    <w:rsid w:val="00CE333D"/>
    <w:rsid w:val="00CE355A"/>
    <w:rsid w:val="00CE35BD"/>
    <w:rsid w:val="00CE362C"/>
    <w:rsid w:val="00CE364D"/>
    <w:rsid w:val="00CE37C3"/>
    <w:rsid w:val="00CE37CB"/>
    <w:rsid w:val="00CE3858"/>
    <w:rsid w:val="00CE38C0"/>
    <w:rsid w:val="00CE3A2B"/>
    <w:rsid w:val="00CE3A38"/>
    <w:rsid w:val="00CE3A3E"/>
    <w:rsid w:val="00CE3A87"/>
    <w:rsid w:val="00CE3AD6"/>
    <w:rsid w:val="00CE3AED"/>
    <w:rsid w:val="00CE3B80"/>
    <w:rsid w:val="00CE3B9A"/>
    <w:rsid w:val="00CE3BA5"/>
    <w:rsid w:val="00CE3C3B"/>
    <w:rsid w:val="00CE3C4D"/>
    <w:rsid w:val="00CE3D72"/>
    <w:rsid w:val="00CE3D86"/>
    <w:rsid w:val="00CE3DA6"/>
    <w:rsid w:val="00CE3E64"/>
    <w:rsid w:val="00CE3EB1"/>
    <w:rsid w:val="00CE3EB9"/>
    <w:rsid w:val="00CE407C"/>
    <w:rsid w:val="00CE40B5"/>
    <w:rsid w:val="00CE4187"/>
    <w:rsid w:val="00CE4238"/>
    <w:rsid w:val="00CE425B"/>
    <w:rsid w:val="00CE42F6"/>
    <w:rsid w:val="00CE43AF"/>
    <w:rsid w:val="00CE43B2"/>
    <w:rsid w:val="00CE43DC"/>
    <w:rsid w:val="00CE440F"/>
    <w:rsid w:val="00CE4549"/>
    <w:rsid w:val="00CE456C"/>
    <w:rsid w:val="00CE4664"/>
    <w:rsid w:val="00CE4728"/>
    <w:rsid w:val="00CE47D5"/>
    <w:rsid w:val="00CE48C9"/>
    <w:rsid w:val="00CE4908"/>
    <w:rsid w:val="00CE492C"/>
    <w:rsid w:val="00CE4943"/>
    <w:rsid w:val="00CE4C0B"/>
    <w:rsid w:val="00CE4C7A"/>
    <w:rsid w:val="00CE4D3A"/>
    <w:rsid w:val="00CE4E5F"/>
    <w:rsid w:val="00CE4EAD"/>
    <w:rsid w:val="00CE501E"/>
    <w:rsid w:val="00CE50AC"/>
    <w:rsid w:val="00CE524E"/>
    <w:rsid w:val="00CE5265"/>
    <w:rsid w:val="00CE527A"/>
    <w:rsid w:val="00CE52A7"/>
    <w:rsid w:val="00CE52E0"/>
    <w:rsid w:val="00CE5355"/>
    <w:rsid w:val="00CE5363"/>
    <w:rsid w:val="00CE539C"/>
    <w:rsid w:val="00CE5416"/>
    <w:rsid w:val="00CE5500"/>
    <w:rsid w:val="00CE567C"/>
    <w:rsid w:val="00CE56CE"/>
    <w:rsid w:val="00CE5748"/>
    <w:rsid w:val="00CE578C"/>
    <w:rsid w:val="00CE5853"/>
    <w:rsid w:val="00CE58AD"/>
    <w:rsid w:val="00CE58CE"/>
    <w:rsid w:val="00CE5A2F"/>
    <w:rsid w:val="00CE5AA0"/>
    <w:rsid w:val="00CE5B64"/>
    <w:rsid w:val="00CE5C37"/>
    <w:rsid w:val="00CE5CCD"/>
    <w:rsid w:val="00CE5D5F"/>
    <w:rsid w:val="00CE5D99"/>
    <w:rsid w:val="00CE5EF6"/>
    <w:rsid w:val="00CE5F9F"/>
    <w:rsid w:val="00CE5FCA"/>
    <w:rsid w:val="00CE60B3"/>
    <w:rsid w:val="00CE6142"/>
    <w:rsid w:val="00CE61F5"/>
    <w:rsid w:val="00CE6206"/>
    <w:rsid w:val="00CE6210"/>
    <w:rsid w:val="00CE6253"/>
    <w:rsid w:val="00CE6343"/>
    <w:rsid w:val="00CE6424"/>
    <w:rsid w:val="00CE64FD"/>
    <w:rsid w:val="00CE65E5"/>
    <w:rsid w:val="00CE6688"/>
    <w:rsid w:val="00CE674B"/>
    <w:rsid w:val="00CE6812"/>
    <w:rsid w:val="00CE6824"/>
    <w:rsid w:val="00CE6971"/>
    <w:rsid w:val="00CE6A7D"/>
    <w:rsid w:val="00CE6AC1"/>
    <w:rsid w:val="00CE6B62"/>
    <w:rsid w:val="00CE6C10"/>
    <w:rsid w:val="00CE6C82"/>
    <w:rsid w:val="00CE6D2D"/>
    <w:rsid w:val="00CE6D57"/>
    <w:rsid w:val="00CE6D70"/>
    <w:rsid w:val="00CE6E2E"/>
    <w:rsid w:val="00CE6E53"/>
    <w:rsid w:val="00CE6EDB"/>
    <w:rsid w:val="00CE6F9A"/>
    <w:rsid w:val="00CE709F"/>
    <w:rsid w:val="00CE70D1"/>
    <w:rsid w:val="00CE7142"/>
    <w:rsid w:val="00CE7151"/>
    <w:rsid w:val="00CE7236"/>
    <w:rsid w:val="00CE7259"/>
    <w:rsid w:val="00CE72B1"/>
    <w:rsid w:val="00CE73E4"/>
    <w:rsid w:val="00CE7498"/>
    <w:rsid w:val="00CE74D8"/>
    <w:rsid w:val="00CE754A"/>
    <w:rsid w:val="00CE7571"/>
    <w:rsid w:val="00CE774C"/>
    <w:rsid w:val="00CE774E"/>
    <w:rsid w:val="00CE77BA"/>
    <w:rsid w:val="00CE77EA"/>
    <w:rsid w:val="00CE781A"/>
    <w:rsid w:val="00CE7827"/>
    <w:rsid w:val="00CE7901"/>
    <w:rsid w:val="00CE7977"/>
    <w:rsid w:val="00CE7987"/>
    <w:rsid w:val="00CE79B6"/>
    <w:rsid w:val="00CE7A9B"/>
    <w:rsid w:val="00CE7B63"/>
    <w:rsid w:val="00CE7B9B"/>
    <w:rsid w:val="00CE7C55"/>
    <w:rsid w:val="00CE7CE2"/>
    <w:rsid w:val="00CE7D23"/>
    <w:rsid w:val="00CE7D44"/>
    <w:rsid w:val="00CE7D69"/>
    <w:rsid w:val="00CE7D77"/>
    <w:rsid w:val="00CE7E0E"/>
    <w:rsid w:val="00CE7E1B"/>
    <w:rsid w:val="00CE7E4C"/>
    <w:rsid w:val="00CE7E74"/>
    <w:rsid w:val="00CE7F83"/>
    <w:rsid w:val="00CE7F88"/>
    <w:rsid w:val="00CF002F"/>
    <w:rsid w:val="00CF0080"/>
    <w:rsid w:val="00CF01B7"/>
    <w:rsid w:val="00CF02F0"/>
    <w:rsid w:val="00CF035B"/>
    <w:rsid w:val="00CF03B0"/>
    <w:rsid w:val="00CF0568"/>
    <w:rsid w:val="00CF056A"/>
    <w:rsid w:val="00CF059B"/>
    <w:rsid w:val="00CF05A6"/>
    <w:rsid w:val="00CF05F0"/>
    <w:rsid w:val="00CF0607"/>
    <w:rsid w:val="00CF0623"/>
    <w:rsid w:val="00CF079E"/>
    <w:rsid w:val="00CF07AA"/>
    <w:rsid w:val="00CF07CE"/>
    <w:rsid w:val="00CF09E9"/>
    <w:rsid w:val="00CF0A7A"/>
    <w:rsid w:val="00CF0B61"/>
    <w:rsid w:val="00CF0C68"/>
    <w:rsid w:val="00CF0CC1"/>
    <w:rsid w:val="00CF0DAA"/>
    <w:rsid w:val="00CF0E7A"/>
    <w:rsid w:val="00CF0FA7"/>
    <w:rsid w:val="00CF1051"/>
    <w:rsid w:val="00CF1189"/>
    <w:rsid w:val="00CF11A1"/>
    <w:rsid w:val="00CF11B2"/>
    <w:rsid w:val="00CF11DB"/>
    <w:rsid w:val="00CF1266"/>
    <w:rsid w:val="00CF128D"/>
    <w:rsid w:val="00CF1384"/>
    <w:rsid w:val="00CF145A"/>
    <w:rsid w:val="00CF14A4"/>
    <w:rsid w:val="00CF1624"/>
    <w:rsid w:val="00CF169A"/>
    <w:rsid w:val="00CF16E5"/>
    <w:rsid w:val="00CF171B"/>
    <w:rsid w:val="00CF17E3"/>
    <w:rsid w:val="00CF1928"/>
    <w:rsid w:val="00CF196D"/>
    <w:rsid w:val="00CF1982"/>
    <w:rsid w:val="00CF19D5"/>
    <w:rsid w:val="00CF19DF"/>
    <w:rsid w:val="00CF1A8A"/>
    <w:rsid w:val="00CF1B7D"/>
    <w:rsid w:val="00CF1C75"/>
    <w:rsid w:val="00CF1D31"/>
    <w:rsid w:val="00CF1D34"/>
    <w:rsid w:val="00CF1E48"/>
    <w:rsid w:val="00CF1F71"/>
    <w:rsid w:val="00CF1F8C"/>
    <w:rsid w:val="00CF1F9E"/>
    <w:rsid w:val="00CF1FC0"/>
    <w:rsid w:val="00CF224B"/>
    <w:rsid w:val="00CF2286"/>
    <w:rsid w:val="00CF2299"/>
    <w:rsid w:val="00CF22A6"/>
    <w:rsid w:val="00CF24AD"/>
    <w:rsid w:val="00CF250E"/>
    <w:rsid w:val="00CF253F"/>
    <w:rsid w:val="00CF263A"/>
    <w:rsid w:val="00CF26D5"/>
    <w:rsid w:val="00CF2754"/>
    <w:rsid w:val="00CF279E"/>
    <w:rsid w:val="00CF279F"/>
    <w:rsid w:val="00CF2818"/>
    <w:rsid w:val="00CF28B6"/>
    <w:rsid w:val="00CF28FF"/>
    <w:rsid w:val="00CF2965"/>
    <w:rsid w:val="00CF29EC"/>
    <w:rsid w:val="00CF2A20"/>
    <w:rsid w:val="00CF2A38"/>
    <w:rsid w:val="00CF2A9C"/>
    <w:rsid w:val="00CF2B33"/>
    <w:rsid w:val="00CF2B58"/>
    <w:rsid w:val="00CF2B98"/>
    <w:rsid w:val="00CF2C6F"/>
    <w:rsid w:val="00CF2C88"/>
    <w:rsid w:val="00CF2E0C"/>
    <w:rsid w:val="00CF2E15"/>
    <w:rsid w:val="00CF2E85"/>
    <w:rsid w:val="00CF2F32"/>
    <w:rsid w:val="00CF2F6A"/>
    <w:rsid w:val="00CF2F80"/>
    <w:rsid w:val="00CF2F95"/>
    <w:rsid w:val="00CF2FBC"/>
    <w:rsid w:val="00CF2FE4"/>
    <w:rsid w:val="00CF3046"/>
    <w:rsid w:val="00CF3115"/>
    <w:rsid w:val="00CF3164"/>
    <w:rsid w:val="00CF3221"/>
    <w:rsid w:val="00CF32AF"/>
    <w:rsid w:val="00CF32FC"/>
    <w:rsid w:val="00CF348F"/>
    <w:rsid w:val="00CF350C"/>
    <w:rsid w:val="00CF3529"/>
    <w:rsid w:val="00CF3656"/>
    <w:rsid w:val="00CF37CD"/>
    <w:rsid w:val="00CF3841"/>
    <w:rsid w:val="00CF3856"/>
    <w:rsid w:val="00CF38CB"/>
    <w:rsid w:val="00CF3979"/>
    <w:rsid w:val="00CF3A9D"/>
    <w:rsid w:val="00CF3AB0"/>
    <w:rsid w:val="00CF3ADC"/>
    <w:rsid w:val="00CF3AE9"/>
    <w:rsid w:val="00CF3B02"/>
    <w:rsid w:val="00CF3B11"/>
    <w:rsid w:val="00CF3CC2"/>
    <w:rsid w:val="00CF3CDF"/>
    <w:rsid w:val="00CF3E05"/>
    <w:rsid w:val="00CF3E64"/>
    <w:rsid w:val="00CF3FBB"/>
    <w:rsid w:val="00CF3FE8"/>
    <w:rsid w:val="00CF4015"/>
    <w:rsid w:val="00CF40FD"/>
    <w:rsid w:val="00CF413B"/>
    <w:rsid w:val="00CF4294"/>
    <w:rsid w:val="00CF4344"/>
    <w:rsid w:val="00CF435A"/>
    <w:rsid w:val="00CF462B"/>
    <w:rsid w:val="00CF4642"/>
    <w:rsid w:val="00CF4663"/>
    <w:rsid w:val="00CF4783"/>
    <w:rsid w:val="00CF4843"/>
    <w:rsid w:val="00CF486D"/>
    <w:rsid w:val="00CF4A39"/>
    <w:rsid w:val="00CF4A73"/>
    <w:rsid w:val="00CF4A8B"/>
    <w:rsid w:val="00CF4B1E"/>
    <w:rsid w:val="00CF4BC6"/>
    <w:rsid w:val="00CF4BC9"/>
    <w:rsid w:val="00CF4E3C"/>
    <w:rsid w:val="00CF4F5F"/>
    <w:rsid w:val="00CF4FA6"/>
    <w:rsid w:val="00CF516E"/>
    <w:rsid w:val="00CF517E"/>
    <w:rsid w:val="00CF51C1"/>
    <w:rsid w:val="00CF51D1"/>
    <w:rsid w:val="00CF51EF"/>
    <w:rsid w:val="00CF5273"/>
    <w:rsid w:val="00CF52BB"/>
    <w:rsid w:val="00CF5303"/>
    <w:rsid w:val="00CF5352"/>
    <w:rsid w:val="00CF53DD"/>
    <w:rsid w:val="00CF5442"/>
    <w:rsid w:val="00CF5446"/>
    <w:rsid w:val="00CF547F"/>
    <w:rsid w:val="00CF548F"/>
    <w:rsid w:val="00CF55CB"/>
    <w:rsid w:val="00CF5635"/>
    <w:rsid w:val="00CF573D"/>
    <w:rsid w:val="00CF573F"/>
    <w:rsid w:val="00CF5783"/>
    <w:rsid w:val="00CF57EA"/>
    <w:rsid w:val="00CF5899"/>
    <w:rsid w:val="00CF58E1"/>
    <w:rsid w:val="00CF5905"/>
    <w:rsid w:val="00CF5A45"/>
    <w:rsid w:val="00CF5AA3"/>
    <w:rsid w:val="00CF5ACE"/>
    <w:rsid w:val="00CF5AD0"/>
    <w:rsid w:val="00CF5C36"/>
    <w:rsid w:val="00CF6208"/>
    <w:rsid w:val="00CF6236"/>
    <w:rsid w:val="00CF624C"/>
    <w:rsid w:val="00CF6253"/>
    <w:rsid w:val="00CF645C"/>
    <w:rsid w:val="00CF64A6"/>
    <w:rsid w:val="00CF64B0"/>
    <w:rsid w:val="00CF656B"/>
    <w:rsid w:val="00CF658B"/>
    <w:rsid w:val="00CF659C"/>
    <w:rsid w:val="00CF665A"/>
    <w:rsid w:val="00CF6707"/>
    <w:rsid w:val="00CF6766"/>
    <w:rsid w:val="00CF676A"/>
    <w:rsid w:val="00CF68B0"/>
    <w:rsid w:val="00CF68DD"/>
    <w:rsid w:val="00CF6922"/>
    <w:rsid w:val="00CF69D7"/>
    <w:rsid w:val="00CF69F4"/>
    <w:rsid w:val="00CF6A44"/>
    <w:rsid w:val="00CF6AAF"/>
    <w:rsid w:val="00CF6BFE"/>
    <w:rsid w:val="00CF6D78"/>
    <w:rsid w:val="00CF6DB1"/>
    <w:rsid w:val="00CF6E0F"/>
    <w:rsid w:val="00CF6E27"/>
    <w:rsid w:val="00CF6F9D"/>
    <w:rsid w:val="00CF704E"/>
    <w:rsid w:val="00CF708F"/>
    <w:rsid w:val="00CF71F0"/>
    <w:rsid w:val="00CF7226"/>
    <w:rsid w:val="00CF757B"/>
    <w:rsid w:val="00CF7602"/>
    <w:rsid w:val="00CF761E"/>
    <w:rsid w:val="00CF782A"/>
    <w:rsid w:val="00CF7871"/>
    <w:rsid w:val="00CF78CE"/>
    <w:rsid w:val="00CF78DE"/>
    <w:rsid w:val="00CF7911"/>
    <w:rsid w:val="00CF7984"/>
    <w:rsid w:val="00CF7A08"/>
    <w:rsid w:val="00CF7A0C"/>
    <w:rsid w:val="00CF7ABD"/>
    <w:rsid w:val="00CF7C2B"/>
    <w:rsid w:val="00CF7CA3"/>
    <w:rsid w:val="00CF7CB4"/>
    <w:rsid w:val="00CF7D20"/>
    <w:rsid w:val="00CF7F06"/>
    <w:rsid w:val="00CF7F34"/>
    <w:rsid w:val="00CF7F73"/>
    <w:rsid w:val="00CF7FC0"/>
    <w:rsid w:val="00CF879C"/>
    <w:rsid w:val="00D00028"/>
    <w:rsid w:val="00D000A0"/>
    <w:rsid w:val="00D000B1"/>
    <w:rsid w:val="00D000B7"/>
    <w:rsid w:val="00D00125"/>
    <w:rsid w:val="00D00257"/>
    <w:rsid w:val="00D00467"/>
    <w:rsid w:val="00D0049A"/>
    <w:rsid w:val="00D0049D"/>
    <w:rsid w:val="00D0052F"/>
    <w:rsid w:val="00D0056E"/>
    <w:rsid w:val="00D00600"/>
    <w:rsid w:val="00D006E2"/>
    <w:rsid w:val="00D0076E"/>
    <w:rsid w:val="00D007ED"/>
    <w:rsid w:val="00D008C3"/>
    <w:rsid w:val="00D00A29"/>
    <w:rsid w:val="00D00A52"/>
    <w:rsid w:val="00D00A82"/>
    <w:rsid w:val="00D00A92"/>
    <w:rsid w:val="00D00AF8"/>
    <w:rsid w:val="00D00BBF"/>
    <w:rsid w:val="00D00BD3"/>
    <w:rsid w:val="00D00BDE"/>
    <w:rsid w:val="00D00D07"/>
    <w:rsid w:val="00D00D87"/>
    <w:rsid w:val="00D00D9B"/>
    <w:rsid w:val="00D00E64"/>
    <w:rsid w:val="00D00E9E"/>
    <w:rsid w:val="00D00EFF"/>
    <w:rsid w:val="00D00F2A"/>
    <w:rsid w:val="00D00F39"/>
    <w:rsid w:val="00D00FE5"/>
    <w:rsid w:val="00D0107B"/>
    <w:rsid w:val="00D010BC"/>
    <w:rsid w:val="00D010CE"/>
    <w:rsid w:val="00D011E2"/>
    <w:rsid w:val="00D0136D"/>
    <w:rsid w:val="00D01400"/>
    <w:rsid w:val="00D0140B"/>
    <w:rsid w:val="00D01557"/>
    <w:rsid w:val="00D01615"/>
    <w:rsid w:val="00D016A8"/>
    <w:rsid w:val="00D016C6"/>
    <w:rsid w:val="00D01760"/>
    <w:rsid w:val="00D017B8"/>
    <w:rsid w:val="00D018B1"/>
    <w:rsid w:val="00D018E8"/>
    <w:rsid w:val="00D01B11"/>
    <w:rsid w:val="00D01B49"/>
    <w:rsid w:val="00D01BDD"/>
    <w:rsid w:val="00D01C15"/>
    <w:rsid w:val="00D01C41"/>
    <w:rsid w:val="00D01C55"/>
    <w:rsid w:val="00D01D3F"/>
    <w:rsid w:val="00D01D7C"/>
    <w:rsid w:val="00D01DC5"/>
    <w:rsid w:val="00D01E2D"/>
    <w:rsid w:val="00D01E92"/>
    <w:rsid w:val="00D01F57"/>
    <w:rsid w:val="00D01F99"/>
    <w:rsid w:val="00D0207D"/>
    <w:rsid w:val="00D0219F"/>
    <w:rsid w:val="00D022E3"/>
    <w:rsid w:val="00D023F0"/>
    <w:rsid w:val="00D02433"/>
    <w:rsid w:val="00D02460"/>
    <w:rsid w:val="00D0248E"/>
    <w:rsid w:val="00D02518"/>
    <w:rsid w:val="00D0259F"/>
    <w:rsid w:val="00D025FF"/>
    <w:rsid w:val="00D02621"/>
    <w:rsid w:val="00D0264F"/>
    <w:rsid w:val="00D02663"/>
    <w:rsid w:val="00D02674"/>
    <w:rsid w:val="00D026BB"/>
    <w:rsid w:val="00D027DC"/>
    <w:rsid w:val="00D0283A"/>
    <w:rsid w:val="00D028C1"/>
    <w:rsid w:val="00D02940"/>
    <w:rsid w:val="00D02A20"/>
    <w:rsid w:val="00D02AC2"/>
    <w:rsid w:val="00D02AFE"/>
    <w:rsid w:val="00D02B8C"/>
    <w:rsid w:val="00D02C4D"/>
    <w:rsid w:val="00D02CB7"/>
    <w:rsid w:val="00D02CD3"/>
    <w:rsid w:val="00D02CE8"/>
    <w:rsid w:val="00D02CF1"/>
    <w:rsid w:val="00D02D83"/>
    <w:rsid w:val="00D02E24"/>
    <w:rsid w:val="00D02ED3"/>
    <w:rsid w:val="00D02F32"/>
    <w:rsid w:val="00D02FCC"/>
    <w:rsid w:val="00D02FEC"/>
    <w:rsid w:val="00D03086"/>
    <w:rsid w:val="00D03127"/>
    <w:rsid w:val="00D03164"/>
    <w:rsid w:val="00D03212"/>
    <w:rsid w:val="00D03252"/>
    <w:rsid w:val="00D032F1"/>
    <w:rsid w:val="00D0331D"/>
    <w:rsid w:val="00D0352E"/>
    <w:rsid w:val="00D036E0"/>
    <w:rsid w:val="00D036E2"/>
    <w:rsid w:val="00D03702"/>
    <w:rsid w:val="00D0375B"/>
    <w:rsid w:val="00D0376B"/>
    <w:rsid w:val="00D03771"/>
    <w:rsid w:val="00D037DE"/>
    <w:rsid w:val="00D0382A"/>
    <w:rsid w:val="00D038EB"/>
    <w:rsid w:val="00D039C3"/>
    <w:rsid w:val="00D039D1"/>
    <w:rsid w:val="00D03C2A"/>
    <w:rsid w:val="00D03C43"/>
    <w:rsid w:val="00D03CA3"/>
    <w:rsid w:val="00D03D6B"/>
    <w:rsid w:val="00D03D76"/>
    <w:rsid w:val="00D03DB3"/>
    <w:rsid w:val="00D03DCB"/>
    <w:rsid w:val="00D03E09"/>
    <w:rsid w:val="00D03E5C"/>
    <w:rsid w:val="00D03ED5"/>
    <w:rsid w:val="00D03EFC"/>
    <w:rsid w:val="00D03F49"/>
    <w:rsid w:val="00D03FA0"/>
    <w:rsid w:val="00D0401D"/>
    <w:rsid w:val="00D04109"/>
    <w:rsid w:val="00D0411C"/>
    <w:rsid w:val="00D041C0"/>
    <w:rsid w:val="00D042A4"/>
    <w:rsid w:val="00D042CC"/>
    <w:rsid w:val="00D0432C"/>
    <w:rsid w:val="00D0439A"/>
    <w:rsid w:val="00D043A2"/>
    <w:rsid w:val="00D043F3"/>
    <w:rsid w:val="00D044BA"/>
    <w:rsid w:val="00D0460F"/>
    <w:rsid w:val="00D04675"/>
    <w:rsid w:val="00D0473E"/>
    <w:rsid w:val="00D047AF"/>
    <w:rsid w:val="00D048B9"/>
    <w:rsid w:val="00D048CD"/>
    <w:rsid w:val="00D0497C"/>
    <w:rsid w:val="00D04987"/>
    <w:rsid w:val="00D049BE"/>
    <w:rsid w:val="00D04A98"/>
    <w:rsid w:val="00D04B3B"/>
    <w:rsid w:val="00D04BDF"/>
    <w:rsid w:val="00D04C0B"/>
    <w:rsid w:val="00D04D87"/>
    <w:rsid w:val="00D04DF1"/>
    <w:rsid w:val="00D04F02"/>
    <w:rsid w:val="00D04F2E"/>
    <w:rsid w:val="00D04F84"/>
    <w:rsid w:val="00D05001"/>
    <w:rsid w:val="00D05071"/>
    <w:rsid w:val="00D050BA"/>
    <w:rsid w:val="00D050DB"/>
    <w:rsid w:val="00D05156"/>
    <w:rsid w:val="00D05192"/>
    <w:rsid w:val="00D051DC"/>
    <w:rsid w:val="00D051FF"/>
    <w:rsid w:val="00D0528A"/>
    <w:rsid w:val="00D05291"/>
    <w:rsid w:val="00D05303"/>
    <w:rsid w:val="00D05437"/>
    <w:rsid w:val="00D05557"/>
    <w:rsid w:val="00D0563F"/>
    <w:rsid w:val="00D05658"/>
    <w:rsid w:val="00D05661"/>
    <w:rsid w:val="00D0569A"/>
    <w:rsid w:val="00D05700"/>
    <w:rsid w:val="00D057DE"/>
    <w:rsid w:val="00D05831"/>
    <w:rsid w:val="00D0588A"/>
    <w:rsid w:val="00D058D2"/>
    <w:rsid w:val="00D058DD"/>
    <w:rsid w:val="00D05933"/>
    <w:rsid w:val="00D0594E"/>
    <w:rsid w:val="00D059F6"/>
    <w:rsid w:val="00D05AD3"/>
    <w:rsid w:val="00D05ADB"/>
    <w:rsid w:val="00D05B60"/>
    <w:rsid w:val="00D05BAD"/>
    <w:rsid w:val="00D05C4C"/>
    <w:rsid w:val="00D05C92"/>
    <w:rsid w:val="00D05CF2"/>
    <w:rsid w:val="00D05D0A"/>
    <w:rsid w:val="00D05D7B"/>
    <w:rsid w:val="00D05DB2"/>
    <w:rsid w:val="00D05E76"/>
    <w:rsid w:val="00D05EEF"/>
    <w:rsid w:val="00D05FC0"/>
    <w:rsid w:val="00D06052"/>
    <w:rsid w:val="00D0606B"/>
    <w:rsid w:val="00D060D4"/>
    <w:rsid w:val="00D06140"/>
    <w:rsid w:val="00D061D1"/>
    <w:rsid w:val="00D0620C"/>
    <w:rsid w:val="00D0620E"/>
    <w:rsid w:val="00D06222"/>
    <w:rsid w:val="00D0628C"/>
    <w:rsid w:val="00D062F1"/>
    <w:rsid w:val="00D06300"/>
    <w:rsid w:val="00D06454"/>
    <w:rsid w:val="00D06495"/>
    <w:rsid w:val="00D064B6"/>
    <w:rsid w:val="00D06540"/>
    <w:rsid w:val="00D06596"/>
    <w:rsid w:val="00D06626"/>
    <w:rsid w:val="00D06673"/>
    <w:rsid w:val="00D06685"/>
    <w:rsid w:val="00D066B1"/>
    <w:rsid w:val="00D0672C"/>
    <w:rsid w:val="00D06749"/>
    <w:rsid w:val="00D06793"/>
    <w:rsid w:val="00D06928"/>
    <w:rsid w:val="00D06933"/>
    <w:rsid w:val="00D069FA"/>
    <w:rsid w:val="00D06A06"/>
    <w:rsid w:val="00D06A43"/>
    <w:rsid w:val="00D06AFC"/>
    <w:rsid w:val="00D06BA3"/>
    <w:rsid w:val="00D06BF1"/>
    <w:rsid w:val="00D06D7E"/>
    <w:rsid w:val="00D06DB5"/>
    <w:rsid w:val="00D06EAA"/>
    <w:rsid w:val="00D06EC5"/>
    <w:rsid w:val="00D06EEA"/>
    <w:rsid w:val="00D06F61"/>
    <w:rsid w:val="00D06FBA"/>
    <w:rsid w:val="00D07067"/>
    <w:rsid w:val="00D07075"/>
    <w:rsid w:val="00D07140"/>
    <w:rsid w:val="00D07172"/>
    <w:rsid w:val="00D07249"/>
    <w:rsid w:val="00D07359"/>
    <w:rsid w:val="00D0737C"/>
    <w:rsid w:val="00D073A2"/>
    <w:rsid w:val="00D074A8"/>
    <w:rsid w:val="00D074AE"/>
    <w:rsid w:val="00D074FC"/>
    <w:rsid w:val="00D0758D"/>
    <w:rsid w:val="00D075D7"/>
    <w:rsid w:val="00D0765D"/>
    <w:rsid w:val="00D07711"/>
    <w:rsid w:val="00D07797"/>
    <w:rsid w:val="00D078C7"/>
    <w:rsid w:val="00D0791D"/>
    <w:rsid w:val="00D0793C"/>
    <w:rsid w:val="00D07A8E"/>
    <w:rsid w:val="00D07AA9"/>
    <w:rsid w:val="00D07B40"/>
    <w:rsid w:val="00D07B60"/>
    <w:rsid w:val="00D07BE3"/>
    <w:rsid w:val="00D07D21"/>
    <w:rsid w:val="00D07E96"/>
    <w:rsid w:val="00D07EBF"/>
    <w:rsid w:val="00D10056"/>
    <w:rsid w:val="00D10067"/>
    <w:rsid w:val="00D10068"/>
    <w:rsid w:val="00D10242"/>
    <w:rsid w:val="00D10325"/>
    <w:rsid w:val="00D10329"/>
    <w:rsid w:val="00D1045F"/>
    <w:rsid w:val="00D105A5"/>
    <w:rsid w:val="00D105F3"/>
    <w:rsid w:val="00D10694"/>
    <w:rsid w:val="00D10695"/>
    <w:rsid w:val="00D106C2"/>
    <w:rsid w:val="00D1070E"/>
    <w:rsid w:val="00D1071F"/>
    <w:rsid w:val="00D10740"/>
    <w:rsid w:val="00D1078B"/>
    <w:rsid w:val="00D10801"/>
    <w:rsid w:val="00D108B2"/>
    <w:rsid w:val="00D109AA"/>
    <w:rsid w:val="00D109AB"/>
    <w:rsid w:val="00D109E1"/>
    <w:rsid w:val="00D10A17"/>
    <w:rsid w:val="00D10A2B"/>
    <w:rsid w:val="00D10BA5"/>
    <w:rsid w:val="00D10D71"/>
    <w:rsid w:val="00D10D87"/>
    <w:rsid w:val="00D10DD5"/>
    <w:rsid w:val="00D10E26"/>
    <w:rsid w:val="00D10E2A"/>
    <w:rsid w:val="00D10E7F"/>
    <w:rsid w:val="00D10F14"/>
    <w:rsid w:val="00D110F3"/>
    <w:rsid w:val="00D1110C"/>
    <w:rsid w:val="00D11186"/>
    <w:rsid w:val="00D1121C"/>
    <w:rsid w:val="00D1123A"/>
    <w:rsid w:val="00D1127D"/>
    <w:rsid w:val="00D11307"/>
    <w:rsid w:val="00D114BB"/>
    <w:rsid w:val="00D114DE"/>
    <w:rsid w:val="00D1152C"/>
    <w:rsid w:val="00D11562"/>
    <w:rsid w:val="00D117B1"/>
    <w:rsid w:val="00D11838"/>
    <w:rsid w:val="00D118C6"/>
    <w:rsid w:val="00D1194A"/>
    <w:rsid w:val="00D11A80"/>
    <w:rsid w:val="00D11B37"/>
    <w:rsid w:val="00D11B7B"/>
    <w:rsid w:val="00D11BA8"/>
    <w:rsid w:val="00D11BC4"/>
    <w:rsid w:val="00D11BDE"/>
    <w:rsid w:val="00D11D68"/>
    <w:rsid w:val="00D11DBA"/>
    <w:rsid w:val="00D11DF4"/>
    <w:rsid w:val="00D11E57"/>
    <w:rsid w:val="00D11ED7"/>
    <w:rsid w:val="00D11F89"/>
    <w:rsid w:val="00D11FCB"/>
    <w:rsid w:val="00D12014"/>
    <w:rsid w:val="00D1201C"/>
    <w:rsid w:val="00D12029"/>
    <w:rsid w:val="00D12045"/>
    <w:rsid w:val="00D12159"/>
    <w:rsid w:val="00D12351"/>
    <w:rsid w:val="00D1239E"/>
    <w:rsid w:val="00D123D7"/>
    <w:rsid w:val="00D123DA"/>
    <w:rsid w:val="00D124B7"/>
    <w:rsid w:val="00D124DC"/>
    <w:rsid w:val="00D124F1"/>
    <w:rsid w:val="00D12583"/>
    <w:rsid w:val="00D12592"/>
    <w:rsid w:val="00D12688"/>
    <w:rsid w:val="00D126D8"/>
    <w:rsid w:val="00D126E6"/>
    <w:rsid w:val="00D12775"/>
    <w:rsid w:val="00D127B6"/>
    <w:rsid w:val="00D1289F"/>
    <w:rsid w:val="00D12985"/>
    <w:rsid w:val="00D129BC"/>
    <w:rsid w:val="00D129D6"/>
    <w:rsid w:val="00D129E5"/>
    <w:rsid w:val="00D12A3A"/>
    <w:rsid w:val="00D12ADB"/>
    <w:rsid w:val="00D12B0E"/>
    <w:rsid w:val="00D12C10"/>
    <w:rsid w:val="00D12CF2"/>
    <w:rsid w:val="00D12DAC"/>
    <w:rsid w:val="00D12E0F"/>
    <w:rsid w:val="00D12F8C"/>
    <w:rsid w:val="00D12FE0"/>
    <w:rsid w:val="00D130F3"/>
    <w:rsid w:val="00D13197"/>
    <w:rsid w:val="00D131BA"/>
    <w:rsid w:val="00D131F2"/>
    <w:rsid w:val="00D13289"/>
    <w:rsid w:val="00D132D5"/>
    <w:rsid w:val="00D13448"/>
    <w:rsid w:val="00D1345E"/>
    <w:rsid w:val="00D134D0"/>
    <w:rsid w:val="00D13588"/>
    <w:rsid w:val="00D13598"/>
    <w:rsid w:val="00D13636"/>
    <w:rsid w:val="00D1364F"/>
    <w:rsid w:val="00D13650"/>
    <w:rsid w:val="00D13651"/>
    <w:rsid w:val="00D137AA"/>
    <w:rsid w:val="00D13940"/>
    <w:rsid w:val="00D1397E"/>
    <w:rsid w:val="00D13A00"/>
    <w:rsid w:val="00D13A12"/>
    <w:rsid w:val="00D13A1E"/>
    <w:rsid w:val="00D13A25"/>
    <w:rsid w:val="00D13A94"/>
    <w:rsid w:val="00D13B05"/>
    <w:rsid w:val="00D13B78"/>
    <w:rsid w:val="00D13B9B"/>
    <w:rsid w:val="00D13C0D"/>
    <w:rsid w:val="00D13D70"/>
    <w:rsid w:val="00D13D9A"/>
    <w:rsid w:val="00D13E39"/>
    <w:rsid w:val="00D13E98"/>
    <w:rsid w:val="00D13FC8"/>
    <w:rsid w:val="00D140A5"/>
    <w:rsid w:val="00D1411C"/>
    <w:rsid w:val="00D14123"/>
    <w:rsid w:val="00D1412F"/>
    <w:rsid w:val="00D141B6"/>
    <w:rsid w:val="00D141F9"/>
    <w:rsid w:val="00D14247"/>
    <w:rsid w:val="00D142C3"/>
    <w:rsid w:val="00D1430B"/>
    <w:rsid w:val="00D14389"/>
    <w:rsid w:val="00D143C2"/>
    <w:rsid w:val="00D14414"/>
    <w:rsid w:val="00D1446C"/>
    <w:rsid w:val="00D1453A"/>
    <w:rsid w:val="00D14609"/>
    <w:rsid w:val="00D146E3"/>
    <w:rsid w:val="00D14727"/>
    <w:rsid w:val="00D147A4"/>
    <w:rsid w:val="00D147B5"/>
    <w:rsid w:val="00D14892"/>
    <w:rsid w:val="00D1495D"/>
    <w:rsid w:val="00D14A38"/>
    <w:rsid w:val="00D14A4A"/>
    <w:rsid w:val="00D14A81"/>
    <w:rsid w:val="00D14AE3"/>
    <w:rsid w:val="00D14B97"/>
    <w:rsid w:val="00D14BBF"/>
    <w:rsid w:val="00D14E1C"/>
    <w:rsid w:val="00D14E5F"/>
    <w:rsid w:val="00D14F51"/>
    <w:rsid w:val="00D14F70"/>
    <w:rsid w:val="00D14FE0"/>
    <w:rsid w:val="00D14FF5"/>
    <w:rsid w:val="00D15113"/>
    <w:rsid w:val="00D15153"/>
    <w:rsid w:val="00D15158"/>
    <w:rsid w:val="00D151CB"/>
    <w:rsid w:val="00D1521A"/>
    <w:rsid w:val="00D1528B"/>
    <w:rsid w:val="00D152F7"/>
    <w:rsid w:val="00D1538D"/>
    <w:rsid w:val="00D15538"/>
    <w:rsid w:val="00D1561C"/>
    <w:rsid w:val="00D157A8"/>
    <w:rsid w:val="00D1581F"/>
    <w:rsid w:val="00D158D7"/>
    <w:rsid w:val="00D158E3"/>
    <w:rsid w:val="00D1591C"/>
    <w:rsid w:val="00D1595B"/>
    <w:rsid w:val="00D15974"/>
    <w:rsid w:val="00D159E8"/>
    <w:rsid w:val="00D15A16"/>
    <w:rsid w:val="00D15AEB"/>
    <w:rsid w:val="00D15B3B"/>
    <w:rsid w:val="00D15B7C"/>
    <w:rsid w:val="00D15B7D"/>
    <w:rsid w:val="00D15BDE"/>
    <w:rsid w:val="00D15C4C"/>
    <w:rsid w:val="00D15CFE"/>
    <w:rsid w:val="00D15D87"/>
    <w:rsid w:val="00D15E6D"/>
    <w:rsid w:val="00D15E75"/>
    <w:rsid w:val="00D15EF6"/>
    <w:rsid w:val="00D15FFE"/>
    <w:rsid w:val="00D16007"/>
    <w:rsid w:val="00D16010"/>
    <w:rsid w:val="00D16021"/>
    <w:rsid w:val="00D160BA"/>
    <w:rsid w:val="00D1614D"/>
    <w:rsid w:val="00D16174"/>
    <w:rsid w:val="00D1621A"/>
    <w:rsid w:val="00D16303"/>
    <w:rsid w:val="00D16374"/>
    <w:rsid w:val="00D163AB"/>
    <w:rsid w:val="00D16410"/>
    <w:rsid w:val="00D1646C"/>
    <w:rsid w:val="00D16490"/>
    <w:rsid w:val="00D1649D"/>
    <w:rsid w:val="00D16515"/>
    <w:rsid w:val="00D1651E"/>
    <w:rsid w:val="00D168A0"/>
    <w:rsid w:val="00D168A9"/>
    <w:rsid w:val="00D1692A"/>
    <w:rsid w:val="00D16993"/>
    <w:rsid w:val="00D169AE"/>
    <w:rsid w:val="00D169F3"/>
    <w:rsid w:val="00D16A71"/>
    <w:rsid w:val="00D16ACA"/>
    <w:rsid w:val="00D16BBD"/>
    <w:rsid w:val="00D16BC3"/>
    <w:rsid w:val="00D16C12"/>
    <w:rsid w:val="00D16D8C"/>
    <w:rsid w:val="00D16DB7"/>
    <w:rsid w:val="00D16E07"/>
    <w:rsid w:val="00D16E10"/>
    <w:rsid w:val="00D16E70"/>
    <w:rsid w:val="00D16F1D"/>
    <w:rsid w:val="00D16F74"/>
    <w:rsid w:val="00D16FA2"/>
    <w:rsid w:val="00D17018"/>
    <w:rsid w:val="00D1715A"/>
    <w:rsid w:val="00D171DD"/>
    <w:rsid w:val="00D17282"/>
    <w:rsid w:val="00D17333"/>
    <w:rsid w:val="00D17473"/>
    <w:rsid w:val="00D17545"/>
    <w:rsid w:val="00D1760A"/>
    <w:rsid w:val="00D1760D"/>
    <w:rsid w:val="00D17656"/>
    <w:rsid w:val="00D17684"/>
    <w:rsid w:val="00D17692"/>
    <w:rsid w:val="00D176A4"/>
    <w:rsid w:val="00D176AA"/>
    <w:rsid w:val="00D176BE"/>
    <w:rsid w:val="00D1781A"/>
    <w:rsid w:val="00D17827"/>
    <w:rsid w:val="00D178A8"/>
    <w:rsid w:val="00D179F0"/>
    <w:rsid w:val="00D17A24"/>
    <w:rsid w:val="00D17B21"/>
    <w:rsid w:val="00D17B37"/>
    <w:rsid w:val="00D17B4C"/>
    <w:rsid w:val="00D17CB5"/>
    <w:rsid w:val="00D17D43"/>
    <w:rsid w:val="00D17D9D"/>
    <w:rsid w:val="00D17DC3"/>
    <w:rsid w:val="00D17DCE"/>
    <w:rsid w:val="00D17E14"/>
    <w:rsid w:val="00D17F37"/>
    <w:rsid w:val="00D17FEC"/>
    <w:rsid w:val="00D20010"/>
    <w:rsid w:val="00D2019B"/>
    <w:rsid w:val="00D20203"/>
    <w:rsid w:val="00D20285"/>
    <w:rsid w:val="00D202A6"/>
    <w:rsid w:val="00D202C1"/>
    <w:rsid w:val="00D20348"/>
    <w:rsid w:val="00D203FD"/>
    <w:rsid w:val="00D2042D"/>
    <w:rsid w:val="00D2046D"/>
    <w:rsid w:val="00D20473"/>
    <w:rsid w:val="00D2049E"/>
    <w:rsid w:val="00D204F5"/>
    <w:rsid w:val="00D20546"/>
    <w:rsid w:val="00D2056C"/>
    <w:rsid w:val="00D20572"/>
    <w:rsid w:val="00D20583"/>
    <w:rsid w:val="00D206D6"/>
    <w:rsid w:val="00D207FB"/>
    <w:rsid w:val="00D208D1"/>
    <w:rsid w:val="00D20939"/>
    <w:rsid w:val="00D20983"/>
    <w:rsid w:val="00D20B3C"/>
    <w:rsid w:val="00D20B55"/>
    <w:rsid w:val="00D20B64"/>
    <w:rsid w:val="00D20BDD"/>
    <w:rsid w:val="00D20D1E"/>
    <w:rsid w:val="00D20DAD"/>
    <w:rsid w:val="00D2102A"/>
    <w:rsid w:val="00D21035"/>
    <w:rsid w:val="00D21091"/>
    <w:rsid w:val="00D210C5"/>
    <w:rsid w:val="00D2112A"/>
    <w:rsid w:val="00D21213"/>
    <w:rsid w:val="00D21233"/>
    <w:rsid w:val="00D21235"/>
    <w:rsid w:val="00D2123E"/>
    <w:rsid w:val="00D21295"/>
    <w:rsid w:val="00D213C2"/>
    <w:rsid w:val="00D213F6"/>
    <w:rsid w:val="00D2140C"/>
    <w:rsid w:val="00D21420"/>
    <w:rsid w:val="00D21437"/>
    <w:rsid w:val="00D214A0"/>
    <w:rsid w:val="00D214EE"/>
    <w:rsid w:val="00D21533"/>
    <w:rsid w:val="00D215F9"/>
    <w:rsid w:val="00D21623"/>
    <w:rsid w:val="00D2162F"/>
    <w:rsid w:val="00D2163C"/>
    <w:rsid w:val="00D21697"/>
    <w:rsid w:val="00D216BF"/>
    <w:rsid w:val="00D21796"/>
    <w:rsid w:val="00D217A5"/>
    <w:rsid w:val="00D218E0"/>
    <w:rsid w:val="00D219B9"/>
    <w:rsid w:val="00D21A01"/>
    <w:rsid w:val="00D21A5F"/>
    <w:rsid w:val="00D21A94"/>
    <w:rsid w:val="00D21B69"/>
    <w:rsid w:val="00D21BE3"/>
    <w:rsid w:val="00D21BE7"/>
    <w:rsid w:val="00D21C1F"/>
    <w:rsid w:val="00D21CD9"/>
    <w:rsid w:val="00D21DB4"/>
    <w:rsid w:val="00D21E29"/>
    <w:rsid w:val="00D220A9"/>
    <w:rsid w:val="00D2216F"/>
    <w:rsid w:val="00D221AB"/>
    <w:rsid w:val="00D221F4"/>
    <w:rsid w:val="00D2220A"/>
    <w:rsid w:val="00D22255"/>
    <w:rsid w:val="00D224D4"/>
    <w:rsid w:val="00D2252B"/>
    <w:rsid w:val="00D225C2"/>
    <w:rsid w:val="00D2260E"/>
    <w:rsid w:val="00D22612"/>
    <w:rsid w:val="00D226C6"/>
    <w:rsid w:val="00D22754"/>
    <w:rsid w:val="00D227AF"/>
    <w:rsid w:val="00D227B3"/>
    <w:rsid w:val="00D227D7"/>
    <w:rsid w:val="00D228B5"/>
    <w:rsid w:val="00D228E0"/>
    <w:rsid w:val="00D2293A"/>
    <w:rsid w:val="00D2296B"/>
    <w:rsid w:val="00D22997"/>
    <w:rsid w:val="00D22A5C"/>
    <w:rsid w:val="00D22ABB"/>
    <w:rsid w:val="00D22B21"/>
    <w:rsid w:val="00D22B5E"/>
    <w:rsid w:val="00D22C8A"/>
    <w:rsid w:val="00D22D26"/>
    <w:rsid w:val="00D22D8E"/>
    <w:rsid w:val="00D22DD5"/>
    <w:rsid w:val="00D22E0E"/>
    <w:rsid w:val="00D22EE7"/>
    <w:rsid w:val="00D22F80"/>
    <w:rsid w:val="00D22F8E"/>
    <w:rsid w:val="00D22FA0"/>
    <w:rsid w:val="00D22FDD"/>
    <w:rsid w:val="00D22FF7"/>
    <w:rsid w:val="00D23049"/>
    <w:rsid w:val="00D230E4"/>
    <w:rsid w:val="00D23115"/>
    <w:rsid w:val="00D231A1"/>
    <w:rsid w:val="00D23225"/>
    <w:rsid w:val="00D23249"/>
    <w:rsid w:val="00D2340F"/>
    <w:rsid w:val="00D23467"/>
    <w:rsid w:val="00D23473"/>
    <w:rsid w:val="00D234F7"/>
    <w:rsid w:val="00D2350A"/>
    <w:rsid w:val="00D235C7"/>
    <w:rsid w:val="00D2368F"/>
    <w:rsid w:val="00D236E3"/>
    <w:rsid w:val="00D2370E"/>
    <w:rsid w:val="00D2372C"/>
    <w:rsid w:val="00D237C9"/>
    <w:rsid w:val="00D23868"/>
    <w:rsid w:val="00D2393D"/>
    <w:rsid w:val="00D23977"/>
    <w:rsid w:val="00D23984"/>
    <w:rsid w:val="00D239BB"/>
    <w:rsid w:val="00D23A33"/>
    <w:rsid w:val="00D23B5B"/>
    <w:rsid w:val="00D23B6A"/>
    <w:rsid w:val="00D23B9F"/>
    <w:rsid w:val="00D23BBA"/>
    <w:rsid w:val="00D23D40"/>
    <w:rsid w:val="00D23E0D"/>
    <w:rsid w:val="00D23E48"/>
    <w:rsid w:val="00D23E87"/>
    <w:rsid w:val="00D24003"/>
    <w:rsid w:val="00D240D8"/>
    <w:rsid w:val="00D24242"/>
    <w:rsid w:val="00D24275"/>
    <w:rsid w:val="00D242BC"/>
    <w:rsid w:val="00D2436E"/>
    <w:rsid w:val="00D24381"/>
    <w:rsid w:val="00D24415"/>
    <w:rsid w:val="00D2442D"/>
    <w:rsid w:val="00D2442E"/>
    <w:rsid w:val="00D2444F"/>
    <w:rsid w:val="00D2449E"/>
    <w:rsid w:val="00D244CD"/>
    <w:rsid w:val="00D24513"/>
    <w:rsid w:val="00D24528"/>
    <w:rsid w:val="00D247D2"/>
    <w:rsid w:val="00D24829"/>
    <w:rsid w:val="00D248BB"/>
    <w:rsid w:val="00D24A72"/>
    <w:rsid w:val="00D24B00"/>
    <w:rsid w:val="00D24BE4"/>
    <w:rsid w:val="00D24BF9"/>
    <w:rsid w:val="00D24C4D"/>
    <w:rsid w:val="00D24CAC"/>
    <w:rsid w:val="00D24CE1"/>
    <w:rsid w:val="00D24CF9"/>
    <w:rsid w:val="00D24E74"/>
    <w:rsid w:val="00D24E98"/>
    <w:rsid w:val="00D24F07"/>
    <w:rsid w:val="00D2502A"/>
    <w:rsid w:val="00D250B3"/>
    <w:rsid w:val="00D2515B"/>
    <w:rsid w:val="00D251E9"/>
    <w:rsid w:val="00D2528B"/>
    <w:rsid w:val="00D25376"/>
    <w:rsid w:val="00D254A9"/>
    <w:rsid w:val="00D254E0"/>
    <w:rsid w:val="00D2552A"/>
    <w:rsid w:val="00D25548"/>
    <w:rsid w:val="00D25608"/>
    <w:rsid w:val="00D2565A"/>
    <w:rsid w:val="00D256EC"/>
    <w:rsid w:val="00D257DB"/>
    <w:rsid w:val="00D2588F"/>
    <w:rsid w:val="00D259DA"/>
    <w:rsid w:val="00D25A16"/>
    <w:rsid w:val="00D25AB5"/>
    <w:rsid w:val="00D25ADE"/>
    <w:rsid w:val="00D25B31"/>
    <w:rsid w:val="00D25C48"/>
    <w:rsid w:val="00D25C5C"/>
    <w:rsid w:val="00D25D23"/>
    <w:rsid w:val="00D25D28"/>
    <w:rsid w:val="00D25D3F"/>
    <w:rsid w:val="00D25D99"/>
    <w:rsid w:val="00D25DEB"/>
    <w:rsid w:val="00D25E30"/>
    <w:rsid w:val="00D25EB8"/>
    <w:rsid w:val="00D25EC9"/>
    <w:rsid w:val="00D25ECB"/>
    <w:rsid w:val="00D25FE6"/>
    <w:rsid w:val="00D26100"/>
    <w:rsid w:val="00D26207"/>
    <w:rsid w:val="00D26256"/>
    <w:rsid w:val="00D26262"/>
    <w:rsid w:val="00D2626C"/>
    <w:rsid w:val="00D263FC"/>
    <w:rsid w:val="00D26421"/>
    <w:rsid w:val="00D26435"/>
    <w:rsid w:val="00D2643A"/>
    <w:rsid w:val="00D264F4"/>
    <w:rsid w:val="00D26568"/>
    <w:rsid w:val="00D26647"/>
    <w:rsid w:val="00D26739"/>
    <w:rsid w:val="00D2673A"/>
    <w:rsid w:val="00D2675E"/>
    <w:rsid w:val="00D26814"/>
    <w:rsid w:val="00D26858"/>
    <w:rsid w:val="00D2692F"/>
    <w:rsid w:val="00D2695F"/>
    <w:rsid w:val="00D26BC5"/>
    <w:rsid w:val="00D26C04"/>
    <w:rsid w:val="00D26CD6"/>
    <w:rsid w:val="00D26CF5"/>
    <w:rsid w:val="00D26DAC"/>
    <w:rsid w:val="00D26DFF"/>
    <w:rsid w:val="00D26E56"/>
    <w:rsid w:val="00D26F73"/>
    <w:rsid w:val="00D27014"/>
    <w:rsid w:val="00D2702D"/>
    <w:rsid w:val="00D270BD"/>
    <w:rsid w:val="00D2714A"/>
    <w:rsid w:val="00D271B4"/>
    <w:rsid w:val="00D271F1"/>
    <w:rsid w:val="00D2722B"/>
    <w:rsid w:val="00D27265"/>
    <w:rsid w:val="00D272D8"/>
    <w:rsid w:val="00D2733A"/>
    <w:rsid w:val="00D2738E"/>
    <w:rsid w:val="00D273C2"/>
    <w:rsid w:val="00D273D0"/>
    <w:rsid w:val="00D27435"/>
    <w:rsid w:val="00D27510"/>
    <w:rsid w:val="00D27553"/>
    <w:rsid w:val="00D275B9"/>
    <w:rsid w:val="00D275F7"/>
    <w:rsid w:val="00D27630"/>
    <w:rsid w:val="00D2769A"/>
    <w:rsid w:val="00D276B2"/>
    <w:rsid w:val="00D276F8"/>
    <w:rsid w:val="00D2771B"/>
    <w:rsid w:val="00D277D3"/>
    <w:rsid w:val="00D27847"/>
    <w:rsid w:val="00D27A33"/>
    <w:rsid w:val="00D27B2B"/>
    <w:rsid w:val="00D27B75"/>
    <w:rsid w:val="00D27BC4"/>
    <w:rsid w:val="00D27CA4"/>
    <w:rsid w:val="00D27E33"/>
    <w:rsid w:val="00D27FCB"/>
    <w:rsid w:val="00D27FD1"/>
    <w:rsid w:val="00D30099"/>
    <w:rsid w:val="00D300E8"/>
    <w:rsid w:val="00D30104"/>
    <w:rsid w:val="00D3022A"/>
    <w:rsid w:val="00D3026B"/>
    <w:rsid w:val="00D30345"/>
    <w:rsid w:val="00D3040D"/>
    <w:rsid w:val="00D30572"/>
    <w:rsid w:val="00D305B9"/>
    <w:rsid w:val="00D30625"/>
    <w:rsid w:val="00D3068F"/>
    <w:rsid w:val="00D30713"/>
    <w:rsid w:val="00D30791"/>
    <w:rsid w:val="00D30892"/>
    <w:rsid w:val="00D308C1"/>
    <w:rsid w:val="00D3091D"/>
    <w:rsid w:val="00D309CB"/>
    <w:rsid w:val="00D309EE"/>
    <w:rsid w:val="00D30B30"/>
    <w:rsid w:val="00D30BEA"/>
    <w:rsid w:val="00D30CBF"/>
    <w:rsid w:val="00D30CC0"/>
    <w:rsid w:val="00D30DEA"/>
    <w:rsid w:val="00D30E3B"/>
    <w:rsid w:val="00D30EEA"/>
    <w:rsid w:val="00D30FCD"/>
    <w:rsid w:val="00D3103C"/>
    <w:rsid w:val="00D31226"/>
    <w:rsid w:val="00D31230"/>
    <w:rsid w:val="00D3126C"/>
    <w:rsid w:val="00D31278"/>
    <w:rsid w:val="00D312A4"/>
    <w:rsid w:val="00D312D8"/>
    <w:rsid w:val="00D312F6"/>
    <w:rsid w:val="00D31355"/>
    <w:rsid w:val="00D31372"/>
    <w:rsid w:val="00D31388"/>
    <w:rsid w:val="00D31483"/>
    <w:rsid w:val="00D31514"/>
    <w:rsid w:val="00D315A9"/>
    <w:rsid w:val="00D315CB"/>
    <w:rsid w:val="00D315CF"/>
    <w:rsid w:val="00D31704"/>
    <w:rsid w:val="00D31732"/>
    <w:rsid w:val="00D3183B"/>
    <w:rsid w:val="00D31979"/>
    <w:rsid w:val="00D31996"/>
    <w:rsid w:val="00D319E2"/>
    <w:rsid w:val="00D31A7B"/>
    <w:rsid w:val="00D31AB3"/>
    <w:rsid w:val="00D31BE5"/>
    <w:rsid w:val="00D31C4B"/>
    <w:rsid w:val="00D31CDB"/>
    <w:rsid w:val="00D31CDD"/>
    <w:rsid w:val="00D31D40"/>
    <w:rsid w:val="00D31D68"/>
    <w:rsid w:val="00D31D6A"/>
    <w:rsid w:val="00D31E3E"/>
    <w:rsid w:val="00D31E40"/>
    <w:rsid w:val="00D31FB6"/>
    <w:rsid w:val="00D32009"/>
    <w:rsid w:val="00D32013"/>
    <w:rsid w:val="00D320C0"/>
    <w:rsid w:val="00D320CA"/>
    <w:rsid w:val="00D32101"/>
    <w:rsid w:val="00D322D7"/>
    <w:rsid w:val="00D322E4"/>
    <w:rsid w:val="00D32362"/>
    <w:rsid w:val="00D32529"/>
    <w:rsid w:val="00D3261E"/>
    <w:rsid w:val="00D32786"/>
    <w:rsid w:val="00D32802"/>
    <w:rsid w:val="00D32841"/>
    <w:rsid w:val="00D328AE"/>
    <w:rsid w:val="00D3291C"/>
    <w:rsid w:val="00D32A43"/>
    <w:rsid w:val="00D32A77"/>
    <w:rsid w:val="00D32ACF"/>
    <w:rsid w:val="00D32B61"/>
    <w:rsid w:val="00D32BAD"/>
    <w:rsid w:val="00D32C6B"/>
    <w:rsid w:val="00D32CFC"/>
    <w:rsid w:val="00D32D47"/>
    <w:rsid w:val="00D32E58"/>
    <w:rsid w:val="00D32E75"/>
    <w:rsid w:val="00D32F7F"/>
    <w:rsid w:val="00D32FDE"/>
    <w:rsid w:val="00D330CA"/>
    <w:rsid w:val="00D3310B"/>
    <w:rsid w:val="00D33127"/>
    <w:rsid w:val="00D3316D"/>
    <w:rsid w:val="00D33172"/>
    <w:rsid w:val="00D33184"/>
    <w:rsid w:val="00D331B5"/>
    <w:rsid w:val="00D33279"/>
    <w:rsid w:val="00D3329C"/>
    <w:rsid w:val="00D332A1"/>
    <w:rsid w:val="00D3334C"/>
    <w:rsid w:val="00D3336B"/>
    <w:rsid w:val="00D33546"/>
    <w:rsid w:val="00D3354A"/>
    <w:rsid w:val="00D335A5"/>
    <w:rsid w:val="00D33793"/>
    <w:rsid w:val="00D337A8"/>
    <w:rsid w:val="00D3388F"/>
    <w:rsid w:val="00D33A8F"/>
    <w:rsid w:val="00D33AC2"/>
    <w:rsid w:val="00D33AD7"/>
    <w:rsid w:val="00D33B19"/>
    <w:rsid w:val="00D33C2D"/>
    <w:rsid w:val="00D33C7C"/>
    <w:rsid w:val="00D33CB4"/>
    <w:rsid w:val="00D33CF3"/>
    <w:rsid w:val="00D33D3E"/>
    <w:rsid w:val="00D33D80"/>
    <w:rsid w:val="00D33DDF"/>
    <w:rsid w:val="00D33ED2"/>
    <w:rsid w:val="00D33F22"/>
    <w:rsid w:val="00D33F5B"/>
    <w:rsid w:val="00D33FFE"/>
    <w:rsid w:val="00D34009"/>
    <w:rsid w:val="00D34010"/>
    <w:rsid w:val="00D34072"/>
    <w:rsid w:val="00D34120"/>
    <w:rsid w:val="00D341EB"/>
    <w:rsid w:val="00D342AA"/>
    <w:rsid w:val="00D342B0"/>
    <w:rsid w:val="00D342F8"/>
    <w:rsid w:val="00D343CE"/>
    <w:rsid w:val="00D343F9"/>
    <w:rsid w:val="00D34402"/>
    <w:rsid w:val="00D3447C"/>
    <w:rsid w:val="00D344F9"/>
    <w:rsid w:val="00D34506"/>
    <w:rsid w:val="00D346A9"/>
    <w:rsid w:val="00D346BC"/>
    <w:rsid w:val="00D3470A"/>
    <w:rsid w:val="00D3470B"/>
    <w:rsid w:val="00D34815"/>
    <w:rsid w:val="00D348C6"/>
    <w:rsid w:val="00D348D4"/>
    <w:rsid w:val="00D34917"/>
    <w:rsid w:val="00D349BC"/>
    <w:rsid w:val="00D349F8"/>
    <w:rsid w:val="00D34C6E"/>
    <w:rsid w:val="00D34CF0"/>
    <w:rsid w:val="00D34D26"/>
    <w:rsid w:val="00D34E70"/>
    <w:rsid w:val="00D34E99"/>
    <w:rsid w:val="00D34F42"/>
    <w:rsid w:val="00D34F9E"/>
    <w:rsid w:val="00D3500C"/>
    <w:rsid w:val="00D35021"/>
    <w:rsid w:val="00D3506A"/>
    <w:rsid w:val="00D3515C"/>
    <w:rsid w:val="00D3516C"/>
    <w:rsid w:val="00D351F5"/>
    <w:rsid w:val="00D35246"/>
    <w:rsid w:val="00D353A5"/>
    <w:rsid w:val="00D35402"/>
    <w:rsid w:val="00D35516"/>
    <w:rsid w:val="00D35526"/>
    <w:rsid w:val="00D35550"/>
    <w:rsid w:val="00D3558F"/>
    <w:rsid w:val="00D3571D"/>
    <w:rsid w:val="00D3597A"/>
    <w:rsid w:val="00D35AF6"/>
    <w:rsid w:val="00D35B84"/>
    <w:rsid w:val="00D35C60"/>
    <w:rsid w:val="00D35C75"/>
    <w:rsid w:val="00D35CED"/>
    <w:rsid w:val="00D35D32"/>
    <w:rsid w:val="00D35E74"/>
    <w:rsid w:val="00D35EF5"/>
    <w:rsid w:val="00D35F19"/>
    <w:rsid w:val="00D36043"/>
    <w:rsid w:val="00D36054"/>
    <w:rsid w:val="00D3608C"/>
    <w:rsid w:val="00D3619D"/>
    <w:rsid w:val="00D361BD"/>
    <w:rsid w:val="00D362AA"/>
    <w:rsid w:val="00D36434"/>
    <w:rsid w:val="00D36465"/>
    <w:rsid w:val="00D364D2"/>
    <w:rsid w:val="00D36562"/>
    <w:rsid w:val="00D36619"/>
    <w:rsid w:val="00D366B7"/>
    <w:rsid w:val="00D368E7"/>
    <w:rsid w:val="00D36916"/>
    <w:rsid w:val="00D36973"/>
    <w:rsid w:val="00D36979"/>
    <w:rsid w:val="00D36A4E"/>
    <w:rsid w:val="00D36A77"/>
    <w:rsid w:val="00D36B1F"/>
    <w:rsid w:val="00D36B20"/>
    <w:rsid w:val="00D36BC9"/>
    <w:rsid w:val="00D36BD0"/>
    <w:rsid w:val="00D36CEE"/>
    <w:rsid w:val="00D36D16"/>
    <w:rsid w:val="00D36F0A"/>
    <w:rsid w:val="00D36F1D"/>
    <w:rsid w:val="00D36F94"/>
    <w:rsid w:val="00D36FB0"/>
    <w:rsid w:val="00D37015"/>
    <w:rsid w:val="00D3705F"/>
    <w:rsid w:val="00D37095"/>
    <w:rsid w:val="00D370F3"/>
    <w:rsid w:val="00D37123"/>
    <w:rsid w:val="00D3718D"/>
    <w:rsid w:val="00D371F0"/>
    <w:rsid w:val="00D372F0"/>
    <w:rsid w:val="00D37367"/>
    <w:rsid w:val="00D37374"/>
    <w:rsid w:val="00D373AA"/>
    <w:rsid w:val="00D3749A"/>
    <w:rsid w:val="00D374BE"/>
    <w:rsid w:val="00D375C1"/>
    <w:rsid w:val="00D375DB"/>
    <w:rsid w:val="00D375F2"/>
    <w:rsid w:val="00D375FA"/>
    <w:rsid w:val="00D37665"/>
    <w:rsid w:val="00D3767D"/>
    <w:rsid w:val="00D376FD"/>
    <w:rsid w:val="00D377EC"/>
    <w:rsid w:val="00D3783D"/>
    <w:rsid w:val="00D37856"/>
    <w:rsid w:val="00D37882"/>
    <w:rsid w:val="00D37892"/>
    <w:rsid w:val="00D378DF"/>
    <w:rsid w:val="00D3791F"/>
    <w:rsid w:val="00D3792B"/>
    <w:rsid w:val="00D379DF"/>
    <w:rsid w:val="00D37A24"/>
    <w:rsid w:val="00D37A51"/>
    <w:rsid w:val="00D37AF2"/>
    <w:rsid w:val="00D37C1C"/>
    <w:rsid w:val="00D37CF3"/>
    <w:rsid w:val="00D37CFB"/>
    <w:rsid w:val="00D37D14"/>
    <w:rsid w:val="00D37DB6"/>
    <w:rsid w:val="00D37E8C"/>
    <w:rsid w:val="00D37E98"/>
    <w:rsid w:val="00D37F11"/>
    <w:rsid w:val="00D37F5A"/>
    <w:rsid w:val="00D402D0"/>
    <w:rsid w:val="00D402E4"/>
    <w:rsid w:val="00D40348"/>
    <w:rsid w:val="00D403BB"/>
    <w:rsid w:val="00D4043D"/>
    <w:rsid w:val="00D40578"/>
    <w:rsid w:val="00D406F3"/>
    <w:rsid w:val="00D40709"/>
    <w:rsid w:val="00D40788"/>
    <w:rsid w:val="00D407AE"/>
    <w:rsid w:val="00D4082C"/>
    <w:rsid w:val="00D40857"/>
    <w:rsid w:val="00D4090F"/>
    <w:rsid w:val="00D40919"/>
    <w:rsid w:val="00D409F6"/>
    <w:rsid w:val="00D40A97"/>
    <w:rsid w:val="00D40AC6"/>
    <w:rsid w:val="00D40B53"/>
    <w:rsid w:val="00D40B6B"/>
    <w:rsid w:val="00D40BDF"/>
    <w:rsid w:val="00D40BE4"/>
    <w:rsid w:val="00D40C84"/>
    <w:rsid w:val="00D40D88"/>
    <w:rsid w:val="00D40E23"/>
    <w:rsid w:val="00D40F90"/>
    <w:rsid w:val="00D40FA1"/>
    <w:rsid w:val="00D410B3"/>
    <w:rsid w:val="00D411BC"/>
    <w:rsid w:val="00D41214"/>
    <w:rsid w:val="00D41248"/>
    <w:rsid w:val="00D41273"/>
    <w:rsid w:val="00D41284"/>
    <w:rsid w:val="00D412AD"/>
    <w:rsid w:val="00D412D0"/>
    <w:rsid w:val="00D41345"/>
    <w:rsid w:val="00D41361"/>
    <w:rsid w:val="00D41377"/>
    <w:rsid w:val="00D41393"/>
    <w:rsid w:val="00D413C9"/>
    <w:rsid w:val="00D4141E"/>
    <w:rsid w:val="00D4142D"/>
    <w:rsid w:val="00D41435"/>
    <w:rsid w:val="00D41570"/>
    <w:rsid w:val="00D417B2"/>
    <w:rsid w:val="00D4183D"/>
    <w:rsid w:val="00D4193D"/>
    <w:rsid w:val="00D4193F"/>
    <w:rsid w:val="00D419B8"/>
    <w:rsid w:val="00D41A2B"/>
    <w:rsid w:val="00D41A31"/>
    <w:rsid w:val="00D41A50"/>
    <w:rsid w:val="00D41B5B"/>
    <w:rsid w:val="00D41C0B"/>
    <w:rsid w:val="00D41C53"/>
    <w:rsid w:val="00D41C9A"/>
    <w:rsid w:val="00D41CF2"/>
    <w:rsid w:val="00D41D4C"/>
    <w:rsid w:val="00D41D80"/>
    <w:rsid w:val="00D41DA1"/>
    <w:rsid w:val="00D41DDC"/>
    <w:rsid w:val="00D41DED"/>
    <w:rsid w:val="00D41E26"/>
    <w:rsid w:val="00D4201C"/>
    <w:rsid w:val="00D4206A"/>
    <w:rsid w:val="00D4206C"/>
    <w:rsid w:val="00D42083"/>
    <w:rsid w:val="00D42105"/>
    <w:rsid w:val="00D4215E"/>
    <w:rsid w:val="00D422C4"/>
    <w:rsid w:val="00D423A6"/>
    <w:rsid w:val="00D42499"/>
    <w:rsid w:val="00D425A2"/>
    <w:rsid w:val="00D425C5"/>
    <w:rsid w:val="00D425FB"/>
    <w:rsid w:val="00D42677"/>
    <w:rsid w:val="00D42707"/>
    <w:rsid w:val="00D42834"/>
    <w:rsid w:val="00D42841"/>
    <w:rsid w:val="00D429FB"/>
    <w:rsid w:val="00D42A17"/>
    <w:rsid w:val="00D42B76"/>
    <w:rsid w:val="00D42BF6"/>
    <w:rsid w:val="00D42C2D"/>
    <w:rsid w:val="00D42C3C"/>
    <w:rsid w:val="00D42C8A"/>
    <w:rsid w:val="00D42CDD"/>
    <w:rsid w:val="00D42CFB"/>
    <w:rsid w:val="00D42D0E"/>
    <w:rsid w:val="00D42D6E"/>
    <w:rsid w:val="00D42D9F"/>
    <w:rsid w:val="00D42DEF"/>
    <w:rsid w:val="00D42E72"/>
    <w:rsid w:val="00D42EC3"/>
    <w:rsid w:val="00D42ED4"/>
    <w:rsid w:val="00D42EFD"/>
    <w:rsid w:val="00D42F8B"/>
    <w:rsid w:val="00D42FF1"/>
    <w:rsid w:val="00D4302D"/>
    <w:rsid w:val="00D43051"/>
    <w:rsid w:val="00D4308E"/>
    <w:rsid w:val="00D430E6"/>
    <w:rsid w:val="00D431B4"/>
    <w:rsid w:val="00D432B0"/>
    <w:rsid w:val="00D432EE"/>
    <w:rsid w:val="00D433E7"/>
    <w:rsid w:val="00D43675"/>
    <w:rsid w:val="00D436D3"/>
    <w:rsid w:val="00D4376E"/>
    <w:rsid w:val="00D437CC"/>
    <w:rsid w:val="00D4381F"/>
    <w:rsid w:val="00D4389F"/>
    <w:rsid w:val="00D43952"/>
    <w:rsid w:val="00D439CF"/>
    <w:rsid w:val="00D43A24"/>
    <w:rsid w:val="00D43A2F"/>
    <w:rsid w:val="00D43A63"/>
    <w:rsid w:val="00D43D01"/>
    <w:rsid w:val="00D43D0F"/>
    <w:rsid w:val="00D43E73"/>
    <w:rsid w:val="00D43F71"/>
    <w:rsid w:val="00D4427F"/>
    <w:rsid w:val="00D442EC"/>
    <w:rsid w:val="00D4434C"/>
    <w:rsid w:val="00D44354"/>
    <w:rsid w:val="00D443C0"/>
    <w:rsid w:val="00D443DC"/>
    <w:rsid w:val="00D4452E"/>
    <w:rsid w:val="00D44576"/>
    <w:rsid w:val="00D445B4"/>
    <w:rsid w:val="00D44651"/>
    <w:rsid w:val="00D44808"/>
    <w:rsid w:val="00D4483C"/>
    <w:rsid w:val="00D44953"/>
    <w:rsid w:val="00D44992"/>
    <w:rsid w:val="00D449FE"/>
    <w:rsid w:val="00D44A40"/>
    <w:rsid w:val="00D44ABB"/>
    <w:rsid w:val="00D44AD5"/>
    <w:rsid w:val="00D44BB1"/>
    <w:rsid w:val="00D44BBF"/>
    <w:rsid w:val="00D44CC9"/>
    <w:rsid w:val="00D44D9D"/>
    <w:rsid w:val="00D44D9F"/>
    <w:rsid w:val="00D44DF2"/>
    <w:rsid w:val="00D44E4F"/>
    <w:rsid w:val="00D44E5D"/>
    <w:rsid w:val="00D44EFA"/>
    <w:rsid w:val="00D44F60"/>
    <w:rsid w:val="00D44F6E"/>
    <w:rsid w:val="00D44F7A"/>
    <w:rsid w:val="00D44FA6"/>
    <w:rsid w:val="00D4509F"/>
    <w:rsid w:val="00D450BE"/>
    <w:rsid w:val="00D450D3"/>
    <w:rsid w:val="00D45113"/>
    <w:rsid w:val="00D451D9"/>
    <w:rsid w:val="00D4523F"/>
    <w:rsid w:val="00D45418"/>
    <w:rsid w:val="00D4543B"/>
    <w:rsid w:val="00D4543D"/>
    <w:rsid w:val="00D454F7"/>
    <w:rsid w:val="00D455A7"/>
    <w:rsid w:val="00D455BE"/>
    <w:rsid w:val="00D455FC"/>
    <w:rsid w:val="00D45640"/>
    <w:rsid w:val="00D45668"/>
    <w:rsid w:val="00D4569F"/>
    <w:rsid w:val="00D4580B"/>
    <w:rsid w:val="00D459C3"/>
    <w:rsid w:val="00D459F0"/>
    <w:rsid w:val="00D45B1D"/>
    <w:rsid w:val="00D45BD0"/>
    <w:rsid w:val="00D45E9D"/>
    <w:rsid w:val="00D45EE8"/>
    <w:rsid w:val="00D45F39"/>
    <w:rsid w:val="00D45F73"/>
    <w:rsid w:val="00D46032"/>
    <w:rsid w:val="00D460A2"/>
    <w:rsid w:val="00D461CB"/>
    <w:rsid w:val="00D46260"/>
    <w:rsid w:val="00D462F9"/>
    <w:rsid w:val="00D46317"/>
    <w:rsid w:val="00D463EB"/>
    <w:rsid w:val="00D46456"/>
    <w:rsid w:val="00D4649C"/>
    <w:rsid w:val="00D464B3"/>
    <w:rsid w:val="00D46539"/>
    <w:rsid w:val="00D46698"/>
    <w:rsid w:val="00D46735"/>
    <w:rsid w:val="00D46820"/>
    <w:rsid w:val="00D46860"/>
    <w:rsid w:val="00D46902"/>
    <w:rsid w:val="00D46ACC"/>
    <w:rsid w:val="00D46B12"/>
    <w:rsid w:val="00D46B16"/>
    <w:rsid w:val="00D46B54"/>
    <w:rsid w:val="00D46B64"/>
    <w:rsid w:val="00D46B86"/>
    <w:rsid w:val="00D46BE5"/>
    <w:rsid w:val="00D46C40"/>
    <w:rsid w:val="00D46D6C"/>
    <w:rsid w:val="00D46F5B"/>
    <w:rsid w:val="00D46F5D"/>
    <w:rsid w:val="00D46FB0"/>
    <w:rsid w:val="00D46FD9"/>
    <w:rsid w:val="00D470F2"/>
    <w:rsid w:val="00D4715C"/>
    <w:rsid w:val="00D47272"/>
    <w:rsid w:val="00D4732E"/>
    <w:rsid w:val="00D47380"/>
    <w:rsid w:val="00D474E5"/>
    <w:rsid w:val="00D47542"/>
    <w:rsid w:val="00D4764F"/>
    <w:rsid w:val="00D47662"/>
    <w:rsid w:val="00D47667"/>
    <w:rsid w:val="00D476AD"/>
    <w:rsid w:val="00D478C6"/>
    <w:rsid w:val="00D47A22"/>
    <w:rsid w:val="00D47A61"/>
    <w:rsid w:val="00D47A94"/>
    <w:rsid w:val="00D47AC2"/>
    <w:rsid w:val="00D47B97"/>
    <w:rsid w:val="00D47BBE"/>
    <w:rsid w:val="00D47C55"/>
    <w:rsid w:val="00D47CCA"/>
    <w:rsid w:val="00D47F25"/>
    <w:rsid w:val="00D47F3E"/>
    <w:rsid w:val="00D47F64"/>
    <w:rsid w:val="00D500B9"/>
    <w:rsid w:val="00D500C4"/>
    <w:rsid w:val="00D501AA"/>
    <w:rsid w:val="00D501B8"/>
    <w:rsid w:val="00D501D7"/>
    <w:rsid w:val="00D502A8"/>
    <w:rsid w:val="00D502F1"/>
    <w:rsid w:val="00D50349"/>
    <w:rsid w:val="00D50444"/>
    <w:rsid w:val="00D50489"/>
    <w:rsid w:val="00D504D7"/>
    <w:rsid w:val="00D50527"/>
    <w:rsid w:val="00D50539"/>
    <w:rsid w:val="00D50655"/>
    <w:rsid w:val="00D506DA"/>
    <w:rsid w:val="00D50792"/>
    <w:rsid w:val="00D50807"/>
    <w:rsid w:val="00D50896"/>
    <w:rsid w:val="00D508BE"/>
    <w:rsid w:val="00D509A6"/>
    <w:rsid w:val="00D509CF"/>
    <w:rsid w:val="00D50AA8"/>
    <w:rsid w:val="00D50ABB"/>
    <w:rsid w:val="00D50AF5"/>
    <w:rsid w:val="00D50B32"/>
    <w:rsid w:val="00D50C03"/>
    <w:rsid w:val="00D50C0B"/>
    <w:rsid w:val="00D50CA1"/>
    <w:rsid w:val="00D50D56"/>
    <w:rsid w:val="00D50D6A"/>
    <w:rsid w:val="00D50DF0"/>
    <w:rsid w:val="00D50E46"/>
    <w:rsid w:val="00D50E52"/>
    <w:rsid w:val="00D50E65"/>
    <w:rsid w:val="00D50E9B"/>
    <w:rsid w:val="00D50EBC"/>
    <w:rsid w:val="00D50ECB"/>
    <w:rsid w:val="00D50F34"/>
    <w:rsid w:val="00D50FE1"/>
    <w:rsid w:val="00D51004"/>
    <w:rsid w:val="00D51119"/>
    <w:rsid w:val="00D51132"/>
    <w:rsid w:val="00D51155"/>
    <w:rsid w:val="00D51311"/>
    <w:rsid w:val="00D51334"/>
    <w:rsid w:val="00D51365"/>
    <w:rsid w:val="00D51405"/>
    <w:rsid w:val="00D5142A"/>
    <w:rsid w:val="00D5142B"/>
    <w:rsid w:val="00D51499"/>
    <w:rsid w:val="00D51537"/>
    <w:rsid w:val="00D515A2"/>
    <w:rsid w:val="00D515FF"/>
    <w:rsid w:val="00D51668"/>
    <w:rsid w:val="00D5166E"/>
    <w:rsid w:val="00D5173D"/>
    <w:rsid w:val="00D51752"/>
    <w:rsid w:val="00D51756"/>
    <w:rsid w:val="00D51818"/>
    <w:rsid w:val="00D5181F"/>
    <w:rsid w:val="00D518AE"/>
    <w:rsid w:val="00D518DE"/>
    <w:rsid w:val="00D518F2"/>
    <w:rsid w:val="00D51991"/>
    <w:rsid w:val="00D5199F"/>
    <w:rsid w:val="00D51A93"/>
    <w:rsid w:val="00D51A94"/>
    <w:rsid w:val="00D51B23"/>
    <w:rsid w:val="00D51BA8"/>
    <w:rsid w:val="00D51BD1"/>
    <w:rsid w:val="00D51CC5"/>
    <w:rsid w:val="00D51E07"/>
    <w:rsid w:val="00D51E3D"/>
    <w:rsid w:val="00D51E88"/>
    <w:rsid w:val="00D51F49"/>
    <w:rsid w:val="00D51F96"/>
    <w:rsid w:val="00D51FC5"/>
    <w:rsid w:val="00D52019"/>
    <w:rsid w:val="00D52108"/>
    <w:rsid w:val="00D5218C"/>
    <w:rsid w:val="00D521AF"/>
    <w:rsid w:val="00D5228B"/>
    <w:rsid w:val="00D52322"/>
    <w:rsid w:val="00D52337"/>
    <w:rsid w:val="00D5234A"/>
    <w:rsid w:val="00D52363"/>
    <w:rsid w:val="00D525BD"/>
    <w:rsid w:val="00D525FC"/>
    <w:rsid w:val="00D52601"/>
    <w:rsid w:val="00D5261E"/>
    <w:rsid w:val="00D528DB"/>
    <w:rsid w:val="00D52958"/>
    <w:rsid w:val="00D52959"/>
    <w:rsid w:val="00D529A1"/>
    <w:rsid w:val="00D529A7"/>
    <w:rsid w:val="00D52B1D"/>
    <w:rsid w:val="00D52B20"/>
    <w:rsid w:val="00D52BF0"/>
    <w:rsid w:val="00D52E05"/>
    <w:rsid w:val="00D52F31"/>
    <w:rsid w:val="00D52F6A"/>
    <w:rsid w:val="00D52FC2"/>
    <w:rsid w:val="00D53082"/>
    <w:rsid w:val="00D530EC"/>
    <w:rsid w:val="00D53123"/>
    <w:rsid w:val="00D531DC"/>
    <w:rsid w:val="00D53300"/>
    <w:rsid w:val="00D53342"/>
    <w:rsid w:val="00D53440"/>
    <w:rsid w:val="00D53443"/>
    <w:rsid w:val="00D53527"/>
    <w:rsid w:val="00D5357C"/>
    <w:rsid w:val="00D536CD"/>
    <w:rsid w:val="00D537C7"/>
    <w:rsid w:val="00D537F4"/>
    <w:rsid w:val="00D5384F"/>
    <w:rsid w:val="00D53879"/>
    <w:rsid w:val="00D53978"/>
    <w:rsid w:val="00D53997"/>
    <w:rsid w:val="00D539DF"/>
    <w:rsid w:val="00D539ED"/>
    <w:rsid w:val="00D539FE"/>
    <w:rsid w:val="00D53A39"/>
    <w:rsid w:val="00D53AAD"/>
    <w:rsid w:val="00D53B1C"/>
    <w:rsid w:val="00D53B9F"/>
    <w:rsid w:val="00D53C87"/>
    <w:rsid w:val="00D53DDA"/>
    <w:rsid w:val="00D53E02"/>
    <w:rsid w:val="00D53E50"/>
    <w:rsid w:val="00D53E85"/>
    <w:rsid w:val="00D53EC9"/>
    <w:rsid w:val="00D53EFC"/>
    <w:rsid w:val="00D53F15"/>
    <w:rsid w:val="00D53F40"/>
    <w:rsid w:val="00D53F54"/>
    <w:rsid w:val="00D5401F"/>
    <w:rsid w:val="00D5407C"/>
    <w:rsid w:val="00D5413D"/>
    <w:rsid w:val="00D541F1"/>
    <w:rsid w:val="00D542BA"/>
    <w:rsid w:val="00D54367"/>
    <w:rsid w:val="00D543AC"/>
    <w:rsid w:val="00D544B5"/>
    <w:rsid w:val="00D544D1"/>
    <w:rsid w:val="00D545CB"/>
    <w:rsid w:val="00D54673"/>
    <w:rsid w:val="00D54698"/>
    <w:rsid w:val="00D546D3"/>
    <w:rsid w:val="00D546D6"/>
    <w:rsid w:val="00D54720"/>
    <w:rsid w:val="00D54770"/>
    <w:rsid w:val="00D54775"/>
    <w:rsid w:val="00D547EE"/>
    <w:rsid w:val="00D54886"/>
    <w:rsid w:val="00D54A02"/>
    <w:rsid w:val="00D54A64"/>
    <w:rsid w:val="00D54A8D"/>
    <w:rsid w:val="00D54B0C"/>
    <w:rsid w:val="00D54B1B"/>
    <w:rsid w:val="00D54BBC"/>
    <w:rsid w:val="00D54BC3"/>
    <w:rsid w:val="00D54C66"/>
    <w:rsid w:val="00D54DD4"/>
    <w:rsid w:val="00D54E4D"/>
    <w:rsid w:val="00D54E5E"/>
    <w:rsid w:val="00D54E61"/>
    <w:rsid w:val="00D55098"/>
    <w:rsid w:val="00D550D1"/>
    <w:rsid w:val="00D550F8"/>
    <w:rsid w:val="00D5515C"/>
    <w:rsid w:val="00D553EA"/>
    <w:rsid w:val="00D554B6"/>
    <w:rsid w:val="00D554BD"/>
    <w:rsid w:val="00D554C2"/>
    <w:rsid w:val="00D55647"/>
    <w:rsid w:val="00D55648"/>
    <w:rsid w:val="00D55651"/>
    <w:rsid w:val="00D5574A"/>
    <w:rsid w:val="00D557C6"/>
    <w:rsid w:val="00D5580E"/>
    <w:rsid w:val="00D5584E"/>
    <w:rsid w:val="00D5587B"/>
    <w:rsid w:val="00D55900"/>
    <w:rsid w:val="00D55CED"/>
    <w:rsid w:val="00D55D2C"/>
    <w:rsid w:val="00D55D71"/>
    <w:rsid w:val="00D55D76"/>
    <w:rsid w:val="00D55EEC"/>
    <w:rsid w:val="00D55F8F"/>
    <w:rsid w:val="00D560A4"/>
    <w:rsid w:val="00D560CE"/>
    <w:rsid w:val="00D56149"/>
    <w:rsid w:val="00D56288"/>
    <w:rsid w:val="00D562AD"/>
    <w:rsid w:val="00D562E7"/>
    <w:rsid w:val="00D56395"/>
    <w:rsid w:val="00D564EE"/>
    <w:rsid w:val="00D56525"/>
    <w:rsid w:val="00D5656E"/>
    <w:rsid w:val="00D5659B"/>
    <w:rsid w:val="00D5659D"/>
    <w:rsid w:val="00D5659F"/>
    <w:rsid w:val="00D5662F"/>
    <w:rsid w:val="00D566BB"/>
    <w:rsid w:val="00D56833"/>
    <w:rsid w:val="00D56935"/>
    <w:rsid w:val="00D5696D"/>
    <w:rsid w:val="00D5699F"/>
    <w:rsid w:val="00D56B8B"/>
    <w:rsid w:val="00D56BFA"/>
    <w:rsid w:val="00D56C01"/>
    <w:rsid w:val="00D56C56"/>
    <w:rsid w:val="00D56C98"/>
    <w:rsid w:val="00D56E33"/>
    <w:rsid w:val="00D56FB1"/>
    <w:rsid w:val="00D56FE7"/>
    <w:rsid w:val="00D5711E"/>
    <w:rsid w:val="00D571A5"/>
    <w:rsid w:val="00D5737C"/>
    <w:rsid w:val="00D573ED"/>
    <w:rsid w:val="00D57466"/>
    <w:rsid w:val="00D574E9"/>
    <w:rsid w:val="00D5754A"/>
    <w:rsid w:val="00D5754B"/>
    <w:rsid w:val="00D5764B"/>
    <w:rsid w:val="00D576DB"/>
    <w:rsid w:val="00D576DC"/>
    <w:rsid w:val="00D5771E"/>
    <w:rsid w:val="00D5782E"/>
    <w:rsid w:val="00D57964"/>
    <w:rsid w:val="00D57965"/>
    <w:rsid w:val="00D57A11"/>
    <w:rsid w:val="00D57A9C"/>
    <w:rsid w:val="00D57B11"/>
    <w:rsid w:val="00D57BC7"/>
    <w:rsid w:val="00D57C91"/>
    <w:rsid w:val="00D57DBE"/>
    <w:rsid w:val="00D57DDD"/>
    <w:rsid w:val="00D57E04"/>
    <w:rsid w:val="00D57E4C"/>
    <w:rsid w:val="00D57E5D"/>
    <w:rsid w:val="00D57F20"/>
    <w:rsid w:val="00D60004"/>
    <w:rsid w:val="00D60058"/>
    <w:rsid w:val="00D60213"/>
    <w:rsid w:val="00D603B0"/>
    <w:rsid w:val="00D603CC"/>
    <w:rsid w:val="00D60427"/>
    <w:rsid w:val="00D60430"/>
    <w:rsid w:val="00D60519"/>
    <w:rsid w:val="00D6062C"/>
    <w:rsid w:val="00D60649"/>
    <w:rsid w:val="00D606BB"/>
    <w:rsid w:val="00D607D5"/>
    <w:rsid w:val="00D60942"/>
    <w:rsid w:val="00D6094C"/>
    <w:rsid w:val="00D609E2"/>
    <w:rsid w:val="00D60A04"/>
    <w:rsid w:val="00D60AEB"/>
    <w:rsid w:val="00D60BDA"/>
    <w:rsid w:val="00D60C44"/>
    <w:rsid w:val="00D60C62"/>
    <w:rsid w:val="00D60D5A"/>
    <w:rsid w:val="00D60F27"/>
    <w:rsid w:val="00D61005"/>
    <w:rsid w:val="00D6100B"/>
    <w:rsid w:val="00D61046"/>
    <w:rsid w:val="00D6115B"/>
    <w:rsid w:val="00D611C6"/>
    <w:rsid w:val="00D6126A"/>
    <w:rsid w:val="00D6126D"/>
    <w:rsid w:val="00D612AF"/>
    <w:rsid w:val="00D6143E"/>
    <w:rsid w:val="00D6148A"/>
    <w:rsid w:val="00D614F1"/>
    <w:rsid w:val="00D614F8"/>
    <w:rsid w:val="00D61669"/>
    <w:rsid w:val="00D6168B"/>
    <w:rsid w:val="00D616DA"/>
    <w:rsid w:val="00D6176B"/>
    <w:rsid w:val="00D617A0"/>
    <w:rsid w:val="00D61835"/>
    <w:rsid w:val="00D6183B"/>
    <w:rsid w:val="00D6195D"/>
    <w:rsid w:val="00D619E3"/>
    <w:rsid w:val="00D61ADC"/>
    <w:rsid w:val="00D61B8E"/>
    <w:rsid w:val="00D61BE4"/>
    <w:rsid w:val="00D61C5C"/>
    <w:rsid w:val="00D61D66"/>
    <w:rsid w:val="00D61E08"/>
    <w:rsid w:val="00D61E4E"/>
    <w:rsid w:val="00D61E88"/>
    <w:rsid w:val="00D61F14"/>
    <w:rsid w:val="00D61F60"/>
    <w:rsid w:val="00D61FB7"/>
    <w:rsid w:val="00D62144"/>
    <w:rsid w:val="00D622BF"/>
    <w:rsid w:val="00D62340"/>
    <w:rsid w:val="00D62354"/>
    <w:rsid w:val="00D6247F"/>
    <w:rsid w:val="00D624D6"/>
    <w:rsid w:val="00D6252A"/>
    <w:rsid w:val="00D62543"/>
    <w:rsid w:val="00D62589"/>
    <w:rsid w:val="00D625EE"/>
    <w:rsid w:val="00D6260C"/>
    <w:rsid w:val="00D62656"/>
    <w:rsid w:val="00D6266F"/>
    <w:rsid w:val="00D62716"/>
    <w:rsid w:val="00D627F9"/>
    <w:rsid w:val="00D62989"/>
    <w:rsid w:val="00D62A52"/>
    <w:rsid w:val="00D62A86"/>
    <w:rsid w:val="00D62AC6"/>
    <w:rsid w:val="00D62ACE"/>
    <w:rsid w:val="00D62AF2"/>
    <w:rsid w:val="00D62B03"/>
    <w:rsid w:val="00D62CD7"/>
    <w:rsid w:val="00D62D30"/>
    <w:rsid w:val="00D62E5A"/>
    <w:rsid w:val="00D62ED5"/>
    <w:rsid w:val="00D62F0B"/>
    <w:rsid w:val="00D62F21"/>
    <w:rsid w:val="00D62FC3"/>
    <w:rsid w:val="00D6303F"/>
    <w:rsid w:val="00D630A2"/>
    <w:rsid w:val="00D630BB"/>
    <w:rsid w:val="00D630C2"/>
    <w:rsid w:val="00D630C3"/>
    <w:rsid w:val="00D63101"/>
    <w:rsid w:val="00D63190"/>
    <w:rsid w:val="00D63325"/>
    <w:rsid w:val="00D6335D"/>
    <w:rsid w:val="00D633D7"/>
    <w:rsid w:val="00D63411"/>
    <w:rsid w:val="00D63530"/>
    <w:rsid w:val="00D6356B"/>
    <w:rsid w:val="00D6358A"/>
    <w:rsid w:val="00D635A9"/>
    <w:rsid w:val="00D6361C"/>
    <w:rsid w:val="00D636AF"/>
    <w:rsid w:val="00D636CC"/>
    <w:rsid w:val="00D63866"/>
    <w:rsid w:val="00D638F6"/>
    <w:rsid w:val="00D6394A"/>
    <w:rsid w:val="00D6395D"/>
    <w:rsid w:val="00D6398B"/>
    <w:rsid w:val="00D63997"/>
    <w:rsid w:val="00D63A26"/>
    <w:rsid w:val="00D63A43"/>
    <w:rsid w:val="00D63B90"/>
    <w:rsid w:val="00D63C25"/>
    <w:rsid w:val="00D63C7D"/>
    <w:rsid w:val="00D63CC1"/>
    <w:rsid w:val="00D63D4D"/>
    <w:rsid w:val="00D63D73"/>
    <w:rsid w:val="00D63DEF"/>
    <w:rsid w:val="00D63EBD"/>
    <w:rsid w:val="00D63F2E"/>
    <w:rsid w:val="00D63FE6"/>
    <w:rsid w:val="00D6402E"/>
    <w:rsid w:val="00D6411B"/>
    <w:rsid w:val="00D64166"/>
    <w:rsid w:val="00D64246"/>
    <w:rsid w:val="00D642B2"/>
    <w:rsid w:val="00D642BC"/>
    <w:rsid w:val="00D6432F"/>
    <w:rsid w:val="00D64408"/>
    <w:rsid w:val="00D64410"/>
    <w:rsid w:val="00D64772"/>
    <w:rsid w:val="00D647A3"/>
    <w:rsid w:val="00D648B6"/>
    <w:rsid w:val="00D648BB"/>
    <w:rsid w:val="00D64922"/>
    <w:rsid w:val="00D6494D"/>
    <w:rsid w:val="00D64952"/>
    <w:rsid w:val="00D64955"/>
    <w:rsid w:val="00D64992"/>
    <w:rsid w:val="00D649A1"/>
    <w:rsid w:val="00D64B25"/>
    <w:rsid w:val="00D64B30"/>
    <w:rsid w:val="00D64BBB"/>
    <w:rsid w:val="00D64BC0"/>
    <w:rsid w:val="00D64FE9"/>
    <w:rsid w:val="00D6501A"/>
    <w:rsid w:val="00D6504E"/>
    <w:rsid w:val="00D6504F"/>
    <w:rsid w:val="00D65070"/>
    <w:rsid w:val="00D650CA"/>
    <w:rsid w:val="00D65126"/>
    <w:rsid w:val="00D65179"/>
    <w:rsid w:val="00D651D7"/>
    <w:rsid w:val="00D65319"/>
    <w:rsid w:val="00D6533A"/>
    <w:rsid w:val="00D6539E"/>
    <w:rsid w:val="00D65410"/>
    <w:rsid w:val="00D6543A"/>
    <w:rsid w:val="00D6544D"/>
    <w:rsid w:val="00D655A7"/>
    <w:rsid w:val="00D655FA"/>
    <w:rsid w:val="00D6571C"/>
    <w:rsid w:val="00D65767"/>
    <w:rsid w:val="00D65861"/>
    <w:rsid w:val="00D658A8"/>
    <w:rsid w:val="00D65922"/>
    <w:rsid w:val="00D659D4"/>
    <w:rsid w:val="00D65A20"/>
    <w:rsid w:val="00D65A55"/>
    <w:rsid w:val="00D65AEE"/>
    <w:rsid w:val="00D65BCC"/>
    <w:rsid w:val="00D65BF0"/>
    <w:rsid w:val="00D65C1C"/>
    <w:rsid w:val="00D65C2E"/>
    <w:rsid w:val="00D65CBD"/>
    <w:rsid w:val="00D65CEA"/>
    <w:rsid w:val="00D65D73"/>
    <w:rsid w:val="00D65DA6"/>
    <w:rsid w:val="00D65F2A"/>
    <w:rsid w:val="00D65FD7"/>
    <w:rsid w:val="00D662DD"/>
    <w:rsid w:val="00D66417"/>
    <w:rsid w:val="00D664B4"/>
    <w:rsid w:val="00D664D5"/>
    <w:rsid w:val="00D664F7"/>
    <w:rsid w:val="00D6650A"/>
    <w:rsid w:val="00D6651B"/>
    <w:rsid w:val="00D6653A"/>
    <w:rsid w:val="00D6662C"/>
    <w:rsid w:val="00D666B8"/>
    <w:rsid w:val="00D666D8"/>
    <w:rsid w:val="00D6677F"/>
    <w:rsid w:val="00D66858"/>
    <w:rsid w:val="00D668A5"/>
    <w:rsid w:val="00D668BE"/>
    <w:rsid w:val="00D66A02"/>
    <w:rsid w:val="00D66A40"/>
    <w:rsid w:val="00D66A54"/>
    <w:rsid w:val="00D66AD4"/>
    <w:rsid w:val="00D66B8D"/>
    <w:rsid w:val="00D66BA0"/>
    <w:rsid w:val="00D66BB9"/>
    <w:rsid w:val="00D66BE7"/>
    <w:rsid w:val="00D66C32"/>
    <w:rsid w:val="00D66C56"/>
    <w:rsid w:val="00D66CF0"/>
    <w:rsid w:val="00D66F14"/>
    <w:rsid w:val="00D66F1F"/>
    <w:rsid w:val="00D66FD2"/>
    <w:rsid w:val="00D66FE1"/>
    <w:rsid w:val="00D67021"/>
    <w:rsid w:val="00D67074"/>
    <w:rsid w:val="00D67086"/>
    <w:rsid w:val="00D670CB"/>
    <w:rsid w:val="00D6715A"/>
    <w:rsid w:val="00D67206"/>
    <w:rsid w:val="00D6731B"/>
    <w:rsid w:val="00D67357"/>
    <w:rsid w:val="00D67445"/>
    <w:rsid w:val="00D67482"/>
    <w:rsid w:val="00D6761E"/>
    <w:rsid w:val="00D67790"/>
    <w:rsid w:val="00D678CA"/>
    <w:rsid w:val="00D678F6"/>
    <w:rsid w:val="00D679DD"/>
    <w:rsid w:val="00D67A99"/>
    <w:rsid w:val="00D67AB1"/>
    <w:rsid w:val="00D67B73"/>
    <w:rsid w:val="00D67C40"/>
    <w:rsid w:val="00D67CC5"/>
    <w:rsid w:val="00D67CCA"/>
    <w:rsid w:val="00D67DF8"/>
    <w:rsid w:val="00D67E57"/>
    <w:rsid w:val="00D67FA7"/>
    <w:rsid w:val="00D70033"/>
    <w:rsid w:val="00D7004B"/>
    <w:rsid w:val="00D70089"/>
    <w:rsid w:val="00D701FD"/>
    <w:rsid w:val="00D702C5"/>
    <w:rsid w:val="00D70350"/>
    <w:rsid w:val="00D70355"/>
    <w:rsid w:val="00D70454"/>
    <w:rsid w:val="00D704FA"/>
    <w:rsid w:val="00D7050E"/>
    <w:rsid w:val="00D70519"/>
    <w:rsid w:val="00D70535"/>
    <w:rsid w:val="00D7059E"/>
    <w:rsid w:val="00D705F4"/>
    <w:rsid w:val="00D70663"/>
    <w:rsid w:val="00D70777"/>
    <w:rsid w:val="00D709E2"/>
    <w:rsid w:val="00D709F9"/>
    <w:rsid w:val="00D70B07"/>
    <w:rsid w:val="00D70B74"/>
    <w:rsid w:val="00D70C0F"/>
    <w:rsid w:val="00D70D78"/>
    <w:rsid w:val="00D70DA5"/>
    <w:rsid w:val="00D70E01"/>
    <w:rsid w:val="00D70EC0"/>
    <w:rsid w:val="00D70F0B"/>
    <w:rsid w:val="00D70F70"/>
    <w:rsid w:val="00D70FC5"/>
    <w:rsid w:val="00D70FDD"/>
    <w:rsid w:val="00D71028"/>
    <w:rsid w:val="00D71118"/>
    <w:rsid w:val="00D71167"/>
    <w:rsid w:val="00D7137B"/>
    <w:rsid w:val="00D714EB"/>
    <w:rsid w:val="00D71547"/>
    <w:rsid w:val="00D715DB"/>
    <w:rsid w:val="00D7167C"/>
    <w:rsid w:val="00D71794"/>
    <w:rsid w:val="00D717E1"/>
    <w:rsid w:val="00D71855"/>
    <w:rsid w:val="00D71925"/>
    <w:rsid w:val="00D71938"/>
    <w:rsid w:val="00D71997"/>
    <w:rsid w:val="00D71A28"/>
    <w:rsid w:val="00D71B51"/>
    <w:rsid w:val="00D71C9E"/>
    <w:rsid w:val="00D71D1F"/>
    <w:rsid w:val="00D71DD0"/>
    <w:rsid w:val="00D71E2F"/>
    <w:rsid w:val="00D71EC4"/>
    <w:rsid w:val="00D71FEB"/>
    <w:rsid w:val="00D720F7"/>
    <w:rsid w:val="00D7211C"/>
    <w:rsid w:val="00D721A9"/>
    <w:rsid w:val="00D722EB"/>
    <w:rsid w:val="00D7234E"/>
    <w:rsid w:val="00D723F7"/>
    <w:rsid w:val="00D72460"/>
    <w:rsid w:val="00D72533"/>
    <w:rsid w:val="00D7259A"/>
    <w:rsid w:val="00D7259C"/>
    <w:rsid w:val="00D725AF"/>
    <w:rsid w:val="00D725C8"/>
    <w:rsid w:val="00D726A8"/>
    <w:rsid w:val="00D726CF"/>
    <w:rsid w:val="00D726E1"/>
    <w:rsid w:val="00D729E9"/>
    <w:rsid w:val="00D729FC"/>
    <w:rsid w:val="00D72A12"/>
    <w:rsid w:val="00D72B16"/>
    <w:rsid w:val="00D72C9C"/>
    <w:rsid w:val="00D72D1C"/>
    <w:rsid w:val="00D72D2B"/>
    <w:rsid w:val="00D72D6C"/>
    <w:rsid w:val="00D72DF7"/>
    <w:rsid w:val="00D72F7F"/>
    <w:rsid w:val="00D7302F"/>
    <w:rsid w:val="00D73234"/>
    <w:rsid w:val="00D73248"/>
    <w:rsid w:val="00D732BD"/>
    <w:rsid w:val="00D7330C"/>
    <w:rsid w:val="00D73324"/>
    <w:rsid w:val="00D7336A"/>
    <w:rsid w:val="00D73379"/>
    <w:rsid w:val="00D7343D"/>
    <w:rsid w:val="00D73457"/>
    <w:rsid w:val="00D73468"/>
    <w:rsid w:val="00D73586"/>
    <w:rsid w:val="00D735B9"/>
    <w:rsid w:val="00D735D4"/>
    <w:rsid w:val="00D7365D"/>
    <w:rsid w:val="00D736A8"/>
    <w:rsid w:val="00D73747"/>
    <w:rsid w:val="00D73825"/>
    <w:rsid w:val="00D7382C"/>
    <w:rsid w:val="00D7383F"/>
    <w:rsid w:val="00D73928"/>
    <w:rsid w:val="00D73936"/>
    <w:rsid w:val="00D73A89"/>
    <w:rsid w:val="00D73C15"/>
    <w:rsid w:val="00D73CC3"/>
    <w:rsid w:val="00D73D08"/>
    <w:rsid w:val="00D73FCB"/>
    <w:rsid w:val="00D74055"/>
    <w:rsid w:val="00D7408A"/>
    <w:rsid w:val="00D7413E"/>
    <w:rsid w:val="00D741A0"/>
    <w:rsid w:val="00D74228"/>
    <w:rsid w:val="00D74269"/>
    <w:rsid w:val="00D74346"/>
    <w:rsid w:val="00D743FA"/>
    <w:rsid w:val="00D7441E"/>
    <w:rsid w:val="00D74703"/>
    <w:rsid w:val="00D7479D"/>
    <w:rsid w:val="00D747AC"/>
    <w:rsid w:val="00D7485E"/>
    <w:rsid w:val="00D74925"/>
    <w:rsid w:val="00D74B8B"/>
    <w:rsid w:val="00D74C29"/>
    <w:rsid w:val="00D74C38"/>
    <w:rsid w:val="00D74C8F"/>
    <w:rsid w:val="00D74DEE"/>
    <w:rsid w:val="00D74E0C"/>
    <w:rsid w:val="00D74E5E"/>
    <w:rsid w:val="00D74FA5"/>
    <w:rsid w:val="00D74FB5"/>
    <w:rsid w:val="00D7509B"/>
    <w:rsid w:val="00D750C5"/>
    <w:rsid w:val="00D750DB"/>
    <w:rsid w:val="00D7517B"/>
    <w:rsid w:val="00D75215"/>
    <w:rsid w:val="00D7521E"/>
    <w:rsid w:val="00D7522B"/>
    <w:rsid w:val="00D75240"/>
    <w:rsid w:val="00D752FE"/>
    <w:rsid w:val="00D7535E"/>
    <w:rsid w:val="00D753D3"/>
    <w:rsid w:val="00D753DE"/>
    <w:rsid w:val="00D7546D"/>
    <w:rsid w:val="00D754BD"/>
    <w:rsid w:val="00D7554C"/>
    <w:rsid w:val="00D755AF"/>
    <w:rsid w:val="00D7572E"/>
    <w:rsid w:val="00D75835"/>
    <w:rsid w:val="00D75849"/>
    <w:rsid w:val="00D758C7"/>
    <w:rsid w:val="00D75A19"/>
    <w:rsid w:val="00D75CB1"/>
    <w:rsid w:val="00D75D7C"/>
    <w:rsid w:val="00D75DDB"/>
    <w:rsid w:val="00D75E28"/>
    <w:rsid w:val="00D75E41"/>
    <w:rsid w:val="00D75ED1"/>
    <w:rsid w:val="00D75F28"/>
    <w:rsid w:val="00D75FF9"/>
    <w:rsid w:val="00D76037"/>
    <w:rsid w:val="00D76048"/>
    <w:rsid w:val="00D760AD"/>
    <w:rsid w:val="00D760EF"/>
    <w:rsid w:val="00D760F6"/>
    <w:rsid w:val="00D7612E"/>
    <w:rsid w:val="00D76134"/>
    <w:rsid w:val="00D761BB"/>
    <w:rsid w:val="00D76278"/>
    <w:rsid w:val="00D763B1"/>
    <w:rsid w:val="00D7642A"/>
    <w:rsid w:val="00D76436"/>
    <w:rsid w:val="00D76560"/>
    <w:rsid w:val="00D765DB"/>
    <w:rsid w:val="00D7686B"/>
    <w:rsid w:val="00D768A6"/>
    <w:rsid w:val="00D768F6"/>
    <w:rsid w:val="00D76909"/>
    <w:rsid w:val="00D769FC"/>
    <w:rsid w:val="00D76A05"/>
    <w:rsid w:val="00D76A72"/>
    <w:rsid w:val="00D76AE9"/>
    <w:rsid w:val="00D76B01"/>
    <w:rsid w:val="00D76B06"/>
    <w:rsid w:val="00D76C03"/>
    <w:rsid w:val="00D76C0B"/>
    <w:rsid w:val="00D76C39"/>
    <w:rsid w:val="00D76C45"/>
    <w:rsid w:val="00D76D26"/>
    <w:rsid w:val="00D76D3D"/>
    <w:rsid w:val="00D76DBA"/>
    <w:rsid w:val="00D76E58"/>
    <w:rsid w:val="00D76E8E"/>
    <w:rsid w:val="00D77078"/>
    <w:rsid w:val="00D770ED"/>
    <w:rsid w:val="00D770F6"/>
    <w:rsid w:val="00D772A3"/>
    <w:rsid w:val="00D772C8"/>
    <w:rsid w:val="00D772E6"/>
    <w:rsid w:val="00D77321"/>
    <w:rsid w:val="00D77392"/>
    <w:rsid w:val="00D773A5"/>
    <w:rsid w:val="00D77411"/>
    <w:rsid w:val="00D7741F"/>
    <w:rsid w:val="00D77511"/>
    <w:rsid w:val="00D7759D"/>
    <w:rsid w:val="00D77650"/>
    <w:rsid w:val="00D778E0"/>
    <w:rsid w:val="00D7793A"/>
    <w:rsid w:val="00D779AD"/>
    <w:rsid w:val="00D77A1F"/>
    <w:rsid w:val="00D77A4D"/>
    <w:rsid w:val="00D77ABA"/>
    <w:rsid w:val="00D77B7F"/>
    <w:rsid w:val="00D77BBA"/>
    <w:rsid w:val="00D77BCA"/>
    <w:rsid w:val="00D77C87"/>
    <w:rsid w:val="00D77D0E"/>
    <w:rsid w:val="00D77E4F"/>
    <w:rsid w:val="00D77F7A"/>
    <w:rsid w:val="00D77FE6"/>
    <w:rsid w:val="00D8005F"/>
    <w:rsid w:val="00D8010A"/>
    <w:rsid w:val="00D80126"/>
    <w:rsid w:val="00D80183"/>
    <w:rsid w:val="00D80232"/>
    <w:rsid w:val="00D8023A"/>
    <w:rsid w:val="00D8029D"/>
    <w:rsid w:val="00D8040B"/>
    <w:rsid w:val="00D80419"/>
    <w:rsid w:val="00D80434"/>
    <w:rsid w:val="00D80493"/>
    <w:rsid w:val="00D80545"/>
    <w:rsid w:val="00D805B8"/>
    <w:rsid w:val="00D8065C"/>
    <w:rsid w:val="00D806CA"/>
    <w:rsid w:val="00D807ED"/>
    <w:rsid w:val="00D8086E"/>
    <w:rsid w:val="00D808EC"/>
    <w:rsid w:val="00D80946"/>
    <w:rsid w:val="00D80A07"/>
    <w:rsid w:val="00D80AA1"/>
    <w:rsid w:val="00D80B2D"/>
    <w:rsid w:val="00D80BA2"/>
    <w:rsid w:val="00D80C79"/>
    <w:rsid w:val="00D80D76"/>
    <w:rsid w:val="00D80DBD"/>
    <w:rsid w:val="00D80ED5"/>
    <w:rsid w:val="00D80EEF"/>
    <w:rsid w:val="00D81019"/>
    <w:rsid w:val="00D8103C"/>
    <w:rsid w:val="00D81094"/>
    <w:rsid w:val="00D8115D"/>
    <w:rsid w:val="00D81181"/>
    <w:rsid w:val="00D81490"/>
    <w:rsid w:val="00D81536"/>
    <w:rsid w:val="00D815A8"/>
    <w:rsid w:val="00D815B3"/>
    <w:rsid w:val="00D815D0"/>
    <w:rsid w:val="00D815F3"/>
    <w:rsid w:val="00D816E8"/>
    <w:rsid w:val="00D8170B"/>
    <w:rsid w:val="00D81774"/>
    <w:rsid w:val="00D817B3"/>
    <w:rsid w:val="00D817CD"/>
    <w:rsid w:val="00D81804"/>
    <w:rsid w:val="00D8192C"/>
    <w:rsid w:val="00D8197C"/>
    <w:rsid w:val="00D81AE5"/>
    <w:rsid w:val="00D81B19"/>
    <w:rsid w:val="00D81B8C"/>
    <w:rsid w:val="00D81C75"/>
    <w:rsid w:val="00D81D38"/>
    <w:rsid w:val="00D81E6D"/>
    <w:rsid w:val="00D81E9F"/>
    <w:rsid w:val="00D81F74"/>
    <w:rsid w:val="00D81FE4"/>
    <w:rsid w:val="00D8201A"/>
    <w:rsid w:val="00D821EA"/>
    <w:rsid w:val="00D82291"/>
    <w:rsid w:val="00D822F6"/>
    <w:rsid w:val="00D82440"/>
    <w:rsid w:val="00D82479"/>
    <w:rsid w:val="00D8249A"/>
    <w:rsid w:val="00D824F3"/>
    <w:rsid w:val="00D824FA"/>
    <w:rsid w:val="00D8253A"/>
    <w:rsid w:val="00D82560"/>
    <w:rsid w:val="00D825D6"/>
    <w:rsid w:val="00D825DE"/>
    <w:rsid w:val="00D8262C"/>
    <w:rsid w:val="00D82817"/>
    <w:rsid w:val="00D82839"/>
    <w:rsid w:val="00D82888"/>
    <w:rsid w:val="00D828A9"/>
    <w:rsid w:val="00D82949"/>
    <w:rsid w:val="00D82B09"/>
    <w:rsid w:val="00D82C69"/>
    <w:rsid w:val="00D82C6E"/>
    <w:rsid w:val="00D82C8C"/>
    <w:rsid w:val="00D82C9A"/>
    <w:rsid w:val="00D82CC3"/>
    <w:rsid w:val="00D82D85"/>
    <w:rsid w:val="00D82E3C"/>
    <w:rsid w:val="00D82E8E"/>
    <w:rsid w:val="00D82E9C"/>
    <w:rsid w:val="00D82F27"/>
    <w:rsid w:val="00D82F56"/>
    <w:rsid w:val="00D8301C"/>
    <w:rsid w:val="00D8304F"/>
    <w:rsid w:val="00D83063"/>
    <w:rsid w:val="00D830B1"/>
    <w:rsid w:val="00D8313F"/>
    <w:rsid w:val="00D8327B"/>
    <w:rsid w:val="00D83287"/>
    <w:rsid w:val="00D83389"/>
    <w:rsid w:val="00D8345B"/>
    <w:rsid w:val="00D83553"/>
    <w:rsid w:val="00D835DD"/>
    <w:rsid w:val="00D835E3"/>
    <w:rsid w:val="00D83701"/>
    <w:rsid w:val="00D8371D"/>
    <w:rsid w:val="00D837B8"/>
    <w:rsid w:val="00D83923"/>
    <w:rsid w:val="00D83934"/>
    <w:rsid w:val="00D839D0"/>
    <w:rsid w:val="00D83A11"/>
    <w:rsid w:val="00D83A66"/>
    <w:rsid w:val="00D83A99"/>
    <w:rsid w:val="00D83ACF"/>
    <w:rsid w:val="00D83B2F"/>
    <w:rsid w:val="00D83B5D"/>
    <w:rsid w:val="00D83B5E"/>
    <w:rsid w:val="00D83B86"/>
    <w:rsid w:val="00D83C3D"/>
    <w:rsid w:val="00D83C76"/>
    <w:rsid w:val="00D83C79"/>
    <w:rsid w:val="00D83DE2"/>
    <w:rsid w:val="00D83F43"/>
    <w:rsid w:val="00D83F74"/>
    <w:rsid w:val="00D83F80"/>
    <w:rsid w:val="00D83FC4"/>
    <w:rsid w:val="00D84037"/>
    <w:rsid w:val="00D84039"/>
    <w:rsid w:val="00D841A8"/>
    <w:rsid w:val="00D841F3"/>
    <w:rsid w:val="00D84267"/>
    <w:rsid w:val="00D84341"/>
    <w:rsid w:val="00D84364"/>
    <w:rsid w:val="00D84380"/>
    <w:rsid w:val="00D844CF"/>
    <w:rsid w:val="00D8458F"/>
    <w:rsid w:val="00D845C1"/>
    <w:rsid w:val="00D845CE"/>
    <w:rsid w:val="00D8468C"/>
    <w:rsid w:val="00D847B6"/>
    <w:rsid w:val="00D84890"/>
    <w:rsid w:val="00D84964"/>
    <w:rsid w:val="00D84994"/>
    <w:rsid w:val="00D84A0B"/>
    <w:rsid w:val="00D84A17"/>
    <w:rsid w:val="00D84BBA"/>
    <w:rsid w:val="00D84BD4"/>
    <w:rsid w:val="00D84BF8"/>
    <w:rsid w:val="00D84C53"/>
    <w:rsid w:val="00D84C72"/>
    <w:rsid w:val="00D84E4C"/>
    <w:rsid w:val="00D84F55"/>
    <w:rsid w:val="00D84F6E"/>
    <w:rsid w:val="00D84FFA"/>
    <w:rsid w:val="00D85117"/>
    <w:rsid w:val="00D851B4"/>
    <w:rsid w:val="00D851C6"/>
    <w:rsid w:val="00D85287"/>
    <w:rsid w:val="00D852D0"/>
    <w:rsid w:val="00D85368"/>
    <w:rsid w:val="00D854BB"/>
    <w:rsid w:val="00D854C1"/>
    <w:rsid w:val="00D8551C"/>
    <w:rsid w:val="00D85611"/>
    <w:rsid w:val="00D85646"/>
    <w:rsid w:val="00D8564B"/>
    <w:rsid w:val="00D8564E"/>
    <w:rsid w:val="00D85713"/>
    <w:rsid w:val="00D85723"/>
    <w:rsid w:val="00D85735"/>
    <w:rsid w:val="00D85769"/>
    <w:rsid w:val="00D857B1"/>
    <w:rsid w:val="00D8588E"/>
    <w:rsid w:val="00D858F1"/>
    <w:rsid w:val="00D85BBA"/>
    <w:rsid w:val="00D85C89"/>
    <w:rsid w:val="00D85D2D"/>
    <w:rsid w:val="00D85D91"/>
    <w:rsid w:val="00D85DE1"/>
    <w:rsid w:val="00D85E03"/>
    <w:rsid w:val="00D85E74"/>
    <w:rsid w:val="00D85F9A"/>
    <w:rsid w:val="00D86055"/>
    <w:rsid w:val="00D86081"/>
    <w:rsid w:val="00D8616A"/>
    <w:rsid w:val="00D861F6"/>
    <w:rsid w:val="00D8637B"/>
    <w:rsid w:val="00D863F8"/>
    <w:rsid w:val="00D86431"/>
    <w:rsid w:val="00D86444"/>
    <w:rsid w:val="00D864A8"/>
    <w:rsid w:val="00D864D2"/>
    <w:rsid w:val="00D864F9"/>
    <w:rsid w:val="00D86690"/>
    <w:rsid w:val="00D86699"/>
    <w:rsid w:val="00D866FC"/>
    <w:rsid w:val="00D8689C"/>
    <w:rsid w:val="00D868CD"/>
    <w:rsid w:val="00D86A6B"/>
    <w:rsid w:val="00D86A98"/>
    <w:rsid w:val="00D86B05"/>
    <w:rsid w:val="00D86B37"/>
    <w:rsid w:val="00D86C6C"/>
    <w:rsid w:val="00D86D39"/>
    <w:rsid w:val="00D86E07"/>
    <w:rsid w:val="00D86E87"/>
    <w:rsid w:val="00D86EF0"/>
    <w:rsid w:val="00D86EFE"/>
    <w:rsid w:val="00D86F20"/>
    <w:rsid w:val="00D86F2C"/>
    <w:rsid w:val="00D86F5F"/>
    <w:rsid w:val="00D86F6D"/>
    <w:rsid w:val="00D86F76"/>
    <w:rsid w:val="00D86FB6"/>
    <w:rsid w:val="00D8709A"/>
    <w:rsid w:val="00D87180"/>
    <w:rsid w:val="00D8730C"/>
    <w:rsid w:val="00D87312"/>
    <w:rsid w:val="00D873CB"/>
    <w:rsid w:val="00D873EF"/>
    <w:rsid w:val="00D87438"/>
    <w:rsid w:val="00D87503"/>
    <w:rsid w:val="00D8751C"/>
    <w:rsid w:val="00D87661"/>
    <w:rsid w:val="00D8768E"/>
    <w:rsid w:val="00D87709"/>
    <w:rsid w:val="00D8776F"/>
    <w:rsid w:val="00D87788"/>
    <w:rsid w:val="00D87882"/>
    <w:rsid w:val="00D878EB"/>
    <w:rsid w:val="00D87967"/>
    <w:rsid w:val="00D8796F"/>
    <w:rsid w:val="00D87A74"/>
    <w:rsid w:val="00D87B48"/>
    <w:rsid w:val="00D87CBB"/>
    <w:rsid w:val="00D87D87"/>
    <w:rsid w:val="00D87D9A"/>
    <w:rsid w:val="00D87DF6"/>
    <w:rsid w:val="00D87E25"/>
    <w:rsid w:val="00D87EA8"/>
    <w:rsid w:val="00D87EFB"/>
    <w:rsid w:val="00D87F10"/>
    <w:rsid w:val="00D87F56"/>
    <w:rsid w:val="00D87F83"/>
    <w:rsid w:val="00D87F8A"/>
    <w:rsid w:val="00D90012"/>
    <w:rsid w:val="00D90141"/>
    <w:rsid w:val="00D9014F"/>
    <w:rsid w:val="00D901E2"/>
    <w:rsid w:val="00D901EC"/>
    <w:rsid w:val="00D90344"/>
    <w:rsid w:val="00D9040D"/>
    <w:rsid w:val="00D904E5"/>
    <w:rsid w:val="00D9052E"/>
    <w:rsid w:val="00D90553"/>
    <w:rsid w:val="00D905C4"/>
    <w:rsid w:val="00D906E5"/>
    <w:rsid w:val="00D90726"/>
    <w:rsid w:val="00D9080C"/>
    <w:rsid w:val="00D908D1"/>
    <w:rsid w:val="00D908F6"/>
    <w:rsid w:val="00D909E1"/>
    <w:rsid w:val="00D90A85"/>
    <w:rsid w:val="00D90ADE"/>
    <w:rsid w:val="00D90ADF"/>
    <w:rsid w:val="00D90B52"/>
    <w:rsid w:val="00D90BE7"/>
    <w:rsid w:val="00D90C43"/>
    <w:rsid w:val="00D90C4F"/>
    <w:rsid w:val="00D90CDD"/>
    <w:rsid w:val="00D90CFA"/>
    <w:rsid w:val="00D90D51"/>
    <w:rsid w:val="00D90D8D"/>
    <w:rsid w:val="00D90E04"/>
    <w:rsid w:val="00D90E6B"/>
    <w:rsid w:val="00D90F57"/>
    <w:rsid w:val="00D90FB6"/>
    <w:rsid w:val="00D91139"/>
    <w:rsid w:val="00D912C0"/>
    <w:rsid w:val="00D91367"/>
    <w:rsid w:val="00D9136D"/>
    <w:rsid w:val="00D91462"/>
    <w:rsid w:val="00D914D6"/>
    <w:rsid w:val="00D9156A"/>
    <w:rsid w:val="00D91680"/>
    <w:rsid w:val="00D91726"/>
    <w:rsid w:val="00D9172A"/>
    <w:rsid w:val="00D9186A"/>
    <w:rsid w:val="00D91942"/>
    <w:rsid w:val="00D91A77"/>
    <w:rsid w:val="00D91A80"/>
    <w:rsid w:val="00D91AFC"/>
    <w:rsid w:val="00D91C6C"/>
    <w:rsid w:val="00D91DA7"/>
    <w:rsid w:val="00D91DF6"/>
    <w:rsid w:val="00D91DFD"/>
    <w:rsid w:val="00D91E6A"/>
    <w:rsid w:val="00D91EA3"/>
    <w:rsid w:val="00D91EB1"/>
    <w:rsid w:val="00D91F01"/>
    <w:rsid w:val="00D91F18"/>
    <w:rsid w:val="00D91F3D"/>
    <w:rsid w:val="00D92000"/>
    <w:rsid w:val="00D9221E"/>
    <w:rsid w:val="00D9225F"/>
    <w:rsid w:val="00D9228E"/>
    <w:rsid w:val="00D92307"/>
    <w:rsid w:val="00D9232D"/>
    <w:rsid w:val="00D92428"/>
    <w:rsid w:val="00D9258C"/>
    <w:rsid w:val="00D925E1"/>
    <w:rsid w:val="00D927D7"/>
    <w:rsid w:val="00D927F1"/>
    <w:rsid w:val="00D92835"/>
    <w:rsid w:val="00D92853"/>
    <w:rsid w:val="00D928AA"/>
    <w:rsid w:val="00D9298B"/>
    <w:rsid w:val="00D92A80"/>
    <w:rsid w:val="00D92A8E"/>
    <w:rsid w:val="00D92AA3"/>
    <w:rsid w:val="00D92AFC"/>
    <w:rsid w:val="00D92B33"/>
    <w:rsid w:val="00D92B3A"/>
    <w:rsid w:val="00D92B64"/>
    <w:rsid w:val="00D92CCC"/>
    <w:rsid w:val="00D92CF2"/>
    <w:rsid w:val="00D92D01"/>
    <w:rsid w:val="00D92D1B"/>
    <w:rsid w:val="00D92E04"/>
    <w:rsid w:val="00D92E24"/>
    <w:rsid w:val="00D92E26"/>
    <w:rsid w:val="00D92E44"/>
    <w:rsid w:val="00D92EA8"/>
    <w:rsid w:val="00D92EF7"/>
    <w:rsid w:val="00D92F3F"/>
    <w:rsid w:val="00D92F92"/>
    <w:rsid w:val="00D92FC0"/>
    <w:rsid w:val="00D93069"/>
    <w:rsid w:val="00D93072"/>
    <w:rsid w:val="00D93157"/>
    <w:rsid w:val="00D931DC"/>
    <w:rsid w:val="00D932A1"/>
    <w:rsid w:val="00D932B4"/>
    <w:rsid w:val="00D93321"/>
    <w:rsid w:val="00D933B4"/>
    <w:rsid w:val="00D93471"/>
    <w:rsid w:val="00D93495"/>
    <w:rsid w:val="00D934B4"/>
    <w:rsid w:val="00D934CF"/>
    <w:rsid w:val="00D934E8"/>
    <w:rsid w:val="00D93529"/>
    <w:rsid w:val="00D93534"/>
    <w:rsid w:val="00D9365F"/>
    <w:rsid w:val="00D93669"/>
    <w:rsid w:val="00D93677"/>
    <w:rsid w:val="00D93697"/>
    <w:rsid w:val="00D93715"/>
    <w:rsid w:val="00D937F1"/>
    <w:rsid w:val="00D93924"/>
    <w:rsid w:val="00D93944"/>
    <w:rsid w:val="00D93AB8"/>
    <w:rsid w:val="00D93B57"/>
    <w:rsid w:val="00D93B91"/>
    <w:rsid w:val="00D93BCC"/>
    <w:rsid w:val="00D93C3D"/>
    <w:rsid w:val="00D93CC9"/>
    <w:rsid w:val="00D93D4D"/>
    <w:rsid w:val="00D93E27"/>
    <w:rsid w:val="00D93E44"/>
    <w:rsid w:val="00D93E45"/>
    <w:rsid w:val="00D93E5A"/>
    <w:rsid w:val="00D93E6E"/>
    <w:rsid w:val="00D93FA3"/>
    <w:rsid w:val="00D94006"/>
    <w:rsid w:val="00D94051"/>
    <w:rsid w:val="00D9410F"/>
    <w:rsid w:val="00D9411D"/>
    <w:rsid w:val="00D9419D"/>
    <w:rsid w:val="00D941DA"/>
    <w:rsid w:val="00D94223"/>
    <w:rsid w:val="00D942A9"/>
    <w:rsid w:val="00D94337"/>
    <w:rsid w:val="00D943CA"/>
    <w:rsid w:val="00D945CB"/>
    <w:rsid w:val="00D9467E"/>
    <w:rsid w:val="00D9469B"/>
    <w:rsid w:val="00D946DA"/>
    <w:rsid w:val="00D947B1"/>
    <w:rsid w:val="00D948A4"/>
    <w:rsid w:val="00D948CE"/>
    <w:rsid w:val="00D94A07"/>
    <w:rsid w:val="00D94AE9"/>
    <w:rsid w:val="00D94BCF"/>
    <w:rsid w:val="00D94C26"/>
    <w:rsid w:val="00D94C4C"/>
    <w:rsid w:val="00D94D67"/>
    <w:rsid w:val="00D94E74"/>
    <w:rsid w:val="00D94EB2"/>
    <w:rsid w:val="00D94F24"/>
    <w:rsid w:val="00D94F2E"/>
    <w:rsid w:val="00D94F69"/>
    <w:rsid w:val="00D95029"/>
    <w:rsid w:val="00D9502B"/>
    <w:rsid w:val="00D950E3"/>
    <w:rsid w:val="00D950EC"/>
    <w:rsid w:val="00D95106"/>
    <w:rsid w:val="00D95111"/>
    <w:rsid w:val="00D951AB"/>
    <w:rsid w:val="00D9523D"/>
    <w:rsid w:val="00D9524E"/>
    <w:rsid w:val="00D95260"/>
    <w:rsid w:val="00D95276"/>
    <w:rsid w:val="00D95283"/>
    <w:rsid w:val="00D952F0"/>
    <w:rsid w:val="00D95342"/>
    <w:rsid w:val="00D9537F"/>
    <w:rsid w:val="00D95492"/>
    <w:rsid w:val="00D954EC"/>
    <w:rsid w:val="00D95505"/>
    <w:rsid w:val="00D9552E"/>
    <w:rsid w:val="00D95548"/>
    <w:rsid w:val="00D955B2"/>
    <w:rsid w:val="00D9561D"/>
    <w:rsid w:val="00D9565D"/>
    <w:rsid w:val="00D95750"/>
    <w:rsid w:val="00D957A8"/>
    <w:rsid w:val="00D9588B"/>
    <w:rsid w:val="00D95924"/>
    <w:rsid w:val="00D9599C"/>
    <w:rsid w:val="00D95A21"/>
    <w:rsid w:val="00D95A76"/>
    <w:rsid w:val="00D95A79"/>
    <w:rsid w:val="00D95A9A"/>
    <w:rsid w:val="00D95AC3"/>
    <w:rsid w:val="00D95AFC"/>
    <w:rsid w:val="00D95B15"/>
    <w:rsid w:val="00D95B59"/>
    <w:rsid w:val="00D95D1A"/>
    <w:rsid w:val="00D95D69"/>
    <w:rsid w:val="00D95E22"/>
    <w:rsid w:val="00D95E29"/>
    <w:rsid w:val="00D95EE5"/>
    <w:rsid w:val="00D96250"/>
    <w:rsid w:val="00D962AC"/>
    <w:rsid w:val="00D962F4"/>
    <w:rsid w:val="00D96368"/>
    <w:rsid w:val="00D9638D"/>
    <w:rsid w:val="00D96392"/>
    <w:rsid w:val="00D9642B"/>
    <w:rsid w:val="00D9649B"/>
    <w:rsid w:val="00D964EE"/>
    <w:rsid w:val="00D96524"/>
    <w:rsid w:val="00D96565"/>
    <w:rsid w:val="00D96662"/>
    <w:rsid w:val="00D9670D"/>
    <w:rsid w:val="00D96787"/>
    <w:rsid w:val="00D9679A"/>
    <w:rsid w:val="00D967EC"/>
    <w:rsid w:val="00D96884"/>
    <w:rsid w:val="00D9696A"/>
    <w:rsid w:val="00D969C9"/>
    <w:rsid w:val="00D96A74"/>
    <w:rsid w:val="00D96AD3"/>
    <w:rsid w:val="00D96B42"/>
    <w:rsid w:val="00D96B90"/>
    <w:rsid w:val="00D96BA7"/>
    <w:rsid w:val="00D96CFB"/>
    <w:rsid w:val="00D96D1F"/>
    <w:rsid w:val="00D96D28"/>
    <w:rsid w:val="00D96E7E"/>
    <w:rsid w:val="00D96EB6"/>
    <w:rsid w:val="00D96EE9"/>
    <w:rsid w:val="00D96F65"/>
    <w:rsid w:val="00D96F8D"/>
    <w:rsid w:val="00D96FEE"/>
    <w:rsid w:val="00D9704B"/>
    <w:rsid w:val="00D97128"/>
    <w:rsid w:val="00D9717A"/>
    <w:rsid w:val="00D97197"/>
    <w:rsid w:val="00D9720B"/>
    <w:rsid w:val="00D972DF"/>
    <w:rsid w:val="00D97393"/>
    <w:rsid w:val="00D97479"/>
    <w:rsid w:val="00D97480"/>
    <w:rsid w:val="00D9757C"/>
    <w:rsid w:val="00D9757D"/>
    <w:rsid w:val="00D976A5"/>
    <w:rsid w:val="00D97745"/>
    <w:rsid w:val="00D97759"/>
    <w:rsid w:val="00D97905"/>
    <w:rsid w:val="00D97982"/>
    <w:rsid w:val="00D97A00"/>
    <w:rsid w:val="00D97AEB"/>
    <w:rsid w:val="00D97B34"/>
    <w:rsid w:val="00D97B94"/>
    <w:rsid w:val="00D97BA5"/>
    <w:rsid w:val="00D97BBC"/>
    <w:rsid w:val="00D97BD1"/>
    <w:rsid w:val="00D97BE2"/>
    <w:rsid w:val="00D97C2E"/>
    <w:rsid w:val="00D97C6E"/>
    <w:rsid w:val="00D97CDA"/>
    <w:rsid w:val="00D97D00"/>
    <w:rsid w:val="00D97D0E"/>
    <w:rsid w:val="00D97D8F"/>
    <w:rsid w:val="00D97DC8"/>
    <w:rsid w:val="00D97EFC"/>
    <w:rsid w:val="00D97F98"/>
    <w:rsid w:val="00D9C8DA"/>
    <w:rsid w:val="00DA00B7"/>
    <w:rsid w:val="00DA015C"/>
    <w:rsid w:val="00DA01DD"/>
    <w:rsid w:val="00DA0236"/>
    <w:rsid w:val="00DA030D"/>
    <w:rsid w:val="00DA054F"/>
    <w:rsid w:val="00DA0552"/>
    <w:rsid w:val="00DA0629"/>
    <w:rsid w:val="00DA0973"/>
    <w:rsid w:val="00DA0987"/>
    <w:rsid w:val="00DA0A5D"/>
    <w:rsid w:val="00DA0AC7"/>
    <w:rsid w:val="00DA0ADA"/>
    <w:rsid w:val="00DA0B00"/>
    <w:rsid w:val="00DA0C0D"/>
    <w:rsid w:val="00DA0C26"/>
    <w:rsid w:val="00DA0CA1"/>
    <w:rsid w:val="00DA0CAE"/>
    <w:rsid w:val="00DA0D08"/>
    <w:rsid w:val="00DA0D57"/>
    <w:rsid w:val="00DA0E48"/>
    <w:rsid w:val="00DA0ECB"/>
    <w:rsid w:val="00DA0FBA"/>
    <w:rsid w:val="00DA0FD7"/>
    <w:rsid w:val="00DA1091"/>
    <w:rsid w:val="00DA1116"/>
    <w:rsid w:val="00DA1125"/>
    <w:rsid w:val="00DA1145"/>
    <w:rsid w:val="00DA1150"/>
    <w:rsid w:val="00DA1151"/>
    <w:rsid w:val="00DA11EF"/>
    <w:rsid w:val="00DA1234"/>
    <w:rsid w:val="00DA1236"/>
    <w:rsid w:val="00DA1256"/>
    <w:rsid w:val="00DA1265"/>
    <w:rsid w:val="00DA1278"/>
    <w:rsid w:val="00DA12F0"/>
    <w:rsid w:val="00DA136C"/>
    <w:rsid w:val="00DA150C"/>
    <w:rsid w:val="00DA15D8"/>
    <w:rsid w:val="00DA16AE"/>
    <w:rsid w:val="00DA16CD"/>
    <w:rsid w:val="00DA16E6"/>
    <w:rsid w:val="00DA1839"/>
    <w:rsid w:val="00DA1844"/>
    <w:rsid w:val="00DA19B3"/>
    <w:rsid w:val="00DA1A22"/>
    <w:rsid w:val="00DA1B77"/>
    <w:rsid w:val="00DA1BF5"/>
    <w:rsid w:val="00DA1C14"/>
    <w:rsid w:val="00DA1C1D"/>
    <w:rsid w:val="00DA1C7E"/>
    <w:rsid w:val="00DA1C8D"/>
    <w:rsid w:val="00DA1D4F"/>
    <w:rsid w:val="00DA1D5C"/>
    <w:rsid w:val="00DA1E83"/>
    <w:rsid w:val="00DA1E95"/>
    <w:rsid w:val="00DA1F0B"/>
    <w:rsid w:val="00DA2072"/>
    <w:rsid w:val="00DA218A"/>
    <w:rsid w:val="00DA22AB"/>
    <w:rsid w:val="00DA22E2"/>
    <w:rsid w:val="00DA2303"/>
    <w:rsid w:val="00DA2444"/>
    <w:rsid w:val="00DA246C"/>
    <w:rsid w:val="00DA246F"/>
    <w:rsid w:val="00DA24F6"/>
    <w:rsid w:val="00DA25F7"/>
    <w:rsid w:val="00DA2605"/>
    <w:rsid w:val="00DA270C"/>
    <w:rsid w:val="00DA2712"/>
    <w:rsid w:val="00DA2755"/>
    <w:rsid w:val="00DA279F"/>
    <w:rsid w:val="00DA2843"/>
    <w:rsid w:val="00DA28D1"/>
    <w:rsid w:val="00DA295D"/>
    <w:rsid w:val="00DA2988"/>
    <w:rsid w:val="00DA298D"/>
    <w:rsid w:val="00DA2A1F"/>
    <w:rsid w:val="00DA2AC6"/>
    <w:rsid w:val="00DA2AC7"/>
    <w:rsid w:val="00DA2AD7"/>
    <w:rsid w:val="00DA2B44"/>
    <w:rsid w:val="00DA2B89"/>
    <w:rsid w:val="00DA2CD4"/>
    <w:rsid w:val="00DA2D0F"/>
    <w:rsid w:val="00DA2D3B"/>
    <w:rsid w:val="00DA2DCA"/>
    <w:rsid w:val="00DA2DCF"/>
    <w:rsid w:val="00DA2E75"/>
    <w:rsid w:val="00DA2E97"/>
    <w:rsid w:val="00DA2F8D"/>
    <w:rsid w:val="00DA3017"/>
    <w:rsid w:val="00DA3023"/>
    <w:rsid w:val="00DA3144"/>
    <w:rsid w:val="00DA31A7"/>
    <w:rsid w:val="00DA31BB"/>
    <w:rsid w:val="00DA3285"/>
    <w:rsid w:val="00DA3323"/>
    <w:rsid w:val="00DA3360"/>
    <w:rsid w:val="00DA340B"/>
    <w:rsid w:val="00DA34C8"/>
    <w:rsid w:val="00DA34D8"/>
    <w:rsid w:val="00DA3518"/>
    <w:rsid w:val="00DA352E"/>
    <w:rsid w:val="00DA354D"/>
    <w:rsid w:val="00DA3575"/>
    <w:rsid w:val="00DA3580"/>
    <w:rsid w:val="00DA3609"/>
    <w:rsid w:val="00DA360D"/>
    <w:rsid w:val="00DA362D"/>
    <w:rsid w:val="00DA3640"/>
    <w:rsid w:val="00DA3716"/>
    <w:rsid w:val="00DA3718"/>
    <w:rsid w:val="00DA3729"/>
    <w:rsid w:val="00DA381F"/>
    <w:rsid w:val="00DA388A"/>
    <w:rsid w:val="00DA393F"/>
    <w:rsid w:val="00DA3A01"/>
    <w:rsid w:val="00DA3A6B"/>
    <w:rsid w:val="00DA3BC7"/>
    <w:rsid w:val="00DA3D69"/>
    <w:rsid w:val="00DA3E65"/>
    <w:rsid w:val="00DA3EA7"/>
    <w:rsid w:val="00DA3EFA"/>
    <w:rsid w:val="00DA3F15"/>
    <w:rsid w:val="00DA3FA8"/>
    <w:rsid w:val="00DA3FC3"/>
    <w:rsid w:val="00DA3FD5"/>
    <w:rsid w:val="00DA407A"/>
    <w:rsid w:val="00DA417D"/>
    <w:rsid w:val="00DA4180"/>
    <w:rsid w:val="00DA4184"/>
    <w:rsid w:val="00DA41FB"/>
    <w:rsid w:val="00DA4264"/>
    <w:rsid w:val="00DA42E1"/>
    <w:rsid w:val="00DA436A"/>
    <w:rsid w:val="00DA4426"/>
    <w:rsid w:val="00DA4459"/>
    <w:rsid w:val="00DA44E2"/>
    <w:rsid w:val="00DA44F5"/>
    <w:rsid w:val="00DA459B"/>
    <w:rsid w:val="00DA4629"/>
    <w:rsid w:val="00DA4643"/>
    <w:rsid w:val="00DA465A"/>
    <w:rsid w:val="00DA466B"/>
    <w:rsid w:val="00DA4684"/>
    <w:rsid w:val="00DA4700"/>
    <w:rsid w:val="00DA4739"/>
    <w:rsid w:val="00DA473E"/>
    <w:rsid w:val="00DA4763"/>
    <w:rsid w:val="00DA47E7"/>
    <w:rsid w:val="00DA483E"/>
    <w:rsid w:val="00DA488A"/>
    <w:rsid w:val="00DA4903"/>
    <w:rsid w:val="00DA4999"/>
    <w:rsid w:val="00DA49F3"/>
    <w:rsid w:val="00DA49F4"/>
    <w:rsid w:val="00DA4A32"/>
    <w:rsid w:val="00DA4A77"/>
    <w:rsid w:val="00DA4A9B"/>
    <w:rsid w:val="00DA4B51"/>
    <w:rsid w:val="00DA4BE4"/>
    <w:rsid w:val="00DA4C0F"/>
    <w:rsid w:val="00DA4C18"/>
    <w:rsid w:val="00DA4C4E"/>
    <w:rsid w:val="00DA4CB9"/>
    <w:rsid w:val="00DA4D34"/>
    <w:rsid w:val="00DA4DD2"/>
    <w:rsid w:val="00DA4DD3"/>
    <w:rsid w:val="00DA4E29"/>
    <w:rsid w:val="00DA4F17"/>
    <w:rsid w:val="00DA4F36"/>
    <w:rsid w:val="00DA5014"/>
    <w:rsid w:val="00DA5029"/>
    <w:rsid w:val="00DA5144"/>
    <w:rsid w:val="00DA519E"/>
    <w:rsid w:val="00DA5259"/>
    <w:rsid w:val="00DA5278"/>
    <w:rsid w:val="00DA52CE"/>
    <w:rsid w:val="00DA52DE"/>
    <w:rsid w:val="00DA52FE"/>
    <w:rsid w:val="00DA5331"/>
    <w:rsid w:val="00DA541B"/>
    <w:rsid w:val="00DA544D"/>
    <w:rsid w:val="00DA5484"/>
    <w:rsid w:val="00DA5493"/>
    <w:rsid w:val="00DA5697"/>
    <w:rsid w:val="00DA56B9"/>
    <w:rsid w:val="00DA56DA"/>
    <w:rsid w:val="00DA5722"/>
    <w:rsid w:val="00DA581C"/>
    <w:rsid w:val="00DA5831"/>
    <w:rsid w:val="00DA58C2"/>
    <w:rsid w:val="00DA58D5"/>
    <w:rsid w:val="00DA59B0"/>
    <w:rsid w:val="00DA59C5"/>
    <w:rsid w:val="00DA5A5D"/>
    <w:rsid w:val="00DA5A7D"/>
    <w:rsid w:val="00DA5ADA"/>
    <w:rsid w:val="00DA5B31"/>
    <w:rsid w:val="00DA5B66"/>
    <w:rsid w:val="00DA5C72"/>
    <w:rsid w:val="00DA5CE5"/>
    <w:rsid w:val="00DA5E6A"/>
    <w:rsid w:val="00DA5E6E"/>
    <w:rsid w:val="00DA5E7A"/>
    <w:rsid w:val="00DA60DE"/>
    <w:rsid w:val="00DA611D"/>
    <w:rsid w:val="00DA6163"/>
    <w:rsid w:val="00DA6267"/>
    <w:rsid w:val="00DA63FF"/>
    <w:rsid w:val="00DA6482"/>
    <w:rsid w:val="00DA64DA"/>
    <w:rsid w:val="00DA652A"/>
    <w:rsid w:val="00DA664A"/>
    <w:rsid w:val="00DA664F"/>
    <w:rsid w:val="00DA66AC"/>
    <w:rsid w:val="00DA66D6"/>
    <w:rsid w:val="00DA672D"/>
    <w:rsid w:val="00DA6837"/>
    <w:rsid w:val="00DA68A7"/>
    <w:rsid w:val="00DA68BD"/>
    <w:rsid w:val="00DA6916"/>
    <w:rsid w:val="00DA6923"/>
    <w:rsid w:val="00DA699A"/>
    <w:rsid w:val="00DA699D"/>
    <w:rsid w:val="00DA69A2"/>
    <w:rsid w:val="00DA6B0A"/>
    <w:rsid w:val="00DA6B7E"/>
    <w:rsid w:val="00DA6BDA"/>
    <w:rsid w:val="00DA6DB3"/>
    <w:rsid w:val="00DA6E4F"/>
    <w:rsid w:val="00DA6E52"/>
    <w:rsid w:val="00DA6ED7"/>
    <w:rsid w:val="00DA701E"/>
    <w:rsid w:val="00DA7168"/>
    <w:rsid w:val="00DA7171"/>
    <w:rsid w:val="00DA718C"/>
    <w:rsid w:val="00DA7221"/>
    <w:rsid w:val="00DA7258"/>
    <w:rsid w:val="00DA7338"/>
    <w:rsid w:val="00DA737C"/>
    <w:rsid w:val="00DA73AE"/>
    <w:rsid w:val="00DA7403"/>
    <w:rsid w:val="00DA74A2"/>
    <w:rsid w:val="00DA76A2"/>
    <w:rsid w:val="00DA76FE"/>
    <w:rsid w:val="00DA7871"/>
    <w:rsid w:val="00DA78BC"/>
    <w:rsid w:val="00DA79A3"/>
    <w:rsid w:val="00DA7C28"/>
    <w:rsid w:val="00DA7CD4"/>
    <w:rsid w:val="00DA7D14"/>
    <w:rsid w:val="00DA7D27"/>
    <w:rsid w:val="00DA7DA0"/>
    <w:rsid w:val="00DA7DA8"/>
    <w:rsid w:val="00DA7DFF"/>
    <w:rsid w:val="00DA7E4C"/>
    <w:rsid w:val="00DA7EE2"/>
    <w:rsid w:val="00DA7F34"/>
    <w:rsid w:val="00DA7FEF"/>
    <w:rsid w:val="00DB004A"/>
    <w:rsid w:val="00DB012E"/>
    <w:rsid w:val="00DB03A7"/>
    <w:rsid w:val="00DB0462"/>
    <w:rsid w:val="00DB0475"/>
    <w:rsid w:val="00DB04A3"/>
    <w:rsid w:val="00DB053F"/>
    <w:rsid w:val="00DB056F"/>
    <w:rsid w:val="00DB0581"/>
    <w:rsid w:val="00DB0643"/>
    <w:rsid w:val="00DB06A4"/>
    <w:rsid w:val="00DB06E9"/>
    <w:rsid w:val="00DB06F8"/>
    <w:rsid w:val="00DB0778"/>
    <w:rsid w:val="00DB0855"/>
    <w:rsid w:val="00DB0861"/>
    <w:rsid w:val="00DB0A69"/>
    <w:rsid w:val="00DB0B31"/>
    <w:rsid w:val="00DB0B5D"/>
    <w:rsid w:val="00DB0B72"/>
    <w:rsid w:val="00DB0BF3"/>
    <w:rsid w:val="00DB0BF7"/>
    <w:rsid w:val="00DB0C1A"/>
    <w:rsid w:val="00DB0C2B"/>
    <w:rsid w:val="00DB0C62"/>
    <w:rsid w:val="00DB0CB7"/>
    <w:rsid w:val="00DB0CC8"/>
    <w:rsid w:val="00DB0D51"/>
    <w:rsid w:val="00DB0E96"/>
    <w:rsid w:val="00DB0F3D"/>
    <w:rsid w:val="00DB0F53"/>
    <w:rsid w:val="00DB0F8D"/>
    <w:rsid w:val="00DB10A6"/>
    <w:rsid w:val="00DB10DA"/>
    <w:rsid w:val="00DB1125"/>
    <w:rsid w:val="00DB11FC"/>
    <w:rsid w:val="00DB12EC"/>
    <w:rsid w:val="00DB130D"/>
    <w:rsid w:val="00DB13DA"/>
    <w:rsid w:val="00DB1424"/>
    <w:rsid w:val="00DB147B"/>
    <w:rsid w:val="00DB1560"/>
    <w:rsid w:val="00DB166F"/>
    <w:rsid w:val="00DB1692"/>
    <w:rsid w:val="00DB16BC"/>
    <w:rsid w:val="00DB1710"/>
    <w:rsid w:val="00DB171B"/>
    <w:rsid w:val="00DB1818"/>
    <w:rsid w:val="00DB1962"/>
    <w:rsid w:val="00DB197B"/>
    <w:rsid w:val="00DB1992"/>
    <w:rsid w:val="00DB1B69"/>
    <w:rsid w:val="00DB1BAD"/>
    <w:rsid w:val="00DB1BFE"/>
    <w:rsid w:val="00DB1C50"/>
    <w:rsid w:val="00DB1D16"/>
    <w:rsid w:val="00DB1D7A"/>
    <w:rsid w:val="00DB1DE9"/>
    <w:rsid w:val="00DB1E46"/>
    <w:rsid w:val="00DB1E77"/>
    <w:rsid w:val="00DB2007"/>
    <w:rsid w:val="00DB20E1"/>
    <w:rsid w:val="00DB20FF"/>
    <w:rsid w:val="00DB21B7"/>
    <w:rsid w:val="00DB21EA"/>
    <w:rsid w:val="00DB228E"/>
    <w:rsid w:val="00DB230B"/>
    <w:rsid w:val="00DB23C0"/>
    <w:rsid w:val="00DB2407"/>
    <w:rsid w:val="00DB24A5"/>
    <w:rsid w:val="00DB253E"/>
    <w:rsid w:val="00DB2545"/>
    <w:rsid w:val="00DB2576"/>
    <w:rsid w:val="00DB265C"/>
    <w:rsid w:val="00DB26BC"/>
    <w:rsid w:val="00DB27BE"/>
    <w:rsid w:val="00DB2806"/>
    <w:rsid w:val="00DB2820"/>
    <w:rsid w:val="00DB2859"/>
    <w:rsid w:val="00DB292B"/>
    <w:rsid w:val="00DB2985"/>
    <w:rsid w:val="00DB29BB"/>
    <w:rsid w:val="00DB2B0E"/>
    <w:rsid w:val="00DB2B26"/>
    <w:rsid w:val="00DB2BED"/>
    <w:rsid w:val="00DB2BFC"/>
    <w:rsid w:val="00DB2CD1"/>
    <w:rsid w:val="00DB2E21"/>
    <w:rsid w:val="00DB2E49"/>
    <w:rsid w:val="00DB2F51"/>
    <w:rsid w:val="00DB2F93"/>
    <w:rsid w:val="00DB2FBA"/>
    <w:rsid w:val="00DB2FC1"/>
    <w:rsid w:val="00DB304E"/>
    <w:rsid w:val="00DB3099"/>
    <w:rsid w:val="00DB30FC"/>
    <w:rsid w:val="00DB3133"/>
    <w:rsid w:val="00DB31D1"/>
    <w:rsid w:val="00DB326F"/>
    <w:rsid w:val="00DB327A"/>
    <w:rsid w:val="00DB33CA"/>
    <w:rsid w:val="00DB33E9"/>
    <w:rsid w:val="00DB341A"/>
    <w:rsid w:val="00DB34D0"/>
    <w:rsid w:val="00DB350A"/>
    <w:rsid w:val="00DB36C2"/>
    <w:rsid w:val="00DB377C"/>
    <w:rsid w:val="00DB37F2"/>
    <w:rsid w:val="00DB389A"/>
    <w:rsid w:val="00DB3932"/>
    <w:rsid w:val="00DB39E5"/>
    <w:rsid w:val="00DB3A7E"/>
    <w:rsid w:val="00DB3B1E"/>
    <w:rsid w:val="00DB3B41"/>
    <w:rsid w:val="00DB3C0A"/>
    <w:rsid w:val="00DB3C61"/>
    <w:rsid w:val="00DB3CF2"/>
    <w:rsid w:val="00DB3D0E"/>
    <w:rsid w:val="00DB3D29"/>
    <w:rsid w:val="00DB3D42"/>
    <w:rsid w:val="00DB3E66"/>
    <w:rsid w:val="00DB3E73"/>
    <w:rsid w:val="00DB3EDF"/>
    <w:rsid w:val="00DB3F4F"/>
    <w:rsid w:val="00DB3FB5"/>
    <w:rsid w:val="00DB40CC"/>
    <w:rsid w:val="00DB413F"/>
    <w:rsid w:val="00DB4195"/>
    <w:rsid w:val="00DB4241"/>
    <w:rsid w:val="00DB4244"/>
    <w:rsid w:val="00DB42C7"/>
    <w:rsid w:val="00DB4321"/>
    <w:rsid w:val="00DB43C7"/>
    <w:rsid w:val="00DB4490"/>
    <w:rsid w:val="00DB45F5"/>
    <w:rsid w:val="00DB4615"/>
    <w:rsid w:val="00DB466C"/>
    <w:rsid w:val="00DB46CE"/>
    <w:rsid w:val="00DB47A9"/>
    <w:rsid w:val="00DB47B0"/>
    <w:rsid w:val="00DB4851"/>
    <w:rsid w:val="00DB49BA"/>
    <w:rsid w:val="00DB4A13"/>
    <w:rsid w:val="00DB4A8B"/>
    <w:rsid w:val="00DB4B27"/>
    <w:rsid w:val="00DB4BA3"/>
    <w:rsid w:val="00DB4BC2"/>
    <w:rsid w:val="00DB4C25"/>
    <w:rsid w:val="00DB4C2F"/>
    <w:rsid w:val="00DB4CCA"/>
    <w:rsid w:val="00DB4D51"/>
    <w:rsid w:val="00DB4DEC"/>
    <w:rsid w:val="00DB4E12"/>
    <w:rsid w:val="00DB4EC2"/>
    <w:rsid w:val="00DB4ED8"/>
    <w:rsid w:val="00DB4F5E"/>
    <w:rsid w:val="00DB4FD3"/>
    <w:rsid w:val="00DB4FD8"/>
    <w:rsid w:val="00DB502D"/>
    <w:rsid w:val="00DB5150"/>
    <w:rsid w:val="00DB518A"/>
    <w:rsid w:val="00DB51D3"/>
    <w:rsid w:val="00DB51D6"/>
    <w:rsid w:val="00DB5294"/>
    <w:rsid w:val="00DB5309"/>
    <w:rsid w:val="00DB530B"/>
    <w:rsid w:val="00DB5343"/>
    <w:rsid w:val="00DB5353"/>
    <w:rsid w:val="00DB538E"/>
    <w:rsid w:val="00DB53FB"/>
    <w:rsid w:val="00DB54B6"/>
    <w:rsid w:val="00DB54BF"/>
    <w:rsid w:val="00DB55BA"/>
    <w:rsid w:val="00DB5619"/>
    <w:rsid w:val="00DB5682"/>
    <w:rsid w:val="00DB56DD"/>
    <w:rsid w:val="00DB5724"/>
    <w:rsid w:val="00DB5737"/>
    <w:rsid w:val="00DB5746"/>
    <w:rsid w:val="00DB57E8"/>
    <w:rsid w:val="00DB58DE"/>
    <w:rsid w:val="00DB58E4"/>
    <w:rsid w:val="00DB58E9"/>
    <w:rsid w:val="00DB5A44"/>
    <w:rsid w:val="00DB5A7D"/>
    <w:rsid w:val="00DB5A87"/>
    <w:rsid w:val="00DB5AB4"/>
    <w:rsid w:val="00DB5B4C"/>
    <w:rsid w:val="00DB5B58"/>
    <w:rsid w:val="00DB5BE1"/>
    <w:rsid w:val="00DB5DEF"/>
    <w:rsid w:val="00DB5ECA"/>
    <w:rsid w:val="00DB5FD5"/>
    <w:rsid w:val="00DB605B"/>
    <w:rsid w:val="00DB60EE"/>
    <w:rsid w:val="00DB620E"/>
    <w:rsid w:val="00DB6233"/>
    <w:rsid w:val="00DB62ED"/>
    <w:rsid w:val="00DB62F6"/>
    <w:rsid w:val="00DB64A5"/>
    <w:rsid w:val="00DB6557"/>
    <w:rsid w:val="00DB65F1"/>
    <w:rsid w:val="00DB66AA"/>
    <w:rsid w:val="00DB66C7"/>
    <w:rsid w:val="00DB6787"/>
    <w:rsid w:val="00DB686B"/>
    <w:rsid w:val="00DB68DF"/>
    <w:rsid w:val="00DB69E8"/>
    <w:rsid w:val="00DB6A07"/>
    <w:rsid w:val="00DB6ACB"/>
    <w:rsid w:val="00DB6B43"/>
    <w:rsid w:val="00DB6BC7"/>
    <w:rsid w:val="00DB6BC9"/>
    <w:rsid w:val="00DB6CAE"/>
    <w:rsid w:val="00DB6D55"/>
    <w:rsid w:val="00DB6E1E"/>
    <w:rsid w:val="00DB6F40"/>
    <w:rsid w:val="00DB6F72"/>
    <w:rsid w:val="00DB6F9D"/>
    <w:rsid w:val="00DB7030"/>
    <w:rsid w:val="00DB709C"/>
    <w:rsid w:val="00DB7101"/>
    <w:rsid w:val="00DB7166"/>
    <w:rsid w:val="00DB7167"/>
    <w:rsid w:val="00DB716C"/>
    <w:rsid w:val="00DB71AF"/>
    <w:rsid w:val="00DB71C1"/>
    <w:rsid w:val="00DB7294"/>
    <w:rsid w:val="00DB72B9"/>
    <w:rsid w:val="00DB72BC"/>
    <w:rsid w:val="00DB72FF"/>
    <w:rsid w:val="00DB7311"/>
    <w:rsid w:val="00DB738E"/>
    <w:rsid w:val="00DB73C8"/>
    <w:rsid w:val="00DB73E9"/>
    <w:rsid w:val="00DB769E"/>
    <w:rsid w:val="00DB76A9"/>
    <w:rsid w:val="00DB77A9"/>
    <w:rsid w:val="00DB7931"/>
    <w:rsid w:val="00DB797A"/>
    <w:rsid w:val="00DB79F6"/>
    <w:rsid w:val="00DB7A94"/>
    <w:rsid w:val="00DB7B33"/>
    <w:rsid w:val="00DB7B61"/>
    <w:rsid w:val="00DB7B68"/>
    <w:rsid w:val="00DB7B72"/>
    <w:rsid w:val="00DB7CBD"/>
    <w:rsid w:val="00DB7CBF"/>
    <w:rsid w:val="00DB7DC0"/>
    <w:rsid w:val="00DB7E8D"/>
    <w:rsid w:val="00DB7FCE"/>
    <w:rsid w:val="00DB7FE4"/>
    <w:rsid w:val="00DC0142"/>
    <w:rsid w:val="00DC01DE"/>
    <w:rsid w:val="00DC0274"/>
    <w:rsid w:val="00DC02ED"/>
    <w:rsid w:val="00DC040E"/>
    <w:rsid w:val="00DC04DB"/>
    <w:rsid w:val="00DC051E"/>
    <w:rsid w:val="00DC0627"/>
    <w:rsid w:val="00DC0636"/>
    <w:rsid w:val="00DC0729"/>
    <w:rsid w:val="00DC0773"/>
    <w:rsid w:val="00DC0879"/>
    <w:rsid w:val="00DC08DA"/>
    <w:rsid w:val="00DC08FB"/>
    <w:rsid w:val="00DC091C"/>
    <w:rsid w:val="00DC093B"/>
    <w:rsid w:val="00DC0941"/>
    <w:rsid w:val="00DC097B"/>
    <w:rsid w:val="00DC09CE"/>
    <w:rsid w:val="00DC09FC"/>
    <w:rsid w:val="00DC0A2A"/>
    <w:rsid w:val="00DC0B2E"/>
    <w:rsid w:val="00DC0B6F"/>
    <w:rsid w:val="00DC0C19"/>
    <w:rsid w:val="00DC0CAB"/>
    <w:rsid w:val="00DC0DB5"/>
    <w:rsid w:val="00DC0DC4"/>
    <w:rsid w:val="00DC0EA4"/>
    <w:rsid w:val="00DC0F51"/>
    <w:rsid w:val="00DC100F"/>
    <w:rsid w:val="00DC1012"/>
    <w:rsid w:val="00DC10C3"/>
    <w:rsid w:val="00DC10E3"/>
    <w:rsid w:val="00DC1118"/>
    <w:rsid w:val="00DC1130"/>
    <w:rsid w:val="00DC1253"/>
    <w:rsid w:val="00DC133A"/>
    <w:rsid w:val="00DC136D"/>
    <w:rsid w:val="00DC13B9"/>
    <w:rsid w:val="00DC13FB"/>
    <w:rsid w:val="00DC1423"/>
    <w:rsid w:val="00DC14A3"/>
    <w:rsid w:val="00DC160E"/>
    <w:rsid w:val="00DC16AD"/>
    <w:rsid w:val="00DC16CA"/>
    <w:rsid w:val="00DC16D2"/>
    <w:rsid w:val="00DC16DA"/>
    <w:rsid w:val="00DC16FE"/>
    <w:rsid w:val="00DC177F"/>
    <w:rsid w:val="00DC1799"/>
    <w:rsid w:val="00DC17AB"/>
    <w:rsid w:val="00DC17E4"/>
    <w:rsid w:val="00DC1827"/>
    <w:rsid w:val="00DC185F"/>
    <w:rsid w:val="00DC18D8"/>
    <w:rsid w:val="00DC191F"/>
    <w:rsid w:val="00DC1950"/>
    <w:rsid w:val="00DC196B"/>
    <w:rsid w:val="00DC1A2B"/>
    <w:rsid w:val="00DC1AC9"/>
    <w:rsid w:val="00DC1B37"/>
    <w:rsid w:val="00DC1C93"/>
    <w:rsid w:val="00DC1CE5"/>
    <w:rsid w:val="00DC1D2E"/>
    <w:rsid w:val="00DC1D5B"/>
    <w:rsid w:val="00DC1D64"/>
    <w:rsid w:val="00DC1FDC"/>
    <w:rsid w:val="00DC20EA"/>
    <w:rsid w:val="00DC2140"/>
    <w:rsid w:val="00DC21D8"/>
    <w:rsid w:val="00DC2206"/>
    <w:rsid w:val="00DC2347"/>
    <w:rsid w:val="00DC23FC"/>
    <w:rsid w:val="00DC254F"/>
    <w:rsid w:val="00DC2572"/>
    <w:rsid w:val="00DC25B8"/>
    <w:rsid w:val="00DC2601"/>
    <w:rsid w:val="00DC2687"/>
    <w:rsid w:val="00DC26A3"/>
    <w:rsid w:val="00DC26AA"/>
    <w:rsid w:val="00DC2734"/>
    <w:rsid w:val="00DC2747"/>
    <w:rsid w:val="00DC274A"/>
    <w:rsid w:val="00DC2785"/>
    <w:rsid w:val="00DC27C1"/>
    <w:rsid w:val="00DC27CF"/>
    <w:rsid w:val="00DC27D4"/>
    <w:rsid w:val="00DC2866"/>
    <w:rsid w:val="00DC28FB"/>
    <w:rsid w:val="00DC2A26"/>
    <w:rsid w:val="00DC2A81"/>
    <w:rsid w:val="00DC2BC7"/>
    <w:rsid w:val="00DC2CB7"/>
    <w:rsid w:val="00DC2CDF"/>
    <w:rsid w:val="00DC2CEE"/>
    <w:rsid w:val="00DC2D06"/>
    <w:rsid w:val="00DC2D32"/>
    <w:rsid w:val="00DC2D5E"/>
    <w:rsid w:val="00DC2F74"/>
    <w:rsid w:val="00DC3001"/>
    <w:rsid w:val="00DC30A0"/>
    <w:rsid w:val="00DC30C9"/>
    <w:rsid w:val="00DC30CA"/>
    <w:rsid w:val="00DC32EF"/>
    <w:rsid w:val="00DC33BC"/>
    <w:rsid w:val="00DC342D"/>
    <w:rsid w:val="00DC3435"/>
    <w:rsid w:val="00DC349D"/>
    <w:rsid w:val="00DC34F4"/>
    <w:rsid w:val="00DC355D"/>
    <w:rsid w:val="00DC3630"/>
    <w:rsid w:val="00DC398F"/>
    <w:rsid w:val="00DC39E3"/>
    <w:rsid w:val="00DC3A78"/>
    <w:rsid w:val="00DC3A7A"/>
    <w:rsid w:val="00DC3AE2"/>
    <w:rsid w:val="00DC3BDE"/>
    <w:rsid w:val="00DC3C3B"/>
    <w:rsid w:val="00DC3D49"/>
    <w:rsid w:val="00DC3D89"/>
    <w:rsid w:val="00DC3DB7"/>
    <w:rsid w:val="00DC3DD8"/>
    <w:rsid w:val="00DC3DE8"/>
    <w:rsid w:val="00DC3E52"/>
    <w:rsid w:val="00DC3F06"/>
    <w:rsid w:val="00DC4033"/>
    <w:rsid w:val="00DC4038"/>
    <w:rsid w:val="00DC411D"/>
    <w:rsid w:val="00DC4190"/>
    <w:rsid w:val="00DC4196"/>
    <w:rsid w:val="00DC430A"/>
    <w:rsid w:val="00DC4314"/>
    <w:rsid w:val="00DC4396"/>
    <w:rsid w:val="00DC4480"/>
    <w:rsid w:val="00DC448B"/>
    <w:rsid w:val="00DC44B5"/>
    <w:rsid w:val="00DC4572"/>
    <w:rsid w:val="00DC45C0"/>
    <w:rsid w:val="00DC469E"/>
    <w:rsid w:val="00DC46A2"/>
    <w:rsid w:val="00DC46E9"/>
    <w:rsid w:val="00DC48E2"/>
    <w:rsid w:val="00DC48FC"/>
    <w:rsid w:val="00DC494A"/>
    <w:rsid w:val="00DC4A09"/>
    <w:rsid w:val="00DC4AAA"/>
    <w:rsid w:val="00DC4CB1"/>
    <w:rsid w:val="00DC4E4C"/>
    <w:rsid w:val="00DC4FD8"/>
    <w:rsid w:val="00DC5059"/>
    <w:rsid w:val="00DC50FF"/>
    <w:rsid w:val="00DC512B"/>
    <w:rsid w:val="00DC51AD"/>
    <w:rsid w:val="00DC521F"/>
    <w:rsid w:val="00DC5223"/>
    <w:rsid w:val="00DC5238"/>
    <w:rsid w:val="00DC530D"/>
    <w:rsid w:val="00DC546F"/>
    <w:rsid w:val="00DC5546"/>
    <w:rsid w:val="00DC55F2"/>
    <w:rsid w:val="00DC5630"/>
    <w:rsid w:val="00DC581B"/>
    <w:rsid w:val="00DC5862"/>
    <w:rsid w:val="00DC58D0"/>
    <w:rsid w:val="00DC58D1"/>
    <w:rsid w:val="00DC58EF"/>
    <w:rsid w:val="00DC5956"/>
    <w:rsid w:val="00DC59F5"/>
    <w:rsid w:val="00DC5A5D"/>
    <w:rsid w:val="00DC5AC1"/>
    <w:rsid w:val="00DC5B34"/>
    <w:rsid w:val="00DC5C74"/>
    <w:rsid w:val="00DC5CD2"/>
    <w:rsid w:val="00DC5D04"/>
    <w:rsid w:val="00DC5D2E"/>
    <w:rsid w:val="00DC5D7E"/>
    <w:rsid w:val="00DC5DFF"/>
    <w:rsid w:val="00DC5ED5"/>
    <w:rsid w:val="00DC5FA5"/>
    <w:rsid w:val="00DC6166"/>
    <w:rsid w:val="00DC6186"/>
    <w:rsid w:val="00DC61B4"/>
    <w:rsid w:val="00DC61D6"/>
    <w:rsid w:val="00DC6222"/>
    <w:rsid w:val="00DC62C2"/>
    <w:rsid w:val="00DC631C"/>
    <w:rsid w:val="00DC6383"/>
    <w:rsid w:val="00DC638B"/>
    <w:rsid w:val="00DC63E0"/>
    <w:rsid w:val="00DC6407"/>
    <w:rsid w:val="00DC6568"/>
    <w:rsid w:val="00DC65CF"/>
    <w:rsid w:val="00DC6606"/>
    <w:rsid w:val="00DC6629"/>
    <w:rsid w:val="00DC66A2"/>
    <w:rsid w:val="00DC6865"/>
    <w:rsid w:val="00DC68FC"/>
    <w:rsid w:val="00DC69BD"/>
    <w:rsid w:val="00DC6A51"/>
    <w:rsid w:val="00DC6B4B"/>
    <w:rsid w:val="00DC6C83"/>
    <w:rsid w:val="00DC6CBF"/>
    <w:rsid w:val="00DC6DDD"/>
    <w:rsid w:val="00DC6E37"/>
    <w:rsid w:val="00DC6E76"/>
    <w:rsid w:val="00DC6EAD"/>
    <w:rsid w:val="00DC6EE3"/>
    <w:rsid w:val="00DC6EF5"/>
    <w:rsid w:val="00DC6EF8"/>
    <w:rsid w:val="00DC6FA7"/>
    <w:rsid w:val="00DC6FAA"/>
    <w:rsid w:val="00DC70B2"/>
    <w:rsid w:val="00DC723F"/>
    <w:rsid w:val="00DC7251"/>
    <w:rsid w:val="00DC7266"/>
    <w:rsid w:val="00DC7297"/>
    <w:rsid w:val="00DC72AB"/>
    <w:rsid w:val="00DC73C0"/>
    <w:rsid w:val="00DC73CC"/>
    <w:rsid w:val="00DC73E0"/>
    <w:rsid w:val="00DC73FE"/>
    <w:rsid w:val="00DC747B"/>
    <w:rsid w:val="00DC747F"/>
    <w:rsid w:val="00DC74CB"/>
    <w:rsid w:val="00DC758A"/>
    <w:rsid w:val="00DC7609"/>
    <w:rsid w:val="00DC7641"/>
    <w:rsid w:val="00DC7650"/>
    <w:rsid w:val="00DC765C"/>
    <w:rsid w:val="00DC769F"/>
    <w:rsid w:val="00DC77B3"/>
    <w:rsid w:val="00DC77CD"/>
    <w:rsid w:val="00DC78F5"/>
    <w:rsid w:val="00DC79BC"/>
    <w:rsid w:val="00DC7A77"/>
    <w:rsid w:val="00DC7AED"/>
    <w:rsid w:val="00DC7B3A"/>
    <w:rsid w:val="00DC7C28"/>
    <w:rsid w:val="00DC7C48"/>
    <w:rsid w:val="00DC7D86"/>
    <w:rsid w:val="00DC7DFD"/>
    <w:rsid w:val="00DC7E38"/>
    <w:rsid w:val="00DC7F77"/>
    <w:rsid w:val="00DD000A"/>
    <w:rsid w:val="00DD00D8"/>
    <w:rsid w:val="00DD0200"/>
    <w:rsid w:val="00DD0313"/>
    <w:rsid w:val="00DD053C"/>
    <w:rsid w:val="00DD0546"/>
    <w:rsid w:val="00DD0592"/>
    <w:rsid w:val="00DD05A4"/>
    <w:rsid w:val="00DD05B6"/>
    <w:rsid w:val="00DD06A6"/>
    <w:rsid w:val="00DD06B6"/>
    <w:rsid w:val="00DD083A"/>
    <w:rsid w:val="00DD0894"/>
    <w:rsid w:val="00DD0A46"/>
    <w:rsid w:val="00DD0A51"/>
    <w:rsid w:val="00DD0A63"/>
    <w:rsid w:val="00DD0B14"/>
    <w:rsid w:val="00DD0C13"/>
    <w:rsid w:val="00DD0C4F"/>
    <w:rsid w:val="00DD0C75"/>
    <w:rsid w:val="00DD0D02"/>
    <w:rsid w:val="00DD0D12"/>
    <w:rsid w:val="00DD0D28"/>
    <w:rsid w:val="00DD0D47"/>
    <w:rsid w:val="00DD0E75"/>
    <w:rsid w:val="00DD0ED7"/>
    <w:rsid w:val="00DD0EF4"/>
    <w:rsid w:val="00DD0F7F"/>
    <w:rsid w:val="00DD0FE7"/>
    <w:rsid w:val="00DD106B"/>
    <w:rsid w:val="00DD11AC"/>
    <w:rsid w:val="00DD1217"/>
    <w:rsid w:val="00DD126D"/>
    <w:rsid w:val="00DD1297"/>
    <w:rsid w:val="00DD12BF"/>
    <w:rsid w:val="00DD12C9"/>
    <w:rsid w:val="00DD12EF"/>
    <w:rsid w:val="00DD134A"/>
    <w:rsid w:val="00DD152F"/>
    <w:rsid w:val="00DD157A"/>
    <w:rsid w:val="00DD15AC"/>
    <w:rsid w:val="00DD1688"/>
    <w:rsid w:val="00DD1691"/>
    <w:rsid w:val="00DD174F"/>
    <w:rsid w:val="00DD1820"/>
    <w:rsid w:val="00DD18F3"/>
    <w:rsid w:val="00DD1931"/>
    <w:rsid w:val="00DD1A22"/>
    <w:rsid w:val="00DD1A25"/>
    <w:rsid w:val="00DD1A42"/>
    <w:rsid w:val="00DD1AA7"/>
    <w:rsid w:val="00DD1AD3"/>
    <w:rsid w:val="00DD1AE4"/>
    <w:rsid w:val="00DD1B97"/>
    <w:rsid w:val="00DD1BD4"/>
    <w:rsid w:val="00DD1BFC"/>
    <w:rsid w:val="00DD1C3D"/>
    <w:rsid w:val="00DD1CB0"/>
    <w:rsid w:val="00DD1CBF"/>
    <w:rsid w:val="00DD1CC6"/>
    <w:rsid w:val="00DD1CF8"/>
    <w:rsid w:val="00DD1D55"/>
    <w:rsid w:val="00DD1E1E"/>
    <w:rsid w:val="00DD1F72"/>
    <w:rsid w:val="00DD1FDA"/>
    <w:rsid w:val="00DD1FE2"/>
    <w:rsid w:val="00DD2038"/>
    <w:rsid w:val="00DD20C6"/>
    <w:rsid w:val="00DD2218"/>
    <w:rsid w:val="00DD22AB"/>
    <w:rsid w:val="00DD2301"/>
    <w:rsid w:val="00DD237E"/>
    <w:rsid w:val="00DD23CE"/>
    <w:rsid w:val="00DD2460"/>
    <w:rsid w:val="00DD2509"/>
    <w:rsid w:val="00DD25AA"/>
    <w:rsid w:val="00DD2605"/>
    <w:rsid w:val="00DD2646"/>
    <w:rsid w:val="00DD2684"/>
    <w:rsid w:val="00DD27B9"/>
    <w:rsid w:val="00DD27F7"/>
    <w:rsid w:val="00DD27F9"/>
    <w:rsid w:val="00DD285B"/>
    <w:rsid w:val="00DD2895"/>
    <w:rsid w:val="00DD289E"/>
    <w:rsid w:val="00DD28C2"/>
    <w:rsid w:val="00DD29FD"/>
    <w:rsid w:val="00DD2A9D"/>
    <w:rsid w:val="00DD2ACD"/>
    <w:rsid w:val="00DD2B43"/>
    <w:rsid w:val="00DD2B99"/>
    <w:rsid w:val="00DD2B9A"/>
    <w:rsid w:val="00DD2BF5"/>
    <w:rsid w:val="00DD2C38"/>
    <w:rsid w:val="00DD2C5E"/>
    <w:rsid w:val="00DD2C60"/>
    <w:rsid w:val="00DD2DED"/>
    <w:rsid w:val="00DD2E81"/>
    <w:rsid w:val="00DD2E8B"/>
    <w:rsid w:val="00DD2EFE"/>
    <w:rsid w:val="00DD2F2F"/>
    <w:rsid w:val="00DD2F71"/>
    <w:rsid w:val="00DD2FB9"/>
    <w:rsid w:val="00DD30E4"/>
    <w:rsid w:val="00DD3300"/>
    <w:rsid w:val="00DD337B"/>
    <w:rsid w:val="00DD3406"/>
    <w:rsid w:val="00DD3414"/>
    <w:rsid w:val="00DD345A"/>
    <w:rsid w:val="00DD3477"/>
    <w:rsid w:val="00DD3492"/>
    <w:rsid w:val="00DD34E4"/>
    <w:rsid w:val="00DD362E"/>
    <w:rsid w:val="00DD3790"/>
    <w:rsid w:val="00DD3793"/>
    <w:rsid w:val="00DD37B8"/>
    <w:rsid w:val="00DD37E7"/>
    <w:rsid w:val="00DD37F9"/>
    <w:rsid w:val="00DD382F"/>
    <w:rsid w:val="00DD3830"/>
    <w:rsid w:val="00DD387E"/>
    <w:rsid w:val="00DD38A8"/>
    <w:rsid w:val="00DD39F6"/>
    <w:rsid w:val="00DD3A33"/>
    <w:rsid w:val="00DD3A5F"/>
    <w:rsid w:val="00DD3B93"/>
    <w:rsid w:val="00DD3C7D"/>
    <w:rsid w:val="00DD3CB9"/>
    <w:rsid w:val="00DD3CCD"/>
    <w:rsid w:val="00DD3D90"/>
    <w:rsid w:val="00DD3EA0"/>
    <w:rsid w:val="00DD3FAB"/>
    <w:rsid w:val="00DD3FD4"/>
    <w:rsid w:val="00DD408E"/>
    <w:rsid w:val="00DD40C8"/>
    <w:rsid w:val="00DD42B4"/>
    <w:rsid w:val="00DD42E3"/>
    <w:rsid w:val="00DD4356"/>
    <w:rsid w:val="00DD43EC"/>
    <w:rsid w:val="00DD441C"/>
    <w:rsid w:val="00DD44C9"/>
    <w:rsid w:val="00DD44CF"/>
    <w:rsid w:val="00DD44D3"/>
    <w:rsid w:val="00DD44DA"/>
    <w:rsid w:val="00DD451D"/>
    <w:rsid w:val="00DD45CD"/>
    <w:rsid w:val="00DD46AD"/>
    <w:rsid w:val="00DD4769"/>
    <w:rsid w:val="00DD483B"/>
    <w:rsid w:val="00DD4912"/>
    <w:rsid w:val="00DD4A46"/>
    <w:rsid w:val="00DD4A4D"/>
    <w:rsid w:val="00DD4ADC"/>
    <w:rsid w:val="00DD4C04"/>
    <w:rsid w:val="00DD4C7D"/>
    <w:rsid w:val="00DD4CA7"/>
    <w:rsid w:val="00DD4CB2"/>
    <w:rsid w:val="00DD4D30"/>
    <w:rsid w:val="00DD4D47"/>
    <w:rsid w:val="00DD4E4E"/>
    <w:rsid w:val="00DD4EF3"/>
    <w:rsid w:val="00DD4F4F"/>
    <w:rsid w:val="00DD4F63"/>
    <w:rsid w:val="00DD4F8D"/>
    <w:rsid w:val="00DD4FF2"/>
    <w:rsid w:val="00DD507B"/>
    <w:rsid w:val="00DD50C9"/>
    <w:rsid w:val="00DD5179"/>
    <w:rsid w:val="00DD51D9"/>
    <w:rsid w:val="00DD5279"/>
    <w:rsid w:val="00DD53A2"/>
    <w:rsid w:val="00DD5459"/>
    <w:rsid w:val="00DD549F"/>
    <w:rsid w:val="00DD554C"/>
    <w:rsid w:val="00DD555E"/>
    <w:rsid w:val="00DD5785"/>
    <w:rsid w:val="00DD57AE"/>
    <w:rsid w:val="00DD5877"/>
    <w:rsid w:val="00DD595D"/>
    <w:rsid w:val="00DD5A65"/>
    <w:rsid w:val="00DD5A9F"/>
    <w:rsid w:val="00DD5AD6"/>
    <w:rsid w:val="00DD5C04"/>
    <w:rsid w:val="00DD5C08"/>
    <w:rsid w:val="00DD5E0C"/>
    <w:rsid w:val="00DD5E61"/>
    <w:rsid w:val="00DD617F"/>
    <w:rsid w:val="00DD62BB"/>
    <w:rsid w:val="00DD6308"/>
    <w:rsid w:val="00DD6398"/>
    <w:rsid w:val="00DD63E6"/>
    <w:rsid w:val="00DD6411"/>
    <w:rsid w:val="00DD6440"/>
    <w:rsid w:val="00DD645B"/>
    <w:rsid w:val="00DD6473"/>
    <w:rsid w:val="00DD655F"/>
    <w:rsid w:val="00DD6574"/>
    <w:rsid w:val="00DD661D"/>
    <w:rsid w:val="00DD66DD"/>
    <w:rsid w:val="00DD6737"/>
    <w:rsid w:val="00DD6837"/>
    <w:rsid w:val="00DD68FB"/>
    <w:rsid w:val="00DD6911"/>
    <w:rsid w:val="00DD6916"/>
    <w:rsid w:val="00DD6ABF"/>
    <w:rsid w:val="00DD6B17"/>
    <w:rsid w:val="00DD6B8F"/>
    <w:rsid w:val="00DD6C74"/>
    <w:rsid w:val="00DD6D35"/>
    <w:rsid w:val="00DD710C"/>
    <w:rsid w:val="00DD719E"/>
    <w:rsid w:val="00DD71A7"/>
    <w:rsid w:val="00DD7241"/>
    <w:rsid w:val="00DD728C"/>
    <w:rsid w:val="00DD7341"/>
    <w:rsid w:val="00DD7377"/>
    <w:rsid w:val="00DD73F8"/>
    <w:rsid w:val="00DD74A0"/>
    <w:rsid w:val="00DD7529"/>
    <w:rsid w:val="00DD75B4"/>
    <w:rsid w:val="00DD762E"/>
    <w:rsid w:val="00DD7743"/>
    <w:rsid w:val="00DD78A4"/>
    <w:rsid w:val="00DD7906"/>
    <w:rsid w:val="00DD7951"/>
    <w:rsid w:val="00DD79DA"/>
    <w:rsid w:val="00DD7A8E"/>
    <w:rsid w:val="00DD7AA6"/>
    <w:rsid w:val="00DD7B58"/>
    <w:rsid w:val="00DD7B96"/>
    <w:rsid w:val="00DD7BE3"/>
    <w:rsid w:val="00DD7C13"/>
    <w:rsid w:val="00DD7C8D"/>
    <w:rsid w:val="00DD7CAA"/>
    <w:rsid w:val="00DD7CCF"/>
    <w:rsid w:val="00DD7D07"/>
    <w:rsid w:val="00DD7D17"/>
    <w:rsid w:val="00DD7E22"/>
    <w:rsid w:val="00DD7E80"/>
    <w:rsid w:val="00DD7F46"/>
    <w:rsid w:val="00DD7F7E"/>
    <w:rsid w:val="00DD7F88"/>
    <w:rsid w:val="00DE009B"/>
    <w:rsid w:val="00DE0209"/>
    <w:rsid w:val="00DE023E"/>
    <w:rsid w:val="00DE024D"/>
    <w:rsid w:val="00DE02FA"/>
    <w:rsid w:val="00DE02FD"/>
    <w:rsid w:val="00DE0353"/>
    <w:rsid w:val="00DE036D"/>
    <w:rsid w:val="00DE0375"/>
    <w:rsid w:val="00DE0412"/>
    <w:rsid w:val="00DE0451"/>
    <w:rsid w:val="00DE04CA"/>
    <w:rsid w:val="00DE04F6"/>
    <w:rsid w:val="00DE0592"/>
    <w:rsid w:val="00DE05DF"/>
    <w:rsid w:val="00DE05F9"/>
    <w:rsid w:val="00DE0932"/>
    <w:rsid w:val="00DE0A3D"/>
    <w:rsid w:val="00DE0A60"/>
    <w:rsid w:val="00DE0AA7"/>
    <w:rsid w:val="00DE0B38"/>
    <w:rsid w:val="00DE0B58"/>
    <w:rsid w:val="00DE0C71"/>
    <w:rsid w:val="00DE0D13"/>
    <w:rsid w:val="00DE0D5B"/>
    <w:rsid w:val="00DE0DCB"/>
    <w:rsid w:val="00DE0E9D"/>
    <w:rsid w:val="00DE0FF4"/>
    <w:rsid w:val="00DE101C"/>
    <w:rsid w:val="00DE1059"/>
    <w:rsid w:val="00DE105C"/>
    <w:rsid w:val="00DE11CA"/>
    <w:rsid w:val="00DE1233"/>
    <w:rsid w:val="00DE1261"/>
    <w:rsid w:val="00DE129C"/>
    <w:rsid w:val="00DE1346"/>
    <w:rsid w:val="00DE13F8"/>
    <w:rsid w:val="00DE146D"/>
    <w:rsid w:val="00DE146E"/>
    <w:rsid w:val="00DE148E"/>
    <w:rsid w:val="00DE1667"/>
    <w:rsid w:val="00DE16F6"/>
    <w:rsid w:val="00DE1766"/>
    <w:rsid w:val="00DE17B3"/>
    <w:rsid w:val="00DE1897"/>
    <w:rsid w:val="00DE1899"/>
    <w:rsid w:val="00DE19A9"/>
    <w:rsid w:val="00DE19E2"/>
    <w:rsid w:val="00DE19FF"/>
    <w:rsid w:val="00DE1A1C"/>
    <w:rsid w:val="00DE1A98"/>
    <w:rsid w:val="00DE1ADC"/>
    <w:rsid w:val="00DE1B48"/>
    <w:rsid w:val="00DE1B56"/>
    <w:rsid w:val="00DE1BB1"/>
    <w:rsid w:val="00DE1BF5"/>
    <w:rsid w:val="00DE1C7A"/>
    <w:rsid w:val="00DE1D5C"/>
    <w:rsid w:val="00DE1DF6"/>
    <w:rsid w:val="00DE1F22"/>
    <w:rsid w:val="00DE1F68"/>
    <w:rsid w:val="00DE1FB8"/>
    <w:rsid w:val="00DE20ED"/>
    <w:rsid w:val="00DE216B"/>
    <w:rsid w:val="00DE21B3"/>
    <w:rsid w:val="00DE23A1"/>
    <w:rsid w:val="00DE241F"/>
    <w:rsid w:val="00DE2467"/>
    <w:rsid w:val="00DE24EE"/>
    <w:rsid w:val="00DE2517"/>
    <w:rsid w:val="00DE2523"/>
    <w:rsid w:val="00DE2557"/>
    <w:rsid w:val="00DE2563"/>
    <w:rsid w:val="00DE25D7"/>
    <w:rsid w:val="00DE25FB"/>
    <w:rsid w:val="00DE26DA"/>
    <w:rsid w:val="00DE2729"/>
    <w:rsid w:val="00DE278E"/>
    <w:rsid w:val="00DE2832"/>
    <w:rsid w:val="00DE285D"/>
    <w:rsid w:val="00DE28E5"/>
    <w:rsid w:val="00DE290C"/>
    <w:rsid w:val="00DE2A80"/>
    <w:rsid w:val="00DE2B72"/>
    <w:rsid w:val="00DE2B7B"/>
    <w:rsid w:val="00DE2BA0"/>
    <w:rsid w:val="00DE2BB9"/>
    <w:rsid w:val="00DE2CE3"/>
    <w:rsid w:val="00DE2CE8"/>
    <w:rsid w:val="00DE2CFC"/>
    <w:rsid w:val="00DE2D09"/>
    <w:rsid w:val="00DE2D79"/>
    <w:rsid w:val="00DE2E5D"/>
    <w:rsid w:val="00DE2E78"/>
    <w:rsid w:val="00DE2E8B"/>
    <w:rsid w:val="00DE2F08"/>
    <w:rsid w:val="00DE2F5B"/>
    <w:rsid w:val="00DE2FA4"/>
    <w:rsid w:val="00DE303D"/>
    <w:rsid w:val="00DE30B1"/>
    <w:rsid w:val="00DE3153"/>
    <w:rsid w:val="00DE315F"/>
    <w:rsid w:val="00DE316D"/>
    <w:rsid w:val="00DE328B"/>
    <w:rsid w:val="00DE3313"/>
    <w:rsid w:val="00DE3366"/>
    <w:rsid w:val="00DE34A0"/>
    <w:rsid w:val="00DE34C5"/>
    <w:rsid w:val="00DE34F9"/>
    <w:rsid w:val="00DE351A"/>
    <w:rsid w:val="00DE3540"/>
    <w:rsid w:val="00DE355A"/>
    <w:rsid w:val="00DE3635"/>
    <w:rsid w:val="00DE3658"/>
    <w:rsid w:val="00DE36BB"/>
    <w:rsid w:val="00DE375D"/>
    <w:rsid w:val="00DE3767"/>
    <w:rsid w:val="00DE380C"/>
    <w:rsid w:val="00DE3850"/>
    <w:rsid w:val="00DE3879"/>
    <w:rsid w:val="00DE3891"/>
    <w:rsid w:val="00DE38CA"/>
    <w:rsid w:val="00DE394B"/>
    <w:rsid w:val="00DE398B"/>
    <w:rsid w:val="00DE39EE"/>
    <w:rsid w:val="00DE3A2B"/>
    <w:rsid w:val="00DE3B21"/>
    <w:rsid w:val="00DE3B53"/>
    <w:rsid w:val="00DE3C40"/>
    <w:rsid w:val="00DE3CB2"/>
    <w:rsid w:val="00DE3E16"/>
    <w:rsid w:val="00DE3F22"/>
    <w:rsid w:val="00DE4011"/>
    <w:rsid w:val="00DE41C8"/>
    <w:rsid w:val="00DE41E3"/>
    <w:rsid w:val="00DE42D1"/>
    <w:rsid w:val="00DE4332"/>
    <w:rsid w:val="00DE4363"/>
    <w:rsid w:val="00DE43BE"/>
    <w:rsid w:val="00DE447F"/>
    <w:rsid w:val="00DE44A8"/>
    <w:rsid w:val="00DE4708"/>
    <w:rsid w:val="00DE47EE"/>
    <w:rsid w:val="00DE4825"/>
    <w:rsid w:val="00DE4881"/>
    <w:rsid w:val="00DE48EB"/>
    <w:rsid w:val="00DE4907"/>
    <w:rsid w:val="00DE4918"/>
    <w:rsid w:val="00DE49BF"/>
    <w:rsid w:val="00DE49C6"/>
    <w:rsid w:val="00DE4A54"/>
    <w:rsid w:val="00DE4AE5"/>
    <w:rsid w:val="00DE4B66"/>
    <w:rsid w:val="00DE4BA6"/>
    <w:rsid w:val="00DE4BD0"/>
    <w:rsid w:val="00DE4C0A"/>
    <w:rsid w:val="00DE4C0E"/>
    <w:rsid w:val="00DE4CA0"/>
    <w:rsid w:val="00DE4CD8"/>
    <w:rsid w:val="00DE4DCB"/>
    <w:rsid w:val="00DE4E44"/>
    <w:rsid w:val="00DE4F06"/>
    <w:rsid w:val="00DE4F8A"/>
    <w:rsid w:val="00DE4FD8"/>
    <w:rsid w:val="00DE5054"/>
    <w:rsid w:val="00DE50CF"/>
    <w:rsid w:val="00DE5166"/>
    <w:rsid w:val="00DE51A2"/>
    <w:rsid w:val="00DE51DA"/>
    <w:rsid w:val="00DE53FC"/>
    <w:rsid w:val="00DE5446"/>
    <w:rsid w:val="00DE5502"/>
    <w:rsid w:val="00DE5505"/>
    <w:rsid w:val="00DE5509"/>
    <w:rsid w:val="00DE553B"/>
    <w:rsid w:val="00DE55F8"/>
    <w:rsid w:val="00DE5750"/>
    <w:rsid w:val="00DE57BE"/>
    <w:rsid w:val="00DE5848"/>
    <w:rsid w:val="00DE5881"/>
    <w:rsid w:val="00DE58EA"/>
    <w:rsid w:val="00DE5A60"/>
    <w:rsid w:val="00DE5A80"/>
    <w:rsid w:val="00DE5A92"/>
    <w:rsid w:val="00DE5B3B"/>
    <w:rsid w:val="00DE5B84"/>
    <w:rsid w:val="00DE5C5B"/>
    <w:rsid w:val="00DE5CE8"/>
    <w:rsid w:val="00DE5D25"/>
    <w:rsid w:val="00DE5D46"/>
    <w:rsid w:val="00DE5D54"/>
    <w:rsid w:val="00DE5D7A"/>
    <w:rsid w:val="00DE5F42"/>
    <w:rsid w:val="00DE5F99"/>
    <w:rsid w:val="00DE5FFF"/>
    <w:rsid w:val="00DE6006"/>
    <w:rsid w:val="00DE6043"/>
    <w:rsid w:val="00DE605E"/>
    <w:rsid w:val="00DE60FB"/>
    <w:rsid w:val="00DE62A2"/>
    <w:rsid w:val="00DE62B3"/>
    <w:rsid w:val="00DE62DB"/>
    <w:rsid w:val="00DE6458"/>
    <w:rsid w:val="00DE6497"/>
    <w:rsid w:val="00DE65E6"/>
    <w:rsid w:val="00DE6618"/>
    <w:rsid w:val="00DE6675"/>
    <w:rsid w:val="00DE6817"/>
    <w:rsid w:val="00DE6880"/>
    <w:rsid w:val="00DE688F"/>
    <w:rsid w:val="00DE68C1"/>
    <w:rsid w:val="00DE68F1"/>
    <w:rsid w:val="00DE693B"/>
    <w:rsid w:val="00DE6A3F"/>
    <w:rsid w:val="00DE6A62"/>
    <w:rsid w:val="00DE6AA3"/>
    <w:rsid w:val="00DE6B02"/>
    <w:rsid w:val="00DE6B78"/>
    <w:rsid w:val="00DE6B90"/>
    <w:rsid w:val="00DE6BBD"/>
    <w:rsid w:val="00DE6BC7"/>
    <w:rsid w:val="00DE6CEA"/>
    <w:rsid w:val="00DE6D08"/>
    <w:rsid w:val="00DE6D1A"/>
    <w:rsid w:val="00DE6EC1"/>
    <w:rsid w:val="00DE6EC3"/>
    <w:rsid w:val="00DE6F12"/>
    <w:rsid w:val="00DE6F47"/>
    <w:rsid w:val="00DE6F59"/>
    <w:rsid w:val="00DE71DB"/>
    <w:rsid w:val="00DE71E8"/>
    <w:rsid w:val="00DE7209"/>
    <w:rsid w:val="00DE72D5"/>
    <w:rsid w:val="00DE72E3"/>
    <w:rsid w:val="00DE7388"/>
    <w:rsid w:val="00DE73FA"/>
    <w:rsid w:val="00DE73FC"/>
    <w:rsid w:val="00DE7418"/>
    <w:rsid w:val="00DE7449"/>
    <w:rsid w:val="00DE749F"/>
    <w:rsid w:val="00DE74E0"/>
    <w:rsid w:val="00DE75C0"/>
    <w:rsid w:val="00DE7611"/>
    <w:rsid w:val="00DE764B"/>
    <w:rsid w:val="00DE76FE"/>
    <w:rsid w:val="00DE7766"/>
    <w:rsid w:val="00DE77B3"/>
    <w:rsid w:val="00DE77FF"/>
    <w:rsid w:val="00DE78A2"/>
    <w:rsid w:val="00DE78AE"/>
    <w:rsid w:val="00DE78C5"/>
    <w:rsid w:val="00DE78F8"/>
    <w:rsid w:val="00DE79D3"/>
    <w:rsid w:val="00DE79F1"/>
    <w:rsid w:val="00DE7AA7"/>
    <w:rsid w:val="00DE7B64"/>
    <w:rsid w:val="00DE7BD1"/>
    <w:rsid w:val="00DE7BDF"/>
    <w:rsid w:val="00DE7C1D"/>
    <w:rsid w:val="00DE7CC3"/>
    <w:rsid w:val="00DE7D1D"/>
    <w:rsid w:val="00DE7D66"/>
    <w:rsid w:val="00DE7D83"/>
    <w:rsid w:val="00DE7DB1"/>
    <w:rsid w:val="00DE7DB4"/>
    <w:rsid w:val="00DE7EA4"/>
    <w:rsid w:val="00DE7EE7"/>
    <w:rsid w:val="00DE7F5F"/>
    <w:rsid w:val="00DE7F63"/>
    <w:rsid w:val="00DE7FC8"/>
    <w:rsid w:val="00DF0086"/>
    <w:rsid w:val="00DF00B8"/>
    <w:rsid w:val="00DF0169"/>
    <w:rsid w:val="00DF0255"/>
    <w:rsid w:val="00DF0265"/>
    <w:rsid w:val="00DF02DF"/>
    <w:rsid w:val="00DF0337"/>
    <w:rsid w:val="00DF035F"/>
    <w:rsid w:val="00DF03BD"/>
    <w:rsid w:val="00DF0407"/>
    <w:rsid w:val="00DF0490"/>
    <w:rsid w:val="00DF0653"/>
    <w:rsid w:val="00DF06E5"/>
    <w:rsid w:val="00DF071E"/>
    <w:rsid w:val="00DF0806"/>
    <w:rsid w:val="00DF081B"/>
    <w:rsid w:val="00DF0853"/>
    <w:rsid w:val="00DF08F4"/>
    <w:rsid w:val="00DF0906"/>
    <w:rsid w:val="00DF0909"/>
    <w:rsid w:val="00DF0916"/>
    <w:rsid w:val="00DF095F"/>
    <w:rsid w:val="00DF0A97"/>
    <w:rsid w:val="00DF0BB4"/>
    <w:rsid w:val="00DF0C2F"/>
    <w:rsid w:val="00DF0C3F"/>
    <w:rsid w:val="00DF0CC5"/>
    <w:rsid w:val="00DF0DB4"/>
    <w:rsid w:val="00DF0DC6"/>
    <w:rsid w:val="00DF0FA1"/>
    <w:rsid w:val="00DF10A2"/>
    <w:rsid w:val="00DF11AF"/>
    <w:rsid w:val="00DF122F"/>
    <w:rsid w:val="00DF130B"/>
    <w:rsid w:val="00DF14B2"/>
    <w:rsid w:val="00DF1529"/>
    <w:rsid w:val="00DF159A"/>
    <w:rsid w:val="00DF1604"/>
    <w:rsid w:val="00DF164F"/>
    <w:rsid w:val="00DF1696"/>
    <w:rsid w:val="00DF16F6"/>
    <w:rsid w:val="00DF1777"/>
    <w:rsid w:val="00DF17F2"/>
    <w:rsid w:val="00DF180A"/>
    <w:rsid w:val="00DF1811"/>
    <w:rsid w:val="00DF1816"/>
    <w:rsid w:val="00DF18AD"/>
    <w:rsid w:val="00DF19E6"/>
    <w:rsid w:val="00DF1A03"/>
    <w:rsid w:val="00DF1BA3"/>
    <w:rsid w:val="00DF1C9A"/>
    <w:rsid w:val="00DF1CA0"/>
    <w:rsid w:val="00DF1CF6"/>
    <w:rsid w:val="00DF1D6D"/>
    <w:rsid w:val="00DF1D98"/>
    <w:rsid w:val="00DF1DC8"/>
    <w:rsid w:val="00DF1DE5"/>
    <w:rsid w:val="00DF1DF6"/>
    <w:rsid w:val="00DF1F20"/>
    <w:rsid w:val="00DF1FA6"/>
    <w:rsid w:val="00DF1FC1"/>
    <w:rsid w:val="00DF2048"/>
    <w:rsid w:val="00DF2055"/>
    <w:rsid w:val="00DF20B5"/>
    <w:rsid w:val="00DF2117"/>
    <w:rsid w:val="00DF2254"/>
    <w:rsid w:val="00DF237D"/>
    <w:rsid w:val="00DF23CC"/>
    <w:rsid w:val="00DF242F"/>
    <w:rsid w:val="00DF2447"/>
    <w:rsid w:val="00DF246C"/>
    <w:rsid w:val="00DF2546"/>
    <w:rsid w:val="00DF2682"/>
    <w:rsid w:val="00DF27D4"/>
    <w:rsid w:val="00DF27FA"/>
    <w:rsid w:val="00DF280B"/>
    <w:rsid w:val="00DF2891"/>
    <w:rsid w:val="00DF292A"/>
    <w:rsid w:val="00DF296E"/>
    <w:rsid w:val="00DF2996"/>
    <w:rsid w:val="00DF2B17"/>
    <w:rsid w:val="00DF2BA4"/>
    <w:rsid w:val="00DF3033"/>
    <w:rsid w:val="00DF3056"/>
    <w:rsid w:val="00DF30BA"/>
    <w:rsid w:val="00DF3120"/>
    <w:rsid w:val="00DF3128"/>
    <w:rsid w:val="00DF316A"/>
    <w:rsid w:val="00DF3193"/>
    <w:rsid w:val="00DF31B4"/>
    <w:rsid w:val="00DF329C"/>
    <w:rsid w:val="00DF341B"/>
    <w:rsid w:val="00DF356A"/>
    <w:rsid w:val="00DF35E5"/>
    <w:rsid w:val="00DF36FF"/>
    <w:rsid w:val="00DF3717"/>
    <w:rsid w:val="00DF37C9"/>
    <w:rsid w:val="00DF37F9"/>
    <w:rsid w:val="00DF3804"/>
    <w:rsid w:val="00DF381F"/>
    <w:rsid w:val="00DF3821"/>
    <w:rsid w:val="00DF38BF"/>
    <w:rsid w:val="00DF3A11"/>
    <w:rsid w:val="00DF3A2C"/>
    <w:rsid w:val="00DF3A2D"/>
    <w:rsid w:val="00DF3D3A"/>
    <w:rsid w:val="00DF3E98"/>
    <w:rsid w:val="00DF3EDC"/>
    <w:rsid w:val="00DF3F93"/>
    <w:rsid w:val="00DF4180"/>
    <w:rsid w:val="00DF41A3"/>
    <w:rsid w:val="00DF4271"/>
    <w:rsid w:val="00DF444E"/>
    <w:rsid w:val="00DF446B"/>
    <w:rsid w:val="00DF4636"/>
    <w:rsid w:val="00DF463A"/>
    <w:rsid w:val="00DF4721"/>
    <w:rsid w:val="00DF4A2B"/>
    <w:rsid w:val="00DF4AA4"/>
    <w:rsid w:val="00DF4AC7"/>
    <w:rsid w:val="00DF4B5D"/>
    <w:rsid w:val="00DF4B75"/>
    <w:rsid w:val="00DF4C5E"/>
    <w:rsid w:val="00DF4D7E"/>
    <w:rsid w:val="00DF4E20"/>
    <w:rsid w:val="00DF4E3E"/>
    <w:rsid w:val="00DF4ECE"/>
    <w:rsid w:val="00DF4F07"/>
    <w:rsid w:val="00DF4F94"/>
    <w:rsid w:val="00DF4F9B"/>
    <w:rsid w:val="00DF5004"/>
    <w:rsid w:val="00DF5162"/>
    <w:rsid w:val="00DF51E8"/>
    <w:rsid w:val="00DF5224"/>
    <w:rsid w:val="00DF5231"/>
    <w:rsid w:val="00DF5236"/>
    <w:rsid w:val="00DF5370"/>
    <w:rsid w:val="00DF537A"/>
    <w:rsid w:val="00DF53A2"/>
    <w:rsid w:val="00DF5579"/>
    <w:rsid w:val="00DF5591"/>
    <w:rsid w:val="00DF55C6"/>
    <w:rsid w:val="00DF566F"/>
    <w:rsid w:val="00DF56AF"/>
    <w:rsid w:val="00DF56CB"/>
    <w:rsid w:val="00DF56FC"/>
    <w:rsid w:val="00DF5754"/>
    <w:rsid w:val="00DF5769"/>
    <w:rsid w:val="00DF5799"/>
    <w:rsid w:val="00DF57AB"/>
    <w:rsid w:val="00DF57AF"/>
    <w:rsid w:val="00DF57C1"/>
    <w:rsid w:val="00DF57D9"/>
    <w:rsid w:val="00DF5979"/>
    <w:rsid w:val="00DF5A75"/>
    <w:rsid w:val="00DF5ADC"/>
    <w:rsid w:val="00DF5B55"/>
    <w:rsid w:val="00DF5B9F"/>
    <w:rsid w:val="00DF5BC6"/>
    <w:rsid w:val="00DF5BF1"/>
    <w:rsid w:val="00DF5C45"/>
    <w:rsid w:val="00DF5C89"/>
    <w:rsid w:val="00DF5D5F"/>
    <w:rsid w:val="00DF5DFB"/>
    <w:rsid w:val="00DF5F49"/>
    <w:rsid w:val="00DF5F50"/>
    <w:rsid w:val="00DF60A0"/>
    <w:rsid w:val="00DF60B9"/>
    <w:rsid w:val="00DF60FB"/>
    <w:rsid w:val="00DF61E0"/>
    <w:rsid w:val="00DF621A"/>
    <w:rsid w:val="00DF6245"/>
    <w:rsid w:val="00DF62B2"/>
    <w:rsid w:val="00DF635B"/>
    <w:rsid w:val="00DF63B7"/>
    <w:rsid w:val="00DF647B"/>
    <w:rsid w:val="00DF64AE"/>
    <w:rsid w:val="00DF64DC"/>
    <w:rsid w:val="00DF659C"/>
    <w:rsid w:val="00DF6610"/>
    <w:rsid w:val="00DF6863"/>
    <w:rsid w:val="00DF69F6"/>
    <w:rsid w:val="00DF6A01"/>
    <w:rsid w:val="00DF6A46"/>
    <w:rsid w:val="00DF6B9B"/>
    <w:rsid w:val="00DF6C04"/>
    <w:rsid w:val="00DF6D8C"/>
    <w:rsid w:val="00DF6D95"/>
    <w:rsid w:val="00DF6E25"/>
    <w:rsid w:val="00DF6F36"/>
    <w:rsid w:val="00DF6F48"/>
    <w:rsid w:val="00DF6F4C"/>
    <w:rsid w:val="00DF70BE"/>
    <w:rsid w:val="00DF70D3"/>
    <w:rsid w:val="00DF70FF"/>
    <w:rsid w:val="00DF7137"/>
    <w:rsid w:val="00DF7146"/>
    <w:rsid w:val="00DF7294"/>
    <w:rsid w:val="00DF7342"/>
    <w:rsid w:val="00DF743E"/>
    <w:rsid w:val="00DF7539"/>
    <w:rsid w:val="00DF759E"/>
    <w:rsid w:val="00DF7628"/>
    <w:rsid w:val="00DF773A"/>
    <w:rsid w:val="00DF77D0"/>
    <w:rsid w:val="00DF77F5"/>
    <w:rsid w:val="00DF7899"/>
    <w:rsid w:val="00DF78AA"/>
    <w:rsid w:val="00DF798D"/>
    <w:rsid w:val="00DF79D3"/>
    <w:rsid w:val="00DF7A45"/>
    <w:rsid w:val="00DF7A4B"/>
    <w:rsid w:val="00DF7A90"/>
    <w:rsid w:val="00DF7AF1"/>
    <w:rsid w:val="00DF7D3A"/>
    <w:rsid w:val="00DF7E96"/>
    <w:rsid w:val="00DF7EE5"/>
    <w:rsid w:val="00E000BA"/>
    <w:rsid w:val="00E0015F"/>
    <w:rsid w:val="00E001E5"/>
    <w:rsid w:val="00E0020E"/>
    <w:rsid w:val="00E0023D"/>
    <w:rsid w:val="00E002CB"/>
    <w:rsid w:val="00E0032A"/>
    <w:rsid w:val="00E0034A"/>
    <w:rsid w:val="00E004A3"/>
    <w:rsid w:val="00E0050F"/>
    <w:rsid w:val="00E0053C"/>
    <w:rsid w:val="00E007A2"/>
    <w:rsid w:val="00E007CA"/>
    <w:rsid w:val="00E007EA"/>
    <w:rsid w:val="00E0080B"/>
    <w:rsid w:val="00E00823"/>
    <w:rsid w:val="00E00875"/>
    <w:rsid w:val="00E00883"/>
    <w:rsid w:val="00E008B1"/>
    <w:rsid w:val="00E00992"/>
    <w:rsid w:val="00E00A26"/>
    <w:rsid w:val="00E00A74"/>
    <w:rsid w:val="00E00AB3"/>
    <w:rsid w:val="00E00B1B"/>
    <w:rsid w:val="00E00B25"/>
    <w:rsid w:val="00E00BDF"/>
    <w:rsid w:val="00E00CA8"/>
    <w:rsid w:val="00E00D74"/>
    <w:rsid w:val="00E00E91"/>
    <w:rsid w:val="00E00EE5"/>
    <w:rsid w:val="00E00F9C"/>
    <w:rsid w:val="00E00FE2"/>
    <w:rsid w:val="00E01014"/>
    <w:rsid w:val="00E010CD"/>
    <w:rsid w:val="00E0112C"/>
    <w:rsid w:val="00E011DA"/>
    <w:rsid w:val="00E0120F"/>
    <w:rsid w:val="00E01288"/>
    <w:rsid w:val="00E013DB"/>
    <w:rsid w:val="00E013FC"/>
    <w:rsid w:val="00E01401"/>
    <w:rsid w:val="00E0150B"/>
    <w:rsid w:val="00E01520"/>
    <w:rsid w:val="00E01575"/>
    <w:rsid w:val="00E01589"/>
    <w:rsid w:val="00E01692"/>
    <w:rsid w:val="00E016E5"/>
    <w:rsid w:val="00E0176A"/>
    <w:rsid w:val="00E01778"/>
    <w:rsid w:val="00E017F1"/>
    <w:rsid w:val="00E0186A"/>
    <w:rsid w:val="00E018AB"/>
    <w:rsid w:val="00E0191B"/>
    <w:rsid w:val="00E01A95"/>
    <w:rsid w:val="00E01ABB"/>
    <w:rsid w:val="00E01AD5"/>
    <w:rsid w:val="00E01CF8"/>
    <w:rsid w:val="00E01CFF"/>
    <w:rsid w:val="00E01DDB"/>
    <w:rsid w:val="00E01E97"/>
    <w:rsid w:val="00E01EEF"/>
    <w:rsid w:val="00E01EF1"/>
    <w:rsid w:val="00E01F20"/>
    <w:rsid w:val="00E01F6F"/>
    <w:rsid w:val="00E02017"/>
    <w:rsid w:val="00E0201D"/>
    <w:rsid w:val="00E020DD"/>
    <w:rsid w:val="00E02205"/>
    <w:rsid w:val="00E0226F"/>
    <w:rsid w:val="00E02286"/>
    <w:rsid w:val="00E02326"/>
    <w:rsid w:val="00E0236D"/>
    <w:rsid w:val="00E023CE"/>
    <w:rsid w:val="00E024C7"/>
    <w:rsid w:val="00E0253B"/>
    <w:rsid w:val="00E02603"/>
    <w:rsid w:val="00E0260B"/>
    <w:rsid w:val="00E02650"/>
    <w:rsid w:val="00E027F7"/>
    <w:rsid w:val="00E02834"/>
    <w:rsid w:val="00E02844"/>
    <w:rsid w:val="00E02857"/>
    <w:rsid w:val="00E02913"/>
    <w:rsid w:val="00E029B2"/>
    <w:rsid w:val="00E029CB"/>
    <w:rsid w:val="00E029CD"/>
    <w:rsid w:val="00E029FD"/>
    <w:rsid w:val="00E02A12"/>
    <w:rsid w:val="00E02A4A"/>
    <w:rsid w:val="00E02C08"/>
    <w:rsid w:val="00E02CEA"/>
    <w:rsid w:val="00E02D67"/>
    <w:rsid w:val="00E02DA4"/>
    <w:rsid w:val="00E02E0A"/>
    <w:rsid w:val="00E02ED9"/>
    <w:rsid w:val="00E02F7C"/>
    <w:rsid w:val="00E02FD9"/>
    <w:rsid w:val="00E03027"/>
    <w:rsid w:val="00E03029"/>
    <w:rsid w:val="00E03037"/>
    <w:rsid w:val="00E03117"/>
    <w:rsid w:val="00E031F5"/>
    <w:rsid w:val="00E03216"/>
    <w:rsid w:val="00E032AE"/>
    <w:rsid w:val="00E032BF"/>
    <w:rsid w:val="00E0339A"/>
    <w:rsid w:val="00E03549"/>
    <w:rsid w:val="00E0357E"/>
    <w:rsid w:val="00E03753"/>
    <w:rsid w:val="00E037F1"/>
    <w:rsid w:val="00E03808"/>
    <w:rsid w:val="00E038D5"/>
    <w:rsid w:val="00E038E3"/>
    <w:rsid w:val="00E03910"/>
    <w:rsid w:val="00E03962"/>
    <w:rsid w:val="00E03A5E"/>
    <w:rsid w:val="00E03B00"/>
    <w:rsid w:val="00E03B1B"/>
    <w:rsid w:val="00E03C14"/>
    <w:rsid w:val="00E03C24"/>
    <w:rsid w:val="00E03C2A"/>
    <w:rsid w:val="00E03C40"/>
    <w:rsid w:val="00E03C58"/>
    <w:rsid w:val="00E03CB9"/>
    <w:rsid w:val="00E03D07"/>
    <w:rsid w:val="00E03E06"/>
    <w:rsid w:val="00E03E4D"/>
    <w:rsid w:val="00E03E82"/>
    <w:rsid w:val="00E03EB7"/>
    <w:rsid w:val="00E03F00"/>
    <w:rsid w:val="00E03F10"/>
    <w:rsid w:val="00E03F2D"/>
    <w:rsid w:val="00E03FF5"/>
    <w:rsid w:val="00E040FD"/>
    <w:rsid w:val="00E0417C"/>
    <w:rsid w:val="00E041CA"/>
    <w:rsid w:val="00E04220"/>
    <w:rsid w:val="00E04238"/>
    <w:rsid w:val="00E04267"/>
    <w:rsid w:val="00E0428F"/>
    <w:rsid w:val="00E042A9"/>
    <w:rsid w:val="00E043B1"/>
    <w:rsid w:val="00E043CF"/>
    <w:rsid w:val="00E0440B"/>
    <w:rsid w:val="00E044B1"/>
    <w:rsid w:val="00E0450E"/>
    <w:rsid w:val="00E0453D"/>
    <w:rsid w:val="00E045BE"/>
    <w:rsid w:val="00E045C4"/>
    <w:rsid w:val="00E045E2"/>
    <w:rsid w:val="00E0464F"/>
    <w:rsid w:val="00E04657"/>
    <w:rsid w:val="00E047AE"/>
    <w:rsid w:val="00E04862"/>
    <w:rsid w:val="00E04981"/>
    <w:rsid w:val="00E04A18"/>
    <w:rsid w:val="00E04A35"/>
    <w:rsid w:val="00E04A57"/>
    <w:rsid w:val="00E04A74"/>
    <w:rsid w:val="00E04AE9"/>
    <w:rsid w:val="00E04BB0"/>
    <w:rsid w:val="00E04BBC"/>
    <w:rsid w:val="00E04CE3"/>
    <w:rsid w:val="00E04D1B"/>
    <w:rsid w:val="00E04D75"/>
    <w:rsid w:val="00E04DCE"/>
    <w:rsid w:val="00E04E27"/>
    <w:rsid w:val="00E04EC4"/>
    <w:rsid w:val="00E04ECB"/>
    <w:rsid w:val="00E04F4D"/>
    <w:rsid w:val="00E04F84"/>
    <w:rsid w:val="00E04FE2"/>
    <w:rsid w:val="00E05047"/>
    <w:rsid w:val="00E05051"/>
    <w:rsid w:val="00E050AB"/>
    <w:rsid w:val="00E050DA"/>
    <w:rsid w:val="00E051B8"/>
    <w:rsid w:val="00E052DC"/>
    <w:rsid w:val="00E055F1"/>
    <w:rsid w:val="00E0567B"/>
    <w:rsid w:val="00E056C1"/>
    <w:rsid w:val="00E05738"/>
    <w:rsid w:val="00E057C9"/>
    <w:rsid w:val="00E05A60"/>
    <w:rsid w:val="00E05A6E"/>
    <w:rsid w:val="00E05A86"/>
    <w:rsid w:val="00E05B59"/>
    <w:rsid w:val="00E05B8F"/>
    <w:rsid w:val="00E05BCB"/>
    <w:rsid w:val="00E05C9E"/>
    <w:rsid w:val="00E05CA5"/>
    <w:rsid w:val="00E05D5C"/>
    <w:rsid w:val="00E05F3F"/>
    <w:rsid w:val="00E05F98"/>
    <w:rsid w:val="00E05FA6"/>
    <w:rsid w:val="00E05FED"/>
    <w:rsid w:val="00E0632E"/>
    <w:rsid w:val="00E064FA"/>
    <w:rsid w:val="00E065B9"/>
    <w:rsid w:val="00E065D4"/>
    <w:rsid w:val="00E06740"/>
    <w:rsid w:val="00E0680B"/>
    <w:rsid w:val="00E0688D"/>
    <w:rsid w:val="00E068FE"/>
    <w:rsid w:val="00E06939"/>
    <w:rsid w:val="00E06943"/>
    <w:rsid w:val="00E069D4"/>
    <w:rsid w:val="00E06AD2"/>
    <w:rsid w:val="00E06B67"/>
    <w:rsid w:val="00E06D56"/>
    <w:rsid w:val="00E06D94"/>
    <w:rsid w:val="00E06E56"/>
    <w:rsid w:val="00E06F05"/>
    <w:rsid w:val="00E070D6"/>
    <w:rsid w:val="00E07123"/>
    <w:rsid w:val="00E07125"/>
    <w:rsid w:val="00E0722C"/>
    <w:rsid w:val="00E07255"/>
    <w:rsid w:val="00E07257"/>
    <w:rsid w:val="00E07280"/>
    <w:rsid w:val="00E07288"/>
    <w:rsid w:val="00E072B5"/>
    <w:rsid w:val="00E073DD"/>
    <w:rsid w:val="00E073FB"/>
    <w:rsid w:val="00E074C9"/>
    <w:rsid w:val="00E07594"/>
    <w:rsid w:val="00E07596"/>
    <w:rsid w:val="00E07621"/>
    <w:rsid w:val="00E07676"/>
    <w:rsid w:val="00E076FF"/>
    <w:rsid w:val="00E07707"/>
    <w:rsid w:val="00E077C9"/>
    <w:rsid w:val="00E077DE"/>
    <w:rsid w:val="00E07802"/>
    <w:rsid w:val="00E07821"/>
    <w:rsid w:val="00E07829"/>
    <w:rsid w:val="00E0788D"/>
    <w:rsid w:val="00E07A30"/>
    <w:rsid w:val="00E07A39"/>
    <w:rsid w:val="00E07A5C"/>
    <w:rsid w:val="00E07ACD"/>
    <w:rsid w:val="00E07AE8"/>
    <w:rsid w:val="00E07AEB"/>
    <w:rsid w:val="00E07B3E"/>
    <w:rsid w:val="00E07BDA"/>
    <w:rsid w:val="00E07C2E"/>
    <w:rsid w:val="00E07C6D"/>
    <w:rsid w:val="00E07CEC"/>
    <w:rsid w:val="00E07D38"/>
    <w:rsid w:val="00E07E14"/>
    <w:rsid w:val="00E07F6A"/>
    <w:rsid w:val="00E07FC6"/>
    <w:rsid w:val="00E1000F"/>
    <w:rsid w:val="00E10033"/>
    <w:rsid w:val="00E1004A"/>
    <w:rsid w:val="00E100BC"/>
    <w:rsid w:val="00E101B2"/>
    <w:rsid w:val="00E102D5"/>
    <w:rsid w:val="00E102D9"/>
    <w:rsid w:val="00E10327"/>
    <w:rsid w:val="00E1052B"/>
    <w:rsid w:val="00E1055D"/>
    <w:rsid w:val="00E105DE"/>
    <w:rsid w:val="00E10645"/>
    <w:rsid w:val="00E10718"/>
    <w:rsid w:val="00E107A3"/>
    <w:rsid w:val="00E1088B"/>
    <w:rsid w:val="00E108A2"/>
    <w:rsid w:val="00E108AD"/>
    <w:rsid w:val="00E10A0F"/>
    <w:rsid w:val="00E10B6C"/>
    <w:rsid w:val="00E10CBF"/>
    <w:rsid w:val="00E10E73"/>
    <w:rsid w:val="00E10F5A"/>
    <w:rsid w:val="00E10FB3"/>
    <w:rsid w:val="00E11019"/>
    <w:rsid w:val="00E11207"/>
    <w:rsid w:val="00E11232"/>
    <w:rsid w:val="00E112C0"/>
    <w:rsid w:val="00E112E3"/>
    <w:rsid w:val="00E11366"/>
    <w:rsid w:val="00E11372"/>
    <w:rsid w:val="00E11474"/>
    <w:rsid w:val="00E114AC"/>
    <w:rsid w:val="00E11534"/>
    <w:rsid w:val="00E1158E"/>
    <w:rsid w:val="00E1159D"/>
    <w:rsid w:val="00E11710"/>
    <w:rsid w:val="00E1176B"/>
    <w:rsid w:val="00E11796"/>
    <w:rsid w:val="00E117A2"/>
    <w:rsid w:val="00E117E2"/>
    <w:rsid w:val="00E1180D"/>
    <w:rsid w:val="00E118FD"/>
    <w:rsid w:val="00E119CB"/>
    <w:rsid w:val="00E11CE3"/>
    <w:rsid w:val="00E11D0F"/>
    <w:rsid w:val="00E11D24"/>
    <w:rsid w:val="00E11D38"/>
    <w:rsid w:val="00E11D87"/>
    <w:rsid w:val="00E11D8B"/>
    <w:rsid w:val="00E11DA7"/>
    <w:rsid w:val="00E11E12"/>
    <w:rsid w:val="00E11E2F"/>
    <w:rsid w:val="00E11EF3"/>
    <w:rsid w:val="00E11F68"/>
    <w:rsid w:val="00E12073"/>
    <w:rsid w:val="00E12188"/>
    <w:rsid w:val="00E1227C"/>
    <w:rsid w:val="00E122AD"/>
    <w:rsid w:val="00E122C8"/>
    <w:rsid w:val="00E12362"/>
    <w:rsid w:val="00E123FA"/>
    <w:rsid w:val="00E12417"/>
    <w:rsid w:val="00E124E9"/>
    <w:rsid w:val="00E12506"/>
    <w:rsid w:val="00E12507"/>
    <w:rsid w:val="00E12517"/>
    <w:rsid w:val="00E12575"/>
    <w:rsid w:val="00E125AB"/>
    <w:rsid w:val="00E1264D"/>
    <w:rsid w:val="00E1268E"/>
    <w:rsid w:val="00E126C2"/>
    <w:rsid w:val="00E126F8"/>
    <w:rsid w:val="00E12716"/>
    <w:rsid w:val="00E12768"/>
    <w:rsid w:val="00E12842"/>
    <w:rsid w:val="00E12855"/>
    <w:rsid w:val="00E129DA"/>
    <w:rsid w:val="00E12A06"/>
    <w:rsid w:val="00E12A8C"/>
    <w:rsid w:val="00E12B01"/>
    <w:rsid w:val="00E12B10"/>
    <w:rsid w:val="00E12B34"/>
    <w:rsid w:val="00E12DB7"/>
    <w:rsid w:val="00E12E27"/>
    <w:rsid w:val="00E12EF3"/>
    <w:rsid w:val="00E12F36"/>
    <w:rsid w:val="00E1300F"/>
    <w:rsid w:val="00E1301B"/>
    <w:rsid w:val="00E13071"/>
    <w:rsid w:val="00E1308C"/>
    <w:rsid w:val="00E130CD"/>
    <w:rsid w:val="00E13182"/>
    <w:rsid w:val="00E13301"/>
    <w:rsid w:val="00E13344"/>
    <w:rsid w:val="00E135C8"/>
    <w:rsid w:val="00E1361A"/>
    <w:rsid w:val="00E13763"/>
    <w:rsid w:val="00E1377A"/>
    <w:rsid w:val="00E137AB"/>
    <w:rsid w:val="00E13837"/>
    <w:rsid w:val="00E138C4"/>
    <w:rsid w:val="00E13918"/>
    <w:rsid w:val="00E13962"/>
    <w:rsid w:val="00E139F3"/>
    <w:rsid w:val="00E13A02"/>
    <w:rsid w:val="00E13A09"/>
    <w:rsid w:val="00E13AF0"/>
    <w:rsid w:val="00E13B70"/>
    <w:rsid w:val="00E13BD2"/>
    <w:rsid w:val="00E13BFA"/>
    <w:rsid w:val="00E13BFB"/>
    <w:rsid w:val="00E13C7F"/>
    <w:rsid w:val="00E13C96"/>
    <w:rsid w:val="00E13D27"/>
    <w:rsid w:val="00E13E11"/>
    <w:rsid w:val="00E13EB9"/>
    <w:rsid w:val="00E13F20"/>
    <w:rsid w:val="00E14039"/>
    <w:rsid w:val="00E14186"/>
    <w:rsid w:val="00E142DE"/>
    <w:rsid w:val="00E143B5"/>
    <w:rsid w:val="00E143CC"/>
    <w:rsid w:val="00E143F3"/>
    <w:rsid w:val="00E14400"/>
    <w:rsid w:val="00E14407"/>
    <w:rsid w:val="00E144EA"/>
    <w:rsid w:val="00E14514"/>
    <w:rsid w:val="00E147F9"/>
    <w:rsid w:val="00E1483A"/>
    <w:rsid w:val="00E14848"/>
    <w:rsid w:val="00E1486F"/>
    <w:rsid w:val="00E148B5"/>
    <w:rsid w:val="00E148E6"/>
    <w:rsid w:val="00E1493B"/>
    <w:rsid w:val="00E14A31"/>
    <w:rsid w:val="00E14AE2"/>
    <w:rsid w:val="00E14B90"/>
    <w:rsid w:val="00E14BC8"/>
    <w:rsid w:val="00E14C56"/>
    <w:rsid w:val="00E14C9D"/>
    <w:rsid w:val="00E14CC5"/>
    <w:rsid w:val="00E14CF2"/>
    <w:rsid w:val="00E14E4D"/>
    <w:rsid w:val="00E14EFD"/>
    <w:rsid w:val="00E14F5D"/>
    <w:rsid w:val="00E14FA1"/>
    <w:rsid w:val="00E15042"/>
    <w:rsid w:val="00E15072"/>
    <w:rsid w:val="00E15115"/>
    <w:rsid w:val="00E15135"/>
    <w:rsid w:val="00E153B0"/>
    <w:rsid w:val="00E154BC"/>
    <w:rsid w:val="00E15503"/>
    <w:rsid w:val="00E155FD"/>
    <w:rsid w:val="00E1563E"/>
    <w:rsid w:val="00E156EC"/>
    <w:rsid w:val="00E156FB"/>
    <w:rsid w:val="00E1570D"/>
    <w:rsid w:val="00E1576B"/>
    <w:rsid w:val="00E1580A"/>
    <w:rsid w:val="00E15828"/>
    <w:rsid w:val="00E1583B"/>
    <w:rsid w:val="00E1583E"/>
    <w:rsid w:val="00E1589E"/>
    <w:rsid w:val="00E1593A"/>
    <w:rsid w:val="00E159FA"/>
    <w:rsid w:val="00E15A2F"/>
    <w:rsid w:val="00E15A47"/>
    <w:rsid w:val="00E15A59"/>
    <w:rsid w:val="00E15B59"/>
    <w:rsid w:val="00E15B5C"/>
    <w:rsid w:val="00E15BAD"/>
    <w:rsid w:val="00E15BB7"/>
    <w:rsid w:val="00E15C19"/>
    <w:rsid w:val="00E15DE5"/>
    <w:rsid w:val="00E15E18"/>
    <w:rsid w:val="00E15E75"/>
    <w:rsid w:val="00E15EB8"/>
    <w:rsid w:val="00E15ED3"/>
    <w:rsid w:val="00E15F98"/>
    <w:rsid w:val="00E15FDE"/>
    <w:rsid w:val="00E1606C"/>
    <w:rsid w:val="00E160AB"/>
    <w:rsid w:val="00E161A6"/>
    <w:rsid w:val="00E162C4"/>
    <w:rsid w:val="00E164F0"/>
    <w:rsid w:val="00E16592"/>
    <w:rsid w:val="00E166C8"/>
    <w:rsid w:val="00E166F0"/>
    <w:rsid w:val="00E1686D"/>
    <w:rsid w:val="00E169A3"/>
    <w:rsid w:val="00E16A6B"/>
    <w:rsid w:val="00E16A91"/>
    <w:rsid w:val="00E16B40"/>
    <w:rsid w:val="00E16C30"/>
    <w:rsid w:val="00E16C5B"/>
    <w:rsid w:val="00E16E11"/>
    <w:rsid w:val="00E16EA7"/>
    <w:rsid w:val="00E16EAB"/>
    <w:rsid w:val="00E16EDB"/>
    <w:rsid w:val="00E16EE8"/>
    <w:rsid w:val="00E16F27"/>
    <w:rsid w:val="00E16F64"/>
    <w:rsid w:val="00E16F8E"/>
    <w:rsid w:val="00E16F95"/>
    <w:rsid w:val="00E16FF6"/>
    <w:rsid w:val="00E1702C"/>
    <w:rsid w:val="00E17076"/>
    <w:rsid w:val="00E1726F"/>
    <w:rsid w:val="00E17275"/>
    <w:rsid w:val="00E17299"/>
    <w:rsid w:val="00E172DC"/>
    <w:rsid w:val="00E173E8"/>
    <w:rsid w:val="00E1751A"/>
    <w:rsid w:val="00E1753C"/>
    <w:rsid w:val="00E17541"/>
    <w:rsid w:val="00E175C2"/>
    <w:rsid w:val="00E17622"/>
    <w:rsid w:val="00E176E3"/>
    <w:rsid w:val="00E17744"/>
    <w:rsid w:val="00E17817"/>
    <w:rsid w:val="00E17825"/>
    <w:rsid w:val="00E17838"/>
    <w:rsid w:val="00E1785D"/>
    <w:rsid w:val="00E17939"/>
    <w:rsid w:val="00E17BB0"/>
    <w:rsid w:val="00E17C2C"/>
    <w:rsid w:val="00E17C80"/>
    <w:rsid w:val="00E17D4A"/>
    <w:rsid w:val="00E17E68"/>
    <w:rsid w:val="00E17E82"/>
    <w:rsid w:val="00E17E88"/>
    <w:rsid w:val="00E17ED1"/>
    <w:rsid w:val="00E17F0E"/>
    <w:rsid w:val="00E17F76"/>
    <w:rsid w:val="00E17F98"/>
    <w:rsid w:val="00E17FD9"/>
    <w:rsid w:val="00E2004B"/>
    <w:rsid w:val="00E200C0"/>
    <w:rsid w:val="00E2011F"/>
    <w:rsid w:val="00E201D8"/>
    <w:rsid w:val="00E2029A"/>
    <w:rsid w:val="00E20367"/>
    <w:rsid w:val="00E20521"/>
    <w:rsid w:val="00E20587"/>
    <w:rsid w:val="00E206FD"/>
    <w:rsid w:val="00E2070D"/>
    <w:rsid w:val="00E20717"/>
    <w:rsid w:val="00E2089F"/>
    <w:rsid w:val="00E2099C"/>
    <w:rsid w:val="00E20A02"/>
    <w:rsid w:val="00E20B2A"/>
    <w:rsid w:val="00E20C29"/>
    <w:rsid w:val="00E20C71"/>
    <w:rsid w:val="00E20CCF"/>
    <w:rsid w:val="00E20D28"/>
    <w:rsid w:val="00E20D85"/>
    <w:rsid w:val="00E20D9C"/>
    <w:rsid w:val="00E20DE0"/>
    <w:rsid w:val="00E20E63"/>
    <w:rsid w:val="00E20EA8"/>
    <w:rsid w:val="00E20EB7"/>
    <w:rsid w:val="00E20ED8"/>
    <w:rsid w:val="00E20F2A"/>
    <w:rsid w:val="00E20FA4"/>
    <w:rsid w:val="00E2100D"/>
    <w:rsid w:val="00E2102E"/>
    <w:rsid w:val="00E210CA"/>
    <w:rsid w:val="00E2123B"/>
    <w:rsid w:val="00E212C9"/>
    <w:rsid w:val="00E212E8"/>
    <w:rsid w:val="00E21322"/>
    <w:rsid w:val="00E21471"/>
    <w:rsid w:val="00E21499"/>
    <w:rsid w:val="00E2149F"/>
    <w:rsid w:val="00E214C2"/>
    <w:rsid w:val="00E21513"/>
    <w:rsid w:val="00E215E4"/>
    <w:rsid w:val="00E2165C"/>
    <w:rsid w:val="00E21698"/>
    <w:rsid w:val="00E217A0"/>
    <w:rsid w:val="00E21862"/>
    <w:rsid w:val="00E2188C"/>
    <w:rsid w:val="00E218B5"/>
    <w:rsid w:val="00E21912"/>
    <w:rsid w:val="00E21A54"/>
    <w:rsid w:val="00E21AD3"/>
    <w:rsid w:val="00E21B47"/>
    <w:rsid w:val="00E21BFF"/>
    <w:rsid w:val="00E21C1F"/>
    <w:rsid w:val="00E21CD8"/>
    <w:rsid w:val="00E21D37"/>
    <w:rsid w:val="00E21DAF"/>
    <w:rsid w:val="00E21DF3"/>
    <w:rsid w:val="00E21E63"/>
    <w:rsid w:val="00E21E8F"/>
    <w:rsid w:val="00E21FF5"/>
    <w:rsid w:val="00E2200A"/>
    <w:rsid w:val="00E22026"/>
    <w:rsid w:val="00E2206C"/>
    <w:rsid w:val="00E22071"/>
    <w:rsid w:val="00E220CC"/>
    <w:rsid w:val="00E220CD"/>
    <w:rsid w:val="00E220D6"/>
    <w:rsid w:val="00E221D6"/>
    <w:rsid w:val="00E22246"/>
    <w:rsid w:val="00E2238F"/>
    <w:rsid w:val="00E22491"/>
    <w:rsid w:val="00E224B6"/>
    <w:rsid w:val="00E225D6"/>
    <w:rsid w:val="00E2265B"/>
    <w:rsid w:val="00E226E2"/>
    <w:rsid w:val="00E22763"/>
    <w:rsid w:val="00E2279F"/>
    <w:rsid w:val="00E2281E"/>
    <w:rsid w:val="00E2284C"/>
    <w:rsid w:val="00E22879"/>
    <w:rsid w:val="00E22954"/>
    <w:rsid w:val="00E229C7"/>
    <w:rsid w:val="00E22BA8"/>
    <w:rsid w:val="00E22BE1"/>
    <w:rsid w:val="00E22BF3"/>
    <w:rsid w:val="00E22C17"/>
    <w:rsid w:val="00E22C78"/>
    <w:rsid w:val="00E22D0F"/>
    <w:rsid w:val="00E22DFF"/>
    <w:rsid w:val="00E22E60"/>
    <w:rsid w:val="00E22EF4"/>
    <w:rsid w:val="00E22F18"/>
    <w:rsid w:val="00E22F36"/>
    <w:rsid w:val="00E22F47"/>
    <w:rsid w:val="00E22F82"/>
    <w:rsid w:val="00E22F8D"/>
    <w:rsid w:val="00E2300D"/>
    <w:rsid w:val="00E2303F"/>
    <w:rsid w:val="00E23077"/>
    <w:rsid w:val="00E230A0"/>
    <w:rsid w:val="00E230B0"/>
    <w:rsid w:val="00E230B3"/>
    <w:rsid w:val="00E23147"/>
    <w:rsid w:val="00E231EE"/>
    <w:rsid w:val="00E23240"/>
    <w:rsid w:val="00E23292"/>
    <w:rsid w:val="00E23402"/>
    <w:rsid w:val="00E234D4"/>
    <w:rsid w:val="00E234F5"/>
    <w:rsid w:val="00E2361F"/>
    <w:rsid w:val="00E236A8"/>
    <w:rsid w:val="00E236B5"/>
    <w:rsid w:val="00E238CC"/>
    <w:rsid w:val="00E239C5"/>
    <w:rsid w:val="00E23BF7"/>
    <w:rsid w:val="00E23C72"/>
    <w:rsid w:val="00E23C87"/>
    <w:rsid w:val="00E23CCE"/>
    <w:rsid w:val="00E23CDC"/>
    <w:rsid w:val="00E23D47"/>
    <w:rsid w:val="00E23DAB"/>
    <w:rsid w:val="00E23E02"/>
    <w:rsid w:val="00E23EB9"/>
    <w:rsid w:val="00E23EBB"/>
    <w:rsid w:val="00E23F44"/>
    <w:rsid w:val="00E23F74"/>
    <w:rsid w:val="00E23F98"/>
    <w:rsid w:val="00E23FAC"/>
    <w:rsid w:val="00E24023"/>
    <w:rsid w:val="00E24058"/>
    <w:rsid w:val="00E2406A"/>
    <w:rsid w:val="00E241DE"/>
    <w:rsid w:val="00E242CF"/>
    <w:rsid w:val="00E2433E"/>
    <w:rsid w:val="00E2440D"/>
    <w:rsid w:val="00E2454F"/>
    <w:rsid w:val="00E245A4"/>
    <w:rsid w:val="00E245E7"/>
    <w:rsid w:val="00E24663"/>
    <w:rsid w:val="00E24756"/>
    <w:rsid w:val="00E24825"/>
    <w:rsid w:val="00E2485C"/>
    <w:rsid w:val="00E248B4"/>
    <w:rsid w:val="00E2496B"/>
    <w:rsid w:val="00E249A0"/>
    <w:rsid w:val="00E24AB6"/>
    <w:rsid w:val="00E24BFF"/>
    <w:rsid w:val="00E24C00"/>
    <w:rsid w:val="00E24C4E"/>
    <w:rsid w:val="00E24C70"/>
    <w:rsid w:val="00E24C88"/>
    <w:rsid w:val="00E24D46"/>
    <w:rsid w:val="00E24D8F"/>
    <w:rsid w:val="00E24DD5"/>
    <w:rsid w:val="00E24F2E"/>
    <w:rsid w:val="00E24F79"/>
    <w:rsid w:val="00E24FE9"/>
    <w:rsid w:val="00E25069"/>
    <w:rsid w:val="00E250F6"/>
    <w:rsid w:val="00E2511C"/>
    <w:rsid w:val="00E2513F"/>
    <w:rsid w:val="00E251CA"/>
    <w:rsid w:val="00E252F2"/>
    <w:rsid w:val="00E2536C"/>
    <w:rsid w:val="00E25474"/>
    <w:rsid w:val="00E25646"/>
    <w:rsid w:val="00E2566F"/>
    <w:rsid w:val="00E256B6"/>
    <w:rsid w:val="00E25715"/>
    <w:rsid w:val="00E257BC"/>
    <w:rsid w:val="00E2582F"/>
    <w:rsid w:val="00E2584B"/>
    <w:rsid w:val="00E2587D"/>
    <w:rsid w:val="00E2588A"/>
    <w:rsid w:val="00E25899"/>
    <w:rsid w:val="00E25A20"/>
    <w:rsid w:val="00E25A31"/>
    <w:rsid w:val="00E25A55"/>
    <w:rsid w:val="00E25C8F"/>
    <w:rsid w:val="00E25D95"/>
    <w:rsid w:val="00E25DB2"/>
    <w:rsid w:val="00E25EBB"/>
    <w:rsid w:val="00E25EFD"/>
    <w:rsid w:val="00E25F88"/>
    <w:rsid w:val="00E25FC7"/>
    <w:rsid w:val="00E26022"/>
    <w:rsid w:val="00E26098"/>
    <w:rsid w:val="00E261DA"/>
    <w:rsid w:val="00E2620B"/>
    <w:rsid w:val="00E26243"/>
    <w:rsid w:val="00E26264"/>
    <w:rsid w:val="00E26298"/>
    <w:rsid w:val="00E26317"/>
    <w:rsid w:val="00E26349"/>
    <w:rsid w:val="00E26372"/>
    <w:rsid w:val="00E26411"/>
    <w:rsid w:val="00E26451"/>
    <w:rsid w:val="00E26506"/>
    <w:rsid w:val="00E26527"/>
    <w:rsid w:val="00E2656E"/>
    <w:rsid w:val="00E26613"/>
    <w:rsid w:val="00E26652"/>
    <w:rsid w:val="00E266AA"/>
    <w:rsid w:val="00E2679C"/>
    <w:rsid w:val="00E26836"/>
    <w:rsid w:val="00E26854"/>
    <w:rsid w:val="00E2693A"/>
    <w:rsid w:val="00E26970"/>
    <w:rsid w:val="00E269B4"/>
    <w:rsid w:val="00E26A32"/>
    <w:rsid w:val="00E26AAC"/>
    <w:rsid w:val="00E26ADF"/>
    <w:rsid w:val="00E26B59"/>
    <w:rsid w:val="00E26B72"/>
    <w:rsid w:val="00E26C1D"/>
    <w:rsid w:val="00E26CB1"/>
    <w:rsid w:val="00E26DB0"/>
    <w:rsid w:val="00E26DB7"/>
    <w:rsid w:val="00E26F4A"/>
    <w:rsid w:val="00E26F6E"/>
    <w:rsid w:val="00E271B0"/>
    <w:rsid w:val="00E271BC"/>
    <w:rsid w:val="00E271E8"/>
    <w:rsid w:val="00E2724A"/>
    <w:rsid w:val="00E2724B"/>
    <w:rsid w:val="00E27288"/>
    <w:rsid w:val="00E272BE"/>
    <w:rsid w:val="00E273D9"/>
    <w:rsid w:val="00E274E1"/>
    <w:rsid w:val="00E274F8"/>
    <w:rsid w:val="00E27509"/>
    <w:rsid w:val="00E27556"/>
    <w:rsid w:val="00E2755F"/>
    <w:rsid w:val="00E27621"/>
    <w:rsid w:val="00E276AF"/>
    <w:rsid w:val="00E27746"/>
    <w:rsid w:val="00E2775C"/>
    <w:rsid w:val="00E277D3"/>
    <w:rsid w:val="00E277F4"/>
    <w:rsid w:val="00E2792F"/>
    <w:rsid w:val="00E27B8E"/>
    <w:rsid w:val="00E27B9A"/>
    <w:rsid w:val="00E27BD9"/>
    <w:rsid w:val="00E27C02"/>
    <w:rsid w:val="00E27C52"/>
    <w:rsid w:val="00E27D33"/>
    <w:rsid w:val="00E27DBE"/>
    <w:rsid w:val="00E27DEE"/>
    <w:rsid w:val="00E27E90"/>
    <w:rsid w:val="00E27EB3"/>
    <w:rsid w:val="00E27EC3"/>
    <w:rsid w:val="00E27F9B"/>
    <w:rsid w:val="00E30003"/>
    <w:rsid w:val="00E3003D"/>
    <w:rsid w:val="00E300C4"/>
    <w:rsid w:val="00E30167"/>
    <w:rsid w:val="00E3018F"/>
    <w:rsid w:val="00E30227"/>
    <w:rsid w:val="00E3029C"/>
    <w:rsid w:val="00E30324"/>
    <w:rsid w:val="00E30549"/>
    <w:rsid w:val="00E3060F"/>
    <w:rsid w:val="00E306CA"/>
    <w:rsid w:val="00E306CD"/>
    <w:rsid w:val="00E30782"/>
    <w:rsid w:val="00E307A9"/>
    <w:rsid w:val="00E307CC"/>
    <w:rsid w:val="00E307DD"/>
    <w:rsid w:val="00E3082C"/>
    <w:rsid w:val="00E30866"/>
    <w:rsid w:val="00E30A90"/>
    <w:rsid w:val="00E30ACB"/>
    <w:rsid w:val="00E30B5B"/>
    <w:rsid w:val="00E30D5A"/>
    <w:rsid w:val="00E30D90"/>
    <w:rsid w:val="00E30D9A"/>
    <w:rsid w:val="00E30EAD"/>
    <w:rsid w:val="00E30EF4"/>
    <w:rsid w:val="00E30FB6"/>
    <w:rsid w:val="00E30FF1"/>
    <w:rsid w:val="00E30FF9"/>
    <w:rsid w:val="00E311F9"/>
    <w:rsid w:val="00E31221"/>
    <w:rsid w:val="00E312C5"/>
    <w:rsid w:val="00E312CD"/>
    <w:rsid w:val="00E31320"/>
    <w:rsid w:val="00E3133E"/>
    <w:rsid w:val="00E313A6"/>
    <w:rsid w:val="00E313C1"/>
    <w:rsid w:val="00E313CB"/>
    <w:rsid w:val="00E31489"/>
    <w:rsid w:val="00E31504"/>
    <w:rsid w:val="00E3154B"/>
    <w:rsid w:val="00E31699"/>
    <w:rsid w:val="00E316CC"/>
    <w:rsid w:val="00E3174F"/>
    <w:rsid w:val="00E31769"/>
    <w:rsid w:val="00E31782"/>
    <w:rsid w:val="00E317A3"/>
    <w:rsid w:val="00E318DC"/>
    <w:rsid w:val="00E31933"/>
    <w:rsid w:val="00E31981"/>
    <w:rsid w:val="00E31A58"/>
    <w:rsid w:val="00E31BB9"/>
    <w:rsid w:val="00E31C84"/>
    <w:rsid w:val="00E31C87"/>
    <w:rsid w:val="00E31CC0"/>
    <w:rsid w:val="00E31CF6"/>
    <w:rsid w:val="00E31D39"/>
    <w:rsid w:val="00E31DB7"/>
    <w:rsid w:val="00E31E63"/>
    <w:rsid w:val="00E31E73"/>
    <w:rsid w:val="00E31EA1"/>
    <w:rsid w:val="00E31F1C"/>
    <w:rsid w:val="00E31F4E"/>
    <w:rsid w:val="00E32085"/>
    <w:rsid w:val="00E32102"/>
    <w:rsid w:val="00E3211B"/>
    <w:rsid w:val="00E3217D"/>
    <w:rsid w:val="00E3217F"/>
    <w:rsid w:val="00E321D8"/>
    <w:rsid w:val="00E32213"/>
    <w:rsid w:val="00E32230"/>
    <w:rsid w:val="00E32269"/>
    <w:rsid w:val="00E32283"/>
    <w:rsid w:val="00E322A7"/>
    <w:rsid w:val="00E3231D"/>
    <w:rsid w:val="00E3237A"/>
    <w:rsid w:val="00E32381"/>
    <w:rsid w:val="00E323BA"/>
    <w:rsid w:val="00E323BF"/>
    <w:rsid w:val="00E32407"/>
    <w:rsid w:val="00E324EB"/>
    <w:rsid w:val="00E32625"/>
    <w:rsid w:val="00E32688"/>
    <w:rsid w:val="00E326FD"/>
    <w:rsid w:val="00E327F2"/>
    <w:rsid w:val="00E328E3"/>
    <w:rsid w:val="00E328FC"/>
    <w:rsid w:val="00E328FE"/>
    <w:rsid w:val="00E32926"/>
    <w:rsid w:val="00E32A07"/>
    <w:rsid w:val="00E32A66"/>
    <w:rsid w:val="00E32A74"/>
    <w:rsid w:val="00E32B44"/>
    <w:rsid w:val="00E32B73"/>
    <w:rsid w:val="00E32B90"/>
    <w:rsid w:val="00E32BB8"/>
    <w:rsid w:val="00E32D16"/>
    <w:rsid w:val="00E32D23"/>
    <w:rsid w:val="00E32EAC"/>
    <w:rsid w:val="00E32EE5"/>
    <w:rsid w:val="00E32EFB"/>
    <w:rsid w:val="00E32F93"/>
    <w:rsid w:val="00E32FAB"/>
    <w:rsid w:val="00E32FC6"/>
    <w:rsid w:val="00E32FF4"/>
    <w:rsid w:val="00E33065"/>
    <w:rsid w:val="00E33103"/>
    <w:rsid w:val="00E33117"/>
    <w:rsid w:val="00E33296"/>
    <w:rsid w:val="00E33393"/>
    <w:rsid w:val="00E333E5"/>
    <w:rsid w:val="00E33400"/>
    <w:rsid w:val="00E33493"/>
    <w:rsid w:val="00E33521"/>
    <w:rsid w:val="00E33542"/>
    <w:rsid w:val="00E335B7"/>
    <w:rsid w:val="00E3364C"/>
    <w:rsid w:val="00E33691"/>
    <w:rsid w:val="00E3374A"/>
    <w:rsid w:val="00E33776"/>
    <w:rsid w:val="00E337CB"/>
    <w:rsid w:val="00E337DC"/>
    <w:rsid w:val="00E3381F"/>
    <w:rsid w:val="00E33850"/>
    <w:rsid w:val="00E33865"/>
    <w:rsid w:val="00E33893"/>
    <w:rsid w:val="00E33940"/>
    <w:rsid w:val="00E33953"/>
    <w:rsid w:val="00E339BA"/>
    <w:rsid w:val="00E33A12"/>
    <w:rsid w:val="00E33A2D"/>
    <w:rsid w:val="00E33BF1"/>
    <w:rsid w:val="00E33C2A"/>
    <w:rsid w:val="00E33C67"/>
    <w:rsid w:val="00E33C92"/>
    <w:rsid w:val="00E33D2F"/>
    <w:rsid w:val="00E33DE1"/>
    <w:rsid w:val="00E33E4D"/>
    <w:rsid w:val="00E33F18"/>
    <w:rsid w:val="00E33F24"/>
    <w:rsid w:val="00E33FE9"/>
    <w:rsid w:val="00E34019"/>
    <w:rsid w:val="00E3410A"/>
    <w:rsid w:val="00E34135"/>
    <w:rsid w:val="00E3416C"/>
    <w:rsid w:val="00E34184"/>
    <w:rsid w:val="00E341B5"/>
    <w:rsid w:val="00E341D2"/>
    <w:rsid w:val="00E34247"/>
    <w:rsid w:val="00E3428D"/>
    <w:rsid w:val="00E342B4"/>
    <w:rsid w:val="00E34332"/>
    <w:rsid w:val="00E34335"/>
    <w:rsid w:val="00E34374"/>
    <w:rsid w:val="00E343AA"/>
    <w:rsid w:val="00E34501"/>
    <w:rsid w:val="00E34503"/>
    <w:rsid w:val="00E34518"/>
    <w:rsid w:val="00E34642"/>
    <w:rsid w:val="00E34678"/>
    <w:rsid w:val="00E34777"/>
    <w:rsid w:val="00E347A5"/>
    <w:rsid w:val="00E3491E"/>
    <w:rsid w:val="00E34989"/>
    <w:rsid w:val="00E349AF"/>
    <w:rsid w:val="00E34A75"/>
    <w:rsid w:val="00E34AC7"/>
    <w:rsid w:val="00E34B8D"/>
    <w:rsid w:val="00E34C46"/>
    <w:rsid w:val="00E34C9C"/>
    <w:rsid w:val="00E34CA3"/>
    <w:rsid w:val="00E34CA5"/>
    <w:rsid w:val="00E34CE1"/>
    <w:rsid w:val="00E34D01"/>
    <w:rsid w:val="00E34E68"/>
    <w:rsid w:val="00E34F2F"/>
    <w:rsid w:val="00E34F84"/>
    <w:rsid w:val="00E34F98"/>
    <w:rsid w:val="00E3505C"/>
    <w:rsid w:val="00E351BC"/>
    <w:rsid w:val="00E3522E"/>
    <w:rsid w:val="00E3539C"/>
    <w:rsid w:val="00E353A5"/>
    <w:rsid w:val="00E354AA"/>
    <w:rsid w:val="00E354CF"/>
    <w:rsid w:val="00E3558F"/>
    <w:rsid w:val="00E355D3"/>
    <w:rsid w:val="00E355E3"/>
    <w:rsid w:val="00E3580F"/>
    <w:rsid w:val="00E358E3"/>
    <w:rsid w:val="00E359E2"/>
    <w:rsid w:val="00E35A2B"/>
    <w:rsid w:val="00E35A50"/>
    <w:rsid w:val="00E35C31"/>
    <w:rsid w:val="00E35C40"/>
    <w:rsid w:val="00E35C7C"/>
    <w:rsid w:val="00E35CDC"/>
    <w:rsid w:val="00E35CEB"/>
    <w:rsid w:val="00E35D8D"/>
    <w:rsid w:val="00E35EF7"/>
    <w:rsid w:val="00E36081"/>
    <w:rsid w:val="00E360B5"/>
    <w:rsid w:val="00E36245"/>
    <w:rsid w:val="00E362EC"/>
    <w:rsid w:val="00E3632A"/>
    <w:rsid w:val="00E36379"/>
    <w:rsid w:val="00E363C1"/>
    <w:rsid w:val="00E36530"/>
    <w:rsid w:val="00E36580"/>
    <w:rsid w:val="00E365B1"/>
    <w:rsid w:val="00E365C2"/>
    <w:rsid w:val="00E36691"/>
    <w:rsid w:val="00E36696"/>
    <w:rsid w:val="00E366E3"/>
    <w:rsid w:val="00E36704"/>
    <w:rsid w:val="00E367BA"/>
    <w:rsid w:val="00E3683F"/>
    <w:rsid w:val="00E36898"/>
    <w:rsid w:val="00E36A1F"/>
    <w:rsid w:val="00E36A87"/>
    <w:rsid w:val="00E36B21"/>
    <w:rsid w:val="00E36B80"/>
    <w:rsid w:val="00E36BF3"/>
    <w:rsid w:val="00E36DBB"/>
    <w:rsid w:val="00E36E78"/>
    <w:rsid w:val="00E36F12"/>
    <w:rsid w:val="00E36FCD"/>
    <w:rsid w:val="00E3706C"/>
    <w:rsid w:val="00E370D7"/>
    <w:rsid w:val="00E3719A"/>
    <w:rsid w:val="00E37243"/>
    <w:rsid w:val="00E37263"/>
    <w:rsid w:val="00E37267"/>
    <w:rsid w:val="00E37276"/>
    <w:rsid w:val="00E37304"/>
    <w:rsid w:val="00E37312"/>
    <w:rsid w:val="00E3735E"/>
    <w:rsid w:val="00E37397"/>
    <w:rsid w:val="00E3741E"/>
    <w:rsid w:val="00E374BC"/>
    <w:rsid w:val="00E374CE"/>
    <w:rsid w:val="00E37521"/>
    <w:rsid w:val="00E3757B"/>
    <w:rsid w:val="00E375B2"/>
    <w:rsid w:val="00E376C5"/>
    <w:rsid w:val="00E376EC"/>
    <w:rsid w:val="00E37807"/>
    <w:rsid w:val="00E37829"/>
    <w:rsid w:val="00E37874"/>
    <w:rsid w:val="00E37951"/>
    <w:rsid w:val="00E3795F"/>
    <w:rsid w:val="00E379F7"/>
    <w:rsid w:val="00E379FC"/>
    <w:rsid w:val="00E37A7C"/>
    <w:rsid w:val="00E37B4C"/>
    <w:rsid w:val="00E37BBB"/>
    <w:rsid w:val="00E37C06"/>
    <w:rsid w:val="00E37C33"/>
    <w:rsid w:val="00E37D0B"/>
    <w:rsid w:val="00E37D5D"/>
    <w:rsid w:val="00E37DA9"/>
    <w:rsid w:val="00E37DC9"/>
    <w:rsid w:val="00E37DFA"/>
    <w:rsid w:val="00E37E13"/>
    <w:rsid w:val="00E37E4D"/>
    <w:rsid w:val="00E37E88"/>
    <w:rsid w:val="00E37E89"/>
    <w:rsid w:val="00E37EB7"/>
    <w:rsid w:val="00E37F79"/>
    <w:rsid w:val="00E37FC0"/>
    <w:rsid w:val="00E400A1"/>
    <w:rsid w:val="00E40206"/>
    <w:rsid w:val="00E40255"/>
    <w:rsid w:val="00E4030E"/>
    <w:rsid w:val="00E4039E"/>
    <w:rsid w:val="00E403F5"/>
    <w:rsid w:val="00E40428"/>
    <w:rsid w:val="00E40605"/>
    <w:rsid w:val="00E40641"/>
    <w:rsid w:val="00E40655"/>
    <w:rsid w:val="00E40765"/>
    <w:rsid w:val="00E40782"/>
    <w:rsid w:val="00E40880"/>
    <w:rsid w:val="00E408B4"/>
    <w:rsid w:val="00E408CC"/>
    <w:rsid w:val="00E40A72"/>
    <w:rsid w:val="00E40AA6"/>
    <w:rsid w:val="00E40B0B"/>
    <w:rsid w:val="00E40B1D"/>
    <w:rsid w:val="00E40BBC"/>
    <w:rsid w:val="00E40CEC"/>
    <w:rsid w:val="00E40D02"/>
    <w:rsid w:val="00E40DA2"/>
    <w:rsid w:val="00E40DB0"/>
    <w:rsid w:val="00E40DB9"/>
    <w:rsid w:val="00E40DD4"/>
    <w:rsid w:val="00E40E37"/>
    <w:rsid w:val="00E40E77"/>
    <w:rsid w:val="00E40F38"/>
    <w:rsid w:val="00E40F60"/>
    <w:rsid w:val="00E40FA5"/>
    <w:rsid w:val="00E4105E"/>
    <w:rsid w:val="00E410A9"/>
    <w:rsid w:val="00E411B0"/>
    <w:rsid w:val="00E412BB"/>
    <w:rsid w:val="00E412F5"/>
    <w:rsid w:val="00E4133B"/>
    <w:rsid w:val="00E4140A"/>
    <w:rsid w:val="00E414E7"/>
    <w:rsid w:val="00E41550"/>
    <w:rsid w:val="00E4158A"/>
    <w:rsid w:val="00E41628"/>
    <w:rsid w:val="00E41629"/>
    <w:rsid w:val="00E4171C"/>
    <w:rsid w:val="00E4177C"/>
    <w:rsid w:val="00E41870"/>
    <w:rsid w:val="00E41917"/>
    <w:rsid w:val="00E419AE"/>
    <w:rsid w:val="00E419DF"/>
    <w:rsid w:val="00E41A27"/>
    <w:rsid w:val="00E41A6B"/>
    <w:rsid w:val="00E41A7F"/>
    <w:rsid w:val="00E41AAA"/>
    <w:rsid w:val="00E41AAE"/>
    <w:rsid w:val="00E41AD8"/>
    <w:rsid w:val="00E41B37"/>
    <w:rsid w:val="00E41BB4"/>
    <w:rsid w:val="00E41C1A"/>
    <w:rsid w:val="00E41C99"/>
    <w:rsid w:val="00E41C9F"/>
    <w:rsid w:val="00E41CB7"/>
    <w:rsid w:val="00E41D34"/>
    <w:rsid w:val="00E41E90"/>
    <w:rsid w:val="00E4205F"/>
    <w:rsid w:val="00E42126"/>
    <w:rsid w:val="00E421A6"/>
    <w:rsid w:val="00E421C5"/>
    <w:rsid w:val="00E4228C"/>
    <w:rsid w:val="00E4230D"/>
    <w:rsid w:val="00E42399"/>
    <w:rsid w:val="00E4246E"/>
    <w:rsid w:val="00E42534"/>
    <w:rsid w:val="00E42565"/>
    <w:rsid w:val="00E42586"/>
    <w:rsid w:val="00E425ED"/>
    <w:rsid w:val="00E42601"/>
    <w:rsid w:val="00E42666"/>
    <w:rsid w:val="00E4277C"/>
    <w:rsid w:val="00E4283B"/>
    <w:rsid w:val="00E429D7"/>
    <w:rsid w:val="00E42AD6"/>
    <w:rsid w:val="00E42AED"/>
    <w:rsid w:val="00E42B8D"/>
    <w:rsid w:val="00E42BB2"/>
    <w:rsid w:val="00E42CD2"/>
    <w:rsid w:val="00E42CD7"/>
    <w:rsid w:val="00E42CE2"/>
    <w:rsid w:val="00E42D0A"/>
    <w:rsid w:val="00E42D3E"/>
    <w:rsid w:val="00E42D74"/>
    <w:rsid w:val="00E42D90"/>
    <w:rsid w:val="00E42DBA"/>
    <w:rsid w:val="00E42DE4"/>
    <w:rsid w:val="00E42E99"/>
    <w:rsid w:val="00E42F02"/>
    <w:rsid w:val="00E42F83"/>
    <w:rsid w:val="00E42FEB"/>
    <w:rsid w:val="00E4302F"/>
    <w:rsid w:val="00E430ED"/>
    <w:rsid w:val="00E4316C"/>
    <w:rsid w:val="00E431F7"/>
    <w:rsid w:val="00E432BA"/>
    <w:rsid w:val="00E43383"/>
    <w:rsid w:val="00E433AD"/>
    <w:rsid w:val="00E433C0"/>
    <w:rsid w:val="00E433FB"/>
    <w:rsid w:val="00E4340D"/>
    <w:rsid w:val="00E4341C"/>
    <w:rsid w:val="00E4343C"/>
    <w:rsid w:val="00E434DC"/>
    <w:rsid w:val="00E43558"/>
    <w:rsid w:val="00E43562"/>
    <w:rsid w:val="00E43579"/>
    <w:rsid w:val="00E435AF"/>
    <w:rsid w:val="00E435EA"/>
    <w:rsid w:val="00E436A7"/>
    <w:rsid w:val="00E43811"/>
    <w:rsid w:val="00E4381A"/>
    <w:rsid w:val="00E438CC"/>
    <w:rsid w:val="00E438D9"/>
    <w:rsid w:val="00E439B7"/>
    <w:rsid w:val="00E439E9"/>
    <w:rsid w:val="00E43A34"/>
    <w:rsid w:val="00E43BD8"/>
    <w:rsid w:val="00E43CC2"/>
    <w:rsid w:val="00E43D31"/>
    <w:rsid w:val="00E43E1B"/>
    <w:rsid w:val="00E43E5A"/>
    <w:rsid w:val="00E43EC9"/>
    <w:rsid w:val="00E43EF0"/>
    <w:rsid w:val="00E440C4"/>
    <w:rsid w:val="00E44102"/>
    <w:rsid w:val="00E44292"/>
    <w:rsid w:val="00E44384"/>
    <w:rsid w:val="00E443EC"/>
    <w:rsid w:val="00E445B1"/>
    <w:rsid w:val="00E445B8"/>
    <w:rsid w:val="00E4463B"/>
    <w:rsid w:val="00E446C1"/>
    <w:rsid w:val="00E446E9"/>
    <w:rsid w:val="00E44704"/>
    <w:rsid w:val="00E4474B"/>
    <w:rsid w:val="00E447F1"/>
    <w:rsid w:val="00E44820"/>
    <w:rsid w:val="00E44962"/>
    <w:rsid w:val="00E44AB2"/>
    <w:rsid w:val="00E44ACC"/>
    <w:rsid w:val="00E44B1A"/>
    <w:rsid w:val="00E44BC8"/>
    <w:rsid w:val="00E44BE8"/>
    <w:rsid w:val="00E44C75"/>
    <w:rsid w:val="00E44CDE"/>
    <w:rsid w:val="00E44E1A"/>
    <w:rsid w:val="00E44E1B"/>
    <w:rsid w:val="00E44EF0"/>
    <w:rsid w:val="00E44FE8"/>
    <w:rsid w:val="00E45101"/>
    <w:rsid w:val="00E45241"/>
    <w:rsid w:val="00E45296"/>
    <w:rsid w:val="00E453A5"/>
    <w:rsid w:val="00E453A7"/>
    <w:rsid w:val="00E453BE"/>
    <w:rsid w:val="00E45419"/>
    <w:rsid w:val="00E4546F"/>
    <w:rsid w:val="00E45478"/>
    <w:rsid w:val="00E454BB"/>
    <w:rsid w:val="00E454F1"/>
    <w:rsid w:val="00E4553C"/>
    <w:rsid w:val="00E4556C"/>
    <w:rsid w:val="00E45597"/>
    <w:rsid w:val="00E4566A"/>
    <w:rsid w:val="00E456BD"/>
    <w:rsid w:val="00E45768"/>
    <w:rsid w:val="00E457CA"/>
    <w:rsid w:val="00E457D4"/>
    <w:rsid w:val="00E45935"/>
    <w:rsid w:val="00E45970"/>
    <w:rsid w:val="00E45A2A"/>
    <w:rsid w:val="00E45B12"/>
    <w:rsid w:val="00E45B4F"/>
    <w:rsid w:val="00E45C03"/>
    <w:rsid w:val="00E45CF9"/>
    <w:rsid w:val="00E45DEA"/>
    <w:rsid w:val="00E45E38"/>
    <w:rsid w:val="00E45E7D"/>
    <w:rsid w:val="00E45F3B"/>
    <w:rsid w:val="00E4601C"/>
    <w:rsid w:val="00E46021"/>
    <w:rsid w:val="00E46073"/>
    <w:rsid w:val="00E46158"/>
    <w:rsid w:val="00E462B6"/>
    <w:rsid w:val="00E462D1"/>
    <w:rsid w:val="00E46336"/>
    <w:rsid w:val="00E4637E"/>
    <w:rsid w:val="00E463FC"/>
    <w:rsid w:val="00E4644F"/>
    <w:rsid w:val="00E4649F"/>
    <w:rsid w:val="00E46510"/>
    <w:rsid w:val="00E46580"/>
    <w:rsid w:val="00E46709"/>
    <w:rsid w:val="00E4687E"/>
    <w:rsid w:val="00E46BA0"/>
    <w:rsid w:val="00E46BB2"/>
    <w:rsid w:val="00E46BC6"/>
    <w:rsid w:val="00E46C53"/>
    <w:rsid w:val="00E46C5C"/>
    <w:rsid w:val="00E46C9B"/>
    <w:rsid w:val="00E46D0E"/>
    <w:rsid w:val="00E46D5E"/>
    <w:rsid w:val="00E46E94"/>
    <w:rsid w:val="00E46EF9"/>
    <w:rsid w:val="00E46FF2"/>
    <w:rsid w:val="00E4701F"/>
    <w:rsid w:val="00E47085"/>
    <w:rsid w:val="00E470F8"/>
    <w:rsid w:val="00E47107"/>
    <w:rsid w:val="00E47123"/>
    <w:rsid w:val="00E471F2"/>
    <w:rsid w:val="00E47209"/>
    <w:rsid w:val="00E47217"/>
    <w:rsid w:val="00E47238"/>
    <w:rsid w:val="00E472F3"/>
    <w:rsid w:val="00E47300"/>
    <w:rsid w:val="00E47396"/>
    <w:rsid w:val="00E4741D"/>
    <w:rsid w:val="00E47457"/>
    <w:rsid w:val="00E475F9"/>
    <w:rsid w:val="00E47619"/>
    <w:rsid w:val="00E47632"/>
    <w:rsid w:val="00E476B6"/>
    <w:rsid w:val="00E476E8"/>
    <w:rsid w:val="00E47731"/>
    <w:rsid w:val="00E4778A"/>
    <w:rsid w:val="00E477C8"/>
    <w:rsid w:val="00E4790C"/>
    <w:rsid w:val="00E47917"/>
    <w:rsid w:val="00E47B13"/>
    <w:rsid w:val="00E47BE2"/>
    <w:rsid w:val="00E47BEC"/>
    <w:rsid w:val="00E47BF6"/>
    <w:rsid w:val="00E47C71"/>
    <w:rsid w:val="00E47C85"/>
    <w:rsid w:val="00E47CF2"/>
    <w:rsid w:val="00E47D2C"/>
    <w:rsid w:val="00E47D40"/>
    <w:rsid w:val="00E47D7C"/>
    <w:rsid w:val="00E47DF5"/>
    <w:rsid w:val="00E47E59"/>
    <w:rsid w:val="00E47EFB"/>
    <w:rsid w:val="00E47F97"/>
    <w:rsid w:val="00E47FAA"/>
    <w:rsid w:val="00E50009"/>
    <w:rsid w:val="00E500B1"/>
    <w:rsid w:val="00E50171"/>
    <w:rsid w:val="00E501B1"/>
    <w:rsid w:val="00E501E6"/>
    <w:rsid w:val="00E502A6"/>
    <w:rsid w:val="00E502AF"/>
    <w:rsid w:val="00E502B5"/>
    <w:rsid w:val="00E50371"/>
    <w:rsid w:val="00E503FE"/>
    <w:rsid w:val="00E504B8"/>
    <w:rsid w:val="00E50521"/>
    <w:rsid w:val="00E5064F"/>
    <w:rsid w:val="00E5071D"/>
    <w:rsid w:val="00E5073C"/>
    <w:rsid w:val="00E507BF"/>
    <w:rsid w:val="00E507C3"/>
    <w:rsid w:val="00E50856"/>
    <w:rsid w:val="00E5090C"/>
    <w:rsid w:val="00E5093C"/>
    <w:rsid w:val="00E50A21"/>
    <w:rsid w:val="00E50B38"/>
    <w:rsid w:val="00E50B6F"/>
    <w:rsid w:val="00E50BFE"/>
    <w:rsid w:val="00E50D29"/>
    <w:rsid w:val="00E50DC2"/>
    <w:rsid w:val="00E50EE2"/>
    <w:rsid w:val="00E50F1B"/>
    <w:rsid w:val="00E5103B"/>
    <w:rsid w:val="00E510E1"/>
    <w:rsid w:val="00E510F7"/>
    <w:rsid w:val="00E51135"/>
    <w:rsid w:val="00E5114E"/>
    <w:rsid w:val="00E51250"/>
    <w:rsid w:val="00E51368"/>
    <w:rsid w:val="00E513DA"/>
    <w:rsid w:val="00E51405"/>
    <w:rsid w:val="00E5149C"/>
    <w:rsid w:val="00E5153C"/>
    <w:rsid w:val="00E5163D"/>
    <w:rsid w:val="00E51685"/>
    <w:rsid w:val="00E516B5"/>
    <w:rsid w:val="00E516DE"/>
    <w:rsid w:val="00E5177E"/>
    <w:rsid w:val="00E517CC"/>
    <w:rsid w:val="00E517FA"/>
    <w:rsid w:val="00E51993"/>
    <w:rsid w:val="00E5199D"/>
    <w:rsid w:val="00E51A40"/>
    <w:rsid w:val="00E51A51"/>
    <w:rsid w:val="00E51A9E"/>
    <w:rsid w:val="00E51B1A"/>
    <w:rsid w:val="00E51BCF"/>
    <w:rsid w:val="00E51C59"/>
    <w:rsid w:val="00E51EBD"/>
    <w:rsid w:val="00E51EE2"/>
    <w:rsid w:val="00E51F73"/>
    <w:rsid w:val="00E51F90"/>
    <w:rsid w:val="00E51F9F"/>
    <w:rsid w:val="00E52052"/>
    <w:rsid w:val="00E52087"/>
    <w:rsid w:val="00E520D5"/>
    <w:rsid w:val="00E52143"/>
    <w:rsid w:val="00E52219"/>
    <w:rsid w:val="00E522EF"/>
    <w:rsid w:val="00E523C7"/>
    <w:rsid w:val="00E52401"/>
    <w:rsid w:val="00E524D6"/>
    <w:rsid w:val="00E52522"/>
    <w:rsid w:val="00E52558"/>
    <w:rsid w:val="00E52609"/>
    <w:rsid w:val="00E5261D"/>
    <w:rsid w:val="00E52623"/>
    <w:rsid w:val="00E52647"/>
    <w:rsid w:val="00E52648"/>
    <w:rsid w:val="00E526A9"/>
    <w:rsid w:val="00E526D3"/>
    <w:rsid w:val="00E527E3"/>
    <w:rsid w:val="00E527F1"/>
    <w:rsid w:val="00E5284A"/>
    <w:rsid w:val="00E5287E"/>
    <w:rsid w:val="00E529B3"/>
    <w:rsid w:val="00E529E3"/>
    <w:rsid w:val="00E52B6B"/>
    <w:rsid w:val="00E52B88"/>
    <w:rsid w:val="00E52D09"/>
    <w:rsid w:val="00E52D10"/>
    <w:rsid w:val="00E52D5F"/>
    <w:rsid w:val="00E52DFC"/>
    <w:rsid w:val="00E52EFA"/>
    <w:rsid w:val="00E52F75"/>
    <w:rsid w:val="00E5300D"/>
    <w:rsid w:val="00E5316E"/>
    <w:rsid w:val="00E5318E"/>
    <w:rsid w:val="00E531D6"/>
    <w:rsid w:val="00E53213"/>
    <w:rsid w:val="00E5328B"/>
    <w:rsid w:val="00E53297"/>
    <w:rsid w:val="00E5329E"/>
    <w:rsid w:val="00E532E0"/>
    <w:rsid w:val="00E532F9"/>
    <w:rsid w:val="00E532FD"/>
    <w:rsid w:val="00E5334F"/>
    <w:rsid w:val="00E53363"/>
    <w:rsid w:val="00E53436"/>
    <w:rsid w:val="00E53570"/>
    <w:rsid w:val="00E53613"/>
    <w:rsid w:val="00E53682"/>
    <w:rsid w:val="00E53720"/>
    <w:rsid w:val="00E537B9"/>
    <w:rsid w:val="00E537BD"/>
    <w:rsid w:val="00E53840"/>
    <w:rsid w:val="00E538DB"/>
    <w:rsid w:val="00E538EE"/>
    <w:rsid w:val="00E53A6B"/>
    <w:rsid w:val="00E53AA6"/>
    <w:rsid w:val="00E53C5B"/>
    <w:rsid w:val="00E53CCA"/>
    <w:rsid w:val="00E53CD9"/>
    <w:rsid w:val="00E53CDF"/>
    <w:rsid w:val="00E53D27"/>
    <w:rsid w:val="00E53D96"/>
    <w:rsid w:val="00E53E4D"/>
    <w:rsid w:val="00E53FB0"/>
    <w:rsid w:val="00E53FCA"/>
    <w:rsid w:val="00E53FEB"/>
    <w:rsid w:val="00E53FF0"/>
    <w:rsid w:val="00E54072"/>
    <w:rsid w:val="00E541A4"/>
    <w:rsid w:val="00E5422C"/>
    <w:rsid w:val="00E5424F"/>
    <w:rsid w:val="00E543E3"/>
    <w:rsid w:val="00E54460"/>
    <w:rsid w:val="00E54463"/>
    <w:rsid w:val="00E5446E"/>
    <w:rsid w:val="00E544D5"/>
    <w:rsid w:val="00E54523"/>
    <w:rsid w:val="00E54592"/>
    <w:rsid w:val="00E545EB"/>
    <w:rsid w:val="00E545FF"/>
    <w:rsid w:val="00E5462C"/>
    <w:rsid w:val="00E5467D"/>
    <w:rsid w:val="00E54707"/>
    <w:rsid w:val="00E5488B"/>
    <w:rsid w:val="00E548B2"/>
    <w:rsid w:val="00E548DC"/>
    <w:rsid w:val="00E54934"/>
    <w:rsid w:val="00E54957"/>
    <w:rsid w:val="00E549A1"/>
    <w:rsid w:val="00E549A6"/>
    <w:rsid w:val="00E549D7"/>
    <w:rsid w:val="00E549FD"/>
    <w:rsid w:val="00E54ACD"/>
    <w:rsid w:val="00E54AEB"/>
    <w:rsid w:val="00E54B2B"/>
    <w:rsid w:val="00E54BB1"/>
    <w:rsid w:val="00E54BEF"/>
    <w:rsid w:val="00E54C3F"/>
    <w:rsid w:val="00E54CC9"/>
    <w:rsid w:val="00E54E1B"/>
    <w:rsid w:val="00E54EBD"/>
    <w:rsid w:val="00E54ECE"/>
    <w:rsid w:val="00E54F9A"/>
    <w:rsid w:val="00E55083"/>
    <w:rsid w:val="00E550B5"/>
    <w:rsid w:val="00E550F3"/>
    <w:rsid w:val="00E5510E"/>
    <w:rsid w:val="00E55303"/>
    <w:rsid w:val="00E553D4"/>
    <w:rsid w:val="00E55401"/>
    <w:rsid w:val="00E55403"/>
    <w:rsid w:val="00E55443"/>
    <w:rsid w:val="00E55444"/>
    <w:rsid w:val="00E55459"/>
    <w:rsid w:val="00E555A7"/>
    <w:rsid w:val="00E555DF"/>
    <w:rsid w:val="00E55620"/>
    <w:rsid w:val="00E5578D"/>
    <w:rsid w:val="00E557FB"/>
    <w:rsid w:val="00E55827"/>
    <w:rsid w:val="00E55895"/>
    <w:rsid w:val="00E55926"/>
    <w:rsid w:val="00E5594B"/>
    <w:rsid w:val="00E55A0D"/>
    <w:rsid w:val="00E55AAD"/>
    <w:rsid w:val="00E55B54"/>
    <w:rsid w:val="00E55B80"/>
    <w:rsid w:val="00E55BAF"/>
    <w:rsid w:val="00E55C5C"/>
    <w:rsid w:val="00E55CB0"/>
    <w:rsid w:val="00E55CB4"/>
    <w:rsid w:val="00E55D43"/>
    <w:rsid w:val="00E55D4D"/>
    <w:rsid w:val="00E55D96"/>
    <w:rsid w:val="00E55D9A"/>
    <w:rsid w:val="00E55DAC"/>
    <w:rsid w:val="00E55DE5"/>
    <w:rsid w:val="00E55EB1"/>
    <w:rsid w:val="00E55EC6"/>
    <w:rsid w:val="00E55FA7"/>
    <w:rsid w:val="00E56032"/>
    <w:rsid w:val="00E5605B"/>
    <w:rsid w:val="00E560D5"/>
    <w:rsid w:val="00E560E8"/>
    <w:rsid w:val="00E560F7"/>
    <w:rsid w:val="00E5615C"/>
    <w:rsid w:val="00E5617F"/>
    <w:rsid w:val="00E561D7"/>
    <w:rsid w:val="00E5623E"/>
    <w:rsid w:val="00E56286"/>
    <w:rsid w:val="00E562E8"/>
    <w:rsid w:val="00E56431"/>
    <w:rsid w:val="00E564E0"/>
    <w:rsid w:val="00E5656B"/>
    <w:rsid w:val="00E566D5"/>
    <w:rsid w:val="00E56796"/>
    <w:rsid w:val="00E56915"/>
    <w:rsid w:val="00E569B5"/>
    <w:rsid w:val="00E56A0C"/>
    <w:rsid w:val="00E56AA0"/>
    <w:rsid w:val="00E56AA4"/>
    <w:rsid w:val="00E56BD2"/>
    <w:rsid w:val="00E56D22"/>
    <w:rsid w:val="00E56D53"/>
    <w:rsid w:val="00E56E66"/>
    <w:rsid w:val="00E56FC4"/>
    <w:rsid w:val="00E56FC7"/>
    <w:rsid w:val="00E57181"/>
    <w:rsid w:val="00E571C8"/>
    <w:rsid w:val="00E572AB"/>
    <w:rsid w:val="00E573AE"/>
    <w:rsid w:val="00E573B6"/>
    <w:rsid w:val="00E57486"/>
    <w:rsid w:val="00E575BF"/>
    <w:rsid w:val="00E575F1"/>
    <w:rsid w:val="00E57612"/>
    <w:rsid w:val="00E57660"/>
    <w:rsid w:val="00E57685"/>
    <w:rsid w:val="00E5777A"/>
    <w:rsid w:val="00E57788"/>
    <w:rsid w:val="00E577EA"/>
    <w:rsid w:val="00E57804"/>
    <w:rsid w:val="00E57881"/>
    <w:rsid w:val="00E578E5"/>
    <w:rsid w:val="00E578F9"/>
    <w:rsid w:val="00E57959"/>
    <w:rsid w:val="00E57972"/>
    <w:rsid w:val="00E579AA"/>
    <w:rsid w:val="00E57A74"/>
    <w:rsid w:val="00E57B1A"/>
    <w:rsid w:val="00E57BDE"/>
    <w:rsid w:val="00E57CA7"/>
    <w:rsid w:val="00E57D22"/>
    <w:rsid w:val="00E57D76"/>
    <w:rsid w:val="00E57DC2"/>
    <w:rsid w:val="00E57DF0"/>
    <w:rsid w:val="00E57E0E"/>
    <w:rsid w:val="00E57E3E"/>
    <w:rsid w:val="00E57E56"/>
    <w:rsid w:val="00E60012"/>
    <w:rsid w:val="00E60123"/>
    <w:rsid w:val="00E60199"/>
    <w:rsid w:val="00E601D0"/>
    <w:rsid w:val="00E601E0"/>
    <w:rsid w:val="00E601EB"/>
    <w:rsid w:val="00E6022D"/>
    <w:rsid w:val="00E6025E"/>
    <w:rsid w:val="00E602C8"/>
    <w:rsid w:val="00E602EC"/>
    <w:rsid w:val="00E6038E"/>
    <w:rsid w:val="00E603A1"/>
    <w:rsid w:val="00E60478"/>
    <w:rsid w:val="00E604C0"/>
    <w:rsid w:val="00E60505"/>
    <w:rsid w:val="00E6061F"/>
    <w:rsid w:val="00E606AE"/>
    <w:rsid w:val="00E606D6"/>
    <w:rsid w:val="00E60798"/>
    <w:rsid w:val="00E6079C"/>
    <w:rsid w:val="00E607A1"/>
    <w:rsid w:val="00E608A7"/>
    <w:rsid w:val="00E60942"/>
    <w:rsid w:val="00E60980"/>
    <w:rsid w:val="00E60A4D"/>
    <w:rsid w:val="00E60A70"/>
    <w:rsid w:val="00E60A9E"/>
    <w:rsid w:val="00E60AAD"/>
    <w:rsid w:val="00E60C36"/>
    <w:rsid w:val="00E60C53"/>
    <w:rsid w:val="00E60CA6"/>
    <w:rsid w:val="00E60CB9"/>
    <w:rsid w:val="00E60D5E"/>
    <w:rsid w:val="00E60E3A"/>
    <w:rsid w:val="00E60F1D"/>
    <w:rsid w:val="00E60F44"/>
    <w:rsid w:val="00E6103A"/>
    <w:rsid w:val="00E610D3"/>
    <w:rsid w:val="00E6121A"/>
    <w:rsid w:val="00E6129C"/>
    <w:rsid w:val="00E612AF"/>
    <w:rsid w:val="00E612E1"/>
    <w:rsid w:val="00E61321"/>
    <w:rsid w:val="00E6132E"/>
    <w:rsid w:val="00E613F6"/>
    <w:rsid w:val="00E61461"/>
    <w:rsid w:val="00E615E2"/>
    <w:rsid w:val="00E615E4"/>
    <w:rsid w:val="00E61632"/>
    <w:rsid w:val="00E617D5"/>
    <w:rsid w:val="00E618C9"/>
    <w:rsid w:val="00E6191F"/>
    <w:rsid w:val="00E619ED"/>
    <w:rsid w:val="00E61A16"/>
    <w:rsid w:val="00E61AE9"/>
    <w:rsid w:val="00E61B44"/>
    <w:rsid w:val="00E61B7F"/>
    <w:rsid w:val="00E61BF1"/>
    <w:rsid w:val="00E61D2A"/>
    <w:rsid w:val="00E61D35"/>
    <w:rsid w:val="00E61F5E"/>
    <w:rsid w:val="00E62024"/>
    <w:rsid w:val="00E620B9"/>
    <w:rsid w:val="00E62170"/>
    <w:rsid w:val="00E6228F"/>
    <w:rsid w:val="00E6230C"/>
    <w:rsid w:val="00E62385"/>
    <w:rsid w:val="00E623B2"/>
    <w:rsid w:val="00E623F2"/>
    <w:rsid w:val="00E624A8"/>
    <w:rsid w:val="00E624BC"/>
    <w:rsid w:val="00E624CF"/>
    <w:rsid w:val="00E62525"/>
    <w:rsid w:val="00E62566"/>
    <w:rsid w:val="00E625A4"/>
    <w:rsid w:val="00E625E0"/>
    <w:rsid w:val="00E62605"/>
    <w:rsid w:val="00E62654"/>
    <w:rsid w:val="00E626E1"/>
    <w:rsid w:val="00E62708"/>
    <w:rsid w:val="00E62713"/>
    <w:rsid w:val="00E62784"/>
    <w:rsid w:val="00E627E7"/>
    <w:rsid w:val="00E6286C"/>
    <w:rsid w:val="00E6287E"/>
    <w:rsid w:val="00E628A0"/>
    <w:rsid w:val="00E62A46"/>
    <w:rsid w:val="00E62C08"/>
    <w:rsid w:val="00E62C34"/>
    <w:rsid w:val="00E62C8C"/>
    <w:rsid w:val="00E62CBD"/>
    <w:rsid w:val="00E62CD7"/>
    <w:rsid w:val="00E62CDB"/>
    <w:rsid w:val="00E62D67"/>
    <w:rsid w:val="00E62D8A"/>
    <w:rsid w:val="00E62DD9"/>
    <w:rsid w:val="00E62EEB"/>
    <w:rsid w:val="00E62F2F"/>
    <w:rsid w:val="00E63064"/>
    <w:rsid w:val="00E63433"/>
    <w:rsid w:val="00E634BF"/>
    <w:rsid w:val="00E634D2"/>
    <w:rsid w:val="00E63539"/>
    <w:rsid w:val="00E6353A"/>
    <w:rsid w:val="00E63596"/>
    <w:rsid w:val="00E635A8"/>
    <w:rsid w:val="00E63604"/>
    <w:rsid w:val="00E63674"/>
    <w:rsid w:val="00E63874"/>
    <w:rsid w:val="00E638BD"/>
    <w:rsid w:val="00E638C4"/>
    <w:rsid w:val="00E63974"/>
    <w:rsid w:val="00E639AE"/>
    <w:rsid w:val="00E63A04"/>
    <w:rsid w:val="00E63AC3"/>
    <w:rsid w:val="00E63B52"/>
    <w:rsid w:val="00E63B78"/>
    <w:rsid w:val="00E63B8B"/>
    <w:rsid w:val="00E63BA2"/>
    <w:rsid w:val="00E63C72"/>
    <w:rsid w:val="00E63D0E"/>
    <w:rsid w:val="00E63DC9"/>
    <w:rsid w:val="00E63DE8"/>
    <w:rsid w:val="00E63DF2"/>
    <w:rsid w:val="00E63E51"/>
    <w:rsid w:val="00E63F21"/>
    <w:rsid w:val="00E63F30"/>
    <w:rsid w:val="00E63F86"/>
    <w:rsid w:val="00E63F97"/>
    <w:rsid w:val="00E64120"/>
    <w:rsid w:val="00E64170"/>
    <w:rsid w:val="00E641B1"/>
    <w:rsid w:val="00E641C9"/>
    <w:rsid w:val="00E64201"/>
    <w:rsid w:val="00E64268"/>
    <w:rsid w:val="00E6427E"/>
    <w:rsid w:val="00E642E7"/>
    <w:rsid w:val="00E6434D"/>
    <w:rsid w:val="00E64391"/>
    <w:rsid w:val="00E643E5"/>
    <w:rsid w:val="00E64433"/>
    <w:rsid w:val="00E64469"/>
    <w:rsid w:val="00E644BC"/>
    <w:rsid w:val="00E644E7"/>
    <w:rsid w:val="00E645B9"/>
    <w:rsid w:val="00E64603"/>
    <w:rsid w:val="00E64610"/>
    <w:rsid w:val="00E6466A"/>
    <w:rsid w:val="00E6468A"/>
    <w:rsid w:val="00E64703"/>
    <w:rsid w:val="00E64772"/>
    <w:rsid w:val="00E64784"/>
    <w:rsid w:val="00E64786"/>
    <w:rsid w:val="00E6485F"/>
    <w:rsid w:val="00E648F7"/>
    <w:rsid w:val="00E648FC"/>
    <w:rsid w:val="00E6490E"/>
    <w:rsid w:val="00E649E0"/>
    <w:rsid w:val="00E64AB3"/>
    <w:rsid w:val="00E64B4A"/>
    <w:rsid w:val="00E64BFC"/>
    <w:rsid w:val="00E64C5F"/>
    <w:rsid w:val="00E64C86"/>
    <w:rsid w:val="00E64D0F"/>
    <w:rsid w:val="00E64D87"/>
    <w:rsid w:val="00E64D93"/>
    <w:rsid w:val="00E64E35"/>
    <w:rsid w:val="00E64E51"/>
    <w:rsid w:val="00E64F6E"/>
    <w:rsid w:val="00E65059"/>
    <w:rsid w:val="00E65072"/>
    <w:rsid w:val="00E650E7"/>
    <w:rsid w:val="00E65160"/>
    <w:rsid w:val="00E651A3"/>
    <w:rsid w:val="00E652C4"/>
    <w:rsid w:val="00E65303"/>
    <w:rsid w:val="00E65375"/>
    <w:rsid w:val="00E653B7"/>
    <w:rsid w:val="00E654BF"/>
    <w:rsid w:val="00E655F3"/>
    <w:rsid w:val="00E656E4"/>
    <w:rsid w:val="00E6572A"/>
    <w:rsid w:val="00E65755"/>
    <w:rsid w:val="00E658C3"/>
    <w:rsid w:val="00E6595E"/>
    <w:rsid w:val="00E659D2"/>
    <w:rsid w:val="00E65A42"/>
    <w:rsid w:val="00E65AD1"/>
    <w:rsid w:val="00E65CDC"/>
    <w:rsid w:val="00E65EEB"/>
    <w:rsid w:val="00E6606B"/>
    <w:rsid w:val="00E661B3"/>
    <w:rsid w:val="00E661FF"/>
    <w:rsid w:val="00E662D2"/>
    <w:rsid w:val="00E66310"/>
    <w:rsid w:val="00E6633F"/>
    <w:rsid w:val="00E66356"/>
    <w:rsid w:val="00E66377"/>
    <w:rsid w:val="00E663A0"/>
    <w:rsid w:val="00E663E3"/>
    <w:rsid w:val="00E66465"/>
    <w:rsid w:val="00E66527"/>
    <w:rsid w:val="00E666A9"/>
    <w:rsid w:val="00E66700"/>
    <w:rsid w:val="00E66828"/>
    <w:rsid w:val="00E66944"/>
    <w:rsid w:val="00E66956"/>
    <w:rsid w:val="00E66A3D"/>
    <w:rsid w:val="00E66BC1"/>
    <w:rsid w:val="00E66DBE"/>
    <w:rsid w:val="00E66DCA"/>
    <w:rsid w:val="00E66DF9"/>
    <w:rsid w:val="00E66E32"/>
    <w:rsid w:val="00E66ED4"/>
    <w:rsid w:val="00E66FAF"/>
    <w:rsid w:val="00E66FE1"/>
    <w:rsid w:val="00E67064"/>
    <w:rsid w:val="00E6716D"/>
    <w:rsid w:val="00E67207"/>
    <w:rsid w:val="00E67238"/>
    <w:rsid w:val="00E6729B"/>
    <w:rsid w:val="00E672F4"/>
    <w:rsid w:val="00E67338"/>
    <w:rsid w:val="00E673DC"/>
    <w:rsid w:val="00E67586"/>
    <w:rsid w:val="00E6778A"/>
    <w:rsid w:val="00E677BC"/>
    <w:rsid w:val="00E677E3"/>
    <w:rsid w:val="00E677EA"/>
    <w:rsid w:val="00E67810"/>
    <w:rsid w:val="00E6784A"/>
    <w:rsid w:val="00E67870"/>
    <w:rsid w:val="00E678AE"/>
    <w:rsid w:val="00E678BC"/>
    <w:rsid w:val="00E6797F"/>
    <w:rsid w:val="00E67A0F"/>
    <w:rsid w:val="00E67CA8"/>
    <w:rsid w:val="00E67CDE"/>
    <w:rsid w:val="00E67DC7"/>
    <w:rsid w:val="00E67DCA"/>
    <w:rsid w:val="00E67DF2"/>
    <w:rsid w:val="00E67E0F"/>
    <w:rsid w:val="00E67E1C"/>
    <w:rsid w:val="00E67E3D"/>
    <w:rsid w:val="00E67EC6"/>
    <w:rsid w:val="00E67ECB"/>
    <w:rsid w:val="00E67F0B"/>
    <w:rsid w:val="00E67F36"/>
    <w:rsid w:val="00E70038"/>
    <w:rsid w:val="00E7006C"/>
    <w:rsid w:val="00E70095"/>
    <w:rsid w:val="00E7010B"/>
    <w:rsid w:val="00E701DB"/>
    <w:rsid w:val="00E702C0"/>
    <w:rsid w:val="00E703E6"/>
    <w:rsid w:val="00E70439"/>
    <w:rsid w:val="00E70461"/>
    <w:rsid w:val="00E704F5"/>
    <w:rsid w:val="00E70534"/>
    <w:rsid w:val="00E70570"/>
    <w:rsid w:val="00E70594"/>
    <w:rsid w:val="00E705DA"/>
    <w:rsid w:val="00E70626"/>
    <w:rsid w:val="00E70838"/>
    <w:rsid w:val="00E70886"/>
    <w:rsid w:val="00E70955"/>
    <w:rsid w:val="00E70972"/>
    <w:rsid w:val="00E7097E"/>
    <w:rsid w:val="00E70A47"/>
    <w:rsid w:val="00E70AF4"/>
    <w:rsid w:val="00E70B14"/>
    <w:rsid w:val="00E70BAD"/>
    <w:rsid w:val="00E70C12"/>
    <w:rsid w:val="00E70C77"/>
    <w:rsid w:val="00E70D79"/>
    <w:rsid w:val="00E70DD7"/>
    <w:rsid w:val="00E70E31"/>
    <w:rsid w:val="00E70F3F"/>
    <w:rsid w:val="00E70F9D"/>
    <w:rsid w:val="00E70FDB"/>
    <w:rsid w:val="00E71056"/>
    <w:rsid w:val="00E7113E"/>
    <w:rsid w:val="00E71254"/>
    <w:rsid w:val="00E71288"/>
    <w:rsid w:val="00E71309"/>
    <w:rsid w:val="00E71383"/>
    <w:rsid w:val="00E713D8"/>
    <w:rsid w:val="00E713D9"/>
    <w:rsid w:val="00E713E3"/>
    <w:rsid w:val="00E71441"/>
    <w:rsid w:val="00E714C4"/>
    <w:rsid w:val="00E714EF"/>
    <w:rsid w:val="00E716EF"/>
    <w:rsid w:val="00E716F1"/>
    <w:rsid w:val="00E71757"/>
    <w:rsid w:val="00E71950"/>
    <w:rsid w:val="00E71A1A"/>
    <w:rsid w:val="00E71A43"/>
    <w:rsid w:val="00E71ABC"/>
    <w:rsid w:val="00E71B0C"/>
    <w:rsid w:val="00E71B16"/>
    <w:rsid w:val="00E71BB8"/>
    <w:rsid w:val="00E71BF3"/>
    <w:rsid w:val="00E71C55"/>
    <w:rsid w:val="00E71C9D"/>
    <w:rsid w:val="00E71CB6"/>
    <w:rsid w:val="00E71CC4"/>
    <w:rsid w:val="00E71EB7"/>
    <w:rsid w:val="00E71EE6"/>
    <w:rsid w:val="00E7206E"/>
    <w:rsid w:val="00E7213F"/>
    <w:rsid w:val="00E72146"/>
    <w:rsid w:val="00E72309"/>
    <w:rsid w:val="00E7230A"/>
    <w:rsid w:val="00E723B3"/>
    <w:rsid w:val="00E72475"/>
    <w:rsid w:val="00E724B2"/>
    <w:rsid w:val="00E724CD"/>
    <w:rsid w:val="00E725DF"/>
    <w:rsid w:val="00E72624"/>
    <w:rsid w:val="00E72680"/>
    <w:rsid w:val="00E72769"/>
    <w:rsid w:val="00E727D3"/>
    <w:rsid w:val="00E728B1"/>
    <w:rsid w:val="00E7291A"/>
    <w:rsid w:val="00E72952"/>
    <w:rsid w:val="00E72AD4"/>
    <w:rsid w:val="00E72B37"/>
    <w:rsid w:val="00E72B44"/>
    <w:rsid w:val="00E72BB8"/>
    <w:rsid w:val="00E72BF3"/>
    <w:rsid w:val="00E72C65"/>
    <w:rsid w:val="00E72CD1"/>
    <w:rsid w:val="00E72E4C"/>
    <w:rsid w:val="00E72E69"/>
    <w:rsid w:val="00E72EE0"/>
    <w:rsid w:val="00E72EFB"/>
    <w:rsid w:val="00E72F0E"/>
    <w:rsid w:val="00E72F56"/>
    <w:rsid w:val="00E72F86"/>
    <w:rsid w:val="00E73031"/>
    <w:rsid w:val="00E7307A"/>
    <w:rsid w:val="00E73090"/>
    <w:rsid w:val="00E73097"/>
    <w:rsid w:val="00E731D7"/>
    <w:rsid w:val="00E73322"/>
    <w:rsid w:val="00E73493"/>
    <w:rsid w:val="00E73561"/>
    <w:rsid w:val="00E73619"/>
    <w:rsid w:val="00E7371A"/>
    <w:rsid w:val="00E7373A"/>
    <w:rsid w:val="00E73758"/>
    <w:rsid w:val="00E73776"/>
    <w:rsid w:val="00E737BD"/>
    <w:rsid w:val="00E7380B"/>
    <w:rsid w:val="00E73861"/>
    <w:rsid w:val="00E7387F"/>
    <w:rsid w:val="00E73983"/>
    <w:rsid w:val="00E73989"/>
    <w:rsid w:val="00E73B08"/>
    <w:rsid w:val="00E73B4A"/>
    <w:rsid w:val="00E73BF3"/>
    <w:rsid w:val="00E73CF4"/>
    <w:rsid w:val="00E73CFB"/>
    <w:rsid w:val="00E73D8B"/>
    <w:rsid w:val="00E73DB7"/>
    <w:rsid w:val="00E73E09"/>
    <w:rsid w:val="00E73E4A"/>
    <w:rsid w:val="00E73E96"/>
    <w:rsid w:val="00E73ED0"/>
    <w:rsid w:val="00E73F0A"/>
    <w:rsid w:val="00E73F8D"/>
    <w:rsid w:val="00E73FE1"/>
    <w:rsid w:val="00E74024"/>
    <w:rsid w:val="00E7405F"/>
    <w:rsid w:val="00E740F5"/>
    <w:rsid w:val="00E74106"/>
    <w:rsid w:val="00E74194"/>
    <w:rsid w:val="00E741FB"/>
    <w:rsid w:val="00E74440"/>
    <w:rsid w:val="00E74499"/>
    <w:rsid w:val="00E744B3"/>
    <w:rsid w:val="00E744DE"/>
    <w:rsid w:val="00E74527"/>
    <w:rsid w:val="00E74543"/>
    <w:rsid w:val="00E74647"/>
    <w:rsid w:val="00E74704"/>
    <w:rsid w:val="00E7478D"/>
    <w:rsid w:val="00E748DA"/>
    <w:rsid w:val="00E748F4"/>
    <w:rsid w:val="00E74ABA"/>
    <w:rsid w:val="00E74BAD"/>
    <w:rsid w:val="00E74BCA"/>
    <w:rsid w:val="00E74C2E"/>
    <w:rsid w:val="00E74C3E"/>
    <w:rsid w:val="00E74C94"/>
    <w:rsid w:val="00E74D38"/>
    <w:rsid w:val="00E74D56"/>
    <w:rsid w:val="00E74D87"/>
    <w:rsid w:val="00E74E7E"/>
    <w:rsid w:val="00E74E80"/>
    <w:rsid w:val="00E74EA5"/>
    <w:rsid w:val="00E74EB6"/>
    <w:rsid w:val="00E74F50"/>
    <w:rsid w:val="00E75082"/>
    <w:rsid w:val="00E750A4"/>
    <w:rsid w:val="00E750F0"/>
    <w:rsid w:val="00E75119"/>
    <w:rsid w:val="00E75238"/>
    <w:rsid w:val="00E7527E"/>
    <w:rsid w:val="00E75310"/>
    <w:rsid w:val="00E75326"/>
    <w:rsid w:val="00E75331"/>
    <w:rsid w:val="00E75484"/>
    <w:rsid w:val="00E75498"/>
    <w:rsid w:val="00E7560E"/>
    <w:rsid w:val="00E758B6"/>
    <w:rsid w:val="00E75B30"/>
    <w:rsid w:val="00E75BB1"/>
    <w:rsid w:val="00E75C46"/>
    <w:rsid w:val="00E75E29"/>
    <w:rsid w:val="00E75EE1"/>
    <w:rsid w:val="00E75F72"/>
    <w:rsid w:val="00E75F7D"/>
    <w:rsid w:val="00E75F8F"/>
    <w:rsid w:val="00E75FCC"/>
    <w:rsid w:val="00E75FD8"/>
    <w:rsid w:val="00E76013"/>
    <w:rsid w:val="00E7607F"/>
    <w:rsid w:val="00E76086"/>
    <w:rsid w:val="00E760E5"/>
    <w:rsid w:val="00E7612C"/>
    <w:rsid w:val="00E76438"/>
    <w:rsid w:val="00E764A7"/>
    <w:rsid w:val="00E764AF"/>
    <w:rsid w:val="00E764B3"/>
    <w:rsid w:val="00E7650C"/>
    <w:rsid w:val="00E7655D"/>
    <w:rsid w:val="00E765C0"/>
    <w:rsid w:val="00E765E1"/>
    <w:rsid w:val="00E76674"/>
    <w:rsid w:val="00E76787"/>
    <w:rsid w:val="00E76837"/>
    <w:rsid w:val="00E76877"/>
    <w:rsid w:val="00E76903"/>
    <w:rsid w:val="00E769AD"/>
    <w:rsid w:val="00E76AC7"/>
    <w:rsid w:val="00E76C2B"/>
    <w:rsid w:val="00E76C45"/>
    <w:rsid w:val="00E76D53"/>
    <w:rsid w:val="00E76DB9"/>
    <w:rsid w:val="00E76DBE"/>
    <w:rsid w:val="00E76DF8"/>
    <w:rsid w:val="00E76F62"/>
    <w:rsid w:val="00E76F88"/>
    <w:rsid w:val="00E7719A"/>
    <w:rsid w:val="00E77278"/>
    <w:rsid w:val="00E772B0"/>
    <w:rsid w:val="00E77323"/>
    <w:rsid w:val="00E7743D"/>
    <w:rsid w:val="00E7761B"/>
    <w:rsid w:val="00E77684"/>
    <w:rsid w:val="00E7775F"/>
    <w:rsid w:val="00E7777A"/>
    <w:rsid w:val="00E77848"/>
    <w:rsid w:val="00E778B6"/>
    <w:rsid w:val="00E778C2"/>
    <w:rsid w:val="00E779CA"/>
    <w:rsid w:val="00E77ADA"/>
    <w:rsid w:val="00E77B98"/>
    <w:rsid w:val="00E77CA7"/>
    <w:rsid w:val="00E77CAF"/>
    <w:rsid w:val="00E77E6C"/>
    <w:rsid w:val="00E77EB5"/>
    <w:rsid w:val="00E77ECC"/>
    <w:rsid w:val="00E77F9B"/>
    <w:rsid w:val="00E8008E"/>
    <w:rsid w:val="00E801C3"/>
    <w:rsid w:val="00E80203"/>
    <w:rsid w:val="00E8023E"/>
    <w:rsid w:val="00E80376"/>
    <w:rsid w:val="00E803A7"/>
    <w:rsid w:val="00E8041A"/>
    <w:rsid w:val="00E80464"/>
    <w:rsid w:val="00E80493"/>
    <w:rsid w:val="00E80660"/>
    <w:rsid w:val="00E806A4"/>
    <w:rsid w:val="00E80788"/>
    <w:rsid w:val="00E80799"/>
    <w:rsid w:val="00E8096A"/>
    <w:rsid w:val="00E809FA"/>
    <w:rsid w:val="00E80B70"/>
    <w:rsid w:val="00E80C45"/>
    <w:rsid w:val="00E80C58"/>
    <w:rsid w:val="00E80C7E"/>
    <w:rsid w:val="00E80D43"/>
    <w:rsid w:val="00E80D7A"/>
    <w:rsid w:val="00E80DAB"/>
    <w:rsid w:val="00E80F3F"/>
    <w:rsid w:val="00E8114D"/>
    <w:rsid w:val="00E81152"/>
    <w:rsid w:val="00E8118C"/>
    <w:rsid w:val="00E812C7"/>
    <w:rsid w:val="00E81365"/>
    <w:rsid w:val="00E81446"/>
    <w:rsid w:val="00E8147D"/>
    <w:rsid w:val="00E81540"/>
    <w:rsid w:val="00E81573"/>
    <w:rsid w:val="00E81746"/>
    <w:rsid w:val="00E81796"/>
    <w:rsid w:val="00E81811"/>
    <w:rsid w:val="00E818D3"/>
    <w:rsid w:val="00E81946"/>
    <w:rsid w:val="00E81954"/>
    <w:rsid w:val="00E81A2E"/>
    <w:rsid w:val="00E81A8E"/>
    <w:rsid w:val="00E81AD3"/>
    <w:rsid w:val="00E81BD4"/>
    <w:rsid w:val="00E81CAB"/>
    <w:rsid w:val="00E81D5A"/>
    <w:rsid w:val="00E81E7A"/>
    <w:rsid w:val="00E8203C"/>
    <w:rsid w:val="00E82137"/>
    <w:rsid w:val="00E82195"/>
    <w:rsid w:val="00E822F1"/>
    <w:rsid w:val="00E823B9"/>
    <w:rsid w:val="00E823DA"/>
    <w:rsid w:val="00E823DC"/>
    <w:rsid w:val="00E823EF"/>
    <w:rsid w:val="00E82495"/>
    <w:rsid w:val="00E824F3"/>
    <w:rsid w:val="00E82516"/>
    <w:rsid w:val="00E825C0"/>
    <w:rsid w:val="00E826E5"/>
    <w:rsid w:val="00E827BC"/>
    <w:rsid w:val="00E827D8"/>
    <w:rsid w:val="00E82801"/>
    <w:rsid w:val="00E82812"/>
    <w:rsid w:val="00E828BD"/>
    <w:rsid w:val="00E828CC"/>
    <w:rsid w:val="00E828D1"/>
    <w:rsid w:val="00E82956"/>
    <w:rsid w:val="00E829B5"/>
    <w:rsid w:val="00E829F1"/>
    <w:rsid w:val="00E82A0F"/>
    <w:rsid w:val="00E82BFC"/>
    <w:rsid w:val="00E82CB7"/>
    <w:rsid w:val="00E82D22"/>
    <w:rsid w:val="00E82D8D"/>
    <w:rsid w:val="00E82FC7"/>
    <w:rsid w:val="00E8307F"/>
    <w:rsid w:val="00E830FE"/>
    <w:rsid w:val="00E83135"/>
    <w:rsid w:val="00E8317B"/>
    <w:rsid w:val="00E831A0"/>
    <w:rsid w:val="00E8326C"/>
    <w:rsid w:val="00E8336B"/>
    <w:rsid w:val="00E83412"/>
    <w:rsid w:val="00E83456"/>
    <w:rsid w:val="00E8347B"/>
    <w:rsid w:val="00E83487"/>
    <w:rsid w:val="00E834BB"/>
    <w:rsid w:val="00E834C6"/>
    <w:rsid w:val="00E8350F"/>
    <w:rsid w:val="00E8351B"/>
    <w:rsid w:val="00E835A2"/>
    <w:rsid w:val="00E835D8"/>
    <w:rsid w:val="00E8367E"/>
    <w:rsid w:val="00E836E0"/>
    <w:rsid w:val="00E836FE"/>
    <w:rsid w:val="00E8372E"/>
    <w:rsid w:val="00E83846"/>
    <w:rsid w:val="00E8389E"/>
    <w:rsid w:val="00E838AE"/>
    <w:rsid w:val="00E83971"/>
    <w:rsid w:val="00E83978"/>
    <w:rsid w:val="00E8398E"/>
    <w:rsid w:val="00E839BE"/>
    <w:rsid w:val="00E83A15"/>
    <w:rsid w:val="00E83A49"/>
    <w:rsid w:val="00E83A93"/>
    <w:rsid w:val="00E83B43"/>
    <w:rsid w:val="00E83B94"/>
    <w:rsid w:val="00E83BAB"/>
    <w:rsid w:val="00E83C8A"/>
    <w:rsid w:val="00E83C90"/>
    <w:rsid w:val="00E83CAD"/>
    <w:rsid w:val="00E83CC7"/>
    <w:rsid w:val="00E83D2A"/>
    <w:rsid w:val="00E83D2F"/>
    <w:rsid w:val="00E83D3D"/>
    <w:rsid w:val="00E83D71"/>
    <w:rsid w:val="00E83E85"/>
    <w:rsid w:val="00E83F00"/>
    <w:rsid w:val="00E83F91"/>
    <w:rsid w:val="00E83FE3"/>
    <w:rsid w:val="00E84037"/>
    <w:rsid w:val="00E84039"/>
    <w:rsid w:val="00E84081"/>
    <w:rsid w:val="00E840E7"/>
    <w:rsid w:val="00E840FB"/>
    <w:rsid w:val="00E84152"/>
    <w:rsid w:val="00E841DB"/>
    <w:rsid w:val="00E84234"/>
    <w:rsid w:val="00E8424E"/>
    <w:rsid w:val="00E84323"/>
    <w:rsid w:val="00E84340"/>
    <w:rsid w:val="00E84424"/>
    <w:rsid w:val="00E8442E"/>
    <w:rsid w:val="00E84597"/>
    <w:rsid w:val="00E845A2"/>
    <w:rsid w:val="00E8463E"/>
    <w:rsid w:val="00E84703"/>
    <w:rsid w:val="00E84715"/>
    <w:rsid w:val="00E84738"/>
    <w:rsid w:val="00E84767"/>
    <w:rsid w:val="00E847D6"/>
    <w:rsid w:val="00E84809"/>
    <w:rsid w:val="00E8485D"/>
    <w:rsid w:val="00E848CB"/>
    <w:rsid w:val="00E848CC"/>
    <w:rsid w:val="00E8490A"/>
    <w:rsid w:val="00E84921"/>
    <w:rsid w:val="00E84928"/>
    <w:rsid w:val="00E84952"/>
    <w:rsid w:val="00E84974"/>
    <w:rsid w:val="00E849C8"/>
    <w:rsid w:val="00E84B2B"/>
    <w:rsid w:val="00E84B58"/>
    <w:rsid w:val="00E84B7C"/>
    <w:rsid w:val="00E84B82"/>
    <w:rsid w:val="00E84BBC"/>
    <w:rsid w:val="00E84BC7"/>
    <w:rsid w:val="00E84C2A"/>
    <w:rsid w:val="00E84D04"/>
    <w:rsid w:val="00E84D4D"/>
    <w:rsid w:val="00E84E56"/>
    <w:rsid w:val="00E84E7D"/>
    <w:rsid w:val="00E84EA4"/>
    <w:rsid w:val="00E84F8E"/>
    <w:rsid w:val="00E84F9C"/>
    <w:rsid w:val="00E8502B"/>
    <w:rsid w:val="00E8502F"/>
    <w:rsid w:val="00E85173"/>
    <w:rsid w:val="00E851C6"/>
    <w:rsid w:val="00E85221"/>
    <w:rsid w:val="00E85239"/>
    <w:rsid w:val="00E8523C"/>
    <w:rsid w:val="00E85255"/>
    <w:rsid w:val="00E854EE"/>
    <w:rsid w:val="00E85524"/>
    <w:rsid w:val="00E8555D"/>
    <w:rsid w:val="00E8557A"/>
    <w:rsid w:val="00E85657"/>
    <w:rsid w:val="00E85678"/>
    <w:rsid w:val="00E8573D"/>
    <w:rsid w:val="00E85771"/>
    <w:rsid w:val="00E857A0"/>
    <w:rsid w:val="00E85866"/>
    <w:rsid w:val="00E858E0"/>
    <w:rsid w:val="00E85A38"/>
    <w:rsid w:val="00E85A49"/>
    <w:rsid w:val="00E85A5E"/>
    <w:rsid w:val="00E85AC7"/>
    <w:rsid w:val="00E85AD6"/>
    <w:rsid w:val="00E85B74"/>
    <w:rsid w:val="00E85BBF"/>
    <w:rsid w:val="00E85D96"/>
    <w:rsid w:val="00E85DBB"/>
    <w:rsid w:val="00E85E52"/>
    <w:rsid w:val="00E85EDB"/>
    <w:rsid w:val="00E860E4"/>
    <w:rsid w:val="00E861D9"/>
    <w:rsid w:val="00E86253"/>
    <w:rsid w:val="00E86277"/>
    <w:rsid w:val="00E8647A"/>
    <w:rsid w:val="00E8653F"/>
    <w:rsid w:val="00E86561"/>
    <w:rsid w:val="00E86587"/>
    <w:rsid w:val="00E865BF"/>
    <w:rsid w:val="00E86656"/>
    <w:rsid w:val="00E86703"/>
    <w:rsid w:val="00E868DA"/>
    <w:rsid w:val="00E86926"/>
    <w:rsid w:val="00E86A0E"/>
    <w:rsid w:val="00E86AB9"/>
    <w:rsid w:val="00E86AD6"/>
    <w:rsid w:val="00E86AD9"/>
    <w:rsid w:val="00E86AF6"/>
    <w:rsid w:val="00E86B11"/>
    <w:rsid w:val="00E86B1C"/>
    <w:rsid w:val="00E86BA0"/>
    <w:rsid w:val="00E86BF5"/>
    <w:rsid w:val="00E86D03"/>
    <w:rsid w:val="00E86D8C"/>
    <w:rsid w:val="00E86E54"/>
    <w:rsid w:val="00E86E72"/>
    <w:rsid w:val="00E86F34"/>
    <w:rsid w:val="00E87056"/>
    <w:rsid w:val="00E8708D"/>
    <w:rsid w:val="00E870C1"/>
    <w:rsid w:val="00E870FA"/>
    <w:rsid w:val="00E87157"/>
    <w:rsid w:val="00E8717B"/>
    <w:rsid w:val="00E87188"/>
    <w:rsid w:val="00E871D3"/>
    <w:rsid w:val="00E871FE"/>
    <w:rsid w:val="00E8727C"/>
    <w:rsid w:val="00E872D5"/>
    <w:rsid w:val="00E87303"/>
    <w:rsid w:val="00E87359"/>
    <w:rsid w:val="00E87382"/>
    <w:rsid w:val="00E873C2"/>
    <w:rsid w:val="00E873E4"/>
    <w:rsid w:val="00E87461"/>
    <w:rsid w:val="00E87475"/>
    <w:rsid w:val="00E874E0"/>
    <w:rsid w:val="00E8756B"/>
    <w:rsid w:val="00E875E9"/>
    <w:rsid w:val="00E8763A"/>
    <w:rsid w:val="00E876AD"/>
    <w:rsid w:val="00E876EA"/>
    <w:rsid w:val="00E877DD"/>
    <w:rsid w:val="00E87859"/>
    <w:rsid w:val="00E8789C"/>
    <w:rsid w:val="00E878B8"/>
    <w:rsid w:val="00E87966"/>
    <w:rsid w:val="00E87995"/>
    <w:rsid w:val="00E879A0"/>
    <w:rsid w:val="00E87A35"/>
    <w:rsid w:val="00E87A52"/>
    <w:rsid w:val="00E87C65"/>
    <w:rsid w:val="00E87CCA"/>
    <w:rsid w:val="00E87DEF"/>
    <w:rsid w:val="00E87E19"/>
    <w:rsid w:val="00E87E38"/>
    <w:rsid w:val="00E87E47"/>
    <w:rsid w:val="00E87EA3"/>
    <w:rsid w:val="00E87F9A"/>
    <w:rsid w:val="00E90035"/>
    <w:rsid w:val="00E90109"/>
    <w:rsid w:val="00E9016F"/>
    <w:rsid w:val="00E901AE"/>
    <w:rsid w:val="00E901EE"/>
    <w:rsid w:val="00E90212"/>
    <w:rsid w:val="00E90270"/>
    <w:rsid w:val="00E902D4"/>
    <w:rsid w:val="00E9032D"/>
    <w:rsid w:val="00E90341"/>
    <w:rsid w:val="00E90369"/>
    <w:rsid w:val="00E9042A"/>
    <w:rsid w:val="00E90479"/>
    <w:rsid w:val="00E9053E"/>
    <w:rsid w:val="00E9075B"/>
    <w:rsid w:val="00E907E5"/>
    <w:rsid w:val="00E90812"/>
    <w:rsid w:val="00E90846"/>
    <w:rsid w:val="00E908DE"/>
    <w:rsid w:val="00E90977"/>
    <w:rsid w:val="00E909AA"/>
    <w:rsid w:val="00E90ADD"/>
    <w:rsid w:val="00E90B10"/>
    <w:rsid w:val="00E90B9F"/>
    <w:rsid w:val="00E90C0B"/>
    <w:rsid w:val="00E90D2F"/>
    <w:rsid w:val="00E90E0E"/>
    <w:rsid w:val="00E90E2A"/>
    <w:rsid w:val="00E90E55"/>
    <w:rsid w:val="00E90EA8"/>
    <w:rsid w:val="00E90EE6"/>
    <w:rsid w:val="00E90FB4"/>
    <w:rsid w:val="00E9100B"/>
    <w:rsid w:val="00E910F7"/>
    <w:rsid w:val="00E9116B"/>
    <w:rsid w:val="00E91229"/>
    <w:rsid w:val="00E91250"/>
    <w:rsid w:val="00E91292"/>
    <w:rsid w:val="00E91329"/>
    <w:rsid w:val="00E91448"/>
    <w:rsid w:val="00E91497"/>
    <w:rsid w:val="00E9150F"/>
    <w:rsid w:val="00E9151F"/>
    <w:rsid w:val="00E9152B"/>
    <w:rsid w:val="00E915BB"/>
    <w:rsid w:val="00E917B8"/>
    <w:rsid w:val="00E917FB"/>
    <w:rsid w:val="00E91868"/>
    <w:rsid w:val="00E9199E"/>
    <w:rsid w:val="00E919C9"/>
    <w:rsid w:val="00E91A7E"/>
    <w:rsid w:val="00E91AFF"/>
    <w:rsid w:val="00E91D2C"/>
    <w:rsid w:val="00E91D87"/>
    <w:rsid w:val="00E91DE0"/>
    <w:rsid w:val="00E91E65"/>
    <w:rsid w:val="00E91E8C"/>
    <w:rsid w:val="00E91EB7"/>
    <w:rsid w:val="00E91ECA"/>
    <w:rsid w:val="00E91FED"/>
    <w:rsid w:val="00E91FF6"/>
    <w:rsid w:val="00E92060"/>
    <w:rsid w:val="00E92069"/>
    <w:rsid w:val="00E920AC"/>
    <w:rsid w:val="00E920DF"/>
    <w:rsid w:val="00E92174"/>
    <w:rsid w:val="00E9240B"/>
    <w:rsid w:val="00E92445"/>
    <w:rsid w:val="00E92512"/>
    <w:rsid w:val="00E92558"/>
    <w:rsid w:val="00E925DC"/>
    <w:rsid w:val="00E9267B"/>
    <w:rsid w:val="00E926A8"/>
    <w:rsid w:val="00E928C1"/>
    <w:rsid w:val="00E928EF"/>
    <w:rsid w:val="00E9295C"/>
    <w:rsid w:val="00E92A7D"/>
    <w:rsid w:val="00E92B27"/>
    <w:rsid w:val="00E92B53"/>
    <w:rsid w:val="00E92BD1"/>
    <w:rsid w:val="00E92BF4"/>
    <w:rsid w:val="00E92D4C"/>
    <w:rsid w:val="00E92D71"/>
    <w:rsid w:val="00E92EC7"/>
    <w:rsid w:val="00E92F16"/>
    <w:rsid w:val="00E92F95"/>
    <w:rsid w:val="00E92FA8"/>
    <w:rsid w:val="00E92FE3"/>
    <w:rsid w:val="00E93048"/>
    <w:rsid w:val="00E93099"/>
    <w:rsid w:val="00E93181"/>
    <w:rsid w:val="00E931DE"/>
    <w:rsid w:val="00E93212"/>
    <w:rsid w:val="00E93260"/>
    <w:rsid w:val="00E932BF"/>
    <w:rsid w:val="00E932CD"/>
    <w:rsid w:val="00E93324"/>
    <w:rsid w:val="00E933D6"/>
    <w:rsid w:val="00E934DD"/>
    <w:rsid w:val="00E9351B"/>
    <w:rsid w:val="00E9357F"/>
    <w:rsid w:val="00E9358F"/>
    <w:rsid w:val="00E93621"/>
    <w:rsid w:val="00E93670"/>
    <w:rsid w:val="00E9371B"/>
    <w:rsid w:val="00E9372E"/>
    <w:rsid w:val="00E938BD"/>
    <w:rsid w:val="00E938DD"/>
    <w:rsid w:val="00E938DF"/>
    <w:rsid w:val="00E938E3"/>
    <w:rsid w:val="00E9399C"/>
    <w:rsid w:val="00E93A45"/>
    <w:rsid w:val="00E93A6F"/>
    <w:rsid w:val="00E93B15"/>
    <w:rsid w:val="00E93B6B"/>
    <w:rsid w:val="00E93B8B"/>
    <w:rsid w:val="00E93BA1"/>
    <w:rsid w:val="00E93BC3"/>
    <w:rsid w:val="00E93BF9"/>
    <w:rsid w:val="00E93C19"/>
    <w:rsid w:val="00E93D78"/>
    <w:rsid w:val="00E93D98"/>
    <w:rsid w:val="00E93E42"/>
    <w:rsid w:val="00E93E59"/>
    <w:rsid w:val="00E93E98"/>
    <w:rsid w:val="00E93F79"/>
    <w:rsid w:val="00E93FB2"/>
    <w:rsid w:val="00E94039"/>
    <w:rsid w:val="00E94233"/>
    <w:rsid w:val="00E94263"/>
    <w:rsid w:val="00E942CA"/>
    <w:rsid w:val="00E94424"/>
    <w:rsid w:val="00E9443E"/>
    <w:rsid w:val="00E94462"/>
    <w:rsid w:val="00E944C0"/>
    <w:rsid w:val="00E9452C"/>
    <w:rsid w:val="00E945D5"/>
    <w:rsid w:val="00E9460F"/>
    <w:rsid w:val="00E94611"/>
    <w:rsid w:val="00E946B0"/>
    <w:rsid w:val="00E946C5"/>
    <w:rsid w:val="00E946E9"/>
    <w:rsid w:val="00E947B3"/>
    <w:rsid w:val="00E94902"/>
    <w:rsid w:val="00E9495C"/>
    <w:rsid w:val="00E94A42"/>
    <w:rsid w:val="00E94BA8"/>
    <w:rsid w:val="00E94C28"/>
    <w:rsid w:val="00E94CFF"/>
    <w:rsid w:val="00E94D42"/>
    <w:rsid w:val="00E94EF2"/>
    <w:rsid w:val="00E94F2D"/>
    <w:rsid w:val="00E94F30"/>
    <w:rsid w:val="00E95060"/>
    <w:rsid w:val="00E95064"/>
    <w:rsid w:val="00E95105"/>
    <w:rsid w:val="00E9511A"/>
    <w:rsid w:val="00E951CD"/>
    <w:rsid w:val="00E9521E"/>
    <w:rsid w:val="00E95246"/>
    <w:rsid w:val="00E952D0"/>
    <w:rsid w:val="00E952EA"/>
    <w:rsid w:val="00E95317"/>
    <w:rsid w:val="00E95394"/>
    <w:rsid w:val="00E953A5"/>
    <w:rsid w:val="00E95456"/>
    <w:rsid w:val="00E954B2"/>
    <w:rsid w:val="00E954EA"/>
    <w:rsid w:val="00E954F3"/>
    <w:rsid w:val="00E95505"/>
    <w:rsid w:val="00E95514"/>
    <w:rsid w:val="00E95608"/>
    <w:rsid w:val="00E9563C"/>
    <w:rsid w:val="00E9569F"/>
    <w:rsid w:val="00E956EF"/>
    <w:rsid w:val="00E95801"/>
    <w:rsid w:val="00E95805"/>
    <w:rsid w:val="00E95815"/>
    <w:rsid w:val="00E9589A"/>
    <w:rsid w:val="00E958FA"/>
    <w:rsid w:val="00E95997"/>
    <w:rsid w:val="00E95A19"/>
    <w:rsid w:val="00E95A7F"/>
    <w:rsid w:val="00E95A90"/>
    <w:rsid w:val="00E95A9A"/>
    <w:rsid w:val="00E95AB2"/>
    <w:rsid w:val="00E95B0A"/>
    <w:rsid w:val="00E95B1D"/>
    <w:rsid w:val="00E95B33"/>
    <w:rsid w:val="00E95B49"/>
    <w:rsid w:val="00E95B73"/>
    <w:rsid w:val="00E95B93"/>
    <w:rsid w:val="00E95B97"/>
    <w:rsid w:val="00E95C2A"/>
    <w:rsid w:val="00E95CC6"/>
    <w:rsid w:val="00E95D66"/>
    <w:rsid w:val="00E95DA7"/>
    <w:rsid w:val="00E95E79"/>
    <w:rsid w:val="00E95F05"/>
    <w:rsid w:val="00E95F1B"/>
    <w:rsid w:val="00E95F21"/>
    <w:rsid w:val="00E95F50"/>
    <w:rsid w:val="00E95F5F"/>
    <w:rsid w:val="00E96030"/>
    <w:rsid w:val="00E96074"/>
    <w:rsid w:val="00E961C2"/>
    <w:rsid w:val="00E962BC"/>
    <w:rsid w:val="00E963F7"/>
    <w:rsid w:val="00E96427"/>
    <w:rsid w:val="00E96476"/>
    <w:rsid w:val="00E964CB"/>
    <w:rsid w:val="00E9652F"/>
    <w:rsid w:val="00E965A3"/>
    <w:rsid w:val="00E967F6"/>
    <w:rsid w:val="00E96867"/>
    <w:rsid w:val="00E968D8"/>
    <w:rsid w:val="00E96904"/>
    <w:rsid w:val="00E9692D"/>
    <w:rsid w:val="00E96943"/>
    <w:rsid w:val="00E969E4"/>
    <w:rsid w:val="00E96AD1"/>
    <w:rsid w:val="00E96B12"/>
    <w:rsid w:val="00E96B1A"/>
    <w:rsid w:val="00E96BA6"/>
    <w:rsid w:val="00E96C17"/>
    <w:rsid w:val="00E96CA5"/>
    <w:rsid w:val="00E96D2C"/>
    <w:rsid w:val="00E96D2E"/>
    <w:rsid w:val="00E96D92"/>
    <w:rsid w:val="00E96DD0"/>
    <w:rsid w:val="00E96E62"/>
    <w:rsid w:val="00E96EF0"/>
    <w:rsid w:val="00E96F18"/>
    <w:rsid w:val="00E970A5"/>
    <w:rsid w:val="00E9710F"/>
    <w:rsid w:val="00E97124"/>
    <w:rsid w:val="00E97161"/>
    <w:rsid w:val="00E97176"/>
    <w:rsid w:val="00E97192"/>
    <w:rsid w:val="00E97194"/>
    <w:rsid w:val="00E971D6"/>
    <w:rsid w:val="00E971E6"/>
    <w:rsid w:val="00E971E8"/>
    <w:rsid w:val="00E97223"/>
    <w:rsid w:val="00E9722D"/>
    <w:rsid w:val="00E972DA"/>
    <w:rsid w:val="00E97309"/>
    <w:rsid w:val="00E97348"/>
    <w:rsid w:val="00E97474"/>
    <w:rsid w:val="00E97486"/>
    <w:rsid w:val="00E97498"/>
    <w:rsid w:val="00E974B8"/>
    <w:rsid w:val="00E974D8"/>
    <w:rsid w:val="00E975E4"/>
    <w:rsid w:val="00E97614"/>
    <w:rsid w:val="00E9763B"/>
    <w:rsid w:val="00E9763C"/>
    <w:rsid w:val="00E97644"/>
    <w:rsid w:val="00E97647"/>
    <w:rsid w:val="00E97667"/>
    <w:rsid w:val="00E9767B"/>
    <w:rsid w:val="00E976E9"/>
    <w:rsid w:val="00E9772B"/>
    <w:rsid w:val="00E9778B"/>
    <w:rsid w:val="00E9778E"/>
    <w:rsid w:val="00E978BE"/>
    <w:rsid w:val="00E97902"/>
    <w:rsid w:val="00E979A0"/>
    <w:rsid w:val="00E979FF"/>
    <w:rsid w:val="00E97A40"/>
    <w:rsid w:val="00E97A8E"/>
    <w:rsid w:val="00E97AAF"/>
    <w:rsid w:val="00E97AC3"/>
    <w:rsid w:val="00E97B86"/>
    <w:rsid w:val="00E97C32"/>
    <w:rsid w:val="00E97CD8"/>
    <w:rsid w:val="00E97DE9"/>
    <w:rsid w:val="00E97E70"/>
    <w:rsid w:val="00E97F00"/>
    <w:rsid w:val="00EA0089"/>
    <w:rsid w:val="00EA00D3"/>
    <w:rsid w:val="00EA0108"/>
    <w:rsid w:val="00EA01B4"/>
    <w:rsid w:val="00EA01CA"/>
    <w:rsid w:val="00EA02CF"/>
    <w:rsid w:val="00EA0303"/>
    <w:rsid w:val="00EA0316"/>
    <w:rsid w:val="00EA036C"/>
    <w:rsid w:val="00EA03DF"/>
    <w:rsid w:val="00EA0408"/>
    <w:rsid w:val="00EA0442"/>
    <w:rsid w:val="00EA0473"/>
    <w:rsid w:val="00EA05D4"/>
    <w:rsid w:val="00EA05D9"/>
    <w:rsid w:val="00EA05EC"/>
    <w:rsid w:val="00EA066C"/>
    <w:rsid w:val="00EA06EE"/>
    <w:rsid w:val="00EA084E"/>
    <w:rsid w:val="00EA0875"/>
    <w:rsid w:val="00EA09A3"/>
    <w:rsid w:val="00EA0AAD"/>
    <w:rsid w:val="00EA0AB2"/>
    <w:rsid w:val="00EA0BA1"/>
    <w:rsid w:val="00EA0BF6"/>
    <w:rsid w:val="00EA0C11"/>
    <w:rsid w:val="00EA0C66"/>
    <w:rsid w:val="00EA0D09"/>
    <w:rsid w:val="00EA0E2D"/>
    <w:rsid w:val="00EA0E3A"/>
    <w:rsid w:val="00EA0F04"/>
    <w:rsid w:val="00EA1123"/>
    <w:rsid w:val="00EA11AC"/>
    <w:rsid w:val="00EA12B7"/>
    <w:rsid w:val="00EA12DB"/>
    <w:rsid w:val="00EA12E8"/>
    <w:rsid w:val="00EA12EA"/>
    <w:rsid w:val="00EA133A"/>
    <w:rsid w:val="00EA150C"/>
    <w:rsid w:val="00EA153F"/>
    <w:rsid w:val="00EA1650"/>
    <w:rsid w:val="00EA180C"/>
    <w:rsid w:val="00EA1917"/>
    <w:rsid w:val="00EA191C"/>
    <w:rsid w:val="00EA1943"/>
    <w:rsid w:val="00EA1A6B"/>
    <w:rsid w:val="00EA1AF2"/>
    <w:rsid w:val="00EA1C55"/>
    <w:rsid w:val="00EA1C78"/>
    <w:rsid w:val="00EA1CDB"/>
    <w:rsid w:val="00EA1CF7"/>
    <w:rsid w:val="00EA1D13"/>
    <w:rsid w:val="00EA1D66"/>
    <w:rsid w:val="00EA1D88"/>
    <w:rsid w:val="00EA1E55"/>
    <w:rsid w:val="00EA1F95"/>
    <w:rsid w:val="00EA2075"/>
    <w:rsid w:val="00EA209D"/>
    <w:rsid w:val="00EA20D5"/>
    <w:rsid w:val="00EA21B2"/>
    <w:rsid w:val="00EA2308"/>
    <w:rsid w:val="00EA2359"/>
    <w:rsid w:val="00EA238A"/>
    <w:rsid w:val="00EA23E5"/>
    <w:rsid w:val="00EA24F7"/>
    <w:rsid w:val="00EA2550"/>
    <w:rsid w:val="00EA2603"/>
    <w:rsid w:val="00EA274C"/>
    <w:rsid w:val="00EA2771"/>
    <w:rsid w:val="00EA27C8"/>
    <w:rsid w:val="00EA280A"/>
    <w:rsid w:val="00EA2B57"/>
    <w:rsid w:val="00EA2B78"/>
    <w:rsid w:val="00EA2C68"/>
    <w:rsid w:val="00EA2CE8"/>
    <w:rsid w:val="00EA2D38"/>
    <w:rsid w:val="00EA2D78"/>
    <w:rsid w:val="00EA2D80"/>
    <w:rsid w:val="00EA2E05"/>
    <w:rsid w:val="00EA2E1B"/>
    <w:rsid w:val="00EA2E4C"/>
    <w:rsid w:val="00EA3064"/>
    <w:rsid w:val="00EA30C1"/>
    <w:rsid w:val="00EA315F"/>
    <w:rsid w:val="00EA3351"/>
    <w:rsid w:val="00EA3372"/>
    <w:rsid w:val="00EA352F"/>
    <w:rsid w:val="00EA353F"/>
    <w:rsid w:val="00EA356A"/>
    <w:rsid w:val="00EA357E"/>
    <w:rsid w:val="00EA35F8"/>
    <w:rsid w:val="00EA3690"/>
    <w:rsid w:val="00EA3692"/>
    <w:rsid w:val="00EA377B"/>
    <w:rsid w:val="00EA38F7"/>
    <w:rsid w:val="00EA390C"/>
    <w:rsid w:val="00EA393C"/>
    <w:rsid w:val="00EA394A"/>
    <w:rsid w:val="00EA3972"/>
    <w:rsid w:val="00EA3A48"/>
    <w:rsid w:val="00EA3B5A"/>
    <w:rsid w:val="00EA3B97"/>
    <w:rsid w:val="00EA3BF3"/>
    <w:rsid w:val="00EA3C10"/>
    <w:rsid w:val="00EA3C19"/>
    <w:rsid w:val="00EA3C6B"/>
    <w:rsid w:val="00EA3C90"/>
    <w:rsid w:val="00EA3CB6"/>
    <w:rsid w:val="00EA3D8F"/>
    <w:rsid w:val="00EA408D"/>
    <w:rsid w:val="00EA4178"/>
    <w:rsid w:val="00EA41AB"/>
    <w:rsid w:val="00EA41F6"/>
    <w:rsid w:val="00EA430A"/>
    <w:rsid w:val="00EA4393"/>
    <w:rsid w:val="00EA450E"/>
    <w:rsid w:val="00EA457F"/>
    <w:rsid w:val="00EA460A"/>
    <w:rsid w:val="00EA46C1"/>
    <w:rsid w:val="00EA46FC"/>
    <w:rsid w:val="00EA472A"/>
    <w:rsid w:val="00EA474E"/>
    <w:rsid w:val="00EA47F2"/>
    <w:rsid w:val="00EA47F8"/>
    <w:rsid w:val="00EA489C"/>
    <w:rsid w:val="00EA4A37"/>
    <w:rsid w:val="00EA4A7B"/>
    <w:rsid w:val="00EA4C7A"/>
    <w:rsid w:val="00EA4C93"/>
    <w:rsid w:val="00EA4CF3"/>
    <w:rsid w:val="00EA4DA0"/>
    <w:rsid w:val="00EA4DCE"/>
    <w:rsid w:val="00EA4E3C"/>
    <w:rsid w:val="00EA4E8F"/>
    <w:rsid w:val="00EA4F6E"/>
    <w:rsid w:val="00EA4FC0"/>
    <w:rsid w:val="00EA4FEB"/>
    <w:rsid w:val="00EA4FEE"/>
    <w:rsid w:val="00EA50A1"/>
    <w:rsid w:val="00EA51E5"/>
    <w:rsid w:val="00EA52A2"/>
    <w:rsid w:val="00EA52F9"/>
    <w:rsid w:val="00EA5358"/>
    <w:rsid w:val="00EA53B8"/>
    <w:rsid w:val="00EA5444"/>
    <w:rsid w:val="00EA544D"/>
    <w:rsid w:val="00EA546B"/>
    <w:rsid w:val="00EA54CC"/>
    <w:rsid w:val="00EA54EC"/>
    <w:rsid w:val="00EA5507"/>
    <w:rsid w:val="00EA5509"/>
    <w:rsid w:val="00EA550F"/>
    <w:rsid w:val="00EA5539"/>
    <w:rsid w:val="00EA55B2"/>
    <w:rsid w:val="00EA55C4"/>
    <w:rsid w:val="00EA5656"/>
    <w:rsid w:val="00EA5666"/>
    <w:rsid w:val="00EA5684"/>
    <w:rsid w:val="00EA56CC"/>
    <w:rsid w:val="00EA56D9"/>
    <w:rsid w:val="00EA56FE"/>
    <w:rsid w:val="00EA5A10"/>
    <w:rsid w:val="00EA5AB1"/>
    <w:rsid w:val="00EA5B2C"/>
    <w:rsid w:val="00EA5B7D"/>
    <w:rsid w:val="00EA5BB4"/>
    <w:rsid w:val="00EA5C1A"/>
    <w:rsid w:val="00EA5E14"/>
    <w:rsid w:val="00EA5E1C"/>
    <w:rsid w:val="00EA5E2C"/>
    <w:rsid w:val="00EA5E90"/>
    <w:rsid w:val="00EA5EB6"/>
    <w:rsid w:val="00EA5ED1"/>
    <w:rsid w:val="00EA5F04"/>
    <w:rsid w:val="00EA5F1F"/>
    <w:rsid w:val="00EA5F63"/>
    <w:rsid w:val="00EA5FB3"/>
    <w:rsid w:val="00EA6001"/>
    <w:rsid w:val="00EA6013"/>
    <w:rsid w:val="00EA605A"/>
    <w:rsid w:val="00EA60CD"/>
    <w:rsid w:val="00EA6150"/>
    <w:rsid w:val="00EA625C"/>
    <w:rsid w:val="00EA627E"/>
    <w:rsid w:val="00EA6290"/>
    <w:rsid w:val="00EA62CB"/>
    <w:rsid w:val="00EA6367"/>
    <w:rsid w:val="00EA6392"/>
    <w:rsid w:val="00EA63CA"/>
    <w:rsid w:val="00EA655A"/>
    <w:rsid w:val="00EA6776"/>
    <w:rsid w:val="00EA680C"/>
    <w:rsid w:val="00EA695F"/>
    <w:rsid w:val="00EA6A2C"/>
    <w:rsid w:val="00EA6AE3"/>
    <w:rsid w:val="00EA6B33"/>
    <w:rsid w:val="00EA6B64"/>
    <w:rsid w:val="00EA6B71"/>
    <w:rsid w:val="00EA6C43"/>
    <w:rsid w:val="00EA6CB7"/>
    <w:rsid w:val="00EA6CCF"/>
    <w:rsid w:val="00EA6D55"/>
    <w:rsid w:val="00EA6D69"/>
    <w:rsid w:val="00EA6D79"/>
    <w:rsid w:val="00EA6DBB"/>
    <w:rsid w:val="00EA6DCE"/>
    <w:rsid w:val="00EA6E82"/>
    <w:rsid w:val="00EA6EB9"/>
    <w:rsid w:val="00EA6EDE"/>
    <w:rsid w:val="00EA6F0C"/>
    <w:rsid w:val="00EA6F37"/>
    <w:rsid w:val="00EA6FE2"/>
    <w:rsid w:val="00EA7066"/>
    <w:rsid w:val="00EA70B2"/>
    <w:rsid w:val="00EA70CE"/>
    <w:rsid w:val="00EA70D8"/>
    <w:rsid w:val="00EA70EA"/>
    <w:rsid w:val="00EA7213"/>
    <w:rsid w:val="00EA721F"/>
    <w:rsid w:val="00EA729C"/>
    <w:rsid w:val="00EA72FB"/>
    <w:rsid w:val="00EA7432"/>
    <w:rsid w:val="00EA744C"/>
    <w:rsid w:val="00EA770E"/>
    <w:rsid w:val="00EA779F"/>
    <w:rsid w:val="00EA78E3"/>
    <w:rsid w:val="00EA7A15"/>
    <w:rsid w:val="00EA7BFB"/>
    <w:rsid w:val="00EA7C3C"/>
    <w:rsid w:val="00EA7D2C"/>
    <w:rsid w:val="00EA7F73"/>
    <w:rsid w:val="00EA7FB3"/>
    <w:rsid w:val="00EB003B"/>
    <w:rsid w:val="00EB00A9"/>
    <w:rsid w:val="00EB023E"/>
    <w:rsid w:val="00EB024A"/>
    <w:rsid w:val="00EB0296"/>
    <w:rsid w:val="00EB029C"/>
    <w:rsid w:val="00EB0329"/>
    <w:rsid w:val="00EB0394"/>
    <w:rsid w:val="00EB03AA"/>
    <w:rsid w:val="00EB04B0"/>
    <w:rsid w:val="00EB0534"/>
    <w:rsid w:val="00EB0567"/>
    <w:rsid w:val="00EB05F9"/>
    <w:rsid w:val="00EB0625"/>
    <w:rsid w:val="00EB0630"/>
    <w:rsid w:val="00EB0642"/>
    <w:rsid w:val="00EB091D"/>
    <w:rsid w:val="00EB094D"/>
    <w:rsid w:val="00EB09BE"/>
    <w:rsid w:val="00EB0A6C"/>
    <w:rsid w:val="00EB0B58"/>
    <w:rsid w:val="00EB0B79"/>
    <w:rsid w:val="00EB0B9C"/>
    <w:rsid w:val="00EB0BA5"/>
    <w:rsid w:val="00EB0C16"/>
    <w:rsid w:val="00EB0CFF"/>
    <w:rsid w:val="00EB0D09"/>
    <w:rsid w:val="00EB0DE1"/>
    <w:rsid w:val="00EB0E85"/>
    <w:rsid w:val="00EB0EA7"/>
    <w:rsid w:val="00EB0F2A"/>
    <w:rsid w:val="00EB10B8"/>
    <w:rsid w:val="00EB1195"/>
    <w:rsid w:val="00EB11A3"/>
    <w:rsid w:val="00EB12E2"/>
    <w:rsid w:val="00EB1330"/>
    <w:rsid w:val="00EB13F4"/>
    <w:rsid w:val="00EB1449"/>
    <w:rsid w:val="00EB1469"/>
    <w:rsid w:val="00EB146F"/>
    <w:rsid w:val="00EB14F8"/>
    <w:rsid w:val="00EB1638"/>
    <w:rsid w:val="00EB1684"/>
    <w:rsid w:val="00EB173C"/>
    <w:rsid w:val="00EB19FC"/>
    <w:rsid w:val="00EB1A91"/>
    <w:rsid w:val="00EB1AC9"/>
    <w:rsid w:val="00EB1AF4"/>
    <w:rsid w:val="00EB1B51"/>
    <w:rsid w:val="00EB1C07"/>
    <w:rsid w:val="00EB1D70"/>
    <w:rsid w:val="00EB1EF7"/>
    <w:rsid w:val="00EB1F01"/>
    <w:rsid w:val="00EB1F4F"/>
    <w:rsid w:val="00EB1F68"/>
    <w:rsid w:val="00EB1FC9"/>
    <w:rsid w:val="00EB1FCA"/>
    <w:rsid w:val="00EB2020"/>
    <w:rsid w:val="00EB2034"/>
    <w:rsid w:val="00EB2042"/>
    <w:rsid w:val="00EB2080"/>
    <w:rsid w:val="00EB20AF"/>
    <w:rsid w:val="00EB2100"/>
    <w:rsid w:val="00EB237F"/>
    <w:rsid w:val="00EB23B3"/>
    <w:rsid w:val="00EB243A"/>
    <w:rsid w:val="00EB2440"/>
    <w:rsid w:val="00EB248F"/>
    <w:rsid w:val="00EB2563"/>
    <w:rsid w:val="00EB25E4"/>
    <w:rsid w:val="00EB2657"/>
    <w:rsid w:val="00EB27AE"/>
    <w:rsid w:val="00EB285B"/>
    <w:rsid w:val="00EB286A"/>
    <w:rsid w:val="00EB2875"/>
    <w:rsid w:val="00EB2896"/>
    <w:rsid w:val="00EB28E0"/>
    <w:rsid w:val="00EB2A29"/>
    <w:rsid w:val="00EB2C4C"/>
    <w:rsid w:val="00EB2D49"/>
    <w:rsid w:val="00EB2D77"/>
    <w:rsid w:val="00EB2E51"/>
    <w:rsid w:val="00EB2E55"/>
    <w:rsid w:val="00EB30D3"/>
    <w:rsid w:val="00EB3176"/>
    <w:rsid w:val="00EB31BA"/>
    <w:rsid w:val="00EB31E0"/>
    <w:rsid w:val="00EB33BA"/>
    <w:rsid w:val="00EB3559"/>
    <w:rsid w:val="00EB3697"/>
    <w:rsid w:val="00EB3773"/>
    <w:rsid w:val="00EB37FA"/>
    <w:rsid w:val="00EB3889"/>
    <w:rsid w:val="00EB38DB"/>
    <w:rsid w:val="00EB3937"/>
    <w:rsid w:val="00EB394B"/>
    <w:rsid w:val="00EB3A22"/>
    <w:rsid w:val="00EB3ADB"/>
    <w:rsid w:val="00EB3C26"/>
    <w:rsid w:val="00EB3C32"/>
    <w:rsid w:val="00EB3C71"/>
    <w:rsid w:val="00EB3C8E"/>
    <w:rsid w:val="00EB3C91"/>
    <w:rsid w:val="00EB3D31"/>
    <w:rsid w:val="00EB3D7C"/>
    <w:rsid w:val="00EB3D80"/>
    <w:rsid w:val="00EB3E90"/>
    <w:rsid w:val="00EB3E9D"/>
    <w:rsid w:val="00EB3EDD"/>
    <w:rsid w:val="00EB3F18"/>
    <w:rsid w:val="00EB3F9D"/>
    <w:rsid w:val="00EB3FAF"/>
    <w:rsid w:val="00EB3FEB"/>
    <w:rsid w:val="00EB40BB"/>
    <w:rsid w:val="00EB4114"/>
    <w:rsid w:val="00EB4147"/>
    <w:rsid w:val="00EB416E"/>
    <w:rsid w:val="00EB4182"/>
    <w:rsid w:val="00EB41A5"/>
    <w:rsid w:val="00EB41AF"/>
    <w:rsid w:val="00EB4296"/>
    <w:rsid w:val="00EB43A8"/>
    <w:rsid w:val="00EB43C8"/>
    <w:rsid w:val="00EB43E5"/>
    <w:rsid w:val="00EB441A"/>
    <w:rsid w:val="00EB442C"/>
    <w:rsid w:val="00EB4439"/>
    <w:rsid w:val="00EB445C"/>
    <w:rsid w:val="00EB44E2"/>
    <w:rsid w:val="00EB4548"/>
    <w:rsid w:val="00EB45E9"/>
    <w:rsid w:val="00EB466F"/>
    <w:rsid w:val="00EB471A"/>
    <w:rsid w:val="00EB47F3"/>
    <w:rsid w:val="00EB4866"/>
    <w:rsid w:val="00EB495A"/>
    <w:rsid w:val="00EB4A11"/>
    <w:rsid w:val="00EB4A53"/>
    <w:rsid w:val="00EB4ACF"/>
    <w:rsid w:val="00EB4AFF"/>
    <w:rsid w:val="00EB4B7C"/>
    <w:rsid w:val="00EB4CAC"/>
    <w:rsid w:val="00EB4D56"/>
    <w:rsid w:val="00EB4E18"/>
    <w:rsid w:val="00EB4E69"/>
    <w:rsid w:val="00EB4E7D"/>
    <w:rsid w:val="00EB4F00"/>
    <w:rsid w:val="00EB4F0D"/>
    <w:rsid w:val="00EB4FA6"/>
    <w:rsid w:val="00EB4FEF"/>
    <w:rsid w:val="00EB523B"/>
    <w:rsid w:val="00EB538E"/>
    <w:rsid w:val="00EB5485"/>
    <w:rsid w:val="00EB54BC"/>
    <w:rsid w:val="00EB560D"/>
    <w:rsid w:val="00EB562A"/>
    <w:rsid w:val="00EB56B8"/>
    <w:rsid w:val="00EB56D8"/>
    <w:rsid w:val="00EB5707"/>
    <w:rsid w:val="00EB575B"/>
    <w:rsid w:val="00EB5818"/>
    <w:rsid w:val="00EB5840"/>
    <w:rsid w:val="00EB58CE"/>
    <w:rsid w:val="00EB58E1"/>
    <w:rsid w:val="00EB5987"/>
    <w:rsid w:val="00EB5B2F"/>
    <w:rsid w:val="00EB5BE0"/>
    <w:rsid w:val="00EB5CC2"/>
    <w:rsid w:val="00EB5D27"/>
    <w:rsid w:val="00EB5DC6"/>
    <w:rsid w:val="00EB5E2E"/>
    <w:rsid w:val="00EB5EE0"/>
    <w:rsid w:val="00EB5F29"/>
    <w:rsid w:val="00EB5FAC"/>
    <w:rsid w:val="00EB5FEB"/>
    <w:rsid w:val="00EB6019"/>
    <w:rsid w:val="00EB62C5"/>
    <w:rsid w:val="00EB632C"/>
    <w:rsid w:val="00EB6341"/>
    <w:rsid w:val="00EB6391"/>
    <w:rsid w:val="00EB6393"/>
    <w:rsid w:val="00EB63DA"/>
    <w:rsid w:val="00EB649A"/>
    <w:rsid w:val="00EB64AC"/>
    <w:rsid w:val="00EB64B2"/>
    <w:rsid w:val="00EB650D"/>
    <w:rsid w:val="00EB655C"/>
    <w:rsid w:val="00EB6625"/>
    <w:rsid w:val="00EB673A"/>
    <w:rsid w:val="00EB67A1"/>
    <w:rsid w:val="00EB680F"/>
    <w:rsid w:val="00EB6878"/>
    <w:rsid w:val="00EB687E"/>
    <w:rsid w:val="00EB68CB"/>
    <w:rsid w:val="00EB698E"/>
    <w:rsid w:val="00EB6A32"/>
    <w:rsid w:val="00EB6A3A"/>
    <w:rsid w:val="00EB6A79"/>
    <w:rsid w:val="00EB6AC8"/>
    <w:rsid w:val="00EB6AD0"/>
    <w:rsid w:val="00EB6AE1"/>
    <w:rsid w:val="00EB6B79"/>
    <w:rsid w:val="00EB6BE2"/>
    <w:rsid w:val="00EB6BF9"/>
    <w:rsid w:val="00EB6C95"/>
    <w:rsid w:val="00EB6CB8"/>
    <w:rsid w:val="00EB6DA7"/>
    <w:rsid w:val="00EB6DD5"/>
    <w:rsid w:val="00EB6E90"/>
    <w:rsid w:val="00EB705D"/>
    <w:rsid w:val="00EB70C1"/>
    <w:rsid w:val="00EB7132"/>
    <w:rsid w:val="00EB715E"/>
    <w:rsid w:val="00EB7180"/>
    <w:rsid w:val="00EB71DD"/>
    <w:rsid w:val="00EB72B0"/>
    <w:rsid w:val="00EB7319"/>
    <w:rsid w:val="00EB732F"/>
    <w:rsid w:val="00EB7332"/>
    <w:rsid w:val="00EB744E"/>
    <w:rsid w:val="00EB74C9"/>
    <w:rsid w:val="00EB74CC"/>
    <w:rsid w:val="00EB7628"/>
    <w:rsid w:val="00EB7629"/>
    <w:rsid w:val="00EB76B4"/>
    <w:rsid w:val="00EB77E2"/>
    <w:rsid w:val="00EB782C"/>
    <w:rsid w:val="00EB78AA"/>
    <w:rsid w:val="00EB78B9"/>
    <w:rsid w:val="00EB7A27"/>
    <w:rsid w:val="00EB7A9B"/>
    <w:rsid w:val="00EB7AE1"/>
    <w:rsid w:val="00EB7C01"/>
    <w:rsid w:val="00EB7C5C"/>
    <w:rsid w:val="00EB7D44"/>
    <w:rsid w:val="00EB7DFA"/>
    <w:rsid w:val="00EB7E2E"/>
    <w:rsid w:val="00EB7E43"/>
    <w:rsid w:val="00EB7E4A"/>
    <w:rsid w:val="00EB7F55"/>
    <w:rsid w:val="00EB7FA0"/>
    <w:rsid w:val="00EBD8F3"/>
    <w:rsid w:val="00EC00CA"/>
    <w:rsid w:val="00EC010E"/>
    <w:rsid w:val="00EC01DD"/>
    <w:rsid w:val="00EC029E"/>
    <w:rsid w:val="00EC053C"/>
    <w:rsid w:val="00EC05AD"/>
    <w:rsid w:val="00EC0625"/>
    <w:rsid w:val="00EC0651"/>
    <w:rsid w:val="00EC068C"/>
    <w:rsid w:val="00EC06CC"/>
    <w:rsid w:val="00EC06EE"/>
    <w:rsid w:val="00EC083A"/>
    <w:rsid w:val="00EC08C8"/>
    <w:rsid w:val="00EC0942"/>
    <w:rsid w:val="00EC099F"/>
    <w:rsid w:val="00EC0C0F"/>
    <w:rsid w:val="00EC0C60"/>
    <w:rsid w:val="00EC0C9B"/>
    <w:rsid w:val="00EC0D78"/>
    <w:rsid w:val="00EC0F2F"/>
    <w:rsid w:val="00EC11A5"/>
    <w:rsid w:val="00EC121C"/>
    <w:rsid w:val="00EC1245"/>
    <w:rsid w:val="00EC13E5"/>
    <w:rsid w:val="00EC1528"/>
    <w:rsid w:val="00EC161B"/>
    <w:rsid w:val="00EC165A"/>
    <w:rsid w:val="00EC1688"/>
    <w:rsid w:val="00EC168B"/>
    <w:rsid w:val="00EC1798"/>
    <w:rsid w:val="00EC197F"/>
    <w:rsid w:val="00EC198F"/>
    <w:rsid w:val="00EC19CB"/>
    <w:rsid w:val="00EC1A07"/>
    <w:rsid w:val="00EC1A3C"/>
    <w:rsid w:val="00EC1A3E"/>
    <w:rsid w:val="00EC1A4B"/>
    <w:rsid w:val="00EC1A6A"/>
    <w:rsid w:val="00EC1A89"/>
    <w:rsid w:val="00EC1A91"/>
    <w:rsid w:val="00EC1AF2"/>
    <w:rsid w:val="00EC1B6A"/>
    <w:rsid w:val="00EC1BBB"/>
    <w:rsid w:val="00EC1BDE"/>
    <w:rsid w:val="00EC1C07"/>
    <w:rsid w:val="00EC1D7C"/>
    <w:rsid w:val="00EC1DBD"/>
    <w:rsid w:val="00EC1E1B"/>
    <w:rsid w:val="00EC1E62"/>
    <w:rsid w:val="00EC1EB5"/>
    <w:rsid w:val="00EC2086"/>
    <w:rsid w:val="00EC20A7"/>
    <w:rsid w:val="00EC210A"/>
    <w:rsid w:val="00EC215D"/>
    <w:rsid w:val="00EC2167"/>
    <w:rsid w:val="00EC2177"/>
    <w:rsid w:val="00EC217D"/>
    <w:rsid w:val="00EC21A1"/>
    <w:rsid w:val="00EC22F8"/>
    <w:rsid w:val="00EC2373"/>
    <w:rsid w:val="00EC23E1"/>
    <w:rsid w:val="00EC2479"/>
    <w:rsid w:val="00EC2489"/>
    <w:rsid w:val="00EC2512"/>
    <w:rsid w:val="00EC2603"/>
    <w:rsid w:val="00EC262A"/>
    <w:rsid w:val="00EC2640"/>
    <w:rsid w:val="00EC2651"/>
    <w:rsid w:val="00EC265C"/>
    <w:rsid w:val="00EC26F1"/>
    <w:rsid w:val="00EC274A"/>
    <w:rsid w:val="00EC2799"/>
    <w:rsid w:val="00EC27E0"/>
    <w:rsid w:val="00EC293C"/>
    <w:rsid w:val="00EC2999"/>
    <w:rsid w:val="00EC29A1"/>
    <w:rsid w:val="00EC29D4"/>
    <w:rsid w:val="00EC2A1F"/>
    <w:rsid w:val="00EC2A94"/>
    <w:rsid w:val="00EC2C13"/>
    <w:rsid w:val="00EC2D49"/>
    <w:rsid w:val="00EC2D70"/>
    <w:rsid w:val="00EC2D85"/>
    <w:rsid w:val="00EC2E23"/>
    <w:rsid w:val="00EC2E40"/>
    <w:rsid w:val="00EC2E7D"/>
    <w:rsid w:val="00EC30E2"/>
    <w:rsid w:val="00EC30EC"/>
    <w:rsid w:val="00EC31B1"/>
    <w:rsid w:val="00EC3230"/>
    <w:rsid w:val="00EC32DB"/>
    <w:rsid w:val="00EC3328"/>
    <w:rsid w:val="00EC3368"/>
    <w:rsid w:val="00EC3376"/>
    <w:rsid w:val="00EC3389"/>
    <w:rsid w:val="00EC3391"/>
    <w:rsid w:val="00EC339D"/>
    <w:rsid w:val="00EC33D5"/>
    <w:rsid w:val="00EC33F0"/>
    <w:rsid w:val="00EC3513"/>
    <w:rsid w:val="00EC35EF"/>
    <w:rsid w:val="00EC379B"/>
    <w:rsid w:val="00EC3811"/>
    <w:rsid w:val="00EC3822"/>
    <w:rsid w:val="00EC3838"/>
    <w:rsid w:val="00EC3856"/>
    <w:rsid w:val="00EC38C1"/>
    <w:rsid w:val="00EC38D6"/>
    <w:rsid w:val="00EC38E6"/>
    <w:rsid w:val="00EC398E"/>
    <w:rsid w:val="00EC3A3E"/>
    <w:rsid w:val="00EC3A5B"/>
    <w:rsid w:val="00EC3A5E"/>
    <w:rsid w:val="00EC3B8E"/>
    <w:rsid w:val="00EC3C58"/>
    <w:rsid w:val="00EC3C61"/>
    <w:rsid w:val="00EC3D52"/>
    <w:rsid w:val="00EC3D69"/>
    <w:rsid w:val="00EC3DAB"/>
    <w:rsid w:val="00EC3DB2"/>
    <w:rsid w:val="00EC3E5C"/>
    <w:rsid w:val="00EC3E68"/>
    <w:rsid w:val="00EC3FA7"/>
    <w:rsid w:val="00EC401A"/>
    <w:rsid w:val="00EC4061"/>
    <w:rsid w:val="00EC422E"/>
    <w:rsid w:val="00EC423B"/>
    <w:rsid w:val="00EC42B1"/>
    <w:rsid w:val="00EC42E3"/>
    <w:rsid w:val="00EC4380"/>
    <w:rsid w:val="00EC4488"/>
    <w:rsid w:val="00EC44E4"/>
    <w:rsid w:val="00EC44F1"/>
    <w:rsid w:val="00EC45CD"/>
    <w:rsid w:val="00EC45D6"/>
    <w:rsid w:val="00EC4644"/>
    <w:rsid w:val="00EC4674"/>
    <w:rsid w:val="00EC46CF"/>
    <w:rsid w:val="00EC472E"/>
    <w:rsid w:val="00EC475F"/>
    <w:rsid w:val="00EC47D6"/>
    <w:rsid w:val="00EC47F8"/>
    <w:rsid w:val="00EC485F"/>
    <w:rsid w:val="00EC4865"/>
    <w:rsid w:val="00EC497B"/>
    <w:rsid w:val="00EC49A0"/>
    <w:rsid w:val="00EC49AC"/>
    <w:rsid w:val="00EC49F7"/>
    <w:rsid w:val="00EC49F9"/>
    <w:rsid w:val="00EC4A8A"/>
    <w:rsid w:val="00EC4AC6"/>
    <w:rsid w:val="00EC4BC8"/>
    <w:rsid w:val="00EC4BCB"/>
    <w:rsid w:val="00EC4BFA"/>
    <w:rsid w:val="00EC4C2A"/>
    <w:rsid w:val="00EC4C6C"/>
    <w:rsid w:val="00EC4D1B"/>
    <w:rsid w:val="00EC4DAD"/>
    <w:rsid w:val="00EC4DC3"/>
    <w:rsid w:val="00EC4EE1"/>
    <w:rsid w:val="00EC4F3A"/>
    <w:rsid w:val="00EC506A"/>
    <w:rsid w:val="00EC506F"/>
    <w:rsid w:val="00EC51E7"/>
    <w:rsid w:val="00EC52A2"/>
    <w:rsid w:val="00EC532C"/>
    <w:rsid w:val="00EC557A"/>
    <w:rsid w:val="00EC5697"/>
    <w:rsid w:val="00EC5771"/>
    <w:rsid w:val="00EC5775"/>
    <w:rsid w:val="00EC57B5"/>
    <w:rsid w:val="00EC57CB"/>
    <w:rsid w:val="00EC581D"/>
    <w:rsid w:val="00EC58EA"/>
    <w:rsid w:val="00EC5977"/>
    <w:rsid w:val="00EC59F7"/>
    <w:rsid w:val="00EC5B05"/>
    <w:rsid w:val="00EC5B17"/>
    <w:rsid w:val="00EC5B7B"/>
    <w:rsid w:val="00EC5B8F"/>
    <w:rsid w:val="00EC5C8F"/>
    <w:rsid w:val="00EC5CD4"/>
    <w:rsid w:val="00EC5CFC"/>
    <w:rsid w:val="00EC5E57"/>
    <w:rsid w:val="00EC5E71"/>
    <w:rsid w:val="00EC5F09"/>
    <w:rsid w:val="00EC5FF2"/>
    <w:rsid w:val="00EC60AA"/>
    <w:rsid w:val="00EC617C"/>
    <w:rsid w:val="00EC6351"/>
    <w:rsid w:val="00EC635C"/>
    <w:rsid w:val="00EC63B2"/>
    <w:rsid w:val="00EC642D"/>
    <w:rsid w:val="00EC6472"/>
    <w:rsid w:val="00EC64C1"/>
    <w:rsid w:val="00EC6579"/>
    <w:rsid w:val="00EC666B"/>
    <w:rsid w:val="00EC67B2"/>
    <w:rsid w:val="00EC684C"/>
    <w:rsid w:val="00EC687E"/>
    <w:rsid w:val="00EC6964"/>
    <w:rsid w:val="00EC69E7"/>
    <w:rsid w:val="00EC69FE"/>
    <w:rsid w:val="00EC6A15"/>
    <w:rsid w:val="00EC6B22"/>
    <w:rsid w:val="00EC6B94"/>
    <w:rsid w:val="00EC6B9D"/>
    <w:rsid w:val="00EC6C06"/>
    <w:rsid w:val="00EC6D0B"/>
    <w:rsid w:val="00EC6D7F"/>
    <w:rsid w:val="00EC6EFB"/>
    <w:rsid w:val="00EC6F55"/>
    <w:rsid w:val="00EC6FB2"/>
    <w:rsid w:val="00EC71E5"/>
    <w:rsid w:val="00EC7268"/>
    <w:rsid w:val="00EC736C"/>
    <w:rsid w:val="00EC73B2"/>
    <w:rsid w:val="00EC7437"/>
    <w:rsid w:val="00EC75E4"/>
    <w:rsid w:val="00EC75FC"/>
    <w:rsid w:val="00EC7691"/>
    <w:rsid w:val="00EC7698"/>
    <w:rsid w:val="00EC76C5"/>
    <w:rsid w:val="00EC77F7"/>
    <w:rsid w:val="00EC781B"/>
    <w:rsid w:val="00EC7838"/>
    <w:rsid w:val="00EC7874"/>
    <w:rsid w:val="00EC787A"/>
    <w:rsid w:val="00EC7952"/>
    <w:rsid w:val="00EC7A2F"/>
    <w:rsid w:val="00EC7A3B"/>
    <w:rsid w:val="00EC7A4A"/>
    <w:rsid w:val="00EC7ACE"/>
    <w:rsid w:val="00EC7B5A"/>
    <w:rsid w:val="00EC7B5D"/>
    <w:rsid w:val="00EC7B62"/>
    <w:rsid w:val="00EC7B7A"/>
    <w:rsid w:val="00EC7BBF"/>
    <w:rsid w:val="00EC7BFD"/>
    <w:rsid w:val="00EC7D1B"/>
    <w:rsid w:val="00EC7DD9"/>
    <w:rsid w:val="00EC7EE2"/>
    <w:rsid w:val="00EC7F8A"/>
    <w:rsid w:val="00EC7F95"/>
    <w:rsid w:val="00EC7FB6"/>
    <w:rsid w:val="00EC7FF3"/>
    <w:rsid w:val="00ED005B"/>
    <w:rsid w:val="00ED0066"/>
    <w:rsid w:val="00ED006D"/>
    <w:rsid w:val="00ED0158"/>
    <w:rsid w:val="00ED0162"/>
    <w:rsid w:val="00ED0404"/>
    <w:rsid w:val="00ED0519"/>
    <w:rsid w:val="00ED053F"/>
    <w:rsid w:val="00ED0576"/>
    <w:rsid w:val="00ED05B3"/>
    <w:rsid w:val="00ED0612"/>
    <w:rsid w:val="00ED062D"/>
    <w:rsid w:val="00ED066E"/>
    <w:rsid w:val="00ED0759"/>
    <w:rsid w:val="00ED079B"/>
    <w:rsid w:val="00ED09D2"/>
    <w:rsid w:val="00ED0A76"/>
    <w:rsid w:val="00ED0B0F"/>
    <w:rsid w:val="00ED0B25"/>
    <w:rsid w:val="00ED0B3C"/>
    <w:rsid w:val="00ED0B5E"/>
    <w:rsid w:val="00ED0BEF"/>
    <w:rsid w:val="00ED0CC8"/>
    <w:rsid w:val="00ED0DA6"/>
    <w:rsid w:val="00ED0DE7"/>
    <w:rsid w:val="00ED0E3E"/>
    <w:rsid w:val="00ED0FB5"/>
    <w:rsid w:val="00ED105D"/>
    <w:rsid w:val="00ED10BF"/>
    <w:rsid w:val="00ED10DF"/>
    <w:rsid w:val="00ED1112"/>
    <w:rsid w:val="00ED1298"/>
    <w:rsid w:val="00ED1316"/>
    <w:rsid w:val="00ED1345"/>
    <w:rsid w:val="00ED134D"/>
    <w:rsid w:val="00ED135F"/>
    <w:rsid w:val="00ED1373"/>
    <w:rsid w:val="00ED1380"/>
    <w:rsid w:val="00ED13BA"/>
    <w:rsid w:val="00ED13F1"/>
    <w:rsid w:val="00ED140A"/>
    <w:rsid w:val="00ED1449"/>
    <w:rsid w:val="00ED14F4"/>
    <w:rsid w:val="00ED155A"/>
    <w:rsid w:val="00ED15AF"/>
    <w:rsid w:val="00ED1610"/>
    <w:rsid w:val="00ED167D"/>
    <w:rsid w:val="00ED1687"/>
    <w:rsid w:val="00ED1711"/>
    <w:rsid w:val="00ED17A3"/>
    <w:rsid w:val="00ED1887"/>
    <w:rsid w:val="00ED18AB"/>
    <w:rsid w:val="00ED1977"/>
    <w:rsid w:val="00ED19D1"/>
    <w:rsid w:val="00ED1A29"/>
    <w:rsid w:val="00ED1A7C"/>
    <w:rsid w:val="00ED1B18"/>
    <w:rsid w:val="00ED1BEC"/>
    <w:rsid w:val="00ED1C11"/>
    <w:rsid w:val="00ED1D08"/>
    <w:rsid w:val="00ED1D22"/>
    <w:rsid w:val="00ED1D55"/>
    <w:rsid w:val="00ED1E34"/>
    <w:rsid w:val="00ED20C7"/>
    <w:rsid w:val="00ED2109"/>
    <w:rsid w:val="00ED2178"/>
    <w:rsid w:val="00ED21E1"/>
    <w:rsid w:val="00ED21E6"/>
    <w:rsid w:val="00ED2267"/>
    <w:rsid w:val="00ED2373"/>
    <w:rsid w:val="00ED2421"/>
    <w:rsid w:val="00ED2508"/>
    <w:rsid w:val="00ED2565"/>
    <w:rsid w:val="00ED25F0"/>
    <w:rsid w:val="00ED2645"/>
    <w:rsid w:val="00ED2703"/>
    <w:rsid w:val="00ED274F"/>
    <w:rsid w:val="00ED278C"/>
    <w:rsid w:val="00ED2853"/>
    <w:rsid w:val="00ED2873"/>
    <w:rsid w:val="00ED2952"/>
    <w:rsid w:val="00ED29E6"/>
    <w:rsid w:val="00ED2BB8"/>
    <w:rsid w:val="00ED2C05"/>
    <w:rsid w:val="00ED2C3B"/>
    <w:rsid w:val="00ED2C4B"/>
    <w:rsid w:val="00ED2C5E"/>
    <w:rsid w:val="00ED2CC2"/>
    <w:rsid w:val="00ED2DC9"/>
    <w:rsid w:val="00ED2F87"/>
    <w:rsid w:val="00ED3035"/>
    <w:rsid w:val="00ED3153"/>
    <w:rsid w:val="00ED3163"/>
    <w:rsid w:val="00ED31A4"/>
    <w:rsid w:val="00ED3237"/>
    <w:rsid w:val="00ED32A2"/>
    <w:rsid w:val="00ED3367"/>
    <w:rsid w:val="00ED3392"/>
    <w:rsid w:val="00ED33D1"/>
    <w:rsid w:val="00ED33D8"/>
    <w:rsid w:val="00ED3477"/>
    <w:rsid w:val="00ED3503"/>
    <w:rsid w:val="00ED361D"/>
    <w:rsid w:val="00ED376E"/>
    <w:rsid w:val="00ED37C2"/>
    <w:rsid w:val="00ED37E4"/>
    <w:rsid w:val="00ED3843"/>
    <w:rsid w:val="00ED3895"/>
    <w:rsid w:val="00ED391E"/>
    <w:rsid w:val="00ED396E"/>
    <w:rsid w:val="00ED39D6"/>
    <w:rsid w:val="00ED39E1"/>
    <w:rsid w:val="00ED3A5C"/>
    <w:rsid w:val="00ED3B3D"/>
    <w:rsid w:val="00ED3B46"/>
    <w:rsid w:val="00ED3D30"/>
    <w:rsid w:val="00ED3D3A"/>
    <w:rsid w:val="00ED3D46"/>
    <w:rsid w:val="00ED3DFB"/>
    <w:rsid w:val="00ED3E07"/>
    <w:rsid w:val="00ED3EF5"/>
    <w:rsid w:val="00ED410C"/>
    <w:rsid w:val="00ED4165"/>
    <w:rsid w:val="00ED4233"/>
    <w:rsid w:val="00ED4264"/>
    <w:rsid w:val="00ED4367"/>
    <w:rsid w:val="00ED440E"/>
    <w:rsid w:val="00ED44EF"/>
    <w:rsid w:val="00ED4553"/>
    <w:rsid w:val="00ED456E"/>
    <w:rsid w:val="00ED467F"/>
    <w:rsid w:val="00ED4784"/>
    <w:rsid w:val="00ED4799"/>
    <w:rsid w:val="00ED48B0"/>
    <w:rsid w:val="00ED48E0"/>
    <w:rsid w:val="00ED48F9"/>
    <w:rsid w:val="00ED492E"/>
    <w:rsid w:val="00ED4983"/>
    <w:rsid w:val="00ED49C1"/>
    <w:rsid w:val="00ED49C7"/>
    <w:rsid w:val="00ED49D8"/>
    <w:rsid w:val="00ED4AA2"/>
    <w:rsid w:val="00ED4B0F"/>
    <w:rsid w:val="00ED4B26"/>
    <w:rsid w:val="00ED4B70"/>
    <w:rsid w:val="00ED4DBD"/>
    <w:rsid w:val="00ED4FC1"/>
    <w:rsid w:val="00ED4FD8"/>
    <w:rsid w:val="00ED513C"/>
    <w:rsid w:val="00ED516D"/>
    <w:rsid w:val="00ED51B2"/>
    <w:rsid w:val="00ED5211"/>
    <w:rsid w:val="00ED5212"/>
    <w:rsid w:val="00ED5287"/>
    <w:rsid w:val="00ED537B"/>
    <w:rsid w:val="00ED53FC"/>
    <w:rsid w:val="00ED557D"/>
    <w:rsid w:val="00ED5623"/>
    <w:rsid w:val="00ED567E"/>
    <w:rsid w:val="00ED569F"/>
    <w:rsid w:val="00ED56E0"/>
    <w:rsid w:val="00ED5871"/>
    <w:rsid w:val="00ED59A0"/>
    <w:rsid w:val="00ED5A33"/>
    <w:rsid w:val="00ED5AE7"/>
    <w:rsid w:val="00ED5B1D"/>
    <w:rsid w:val="00ED5C0C"/>
    <w:rsid w:val="00ED5C52"/>
    <w:rsid w:val="00ED5CA1"/>
    <w:rsid w:val="00ED5D0C"/>
    <w:rsid w:val="00ED5D7C"/>
    <w:rsid w:val="00ED5DA5"/>
    <w:rsid w:val="00ED5DAB"/>
    <w:rsid w:val="00ED5DCE"/>
    <w:rsid w:val="00ED5DD4"/>
    <w:rsid w:val="00ED5E09"/>
    <w:rsid w:val="00ED5E81"/>
    <w:rsid w:val="00ED5E9E"/>
    <w:rsid w:val="00ED5F52"/>
    <w:rsid w:val="00ED5FBF"/>
    <w:rsid w:val="00ED604E"/>
    <w:rsid w:val="00ED60DF"/>
    <w:rsid w:val="00ED61B1"/>
    <w:rsid w:val="00ED61C2"/>
    <w:rsid w:val="00ED62FA"/>
    <w:rsid w:val="00ED633C"/>
    <w:rsid w:val="00ED643C"/>
    <w:rsid w:val="00ED646D"/>
    <w:rsid w:val="00ED6518"/>
    <w:rsid w:val="00ED669F"/>
    <w:rsid w:val="00ED6708"/>
    <w:rsid w:val="00ED6732"/>
    <w:rsid w:val="00ED673E"/>
    <w:rsid w:val="00ED675B"/>
    <w:rsid w:val="00ED676B"/>
    <w:rsid w:val="00ED6806"/>
    <w:rsid w:val="00ED6951"/>
    <w:rsid w:val="00ED698A"/>
    <w:rsid w:val="00ED6A6C"/>
    <w:rsid w:val="00ED6AE0"/>
    <w:rsid w:val="00ED6BF3"/>
    <w:rsid w:val="00ED6C02"/>
    <w:rsid w:val="00ED6C54"/>
    <w:rsid w:val="00ED6C96"/>
    <w:rsid w:val="00ED6EE8"/>
    <w:rsid w:val="00ED6F1E"/>
    <w:rsid w:val="00ED710F"/>
    <w:rsid w:val="00ED7184"/>
    <w:rsid w:val="00ED7231"/>
    <w:rsid w:val="00ED7375"/>
    <w:rsid w:val="00ED74E5"/>
    <w:rsid w:val="00ED756D"/>
    <w:rsid w:val="00ED759D"/>
    <w:rsid w:val="00ED76B8"/>
    <w:rsid w:val="00ED76C9"/>
    <w:rsid w:val="00ED7723"/>
    <w:rsid w:val="00ED7789"/>
    <w:rsid w:val="00ED77D9"/>
    <w:rsid w:val="00ED7840"/>
    <w:rsid w:val="00ED7955"/>
    <w:rsid w:val="00ED798E"/>
    <w:rsid w:val="00ED79E7"/>
    <w:rsid w:val="00ED7AB7"/>
    <w:rsid w:val="00ED7ADE"/>
    <w:rsid w:val="00ED7C98"/>
    <w:rsid w:val="00ED7D2D"/>
    <w:rsid w:val="00ED7DDE"/>
    <w:rsid w:val="00ED7E69"/>
    <w:rsid w:val="00ED7E7F"/>
    <w:rsid w:val="00ED7F84"/>
    <w:rsid w:val="00ED7FD8"/>
    <w:rsid w:val="00EE0012"/>
    <w:rsid w:val="00EE0024"/>
    <w:rsid w:val="00EE003F"/>
    <w:rsid w:val="00EE004C"/>
    <w:rsid w:val="00EE00C6"/>
    <w:rsid w:val="00EE0174"/>
    <w:rsid w:val="00EE018D"/>
    <w:rsid w:val="00EE0283"/>
    <w:rsid w:val="00EE02A6"/>
    <w:rsid w:val="00EE02B9"/>
    <w:rsid w:val="00EE02C3"/>
    <w:rsid w:val="00EE03B2"/>
    <w:rsid w:val="00EE0483"/>
    <w:rsid w:val="00EE04A0"/>
    <w:rsid w:val="00EE0572"/>
    <w:rsid w:val="00EE063F"/>
    <w:rsid w:val="00EE06B2"/>
    <w:rsid w:val="00EE06F5"/>
    <w:rsid w:val="00EE07CE"/>
    <w:rsid w:val="00EE0921"/>
    <w:rsid w:val="00EE0A33"/>
    <w:rsid w:val="00EE0A71"/>
    <w:rsid w:val="00EE0B3A"/>
    <w:rsid w:val="00EE0CC1"/>
    <w:rsid w:val="00EE0D98"/>
    <w:rsid w:val="00EE0EFF"/>
    <w:rsid w:val="00EE0F5A"/>
    <w:rsid w:val="00EE0F68"/>
    <w:rsid w:val="00EE0FF4"/>
    <w:rsid w:val="00EE1089"/>
    <w:rsid w:val="00EE10D2"/>
    <w:rsid w:val="00EE1145"/>
    <w:rsid w:val="00EE11C6"/>
    <w:rsid w:val="00EE11C7"/>
    <w:rsid w:val="00EE123F"/>
    <w:rsid w:val="00EE1289"/>
    <w:rsid w:val="00EE1347"/>
    <w:rsid w:val="00EE13D7"/>
    <w:rsid w:val="00EE13E6"/>
    <w:rsid w:val="00EE1448"/>
    <w:rsid w:val="00EE14E3"/>
    <w:rsid w:val="00EE15FC"/>
    <w:rsid w:val="00EE1609"/>
    <w:rsid w:val="00EE1773"/>
    <w:rsid w:val="00EE17E0"/>
    <w:rsid w:val="00EE18C2"/>
    <w:rsid w:val="00EE18D9"/>
    <w:rsid w:val="00EE1978"/>
    <w:rsid w:val="00EE19A4"/>
    <w:rsid w:val="00EE19EE"/>
    <w:rsid w:val="00EE1A3A"/>
    <w:rsid w:val="00EE1BAD"/>
    <w:rsid w:val="00EE1BFD"/>
    <w:rsid w:val="00EE1DBF"/>
    <w:rsid w:val="00EE1E2F"/>
    <w:rsid w:val="00EE1EB1"/>
    <w:rsid w:val="00EE1F18"/>
    <w:rsid w:val="00EE1FFC"/>
    <w:rsid w:val="00EE2105"/>
    <w:rsid w:val="00EE217D"/>
    <w:rsid w:val="00EE2198"/>
    <w:rsid w:val="00EE21CF"/>
    <w:rsid w:val="00EE2268"/>
    <w:rsid w:val="00EE22B6"/>
    <w:rsid w:val="00EE22DA"/>
    <w:rsid w:val="00EE22F7"/>
    <w:rsid w:val="00EE235B"/>
    <w:rsid w:val="00EE246C"/>
    <w:rsid w:val="00EE2544"/>
    <w:rsid w:val="00EE25DF"/>
    <w:rsid w:val="00EE261C"/>
    <w:rsid w:val="00EE2804"/>
    <w:rsid w:val="00EE284A"/>
    <w:rsid w:val="00EE28B5"/>
    <w:rsid w:val="00EE2941"/>
    <w:rsid w:val="00EE2A4B"/>
    <w:rsid w:val="00EE2A6C"/>
    <w:rsid w:val="00EE2A7F"/>
    <w:rsid w:val="00EE2AA2"/>
    <w:rsid w:val="00EE2AFE"/>
    <w:rsid w:val="00EE2B3F"/>
    <w:rsid w:val="00EE2C17"/>
    <w:rsid w:val="00EE2D11"/>
    <w:rsid w:val="00EE2E0F"/>
    <w:rsid w:val="00EE2E18"/>
    <w:rsid w:val="00EE2E29"/>
    <w:rsid w:val="00EE2EB3"/>
    <w:rsid w:val="00EE2EC7"/>
    <w:rsid w:val="00EE2F3D"/>
    <w:rsid w:val="00EE2FAB"/>
    <w:rsid w:val="00EE2FCC"/>
    <w:rsid w:val="00EE3013"/>
    <w:rsid w:val="00EE301D"/>
    <w:rsid w:val="00EE3023"/>
    <w:rsid w:val="00EE3289"/>
    <w:rsid w:val="00EE328B"/>
    <w:rsid w:val="00EE32DD"/>
    <w:rsid w:val="00EE32F2"/>
    <w:rsid w:val="00EE3363"/>
    <w:rsid w:val="00EE337F"/>
    <w:rsid w:val="00EE3501"/>
    <w:rsid w:val="00EE3544"/>
    <w:rsid w:val="00EE3585"/>
    <w:rsid w:val="00EE3665"/>
    <w:rsid w:val="00EE36D6"/>
    <w:rsid w:val="00EE3810"/>
    <w:rsid w:val="00EE3930"/>
    <w:rsid w:val="00EE3942"/>
    <w:rsid w:val="00EE3962"/>
    <w:rsid w:val="00EE39D7"/>
    <w:rsid w:val="00EE3A5A"/>
    <w:rsid w:val="00EE3AD7"/>
    <w:rsid w:val="00EE3B2D"/>
    <w:rsid w:val="00EE3B72"/>
    <w:rsid w:val="00EE3B8B"/>
    <w:rsid w:val="00EE3BB7"/>
    <w:rsid w:val="00EE3C0A"/>
    <w:rsid w:val="00EE3D1E"/>
    <w:rsid w:val="00EE3D5A"/>
    <w:rsid w:val="00EE3D7B"/>
    <w:rsid w:val="00EE4013"/>
    <w:rsid w:val="00EE431B"/>
    <w:rsid w:val="00EE431F"/>
    <w:rsid w:val="00EE438E"/>
    <w:rsid w:val="00EE43EA"/>
    <w:rsid w:val="00EE4403"/>
    <w:rsid w:val="00EE4471"/>
    <w:rsid w:val="00EE44E0"/>
    <w:rsid w:val="00EE450E"/>
    <w:rsid w:val="00EE452B"/>
    <w:rsid w:val="00EE46C7"/>
    <w:rsid w:val="00EE46DE"/>
    <w:rsid w:val="00EE47FB"/>
    <w:rsid w:val="00EE4846"/>
    <w:rsid w:val="00EE4868"/>
    <w:rsid w:val="00EE49CA"/>
    <w:rsid w:val="00EE4A2F"/>
    <w:rsid w:val="00EE4AF5"/>
    <w:rsid w:val="00EE4B14"/>
    <w:rsid w:val="00EE4CC7"/>
    <w:rsid w:val="00EE4D8E"/>
    <w:rsid w:val="00EE4DA2"/>
    <w:rsid w:val="00EE4E47"/>
    <w:rsid w:val="00EE505E"/>
    <w:rsid w:val="00EE5071"/>
    <w:rsid w:val="00EE511A"/>
    <w:rsid w:val="00EE5181"/>
    <w:rsid w:val="00EE52B6"/>
    <w:rsid w:val="00EE54CB"/>
    <w:rsid w:val="00EE5528"/>
    <w:rsid w:val="00EE558C"/>
    <w:rsid w:val="00EE55C1"/>
    <w:rsid w:val="00EE565A"/>
    <w:rsid w:val="00EE5675"/>
    <w:rsid w:val="00EE571C"/>
    <w:rsid w:val="00EE5735"/>
    <w:rsid w:val="00EE5761"/>
    <w:rsid w:val="00EE5781"/>
    <w:rsid w:val="00EE5819"/>
    <w:rsid w:val="00EE5982"/>
    <w:rsid w:val="00EE5A03"/>
    <w:rsid w:val="00EE5A57"/>
    <w:rsid w:val="00EE5A7B"/>
    <w:rsid w:val="00EE5B0C"/>
    <w:rsid w:val="00EE5B44"/>
    <w:rsid w:val="00EE5CE4"/>
    <w:rsid w:val="00EE5D55"/>
    <w:rsid w:val="00EE5DAD"/>
    <w:rsid w:val="00EE5DCD"/>
    <w:rsid w:val="00EE5E1B"/>
    <w:rsid w:val="00EE5E79"/>
    <w:rsid w:val="00EE5E95"/>
    <w:rsid w:val="00EE5E96"/>
    <w:rsid w:val="00EE5F19"/>
    <w:rsid w:val="00EE5FA9"/>
    <w:rsid w:val="00EE6163"/>
    <w:rsid w:val="00EE61CD"/>
    <w:rsid w:val="00EE636A"/>
    <w:rsid w:val="00EE63F1"/>
    <w:rsid w:val="00EE6448"/>
    <w:rsid w:val="00EE64FC"/>
    <w:rsid w:val="00EE65CE"/>
    <w:rsid w:val="00EE666C"/>
    <w:rsid w:val="00EE66E4"/>
    <w:rsid w:val="00EE67CF"/>
    <w:rsid w:val="00EE680C"/>
    <w:rsid w:val="00EE6929"/>
    <w:rsid w:val="00EE6B07"/>
    <w:rsid w:val="00EE6BA2"/>
    <w:rsid w:val="00EE6BE5"/>
    <w:rsid w:val="00EE6C03"/>
    <w:rsid w:val="00EE6C75"/>
    <w:rsid w:val="00EE6D0C"/>
    <w:rsid w:val="00EE6D8B"/>
    <w:rsid w:val="00EE6D8D"/>
    <w:rsid w:val="00EE6E7E"/>
    <w:rsid w:val="00EE6E96"/>
    <w:rsid w:val="00EE6F14"/>
    <w:rsid w:val="00EE7030"/>
    <w:rsid w:val="00EE7087"/>
    <w:rsid w:val="00EE70B7"/>
    <w:rsid w:val="00EE712C"/>
    <w:rsid w:val="00EE7134"/>
    <w:rsid w:val="00EE714C"/>
    <w:rsid w:val="00EE717E"/>
    <w:rsid w:val="00EE7260"/>
    <w:rsid w:val="00EE734E"/>
    <w:rsid w:val="00EE7387"/>
    <w:rsid w:val="00EE73A4"/>
    <w:rsid w:val="00EE745E"/>
    <w:rsid w:val="00EE7509"/>
    <w:rsid w:val="00EE755F"/>
    <w:rsid w:val="00EE757C"/>
    <w:rsid w:val="00EE7653"/>
    <w:rsid w:val="00EE7697"/>
    <w:rsid w:val="00EE76C6"/>
    <w:rsid w:val="00EE780B"/>
    <w:rsid w:val="00EE781B"/>
    <w:rsid w:val="00EE784D"/>
    <w:rsid w:val="00EE785F"/>
    <w:rsid w:val="00EE7976"/>
    <w:rsid w:val="00EE7A30"/>
    <w:rsid w:val="00EE7A6B"/>
    <w:rsid w:val="00EE7ABA"/>
    <w:rsid w:val="00EE7B68"/>
    <w:rsid w:val="00EE7BE4"/>
    <w:rsid w:val="00EE7C0B"/>
    <w:rsid w:val="00EE7CFF"/>
    <w:rsid w:val="00EE7D0E"/>
    <w:rsid w:val="00EE7E31"/>
    <w:rsid w:val="00EE7EC7"/>
    <w:rsid w:val="00EE7F16"/>
    <w:rsid w:val="00EE7F25"/>
    <w:rsid w:val="00EE7F8B"/>
    <w:rsid w:val="00EE7F9B"/>
    <w:rsid w:val="00EE7FFB"/>
    <w:rsid w:val="00EF0051"/>
    <w:rsid w:val="00EF00A9"/>
    <w:rsid w:val="00EF00FB"/>
    <w:rsid w:val="00EF015D"/>
    <w:rsid w:val="00EF0182"/>
    <w:rsid w:val="00EF021F"/>
    <w:rsid w:val="00EF02EB"/>
    <w:rsid w:val="00EF033F"/>
    <w:rsid w:val="00EF0399"/>
    <w:rsid w:val="00EF03D6"/>
    <w:rsid w:val="00EF03E7"/>
    <w:rsid w:val="00EF04C2"/>
    <w:rsid w:val="00EF0546"/>
    <w:rsid w:val="00EF0581"/>
    <w:rsid w:val="00EF0633"/>
    <w:rsid w:val="00EF06B8"/>
    <w:rsid w:val="00EF0717"/>
    <w:rsid w:val="00EF0754"/>
    <w:rsid w:val="00EF07EB"/>
    <w:rsid w:val="00EF07F9"/>
    <w:rsid w:val="00EF0830"/>
    <w:rsid w:val="00EF0853"/>
    <w:rsid w:val="00EF0996"/>
    <w:rsid w:val="00EF09BC"/>
    <w:rsid w:val="00EF0A0D"/>
    <w:rsid w:val="00EF0AA6"/>
    <w:rsid w:val="00EF0ACC"/>
    <w:rsid w:val="00EF0AE9"/>
    <w:rsid w:val="00EF0B1F"/>
    <w:rsid w:val="00EF0B5E"/>
    <w:rsid w:val="00EF0B6C"/>
    <w:rsid w:val="00EF0B89"/>
    <w:rsid w:val="00EF0BED"/>
    <w:rsid w:val="00EF0C34"/>
    <w:rsid w:val="00EF0D5B"/>
    <w:rsid w:val="00EF0D97"/>
    <w:rsid w:val="00EF0DB0"/>
    <w:rsid w:val="00EF0DC7"/>
    <w:rsid w:val="00EF0DFC"/>
    <w:rsid w:val="00EF0E67"/>
    <w:rsid w:val="00EF0EEC"/>
    <w:rsid w:val="00EF0F35"/>
    <w:rsid w:val="00EF0F76"/>
    <w:rsid w:val="00EF0FAE"/>
    <w:rsid w:val="00EF103A"/>
    <w:rsid w:val="00EF120E"/>
    <w:rsid w:val="00EF1336"/>
    <w:rsid w:val="00EF1400"/>
    <w:rsid w:val="00EF141D"/>
    <w:rsid w:val="00EF149B"/>
    <w:rsid w:val="00EF1667"/>
    <w:rsid w:val="00EF16CC"/>
    <w:rsid w:val="00EF176A"/>
    <w:rsid w:val="00EF191F"/>
    <w:rsid w:val="00EF19E0"/>
    <w:rsid w:val="00EF19EF"/>
    <w:rsid w:val="00EF1A4A"/>
    <w:rsid w:val="00EF1BD5"/>
    <w:rsid w:val="00EF1D07"/>
    <w:rsid w:val="00EF1D7D"/>
    <w:rsid w:val="00EF1E09"/>
    <w:rsid w:val="00EF1E10"/>
    <w:rsid w:val="00EF1E26"/>
    <w:rsid w:val="00EF1E4E"/>
    <w:rsid w:val="00EF1E87"/>
    <w:rsid w:val="00EF1EBA"/>
    <w:rsid w:val="00EF1F12"/>
    <w:rsid w:val="00EF1F3E"/>
    <w:rsid w:val="00EF2142"/>
    <w:rsid w:val="00EF2218"/>
    <w:rsid w:val="00EF2232"/>
    <w:rsid w:val="00EF2253"/>
    <w:rsid w:val="00EF225C"/>
    <w:rsid w:val="00EF2449"/>
    <w:rsid w:val="00EF246F"/>
    <w:rsid w:val="00EF2492"/>
    <w:rsid w:val="00EF249D"/>
    <w:rsid w:val="00EF24A0"/>
    <w:rsid w:val="00EF24C8"/>
    <w:rsid w:val="00EF2658"/>
    <w:rsid w:val="00EF267E"/>
    <w:rsid w:val="00EF26B1"/>
    <w:rsid w:val="00EF26DD"/>
    <w:rsid w:val="00EF276E"/>
    <w:rsid w:val="00EF2792"/>
    <w:rsid w:val="00EF27F3"/>
    <w:rsid w:val="00EF2815"/>
    <w:rsid w:val="00EF28DF"/>
    <w:rsid w:val="00EF2AA8"/>
    <w:rsid w:val="00EF2B6D"/>
    <w:rsid w:val="00EF2B90"/>
    <w:rsid w:val="00EF2BC0"/>
    <w:rsid w:val="00EF2E50"/>
    <w:rsid w:val="00EF2E87"/>
    <w:rsid w:val="00EF2E8A"/>
    <w:rsid w:val="00EF2ECB"/>
    <w:rsid w:val="00EF2FA8"/>
    <w:rsid w:val="00EF31DA"/>
    <w:rsid w:val="00EF31F9"/>
    <w:rsid w:val="00EF3265"/>
    <w:rsid w:val="00EF33F5"/>
    <w:rsid w:val="00EF343F"/>
    <w:rsid w:val="00EF34B2"/>
    <w:rsid w:val="00EF354F"/>
    <w:rsid w:val="00EF3720"/>
    <w:rsid w:val="00EF3830"/>
    <w:rsid w:val="00EF385E"/>
    <w:rsid w:val="00EF399B"/>
    <w:rsid w:val="00EF39FD"/>
    <w:rsid w:val="00EF3BAA"/>
    <w:rsid w:val="00EF3BAB"/>
    <w:rsid w:val="00EF3BD7"/>
    <w:rsid w:val="00EF3BFC"/>
    <w:rsid w:val="00EF3C36"/>
    <w:rsid w:val="00EF3C80"/>
    <w:rsid w:val="00EF3D79"/>
    <w:rsid w:val="00EF3E68"/>
    <w:rsid w:val="00EF3E6A"/>
    <w:rsid w:val="00EF3ED3"/>
    <w:rsid w:val="00EF3F23"/>
    <w:rsid w:val="00EF3F2B"/>
    <w:rsid w:val="00EF3F57"/>
    <w:rsid w:val="00EF3F59"/>
    <w:rsid w:val="00EF3FE7"/>
    <w:rsid w:val="00EF4042"/>
    <w:rsid w:val="00EF427D"/>
    <w:rsid w:val="00EF430E"/>
    <w:rsid w:val="00EF439D"/>
    <w:rsid w:val="00EF4425"/>
    <w:rsid w:val="00EF4537"/>
    <w:rsid w:val="00EF45F9"/>
    <w:rsid w:val="00EF4663"/>
    <w:rsid w:val="00EF46B3"/>
    <w:rsid w:val="00EF48B4"/>
    <w:rsid w:val="00EF48BA"/>
    <w:rsid w:val="00EF48C5"/>
    <w:rsid w:val="00EF48D0"/>
    <w:rsid w:val="00EF48EE"/>
    <w:rsid w:val="00EF4949"/>
    <w:rsid w:val="00EF495C"/>
    <w:rsid w:val="00EF4960"/>
    <w:rsid w:val="00EF4A38"/>
    <w:rsid w:val="00EF4A73"/>
    <w:rsid w:val="00EF4A8F"/>
    <w:rsid w:val="00EF4ACE"/>
    <w:rsid w:val="00EF4AD2"/>
    <w:rsid w:val="00EF4C30"/>
    <w:rsid w:val="00EF4D76"/>
    <w:rsid w:val="00EF4DEB"/>
    <w:rsid w:val="00EF4E81"/>
    <w:rsid w:val="00EF4E96"/>
    <w:rsid w:val="00EF4ED3"/>
    <w:rsid w:val="00EF4FCA"/>
    <w:rsid w:val="00EF4FE9"/>
    <w:rsid w:val="00EF5013"/>
    <w:rsid w:val="00EF5080"/>
    <w:rsid w:val="00EF50A6"/>
    <w:rsid w:val="00EF50BF"/>
    <w:rsid w:val="00EF5194"/>
    <w:rsid w:val="00EF51EF"/>
    <w:rsid w:val="00EF52D9"/>
    <w:rsid w:val="00EF533D"/>
    <w:rsid w:val="00EF5395"/>
    <w:rsid w:val="00EF53EA"/>
    <w:rsid w:val="00EF5484"/>
    <w:rsid w:val="00EF54F5"/>
    <w:rsid w:val="00EF54F7"/>
    <w:rsid w:val="00EF552B"/>
    <w:rsid w:val="00EF5533"/>
    <w:rsid w:val="00EF5598"/>
    <w:rsid w:val="00EF55CA"/>
    <w:rsid w:val="00EF56A8"/>
    <w:rsid w:val="00EF56E1"/>
    <w:rsid w:val="00EF57CA"/>
    <w:rsid w:val="00EF5811"/>
    <w:rsid w:val="00EF5883"/>
    <w:rsid w:val="00EF5918"/>
    <w:rsid w:val="00EF59CE"/>
    <w:rsid w:val="00EF5A64"/>
    <w:rsid w:val="00EF5AD8"/>
    <w:rsid w:val="00EF5AE2"/>
    <w:rsid w:val="00EF5B40"/>
    <w:rsid w:val="00EF5B45"/>
    <w:rsid w:val="00EF5BE3"/>
    <w:rsid w:val="00EF5CD1"/>
    <w:rsid w:val="00EF5D2B"/>
    <w:rsid w:val="00EF5D42"/>
    <w:rsid w:val="00EF5D73"/>
    <w:rsid w:val="00EF5D7E"/>
    <w:rsid w:val="00EF5DED"/>
    <w:rsid w:val="00EF5E2C"/>
    <w:rsid w:val="00EF5EBD"/>
    <w:rsid w:val="00EF5F83"/>
    <w:rsid w:val="00EF5FA4"/>
    <w:rsid w:val="00EF6034"/>
    <w:rsid w:val="00EF6084"/>
    <w:rsid w:val="00EF610A"/>
    <w:rsid w:val="00EF616A"/>
    <w:rsid w:val="00EF622E"/>
    <w:rsid w:val="00EF628E"/>
    <w:rsid w:val="00EF62BB"/>
    <w:rsid w:val="00EF631C"/>
    <w:rsid w:val="00EF633F"/>
    <w:rsid w:val="00EF644E"/>
    <w:rsid w:val="00EF6593"/>
    <w:rsid w:val="00EF65CD"/>
    <w:rsid w:val="00EF660F"/>
    <w:rsid w:val="00EF6645"/>
    <w:rsid w:val="00EF6691"/>
    <w:rsid w:val="00EF66F7"/>
    <w:rsid w:val="00EF6764"/>
    <w:rsid w:val="00EF67C5"/>
    <w:rsid w:val="00EF67E4"/>
    <w:rsid w:val="00EF687D"/>
    <w:rsid w:val="00EF687E"/>
    <w:rsid w:val="00EF68E4"/>
    <w:rsid w:val="00EF6900"/>
    <w:rsid w:val="00EF6971"/>
    <w:rsid w:val="00EF69A7"/>
    <w:rsid w:val="00EF6A14"/>
    <w:rsid w:val="00EF6C20"/>
    <w:rsid w:val="00EF6D28"/>
    <w:rsid w:val="00EF6DBB"/>
    <w:rsid w:val="00EF6EB5"/>
    <w:rsid w:val="00EF702D"/>
    <w:rsid w:val="00EF71A9"/>
    <w:rsid w:val="00EF723C"/>
    <w:rsid w:val="00EF7319"/>
    <w:rsid w:val="00EF7345"/>
    <w:rsid w:val="00EF737A"/>
    <w:rsid w:val="00EF73B6"/>
    <w:rsid w:val="00EF73FB"/>
    <w:rsid w:val="00EF7423"/>
    <w:rsid w:val="00EF7488"/>
    <w:rsid w:val="00EF75BF"/>
    <w:rsid w:val="00EF75EC"/>
    <w:rsid w:val="00EF760C"/>
    <w:rsid w:val="00EF7615"/>
    <w:rsid w:val="00EF767C"/>
    <w:rsid w:val="00EF76BF"/>
    <w:rsid w:val="00EF773F"/>
    <w:rsid w:val="00EF77BA"/>
    <w:rsid w:val="00EF7810"/>
    <w:rsid w:val="00EF785B"/>
    <w:rsid w:val="00EF78ED"/>
    <w:rsid w:val="00EF793B"/>
    <w:rsid w:val="00EF7969"/>
    <w:rsid w:val="00EF79C3"/>
    <w:rsid w:val="00EF79F8"/>
    <w:rsid w:val="00EF7A39"/>
    <w:rsid w:val="00EF7AD2"/>
    <w:rsid w:val="00EF7B03"/>
    <w:rsid w:val="00EF7BBE"/>
    <w:rsid w:val="00EF7C6E"/>
    <w:rsid w:val="00EF7C80"/>
    <w:rsid w:val="00EF7D2C"/>
    <w:rsid w:val="00EF7DAA"/>
    <w:rsid w:val="00EF7EA3"/>
    <w:rsid w:val="00EF7F00"/>
    <w:rsid w:val="00EF7F7D"/>
    <w:rsid w:val="00EF7FBD"/>
    <w:rsid w:val="00EF7FC1"/>
    <w:rsid w:val="00EF96A2"/>
    <w:rsid w:val="00F002CE"/>
    <w:rsid w:val="00F0032C"/>
    <w:rsid w:val="00F00337"/>
    <w:rsid w:val="00F0034D"/>
    <w:rsid w:val="00F00392"/>
    <w:rsid w:val="00F0043A"/>
    <w:rsid w:val="00F00445"/>
    <w:rsid w:val="00F00447"/>
    <w:rsid w:val="00F00462"/>
    <w:rsid w:val="00F0046C"/>
    <w:rsid w:val="00F00523"/>
    <w:rsid w:val="00F00593"/>
    <w:rsid w:val="00F00656"/>
    <w:rsid w:val="00F0073A"/>
    <w:rsid w:val="00F008CA"/>
    <w:rsid w:val="00F00907"/>
    <w:rsid w:val="00F00A41"/>
    <w:rsid w:val="00F00A9A"/>
    <w:rsid w:val="00F00AD5"/>
    <w:rsid w:val="00F00ADE"/>
    <w:rsid w:val="00F00BC7"/>
    <w:rsid w:val="00F00BEB"/>
    <w:rsid w:val="00F00C8D"/>
    <w:rsid w:val="00F00CEC"/>
    <w:rsid w:val="00F00CFC"/>
    <w:rsid w:val="00F00D10"/>
    <w:rsid w:val="00F00D87"/>
    <w:rsid w:val="00F00DE1"/>
    <w:rsid w:val="00F00E2C"/>
    <w:rsid w:val="00F00F1F"/>
    <w:rsid w:val="00F01017"/>
    <w:rsid w:val="00F01061"/>
    <w:rsid w:val="00F011ED"/>
    <w:rsid w:val="00F011F5"/>
    <w:rsid w:val="00F0120B"/>
    <w:rsid w:val="00F0121F"/>
    <w:rsid w:val="00F0125F"/>
    <w:rsid w:val="00F0132C"/>
    <w:rsid w:val="00F013D1"/>
    <w:rsid w:val="00F014B5"/>
    <w:rsid w:val="00F014D8"/>
    <w:rsid w:val="00F015C3"/>
    <w:rsid w:val="00F01629"/>
    <w:rsid w:val="00F01654"/>
    <w:rsid w:val="00F01698"/>
    <w:rsid w:val="00F01702"/>
    <w:rsid w:val="00F0174A"/>
    <w:rsid w:val="00F01809"/>
    <w:rsid w:val="00F0185B"/>
    <w:rsid w:val="00F01877"/>
    <w:rsid w:val="00F018E5"/>
    <w:rsid w:val="00F01908"/>
    <w:rsid w:val="00F0199E"/>
    <w:rsid w:val="00F01A27"/>
    <w:rsid w:val="00F01B12"/>
    <w:rsid w:val="00F01B5D"/>
    <w:rsid w:val="00F01B78"/>
    <w:rsid w:val="00F01D27"/>
    <w:rsid w:val="00F01D32"/>
    <w:rsid w:val="00F01D9C"/>
    <w:rsid w:val="00F01F58"/>
    <w:rsid w:val="00F02022"/>
    <w:rsid w:val="00F02089"/>
    <w:rsid w:val="00F020A5"/>
    <w:rsid w:val="00F02132"/>
    <w:rsid w:val="00F021E4"/>
    <w:rsid w:val="00F02230"/>
    <w:rsid w:val="00F022A2"/>
    <w:rsid w:val="00F02330"/>
    <w:rsid w:val="00F0233B"/>
    <w:rsid w:val="00F023C9"/>
    <w:rsid w:val="00F02449"/>
    <w:rsid w:val="00F0244F"/>
    <w:rsid w:val="00F024F3"/>
    <w:rsid w:val="00F02507"/>
    <w:rsid w:val="00F025B3"/>
    <w:rsid w:val="00F026DD"/>
    <w:rsid w:val="00F02AAC"/>
    <w:rsid w:val="00F02B91"/>
    <w:rsid w:val="00F02D10"/>
    <w:rsid w:val="00F02E9A"/>
    <w:rsid w:val="00F02F12"/>
    <w:rsid w:val="00F02F5F"/>
    <w:rsid w:val="00F02F85"/>
    <w:rsid w:val="00F0303C"/>
    <w:rsid w:val="00F03110"/>
    <w:rsid w:val="00F031B8"/>
    <w:rsid w:val="00F031C9"/>
    <w:rsid w:val="00F031F5"/>
    <w:rsid w:val="00F03281"/>
    <w:rsid w:val="00F03386"/>
    <w:rsid w:val="00F034C7"/>
    <w:rsid w:val="00F03580"/>
    <w:rsid w:val="00F035B1"/>
    <w:rsid w:val="00F035D9"/>
    <w:rsid w:val="00F03633"/>
    <w:rsid w:val="00F036C4"/>
    <w:rsid w:val="00F036DD"/>
    <w:rsid w:val="00F036EC"/>
    <w:rsid w:val="00F037AA"/>
    <w:rsid w:val="00F03811"/>
    <w:rsid w:val="00F0383A"/>
    <w:rsid w:val="00F038D7"/>
    <w:rsid w:val="00F038D9"/>
    <w:rsid w:val="00F03938"/>
    <w:rsid w:val="00F0393A"/>
    <w:rsid w:val="00F039DE"/>
    <w:rsid w:val="00F03AC3"/>
    <w:rsid w:val="00F03B9E"/>
    <w:rsid w:val="00F03BE4"/>
    <w:rsid w:val="00F03C9B"/>
    <w:rsid w:val="00F03D12"/>
    <w:rsid w:val="00F03D88"/>
    <w:rsid w:val="00F03DB9"/>
    <w:rsid w:val="00F03E1A"/>
    <w:rsid w:val="00F03E3F"/>
    <w:rsid w:val="00F03FED"/>
    <w:rsid w:val="00F041C4"/>
    <w:rsid w:val="00F0421F"/>
    <w:rsid w:val="00F04229"/>
    <w:rsid w:val="00F0436F"/>
    <w:rsid w:val="00F043F6"/>
    <w:rsid w:val="00F04488"/>
    <w:rsid w:val="00F04538"/>
    <w:rsid w:val="00F04590"/>
    <w:rsid w:val="00F0459B"/>
    <w:rsid w:val="00F0474F"/>
    <w:rsid w:val="00F04753"/>
    <w:rsid w:val="00F04781"/>
    <w:rsid w:val="00F047F6"/>
    <w:rsid w:val="00F0484F"/>
    <w:rsid w:val="00F048F3"/>
    <w:rsid w:val="00F049D3"/>
    <w:rsid w:val="00F04B46"/>
    <w:rsid w:val="00F04BC2"/>
    <w:rsid w:val="00F04C83"/>
    <w:rsid w:val="00F04CC0"/>
    <w:rsid w:val="00F04E8F"/>
    <w:rsid w:val="00F04EA7"/>
    <w:rsid w:val="00F05033"/>
    <w:rsid w:val="00F05132"/>
    <w:rsid w:val="00F0523E"/>
    <w:rsid w:val="00F052A8"/>
    <w:rsid w:val="00F052F1"/>
    <w:rsid w:val="00F054EC"/>
    <w:rsid w:val="00F05617"/>
    <w:rsid w:val="00F05671"/>
    <w:rsid w:val="00F0574E"/>
    <w:rsid w:val="00F05837"/>
    <w:rsid w:val="00F0586D"/>
    <w:rsid w:val="00F0592F"/>
    <w:rsid w:val="00F059D1"/>
    <w:rsid w:val="00F05A28"/>
    <w:rsid w:val="00F05A61"/>
    <w:rsid w:val="00F05AC4"/>
    <w:rsid w:val="00F05AD8"/>
    <w:rsid w:val="00F05BD2"/>
    <w:rsid w:val="00F05C19"/>
    <w:rsid w:val="00F05C3F"/>
    <w:rsid w:val="00F05D0D"/>
    <w:rsid w:val="00F05D14"/>
    <w:rsid w:val="00F05D15"/>
    <w:rsid w:val="00F05D4A"/>
    <w:rsid w:val="00F05D6C"/>
    <w:rsid w:val="00F05DAA"/>
    <w:rsid w:val="00F05DB3"/>
    <w:rsid w:val="00F05E57"/>
    <w:rsid w:val="00F05E5C"/>
    <w:rsid w:val="00F05F56"/>
    <w:rsid w:val="00F05F83"/>
    <w:rsid w:val="00F05F89"/>
    <w:rsid w:val="00F05FEC"/>
    <w:rsid w:val="00F060BE"/>
    <w:rsid w:val="00F0613C"/>
    <w:rsid w:val="00F0617A"/>
    <w:rsid w:val="00F06206"/>
    <w:rsid w:val="00F062B4"/>
    <w:rsid w:val="00F06308"/>
    <w:rsid w:val="00F06359"/>
    <w:rsid w:val="00F0636D"/>
    <w:rsid w:val="00F0636F"/>
    <w:rsid w:val="00F06596"/>
    <w:rsid w:val="00F065BF"/>
    <w:rsid w:val="00F065DA"/>
    <w:rsid w:val="00F065E2"/>
    <w:rsid w:val="00F06612"/>
    <w:rsid w:val="00F067FC"/>
    <w:rsid w:val="00F06807"/>
    <w:rsid w:val="00F068EA"/>
    <w:rsid w:val="00F06916"/>
    <w:rsid w:val="00F06958"/>
    <w:rsid w:val="00F069A2"/>
    <w:rsid w:val="00F069AE"/>
    <w:rsid w:val="00F06AF2"/>
    <w:rsid w:val="00F06B5D"/>
    <w:rsid w:val="00F06B66"/>
    <w:rsid w:val="00F06B83"/>
    <w:rsid w:val="00F06B84"/>
    <w:rsid w:val="00F06B9F"/>
    <w:rsid w:val="00F06BC3"/>
    <w:rsid w:val="00F06C00"/>
    <w:rsid w:val="00F06C29"/>
    <w:rsid w:val="00F06C4F"/>
    <w:rsid w:val="00F06C6A"/>
    <w:rsid w:val="00F06CEF"/>
    <w:rsid w:val="00F06D24"/>
    <w:rsid w:val="00F06D29"/>
    <w:rsid w:val="00F06D3F"/>
    <w:rsid w:val="00F06D7F"/>
    <w:rsid w:val="00F06DF5"/>
    <w:rsid w:val="00F06F17"/>
    <w:rsid w:val="00F06FB6"/>
    <w:rsid w:val="00F06FEC"/>
    <w:rsid w:val="00F06FF7"/>
    <w:rsid w:val="00F07040"/>
    <w:rsid w:val="00F0705A"/>
    <w:rsid w:val="00F07081"/>
    <w:rsid w:val="00F0709B"/>
    <w:rsid w:val="00F07118"/>
    <w:rsid w:val="00F071DF"/>
    <w:rsid w:val="00F071F0"/>
    <w:rsid w:val="00F07206"/>
    <w:rsid w:val="00F0725B"/>
    <w:rsid w:val="00F0725E"/>
    <w:rsid w:val="00F07295"/>
    <w:rsid w:val="00F07305"/>
    <w:rsid w:val="00F07645"/>
    <w:rsid w:val="00F076A2"/>
    <w:rsid w:val="00F0773B"/>
    <w:rsid w:val="00F07771"/>
    <w:rsid w:val="00F078AB"/>
    <w:rsid w:val="00F0790B"/>
    <w:rsid w:val="00F07990"/>
    <w:rsid w:val="00F07A43"/>
    <w:rsid w:val="00F07A67"/>
    <w:rsid w:val="00F07AB0"/>
    <w:rsid w:val="00F07AC6"/>
    <w:rsid w:val="00F07B2D"/>
    <w:rsid w:val="00F07BCF"/>
    <w:rsid w:val="00F07C24"/>
    <w:rsid w:val="00F07CC0"/>
    <w:rsid w:val="00F07D18"/>
    <w:rsid w:val="00F07DA8"/>
    <w:rsid w:val="00F07F21"/>
    <w:rsid w:val="00F07F56"/>
    <w:rsid w:val="00F10035"/>
    <w:rsid w:val="00F10045"/>
    <w:rsid w:val="00F100E9"/>
    <w:rsid w:val="00F101DD"/>
    <w:rsid w:val="00F1021F"/>
    <w:rsid w:val="00F10303"/>
    <w:rsid w:val="00F10425"/>
    <w:rsid w:val="00F10475"/>
    <w:rsid w:val="00F104C4"/>
    <w:rsid w:val="00F10551"/>
    <w:rsid w:val="00F105C6"/>
    <w:rsid w:val="00F10657"/>
    <w:rsid w:val="00F1076B"/>
    <w:rsid w:val="00F108B4"/>
    <w:rsid w:val="00F1092E"/>
    <w:rsid w:val="00F10969"/>
    <w:rsid w:val="00F10BC3"/>
    <w:rsid w:val="00F10CC1"/>
    <w:rsid w:val="00F10D2B"/>
    <w:rsid w:val="00F10D50"/>
    <w:rsid w:val="00F11053"/>
    <w:rsid w:val="00F11059"/>
    <w:rsid w:val="00F110D2"/>
    <w:rsid w:val="00F110F2"/>
    <w:rsid w:val="00F111AB"/>
    <w:rsid w:val="00F11279"/>
    <w:rsid w:val="00F113BE"/>
    <w:rsid w:val="00F113F7"/>
    <w:rsid w:val="00F1152D"/>
    <w:rsid w:val="00F11539"/>
    <w:rsid w:val="00F1155D"/>
    <w:rsid w:val="00F1159E"/>
    <w:rsid w:val="00F116EE"/>
    <w:rsid w:val="00F11942"/>
    <w:rsid w:val="00F11973"/>
    <w:rsid w:val="00F11ACA"/>
    <w:rsid w:val="00F11BCA"/>
    <w:rsid w:val="00F11C32"/>
    <w:rsid w:val="00F11C8A"/>
    <w:rsid w:val="00F11E2B"/>
    <w:rsid w:val="00F11ED1"/>
    <w:rsid w:val="00F11F01"/>
    <w:rsid w:val="00F11F7C"/>
    <w:rsid w:val="00F1209B"/>
    <w:rsid w:val="00F120ED"/>
    <w:rsid w:val="00F120F6"/>
    <w:rsid w:val="00F1224E"/>
    <w:rsid w:val="00F12254"/>
    <w:rsid w:val="00F12293"/>
    <w:rsid w:val="00F122BE"/>
    <w:rsid w:val="00F122EE"/>
    <w:rsid w:val="00F12349"/>
    <w:rsid w:val="00F12475"/>
    <w:rsid w:val="00F12578"/>
    <w:rsid w:val="00F125ED"/>
    <w:rsid w:val="00F126AA"/>
    <w:rsid w:val="00F126E0"/>
    <w:rsid w:val="00F12703"/>
    <w:rsid w:val="00F127B9"/>
    <w:rsid w:val="00F12902"/>
    <w:rsid w:val="00F12931"/>
    <w:rsid w:val="00F12B9B"/>
    <w:rsid w:val="00F12BDE"/>
    <w:rsid w:val="00F12D17"/>
    <w:rsid w:val="00F12DBA"/>
    <w:rsid w:val="00F12F4F"/>
    <w:rsid w:val="00F13017"/>
    <w:rsid w:val="00F13097"/>
    <w:rsid w:val="00F13098"/>
    <w:rsid w:val="00F130A8"/>
    <w:rsid w:val="00F130F4"/>
    <w:rsid w:val="00F131B4"/>
    <w:rsid w:val="00F1320F"/>
    <w:rsid w:val="00F133DD"/>
    <w:rsid w:val="00F133FD"/>
    <w:rsid w:val="00F13401"/>
    <w:rsid w:val="00F13492"/>
    <w:rsid w:val="00F135F7"/>
    <w:rsid w:val="00F13623"/>
    <w:rsid w:val="00F13775"/>
    <w:rsid w:val="00F137D6"/>
    <w:rsid w:val="00F1384D"/>
    <w:rsid w:val="00F13886"/>
    <w:rsid w:val="00F138BB"/>
    <w:rsid w:val="00F13907"/>
    <w:rsid w:val="00F13A84"/>
    <w:rsid w:val="00F13B33"/>
    <w:rsid w:val="00F13B8A"/>
    <w:rsid w:val="00F13C0E"/>
    <w:rsid w:val="00F13CB8"/>
    <w:rsid w:val="00F13CDD"/>
    <w:rsid w:val="00F13D46"/>
    <w:rsid w:val="00F13D62"/>
    <w:rsid w:val="00F13D96"/>
    <w:rsid w:val="00F13DC4"/>
    <w:rsid w:val="00F13DFF"/>
    <w:rsid w:val="00F13E09"/>
    <w:rsid w:val="00F13EE2"/>
    <w:rsid w:val="00F13F05"/>
    <w:rsid w:val="00F13F7F"/>
    <w:rsid w:val="00F13FA1"/>
    <w:rsid w:val="00F14035"/>
    <w:rsid w:val="00F140A7"/>
    <w:rsid w:val="00F140CF"/>
    <w:rsid w:val="00F14278"/>
    <w:rsid w:val="00F142E9"/>
    <w:rsid w:val="00F14418"/>
    <w:rsid w:val="00F1449F"/>
    <w:rsid w:val="00F144B4"/>
    <w:rsid w:val="00F144B8"/>
    <w:rsid w:val="00F14501"/>
    <w:rsid w:val="00F14522"/>
    <w:rsid w:val="00F14585"/>
    <w:rsid w:val="00F145A4"/>
    <w:rsid w:val="00F145D5"/>
    <w:rsid w:val="00F1464B"/>
    <w:rsid w:val="00F147B2"/>
    <w:rsid w:val="00F147E3"/>
    <w:rsid w:val="00F14819"/>
    <w:rsid w:val="00F148B2"/>
    <w:rsid w:val="00F148CB"/>
    <w:rsid w:val="00F148EF"/>
    <w:rsid w:val="00F149AA"/>
    <w:rsid w:val="00F14A21"/>
    <w:rsid w:val="00F14A23"/>
    <w:rsid w:val="00F14A6A"/>
    <w:rsid w:val="00F14A81"/>
    <w:rsid w:val="00F14B54"/>
    <w:rsid w:val="00F14B88"/>
    <w:rsid w:val="00F14C1D"/>
    <w:rsid w:val="00F14CEF"/>
    <w:rsid w:val="00F14CF9"/>
    <w:rsid w:val="00F14D7E"/>
    <w:rsid w:val="00F14D96"/>
    <w:rsid w:val="00F14D9B"/>
    <w:rsid w:val="00F14E32"/>
    <w:rsid w:val="00F14F6C"/>
    <w:rsid w:val="00F15082"/>
    <w:rsid w:val="00F1509B"/>
    <w:rsid w:val="00F1509E"/>
    <w:rsid w:val="00F15103"/>
    <w:rsid w:val="00F15130"/>
    <w:rsid w:val="00F15144"/>
    <w:rsid w:val="00F15153"/>
    <w:rsid w:val="00F15187"/>
    <w:rsid w:val="00F15294"/>
    <w:rsid w:val="00F1545E"/>
    <w:rsid w:val="00F1546E"/>
    <w:rsid w:val="00F154C1"/>
    <w:rsid w:val="00F154C5"/>
    <w:rsid w:val="00F158CB"/>
    <w:rsid w:val="00F158D5"/>
    <w:rsid w:val="00F15914"/>
    <w:rsid w:val="00F1596B"/>
    <w:rsid w:val="00F15980"/>
    <w:rsid w:val="00F159AD"/>
    <w:rsid w:val="00F159D8"/>
    <w:rsid w:val="00F15C93"/>
    <w:rsid w:val="00F15C97"/>
    <w:rsid w:val="00F15CFD"/>
    <w:rsid w:val="00F15D2B"/>
    <w:rsid w:val="00F15E30"/>
    <w:rsid w:val="00F15E5D"/>
    <w:rsid w:val="00F15E63"/>
    <w:rsid w:val="00F15E6A"/>
    <w:rsid w:val="00F15F1D"/>
    <w:rsid w:val="00F15FA7"/>
    <w:rsid w:val="00F1605C"/>
    <w:rsid w:val="00F160D8"/>
    <w:rsid w:val="00F16192"/>
    <w:rsid w:val="00F16243"/>
    <w:rsid w:val="00F162D4"/>
    <w:rsid w:val="00F162F2"/>
    <w:rsid w:val="00F16391"/>
    <w:rsid w:val="00F1643D"/>
    <w:rsid w:val="00F164FC"/>
    <w:rsid w:val="00F16502"/>
    <w:rsid w:val="00F16525"/>
    <w:rsid w:val="00F165EF"/>
    <w:rsid w:val="00F168CD"/>
    <w:rsid w:val="00F1690C"/>
    <w:rsid w:val="00F16930"/>
    <w:rsid w:val="00F16966"/>
    <w:rsid w:val="00F16AE5"/>
    <w:rsid w:val="00F16AE6"/>
    <w:rsid w:val="00F16C7B"/>
    <w:rsid w:val="00F16CCC"/>
    <w:rsid w:val="00F16D0D"/>
    <w:rsid w:val="00F16D6F"/>
    <w:rsid w:val="00F16E1B"/>
    <w:rsid w:val="00F16E1D"/>
    <w:rsid w:val="00F16F3A"/>
    <w:rsid w:val="00F16FDF"/>
    <w:rsid w:val="00F17117"/>
    <w:rsid w:val="00F171B7"/>
    <w:rsid w:val="00F172CF"/>
    <w:rsid w:val="00F172E4"/>
    <w:rsid w:val="00F1731D"/>
    <w:rsid w:val="00F1731F"/>
    <w:rsid w:val="00F173EF"/>
    <w:rsid w:val="00F17447"/>
    <w:rsid w:val="00F17460"/>
    <w:rsid w:val="00F174FE"/>
    <w:rsid w:val="00F17520"/>
    <w:rsid w:val="00F175A7"/>
    <w:rsid w:val="00F175E3"/>
    <w:rsid w:val="00F1763C"/>
    <w:rsid w:val="00F176EC"/>
    <w:rsid w:val="00F17770"/>
    <w:rsid w:val="00F1788F"/>
    <w:rsid w:val="00F178C2"/>
    <w:rsid w:val="00F178E7"/>
    <w:rsid w:val="00F17962"/>
    <w:rsid w:val="00F17B06"/>
    <w:rsid w:val="00F17B4E"/>
    <w:rsid w:val="00F17B6B"/>
    <w:rsid w:val="00F17B82"/>
    <w:rsid w:val="00F17C3B"/>
    <w:rsid w:val="00F17CAD"/>
    <w:rsid w:val="00F17CBB"/>
    <w:rsid w:val="00F17D36"/>
    <w:rsid w:val="00F17E01"/>
    <w:rsid w:val="00F17E0C"/>
    <w:rsid w:val="00F17F02"/>
    <w:rsid w:val="00F200D1"/>
    <w:rsid w:val="00F200E8"/>
    <w:rsid w:val="00F20106"/>
    <w:rsid w:val="00F201C3"/>
    <w:rsid w:val="00F201EB"/>
    <w:rsid w:val="00F202B6"/>
    <w:rsid w:val="00F20320"/>
    <w:rsid w:val="00F20328"/>
    <w:rsid w:val="00F2036E"/>
    <w:rsid w:val="00F20382"/>
    <w:rsid w:val="00F20455"/>
    <w:rsid w:val="00F2049B"/>
    <w:rsid w:val="00F204DF"/>
    <w:rsid w:val="00F2051C"/>
    <w:rsid w:val="00F20584"/>
    <w:rsid w:val="00F2058B"/>
    <w:rsid w:val="00F20599"/>
    <w:rsid w:val="00F205A7"/>
    <w:rsid w:val="00F205C1"/>
    <w:rsid w:val="00F2060E"/>
    <w:rsid w:val="00F20751"/>
    <w:rsid w:val="00F20753"/>
    <w:rsid w:val="00F20777"/>
    <w:rsid w:val="00F207F1"/>
    <w:rsid w:val="00F208A8"/>
    <w:rsid w:val="00F208EF"/>
    <w:rsid w:val="00F208F6"/>
    <w:rsid w:val="00F2090B"/>
    <w:rsid w:val="00F2099A"/>
    <w:rsid w:val="00F209E5"/>
    <w:rsid w:val="00F209E8"/>
    <w:rsid w:val="00F20A5E"/>
    <w:rsid w:val="00F20A90"/>
    <w:rsid w:val="00F20B49"/>
    <w:rsid w:val="00F20B67"/>
    <w:rsid w:val="00F20C06"/>
    <w:rsid w:val="00F20CC3"/>
    <w:rsid w:val="00F20CDD"/>
    <w:rsid w:val="00F20D00"/>
    <w:rsid w:val="00F20DB2"/>
    <w:rsid w:val="00F20F4D"/>
    <w:rsid w:val="00F20FC9"/>
    <w:rsid w:val="00F2100B"/>
    <w:rsid w:val="00F21028"/>
    <w:rsid w:val="00F2104B"/>
    <w:rsid w:val="00F2105E"/>
    <w:rsid w:val="00F21110"/>
    <w:rsid w:val="00F211EE"/>
    <w:rsid w:val="00F21274"/>
    <w:rsid w:val="00F2129C"/>
    <w:rsid w:val="00F212CE"/>
    <w:rsid w:val="00F21389"/>
    <w:rsid w:val="00F21440"/>
    <w:rsid w:val="00F21498"/>
    <w:rsid w:val="00F21524"/>
    <w:rsid w:val="00F2152B"/>
    <w:rsid w:val="00F21532"/>
    <w:rsid w:val="00F215D6"/>
    <w:rsid w:val="00F2162B"/>
    <w:rsid w:val="00F21655"/>
    <w:rsid w:val="00F21699"/>
    <w:rsid w:val="00F216DE"/>
    <w:rsid w:val="00F216F1"/>
    <w:rsid w:val="00F21780"/>
    <w:rsid w:val="00F217BD"/>
    <w:rsid w:val="00F21836"/>
    <w:rsid w:val="00F21A06"/>
    <w:rsid w:val="00F21A36"/>
    <w:rsid w:val="00F21A65"/>
    <w:rsid w:val="00F21AA1"/>
    <w:rsid w:val="00F21B37"/>
    <w:rsid w:val="00F21B49"/>
    <w:rsid w:val="00F21BAC"/>
    <w:rsid w:val="00F21BF2"/>
    <w:rsid w:val="00F21CF1"/>
    <w:rsid w:val="00F21CF9"/>
    <w:rsid w:val="00F21D10"/>
    <w:rsid w:val="00F21D42"/>
    <w:rsid w:val="00F21D85"/>
    <w:rsid w:val="00F21E10"/>
    <w:rsid w:val="00F21F18"/>
    <w:rsid w:val="00F2213E"/>
    <w:rsid w:val="00F22215"/>
    <w:rsid w:val="00F222C4"/>
    <w:rsid w:val="00F22302"/>
    <w:rsid w:val="00F22438"/>
    <w:rsid w:val="00F22486"/>
    <w:rsid w:val="00F22569"/>
    <w:rsid w:val="00F22585"/>
    <w:rsid w:val="00F225F2"/>
    <w:rsid w:val="00F22627"/>
    <w:rsid w:val="00F2272A"/>
    <w:rsid w:val="00F22799"/>
    <w:rsid w:val="00F2288C"/>
    <w:rsid w:val="00F228D5"/>
    <w:rsid w:val="00F22A70"/>
    <w:rsid w:val="00F22A7C"/>
    <w:rsid w:val="00F22A9E"/>
    <w:rsid w:val="00F22AE4"/>
    <w:rsid w:val="00F22B97"/>
    <w:rsid w:val="00F22C91"/>
    <w:rsid w:val="00F22CC8"/>
    <w:rsid w:val="00F22CF3"/>
    <w:rsid w:val="00F22DAE"/>
    <w:rsid w:val="00F22EA3"/>
    <w:rsid w:val="00F22EAE"/>
    <w:rsid w:val="00F22EEE"/>
    <w:rsid w:val="00F22F3D"/>
    <w:rsid w:val="00F22FE1"/>
    <w:rsid w:val="00F23087"/>
    <w:rsid w:val="00F23095"/>
    <w:rsid w:val="00F230A8"/>
    <w:rsid w:val="00F23182"/>
    <w:rsid w:val="00F23193"/>
    <w:rsid w:val="00F231E1"/>
    <w:rsid w:val="00F23208"/>
    <w:rsid w:val="00F2320A"/>
    <w:rsid w:val="00F2323A"/>
    <w:rsid w:val="00F2323E"/>
    <w:rsid w:val="00F23286"/>
    <w:rsid w:val="00F23293"/>
    <w:rsid w:val="00F232C5"/>
    <w:rsid w:val="00F23338"/>
    <w:rsid w:val="00F2336B"/>
    <w:rsid w:val="00F233AD"/>
    <w:rsid w:val="00F23401"/>
    <w:rsid w:val="00F23427"/>
    <w:rsid w:val="00F23455"/>
    <w:rsid w:val="00F23579"/>
    <w:rsid w:val="00F235B5"/>
    <w:rsid w:val="00F235C4"/>
    <w:rsid w:val="00F23640"/>
    <w:rsid w:val="00F23708"/>
    <w:rsid w:val="00F237A5"/>
    <w:rsid w:val="00F2384E"/>
    <w:rsid w:val="00F23874"/>
    <w:rsid w:val="00F2387F"/>
    <w:rsid w:val="00F239B3"/>
    <w:rsid w:val="00F239BD"/>
    <w:rsid w:val="00F23A7D"/>
    <w:rsid w:val="00F23B67"/>
    <w:rsid w:val="00F23BDC"/>
    <w:rsid w:val="00F23CA6"/>
    <w:rsid w:val="00F23CF2"/>
    <w:rsid w:val="00F23E06"/>
    <w:rsid w:val="00F23E1D"/>
    <w:rsid w:val="00F24022"/>
    <w:rsid w:val="00F24038"/>
    <w:rsid w:val="00F24040"/>
    <w:rsid w:val="00F2404C"/>
    <w:rsid w:val="00F2406D"/>
    <w:rsid w:val="00F24084"/>
    <w:rsid w:val="00F240B4"/>
    <w:rsid w:val="00F24139"/>
    <w:rsid w:val="00F2416F"/>
    <w:rsid w:val="00F241D3"/>
    <w:rsid w:val="00F24241"/>
    <w:rsid w:val="00F24271"/>
    <w:rsid w:val="00F242B6"/>
    <w:rsid w:val="00F24370"/>
    <w:rsid w:val="00F24787"/>
    <w:rsid w:val="00F247A5"/>
    <w:rsid w:val="00F24846"/>
    <w:rsid w:val="00F248A8"/>
    <w:rsid w:val="00F248C6"/>
    <w:rsid w:val="00F248FD"/>
    <w:rsid w:val="00F24904"/>
    <w:rsid w:val="00F24918"/>
    <w:rsid w:val="00F2496B"/>
    <w:rsid w:val="00F24A49"/>
    <w:rsid w:val="00F24B3B"/>
    <w:rsid w:val="00F24B96"/>
    <w:rsid w:val="00F24C49"/>
    <w:rsid w:val="00F24C5D"/>
    <w:rsid w:val="00F24CE4"/>
    <w:rsid w:val="00F24D5B"/>
    <w:rsid w:val="00F24E28"/>
    <w:rsid w:val="00F24E97"/>
    <w:rsid w:val="00F24F7D"/>
    <w:rsid w:val="00F24FB3"/>
    <w:rsid w:val="00F25001"/>
    <w:rsid w:val="00F25079"/>
    <w:rsid w:val="00F25121"/>
    <w:rsid w:val="00F251F4"/>
    <w:rsid w:val="00F25291"/>
    <w:rsid w:val="00F252C1"/>
    <w:rsid w:val="00F25301"/>
    <w:rsid w:val="00F253C1"/>
    <w:rsid w:val="00F25425"/>
    <w:rsid w:val="00F2556D"/>
    <w:rsid w:val="00F2559E"/>
    <w:rsid w:val="00F25659"/>
    <w:rsid w:val="00F25694"/>
    <w:rsid w:val="00F256FF"/>
    <w:rsid w:val="00F258D0"/>
    <w:rsid w:val="00F25908"/>
    <w:rsid w:val="00F25A87"/>
    <w:rsid w:val="00F25AE6"/>
    <w:rsid w:val="00F25B23"/>
    <w:rsid w:val="00F25BD7"/>
    <w:rsid w:val="00F25C0F"/>
    <w:rsid w:val="00F25D35"/>
    <w:rsid w:val="00F25EB9"/>
    <w:rsid w:val="00F25EBC"/>
    <w:rsid w:val="00F25EE2"/>
    <w:rsid w:val="00F260B7"/>
    <w:rsid w:val="00F260F3"/>
    <w:rsid w:val="00F260F8"/>
    <w:rsid w:val="00F26121"/>
    <w:rsid w:val="00F262DE"/>
    <w:rsid w:val="00F262E4"/>
    <w:rsid w:val="00F26330"/>
    <w:rsid w:val="00F263A4"/>
    <w:rsid w:val="00F2648C"/>
    <w:rsid w:val="00F26521"/>
    <w:rsid w:val="00F2652A"/>
    <w:rsid w:val="00F265C9"/>
    <w:rsid w:val="00F266CF"/>
    <w:rsid w:val="00F26702"/>
    <w:rsid w:val="00F267AE"/>
    <w:rsid w:val="00F2682A"/>
    <w:rsid w:val="00F26887"/>
    <w:rsid w:val="00F268B2"/>
    <w:rsid w:val="00F26922"/>
    <w:rsid w:val="00F26939"/>
    <w:rsid w:val="00F26991"/>
    <w:rsid w:val="00F269BC"/>
    <w:rsid w:val="00F26A22"/>
    <w:rsid w:val="00F26A85"/>
    <w:rsid w:val="00F26A86"/>
    <w:rsid w:val="00F26AD5"/>
    <w:rsid w:val="00F26AF7"/>
    <w:rsid w:val="00F26B49"/>
    <w:rsid w:val="00F26B4A"/>
    <w:rsid w:val="00F26CB3"/>
    <w:rsid w:val="00F26D1A"/>
    <w:rsid w:val="00F26D92"/>
    <w:rsid w:val="00F26E32"/>
    <w:rsid w:val="00F26E37"/>
    <w:rsid w:val="00F26EAC"/>
    <w:rsid w:val="00F26ECB"/>
    <w:rsid w:val="00F26ED2"/>
    <w:rsid w:val="00F26EE1"/>
    <w:rsid w:val="00F26FAB"/>
    <w:rsid w:val="00F2700F"/>
    <w:rsid w:val="00F2707C"/>
    <w:rsid w:val="00F27172"/>
    <w:rsid w:val="00F2718B"/>
    <w:rsid w:val="00F272FA"/>
    <w:rsid w:val="00F273F0"/>
    <w:rsid w:val="00F274DA"/>
    <w:rsid w:val="00F27512"/>
    <w:rsid w:val="00F275C1"/>
    <w:rsid w:val="00F276A1"/>
    <w:rsid w:val="00F276F1"/>
    <w:rsid w:val="00F27786"/>
    <w:rsid w:val="00F278AD"/>
    <w:rsid w:val="00F278E8"/>
    <w:rsid w:val="00F27A4F"/>
    <w:rsid w:val="00F27AAA"/>
    <w:rsid w:val="00F27B79"/>
    <w:rsid w:val="00F27BD4"/>
    <w:rsid w:val="00F27C54"/>
    <w:rsid w:val="00F27CF9"/>
    <w:rsid w:val="00F27DA7"/>
    <w:rsid w:val="00F27E22"/>
    <w:rsid w:val="00F27F07"/>
    <w:rsid w:val="00F27F26"/>
    <w:rsid w:val="00F30008"/>
    <w:rsid w:val="00F30090"/>
    <w:rsid w:val="00F300C4"/>
    <w:rsid w:val="00F300E3"/>
    <w:rsid w:val="00F300E9"/>
    <w:rsid w:val="00F3011B"/>
    <w:rsid w:val="00F301EC"/>
    <w:rsid w:val="00F302D5"/>
    <w:rsid w:val="00F3032A"/>
    <w:rsid w:val="00F303E3"/>
    <w:rsid w:val="00F303EB"/>
    <w:rsid w:val="00F3046B"/>
    <w:rsid w:val="00F3048A"/>
    <w:rsid w:val="00F305B1"/>
    <w:rsid w:val="00F30629"/>
    <w:rsid w:val="00F3068B"/>
    <w:rsid w:val="00F3084D"/>
    <w:rsid w:val="00F30988"/>
    <w:rsid w:val="00F30A39"/>
    <w:rsid w:val="00F30A94"/>
    <w:rsid w:val="00F30B02"/>
    <w:rsid w:val="00F30BAF"/>
    <w:rsid w:val="00F30CAE"/>
    <w:rsid w:val="00F30CBC"/>
    <w:rsid w:val="00F30D50"/>
    <w:rsid w:val="00F30D67"/>
    <w:rsid w:val="00F30E21"/>
    <w:rsid w:val="00F30E9B"/>
    <w:rsid w:val="00F30FCA"/>
    <w:rsid w:val="00F3119A"/>
    <w:rsid w:val="00F312C2"/>
    <w:rsid w:val="00F314A9"/>
    <w:rsid w:val="00F31504"/>
    <w:rsid w:val="00F31521"/>
    <w:rsid w:val="00F3156F"/>
    <w:rsid w:val="00F3158D"/>
    <w:rsid w:val="00F315C3"/>
    <w:rsid w:val="00F31627"/>
    <w:rsid w:val="00F3167F"/>
    <w:rsid w:val="00F316FC"/>
    <w:rsid w:val="00F31733"/>
    <w:rsid w:val="00F317D3"/>
    <w:rsid w:val="00F31823"/>
    <w:rsid w:val="00F31825"/>
    <w:rsid w:val="00F3185E"/>
    <w:rsid w:val="00F318A2"/>
    <w:rsid w:val="00F318E5"/>
    <w:rsid w:val="00F31A46"/>
    <w:rsid w:val="00F31A99"/>
    <w:rsid w:val="00F31AD8"/>
    <w:rsid w:val="00F31B02"/>
    <w:rsid w:val="00F31B56"/>
    <w:rsid w:val="00F31B9F"/>
    <w:rsid w:val="00F31BC2"/>
    <w:rsid w:val="00F31BD2"/>
    <w:rsid w:val="00F31C12"/>
    <w:rsid w:val="00F31DD5"/>
    <w:rsid w:val="00F31E11"/>
    <w:rsid w:val="00F31E77"/>
    <w:rsid w:val="00F31E80"/>
    <w:rsid w:val="00F31EB7"/>
    <w:rsid w:val="00F31FBC"/>
    <w:rsid w:val="00F3201C"/>
    <w:rsid w:val="00F32048"/>
    <w:rsid w:val="00F32063"/>
    <w:rsid w:val="00F3206A"/>
    <w:rsid w:val="00F3209B"/>
    <w:rsid w:val="00F3214C"/>
    <w:rsid w:val="00F3227D"/>
    <w:rsid w:val="00F3228A"/>
    <w:rsid w:val="00F322D6"/>
    <w:rsid w:val="00F3234A"/>
    <w:rsid w:val="00F323B9"/>
    <w:rsid w:val="00F323D6"/>
    <w:rsid w:val="00F323EF"/>
    <w:rsid w:val="00F32585"/>
    <w:rsid w:val="00F32643"/>
    <w:rsid w:val="00F32660"/>
    <w:rsid w:val="00F32723"/>
    <w:rsid w:val="00F327D4"/>
    <w:rsid w:val="00F3284A"/>
    <w:rsid w:val="00F328B7"/>
    <w:rsid w:val="00F329AC"/>
    <w:rsid w:val="00F329AF"/>
    <w:rsid w:val="00F329C9"/>
    <w:rsid w:val="00F32B83"/>
    <w:rsid w:val="00F32B88"/>
    <w:rsid w:val="00F32B9A"/>
    <w:rsid w:val="00F32C0A"/>
    <w:rsid w:val="00F32C1B"/>
    <w:rsid w:val="00F32C6F"/>
    <w:rsid w:val="00F32C96"/>
    <w:rsid w:val="00F32D20"/>
    <w:rsid w:val="00F32D23"/>
    <w:rsid w:val="00F32E49"/>
    <w:rsid w:val="00F32EDB"/>
    <w:rsid w:val="00F32EE8"/>
    <w:rsid w:val="00F32F9C"/>
    <w:rsid w:val="00F32FE4"/>
    <w:rsid w:val="00F32FF4"/>
    <w:rsid w:val="00F330B4"/>
    <w:rsid w:val="00F330DF"/>
    <w:rsid w:val="00F331DD"/>
    <w:rsid w:val="00F3321A"/>
    <w:rsid w:val="00F33261"/>
    <w:rsid w:val="00F33276"/>
    <w:rsid w:val="00F33492"/>
    <w:rsid w:val="00F335DC"/>
    <w:rsid w:val="00F3360D"/>
    <w:rsid w:val="00F3366F"/>
    <w:rsid w:val="00F336B5"/>
    <w:rsid w:val="00F336D3"/>
    <w:rsid w:val="00F337D4"/>
    <w:rsid w:val="00F33842"/>
    <w:rsid w:val="00F3387D"/>
    <w:rsid w:val="00F338C6"/>
    <w:rsid w:val="00F33927"/>
    <w:rsid w:val="00F3395E"/>
    <w:rsid w:val="00F33A25"/>
    <w:rsid w:val="00F33A70"/>
    <w:rsid w:val="00F33A7F"/>
    <w:rsid w:val="00F33A82"/>
    <w:rsid w:val="00F33B29"/>
    <w:rsid w:val="00F33B82"/>
    <w:rsid w:val="00F33C35"/>
    <w:rsid w:val="00F33D51"/>
    <w:rsid w:val="00F33D98"/>
    <w:rsid w:val="00F33E26"/>
    <w:rsid w:val="00F33E49"/>
    <w:rsid w:val="00F33E67"/>
    <w:rsid w:val="00F33F4B"/>
    <w:rsid w:val="00F33F55"/>
    <w:rsid w:val="00F33F8D"/>
    <w:rsid w:val="00F34056"/>
    <w:rsid w:val="00F3412D"/>
    <w:rsid w:val="00F341A6"/>
    <w:rsid w:val="00F34221"/>
    <w:rsid w:val="00F34252"/>
    <w:rsid w:val="00F342DC"/>
    <w:rsid w:val="00F3434D"/>
    <w:rsid w:val="00F34366"/>
    <w:rsid w:val="00F3437C"/>
    <w:rsid w:val="00F3438D"/>
    <w:rsid w:val="00F34455"/>
    <w:rsid w:val="00F3448C"/>
    <w:rsid w:val="00F3454B"/>
    <w:rsid w:val="00F346C7"/>
    <w:rsid w:val="00F34706"/>
    <w:rsid w:val="00F3475B"/>
    <w:rsid w:val="00F34784"/>
    <w:rsid w:val="00F347B5"/>
    <w:rsid w:val="00F347CE"/>
    <w:rsid w:val="00F347FE"/>
    <w:rsid w:val="00F3481B"/>
    <w:rsid w:val="00F34874"/>
    <w:rsid w:val="00F34909"/>
    <w:rsid w:val="00F34997"/>
    <w:rsid w:val="00F34A6B"/>
    <w:rsid w:val="00F34A97"/>
    <w:rsid w:val="00F34CE6"/>
    <w:rsid w:val="00F34E09"/>
    <w:rsid w:val="00F34EB1"/>
    <w:rsid w:val="00F35047"/>
    <w:rsid w:val="00F35048"/>
    <w:rsid w:val="00F350A8"/>
    <w:rsid w:val="00F3512A"/>
    <w:rsid w:val="00F3513F"/>
    <w:rsid w:val="00F351DB"/>
    <w:rsid w:val="00F352C6"/>
    <w:rsid w:val="00F352DC"/>
    <w:rsid w:val="00F35300"/>
    <w:rsid w:val="00F35469"/>
    <w:rsid w:val="00F35499"/>
    <w:rsid w:val="00F35570"/>
    <w:rsid w:val="00F355D8"/>
    <w:rsid w:val="00F355F8"/>
    <w:rsid w:val="00F356C3"/>
    <w:rsid w:val="00F356FF"/>
    <w:rsid w:val="00F35725"/>
    <w:rsid w:val="00F35765"/>
    <w:rsid w:val="00F358AD"/>
    <w:rsid w:val="00F358C5"/>
    <w:rsid w:val="00F359DD"/>
    <w:rsid w:val="00F35A56"/>
    <w:rsid w:val="00F35A9C"/>
    <w:rsid w:val="00F35AFF"/>
    <w:rsid w:val="00F35BC1"/>
    <w:rsid w:val="00F35BC4"/>
    <w:rsid w:val="00F35BC7"/>
    <w:rsid w:val="00F35C66"/>
    <w:rsid w:val="00F35CF5"/>
    <w:rsid w:val="00F35D22"/>
    <w:rsid w:val="00F35D55"/>
    <w:rsid w:val="00F35D66"/>
    <w:rsid w:val="00F35E2F"/>
    <w:rsid w:val="00F36092"/>
    <w:rsid w:val="00F36097"/>
    <w:rsid w:val="00F3614F"/>
    <w:rsid w:val="00F362FB"/>
    <w:rsid w:val="00F363A1"/>
    <w:rsid w:val="00F363FA"/>
    <w:rsid w:val="00F36416"/>
    <w:rsid w:val="00F364A0"/>
    <w:rsid w:val="00F364D4"/>
    <w:rsid w:val="00F36520"/>
    <w:rsid w:val="00F36640"/>
    <w:rsid w:val="00F36664"/>
    <w:rsid w:val="00F36687"/>
    <w:rsid w:val="00F36703"/>
    <w:rsid w:val="00F3672A"/>
    <w:rsid w:val="00F3676A"/>
    <w:rsid w:val="00F36909"/>
    <w:rsid w:val="00F36993"/>
    <w:rsid w:val="00F369DC"/>
    <w:rsid w:val="00F36A93"/>
    <w:rsid w:val="00F36AA1"/>
    <w:rsid w:val="00F36AEE"/>
    <w:rsid w:val="00F36DF6"/>
    <w:rsid w:val="00F36EDB"/>
    <w:rsid w:val="00F36F1E"/>
    <w:rsid w:val="00F36F29"/>
    <w:rsid w:val="00F36F54"/>
    <w:rsid w:val="00F37052"/>
    <w:rsid w:val="00F370D8"/>
    <w:rsid w:val="00F37124"/>
    <w:rsid w:val="00F37129"/>
    <w:rsid w:val="00F37157"/>
    <w:rsid w:val="00F3725A"/>
    <w:rsid w:val="00F372B7"/>
    <w:rsid w:val="00F37395"/>
    <w:rsid w:val="00F37423"/>
    <w:rsid w:val="00F3743F"/>
    <w:rsid w:val="00F374A9"/>
    <w:rsid w:val="00F37608"/>
    <w:rsid w:val="00F37703"/>
    <w:rsid w:val="00F37808"/>
    <w:rsid w:val="00F37830"/>
    <w:rsid w:val="00F37907"/>
    <w:rsid w:val="00F3790D"/>
    <w:rsid w:val="00F37917"/>
    <w:rsid w:val="00F3791B"/>
    <w:rsid w:val="00F37969"/>
    <w:rsid w:val="00F37978"/>
    <w:rsid w:val="00F37A75"/>
    <w:rsid w:val="00F37A80"/>
    <w:rsid w:val="00F37ACA"/>
    <w:rsid w:val="00F37C22"/>
    <w:rsid w:val="00F37C7F"/>
    <w:rsid w:val="00F37CB6"/>
    <w:rsid w:val="00F37CBB"/>
    <w:rsid w:val="00F37D50"/>
    <w:rsid w:val="00F37DD6"/>
    <w:rsid w:val="00F37E2E"/>
    <w:rsid w:val="00F37ED8"/>
    <w:rsid w:val="00F37EF7"/>
    <w:rsid w:val="00F37F52"/>
    <w:rsid w:val="00F37F65"/>
    <w:rsid w:val="00F37F91"/>
    <w:rsid w:val="00F4010B"/>
    <w:rsid w:val="00F401C1"/>
    <w:rsid w:val="00F401FE"/>
    <w:rsid w:val="00F40299"/>
    <w:rsid w:val="00F4041D"/>
    <w:rsid w:val="00F404C9"/>
    <w:rsid w:val="00F40599"/>
    <w:rsid w:val="00F40770"/>
    <w:rsid w:val="00F409C3"/>
    <w:rsid w:val="00F40ABB"/>
    <w:rsid w:val="00F40B7C"/>
    <w:rsid w:val="00F40B97"/>
    <w:rsid w:val="00F40BAA"/>
    <w:rsid w:val="00F40C20"/>
    <w:rsid w:val="00F40C43"/>
    <w:rsid w:val="00F40C66"/>
    <w:rsid w:val="00F41275"/>
    <w:rsid w:val="00F41279"/>
    <w:rsid w:val="00F412B8"/>
    <w:rsid w:val="00F412B9"/>
    <w:rsid w:val="00F412EC"/>
    <w:rsid w:val="00F41302"/>
    <w:rsid w:val="00F41373"/>
    <w:rsid w:val="00F413C7"/>
    <w:rsid w:val="00F4140F"/>
    <w:rsid w:val="00F415EF"/>
    <w:rsid w:val="00F41896"/>
    <w:rsid w:val="00F418D6"/>
    <w:rsid w:val="00F418F1"/>
    <w:rsid w:val="00F41991"/>
    <w:rsid w:val="00F419A6"/>
    <w:rsid w:val="00F41A2D"/>
    <w:rsid w:val="00F41A52"/>
    <w:rsid w:val="00F41AAC"/>
    <w:rsid w:val="00F41AFF"/>
    <w:rsid w:val="00F41B88"/>
    <w:rsid w:val="00F41B94"/>
    <w:rsid w:val="00F41C80"/>
    <w:rsid w:val="00F41D3A"/>
    <w:rsid w:val="00F41DA7"/>
    <w:rsid w:val="00F41E5B"/>
    <w:rsid w:val="00F41E88"/>
    <w:rsid w:val="00F41F2F"/>
    <w:rsid w:val="00F41FB4"/>
    <w:rsid w:val="00F41FF0"/>
    <w:rsid w:val="00F420BF"/>
    <w:rsid w:val="00F4224E"/>
    <w:rsid w:val="00F422FB"/>
    <w:rsid w:val="00F42377"/>
    <w:rsid w:val="00F423E5"/>
    <w:rsid w:val="00F424C1"/>
    <w:rsid w:val="00F42565"/>
    <w:rsid w:val="00F42584"/>
    <w:rsid w:val="00F42630"/>
    <w:rsid w:val="00F42681"/>
    <w:rsid w:val="00F42682"/>
    <w:rsid w:val="00F426A0"/>
    <w:rsid w:val="00F426D7"/>
    <w:rsid w:val="00F42773"/>
    <w:rsid w:val="00F42826"/>
    <w:rsid w:val="00F428E6"/>
    <w:rsid w:val="00F42995"/>
    <w:rsid w:val="00F429C7"/>
    <w:rsid w:val="00F42ADF"/>
    <w:rsid w:val="00F42B57"/>
    <w:rsid w:val="00F42B60"/>
    <w:rsid w:val="00F42BD7"/>
    <w:rsid w:val="00F42BD9"/>
    <w:rsid w:val="00F42BEF"/>
    <w:rsid w:val="00F42C8A"/>
    <w:rsid w:val="00F42D78"/>
    <w:rsid w:val="00F42E51"/>
    <w:rsid w:val="00F43008"/>
    <w:rsid w:val="00F43098"/>
    <w:rsid w:val="00F430C4"/>
    <w:rsid w:val="00F430CB"/>
    <w:rsid w:val="00F43104"/>
    <w:rsid w:val="00F43112"/>
    <w:rsid w:val="00F4315E"/>
    <w:rsid w:val="00F43171"/>
    <w:rsid w:val="00F431C4"/>
    <w:rsid w:val="00F431F2"/>
    <w:rsid w:val="00F431F3"/>
    <w:rsid w:val="00F4323B"/>
    <w:rsid w:val="00F432C6"/>
    <w:rsid w:val="00F43349"/>
    <w:rsid w:val="00F433C4"/>
    <w:rsid w:val="00F43420"/>
    <w:rsid w:val="00F43427"/>
    <w:rsid w:val="00F4346D"/>
    <w:rsid w:val="00F4351B"/>
    <w:rsid w:val="00F436B3"/>
    <w:rsid w:val="00F436E0"/>
    <w:rsid w:val="00F4374A"/>
    <w:rsid w:val="00F4376D"/>
    <w:rsid w:val="00F43784"/>
    <w:rsid w:val="00F4379B"/>
    <w:rsid w:val="00F437E4"/>
    <w:rsid w:val="00F4381D"/>
    <w:rsid w:val="00F43865"/>
    <w:rsid w:val="00F43956"/>
    <w:rsid w:val="00F43972"/>
    <w:rsid w:val="00F43B09"/>
    <w:rsid w:val="00F43C41"/>
    <w:rsid w:val="00F43C79"/>
    <w:rsid w:val="00F43C80"/>
    <w:rsid w:val="00F43D95"/>
    <w:rsid w:val="00F43EA9"/>
    <w:rsid w:val="00F43FAD"/>
    <w:rsid w:val="00F4402F"/>
    <w:rsid w:val="00F4406A"/>
    <w:rsid w:val="00F440C1"/>
    <w:rsid w:val="00F44200"/>
    <w:rsid w:val="00F4428B"/>
    <w:rsid w:val="00F4434F"/>
    <w:rsid w:val="00F4436F"/>
    <w:rsid w:val="00F4437B"/>
    <w:rsid w:val="00F44442"/>
    <w:rsid w:val="00F44463"/>
    <w:rsid w:val="00F444DE"/>
    <w:rsid w:val="00F4453E"/>
    <w:rsid w:val="00F44588"/>
    <w:rsid w:val="00F445C9"/>
    <w:rsid w:val="00F445FF"/>
    <w:rsid w:val="00F4461C"/>
    <w:rsid w:val="00F446BC"/>
    <w:rsid w:val="00F4470B"/>
    <w:rsid w:val="00F44853"/>
    <w:rsid w:val="00F448D8"/>
    <w:rsid w:val="00F44930"/>
    <w:rsid w:val="00F449D7"/>
    <w:rsid w:val="00F44AB2"/>
    <w:rsid w:val="00F44BA6"/>
    <w:rsid w:val="00F44C36"/>
    <w:rsid w:val="00F44C58"/>
    <w:rsid w:val="00F44C5E"/>
    <w:rsid w:val="00F44D06"/>
    <w:rsid w:val="00F44D68"/>
    <w:rsid w:val="00F44D80"/>
    <w:rsid w:val="00F44E51"/>
    <w:rsid w:val="00F44E71"/>
    <w:rsid w:val="00F44EE8"/>
    <w:rsid w:val="00F44F2C"/>
    <w:rsid w:val="00F44F49"/>
    <w:rsid w:val="00F44F7E"/>
    <w:rsid w:val="00F4515F"/>
    <w:rsid w:val="00F451C4"/>
    <w:rsid w:val="00F4527D"/>
    <w:rsid w:val="00F4542B"/>
    <w:rsid w:val="00F45469"/>
    <w:rsid w:val="00F454CF"/>
    <w:rsid w:val="00F454D4"/>
    <w:rsid w:val="00F45798"/>
    <w:rsid w:val="00F4583A"/>
    <w:rsid w:val="00F458DB"/>
    <w:rsid w:val="00F4593E"/>
    <w:rsid w:val="00F4594A"/>
    <w:rsid w:val="00F45979"/>
    <w:rsid w:val="00F45A25"/>
    <w:rsid w:val="00F45B76"/>
    <w:rsid w:val="00F45C51"/>
    <w:rsid w:val="00F45CD8"/>
    <w:rsid w:val="00F45DB1"/>
    <w:rsid w:val="00F45DDE"/>
    <w:rsid w:val="00F45DEA"/>
    <w:rsid w:val="00F45E0C"/>
    <w:rsid w:val="00F45F3A"/>
    <w:rsid w:val="00F45F6D"/>
    <w:rsid w:val="00F45F8A"/>
    <w:rsid w:val="00F46026"/>
    <w:rsid w:val="00F46080"/>
    <w:rsid w:val="00F461AA"/>
    <w:rsid w:val="00F461B5"/>
    <w:rsid w:val="00F462A4"/>
    <w:rsid w:val="00F462F5"/>
    <w:rsid w:val="00F462F9"/>
    <w:rsid w:val="00F46408"/>
    <w:rsid w:val="00F46415"/>
    <w:rsid w:val="00F46454"/>
    <w:rsid w:val="00F464A5"/>
    <w:rsid w:val="00F46527"/>
    <w:rsid w:val="00F46536"/>
    <w:rsid w:val="00F46606"/>
    <w:rsid w:val="00F4662B"/>
    <w:rsid w:val="00F4670B"/>
    <w:rsid w:val="00F4671E"/>
    <w:rsid w:val="00F46738"/>
    <w:rsid w:val="00F4673F"/>
    <w:rsid w:val="00F4678D"/>
    <w:rsid w:val="00F468B1"/>
    <w:rsid w:val="00F468F8"/>
    <w:rsid w:val="00F46A10"/>
    <w:rsid w:val="00F46B29"/>
    <w:rsid w:val="00F46C43"/>
    <w:rsid w:val="00F46CD8"/>
    <w:rsid w:val="00F46CEA"/>
    <w:rsid w:val="00F46D5B"/>
    <w:rsid w:val="00F46DB3"/>
    <w:rsid w:val="00F46E42"/>
    <w:rsid w:val="00F46F25"/>
    <w:rsid w:val="00F46F68"/>
    <w:rsid w:val="00F46FC4"/>
    <w:rsid w:val="00F4701D"/>
    <w:rsid w:val="00F47026"/>
    <w:rsid w:val="00F4702C"/>
    <w:rsid w:val="00F471E1"/>
    <w:rsid w:val="00F471FB"/>
    <w:rsid w:val="00F4722C"/>
    <w:rsid w:val="00F472C3"/>
    <w:rsid w:val="00F473FA"/>
    <w:rsid w:val="00F47504"/>
    <w:rsid w:val="00F47514"/>
    <w:rsid w:val="00F4752F"/>
    <w:rsid w:val="00F47624"/>
    <w:rsid w:val="00F4763F"/>
    <w:rsid w:val="00F476FF"/>
    <w:rsid w:val="00F4772A"/>
    <w:rsid w:val="00F477D0"/>
    <w:rsid w:val="00F47873"/>
    <w:rsid w:val="00F4788E"/>
    <w:rsid w:val="00F478C7"/>
    <w:rsid w:val="00F47973"/>
    <w:rsid w:val="00F47B93"/>
    <w:rsid w:val="00F47BB3"/>
    <w:rsid w:val="00F47D65"/>
    <w:rsid w:val="00F47E84"/>
    <w:rsid w:val="00F47F22"/>
    <w:rsid w:val="00F47F7C"/>
    <w:rsid w:val="00F47F92"/>
    <w:rsid w:val="00F47FB0"/>
    <w:rsid w:val="00F47FBA"/>
    <w:rsid w:val="00F47FFA"/>
    <w:rsid w:val="00F50085"/>
    <w:rsid w:val="00F500E3"/>
    <w:rsid w:val="00F50176"/>
    <w:rsid w:val="00F50186"/>
    <w:rsid w:val="00F501CC"/>
    <w:rsid w:val="00F50321"/>
    <w:rsid w:val="00F50380"/>
    <w:rsid w:val="00F503B7"/>
    <w:rsid w:val="00F503F6"/>
    <w:rsid w:val="00F5042B"/>
    <w:rsid w:val="00F50469"/>
    <w:rsid w:val="00F504C2"/>
    <w:rsid w:val="00F504FF"/>
    <w:rsid w:val="00F50568"/>
    <w:rsid w:val="00F505B8"/>
    <w:rsid w:val="00F50680"/>
    <w:rsid w:val="00F506C7"/>
    <w:rsid w:val="00F506D3"/>
    <w:rsid w:val="00F50723"/>
    <w:rsid w:val="00F5078B"/>
    <w:rsid w:val="00F507BE"/>
    <w:rsid w:val="00F50805"/>
    <w:rsid w:val="00F50809"/>
    <w:rsid w:val="00F50867"/>
    <w:rsid w:val="00F5087D"/>
    <w:rsid w:val="00F509DE"/>
    <w:rsid w:val="00F50A14"/>
    <w:rsid w:val="00F50A2D"/>
    <w:rsid w:val="00F50AE5"/>
    <w:rsid w:val="00F50C42"/>
    <w:rsid w:val="00F50CC6"/>
    <w:rsid w:val="00F50CF1"/>
    <w:rsid w:val="00F50CFD"/>
    <w:rsid w:val="00F50D08"/>
    <w:rsid w:val="00F50D4D"/>
    <w:rsid w:val="00F50DBC"/>
    <w:rsid w:val="00F50DFA"/>
    <w:rsid w:val="00F50E37"/>
    <w:rsid w:val="00F50E8F"/>
    <w:rsid w:val="00F50EF2"/>
    <w:rsid w:val="00F50F2B"/>
    <w:rsid w:val="00F50FBD"/>
    <w:rsid w:val="00F5107B"/>
    <w:rsid w:val="00F510D6"/>
    <w:rsid w:val="00F5111E"/>
    <w:rsid w:val="00F51158"/>
    <w:rsid w:val="00F51167"/>
    <w:rsid w:val="00F511A2"/>
    <w:rsid w:val="00F511D2"/>
    <w:rsid w:val="00F51275"/>
    <w:rsid w:val="00F512D0"/>
    <w:rsid w:val="00F51354"/>
    <w:rsid w:val="00F5138D"/>
    <w:rsid w:val="00F5140E"/>
    <w:rsid w:val="00F51444"/>
    <w:rsid w:val="00F514C9"/>
    <w:rsid w:val="00F515E9"/>
    <w:rsid w:val="00F51668"/>
    <w:rsid w:val="00F5176A"/>
    <w:rsid w:val="00F51839"/>
    <w:rsid w:val="00F518DF"/>
    <w:rsid w:val="00F518E6"/>
    <w:rsid w:val="00F51929"/>
    <w:rsid w:val="00F51A19"/>
    <w:rsid w:val="00F51A4D"/>
    <w:rsid w:val="00F51AAF"/>
    <w:rsid w:val="00F51AF0"/>
    <w:rsid w:val="00F51C49"/>
    <w:rsid w:val="00F51EB1"/>
    <w:rsid w:val="00F51EF1"/>
    <w:rsid w:val="00F51FB7"/>
    <w:rsid w:val="00F51FE1"/>
    <w:rsid w:val="00F52166"/>
    <w:rsid w:val="00F52184"/>
    <w:rsid w:val="00F5226C"/>
    <w:rsid w:val="00F522B1"/>
    <w:rsid w:val="00F5232A"/>
    <w:rsid w:val="00F52398"/>
    <w:rsid w:val="00F5258E"/>
    <w:rsid w:val="00F52612"/>
    <w:rsid w:val="00F52650"/>
    <w:rsid w:val="00F52660"/>
    <w:rsid w:val="00F52717"/>
    <w:rsid w:val="00F527A9"/>
    <w:rsid w:val="00F527D6"/>
    <w:rsid w:val="00F527DF"/>
    <w:rsid w:val="00F528AC"/>
    <w:rsid w:val="00F52936"/>
    <w:rsid w:val="00F5295B"/>
    <w:rsid w:val="00F52973"/>
    <w:rsid w:val="00F529B1"/>
    <w:rsid w:val="00F529DA"/>
    <w:rsid w:val="00F52A0F"/>
    <w:rsid w:val="00F52A94"/>
    <w:rsid w:val="00F52A9B"/>
    <w:rsid w:val="00F52B16"/>
    <w:rsid w:val="00F52B80"/>
    <w:rsid w:val="00F52D2D"/>
    <w:rsid w:val="00F52D43"/>
    <w:rsid w:val="00F52D5A"/>
    <w:rsid w:val="00F52D98"/>
    <w:rsid w:val="00F52DAF"/>
    <w:rsid w:val="00F52DBB"/>
    <w:rsid w:val="00F52E89"/>
    <w:rsid w:val="00F52F07"/>
    <w:rsid w:val="00F52F7C"/>
    <w:rsid w:val="00F52FB3"/>
    <w:rsid w:val="00F53087"/>
    <w:rsid w:val="00F530E9"/>
    <w:rsid w:val="00F5324C"/>
    <w:rsid w:val="00F532DA"/>
    <w:rsid w:val="00F532E9"/>
    <w:rsid w:val="00F53307"/>
    <w:rsid w:val="00F533C9"/>
    <w:rsid w:val="00F535AD"/>
    <w:rsid w:val="00F53637"/>
    <w:rsid w:val="00F5368C"/>
    <w:rsid w:val="00F537E0"/>
    <w:rsid w:val="00F5380C"/>
    <w:rsid w:val="00F53835"/>
    <w:rsid w:val="00F53884"/>
    <w:rsid w:val="00F538D5"/>
    <w:rsid w:val="00F53917"/>
    <w:rsid w:val="00F5397D"/>
    <w:rsid w:val="00F53992"/>
    <w:rsid w:val="00F539CD"/>
    <w:rsid w:val="00F53B35"/>
    <w:rsid w:val="00F53B8F"/>
    <w:rsid w:val="00F53BE0"/>
    <w:rsid w:val="00F53C5A"/>
    <w:rsid w:val="00F53D46"/>
    <w:rsid w:val="00F53DCD"/>
    <w:rsid w:val="00F53DD8"/>
    <w:rsid w:val="00F53E51"/>
    <w:rsid w:val="00F53E96"/>
    <w:rsid w:val="00F53EE8"/>
    <w:rsid w:val="00F53EFE"/>
    <w:rsid w:val="00F53F6A"/>
    <w:rsid w:val="00F53FFC"/>
    <w:rsid w:val="00F54066"/>
    <w:rsid w:val="00F54109"/>
    <w:rsid w:val="00F5410D"/>
    <w:rsid w:val="00F54216"/>
    <w:rsid w:val="00F54278"/>
    <w:rsid w:val="00F542FD"/>
    <w:rsid w:val="00F5466C"/>
    <w:rsid w:val="00F54851"/>
    <w:rsid w:val="00F548C2"/>
    <w:rsid w:val="00F548F6"/>
    <w:rsid w:val="00F54BE0"/>
    <w:rsid w:val="00F54BFB"/>
    <w:rsid w:val="00F54C0A"/>
    <w:rsid w:val="00F54DD1"/>
    <w:rsid w:val="00F54DDB"/>
    <w:rsid w:val="00F54DF5"/>
    <w:rsid w:val="00F54E07"/>
    <w:rsid w:val="00F54EE5"/>
    <w:rsid w:val="00F5513E"/>
    <w:rsid w:val="00F551E2"/>
    <w:rsid w:val="00F552D4"/>
    <w:rsid w:val="00F55458"/>
    <w:rsid w:val="00F55474"/>
    <w:rsid w:val="00F554A0"/>
    <w:rsid w:val="00F55575"/>
    <w:rsid w:val="00F5557A"/>
    <w:rsid w:val="00F556AE"/>
    <w:rsid w:val="00F55741"/>
    <w:rsid w:val="00F558C1"/>
    <w:rsid w:val="00F558F7"/>
    <w:rsid w:val="00F55911"/>
    <w:rsid w:val="00F5597F"/>
    <w:rsid w:val="00F55AD2"/>
    <w:rsid w:val="00F55BA1"/>
    <w:rsid w:val="00F55BB8"/>
    <w:rsid w:val="00F55C55"/>
    <w:rsid w:val="00F55CE0"/>
    <w:rsid w:val="00F55D2C"/>
    <w:rsid w:val="00F55D38"/>
    <w:rsid w:val="00F55E84"/>
    <w:rsid w:val="00F55E87"/>
    <w:rsid w:val="00F55F23"/>
    <w:rsid w:val="00F56144"/>
    <w:rsid w:val="00F56169"/>
    <w:rsid w:val="00F56185"/>
    <w:rsid w:val="00F561AC"/>
    <w:rsid w:val="00F562CB"/>
    <w:rsid w:val="00F56316"/>
    <w:rsid w:val="00F563A6"/>
    <w:rsid w:val="00F564CD"/>
    <w:rsid w:val="00F5655F"/>
    <w:rsid w:val="00F56587"/>
    <w:rsid w:val="00F565C3"/>
    <w:rsid w:val="00F56775"/>
    <w:rsid w:val="00F5690E"/>
    <w:rsid w:val="00F56967"/>
    <w:rsid w:val="00F56A77"/>
    <w:rsid w:val="00F56B79"/>
    <w:rsid w:val="00F56BD5"/>
    <w:rsid w:val="00F56C13"/>
    <w:rsid w:val="00F56CC7"/>
    <w:rsid w:val="00F56CFF"/>
    <w:rsid w:val="00F56D9A"/>
    <w:rsid w:val="00F56DCE"/>
    <w:rsid w:val="00F56DEF"/>
    <w:rsid w:val="00F570B4"/>
    <w:rsid w:val="00F571A0"/>
    <w:rsid w:val="00F572A9"/>
    <w:rsid w:val="00F5732C"/>
    <w:rsid w:val="00F574F6"/>
    <w:rsid w:val="00F5755D"/>
    <w:rsid w:val="00F5756F"/>
    <w:rsid w:val="00F575DB"/>
    <w:rsid w:val="00F578F1"/>
    <w:rsid w:val="00F57904"/>
    <w:rsid w:val="00F57949"/>
    <w:rsid w:val="00F57A6D"/>
    <w:rsid w:val="00F57ABE"/>
    <w:rsid w:val="00F57ADB"/>
    <w:rsid w:val="00F57B07"/>
    <w:rsid w:val="00F57B7C"/>
    <w:rsid w:val="00F57C69"/>
    <w:rsid w:val="00F57C9E"/>
    <w:rsid w:val="00F57CAA"/>
    <w:rsid w:val="00F57CD0"/>
    <w:rsid w:val="00F57D27"/>
    <w:rsid w:val="00F57D5B"/>
    <w:rsid w:val="00F57DA2"/>
    <w:rsid w:val="00F57DD7"/>
    <w:rsid w:val="00F57ED1"/>
    <w:rsid w:val="00F57F15"/>
    <w:rsid w:val="00F57FB7"/>
    <w:rsid w:val="00F57FCC"/>
    <w:rsid w:val="00F60033"/>
    <w:rsid w:val="00F60060"/>
    <w:rsid w:val="00F600DF"/>
    <w:rsid w:val="00F600F1"/>
    <w:rsid w:val="00F600F9"/>
    <w:rsid w:val="00F6016E"/>
    <w:rsid w:val="00F60188"/>
    <w:rsid w:val="00F6020A"/>
    <w:rsid w:val="00F6043E"/>
    <w:rsid w:val="00F604BD"/>
    <w:rsid w:val="00F60538"/>
    <w:rsid w:val="00F605F1"/>
    <w:rsid w:val="00F6070D"/>
    <w:rsid w:val="00F6079F"/>
    <w:rsid w:val="00F60953"/>
    <w:rsid w:val="00F60969"/>
    <w:rsid w:val="00F6096A"/>
    <w:rsid w:val="00F609BA"/>
    <w:rsid w:val="00F609CA"/>
    <w:rsid w:val="00F609F9"/>
    <w:rsid w:val="00F60A77"/>
    <w:rsid w:val="00F60AAE"/>
    <w:rsid w:val="00F60ACD"/>
    <w:rsid w:val="00F60ACF"/>
    <w:rsid w:val="00F60B71"/>
    <w:rsid w:val="00F60BA2"/>
    <w:rsid w:val="00F60BF1"/>
    <w:rsid w:val="00F60D25"/>
    <w:rsid w:val="00F60D70"/>
    <w:rsid w:val="00F60E39"/>
    <w:rsid w:val="00F60E4F"/>
    <w:rsid w:val="00F60EAE"/>
    <w:rsid w:val="00F60FB1"/>
    <w:rsid w:val="00F61080"/>
    <w:rsid w:val="00F6109C"/>
    <w:rsid w:val="00F611AF"/>
    <w:rsid w:val="00F61277"/>
    <w:rsid w:val="00F612C2"/>
    <w:rsid w:val="00F61330"/>
    <w:rsid w:val="00F614C1"/>
    <w:rsid w:val="00F614FF"/>
    <w:rsid w:val="00F61512"/>
    <w:rsid w:val="00F61596"/>
    <w:rsid w:val="00F615AA"/>
    <w:rsid w:val="00F615F7"/>
    <w:rsid w:val="00F6169E"/>
    <w:rsid w:val="00F616BD"/>
    <w:rsid w:val="00F61709"/>
    <w:rsid w:val="00F61736"/>
    <w:rsid w:val="00F61790"/>
    <w:rsid w:val="00F617AC"/>
    <w:rsid w:val="00F61847"/>
    <w:rsid w:val="00F61896"/>
    <w:rsid w:val="00F618D8"/>
    <w:rsid w:val="00F61979"/>
    <w:rsid w:val="00F6199E"/>
    <w:rsid w:val="00F61A74"/>
    <w:rsid w:val="00F61B8D"/>
    <w:rsid w:val="00F61C7B"/>
    <w:rsid w:val="00F61CB2"/>
    <w:rsid w:val="00F61CC6"/>
    <w:rsid w:val="00F61D42"/>
    <w:rsid w:val="00F61D49"/>
    <w:rsid w:val="00F61E77"/>
    <w:rsid w:val="00F61E7F"/>
    <w:rsid w:val="00F61F7D"/>
    <w:rsid w:val="00F61FBC"/>
    <w:rsid w:val="00F62052"/>
    <w:rsid w:val="00F6222C"/>
    <w:rsid w:val="00F62249"/>
    <w:rsid w:val="00F62283"/>
    <w:rsid w:val="00F622A6"/>
    <w:rsid w:val="00F6236D"/>
    <w:rsid w:val="00F62393"/>
    <w:rsid w:val="00F623A1"/>
    <w:rsid w:val="00F623A4"/>
    <w:rsid w:val="00F623CE"/>
    <w:rsid w:val="00F625D3"/>
    <w:rsid w:val="00F6261F"/>
    <w:rsid w:val="00F626A9"/>
    <w:rsid w:val="00F62768"/>
    <w:rsid w:val="00F62813"/>
    <w:rsid w:val="00F6287B"/>
    <w:rsid w:val="00F628E5"/>
    <w:rsid w:val="00F62909"/>
    <w:rsid w:val="00F6295F"/>
    <w:rsid w:val="00F6298A"/>
    <w:rsid w:val="00F62C3A"/>
    <w:rsid w:val="00F62CB4"/>
    <w:rsid w:val="00F62CE8"/>
    <w:rsid w:val="00F62E90"/>
    <w:rsid w:val="00F62EDA"/>
    <w:rsid w:val="00F62F94"/>
    <w:rsid w:val="00F62FDC"/>
    <w:rsid w:val="00F63023"/>
    <w:rsid w:val="00F6303F"/>
    <w:rsid w:val="00F6312D"/>
    <w:rsid w:val="00F631F5"/>
    <w:rsid w:val="00F63201"/>
    <w:rsid w:val="00F63224"/>
    <w:rsid w:val="00F63272"/>
    <w:rsid w:val="00F6328B"/>
    <w:rsid w:val="00F63310"/>
    <w:rsid w:val="00F6338E"/>
    <w:rsid w:val="00F633A4"/>
    <w:rsid w:val="00F6342C"/>
    <w:rsid w:val="00F63434"/>
    <w:rsid w:val="00F63445"/>
    <w:rsid w:val="00F6345A"/>
    <w:rsid w:val="00F63471"/>
    <w:rsid w:val="00F6348A"/>
    <w:rsid w:val="00F634F6"/>
    <w:rsid w:val="00F635DB"/>
    <w:rsid w:val="00F63659"/>
    <w:rsid w:val="00F63672"/>
    <w:rsid w:val="00F6367D"/>
    <w:rsid w:val="00F63680"/>
    <w:rsid w:val="00F636B7"/>
    <w:rsid w:val="00F636DC"/>
    <w:rsid w:val="00F63732"/>
    <w:rsid w:val="00F63738"/>
    <w:rsid w:val="00F63854"/>
    <w:rsid w:val="00F6388C"/>
    <w:rsid w:val="00F6389D"/>
    <w:rsid w:val="00F63941"/>
    <w:rsid w:val="00F63A60"/>
    <w:rsid w:val="00F63ACE"/>
    <w:rsid w:val="00F63B73"/>
    <w:rsid w:val="00F63B79"/>
    <w:rsid w:val="00F63C81"/>
    <w:rsid w:val="00F63CC9"/>
    <w:rsid w:val="00F63D18"/>
    <w:rsid w:val="00F63D60"/>
    <w:rsid w:val="00F63D68"/>
    <w:rsid w:val="00F63E7E"/>
    <w:rsid w:val="00F63E8D"/>
    <w:rsid w:val="00F63ECB"/>
    <w:rsid w:val="00F63F44"/>
    <w:rsid w:val="00F6403C"/>
    <w:rsid w:val="00F64145"/>
    <w:rsid w:val="00F64240"/>
    <w:rsid w:val="00F642B1"/>
    <w:rsid w:val="00F64381"/>
    <w:rsid w:val="00F6447D"/>
    <w:rsid w:val="00F644CE"/>
    <w:rsid w:val="00F644F0"/>
    <w:rsid w:val="00F64512"/>
    <w:rsid w:val="00F645A9"/>
    <w:rsid w:val="00F645B3"/>
    <w:rsid w:val="00F645FD"/>
    <w:rsid w:val="00F6462B"/>
    <w:rsid w:val="00F64850"/>
    <w:rsid w:val="00F6486A"/>
    <w:rsid w:val="00F649DB"/>
    <w:rsid w:val="00F64C6C"/>
    <w:rsid w:val="00F64C97"/>
    <w:rsid w:val="00F64CCD"/>
    <w:rsid w:val="00F64DB6"/>
    <w:rsid w:val="00F64E58"/>
    <w:rsid w:val="00F64F00"/>
    <w:rsid w:val="00F64FF8"/>
    <w:rsid w:val="00F65043"/>
    <w:rsid w:val="00F650AF"/>
    <w:rsid w:val="00F650D7"/>
    <w:rsid w:val="00F6514B"/>
    <w:rsid w:val="00F651D6"/>
    <w:rsid w:val="00F651FB"/>
    <w:rsid w:val="00F6526E"/>
    <w:rsid w:val="00F652E4"/>
    <w:rsid w:val="00F6536B"/>
    <w:rsid w:val="00F6537D"/>
    <w:rsid w:val="00F6541A"/>
    <w:rsid w:val="00F654A9"/>
    <w:rsid w:val="00F65546"/>
    <w:rsid w:val="00F656F2"/>
    <w:rsid w:val="00F656FA"/>
    <w:rsid w:val="00F6571B"/>
    <w:rsid w:val="00F65731"/>
    <w:rsid w:val="00F658DE"/>
    <w:rsid w:val="00F6590F"/>
    <w:rsid w:val="00F65971"/>
    <w:rsid w:val="00F659E4"/>
    <w:rsid w:val="00F65A4D"/>
    <w:rsid w:val="00F65A5C"/>
    <w:rsid w:val="00F65A6A"/>
    <w:rsid w:val="00F65B24"/>
    <w:rsid w:val="00F65B44"/>
    <w:rsid w:val="00F65C42"/>
    <w:rsid w:val="00F65C4D"/>
    <w:rsid w:val="00F65CE0"/>
    <w:rsid w:val="00F65DD1"/>
    <w:rsid w:val="00F65E52"/>
    <w:rsid w:val="00F65E94"/>
    <w:rsid w:val="00F65EA6"/>
    <w:rsid w:val="00F65F47"/>
    <w:rsid w:val="00F65F7B"/>
    <w:rsid w:val="00F65F7E"/>
    <w:rsid w:val="00F65FDA"/>
    <w:rsid w:val="00F65FEC"/>
    <w:rsid w:val="00F6601F"/>
    <w:rsid w:val="00F6603D"/>
    <w:rsid w:val="00F66326"/>
    <w:rsid w:val="00F665E9"/>
    <w:rsid w:val="00F66695"/>
    <w:rsid w:val="00F66766"/>
    <w:rsid w:val="00F66841"/>
    <w:rsid w:val="00F66A1A"/>
    <w:rsid w:val="00F66B60"/>
    <w:rsid w:val="00F66BD0"/>
    <w:rsid w:val="00F66DBD"/>
    <w:rsid w:val="00F66E26"/>
    <w:rsid w:val="00F66E4F"/>
    <w:rsid w:val="00F66ED9"/>
    <w:rsid w:val="00F66F49"/>
    <w:rsid w:val="00F66F97"/>
    <w:rsid w:val="00F67006"/>
    <w:rsid w:val="00F670A3"/>
    <w:rsid w:val="00F671D0"/>
    <w:rsid w:val="00F6721E"/>
    <w:rsid w:val="00F6721F"/>
    <w:rsid w:val="00F6736B"/>
    <w:rsid w:val="00F673A9"/>
    <w:rsid w:val="00F67400"/>
    <w:rsid w:val="00F67404"/>
    <w:rsid w:val="00F6741B"/>
    <w:rsid w:val="00F67480"/>
    <w:rsid w:val="00F6750D"/>
    <w:rsid w:val="00F67537"/>
    <w:rsid w:val="00F676A5"/>
    <w:rsid w:val="00F676F2"/>
    <w:rsid w:val="00F676F3"/>
    <w:rsid w:val="00F67733"/>
    <w:rsid w:val="00F677F7"/>
    <w:rsid w:val="00F677FA"/>
    <w:rsid w:val="00F67829"/>
    <w:rsid w:val="00F678C5"/>
    <w:rsid w:val="00F678CE"/>
    <w:rsid w:val="00F67982"/>
    <w:rsid w:val="00F679B5"/>
    <w:rsid w:val="00F67A48"/>
    <w:rsid w:val="00F67A90"/>
    <w:rsid w:val="00F67AB4"/>
    <w:rsid w:val="00F67BC2"/>
    <w:rsid w:val="00F67C07"/>
    <w:rsid w:val="00F67C25"/>
    <w:rsid w:val="00F67C48"/>
    <w:rsid w:val="00F67C49"/>
    <w:rsid w:val="00F67CA6"/>
    <w:rsid w:val="00F67CAE"/>
    <w:rsid w:val="00F67D59"/>
    <w:rsid w:val="00F67E3C"/>
    <w:rsid w:val="00F67EAB"/>
    <w:rsid w:val="00F67EB4"/>
    <w:rsid w:val="00F67EF3"/>
    <w:rsid w:val="00F67F64"/>
    <w:rsid w:val="00F67FC6"/>
    <w:rsid w:val="00F70016"/>
    <w:rsid w:val="00F70051"/>
    <w:rsid w:val="00F70081"/>
    <w:rsid w:val="00F700B9"/>
    <w:rsid w:val="00F70275"/>
    <w:rsid w:val="00F702A1"/>
    <w:rsid w:val="00F7034B"/>
    <w:rsid w:val="00F7046E"/>
    <w:rsid w:val="00F70510"/>
    <w:rsid w:val="00F7054A"/>
    <w:rsid w:val="00F70597"/>
    <w:rsid w:val="00F7059F"/>
    <w:rsid w:val="00F705F8"/>
    <w:rsid w:val="00F70712"/>
    <w:rsid w:val="00F707A7"/>
    <w:rsid w:val="00F707DB"/>
    <w:rsid w:val="00F70801"/>
    <w:rsid w:val="00F708F3"/>
    <w:rsid w:val="00F70951"/>
    <w:rsid w:val="00F7097F"/>
    <w:rsid w:val="00F709A9"/>
    <w:rsid w:val="00F709DD"/>
    <w:rsid w:val="00F709E9"/>
    <w:rsid w:val="00F70A0B"/>
    <w:rsid w:val="00F70A7C"/>
    <w:rsid w:val="00F70B41"/>
    <w:rsid w:val="00F70BDE"/>
    <w:rsid w:val="00F70D0A"/>
    <w:rsid w:val="00F70D2B"/>
    <w:rsid w:val="00F70D9C"/>
    <w:rsid w:val="00F70F4D"/>
    <w:rsid w:val="00F70F7B"/>
    <w:rsid w:val="00F70F7E"/>
    <w:rsid w:val="00F70FD3"/>
    <w:rsid w:val="00F71112"/>
    <w:rsid w:val="00F71152"/>
    <w:rsid w:val="00F712A2"/>
    <w:rsid w:val="00F712F8"/>
    <w:rsid w:val="00F7136E"/>
    <w:rsid w:val="00F7153E"/>
    <w:rsid w:val="00F71629"/>
    <w:rsid w:val="00F71632"/>
    <w:rsid w:val="00F71713"/>
    <w:rsid w:val="00F71724"/>
    <w:rsid w:val="00F7188F"/>
    <w:rsid w:val="00F718B4"/>
    <w:rsid w:val="00F718E5"/>
    <w:rsid w:val="00F719AC"/>
    <w:rsid w:val="00F71A45"/>
    <w:rsid w:val="00F71B06"/>
    <w:rsid w:val="00F71B2B"/>
    <w:rsid w:val="00F71BA5"/>
    <w:rsid w:val="00F71BB3"/>
    <w:rsid w:val="00F71C26"/>
    <w:rsid w:val="00F71D9B"/>
    <w:rsid w:val="00F71E33"/>
    <w:rsid w:val="00F71E74"/>
    <w:rsid w:val="00F71EC5"/>
    <w:rsid w:val="00F71EE8"/>
    <w:rsid w:val="00F71F58"/>
    <w:rsid w:val="00F71F70"/>
    <w:rsid w:val="00F72063"/>
    <w:rsid w:val="00F7211C"/>
    <w:rsid w:val="00F7212B"/>
    <w:rsid w:val="00F72157"/>
    <w:rsid w:val="00F72211"/>
    <w:rsid w:val="00F7234B"/>
    <w:rsid w:val="00F72363"/>
    <w:rsid w:val="00F72567"/>
    <w:rsid w:val="00F72582"/>
    <w:rsid w:val="00F725FC"/>
    <w:rsid w:val="00F72639"/>
    <w:rsid w:val="00F728B5"/>
    <w:rsid w:val="00F7293E"/>
    <w:rsid w:val="00F72982"/>
    <w:rsid w:val="00F729D0"/>
    <w:rsid w:val="00F72B10"/>
    <w:rsid w:val="00F72B63"/>
    <w:rsid w:val="00F72BAD"/>
    <w:rsid w:val="00F72C9B"/>
    <w:rsid w:val="00F72D0C"/>
    <w:rsid w:val="00F72DE1"/>
    <w:rsid w:val="00F72E5A"/>
    <w:rsid w:val="00F72E65"/>
    <w:rsid w:val="00F72E71"/>
    <w:rsid w:val="00F72F1E"/>
    <w:rsid w:val="00F7300B"/>
    <w:rsid w:val="00F7307B"/>
    <w:rsid w:val="00F730CC"/>
    <w:rsid w:val="00F73294"/>
    <w:rsid w:val="00F7332F"/>
    <w:rsid w:val="00F733ED"/>
    <w:rsid w:val="00F735FB"/>
    <w:rsid w:val="00F73605"/>
    <w:rsid w:val="00F73614"/>
    <w:rsid w:val="00F73628"/>
    <w:rsid w:val="00F7367E"/>
    <w:rsid w:val="00F7369C"/>
    <w:rsid w:val="00F736BB"/>
    <w:rsid w:val="00F736F9"/>
    <w:rsid w:val="00F73757"/>
    <w:rsid w:val="00F7375C"/>
    <w:rsid w:val="00F737B1"/>
    <w:rsid w:val="00F738EA"/>
    <w:rsid w:val="00F738F0"/>
    <w:rsid w:val="00F73AD9"/>
    <w:rsid w:val="00F73BE5"/>
    <w:rsid w:val="00F73C91"/>
    <w:rsid w:val="00F73CC0"/>
    <w:rsid w:val="00F73CDE"/>
    <w:rsid w:val="00F73F57"/>
    <w:rsid w:val="00F73F61"/>
    <w:rsid w:val="00F73F7B"/>
    <w:rsid w:val="00F73FD1"/>
    <w:rsid w:val="00F73FE4"/>
    <w:rsid w:val="00F74003"/>
    <w:rsid w:val="00F74047"/>
    <w:rsid w:val="00F74063"/>
    <w:rsid w:val="00F7406E"/>
    <w:rsid w:val="00F7408A"/>
    <w:rsid w:val="00F74091"/>
    <w:rsid w:val="00F740FF"/>
    <w:rsid w:val="00F74142"/>
    <w:rsid w:val="00F74182"/>
    <w:rsid w:val="00F741A1"/>
    <w:rsid w:val="00F7429D"/>
    <w:rsid w:val="00F742F0"/>
    <w:rsid w:val="00F7434A"/>
    <w:rsid w:val="00F74431"/>
    <w:rsid w:val="00F744C7"/>
    <w:rsid w:val="00F74574"/>
    <w:rsid w:val="00F7459B"/>
    <w:rsid w:val="00F7466A"/>
    <w:rsid w:val="00F746CF"/>
    <w:rsid w:val="00F74720"/>
    <w:rsid w:val="00F74724"/>
    <w:rsid w:val="00F74746"/>
    <w:rsid w:val="00F747E2"/>
    <w:rsid w:val="00F7492A"/>
    <w:rsid w:val="00F74989"/>
    <w:rsid w:val="00F749DD"/>
    <w:rsid w:val="00F74B3B"/>
    <w:rsid w:val="00F74B46"/>
    <w:rsid w:val="00F74B95"/>
    <w:rsid w:val="00F74B99"/>
    <w:rsid w:val="00F74C7A"/>
    <w:rsid w:val="00F74D1E"/>
    <w:rsid w:val="00F74E3E"/>
    <w:rsid w:val="00F74E74"/>
    <w:rsid w:val="00F74E94"/>
    <w:rsid w:val="00F74FE6"/>
    <w:rsid w:val="00F74FF7"/>
    <w:rsid w:val="00F75123"/>
    <w:rsid w:val="00F75191"/>
    <w:rsid w:val="00F75220"/>
    <w:rsid w:val="00F752D8"/>
    <w:rsid w:val="00F7533C"/>
    <w:rsid w:val="00F7536A"/>
    <w:rsid w:val="00F75374"/>
    <w:rsid w:val="00F75379"/>
    <w:rsid w:val="00F753B5"/>
    <w:rsid w:val="00F75486"/>
    <w:rsid w:val="00F7556B"/>
    <w:rsid w:val="00F755B4"/>
    <w:rsid w:val="00F7563B"/>
    <w:rsid w:val="00F75708"/>
    <w:rsid w:val="00F75832"/>
    <w:rsid w:val="00F75867"/>
    <w:rsid w:val="00F7588C"/>
    <w:rsid w:val="00F758C6"/>
    <w:rsid w:val="00F7591A"/>
    <w:rsid w:val="00F75A96"/>
    <w:rsid w:val="00F75AB0"/>
    <w:rsid w:val="00F75B4A"/>
    <w:rsid w:val="00F75BDC"/>
    <w:rsid w:val="00F75C13"/>
    <w:rsid w:val="00F75C63"/>
    <w:rsid w:val="00F75CC4"/>
    <w:rsid w:val="00F75D45"/>
    <w:rsid w:val="00F75D4D"/>
    <w:rsid w:val="00F75DBB"/>
    <w:rsid w:val="00F75E56"/>
    <w:rsid w:val="00F75EC3"/>
    <w:rsid w:val="00F760C0"/>
    <w:rsid w:val="00F760C9"/>
    <w:rsid w:val="00F760D5"/>
    <w:rsid w:val="00F760F2"/>
    <w:rsid w:val="00F760FF"/>
    <w:rsid w:val="00F76187"/>
    <w:rsid w:val="00F761AE"/>
    <w:rsid w:val="00F761DA"/>
    <w:rsid w:val="00F761E9"/>
    <w:rsid w:val="00F763B9"/>
    <w:rsid w:val="00F76415"/>
    <w:rsid w:val="00F7641A"/>
    <w:rsid w:val="00F764BB"/>
    <w:rsid w:val="00F76593"/>
    <w:rsid w:val="00F7663B"/>
    <w:rsid w:val="00F76693"/>
    <w:rsid w:val="00F766B5"/>
    <w:rsid w:val="00F767C7"/>
    <w:rsid w:val="00F76835"/>
    <w:rsid w:val="00F7685F"/>
    <w:rsid w:val="00F7688E"/>
    <w:rsid w:val="00F768B4"/>
    <w:rsid w:val="00F7692D"/>
    <w:rsid w:val="00F7699E"/>
    <w:rsid w:val="00F769E3"/>
    <w:rsid w:val="00F76A3E"/>
    <w:rsid w:val="00F76A8C"/>
    <w:rsid w:val="00F76C32"/>
    <w:rsid w:val="00F76CE2"/>
    <w:rsid w:val="00F76EAF"/>
    <w:rsid w:val="00F76ED8"/>
    <w:rsid w:val="00F76FDA"/>
    <w:rsid w:val="00F77131"/>
    <w:rsid w:val="00F771B7"/>
    <w:rsid w:val="00F7720F"/>
    <w:rsid w:val="00F772B5"/>
    <w:rsid w:val="00F772D5"/>
    <w:rsid w:val="00F772F1"/>
    <w:rsid w:val="00F7732C"/>
    <w:rsid w:val="00F775BD"/>
    <w:rsid w:val="00F77681"/>
    <w:rsid w:val="00F7777F"/>
    <w:rsid w:val="00F7788E"/>
    <w:rsid w:val="00F778B3"/>
    <w:rsid w:val="00F778E8"/>
    <w:rsid w:val="00F77B4D"/>
    <w:rsid w:val="00F77C7D"/>
    <w:rsid w:val="00F77DDF"/>
    <w:rsid w:val="00F77E10"/>
    <w:rsid w:val="00F77E53"/>
    <w:rsid w:val="00F77F4A"/>
    <w:rsid w:val="00F77FC8"/>
    <w:rsid w:val="00F77FD8"/>
    <w:rsid w:val="00F77FDC"/>
    <w:rsid w:val="00F8001E"/>
    <w:rsid w:val="00F80032"/>
    <w:rsid w:val="00F80090"/>
    <w:rsid w:val="00F801EC"/>
    <w:rsid w:val="00F802FB"/>
    <w:rsid w:val="00F80370"/>
    <w:rsid w:val="00F80421"/>
    <w:rsid w:val="00F8044A"/>
    <w:rsid w:val="00F80455"/>
    <w:rsid w:val="00F8055C"/>
    <w:rsid w:val="00F80608"/>
    <w:rsid w:val="00F806BC"/>
    <w:rsid w:val="00F80787"/>
    <w:rsid w:val="00F80790"/>
    <w:rsid w:val="00F807D6"/>
    <w:rsid w:val="00F807E0"/>
    <w:rsid w:val="00F80837"/>
    <w:rsid w:val="00F808F8"/>
    <w:rsid w:val="00F80A55"/>
    <w:rsid w:val="00F80A6A"/>
    <w:rsid w:val="00F80ABA"/>
    <w:rsid w:val="00F80AC3"/>
    <w:rsid w:val="00F80AEE"/>
    <w:rsid w:val="00F80B35"/>
    <w:rsid w:val="00F80BC0"/>
    <w:rsid w:val="00F80C63"/>
    <w:rsid w:val="00F80D4C"/>
    <w:rsid w:val="00F80DF1"/>
    <w:rsid w:val="00F80E0C"/>
    <w:rsid w:val="00F80E65"/>
    <w:rsid w:val="00F80F7D"/>
    <w:rsid w:val="00F80F84"/>
    <w:rsid w:val="00F81011"/>
    <w:rsid w:val="00F811A1"/>
    <w:rsid w:val="00F812D9"/>
    <w:rsid w:val="00F81306"/>
    <w:rsid w:val="00F813E4"/>
    <w:rsid w:val="00F813EB"/>
    <w:rsid w:val="00F813F1"/>
    <w:rsid w:val="00F813FA"/>
    <w:rsid w:val="00F81432"/>
    <w:rsid w:val="00F814CD"/>
    <w:rsid w:val="00F814D2"/>
    <w:rsid w:val="00F81670"/>
    <w:rsid w:val="00F816FD"/>
    <w:rsid w:val="00F8175F"/>
    <w:rsid w:val="00F8179F"/>
    <w:rsid w:val="00F81804"/>
    <w:rsid w:val="00F81845"/>
    <w:rsid w:val="00F8186A"/>
    <w:rsid w:val="00F818EB"/>
    <w:rsid w:val="00F81A4B"/>
    <w:rsid w:val="00F81AF6"/>
    <w:rsid w:val="00F81B8F"/>
    <w:rsid w:val="00F81BD5"/>
    <w:rsid w:val="00F81C05"/>
    <w:rsid w:val="00F81C2E"/>
    <w:rsid w:val="00F81C45"/>
    <w:rsid w:val="00F81D66"/>
    <w:rsid w:val="00F81DE9"/>
    <w:rsid w:val="00F81E0C"/>
    <w:rsid w:val="00F81E13"/>
    <w:rsid w:val="00F81E9E"/>
    <w:rsid w:val="00F81F1B"/>
    <w:rsid w:val="00F81FBB"/>
    <w:rsid w:val="00F82074"/>
    <w:rsid w:val="00F82145"/>
    <w:rsid w:val="00F82193"/>
    <w:rsid w:val="00F8220C"/>
    <w:rsid w:val="00F82213"/>
    <w:rsid w:val="00F82222"/>
    <w:rsid w:val="00F82315"/>
    <w:rsid w:val="00F82357"/>
    <w:rsid w:val="00F8236E"/>
    <w:rsid w:val="00F82371"/>
    <w:rsid w:val="00F82491"/>
    <w:rsid w:val="00F82588"/>
    <w:rsid w:val="00F82661"/>
    <w:rsid w:val="00F82666"/>
    <w:rsid w:val="00F82681"/>
    <w:rsid w:val="00F8279E"/>
    <w:rsid w:val="00F827AF"/>
    <w:rsid w:val="00F827CF"/>
    <w:rsid w:val="00F827D0"/>
    <w:rsid w:val="00F82968"/>
    <w:rsid w:val="00F82A9C"/>
    <w:rsid w:val="00F82AA5"/>
    <w:rsid w:val="00F82B4E"/>
    <w:rsid w:val="00F82B96"/>
    <w:rsid w:val="00F82CE1"/>
    <w:rsid w:val="00F82D2C"/>
    <w:rsid w:val="00F82E14"/>
    <w:rsid w:val="00F82E17"/>
    <w:rsid w:val="00F82F0B"/>
    <w:rsid w:val="00F82F87"/>
    <w:rsid w:val="00F830D7"/>
    <w:rsid w:val="00F831B7"/>
    <w:rsid w:val="00F833BD"/>
    <w:rsid w:val="00F833BF"/>
    <w:rsid w:val="00F833F5"/>
    <w:rsid w:val="00F8350C"/>
    <w:rsid w:val="00F83566"/>
    <w:rsid w:val="00F8356C"/>
    <w:rsid w:val="00F835F3"/>
    <w:rsid w:val="00F83652"/>
    <w:rsid w:val="00F836BB"/>
    <w:rsid w:val="00F837D4"/>
    <w:rsid w:val="00F839F9"/>
    <w:rsid w:val="00F83A6C"/>
    <w:rsid w:val="00F83A73"/>
    <w:rsid w:val="00F83ADB"/>
    <w:rsid w:val="00F83B7E"/>
    <w:rsid w:val="00F83BA0"/>
    <w:rsid w:val="00F83C00"/>
    <w:rsid w:val="00F83C4E"/>
    <w:rsid w:val="00F83C54"/>
    <w:rsid w:val="00F83C5C"/>
    <w:rsid w:val="00F83CAC"/>
    <w:rsid w:val="00F83DF4"/>
    <w:rsid w:val="00F83E90"/>
    <w:rsid w:val="00F83EC3"/>
    <w:rsid w:val="00F83EE3"/>
    <w:rsid w:val="00F83FED"/>
    <w:rsid w:val="00F8405E"/>
    <w:rsid w:val="00F84088"/>
    <w:rsid w:val="00F8408D"/>
    <w:rsid w:val="00F84110"/>
    <w:rsid w:val="00F84136"/>
    <w:rsid w:val="00F84198"/>
    <w:rsid w:val="00F841F7"/>
    <w:rsid w:val="00F841FA"/>
    <w:rsid w:val="00F842C1"/>
    <w:rsid w:val="00F844DE"/>
    <w:rsid w:val="00F844EC"/>
    <w:rsid w:val="00F84593"/>
    <w:rsid w:val="00F845A1"/>
    <w:rsid w:val="00F84620"/>
    <w:rsid w:val="00F847F9"/>
    <w:rsid w:val="00F84876"/>
    <w:rsid w:val="00F84A66"/>
    <w:rsid w:val="00F84B4C"/>
    <w:rsid w:val="00F84D77"/>
    <w:rsid w:val="00F84D7D"/>
    <w:rsid w:val="00F84DB7"/>
    <w:rsid w:val="00F84DFC"/>
    <w:rsid w:val="00F84E0B"/>
    <w:rsid w:val="00F84E57"/>
    <w:rsid w:val="00F84E69"/>
    <w:rsid w:val="00F84F1A"/>
    <w:rsid w:val="00F84F4A"/>
    <w:rsid w:val="00F8505A"/>
    <w:rsid w:val="00F850DE"/>
    <w:rsid w:val="00F85117"/>
    <w:rsid w:val="00F85133"/>
    <w:rsid w:val="00F85135"/>
    <w:rsid w:val="00F85169"/>
    <w:rsid w:val="00F85221"/>
    <w:rsid w:val="00F85227"/>
    <w:rsid w:val="00F852A9"/>
    <w:rsid w:val="00F853B7"/>
    <w:rsid w:val="00F853C1"/>
    <w:rsid w:val="00F8549A"/>
    <w:rsid w:val="00F8552F"/>
    <w:rsid w:val="00F85550"/>
    <w:rsid w:val="00F8555E"/>
    <w:rsid w:val="00F855AC"/>
    <w:rsid w:val="00F855F9"/>
    <w:rsid w:val="00F85667"/>
    <w:rsid w:val="00F856E0"/>
    <w:rsid w:val="00F85778"/>
    <w:rsid w:val="00F8580A"/>
    <w:rsid w:val="00F8592F"/>
    <w:rsid w:val="00F85981"/>
    <w:rsid w:val="00F85AA5"/>
    <w:rsid w:val="00F85ACD"/>
    <w:rsid w:val="00F85AD5"/>
    <w:rsid w:val="00F85AE7"/>
    <w:rsid w:val="00F85B4F"/>
    <w:rsid w:val="00F85B66"/>
    <w:rsid w:val="00F85BBF"/>
    <w:rsid w:val="00F85C26"/>
    <w:rsid w:val="00F85C2D"/>
    <w:rsid w:val="00F85C60"/>
    <w:rsid w:val="00F85D58"/>
    <w:rsid w:val="00F85E72"/>
    <w:rsid w:val="00F85EBE"/>
    <w:rsid w:val="00F85F44"/>
    <w:rsid w:val="00F85FC0"/>
    <w:rsid w:val="00F85FF0"/>
    <w:rsid w:val="00F86017"/>
    <w:rsid w:val="00F8602A"/>
    <w:rsid w:val="00F86048"/>
    <w:rsid w:val="00F86078"/>
    <w:rsid w:val="00F860CD"/>
    <w:rsid w:val="00F860CF"/>
    <w:rsid w:val="00F860DA"/>
    <w:rsid w:val="00F8614B"/>
    <w:rsid w:val="00F861C0"/>
    <w:rsid w:val="00F86216"/>
    <w:rsid w:val="00F862AD"/>
    <w:rsid w:val="00F862B3"/>
    <w:rsid w:val="00F86365"/>
    <w:rsid w:val="00F863A4"/>
    <w:rsid w:val="00F863AD"/>
    <w:rsid w:val="00F863EF"/>
    <w:rsid w:val="00F8644C"/>
    <w:rsid w:val="00F8653F"/>
    <w:rsid w:val="00F865C7"/>
    <w:rsid w:val="00F8661A"/>
    <w:rsid w:val="00F86634"/>
    <w:rsid w:val="00F86686"/>
    <w:rsid w:val="00F866BA"/>
    <w:rsid w:val="00F866BB"/>
    <w:rsid w:val="00F866EB"/>
    <w:rsid w:val="00F867D6"/>
    <w:rsid w:val="00F867EA"/>
    <w:rsid w:val="00F8684F"/>
    <w:rsid w:val="00F868E4"/>
    <w:rsid w:val="00F868FE"/>
    <w:rsid w:val="00F8694C"/>
    <w:rsid w:val="00F86A90"/>
    <w:rsid w:val="00F86AA0"/>
    <w:rsid w:val="00F86AAB"/>
    <w:rsid w:val="00F86B92"/>
    <w:rsid w:val="00F86DE0"/>
    <w:rsid w:val="00F86DE5"/>
    <w:rsid w:val="00F86E1F"/>
    <w:rsid w:val="00F86E55"/>
    <w:rsid w:val="00F86E87"/>
    <w:rsid w:val="00F86F05"/>
    <w:rsid w:val="00F86F65"/>
    <w:rsid w:val="00F87019"/>
    <w:rsid w:val="00F87139"/>
    <w:rsid w:val="00F8717B"/>
    <w:rsid w:val="00F871DE"/>
    <w:rsid w:val="00F871E5"/>
    <w:rsid w:val="00F87213"/>
    <w:rsid w:val="00F872DE"/>
    <w:rsid w:val="00F8737E"/>
    <w:rsid w:val="00F87404"/>
    <w:rsid w:val="00F87410"/>
    <w:rsid w:val="00F8747E"/>
    <w:rsid w:val="00F874C9"/>
    <w:rsid w:val="00F87587"/>
    <w:rsid w:val="00F87601"/>
    <w:rsid w:val="00F8767B"/>
    <w:rsid w:val="00F87764"/>
    <w:rsid w:val="00F87809"/>
    <w:rsid w:val="00F8784D"/>
    <w:rsid w:val="00F878A0"/>
    <w:rsid w:val="00F878B5"/>
    <w:rsid w:val="00F878E1"/>
    <w:rsid w:val="00F8798F"/>
    <w:rsid w:val="00F87A68"/>
    <w:rsid w:val="00F87AC0"/>
    <w:rsid w:val="00F87B07"/>
    <w:rsid w:val="00F87B4C"/>
    <w:rsid w:val="00F87C1B"/>
    <w:rsid w:val="00F87C6D"/>
    <w:rsid w:val="00F87C6E"/>
    <w:rsid w:val="00F87C78"/>
    <w:rsid w:val="00F87D32"/>
    <w:rsid w:val="00F87D40"/>
    <w:rsid w:val="00F87D77"/>
    <w:rsid w:val="00F87EC6"/>
    <w:rsid w:val="00F87FC2"/>
    <w:rsid w:val="00F90011"/>
    <w:rsid w:val="00F90041"/>
    <w:rsid w:val="00F900A0"/>
    <w:rsid w:val="00F900AE"/>
    <w:rsid w:val="00F900FE"/>
    <w:rsid w:val="00F90135"/>
    <w:rsid w:val="00F901BD"/>
    <w:rsid w:val="00F90283"/>
    <w:rsid w:val="00F90303"/>
    <w:rsid w:val="00F9034C"/>
    <w:rsid w:val="00F903AD"/>
    <w:rsid w:val="00F903E4"/>
    <w:rsid w:val="00F90433"/>
    <w:rsid w:val="00F9045F"/>
    <w:rsid w:val="00F90543"/>
    <w:rsid w:val="00F90563"/>
    <w:rsid w:val="00F90629"/>
    <w:rsid w:val="00F9066A"/>
    <w:rsid w:val="00F9069A"/>
    <w:rsid w:val="00F907CB"/>
    <w:rsid w:val="00F9092A"/>
    <w:rsid w:val="00F90982"/>
    <w:rsid w:val="00F90983"/>
    <w:rsid w:val="00F909A1"/>
    <w:rsid w:val="00F909B4"/>
    <w:rsid w:val="00F90A05"/>
    <w:rsid w:val="00F90A67"/>
    <w:rsid w:val="00F90A69"/>
    <w:rsid w:val="00F90BCA"/>
    <w:rsid w:val="00F90D3B"/>
    <w:rsid w:val="00F90E94"/>
    <w:rsid w:val="00F90EE1"/>
    <w:rsid w:val="00F90F47"/>
    <w:rsid w:val="00F90F50"/>
    <w:rsid w:val="00F90F52"/>
    <w:rsid w:val="00F90F6D"/>
    <w:rsid w:val="00F91034"/>
    <w:rsid w:val="00F91057"/>
    <w:rsid w:val="00F91186"/>
    <w:rsid w:val="00F911A3"/>
    <w:rsid w:val="00F911BB"/>
    <w:rsid w:val="00F9120B"/>
    <w:rsid w:val="00F9121F"/>
    <w:rsid w:val="00F912DE"/>
    <w:rsid w:val="00F9135A"/>
    <w:rsid w:val="00F913AC"/>
    <w:rsid w:val="00F91412"/>
    <w:rsid w:val="00F9147E"/>
    <w:rsid w:val="00F91488"/>
    <w:rsid w:val="00F914CB"/>
    <w:rsid w:val="00F91523"/>
    <w:rsid w:val="00F915BB"/>
    <w:rsid w:val="00F915DA"/>
    <w:rsid w:val="00F916D5"/>
    <w:rsid w:val="00F91743"/>
    <w:rsid w:val="00F9176F"/>
    <w:rsid w:val="00F917AE"/>
    <w:rsid w:val="00F917DD"/>
    <w:rsid w:val="00F91A22"/>
    <w:rsid w:val="00F91B73"/>
    <w:rsid w:val="00F91C91"/>
    <w:rsid w:val="00F91D3F"/>
    <w:rsid w:val="00F91DBC"/>
    <w:rsid w:val="00F91EBD"/>
    <w:rsid w:val="00F91F39"/>
    <w:rsid w:val="00F91F40"/>
    <w:rsid w:val="00F91F59"/>
    <w:rsid w:val="00F92064"/>
    <w:rsid w:val="00F92105"/>
    <w:rsid w:val="00F921D7"/>
    <w:rsid w:val="00F9226F"/>
    <w:rsid w:val="00F9227C"/>
    <w:rsid w:val="00F922F1"/>
    <w:rsid w:val="00F922FE"/>
    <w:rsid w:val="00F92365"/>
    <w:rsid w:val="00F923B1"/>
    <w:rsid w:val="00F923C2"/>
    <w:rsid w:val="00F923C3"/>
    <w:rsid w:val="00F923ED"/>
    <w:rsid w:val="00F92543"/>
    <w:rsid w:val="00F926B7"/>
    <w:rsid w:val="00F92727"/>
    <w:rsid w:val="00F92793"/>
    <w:rsid w:val="00F927D0"/>
    <w:rsid w:val="00F927EE"/>
    <w:rsid w:val="00F92821"/>
    <w:rsid w:val="00F9297B"/>
    <w:rsid w:val="00F92A1B"/>
    <w:rsid w:val="00F92AA9"/>
    <w:rsid w:val="00F92ACE"/>
    <w:rsid w:val="00F92B29"/>
    <w:rsid w:val="00F92BE6"/>
    <w:rsid w:val="00F92C01"/>
    <w:rsid w:val="00F92C25"/>
    <w:rsid w:val="00F92C80"/>
    <w:rsid w:val="00F92C83"/>
    <w:rsid w:val="00F92DC8"/>
    <w:rsid w:val="00F92E9C"/>
    <w:rsid w:val="00F92FC3"/>
    <w:rsid w:val="00F93065"/>
    <w:rsid w:val="00F930AC"/>
    <w:rsid w:val="00F93177"/>
    <w:rsid w:val="00F931B3"/>
    <w:rsid w:val="00F9322C"/>
    <w:rsid w:val="00F93248"/>
    <w:rsid w:val="00F932FA"/>
    <w:rsid w:val="00F9330C"/>
    <w:rsid w:val="00F93332"/>
    <w:rsid w:val="00F9333C"/>
    <w:rsid w:val="00F934C9"/>
    <w:rsid w:val="00F935BE"/>
    <w:rsid w:val="00F935DB"/>
    <w:rsid w:val="00F935FE"/>
    <w:rsid w:val="00F93601"/>
    <w:rsid w:val="00F93626"/>
    <w:rsid w:val="00F937B5"/>
    <w:rsid w:val="00F93838"/>
    <w:rsid w:val="00F938A5"/>
    <w:rsid w:val="00F938EE"/>
    <w:rsid w:val="00F93921"/>
    <w:rsid w:val="00F93A34"/>
    <w:rsid w:val="00F93B2E"/>
    <w:rsid w:val="00F93B4E"/>
    <w:rsid w:val="00F93CE5"/>
    <w:rsid w:val="00F93E58"/>
    <w:rsid w:val="00F93F63"/>
    <w:rsid w:val="00F93FB4"/>
    <w:rsid w:val="00F93FB5"/>
    <w:rsid w:val="00F93FC3"/>
    <w:rsid w:val="00F94002"/>
    <w:rsid w:val="00F940B1"/>
    <w:rsid w:val="00F940EA"/>
    <w:rsid w:val="00F94144"/>
    <w:rsid w:val="00F94185"/>
    <w:rsid w:val="00F9420D"/>
    <w:rsid w:val="00F9426F"/>
    <w:rsid w:val="00F94271"/>
    <w:rsid w:val="00F9433E"/>
    <w:rsid w:val="00F94373"/>
    <w:rsid w:val="00F944F2"/>
    <w:rsid w:val="00F9456F"/>
    <w:rsid w:val="00F945A6"/>
    <w:rsid w:val="00F945AE"/>
    <w:rsid w:val="00F945FC"/>
    <w:rsid w:val="00F946B5"/>
    <w:rsid w:val="00F946D7"/>
    <w:rsid w:val="00F9472E"/>
    <w:rsid w:val="00F94760"/>
    <w:rsid w:val="00F9486F"/>
    <w:rsid w:val="00F9487A"/>
    <w:rsid w:val="00F94880"/>
    <w:rsid w:val="00F948FC"/>
    <w:rsid w:val="00F949E3"/>
    <w:rsid w:val="00F94AAD"/>
    <w:rsid w:val="00F94C1A"/>
    <w:rsid w:val="00F94C2D"/>
    <w:rsid w:val="00F94C40"/>
    <w:rsid w:val="00F94C8E"/>
    <w:rsid w:val="00F94E38"/>
    <w:rsid w:val="00F94E93"/>
    <w:rsid w:val="00F94F05"/>
    <w:rsid w:val="00F94F39"/>
    <w:rsid w:val="00F95017"/>
    <w:rsid w:val="00F95054"/>
    <w:rsid w:val="00F951A4"/>
    <w:rsid w:val="00F951B3"/>
    <w:rsid w:val="00F951F0"/>
    <w:rsid w:val="00F9522E"/>
    <w:rsid w:val="00F952F4"/>
    <w:rsid w:val="00F953F3"/>
    <w:rsid w:val="00F9548E"/>
    <w:rsid w:val="00F954E6"/>
    <w:rsid w:val="00F9551A"/>
    <w:rsid w:val="00F955DF"/>
    <w:rsid w:val="00F95607"/>
    <w:rsid w:val="00F9568E"/>
    <w:rsid w:val="00F956C6"/>
    <w:rsid w:val="00F956E0"/>
    <w:rsid w:val="00F95716"/>
    <w:rsid w:val="00F95717"/>
    <w:rsid w:val="00F9582E"/>
    <w:rsid w:val="00F95830"/>
    <w:rsid w:val="00F958BE"/>
    <w:rsid w:val="00F958C0"/>
    <w:rsid w:val="00F95936"/>
    <w:rsid w:val="00F959AB"/>
    <w:rsid w:val="00F959E0"/>
    <w:rsid w:val="00F95A1D"/>
    <w:rsid w:val="00F95A50"/>
    <w:rsid w:val="00F95A54"/>
    <w:rsid w:val="00F95B31"/>
    <w:rsid w:val="00F95B3B"/>
    <w:rsid w:val="00F95B7E"/>
    <w:rsid w:val="00F95BA9"/>
    <w:rsid w:val="00F95BCF"/>
    <w:rsid w:val="00F95CC2"/>
    <w:rsid w:val="00F95D6E"/>
    <w:rsid w:val="00F95DAB"/>
    <w:rsid w:val="00F95DB4"/>
    <w:rsid w:val="00F95DB6"/>
    <w:rsid w:val="00F95EE3"/>
    <w:rsid w:val="00F95F87"/>
    <w:rsid w:val="00F96044"/>
    <w:rsid w:val="00F960C0"/>
    <w:rsid w:val="00F961AC"/>
    <w:rsid w:val="00F962DA"/>
    <w:rsid w:val="00F964A2"/>
    <w:rsid w:val="00F964DB"/>
    <w:rsid w:val="00F96552"/>
    <w:rsid w:val="00F9659F"/>
    <w:rsid w:val="00F966C5"/>
    <w:rsid w:val="00F966E6"/>
    <w:rsid w:val="00F96702"/>
    <w:rsid w:val="00F96765"/>
    <w:rsid w:val="00F96782"/>
    <w:rsid w:val="00F967A8"/>
    <w:rsid w:val="00F96896"/>
    <w:rsid w:val="00F9694C"/>
    <w:rsid w:val="00F96981"/>
    <w:rsid w:val="00F96C45"/>
    <w:rsid w:val="00F96CC4"/>
    <w:rsid w:val="00F96CE4"/>
    <w:rsid w:val="00F96CFF"/>
    <w:rsid w:val="00F96DD5"/>
    <w:rsid w:val="00F96E0C"/>
    <w:rsid w:val="00F96E25"/>
    <w:rsid w:val="00F96E76"/>
    <w:rsid w:val="00F96F1F"/>
    <w:rsid w:val="00F96F92"/>
    <w:rsid w:val="00F9703E"/>
    <w:rsid w:val="00F970B2"/>
    <w:rsid w:val="00F97231"/>
    <w:rsid w:val="00F97296"/>
    <w:rsid w:val="00F97399"/>
    <w:rsid w:val="00F97434"/>
    <w:rsid w:val="00F974D9"/>
    <w:rsid w:val="00F975FE"/>
    <w:rsid w:val="00F976C3"/>
    <w:rsid w:val="00F9770F"/>
    <w:rsid w:val="00F978F7"/>
    <w:rsid w:val="00F97954"/>
    <w:rsid w:val="00F9799D"/>
    <w:rsid w:val="00F97B0C"/>
    <w:rsid w:val="00F97B4A"/>
    <w:rsid w:val="00F97C25"/>
    <w:rsid w:val="00F97DA3"/>
    <w:rsid w:val="00F97EF1"/>
    <w:rsid w:val="00F97F11"/>
    <w:rsid w:val="00F97F41"/>
    <w:rsid w:val="00F97F53"/>
    <w:rsid w:val="00F97FBD"/>
    <w:rsid w:val="00F97FD2"/>
    <w:rsid w:val="00FA0020"/>
    <w:rsid w:val="00FA009D"/>
    <w:rsid w:val="00FA009E"/>
    <w:rsid w:val="00FA00B9"/>
    <w:rsid w:val="00FA00C8"/>
    <w:rsid w:val="00FA00E1"/>
    <w:rsid w:val="00FA014D"/>
    <w:rsid w:val="00FA0165"/>
    <w:rsid w:val="00FA022F"/>
    <w:rsid w:val="00FA0237"/>
    <w:rsid w:val="00FA023A"/>
    <w:rsid w:val="00FA02B1"/>
    <w:rsid w:val="00FA02DF"/>
    <w:rsid w:val="00FA0479"/>
    <w:rsid w:val="00FA047E"/>
    <w:rsid w:val="00FA04D7"/>
    <w:rsid w:val="00FA0602"/>
    <w:rsid w:val="00FA070D"/>
    <w:rsid w:val="00FA073B"/>
    <w:rsid w:val="00FA0751"/>
    <w:rsid w:val="00FA077E"/>
    <w:rsid w:val="00FA0803"/>
    <w:rsid w:val="00FA0852"/>
    <w:rsid w:val="00FA0855"/>
    <w:rsid w:val="00FA090D"/>
    <w:rsid w:val="00FA096E"/>
    <w:rsid w:val="00FA0989"/>
    <w:rsid w:val="00FA098F"/>
    <w:rsid w:val="00FA0992"/>
    <w:rsid w:val="00FA09F2"/>
    <w:rsid w:val="00FA0AB2"/>
    <w:rsid w:val="00FA0AE5"/>
    <w:rsid w:val="00FA0AEE"/>
    <w:rsid w:val="00FA0B08"/>
    <w:rsid w:val="00FA0CD1"/>
    <w:rsid w:val="00FA0DB7"/>
    <w:rsid w:val="00FA0DFE"/>
    <w:rsid w:val="00FA0E08"/>
    <w:rsid w:val="00FA0ECF"/>
    <w:rsid w:val="00FA0EEE"/>
    <w:rsid w:val="00FA0F30"/>
    <w:rsid w:val="00FA1088"/>
    <w:rsid w:val="00FA1115"/>
    <w:rsid w:val="00FA1133"/>
    <w:rsid w:val="00FA1192"/>
    <w:rsid w:val="00FA11E6"/>
    <w:rsid w:val="00FA11EE"/>
    <w:rsid w:val="00FA12D4"/>
    <w:rsid w:val="00FA1313"/>
    <w:rsid w:val="00FA144C"/>
    <w:rsid w:val="00FA14AE"/>
    <w:rsid w:val="00FA14DA"/>
    <w:rsid w:val="00FA15E2"/>
    <w:rsid w:val="00FA1605"/>
    <w:rsid w:val="00FA1634"/>
    <w:rsid w:val="00FA167E"/>
    <w:rsid w:val="00FA16C4"/>
    <w:rsid w:val="00FA1763"/>
    <w:rsid w:val="00FA17C5"/>
    <w:rsid w:val="00FA1817"/>
    <w:rsid w:val="00FA1914"/>
    <w:rsid w:val="00FA1985"/>
    <w:rsid w:val="00FA19CB"/>
    <w:rsid w:val="00FA19CF"/>
    <w:rsid w:val="00FA1A48"/>
    <w:rsid w:val="00FA1ABC"/>
    <w:rsid w:val="00FA1ABE"/>
    <w:rsid w:val="00FA1CB1"/>
    <w:rsid w:val="00FA1CB8"/>
    <w:rsid w:val="00FA1E3A"/>
    <w:rsid w:val="00FA1E56"/>
    <w:rsid w:val="00FA1E75"/>
    <w:rsid w:val="00FA1F94"/>
    <w:rsid w:val="00FA1FA8"/>
    <w:rsid w:val="00FA212C"/>
    <w:rsid w:val="00FA21B1"/>
    <w:rsid w:val="00FA21DA"/>
    <w:rsid w:val="00FA222E"/>
    <w:rsid w:val="00FA2282"/>
    <w:rsid w:val="00FA2314"/>
    <w:rsid w:val="00FA2335"/>
    <w:rsid w:val="00FA23C8"/>
    <w:rsid w:val="00FA23D8"/>
    <w:rsid w:val="00FA24B7"/>
    <w:rsid w:val="00FA2549"/>
    <w:rsid w:val="00FA25B9"/>
    <w:rsid w:val="00FA25D9"/>
    <w:rsid w:val="00FA2703"/>
    <w:rsid w:val="00FA2770"/>
    <w:rsid w:val="00FA2862"/>
    <w:rsid w:val="00FA2A5A"/>
    <w:rsid w:val="00FA2B34"/>
    <w:rsid w:val="00FA2B4F"/>
    <w:rsid w:val="00FA2BFF"/>
    <w:rsid w:val="00FA2C13"/>
    <w:rsid w:val="00FA2CFF"/>
    <w:rsid w:val="00FA2DB4"/>
    <w:rsid w:val="00FA3043"/>
    <w:rsid w:val="00FA30ED"/>
    <w:rsid w:val="00FA3161"/>
    <w:rsid w:val="00FA3165"/>
    <w:rsid w:val="00FA32E4"/>
    <w:rsid w:val="00FA33AB"/>
    <w:rsid w:val="00FA33D2"/>
    <w:rsid w:val="00FA33F5"/>
    <w:rsid w:val="00FA340E"/>
    <w:rsid w:val="00FA3436"/>
    <w:rsid w:val="00FA3439"/>
    <w:rsid w:val="00FA358E"/>
    <w:rsid w:val="00FA3617"/>
    <w:rsid w:val="00FA36B6"/>
    <w:rsid w:val="00FA377A"/>
    <w:rsid w:val="00FA3808"/>
    <w:rsid w:val="00FA381B"/>
    <w:rsid w:val="00FA383A"/>
    <w:rsid w:val="00FA3843"/>
    <w:rsid w:val="00FA392E"/>
    <w:rsid w:val="00FA393F"/>
    <w:rsid w:val="00FA39A0"/>
    <w:rsid w:val="00FA39EF"/>
    <w:rsid w:val="00FA3D31"/>
    <w:rsid w:val="00FA3E2C"/>
    <w:rsid w:val="00FA3E53"/>
    <w:rsid w:val="00FA3E8E"/>
    <w:rsid w:val="00FA3E96"/>
    <w:rsid w:val="00FA3EF5"/>
    <w:rsid w:val="00FA40CA"/>
    <w:rsid w:val="00FA40EE"/>
    <w:rsid w:val="00FA4125"/>
    <w:rsid w:val="00FA41A5"/>
    <w:rsid w:val="00FA43F1"/>
    <w:rsid w:val="00FA4434"/>
    <w:rsid w:val="00FA443D"/>
    <w:rsid w:val="00FA444A"/>
    <w:rsid w:val="00FA451A"/>
    <w:rsid w:val="00FA4664"/>
    <w:rsid w:val="00FA4684"/>
    <w:rsid w:val="00FA46C1"/>
    <w:rsid w:val="00FA46F9"/>
    <w:rsid w:val="00FA472A"/>
    <w:rsid w:val="00FA4742"/>
    <w:rsid w:val="00FA488A"/>
    <w:rsid w:val="00FA48BF"/>
    <w:rsid w:val="00FA4917"/>
    <w:rsid w:val="00FA4991"/>
    <w:rsid w:val="00FA49ED"/>
    <w:rsid w:val="00FA49F6"/>
    <w:rsid w:val="00FA4AB2"/>
    <w:rsid w:val="00FA4C53"/>
    <w:rsid w:val="00FA4D2E"/>
    <w:rsid w:val="00FA4D74"/>
    <w:rsid w:val="00FA4E11"/>
    <w:rsid w:val="00FA4E4B"/>
    <w:rsid w:val="00FA4F05"/>
    <w:rsid w:val="00FA50CC"/>
    <w:rsid w:val="00FA50E3"/>
    <w:rsid w:val="00FA5101"/>
    <w:rsid w:val="00FA5130"/>
    <w:rsid w:val="00FA517B"/>
    <w:rsid w:val="00FA5197"/>
    <w:rsid w:val="00FA51CA"/>
    <w:rsid w:val="00FA51F4"/>
    <w:rsid w:val="00FA5234"/>
    <w:rsid w:val="00FA5295"/>
    <w:rsid w:val="00FA554F"/>
    <w:rsid w:val="00FA55AA"/>
    <w:rsid w:val="00FA56E0"/>
    <w:rsid w:val="00FA574E"/>
    <w:rsid w:val="00FA5898"/>
    <w:rsid w:val="00FA59DC"/>
    <w:rsid w:val="00FA5A48"/>
    <w:rsid w:val="00FA5B64"/>
    <w:rsid w:val="00FA5B91"/>
    <w:rsid w:val="00FA5C0F"/>
    <w:rsid w:val="00FA5C59"/>
    <w:rsid w:val="00FA5C5F"/>
    <w:rsid w:val="00FA5C79"/>
    <w:rsid w:val="00FA5DB1"/>
    <w:rsid w:val="00FA5E14"/>
    <w:rsid w:val="00FA5E76"/>
    <w:rsid w:val="00FA5F86"/>
    <w:rsid w:val="00FA6018"/>
    <w:rsid w:val="00FA601B"/>
    <w:rsid w:val="00FA603B"/>
    <w:rsid w:val="00FA6042"/>
    <w:rsid w:val="00FA604E"/>
    <w:rsid w:val="00FA6072"/>
    <w:rsid w:val="00FA614C"/>
    <w:rsid w:val="00FA6261"/>
    <w:rsid w:val="00FA637B"/>
    <w:rsid w:val="00FA6592"/>
    <w:rsid w:val="00FA65A4"/>
    <w:rsid w:val="00FA65BB"/>
    <w:rsid w:val="00FA65C8"/>
    <w:rsid w:val="00FA6611"/>
    <w:rsid w:val="00FA661C"/>
    <w:rsid w:val="00FA669D"/>
    <w:rsid w:val="00FA671E"/>
    <w:rsid w:val="00FA6722"/>
    <w:rsid w:val="00FA676F"/>
    <w:rsid w:val="00FA67A9"/>
    <w:rsid w:val="00FA6895"/>
    <w:rsid w:val="00FA68EE"/>
    <w:rsid w:val="00FA6A50"/>
    <w:rsid w:val="00FA6AC0"/>
    <w:rsid w:val="00FA6B2C"/>
    <w:rsid w:val="00FA6BCB"/>
    <w:rsid w:val="00FA6C5B"/>
    <w:rsid w:val="00FA6C94"/>
    <w:rsid w:val="00FA6CD3"/>
    <w:rsid w:val="00FA6D5A"/>
    <w:rsid w:val="00FA6D92"/>
    <w:rsid w:val="00FA6DB4"/>
    <w:rsid w:val="00FA6DD2"/>
    <w:rsid w:val="00FA6EF1"/>
    <w:rsid w:val="00FA718E"/>
    <w:rsid w:val="00FA7208"/>
    <w:rsid w:val="00FA730D"/>
    <w:rsid w:val="00FA74E2"/>
    <w:rsid w:val="00FA7573"/>
    <w:rsid w:val="00FA7587"/>
    <w:rsid w:val="00FA75D0"/>
    <w:rsid w:val="00FA760F"/>
    <w:rsid w:val="00FA765A"/>
    <w:rsid w:val="00FA7745"/>
    <w:rsid w:val="00FA77DD"/>
    <w:rsid w:val="00FA7828"/>
    <w:rsid w:val="00FA7854"/>
    <w:rsid w:val="00FA7892"/>
    <w:rsid w:val="00FA78E1"/>
    <w:rsid w:val="00FA78E7"/>
    <w:rsid w:val="00FA796A"/>
    <w:rsid w:val="00FA79AA"/>
    <w:rsid w:val="00FA79BF"/>
    <w:rsid w:val="00FA7A04"/>
    <w:rsid w:val="00FA7A19"/>
    <w:rsid w:val="00FA7A8D"/>
    <w:rsid w:val="00FA7BEB"/>
    <w:rsid w:val="00FA7C2D"/>
    <w:rsid w:val="00FA7C54"/>
    <w:rsid w:val="00FA7C5D"/>
    <w:rsid w:val="00FA7D20"/>
    <w:rsid w:val="00FA7D6B"/>
    <w:rsid w:val="00FA7DA7"/>
    <w:rsid w:val="00FA7DAD"/>
    <w:rsid w:val="00FA7DFA"/>
    <w:rsid w:val="00FA7E24"/>
    <w:rsid w:val="00FA7F0A"/>
    <w:rsid w:val="00FA7F0B"/>
    <w:rsid w:val="00FA7FF1"/>
    <w:rsid w:val="00FA9119"/>
    <w:rsid w:val="00FB006A"/>
    <w:rsid w:val="00FB007D"/>
    <w:rsid w:val="00FB0114"/>
    <w:rsid w:val="00FB0158"/>
    <w:rsid w:val="00FB016C"/>
    <w:rsid w:val="00FB0218"/>
    <w:rsid w:val="00FB026A"/>
    <w:rsid w:val="00FB02A0"/>
    <w:rsid w:val="00FB0378"/>
    <w:rsid w:val="00FB05C9"/>
    <w:rsid w:val="00FB0837"/>
    <w:rsid w:val="00FB08AC"/>
    <w:rsid w:val="00FB0908"/>
    <w:rsid w:val="00FB09A0"/>
    <w:rsid w:val="00FB0A62"/>
    <w:rsid w:val="00FB0A64"/>
    <w:rsid w:val="00FB0AE9"/>
    <w:rsid w:val="00FB0B64"/>
    <w:rsid w:val="00FB0B95"/>
    <w:rsid w:val="00FB0B97"/>
    <w:rsid w:val="00FB0CFA"/>
    <w:rsid w:val="00FB0D4F"/>
    <w:rsid w:val="00FB0DEA"/>
    <w:rsid w:val="00FB0F8A"/>
    <w:rsid w:val="00FB10AA"/>
    <w:rsid w:val="00FB1163"/>
    <w:rsid w:val="00FB11AE"/>
    <w:rsid w:val="00FB1294"/>
    <w:rsid w:val="00FB12BC"/>
    <w:rsid w:val="00FB12DC"/>
    <w:rsid w:val="00FB1301"/>
    <w:rsid w:val="00FB1308"/>
    <w:rsid w:val="00FB137B"/>
    <w:rsid w:val="00FB1519"/>
    <w:rsid w:val="00FB16C6"/>
    <w:rsid w:val="00FB1721"/>
    <w:rsid w:val="00FB176B"/>
    <w:rsid w:val="00FB1797"/>
    <w:rsid w:val="00FB196B"/>
    <w:rsid w:val="00FB1AE3"/>
    <w:rsid w:val="00FB1AFD"/>
    <w:rsid w:val="00FB1BC3"/>
    <w:rsid w:val="00FB1C09"/>
    <w:rsid w:val="00FB1CA8"/>
    <w:rsid w:val="00FB1CFE"/>
    <w:rsid w:val="00FB1D17"/>
    <w:rsid w:val="00FB1E18"/>
    <w:rsid w:val="00FB1F87"/>
    <w:rsid w:val="00FB2054"/>
    <w:rsid w:val="00FB209C"/>
    <w:rsid w:val="00FB2122"/>
    <w:rsid w:val="00FB217F"/>
    <w:rsid w:val="00FB21A2"/>
    <w:rsid w:val="00FB2253"/>
    <w:rsid w:val="00FB22C1"/>
    <w:rsid w:val="00FB2359"/>
    <w:rsid w:val="00FB23AB"/>
    <w:rsid w:val="00FB2457"/>
    <w:rsid w:val="00FB2582"/>
    <w:rsid w:val="00FB25FE"/>
    <w:rsid w:val="00FB27DC"/>
    <w:rsid w:val="00FB27E3"/>
    <w:rsid w:val="00FB281B"/>
    <w:rsid w:val="00FB286A"/>
    <w:rsid w:val="00FB2957"/>
    <w:rsid w:val="00FB2999"/>
    <w:rsid w:val="00FB29B3"/>
    <w:rsid w:val="00FB2A76"/>
    <w:rsid w:val="00FB2AD6"/>
    <w:rsid w:val="00FB2BDC"/>
    <w:rsid w:val="00FB2C67"/>
    <w:rsid w:val="00FB2D58"/>
    <w:rsid w:val="00FB2F72"/>
    <w:rsid w:val="00FB2FA6"/>
    <w:rsid w:val="00FB30B1"/>
    <w:rsid w:val="00FB3131"/>
    <w:rsid w:val="00FB323D"/>
    <w:rsid w:val="00FB3331"/>
    <w:rsid w:val="00FB33A5"/>
    <w:rsid w:val="00FB33B3"/>
    <w:rsid w:val="00FB3416"/>
    <w:rsid w:val="00FB3466"/>
    <w:rsid w:val="00FB3492"/>
    <w:rsid w:val="00FB34FC"/>
    <w:rsid w:val="00FB357F"/>
    <w:rsid w:val="00FB360A"/>
    <w:rsid w:val="00FB361C"/>
    <w:rsid w:val="00FB3639"/>
    <w:rsid w:val="00FB368B"/>
    <w:rsid w:val="00FB373B"/>
    <w:rsid w:val="00FB38BB"/>
    <w:rsid w:val="00FB3A8A"/>
    <w:rsid w:val="00FB3ACA"/>
    <w:rsid w:val="00FB3B8F"/>
    <w:rsid w:val="00FB3BF3"/>
    <w:rsid w:val="00FB3C90"/>
    <w:rsid w:val="00FB3CAC"/>
    <w:rsid w:val="00FB3CAF"/>
    <w:rsid w:val="00FB3D56"/>
    <w:rsid w:val="00FB3EE0"/>
    <w:rsid w:val="00FB3F94"/>
    <w:rsid w:val="00FB4011"/>
    <w:rsid w:val="00FB403E"/>
    <w:rsid w:val="00FB4048"/>
    <w:rsid w:val="00FB4085"/>
    <w:rsid w:val="00FB414E"/>
    <w:rsid w:val="00FB4228"/>
    <w:rsid w:val="00FB4245"/>
    <w:rsid w:val="00FB42A9"/>
    <w:rsid w:val="00FB4384"/>
    <w:rsid w:val="00FB4485"/>
    <w:rsid w:val="00FB4540"/>
    <w:rsid w:val="00FB4565"/>
    <w:rsid w:val="00FB4567"/>
    <w:rsid w:val="00FB456B"/>
    <w:rsid w:val="00FB460B"/>
    <w:rsid w:val="00FB46A4"/>
    <w:rsid w:val="00FB47EF"/>
    <w:rsid w:val="00FB4885"/>
    <w:rsid w:val="00FB495B"/>
    <w:rsid w:val="00FB4A0F"/>
    <w:rsid w:val="00FB4B13"/>
    <w:rsid w:val="00FB4BCC"/>
    <w:rsid w:val="00FB4C36"/>
    <w:rsid w:val="00FB4CC7"/>
    <w:rsid w:val="00FB4E93"/>
    <w:rsid w:val="00FB4FF2"/>
    <w:rsid w:val="00FB500B"/>
    <w:rsid w:val="00FB50A1"/>
    <w:rsid w:val="00FB5108"/>
    <w:rsid w:val="00FB515E"/>
    <w:rsid w:val="00FB516E"/>
    <w:rsid w:val="00FB51AA"/>
    <w:rsid w:val="00FB51F2"/>
    <w:rsid w:val="00FB52B4"/>
    <w:rsid w:val="00FB53E2"/>
    <w:rsid w:val="00FB53F6"/>
    <w:rsid w:val="00FB53F9"/>
    <w:rsid w:val="00FB5406"/>
    <w:rsid w:val="00FB5430"/>
    <w:rsid w:val="00FB543E"/>
    <w:rsid w:val="00FB5630"/>
    <w:rsid w:val="00FB5653"/>
    <w:rsid w:val="00FB570B"/>
    <w:rsid w:val="00FB5711"/>
    <w:rsid w:val="00FB573E"/>
    <w:rsid w:val="00FB5774"/>
    <w:rsid w:val="00FB579F"/>
    <w:rsid w:val="00FB5808"/>
    <w:rsid w:val="00FB580D"/>
    <w:rsid w:val="00FB58B1"/>
    <w:rsid w:val="00FB58D7"/>
    <w:rsid w:val="00FB5972"/>
    <w:rsid w:val="00FB5A98"/>
    <w:rsid w:val="00FB5AF8"/>
    <w:rsid w:val="00FB5B41"/>
    <w:rsid w:val="00FB5B80"/>
    <w:rsid w:val="00FB5BA7"/>
    <w:rsid w:val="00FB5CA7"/>
    <w:rsid w:val="00FB5CDE"/>
    <w:rsid w:val="00FB5D10"/>
    <w:rsid w:val="00FB5DBC"/>
    <w:rsid w:val="00FB5E5F"/>
    <w:rsid w:val="00FB5E8A"/>
    <w:rsid w:val="00FB5EC7"/>
    <w:rsid w:val="00FB5F19"/>
    <w:rsid w:val="00FB5F90"/>
    <w:rsid w:val="00FB5FBF"/>
    <w:rsid w:val="00FB5FDF"/>
    <w:rsid w:val="00FB61E4"/>
    <w:rsid w:val="00FB6216"/>
    <w:rsid w:val="00FB622E"/>
    <w:rsid w:val="00FB6231"/>
    <w:rsid w:val="00FB6320"/>
    <w:rsid w:val="00FB6322"/>
    <w:rsid w:val="00FB65A7"/>
    <w:rsid w:val="00FB664C"/>
    <w:rsid w:val="00FB66CB"/>
    <w:rsid w:val="00FB66D7"/>
    <w:rsid w:val="00FB6709"/>
    <w:rsid w:val="00FB670A"/>
    <w:rsid w:val="00FB673D"/>
    <w:rsid w:val="00FB676C"/>
    <w:rsid w:val="00FB6831"/>
    <w:rsid w:val="00FB6885"/>
    <w:rsid w:val="00FB6A78"/>
    <w:rsid w:val="00FB6B20"/>
    <w:rsid w:val="00FB6B7A"/>
    <w:rsid w:val="00FB6B9E"/>
    <w:rsid w:val="00FB6BED"/>
    <w:rsid w:val="00FB6C13"/>
    <w:rsid w:val="00FB6CC0"/>
    <w:rsid w:val="00FB6DF7"/>
    <w:rsid w:val="00FB6F64"/>
    <w:rsid w:val="00FB6FAF"/>
    <w:rsid w:val="00FB6FF5"/>
    <w:rsid w:val="00FB7016"/>
    <w:rsid w:val="00FB704F"/>
    <w:rsid w:val="00FB7088"/>
    <w:rsid w:val="00FB70A8"/>
    <w:rsid w:val="00FB7152"/>
    <w:rsid w:val="00FB720F"/>
    <w:rsid w:val="00FB7246"/>
    <w:rsid w:val="00FB7251"/>
    <w:rsid w:val="00FB7435"/>
    <w:rsid w:val="00FB74C6"/>
    <w:rsid w:val="00FB74F2"/>
    <w:rsid w:val="00FB752F"/>
    <w:rsid w:val="00FB7544"/>
    <w:rsid w:val="00FB7768"/>
    <w:rsid w:val="00FB776A"/>
    <w:rsid w:val="00FB77A9"/>
    <w:rsid w:val="00FB7902"/>
    <w:rsid w:val="00FB799B"/>
    <w:rsid w:val="00FB79EA"/>
    <w:rsid w:val="00FB79EB"/>
    <w:rsid w:val="00FB7A2A"/>
    <w:rsid w:val="00FB7A34"/>
    <w:rsid w:val="00FB7A36"/>
    <w:rsid w:val="00FB7A5D"/>
    <w:rsid w:val="00FB7AF2"/>
    <w:rsid w:val="00FB7B91"/>
    <w:rsid w:val="00FB7CE9"/>
    <w:rsid w:val="00FB7CEB"/>
    <w:rsid w:val="00FB7CF0"/>
    <w:rsid w:val="00FB7D2E"/>
    <w:rsid w:val="00FB7D35"/>
    <w:rsid w:val="00FB7D85"/>
    <w:rsid w:val="00FB7F5E"/>
    <w:rsid w:val="00FB7FAE"/>
    <w:rsid w:val="00FC0044"/>
    <w:rsid w:val="00FC0269"/>
    <w:rsid w:val="00FC033E"/>
    <w:rsid w:val="00FC0347"/>
    <w:rsid w:val="00FC03A4"/>
    <w:rsid w:val="00FC0420"/>
    <w:rsid w:val="00FC042E"/>
    <w:rsid w:val="00FC04DB"/>
    <w:rsid w:val="00FC052A"/>
    <w:rsid w:val="00FC053E"/>
    <w:rsid w:val="00FC0571"/>
    <w:rsid w:val="00FC05AE"/>
    <w:rsid w:val="00FC05D5"/>
    <w:rsid w:val="00FC062D"/>
    <w:rsid w:val="00FC074A"/>
    <w:rsid w:val="00FC079E"/>
    <w:rsid w:val="00FC07C8"/>
    <w:rsid w:val="00FC09D0"/>
    <w:rsid w:val="00FC0AA1"/>
    <w:rsid w:val="00FC0AB2"/>
    <w:rsid w:val="00FC0B51"/>
    <w:rsid w:val="00FC0B75"/>
    <w:rsid w:val="00FC0B8D"/>
    <w:rsid w:val="00FC0BB3"/>
    <w:rsid w:val="00FC0CD9"/>
    <w:rsid w:val="00FC0D6E"/>
    <w:rsid w:val="00FC0E1D"/>
    <w:rsid w:val="00FC0F8E"/>
    <w:rsid w:val="00FC0FB3"/>
    <w:rsid w:val="00FC0FCF"/>
    <w:rsid w:val="00FC102C"/>
    <w:rsid w:val="00FC10C9"/>
    <w:rsid w:val="00FC10CB"/>
    <w:rsid w:val="00FC1151"/>
    <w:rsid w:val="00FC1170"/>
    <w:rsid w:val="00FC126E"/>
    <w:rsid w:val="00FC1278"/>
    <w:rsid w:val="00FC12A6"/>
    <w:rsid w:val="00FC138B"/>
    <w:rsid w:val="00FC13B7"/>
    <w:rsid w:val="00FC14CB"/>
    <w:rsid w:val="00FC15D3"/>
    <w:rsid w:val="00FC1A0F"/>
    <w:rsid w:val="00FC1A61"/>
    <w:rsid w:val="00FC1AF9"/>
    <w:rsid w:val="00FC1B0D"/>
    <w:rsid w:val="00FC1B11"/>
    <w:rsid w:val="00FC1D3C"/>
    <w:rsid w:val="00FC1D5A"/>
    <w:rsid w:val="00FC1DD6"/>
    <w:rsid w:val="00FC20B2"/>
    <w:rsid w:val="00FC20E9"/>
    <w:rsid w:val="00FC2170"/>
    <w:rsid w:val="00FC21D1"/>
    <w:rsid w:val="00FC2253"/>
    <w:rsid w:val="00FC22EB"/>
    <w:rsid w:val="00FC2395"/>
    <w:rsid w:val="00FC243F"/>
    <w:rsid w:val="00FC2463"/>
    <w:rsid w:val="00FC24E5"/>
    <w:rsid w:val="00FC2511"/>
    <w:rsid w:val="00FC251C"/>
    <w:rsid w:val="00FC2647"/>
    <w:rsid w:val="00FC272A"/>
    <w:rsid w:val="00FC28DB"/>
    <w:rsid w:val="00FC28DE"/>
    <w:rsid w:val="00FC290D"/>
    <w:rsid w:val="00FC2948"/>
    <w:rsid w:val="00FC29F0"/>
    <w:rsid w:val="00FC2A24"/>
    <w:rsid w:val="00FC2A34"/>
    <w:rsid w:val="00FC2A4C"/>
    <w:rsid w:val="00FC2A5F"/>
    <w:rsid w:val="00FC2AF2"/>
    <w:rsid w:val="00FC2AFC"/>
    <w:rsid w:val="00FC2BDB"/>
    <w:rsid w:val="00FC2C10"/>
    <w:rsid w:val="00FC2C6F"/>
    <w:rsid w:val="00FC2D6E"/>
    <w:rsid w:val="00FC2D8B"/>
    <w:rsid w:val="00FC2DD2"/>
    <w:rsid w:val="00FC2F3D"/>
    <w:rsid w:val="00FC3088"/>
    <w:rsid w:val="00FC3093"/>
    <w:rsid w:val="00FC31F4"/>
    <w:rsid w:val="00FC325F"/>
    <w:rsid w:val="00FC32B3"/>
    <w:rsid w:val="00FC3348"/>
    <w:rsid w:val="00FC339A"/>
    <w:rsid w:val="00FC33AF"/>
    <w:rsid w:val="00FC3409"/>
    <w:rsid w:val="00FC342A"/>
    <w:rsid w:val="00FC344A"/>
    <w:rsid w:val="00FC3464"/>
    <w:rsid w:val="00FC34BB"/>
    <w:rsid w:val="00FC3604"/>
    <w:rsid w:val="00FC367E"/>
    <w:rsid w:val="00FC39A2"/>
    <w:rsid w:val="00FC3B6D"/>
    <w:rsid w:val="00FC3BB9"/>
    <w:rsid w:val="00FC3C42"/>
    <w:rsid w:val="00FC3D92"/>
    <w:rsid w:val="00FC3D96"/>
    <w:rsid w:val="00FC3E01"/>
    <w:rsid w:val="00FC3F1A"/>
    <w:rsid w:val="00FC3FC9"/>
    <w:rsid w:val="00FC3FD7"/>
    <w:rsid w:val="00FC4015"/>
    <w:rsid w:val="00FC402C"/>
    <w:rsid w:val="00FC40F5"/>
    <w:rsid w:val="00FC4104"/>
    <w:rsid w:val="00FC4308"/>
    <w:rsid w:val="00FC431C"/>
    <w:rsid w:val="00FC432E"/>
    <w:rsid w:val="00FC44B8"/>
    <w:rsid w:val="00FC44EB"/>
    <w:rsid w:val="00FC466D"/>
    <w:rsid w:val="00FC4802"/>
    <w:rsid w:val="00FC4844"/>
    <w:rsid w:val="00FC49BF"/>
    <w:rsid w:val="00FC49E8"/>
    <w:rsid w:val="00FC4A50"/>
    <w:rsid w:val="00FC4A87"/>
    <w:rsid w:val="00FC4A98"/>
    <w:rsid w:val="00FC4AD0"/>
    <w:rsid w:val="00FC4BA7"/>
    <w:rsid w:val="00FC4BC9"/>
    <w:rsid w:val="00FC4C28"/>
    <w:rsid w:val="00FC4C60"/>
    <w:rsid w:val="00FC4CF9"/>
    <w:rsid w:val="00FC4D1E"/>
    <w:rsid w:val="00FC4D99"/>
    <w:rsid w:val="00FC4DDC"/>
    <w:rsid w:val="00FC4E24"/>
    <w:rsid w:val="00FC4EE3"/>
    <w:rsid w:val="00FC50A6"/>
    <w:rsid w:val="00FC50B4"/>
    <w:rsid w:val="00FC50ED"/>
    <w:rsid w:val="00FC528C"/>
    <w:rsid w:val="00FC5374"/>
    <w:rsid w:val="00FC548B"/>
    <w:rsid w:val="00FC5663"/>
    <w:rsid w:val="00FC5745"/>
    <w:rsid w:val="00FC57A5"/>
    <w:rsid w:val="00FC581D"/>
    <w:rsid w:val="00FC583B"/>
    <w:rsid w:val="00FC5903"/>
    <w:rsid w:val="00FC59A6"/>
    <w:rsid w:val="00FC5A9C"/>
    <w:rsid w:val="00FC5AD0"/>
    <w:rsid w:val="00FC5B9E"/>
    <w:rsid w:val="00FC5BE1"/>
    <w:rsid w:val="00FC5D95"/>
    <w:rsid w:val="00FC5D9B"/>
    <w:rsid w:val="00FC5E84"/>
    <w:rsid w:val="00FC5ED4"/>
    <w:rsid w:val="00FC5ED9"/>
    <w:rsid w:val="00FC5F28"/>
    <w:rsid w:val="00FC5F56"/>
    <w:rsid w:val="00FC5F9D"/>
    <w:rsid w:val="00FC609C"/>
    <w:rsid w:val="00FC6126"/>
    <w:rsid w:val="00FC616C"/>
    <w:rsid w:val="00FC6176"/>
    <w:rsid w:val="00FC6307"/>
    <w:rsid w:val="00FC632E"/>
    <w:rsid w:val="00FC635F"/>
    <w:rsid w:val="00FC652F"/>
    <w:rsid w:val="00FC65DC"/>
    <w:rsid w:val="00FC65EA"/>
    <w:rsid w:val="00FC662D"/>
    <w:rsid w:val="00FC676B"/>
    <w:rsid w:val="00FC6816"/>
    <w:rsid w:val="00FC688E"/>
    <w:rsid w:val="00FC6892"/>
    <w:rsid w:val="00FC69D0"/>
    <w:rsid w:val="00FC6A32"/>
    <w:rsid w:val="00FC6A7F"/>
    <w:rsid w:val="00FC6BAA"/>
    <w:rsid w:val="00FC6C5F"/>
    <w:rsid w:val="00FC6D91"/>
    <w:rsid w:val="00FC6E17"/>
    <w:rsid w:val="00FC6F25"/>
    <w:rsid w:val="00FC6F52"/>
    <w:rsid w:val="00FC6F5F"/>
    <w:rsid w:val="00FC6F85"/>
    <w:rsid w:val="00FC6FB5"/>
    <w:rsid w:val="00FC7016"/>
    <w:rsid w:val="00FC7091"/>
    <w:rsid w:val="00FC7184"/>
    <w:rsid w:val="00FC720B"/>
    <w:rsid w:val="00FC72BA"/>
    <w:rsid w:val="00FC73F3"/>
    <w:rsid w:val="00FC73FC"/>
    <w:rsid w:val="00FC740D"/>
    <w:rsid w:val="00FC7437"/>
    <w:rsid w:val="00FC74C3"/>
    <w:rsid w:val="00FC765F"/>
    <w:rsid w:val="00FC7706"/>
    <w:rsid w:val="00FC7764"/>
    <w:rsid w:val="00FC776C"/>
    <w:rsid w:val="00FC7866"/>
    <w:rsid w:val="00FC78E2"/>
    <w:rsid w:val="00FC7964"/>
    <w:rsid w:val="00FC7AD2"/>
    <w:rsid w:val="00FC7B00"/>
    <w:rsid w:val="00FC7B48"/>
    <w:rsid w:val="00FC7B54"/>
    <w:rsid w:val="00FC7E1C"/>
    <w:rsid w:val="00FC7F1A"/>
    <w:rsid w:val="00FD0024"/>
    <w:rsid w:val="00FD00C4"/>
    <w:rsid w:val="00FD01AF"/>
    <w:rsid w:val="00FD032F"/>
    <w:rsid w:val="00FD03EE"/>
    <w:rsid w:val="00FD0531"/>
    <w:rsid w:val="00FD0533"/>
    <w:rsid w:val="00FD0589"/>
    <w:rsid w:val="00FD06A7"/>
    <w:rsid w:val="00FD0720"/>
    <w:rsid w:val="00FD07AC"/>
    <w:rsid w:val="00FD083E"/>
    <w:rsid w:val="00FD0864"/>
    <w:rsid w:val="00FD08C0"/>
    <w:rsid w:val="00FD0918"/>
    <w:rsid w:val="00FD0952"/>
    <w:rsid w:val="00FD0979"/>
    <w:rsid w:val="00FD09EA"/>
    <w:rsid w:val="00FD0A16"/>
    <w:rsid w:val="00FD0A6F"/>
    <w:rsid w:val="00FD0ABB"/>
    <w:rsid w:val="00FD0C31"/>
    <w:rsid w:val="00FD0CBA"/>
    <w:rsid w:val="00FD0D40"/>
    <w:rsid w:val="00FD0E5E"/>
    <w:rsid w:val="00FD0F6F"/>
    <w:rsid w:val="00FD0FEF"/>
    <w:rsid w:val="00FD101C"/>
    <w:rsid w:val="00FD1064"/>
    <w:rsid w:val="00FD10C5"/>
    <w:rsid w:val="00FD1110"/>
    <w:rsid w:val="00FD117B"/>
    <w:rsid w:val="00FD1188"/>
    <w:rsid w:val="00FD11C6"/>
    <w:rsid w:val="00FD131F"/>
    <w:rsid w:val="00FD1389"/>
    <w:rsid w:val="00FD139B"/>
    <w:rsid w:val="00FD13D2"/>
    <w:rsid w:val="00FD150B"/>
    <w:rsid w:val="00FD15CB"/>
    <w:rsid w:val="00FD15DB"/>
    <w:rsid w:val="00FD1682"/>
    <w:rsid w:val="00FD16EC"/>
    <w:rsid w:val="00FD16F8"/>
    <w:rsid w:val="00FD1702"/>
    <w:rsid w:val="00FD174D"/>
    <w:rsid w:val="00FD1799"/>
    <w:rsid w:val="00FD179E"/>
    <w:rsid w:val="00FD1809"/>
    <w:rsid w:val="00FD18FB"/>
    <w:rsid w:val="00FD19F8"/>
    <w:rsid w:val="00FD1A69"/>
    <w:rsid w:val="00FD1B19"/>
    <w:rsid w:val="00FD1B27"/>
    <w:rsid w:val="00FD1B66"/>
    <w:rsid w:val="00FD1B8F"/>
    <w:rsid w:val="00FD1BD9"/>
    <w:rsid w:val="00FD1BFD"/>
    <w:rsid w:val="00FD1C1C"/>
    <w:rsid w:val="00FD1D3C"/>
    <w:rsid w:val="00FD1E19"/>
    <w:rsid w:val="00FD1E7B"/>
    <w:rsid w:val="00FD1EEE"/>
    <w:rsid w:val="00FD1EF9"/>
    <w:rsid w:val="00FD1F0F"/>
    <w:rsid w:val="00FD1F65"/>
    <w:rsid w:val="00FD1FF7"/>
    <w:rsid w:val="00FD2130"/>
    <w:rsid w:val="00FD2144"/>
    <w:rsid w:val="00FD216A"/>
    <w:rsid w:val="00FD21F7"/>
    <w:rsid w:val="00FD21FC"/>
    <w:rsid w:val="00FD225B"/>
    <w:rsid w:val="00FD228C"/>
    <w:rsid w:val="00FD229A"/>
    <w:rsid w:val="00FD22B2"/>
    <w:rsid w:val="00FD2309"/>
    <w:rsid w:val="00FD234D"/>
    <w:rsid w:val="00FD23E5"/>
    <w:rsid w:val="00FD256A"/>
    <w:rsid w:val="00FD259E"/>
    <w:rsid w:val="00FD2610"/>
    <w:rsid w:val="00FD2712"/>
    <w:rsid w:val="00FD2730"/>
    <w:rsid w:val="00FD2767"/>
    <w:rsid w:val="00FD27D3"/>
    <w:rsid w:val="00FD286B"/>
    <w:rsid w:val="00FD28A2"/>
    <w:rsid w:val="00FD291D"/>
    <w:rsid w:val="00FD295F"/>
    <w:rsid w:val="00FD2971"/>
    <w:rsid w:val="00FD29A0"/>
    <w:rsid w:val="00FD2A26"/>
    <w:rsid w:val="00FD2A9D"/>
    <w:rsid w:val="00FD2AF6"/>
    <w:rsid w:val="00FD2B44"/>
    <w:rsid w:val="00FD2B54"/>
    <w:rsid w:val="00FD2BB3"/>
    <w:rsid w:val="00FD2C92"/>
    <w:rsid w:val="00FD2CCC"/>
    <w:rsid w:val="00FD2DF8"/>
    <w:rsid w:val="00FD2E07"/>
    <w:rsid w:val="00FD2FA6"/>
    <w:rsid w:val="00FD3009"/>
    <w:rsid w:val="00FD30EF"/>
    <w:rsid w:val="00FD3125"/>
    <w:rsid w:val="00FD31D3"/>
    <w:rsid w:val="00FD323D"/>
    <w:rsid w:val="00FD328C"/>
    <w:rsid w:val="00FD32A5"/>
    <w:rsid w:val="00FD32B0"/>
    <w:rsid w:val="00FD3306"/>
    <w:rsid w:val="00FD3346"/>
    <w:rsid w:val="00FD3355"/>
    <w:rsid w:val="00FD3405"/>
    <w:rsid w:val="00FD3417"/>
    <w:rsid w:val="00FD3458"/>
    <w:rsid w:val="00FD3549"/>
    <w:rsid w:val="00FD35A8"/>
    <w:rsid w:val="00FD35C6"/>
    <w:rsid w:val="00FD3636"/>
    <w:rsid w:val="00FD367C"/>
    <w:rsid w:val="00FD368E"/>
    <w:rsid w:val="00FD36B1"/>
    <w:rsid w:val="00FD374F"/>
    <w:rsid w:val="00FD384D"/>
    <w:rsid w:val="00FD3902"/>
    <w:rsid w:val="00FD3909"/>
    <w:rsid w:val="00FD3B42"/>
    <w:rsid w:val="00FD3B6A"/>
    <w:rsid w:val="00FD3B81"/>
    <w:rsid w:val="00FD3BA3"/>
    <w:rsid w:val="00FD3BFC"/>
    <w:rsid w:val="00FD3C75"/>
    <w:rsid w:val="00FD3CF6"/>
    <w:rsid w:val="00FD3CF7"/>
    <w:rsid w:val="00FD3D17"/>
    <w:rsid w:val="00FD3DBB"/>
    <w:rsid w:val="00FD3E2C"/>
    <w:rsid w:val="00FD3EC3"/>
    <w:rsid w:val="00FD3F01"/>
    <w:rsid w:val="00FD3FE4"/>
    <w:rsid w:val="00FD3FFE"/>
    <w:rsid w:val="00FD4019"/>
    <w:rsid w:val="00FD4020"/>
    <w:rsid w:val="00FD4036"/>
    <w:rsid w:val="00FD403C"/>
    <w:rsid w:val="00FD408E"/>
    <w:rsid w:val="00FD4293"/>
    <w:rsid w:val="00FD42D5"/>
    <w:rsid w:val="00FD4357"/>
    <w:rsid w:val="00FD43D8"/>
    <w:rsid w:val="00FD43E8"/>
    <w:rsid w:val="00FD43FA"/>
    <w:rsid w:val="00FD4430"/>
    <w:rsid w:val="00FD4487"/>
    <w:rsid w:val="00FD448C"/>
    <w:rsid w:val="00FD44D0"/>
    <w:rsid w:val="00FD4528"/>
    <w:rsid w:val="00FD453F"/>
    <w:rsid w:val="00FD4695"/>
    <w:rsid w:val="00FD46D6"/>
    <w:rsid w:val="00FD4749"/>
    <w:rsid w:val="00FD47EC"/>
    <w:rsid w:val="00FD483B"/>
    <w:rsid w:val="00FD4918"/>
    <w:rsid w:val="00FD4ABE"/>
    <w:rsid w:val="00FD4AE9"/>
    <w:rsid w:val="00FD4B13"/>
    <w:rsid w:val="00FD4B1A"/>
    <w:rsid w:val="00FD4CA7"/>
    <w:rsid w:val="00FD4D12"/>
    <w:rsid w:val="00FD4D56"/>
    <w:rsid w:val="00FD4D73"/>
    <w:rsid w:val="00FD4E34"/>
    <w:rsid w:val="00FD4E37"/>
    <w:rsid w:val="00FD4E59"/>
    <w:rsid w:val="00FD4E9F"/>
    <w:rsid w:val="00FD4F39"/>
    <w:rsid w:val="00FD4F77"/>
    <w:rsid w:val="00FD4F9A"/>
    <w:rsid w:val="00FD500C"/>
    <w:rsid w:val="00FD515E"/>
    <w:rsid w:val="00FD5177"/>
    <w:rsid w:val="00FD5210"/>
    <w:rsid w:val="00FD524A"/>
    <w:rsid w:val="00FD5251"/>
    <w:rsid w:val="00FD52DD"/>
    <w:rsid w:val="00FD5371"/>
    <w:rsid w:val="00FD53B6"/>
    <w:rsid w:val="00FD5476"/>
    <w:rsid w:val="00FD5502"/>
    <w:rsid w:val="00FD5564"/>
    <w:rsid w:val="00FD56BD"/>
    <w:rsid w:val="00FD5707"/>
    <w:rsid w:val="00FD5717"/>
    <w:rsid w:val="00FD5721"/>
    <w:rsid w:val="00FD580C"/>
    <w:rsid w:val="00FD5860"/>
    <w:rsid w:val="00FD58B9"/>
    <w:rsid w:val="00FD58F2"/>
    <w:rsid w:val="00FD5B22"/>
    <w:rsid w:val="00FD5B5E"/>
    <w:rsid w:val="00FD5BED"/>
    <w:rsid w:val="00FD5C58"/>
    <w:rsid w:val="00FD5CF5"/>
    <w:rsid w:val="00FD5E5B"/>
    <w:rsid w:val="00FD5E5C"/>
    <w:rsid w:val="00FD5E88"/>
    <w:rsid w:val="00FD5E9F"/>
    <w:rsid w:val="00FD5EB5"/>
    <w:rsid w:val="00FD5EBF"/>
    <w:rsid w:val="00FD5ECD"/>
    <w:rsid w:val="00FD5F36"/>
    <w:rsid w:val="00FD5F9F"/>
    <w:rsid w:val="00FD5FBE"/>
    <w:rsid w:val="00FD600A"/>
    <w:rsid w:val="00FD6079"/>
    <w:rsid w:val="00FD609F"/>
    <w:rsid w:val="00FD60DB"/>
    <w:rsid w:val="00FD61AD"/>
    <w:rsid w:val="00FD6225"/>
    <w:rsid w:val="00FD6269"/>
    <w:rsid w:val="00FD6277"/>
    <w:rsid w:val="00FD6352"/>
    <w:rsid w:val="00FD6369"/>
    <w:rsid w:val="00FD63BF"/>
    <w:rsid w:val="00FD63CE"/>
    <w:rsid w:val="00FD63E5"/>
    <w:rsid w:val="00FD6489"/>
    <w:rsid w:val="00FD64DB"/>
    <w:rsid w:val="00FD6532"/>
    <w:rsid w:val="00FD66D3"/>
    <w:rsid w:val="00FD66FF"/>
    <w:rsid w:val="00FD6788"/>
    <w:rsid w:val="00FD67A3"/>
    <w:rsid w:val="00FD67DE"/>
    <w:rsid w:val="00FD686D"/>
    <w:rsid w:val="00FD6A00"/>
    <w:rsid w:val="00FD6A2B"/>
    <w:rsid w:val="00FD6A45"/>
    <w:rsid w:val="00FD6A78"/>
    <w:rsid w:val="00FD6B28"/>
    <w:rsid w:val="00FD6BD2"/>
    <w:rsid w:val="00FD6C30"/>
    <w:rsid w:val="00FD6CEA"/>
    <w:rsid w:val="00FD6D09"/>
    <w:rsid w:val="00FD6D6F"/>
    <w:rsid w:val="00FD6DE8"/>
    <w:rsid w:val="00FD6E77"/>
    <w:rsid w:val="00FD6ECA"/>
    <w:rsid w:val="00FD6F0E"/>
    <w:rsid w:val="00FD6F76"/>
    <w:rsid w:val="00FD7159"/>
    <w:rsid w:val="00FD71BD"/>
    <w:rsid w:val="00FD727F"/>
    <w:rsid w:val="00FD72CE"/>
    <w:rsid w:val="00FD73DD"/>
    <w:rsid w:val="00FD7401"/>
    <w:rsid w:val="00FD74EA"/>
    <w:rsid w:val="00FD7556"/>
    <w:rsid w:val="00FD7615"/>
    <w:rsid w:val="00FD76BB"/>
    <w:rsid w:val="00FD7819"/>
    <w:rsid w:val="00FD78AB"/>
    <w:rsid w:val="00FD7BFB"/>
    <w:rsid w:val="00FD7CDE"/>
    <w:rsid w:val="00FD7D14"/>
    <w:rsid w:val="00FD7D3D"/>
    <w:rsid w:val="00FD7DEA"/>
    <w:rsid w:val="00FD7E04"/>
    <w:rsid w:val="00FD7E68"/>
    <w:rsid w:val="00FE007B"/>
    <w:rsid w:val="00FE0141"/>
    <w:rsid w:val="00FE0286"/>
    <w:rsid w:val="00FE02FB"/>
    <w:rsid w:val="00FE0320"/>
    <w:rsid w:val="00FE0361"/>
    <w:rsid w:val="00FE03E1"/>
    <w:rsid w:val="00FE0410"/>
    <w:rsid w:val="00FE0422"/>
    <w:rsid w:val="00FE0434"/>
    <w:rsid w:val="00FE0475"/>
    <w:rsid w:val="00FE04B3"/>
    <w:rsid w:val="00FE04E9"/>
    <w:rsid w:val="00FE0581"/>
    <w:rsid w:val="00FE05A7"/>
    <w:rsid w:val="00FE0621"/>
    <w:rsid w:val="00FE064C"/>
    <w:rsid w:val="00FE0650"/>
    <w:rsid w:val="00FE067D"/>
    <w:rsid w:val="00FE06FB"/>
    <w:rsid w:val="00FE089F"/>
    <w:rsid w:val="00FE08E0"/>
    <w:rsid w:val="00FE08F7"/>
    <w:rsid w:val="00FE0905"/>
    <w:rsid w:val="00FE09B8"/>
    <w:rsid w:val="00FE09EC"/>
    <w:rsid w:val="00FE0AEA"/>
    <w:rsid w:val="00FE0B20"/>
    <w:rsid w:val="00FE0CFD"/>
    <w:rsid w:val="00FE0D67"/>
    <w:rsid w:val="00FE0E02"/>
    <w:rsid w:val="00FE0E61"/>
    <w:rsid w:val="00FE0EC1"/>
    <w:rsid w:val="00FE0ECC"/>
    <w:rsid w:val="00FE0F6A"/>
    <w:rsid w:val="00FE0F70"/>
    <w:rsid w:val="00FE1057"/>
    <w:rsid w:val="00FE1176"/>
    <w:rsid w:val="00FE1201"/>
    <w:rsid w:val="00FE12A8"/>
    <w:rsid w:val="00FE12FF"/>
    <w:rsid w:val="00FE1358"/>
    <w:rsid w:val="00FE1376"/>
    <w:rsid w:val="00FE13A4"/>
    <w:rsid w:val="00FE13D0"/>
    <w:rsid w:val="00FE1476"/>
    <w:rsid w:val="00FE1522"/>
    <w:rsid w:val="00FE154B"/>
    <w:rsid w:val="00FE154F"/>
    <w:rsid w:val="00FE15ED"/>
    <w:rsid w:val="00FE1643"/>
    <w:rsid w:val="00FE16C7"/>
    <w:rsid w:val="00FE1731"/>
    <w:rsid w:val="00FE1735"/>
    <w:rsid w:val="00FE17A1"/>
    <w:rsid w:val="00FE185C"/>
    <w:rsid w:val="00FE199C"/>
    <w:rsid w:val="00FE19F2"/>
    <w:rsid w:val="00FE1A08"/>
    <w:rsid w:val="00FE1A45"/>
    <w:rsid w:val="00FE1AD5"/>
    <w:rsid w:val="00FE1B47"/>
    <w:rsid w:val="00FE1B90"/>
    <w:rsid w:val="00FE1BB1"/>
    <w:rsid w:val="00FE1C61"/>
    <w:rsid w:val="00FE1D3F"/>
    <w:rsid w:val="00FE1FBF"/>
    <w:rsid w:val="00FE205B"/>
    <w:rsid w:val="00FE207A"/>
    <w:rsid w:val="00FE207C"/>
    <w:rsid w:val="00FE20F3"/>
    <w:rsid w:val="00FE2107"/>
    <w:rsid w:val="00FE2111"/>
    <w:rsid w:val="00FE21A8"/>
    <w:rsid w:val="00FE22A8"/>
    <w:rsid w:val="00FE22CB"/>
    <w:rsid w:val="00FE23BD"/>
    <w:rsid w:val="00FE2431"/>
    <w:rsid w:val="00FE2480"/>
    <w:rsid w:val="00FE2486"/>
    <w:rsid w:val="00FE24FC"/>
    <w:rsid w:val="00FE250B"/>
    <w:rsid w:val="00FE2538"/>
    <w:rsid w:val="00FE2624"/>
    <w:rsid w:val="00FE2669"/>
    <w:rsid w:val="00FE277C"/>
    <w:rsid w:val="00FE2883"/>
    <w:rsid w:val="00FE28A7"/>
    <w:rsid w:val="00FE28B3"/>
    <w:rsid w:val="00FE28C7"/>
    <w:rsid w:val="00FE29E6"/>
    <w:rsid w:val="00FE2A79"/>
    <w:rsid w:val="00FE2BFE"/>
    <w:rsid w:val="00FE2C5B"/>
    <w:rsid w:val="00FE2C95"/>
    <w:rsid w:val="00FE2D77"/>
    <w:rsid w:val="00FE2D84"/>
    <w:rsid w:val="00FE2DB4"/>
    <w:rsid w:val="00FE2E58"/>
    <w:rsid w:val="00FE2E7A"/>
    <w:rsid w:val="00FE2EBD"/>
    <w:rsid w:val="00FE2F71"/>
    <w:rsid w:val="00FE2FE8"/>
    <w:rsid w:val="00FE319B"/>
    <w:rsid w:val="00FE31C7"/>
    <w:rsid w:val="00FE31FE"/>
    <w:rsid w:val="00FE327A"/>
    <w:rsid w:val="00FE32D8"/>
    <w:rsid w:val="00FE332B"/>
    <w:rsid w:val="00FE3348"/>
    <w:rsid w:val="00FE342D"/>
    <w:rsid w:val="00FE344C"/>
    <w:rsid w:val="00FE34A6"/>
    <w:rsid w:val="00FE34BE"/>
    <w:rsid w:val="00FE34D1"/>
    <w:rsid w:val="00FE358D"/>
    <w:rsid w:val="00FE35D3"/>
    <w:rsid w:val="00FE3792"/>
    <w:rsid w:val="00FE379D"/>
    <w:rsid w:val="00FE3856"/>
    <w:rsid w:val="00FE3A09"/>
    <w:rsid w:val="00FE3A62"/>
    <w:rsid w:val="00FE3A63"/>
    <w:rsid w:val="00FE3AD6"/>
    <w:rsid w:val="00FE3B60"/>
    <w:rsid w:val="00FE3C3F"/>
    <w:rsid w:val="00FE3E32"/>
    <w:rsid w:val="00FE4021"/>
    <w:rsid w:val="00FE4058"/>
    <w:rsid w:val="00FE40A4"/>
    <w:rsid w:val="00FE4184"/>
    <w:rsid w:val="00FE41F8"/>
    <w:rsid w:val="00FE4248"/>
    <w:rsid w:val="00FE429A"/>
    <w:rsid w:val="00FE43B5"/>
    <w:rsid w:val="00FE440C"/>
    <w:rsid w:val="00FE4566"/>
    <w:rsid w:val="00FE45A7"/>
    <w:rsid w:val="00FE45E7"/>
    <w:rsid w:val="00FE46FE"/>
    <w:rsid w:val="00FE47BA"/>
    <w:rsid w:val="00FE4830"/>
    <w:rsid w:val="00FE4849"/>
    <w:rsid w:val="00FE4872"/>
    <w:rsid w:val="00FE48B8"/>
    <w:rsid w:val="00FE4908"/>
    <w:rsid w:val="00FE494B"/>
    <w:rsid w:val="00FE498A"/>
    <w:rsid w:val="00FE4AF0"/>
    <w:rsid w:val="00FE4B26"/>
    <w:rsid w:val="00FE4B9F"/>
    <w:rsid w:val="00FE4BD3"/>
    <w:rsid w:val="00FE4BD7"/>
    <w:rsid w:val="00FE4BDF"/>
    <w:rsid w:val="00FE4BF8"/>
    <w:rsid w:val="00FE4CB6"/>
    <w:rsid w:val="00FE4D11"/>
    <w:rsid w:val="00FE4F83"/>
    <w:rsid w:val="00FE4F8A"/>
    <w:rsid w:val="00FE500A"/>
    <w:rsid w:val="00FE507B"/>
    <w:rsid w:val="00FE50AB"/>
    <w:rsid w:val="00FE50B8"/>
    <w:rsid w:val="00FE50D2"/>
    <w:rsid w:val="00FE5104"/>
    <w:rsid w:val="00FE5151"/>
    <w:rsid w:val="00FE515B"/>
    <w:rsid w:val="00FE5215"/>
    <w:rsid w:val="00FE52C5"/>
    <w:rsid w:val="00FE545B"/>
    <w:rsid w:val="00FE54A5"/>
    <w:rsid w:val="00FE551B"/>
    <w:rsid w:val="00FE5520"/>
    <w:rsid w:val="00FE5563"/>
    <w:rsid w:val="00FE55A8"/>
    <w:rsid w:val="00FE5626"/>
    <w:rsid w:val="00FE567B"/>
    <w:rsid w:val="00FE57E0"/>
    <w:rsid w:val="00FE59FD"/>
    <w:rsid w:val="00FE5B00"/>
    <w:rsid w:val="00FE5B8B"/>
    <w:rsid w:val="00FE5B96"/>
    <w:rsid w:val="00FE5C0A"/>
    <w:rsid w:val="00FE5CB6"/>
    <w:rsid w:val="00FE5D61"/>
    <w:rsid w:val="00FE5D81"/>
    <w:rsid w:val="00FE5E1B"/>
    <w:rsid w:val="00FE5E91"/>
    <w:rsid w:val="00FE5ED2"/>
    <w:rsid w:val="00FE5F71"/>
    <w:rsid w:val="00FE5FC9"/>
    <w:rsid w:val="00FE61C8"/>
    <w:rsid w:val="00FE6368"/>
    <w:rsid w:val="00FE644D"/>
    <w:rsid w:val="00FE6498"/>
    <w:rsid w:val="00FE658C"/>
    <w:rsid w:val="00FE66D8"/>
    <w:rsid w:val="00FE679C"/>
    <w:rsid w:val="00FE67EB"/>
    <w:rsid w:val="00FE6862"/>
    <w:rsid w:val="00FE68CD"/>
    <w:rsid w:val="00FE6AA8"/>
    <w:rsid w:val="00FE6B17"/>
    <w:rsid w:val="00FE6B94"/>
    <w:rsid w:val="00FE6DD5"/>
    <w:rsid w:val="00FE6FCC"/>
    <w:rsid w:val="00FE705B"/>
    <w:rsid w:val="00FE7202"/>
    <w:rsid w:val="00FE72FE"/>
    <w:rsid w:val="00FE730E"/>
    <w:rsid w:val="00FE737F"/>
    <w:rsid w:val="00FE740C"/>
    <w:rsid w:val="00FE7494"/>
    <w:rsid w:val="00FE74E0"/>
    <w:rsid w:val="00FE7572"/>
    <w:rsid w:val="00FE758F"/>
    <w:rsid w:val="00FE75B2"/>
    <w:rsid w:val="00FE75CE"/>
    <w:rsid w:val="00FE7600"/>
    <w:rsid w:val="00FE76E1"/>
    <w:rsid w:val="00FE7778"/>
    <w:rsid w:val="00FE7891"/>
    <w:rsid w:val="00FE78B9"/>
    <w:rsid w:val="00FE79F2"/>
    <w:rsid w:val="00FE7A75"/>
    <w:rsid w:val="00FE7A77"/>
    <w:rsid w:val="00FE7AED"/>
    <w:rsid w:val="00FE7B7B"/>
    <w:rsid w:val="00FE7BBB"/>
    <w:rsid w:val="00FE7D92"/>
    <w:rsid w:val="00FE7E89"/>
    <w:rsid w:val="00FE7E95"/>
    <w:rsid w:val="00FE7F47"/>
    <w:rsid w:val="00FE7F98"/>
    <w:rsid w:val="00FE7FC6"/>
    <w:rsid w:val="00FF003A"/>
    <w:rsid w:val="00FF00E2"/>
    <w:rsid w:val="00FF0125"/>
    <w:rsid w:val="00FF0152"/>
    <w:rsid w:val="00FF022D"/>
    <w:rsid w:val="00FF028D"/>
    <w:rsid w:val="00FF0321"/>
    <w:rsid w:val="00FF03A8"/>
    <w:rsid w:val="00FF043A"/>
    <w:rsid w:val="00FF05C2"/>
    <w:rsid w:val="00FF06A3"/>
    <w:rsid w:val="00FF06C9"/>
    <w:rsid w:val="00FF06D6"/>
    <w:rsid w:val="00FF07F2"/>
    <w:rsid w:val="00FF08C2"/>
    <w:rsid w:val="00FF08DC"/>
    <w:rsid w:val="00FF095C"/>
    <w:rsid w:val="00FF09B0"/>
    <w:rsid w:val="00FF09F9"/>
    <w:rsid w:val="00FF0A8E"/>
    <w:rsid w:val="00FF0AA1"/>
    <w:rsid w:val="00FF0AC4"/>
    <w:rsid w:val="00FF0AFD"/>
    <w:rsid w:val="00FF0D3F"/>
    <w:rsid w:val="00FF0D68"/>
    <w:rsid w:val="00FF0D7C"/>
    <w:rsid w:val="00FF0DA5"/>
    <w:rsid w:val="00FF0DE6"/>
    <w:rsid w:val="00FF0DEC"/>
    <w:rsid w:val="00FF0F2B"/>
    <w:rsid w:val="00FF10CF"/>
    <w:rsid w:val="00FF1183"/>
    <w:rsid w:val="00FF1378"/>
    <w:rsid w:val="00FF13C8"/>
    <w:rsid w:val="00FF1436"/>
    <w:rsid w:val="00FF14C5"/>
    <w:rsid w:val="00FF14E1"/>
    <w:rsid w:val="00FF1505"/>
    <w:rsid w:val="00FF159E"/>
    <w:rsid w:val="00FF15A0"/>
    <w:rsid w:val="00FF160E"/>
    <w:rsid w:val="00FF1639"/>
    <w:rsid w:val="00FF167E"/>
    <w:rsid w:val="00FF16D7"/>
    <w:rsid w:val="00FF175A"/>
    <w:rsid w:val="00FF19D3"/>
    <w:rsid w:val="00FF1A2E"/>
    <w:rsid w:val="00FF1A40"/>
    <w:rsid w:val="00FF1B20"/>
    <w:rsid w:val="00FF1BF3"/>
    <w:rsid w:val="00FF1C45"/>
    <w:rsid w:val="00FF1C6A"/>
    <w:rsid w:val="00FF1C8D"/>
    <w:rsid w:val="00FF1CD5"/>
    <w:rsid w:val="00FF1D5A"/>
    <w:rsid w:val="00FF1D97"/>
    <w:rsid w:val="00FF1E70"/>
    <w:rsid w:val="00FF1EE0"/>
    <w:rsid w:val="00FF1F13"/>
    <w:rsid w:val="00FF1F4B"/>
    <w:rsid w:val="00FF1F75"/>
    <w:rsid w:val="00FF203F"/>
    <w:rsid w:val="00FF2065"/>
    <w:rsid w:val="00FF20AA"/>
    <w:rsid w:val="00FF20F5"/>
    <w:rsid w:val="00FF2160"/>
    <w:rsid w:val="00FF217F"/>
    <w:rsid w:val="00FF2270"/>
    <w:rsid w:val="00FF2361"/>
    <w:rsid w:val="00FF23D8"/>
    <w:rsid w:val="00FF23DB"/>
    <w:rsid w:val="00FF23DD"/>
    <w:rsid w:val="00FF23E6"/>
    <w:rsid w:val="00FF2449"/>
    <w:rsid w:val="00FF25F1"/>
    <w:rsid w:val="00FF260C"/>
    <w:rsid w:val="00FF266E"/>
    <w:rsid w:val="00FF26B5"/>
    <w:rsid w:val="00FF27A3"/>
    <w:rsid w:val="00FF27C6"/>
    <w:rsid w:val="00FF27CC"/>
    <w:rsid w:val="00FF29DA"/>
    <w:rsid w:val="00FF2A74"/>
    <w:rsid w:val="00FF2A85"/>
    <w:rsid w:val="00FF2B44"/>
    <w:rsid w:val="00FF2CCC"/>
    <w:rsid w:val="00FF2E28"/>
    <w:rsid w:val="00FF2E2D"/>
    <w:rsid w:val="00FF2E7F"/>
    <w:rsid w:val="00FF2E97"/>
    <w:rsid w:val="00FF2E9B"/>
    <w:rsid w:val="00FF2EBA"/>
    <w:rsid w:val="00FF2EF5"/>
    <w:rsid w:val="00FF2F09"/>
    <w:rsid w:val="00FF2F3D"/>
    <w:rsid w:val="00FF2F3E"/>
    <w:rsid w:val="00FF2F59"/>
    <w:rsid w:val="00FF2F72"/>
    <w:rsid w:val="00FF306D"/>
    <w:rsid w:val="00FF30AC"/>
    <w:rsid w:val="00FF3104"/>
    <w:rsid w:val="00FF319A"/>
    <w:rsid w:val="00FF31DA"/>
    <w:rsid w:val="00FF3342"/>
    <w:rsid w:val="00FF33A8"/>
    <w:rsid w:val="00FF344A"/>
    <w:rsid w:val="00FF351B"/>
    <w:rsid w:val="00FF3565"/>
    <w:rsid w:val="00FF3599"/>
    <w:rsid w:val="00FF3688"/>
    <w:rsid w:val="00FF36C0"/>
    <w:rsid w:val="00FF370C"/>
    <w:rsid w:val="00FF371E"/>
    <w:rsid w:val="00FF3748"/>
    <w:rsid w:val="00FF376E"/>
    <w:rsid w:val="00FF37C4"/>
    <w:rsid w:val="00FF38A9"/>
    <w:rsid w:val="00FF38AE"/>
    <w:rsid w:val="00FF3912"/>
    <w:rsid w:val="00FF3935"/>
    <w:rsid w:val="00FF39FD"/>
    <w:rsid w:val="00FF3A09"/>
    <w:rsid w:val="00FF3A34"/>
    <w:rsid w:val="00FF3A5D"/>
    <w:rsid w:val="00FF3A66"/>
    <w:rsid w:val="00FF3AAA"/>
    <w:rsid w:val="00FF3C53"/>
    <w:rsid w:val="00FF3C8F"/>
    <w:rsid w:val="00FF3CC0"/>
    <w:rsid w:val="00FF3DB5"/>
    <w:rsid w:val="00FF3DE0"/>
    <w:rsid w:val="00FF3E05"/>
    <w:rsid w:val="00FF3E11"/>
    <w:rsid w:val="00FF3E58"/>
    <w:rsid w:val="00FF3E70"/>
    <w:rsid w:val="00FF3EA6"/>
    <w:rsid w:val="00FF3F61"/>
    <w:rsid w:val="00FF3FAE"/>
    <w:rsid w:val="00FF3FCC"/>
    <w:rsid w:val="00FF413F"/>
    <w:rsid w:val="00FF42A1"/>
    <w:rsid w:val="00FF42EF"/>
    <w:rsid w:val="00FF433C"/>
    <w:rsid w:val="00FF435C"/>
    <w:rsid w:val="00FF4481"/>
    <w:rsid w:val="00FF463E"/>
    <w:rsid w:val="00FF465F"/>
    <w:rsid w:val="00FF46C7"/>
    <w:rsid w:val="00FF474D"/>
    <w:rsid w:val="00FF480F"/>
    <w:rsid w:val="00FF4849"/>
    <w:rsid w:val="00FF499A"/>
    <w:rsid w:val="00FF4A66"/>
    <w:rsid w:val="00FF4A83"/>
    <w:rsid w:val="00FF4AB2"/>
    <w:rsid w:val="00FF4AF7"/>
    <w:rsid w:val="00FF4B2A"/>
    <w:rsid w:val="00FF4BAF"/>
    <w:rsid w:val="00FF4C94"/>
    <w:rsid w:val="00FF4E3B"/>
    <w:rsid w:val="00FF4ECB"/>
    <w:rsid w:val="00FF4ECD"/>
    <w:rsid w:val="00FF4F73"/>
    <w:rsid w:val="00FF4F9E"/>
    <w:rsid w:val="00FF4FC4"/>
    <w:rsid w:val="00FF50B4"/>
    <w:rsid w:val="00FF50F9"/>
    <w:rsid w:val="00FF5129"/>
    <w:rsid w:val="00FF5174"/>
    <w:rsid w:val="00FF51CF"/>
    <w:rsid w:val="00FF5222"/>
    <w:rsid w:val="00FF527F"/>
    <w:rsid w:val="00FF52C8"/>
    <w:rsid w:val="00FF53C5"/>
    <w:rsid w:val="00FF53CD"/>
    <w:rsid w:val="00FF54DC"/>
    <w:rsid w:val="00FF5508"/>
    <w:rsid w:val="00FF5589"/>
    <w:rsid w:val="00FF5616"/>
    <w:rsid w:val="00FF562A"/>
    <w:rsid w:val="00FF563C"/>
    <w:rsid w:val="00FF565C"/>
    <w:rsid w:val="00FF584F"/>
    <w:rsid w:val="00FF5895"/>
    <w:rsid w:val="00FF58C3"/>
    <w:rsid w:val="00FF58D7"/>
    <w:rsid w:val="00FF58E4"/>
    <w:rsid w:val="00FF5943"/>
    <w:rsid w:val="00FF598C"/>
    <w:rsid w:val="00FF5A08"/>
    <w:rsid w:val="00FF5B73"/>
    <w:rsid w:val="00FF5B8D"/>
    <w:rsid w:val="00FF5BA2"/>
    <w:rsid w:val="00FF5BF6"/>
    <w:rsid w:val="00FF5D36"/>
    <w:rsid w:val="00FF5D89"/>
    <w:rsid w:val="00FF5DC3"/>
    <w:rsid w:val="00FF5ED1"/>
    <w:rsid w:val="00FF5FAB"/>
    <w:rsid w:val="00FF6275"/>
    <w:rsid w:val="00FF6285"/>
    <w:rsid w:val="00FF628B"/>
    <w:rsid w:val="00FF631B"/>
    <w:rsid w:val="00FF6470"/>
    <w:rsid w:val="00FF64A1"/>
    <w:rsid w:val="00FF64FA"/>
    <w:rsid w:val="00FF6504"/>
    <w:rsid w:val="00FF6520"/>
    <w:rsid w:val="00FF653D"/>
    <w:rsid w:val="00FF6543"/>
    <w:rsid w:val="00FF659B"/>
    <w:rsid w:val="00FF6608"/>
    <w:rsid w:val="00FF66AF"/>
    <w:rsid w:val="00FF66D8"/>
    <w:rsid w:val="00FF67D5"/>
    <w:rsid w:val="00FF6939"/>
    <w:rsid w:val="00FF6B98"/>
    <w:rsid w:val="00FF6D42"/>
    <w:rsid w:val="00FF6D4C"/>
    <w:rsid w:val="00FF6E09"/>
    <w:rsid w:val="00FF6F27"/>
    <w:rsid w:val="00FF6F89"/>
    <w:rsid w:val="00FF6F9C"/>
    <w:rsid w:val="00FF6FD2"/>
    <w:rsid w:val="00FF70F3"/>
    <w:rsid w:val="00FF7114"/>
    <w:rsid w:val="00FF7128"/>
    <w:rsid w:val="00FF7153"/>
    <w:rsid w:val="00FF7171"/>
    <w:rsid w:val="00FF717D"/>
    <w:rsid w:val="00FF7220"/>
    <w:rsid w:val="00FF73BE"/>
    <w:rsid w:val="00FF7413"/>
    <w:rsid w:val="00FF7454"/>
    <w:rsid w:val="00FF75BD"/>
    <w:rsid w:val="00FF7644"/>
    <w:rsid w:val="00FF7830"/>
    <w:rsid w:val="00FF7866"/>
    <w:rsid w:val="00FF7979"/>
    <w:rsid w:val="00FF7980"/>
    <w:rsid w:val="00FF79AB"/>
    <w:rsid w:val="00FF7A8C"/>
    <w:rsid w:val="00FF7AF3"/>
    <w:rsid w:val="00FF7C17"/>
    <w:rsid w:val="00FF7D10"/>
    <w:rsid w:val="00FF7D73"/>
    <w:rsid w:val="00FF7E3A"/>
    <w:rsid w:val="00FF7EBA"/>
    <w:rsid w:val="00FF7ED6"/>
    <w:rsid w:val="00FF7F00"/>
    <w:rsid w:val="00FF7F0E"/>
    <w:rsid w:val="00FF7FB5"/>
    <w:rsid w:val="00FF7FC3"/>
    <w:rsid w:val="00FF7FFB"/>
    <w:rsid w:val="01081201"/>
    <w:rsid w:val="010F3356"/>
    <w:rsid w:val="0110CCE3"/>
    <w:rsid w:val="0111C413"/>
    <w:rsid w:val="01184EA9"/>
    <w:rsid w:val="01262764"/>
    <w:rsid w:val="01297936"/>
    <w:rsid w:val="013187BC"/>
    <w:rsid w:val="01345E9D"/>
    <w:rsid w:val="013C0B7E"/>
    <w:rsid w:val="014437DF"/>
    <w:rsid w:val="0151C393"/>
    <w:rsid w:val="0155C2B6"/>
    <w:rsid w:val="015D26E5"/>
    <w:rsid w:val="01607701"/>
    <w:rsid w:val="0163C515"/>
    <w:rsid w:val="0164392A"/>
    <w:rsid w:val="016FD34A"/>
    <w:rsid w:val="0185C7BF"/>
    <w:rsid w:val="018B3ABF"/>
    <w:rsid w:val="0193839B"/>
    <w:rsid w:val="019867AA"/>
    <w:rsid w:val="019C57AB"/>
    <w:rsid w:val="019E6DD4"/>
    <w:rsid w:val="01AB6F33"/>
    <w:rsid w:val="01B55155"/>
    <w:rsid w:val="01C58768"/>
    <w:rsid w:val="01CC6F5B"/>
    <w:rsid w:val="01CD2E49"/>
    <w:rsid w:val="01CDD052"/>
    <w:rsid w:val="01CE1F98"/>
    <w:rsid w:val="01D4B125"/>
    <w:rsid w:val="01D71B9F"/>
    <w:rsid w:val="01DEAE1B"/>
    <w:rsid w:val="01E5B9DC"/>
    <w:rsid w:val="01EAA735"/>
    <w:rsid w:val="01EB075E"/>
    <w:rsid w:val="01EFABF3"/>
    <w:rsid w:val="01F77428"/>
    <w:rsid w:val="01FEA734"/>
    <w:rsid w:val="02017BB7"/>
    <w:rsid w:val="0216BF02"/>
    <w:rsid w:val="02229705"/>
    <w:rsid w:val="022E3577"/>
    <w:rsid w:val="023DC3F6"/>
    <w:rsid w:val="0241E5C3"/>
    <w:rsid w:val="024435DA"/>
    <w:rsid w:val="024705B6"/>
    <w:rsid w:val="025016A7"/>
    <w:rsid w:val="02546CED"/>
    <w:rsid w:val="0254D0FF"/>
    <w:rsid w:val="027663D3"/>
    <w:rsid w:val="0280862A"/>
    <w:rsid w:val="02844456"/>
    <w:rsid w:val="028BB865"/>
    <w:rsid w:val="0293DD88"/>
    <w:rsid w:val="02A14ED6"/>
    <w:rsid w:val="02A1BA0F"/>
    <w:rsid w:val="02A3DBDE"/>
    <w:rsid w:val="02A3FFE8"/>
    <w:rsid w:val="02A59FB4"/>
    <w:rsid w:val="02A5AFC0"/>
    <w:rsid w:val="02A72B11"/>
    <w:rsid w:val="02ACC0F5"/>
    <w:rsid w:val="02BF61B0"/>
    <w:rsid w:val="02C44976"/>
    <w:rsid w:val="02C6F0BB"/>
    <w:rsid w:val="02CB6940"/>
    <w:rsid w:val="02CB6CDA"/>
    <w:rsid w:val="02D214E4"/>
    <w:rsid w:val="02D483B0"/>
    <w:rsid w:val="02D4FBB1"/>
    <w:rsid w:val="02D909C3"/>
    <w:rsid w:val="02DF3AED"/>
    <w:rsid w:val="02E29767"/>
    <w:rsid w:val="02E623CB"/>
    <w:rsid w:val="02EA5695"/>
    <w:rsid w:val="02F183D1"/>
    <w:rsid w:val="02F1E391"/>
    <w:rsid w:val="02FAED17"/>
    <w:rsid w:val="030244CD"/>
    <w:rsid w:val="03026A49"/>
    <w:rsid w:val="030515AF"/>
    <w:rsid w:val="0307242D"/>
    <w:rsid w:val="030FD49A"/>
    <w:rsid w:val="0316C958"/>
    <w:rsid w:val="031D9C11"/>
    <w:rsid w:val="03250914"/>
    <w:rsid w:val="032516FF"/>
    <w:rsid w:val="033507DC"/>
    <w:rsid w:val="0337D667"/>
    <w:rsid w:val="033A6E71"/>
    <w:rsid w:val="033DD217"/>
    <w:rsid w:val="033ED26F"/>
    <w:rsid w:val="035D863C"/>
    <w:rsid w:val="035FD872"/>
    <w:rsid w:val="03646CA7"/>
    <w:rsid w:val="037154CA"/>
    <w:rsid w:val="038186A8"/>
    <w:rsid w:val="03901A9F"/>
    <w:rsid w:val="03922BAA"/>
    <w:rsid w:val="0395E785"/>
    <w:rsid w:val="039DA78E"/>
    <w:rsid w:val="03A752A2"/>
    <w:rsid w:val="03AC780F"/>
    <w:rsid w:val="03AEBA2F"/>
    <w:rsid w:val="03B02E90"/>
    <w:rsid w:val="03B117A2"/>
    <w:rsid w:val="03B45F7F"/>
    <w:rsid w:val="03B56EE4"/>
    <w:rsid w:val="03B6050D"/>
    <w:rsid w:val="03BE447F"/>
    <w:rsid w:val="03C21388"/>
    <w:rsid w:val="03C38996"/>
    <w:rsid w:val="03CBB869"/>
    <w:rsid w:val="03CC9E08"/>
    <w:rsid w:val="03CF149E"/>
    <w:rsid w:val="03D01F45"/>
    <w:rsid w:val="03D0E99C"/>
    <w:rsid w:val="03D7762A"/>
    <w:rsid w:val="03D9AEB6"/>
    <w:rsid w:val="03DDD4E8"/>
    <w:rsid w:val="03E01F02"/>
    <w:rsid w:val="03E5417E"/>
    <w:rsid w:val="03E613E3"/>
    <w:rsid w:val="03EEC7C5"/>
    <w:rsid w:val="03F22D54"/>
    <w:rsid w:val="03FBF47C"/>
    <w:rsid w:val="04065DA8"/>
    <w:rsid w:val="04078A75"/>
    <w:rsid w:val="0409FE55"/>
    <w:rsid w:val="0410E84F"/>
    <w:rsid w:val="0411B1FF"/>
    <w:rsid w:val="04146017"/>
    <w:rsid w:val="041511A4"/>
    <w:rsid w:val="04184283"/>
    <w:rsid w:val="041DA260"/>
    <w:rsid w:val="04296543"/>
    <w:rsid w:val="042D9DA0"/>
    <w:rsid w:val="042DFEB0"/>
    <w:rsid w:val="042FBD69"/>
    <w:rsid w:val="04350A1B"/>
    <w:rsid w:val="0440499B"/>
    <w:rsid w:val="044A5098"/>
    <w:rsid w:val="044FBDB3"/>
    <w:rsid w:val="046020E4"/>
    <w:rsid w:val="0461E2A6"/>
    <w:rsid w:val="04666C72"/>
    <w:rsid w:val="046BF00D"/>
    <w:rsid w:val="0471456D"/>
    <w:rsid w:val="0473C165"/>
    <w:rsid w:val="047EBA0D"/>
    <w:rsid w:val="0483D2E0"/>
    <w:rsid w:val="048B3606"/>
    <w:rsid w:val="0493C820"/>
    <w:rsid w:val="049A8821"/>
    <w:rsid w:val="04BC0887"/>
    <w:rsid w:val="04C31720"/>
    <w:rsid w:val="04C3891B"/>
    <w:rsid w:val="04D3E6C1"/>
    <w:rsid w:val="04E0E625"/>
    <w:rsid w:val="04EA65C8"/>
    <w:rsid w:val="04EA94EF"/>
    <w:rsid w:val="04F523DB"/>
    <w:rsid w:val="0501ACBC"/>
    <w:rsid w:val="050960DD"/>
    <w:rsid w:val="050BF437"/>
    <w:rsid w:val="050FDC2B"/>
    <w:rsid w:val="05190E51"/>
    <w:rsid w:val="052D52A6"/>
    <w:rsid w:val="053F7B14"/>
    <w:rsid w:val="054C906D"/>
    <w:rsid w:val="0554F329"/>
    <w:rsid w:val="0556A5D2"/>
    <w:rsid w:val="055ABABE"/>
    <w:rsid w:val="055BAD30"/>
    <w:rsid w:val="0561F5DD"/>
    <w:rsid w:val="05672AA4"/>
    <w:rsid w:val="05693F86"/>
    <w:rsid w:val="056ACFD1"/>
    <w:rsid w:val="056C59E0"/>
    <w:rsid w:val="05701E86"/>
    <w:rsid w:val="057A2EBB"/>
    <w:rsid w:val="05807A96"/>
    <w:rsid w:val="0584738F"/>
    <w:rsid w:val="0592A35D"/>
    <w:rsid w:val="059820B0"/>
    <w:rsid w:val="059B97C0"/>
    <w:rsid w:val="05A5533D"/>
    <w:rsid w:val="05AF9410"/>
    <w:rsid w:val="05CABB3C"/>
    <w:rsid w:val="05CB0FF7"/>
    <w:rsid w:val="05CE9E67"/>
    <w:rsid w:val="05CEC1ED"/>
    <w:rsid w:val="05D611D4"/>
    <w:rsid w:val="05D62132"/>
    <w:rsid w:val="05E9D6F1"/>
    <w:rsid w:val="05F49AF7"/>
    <w:rsid w:val="05FD06CC"/>
    <w:rsid w:val="05FDE03A"/>
    <w:rsid w:val="06031165"/>
    <w:rsid w:val="0604765E"/>
    <w:rsid w:val="0619CD2E"/>
    <w:rsid w:val="061E3C60"/>
    <w:rsid w:val="0631997B"/>
    <w:rsid w:val="06359612"/>
    <w:rsid w:val="0639DCFF"/>
    <w:rsid w:val="063BDC5A"/>
    <w:rsid w:val="063BF63E"/>
    <w:rsid w:val="063DD3D0"/>
    <w:rsid w:val="06427DAF"/>
    <w:rsid w:val="0649060E"/>
    <w:rsid w:val="06517927"/>
    <w:rsid w:val="06561079"/>
    <w:rsid w:val="066B9A44"/>
    <w:rsid w:val="0671C2F8"/>
    <w:rsid w:val="06789BFF"/>
    <w:rsid w:val="0681684D"/>
    <w:rsid w:val="0681D08A"/>
    <w:rsid w:val="06847FB5"/>
    <w:rsid w:val="06870025"/>
    <w:rsid w:val="0698E6EB"/>
    <w:rsid w:val="06A4F3D4"/>
    <w:rsid w:val="06B0E199"/>
    <w:rsid w:val="06B241D0"/>
    <w:rsid w:val="06B2BA80"/>
    <w:rsid w:val="06BB8101"/>
    <w:rsid w:val="06C13283"/>
    <w:rsid w:val="06C9FC05"/>
    <w:rsid w:val="06DA1B3F"/>
    <w:rsid w:val="06DD1C75"/>
    <w:rsid w:val="06E2B862"/>
    <w:rsid w:val="06F5EA7F"/>
    <w:rsid w:val="070332FC"/>
    <w:rsid w:val="07049651"/>
    <w:rsid w:val="070A0660"/>
    <w:rsid w:val="0716B373"/>
    <w:rsid w:val="072E90E7"/>
    <w:rsid w:val="07328F83"/>
    <w:rsid w:val="073EC383"/>
    <w:rsid w:val="0742BED0"/>
    <w:rsid w:val="074EFC25"/>
    <w:rsid w:val="074F3474"/>
    <w:rsid w:val="0756749F"/>
    <w:rsid w:val="0758D8F0"/>
    <w:rsid w:val="075ACE5B"/>
    <w:rsid w:val="075B7B14"/>
    <w:rsid w:val="07612128"/>
    <w:rsid w:val="0762911A"/>
    <w:rsid w:val="07690B13"/>
    <w:rsid w:val="076A3476"/>
    <w:rsid w:val="076ABA79"/>
    <w:rsid w:val="077232CA"/>
    <w:rsid w:val="0773E474"/>
    <w:rsid w:val="07776D02"/>
    <w:rsid w:val="077B1261"/>
    <w:rsid w:val="077C4334"/>
    <w:rsid w:val="078548BB"/>
    <w:rsid w:val="0785C819"/>
    <w:rsid w:val="07941738"/>
    <w:rsid w:val="07951699"/>
    <w:rsid w:val="07983F4D"/>
    <w:rsid w:val="079A2759"/>
    <w:rsid w:val="079ACA62"/>
    <w:rsid w:val="07A20152"/>
    <w:rsid w:val="07A2D393"/>
    <w:rsid w:val="07A614C0"/>
    <w:rsid w:val="07B515A2"/>
    <w:rsid w:val="07B6BFFF"/>
    <w:rsid w:val="07BBD6C1"/>
    <w:rsid w:val="07C728FC"/>
    <w:rsid w:val="07CEE9A8"/>
    <w:rsid w:val="07D1E4EB"/>
    <w:rsid w:val="07DAE75F"/>
    <w:rsid w:val="07EB2ECF"/>
    <w:rsid w:val="07F417BC"/>
    <w:rsid w:val="07F76C49"/>
    <w:rsid w:val="07F7873B"/>
    <w:rsid w:val="07FCF8F2"/>
    <w:rsid w:val="08005B5D"/>
    <w:rsid w:val="0809E61A"/>
    <w:rsid w:val="081413DF"/>
    <w:rsid w:val="08192B3C"/>
    <w:rsid w:val="0819A41F"/>
    <w:rsid w:val="0819B423"/>
    <w:rsid w:val="0819C759"/>
    <w:rsid w:val="081A85CC"/>
    <w:rsid w:val="081E68E2"/>
    <w:rsid w:val="08226FD1"/>
    <w:rsid w:val="0822B29C"/>
    <w:rsid w:val="0827DC31"/>
    <w:rsid w:val="0830E52C"/>
    <w:rsid w:val="0832FFF6"/>
    <w:rsid w:val="08331F7B"/>
    <w:rsid w:val="0834EB5E"/>
    <w:rsid w:val="083F8DDA"/>
    <w:rsid w:val="0843611A"/>
    <w:rsid w:val="084A684E"/>
    <w:rsid w:val="084DBB7F"/>
    <w:rsid w:val="0860DBE2"/>
    <w:rsid w:val="086A6768"/>
    <w:rsid w:val="0871AF61"/>
    <w:rsid w:val="087219F5"/>
    <w:rsid w:val="087C6732"/>
    <w:rsid w:val="0885ACAD"/>
    <w:rsid w:val="0890A4A4"/>
    <w:rsid w:val="089BAE3C"/>
    <w:rsid w:val="08A8C7DB"/>
    <w:rsid w:val="08AF211B"/>
    <w:rsid w:val="08B26F61"/>
    <w:rsid w:val="08B72D4A"/>
    <w:rsid w:val="08B7AADD"/>
    <w:rsid w:val="08C47165"/>
    <w:rsid w:val="08C82C01"/>
    <w:rsid w:val="08CD4E1A"/>
    <w:rsid w:val="08CD98F1"/>
    <w:rsid w:val="08D529DD"/>
    <w:rsid w:val="08D8431E"/>
    <w:rsid w:val="08D99088"/>
    <w:rsid w:val="08E1A7FE"/>
    <w:rsid w:val="08F36028"/>
    <w:rsid w:val="08F448B3"/>
    <w:rsid w:val="08F45965"/>
    <w:rsid w:val="0902D276"/>
    <w:rsid w:val="0905F67F"/>
    <w:rsid w:val="090F3AC5"/>
    <w:rsid w:val="091732CE"/>
    <w:rsid w:val="091DF5EE"/>
    <w:rsid w:val="0929842E"/>
    <w:rsid w:val="092BFE9A"/>
    <w:rsid w:val="092CC60B"/>
    <w:rsid w:val="093D1E94"/>
    <w:rsid w:val="094FA3FF"/>
    <w:rsid w:val="0953F420"/>
    <w:rsid w:val="095C1FD0"/>
    <w:rsid w:val="095C9155"/>
    <w:rsid w:val="095F1907"/>
    <w:rsid w:val="0967B52E"/>
    <w:rsid w:val="0983F2AC"/>
    <w:rsid w:val="0984C67C"/>
    <w:rsid w:val="098844AF"/>
    <w:rsid w:val="098A7E7B"/>
    <w:rsid w:val="0996E93A"/>
    <w:rsid w:val="09AC644A"/>
    <w:rsid w:val="09B1C315"/>
    <w:rsid w:val="09B4E21F"/>
    <w:rsid w:val="09B8FE1B"/>
    <w:rsid w:val="09C6E459"/>
    <w:rsid w:val="09CDF1CD"/>
    <w:rsid w:val="09D2DAC7"/>
    <w:rsid w:val="09D9D46C"/>
    <w:rsid w:val="09EE67F4"/>
    <w:rsid w:val="09F19868"/>
    <w:rsid w:val="09FC0AF6"/>
    <w:rsid w:val="0A033AE1"/>
    <w:rsid w:val="0A09D572"/>
    <w:rsid w:val="0A1313B8"/>
    <w:rsid w:val="0A2AFF6C"/>
    <w:rsid w:val="0A2CB630"/>
    <w:rsid w:val="0A3FDFEA"/>
    <w:rsid w:val="0A45DD8A"/>
    <w:rsid w:val="0A46B210"/>
    <w:rsid w:val="0A486FE4"/>
    <w:rsid w:val="0A496335"/>
    <w:rsid w:val="0A4B7808"/>
    <w:rsid w:val="0A574E60"/>
    <w:rsid w:val="0A5BB67A"/>
    <w:rsid w:val="0A5F07E4"/>
    <w:rsid w:val="0A60F6FE"/>
    <w:rsid w:val="0A63E3E7"/>
    <w:rsid w:val="0A64409D"/>
    <w:rsid w:val="0A6694A7"/>
    <w:rsid w:val="0A6A8A56"/>
    <w:rsid w:val="0A700EE6"/>
    <w:rsid w:val="0A762A37"/>
    <w:rsid w:val="0A7C7A11"/>
    <w:rsid w:val="0A810908"/>
    <w:rsid w:val="0A85121F"/>
    <w:rsid w:val="0A855CC5"/>
    <w:rsid w:val="0A8B7AF5"/>
    <w:rsid w:val="0A8E8DC3"/>
    <w:rsid w:val="0A95B531"/>
    <w:rsid w:val="0A99FED8"/>
    <w:rsid w:val="0A9AA8E8"/>
    <w:rsid w:val="0A9FD470"/>
    <w:rsid w:val="0AA6013A"/>
    <w:rsid w:val="0AA93F6B"/>
    <w:rsid w:val="0AA9F19F"/>
    <w:rsid w:val="0AB69664"/>
    <w:rsid w:val="0AD13398"/>
    <w:rsid w:val="0AD3A6A4"/>
    <w:rsid w:val="0ADB65A6"/>
    <w:rsid w:val="0ADBF33C"/>
    <w:rsid w:val="0AE80329"/>
    <w:rsid w:val="0AEDA3BC"/>
    <w:rsid w:val="0AF16D95"/>
    <w:rsid w:val="0AF29B40"/>
    <w:rsid w:val="0AF81A1B"/>
    <w:rsid w:val="0AF840EF"/>
    <w:rsid w:val="0AFD464D"/>
    <w:rsid w:val="0B028553"/>
    <w:rsid w:val="0B03F146"/>
    <w:rsid w:val="0B058EC2"/>
    <w:rsid w:val="0B06D1A1"/>
    <w:rsid w:val="0B13005B"/>
    <w:rsid w:val="0B13C9A9"/>
    <w:rsid w:val="0B15F7D7"/>
    <w:rsid w:val="0B19041B"/>
    <w:rsid w:val="0B1C34B5"/>
    <w:rsid w:val="0B2868CB"/>
    <w:rsid w:val="0B295256"/>
    <w:rsid w:val="0B34B937"/>
    <w:rsid w:val="0B3E8B09"/>
    <w:rsid w:val="0B52921F"/>
    <w:rsid w:val="0B533F43"/>
    <w:rsid w:val="0B541082"/>
    <w:rsid w:val="0B552E48"/>
    <w:rsid w:val="0B59BF4C"/>
    <w:rsid w:val="0B5ABCFE"/>
    <w:rsid w:val="0B7779E7"/>
    <w:rsid w:val="0B7A66EC"/>
    <w:rsid w:val="0B9DA725"/>
    <w:rsid w:val="0BA459F1"/>
    <w:rsid w:val="0BA4E93E"/>
    <w:rsid w:val="0BA6109F"/>
    <w:rsid w:val="0BA7B4A8"/>
    <w:rsid w:val="0BAE2AA5"/>
    <w:rsid w:val="0BB008C5"/>
    <w:rsid w:val="0BB37773"/>
    <w:rsid w:val="0BB880E1"/>
    <w:rsid w:val="0BBA9123"/>
    <w:rsid w:val="0BBBACFC"/>
    <w:rsid w:val="0BCAB119"/>
    <w:rsid w:val="0BCEE57E"/>
    <w:rsid w:val="0BD03DFE"/>
    <w:rsid w:val="0BD88C94"/>
    <w:rsid w:val="0BE7AF0C"/>
    <w:rsid w:val="0BEB078E"/>
    <w:rsid w:val="0BF2887C"/>
    <w:rsid w:val="0BF4DB50"/>
    <w:rsid w:val="0BF76062"/>
    <w:rsid w:val="0C08A4E2"/>
    <w:rsid w:val="0C0B7B49"/>
    <w:rsid w:val="0C169D31"/>
    <w:rsid w:val="0C2168E8"/>
    <w:rsid w:val="0C271FC9"/>
    <w:rsid w:val="0C2E73FF"/>
    <w:rsid w:val="0C3610EB"/>
    <w:rsid w:val="0C3C21E9"/>
    <w:rsid w:val="0C3F0252"/>
    <w:rsid w:val="0C4F2F90"/>
    <w:rsid w:val="0C5B53F5"/>
    <w:rsid w:val="0C5B946F"/>
    <w:rsid w:val="0C67D186"/>
    <w:rsid w:val="0C6A04DA"/>
    <w:rsid w:val="0C762136"/>
    <w:rsid w:val="0C7DBB8B"/>
    <w:rsid w:val="0C8C6AB9"/>
    <w:rsid w:val="0C9DFD3F"/>
    <w:rsid w:val="0CBA8D3D"/>
    <w:rsid w:val="0CBEA449"/>
    <w:rsid w:val="0CBFFD22"/>
    <w:rsid w:val="0CC207C1"/>
    <w:rsid w:val="0CC2ED02"/>
    <w:rsid w:val="0CD0EE17"/>
    <w:rsid w:val="0CDF1194"/>
    <w:rsid w:val="0CE2606E"/>
    <w:rsid w:val="0CF41302"/>
    <w:rsid w:val="0D045875"/>
    <w:rsid w:val="0D083BDF"/>
    <w:rsid w:val="0D13EE74"/>
    <w:rsid w:val="0D20178A"/>
    <w:rsid w:val="0D218DF9"/>
    <w:rsid w:val="0D21CBC4"/>
    <w:rsid w:val="0D27CFE1"/>
    <w:rsid w:val="0D286659"/>
    <w:rsid w:val="0D36AE44"/>
    <w:rsid w:val="0D3B83F2"/>
    <w:rsid w:val="0D43FD60"/>
    <w:rsid w:val="0D47E82F"/>
    <w:rsid w:val="0D4C3D33"/>
    <w:rsid w:val="0D590166"/>
    <w:rsid w:val="0D5A16BB"/>
    <w:rsid w:val="0D60E747"/>
    <w:rsid w:val="0D6F2CA2"/>
    <w:rsid w:val="0D77CE4E"/>
    <w:rsid w:val="0D7DEE56"/>
    <w:rsid w:val="0D8633E1"/>
    <w:rsid w:val="0D8AE8CE"/>
    <w:rsid w:val="0D8F3195"/>
    <w:rsid w:val="0D9E7293"/>
    <w:rsid w:val="0DA62A1C"/>
    <w:rsid w:val="0DAA3F24"/>
    <w:rsid w:val="0DB8B66D"/>
    <w:rsid w:val="0DBE565A"/>
    <w:rsid w:val="0DC06099"/>
    <w:rsid w:val="0DC9061F"/>
    <w:rsid w:val="0DCCC660"/>
    <w:rsid w:val="0DD42745"/>
    <w:rsid w:val="0DE79BDE"/>
    <w:rsid w:val="0DEAFF19"/>
    <w:rsid w:val="0DF9CF12"/>
    <w:rsid w:val="0DFB74C6"/>
    <w:rsid w:val="0E19D79D"/>
    <w:rsid w:val="0E21A446"/>
    <w:rsid w:val="0E2B419D"/>
    <w:rsid w:val="0E2CDE6D"/>
    <w:rsid w:val="0E2F1E63"/>
    <w:rsid w:val="0E39EA2C"/>
    <w:rsid w:val="0E416E0E"/>
    <w:rsid w:val="0E469FF8"/>
    <w:rsid w:val="0E482C30"/>
    <w:rsid w:val="0E524D31"/>
    <w:rsid w:val="0E52503F"/>
    <w:rsid w:val="0E52B6F2"/>
    <w:rsid w:val="0E5BEB14"/>
    <w:rsid w:val="0E7279D2"/>
    <w:rsid w:val="0E7AC964"/>
    <w:rsid w:val="0E8163B4"/>
    <w:rsid w:val="0E8356F8"/>
    <w:rsid w:val="0E85D88C"/>
    <w:rsid w:val="0E930E82"/>
    <w:rsid w:val="0E97DA0F"/>
    <w:rsid w:val="0E980D98"/>
    <w:rsid w:val="0E99123F"/>
    <w:rsid w:val="0E9EA858"/>
    <w:rsid w:val="0EA4D430"/>
    <w:rsid w:val="0EB0B921"/>
    <w:rsid w:val="0EB0CE4F"/>
    <w:rsid w:val="0EB23A14"/>
    <w:rsid w:val="0EBB4FE7"/>
    <w:rsid w:val="0EBD2D06"/>
    <w:rsid w:val="0EC1A41D"/>
    <w:rsid w:val="0ED19D43"/>
    <w:rsid w:val="0EDF572B"/>
    <w:rsid w:val="0EE0AD22"/>
    <w:rsid w:val="0EE2AA9A"/>
    <w:rsid w:val="0EE6318B"/>
    <w:rsid w:val="0EF51E8D"/>
    <w:rsid w:val="0EF99DAF"/>
    <w:rsid w:val="0F04402B"/>
    <w:rsid w:val="0F0A8B8B"/>
    <w:rsid w:val="0F2014B4"/>
    <w:rsid w:val="0F254C80"/>
    <w:rsid w:val="0F276F4A"/>
    <w:rsid w:val="0F2A77A0"/>
    <w:rsid w:val="0F2DE98D"/>
    <w:rsid w:val="0F35D04B"/>
    <w:rsid w:val="0F379D24"/>
    <w:rsid w:val="0F38514D"/>
    <w:rsid w:val="0F3B9C7F"/>
    <w:rsid w:val="0F3C8597"/>
    <w:rsid w:val="0F52B00E"/>
    <w:rsid w:val="0F53C651"/>
    <w:rsid w:val="0F575027"/>
    <w:rsid w:val="0F58DA05"/>
    <w:rsid w:val="0F5AAFBB"/>
    <w:rsid w:val="0F6577D4"/>
    <w:rsid w:val="0F66EFCE"/>
    <w:rsid w:val="0F6E2836"/>
    <w:rsid w:val="0F731382"/>
    <w:rsid w:val="0F742E4B"/>
    <w:rsid w:val="0F76D258"/>
    <w:rsid w:val="0F795746"/>
    <w:rsid w:val="0F79EE43"/>
    <w:rsid w:val="0F7E3BCB"/>
    <w:rsid w:val="0F81C01F"/>
    <w:rsid w:val="0F843929"/>
    <w:rsid w:val="0F893DEE"/>
    <w:rsid w:val="0F98A0E2"/>
    <w:rsid w:val="0FA47FFF"/>
    <w:rsid w:val="0FA4FA99"/>
    <w:rsid w:val="0FA7324F"/>
    <w:rsid w:val="0FA9AC3B"/>
    <w:rsid w:val="0FAEA486"/>
    <w:rsid w:val="0FB5D501"/>
    <w:rsid w:val="0FBFDA71"/>
    <w:rsid w:val="0FC4354C"/>
    <w:rsid w:val="0FCA1CD8"/>
    <w:rsid w:val="0FCEBE5F"/>
    <w:rsid w:val="0FE6F113"/>
    <w:rsid w:val="0FE9BDC2"/>
    <w:rsid w:val="0FF1436D"/>
    <w:rsid w:val="0FF54901"/>
    <w:rsid w:val="0FF937E4"/>
    <w:rsid w:val="0FFCD61D"/>
    <w:rsid w:val="1002C90B"/>
    <w:rsid w:val="1007442C"/>
    <w:rsid w:val="10102307"/>
    <w:rsid w:val="1011DF86"/>
    <w:rsid w:val="1013DA14"/>
    <w:rsid w:val="10149626"/>
    <w:rsid w:val="10204D3E"/>
    <w:rsid w:val="10213AC4"/>
    <w:rsid w:val="102495A0"/>
    <w:rsid w:val="1030ACB9"/>
    <w:rsid w:val="103804F0"/>
    <w:rsid w:val="103AE3E9"/>
    <w:rsid w:val="103CDDD8"/>
    <w:rsid w:val="103E55C3"/>
    <w:rsid w:val="103F4DC4"/>
    <w:rsid w:val="104108DA"/>
    <w:rsid w:val="1041B80C"/>
    <w:rsid w:val="1046A2F2"/>
    <w:rsid w:val="104E4383"/>
    <w:rsid w:val="10561A8D"/>
    <w:rsid w:val="105E23CA"/>
    <w:rsid w:val="10638809"/>
    <w:rsid w:val="1066A8E6"/>
    <w:rsid w:val="106F57AA"/>
    <w:rsid w:val="107ED85F"/>
    <w:rsid w:val="108A6FEF"/>
    <w:rsid w:val="108EB7F5"/>
    <w:rsid w:val="10BBE32F"/>
    <w:rsid w:val="10CDBBEA"/>
    <w:rsid w:val="10DA37A4"/>
    <w:rsid w:val="10E36E45"/>
    <w:rsid w:val="10ED7736"/>
    <w:rsid w:val="10F14957"/>
    <w:rsid w:val="1103A774"/>
    <w:rsid w:val="1109833F"/>
    <w:rsid w:val="110A27FE"/>
    <w:rsid w:val="1119CBA8"/>
    <w:rsid w:val="111BA64D"/>
    <w:rsid w:val="11286DC0"/>
    <w:rsid w:val="112B4B0E"/>
    <w:rsid w:val="112D595D"/>
    <w:rsid w:val="113297C5"/>
    <w:rsid w:val="11335EB1"/>
    <w:rsid w:val="1133DED9"/>
    <w:rsid w:val="1135E516"/>
    <w:rsid w:val="113CC7D7"/>
    <w:rsid w:val="114491FA"/>
    <w:rsid w:val="11500A8D"/>
    <w:rsid w:val="11588DC0"/>
    <w:rsid w:val="115AF07A"/>
    <w:rsid w:val="1160A475"/>
    <w:rsid w:val="1163623A"/>
    <w:rsid w:val="117BC38A"/>
    <w:rsid w:val="117BF7A0"/>
    <w:rsid w:val="117E1B45"/>
    <w:rsid w:val="117F0EFB"/>
    <w:rsid w:val="1181A87B"/>
    <w:rsid w:val="1181FCB2"/>
    <w:rsid w:val="11868228"/>
    <w:rsid w:val="118E7375"/>
    <w:rsid w:val="119B5D16"/>
    <w:rsid w:val="11A070DD"/>
    <w:rsid w:val="11A7FF7E"/>
    <w:rsid w:val="11AA348A"/>
    <w:rsid w:val="11AB39DE"/>
    <w:rsid w:val="11AE3DCA"/>
    <w:rsid w:val="11AF96E0"/>
    <w:rsid w:val="11B0F89C"/>
    <w:rsid w:val="11C598FB"/>
    <w:rsid w:val="11D0D04E"/>
    <w:rsid w:val="11D715C1"/>
    <w:rsid w:val="11D8B9B4"/>
    <w:rsid w:val="11DEDC62"/>
    <w:rsid w:val="11E40429"/>
    <w:rsid w:val="11E85C6B"/>
    <w:rsid w:val="11EB28F8"/>
    <w:rsid w:val="120F2E87"/>
    <w:rsid w:val="12193FD5"/>
    <w:rsid w:val="121B0132"/>
    <w:rsid w:val="121C7B64"/>
    <w:rsid w:val="122348B6"/>
    <w:rsid w:val="122694D4"/>
    <w:rsid w:val="122ADF2A"/>
    <w:rsid w:val="122EA988"/>
    <w:rsid w:val="1231FD3A"/>
    <w:rsid w:val="123278DA"/>
    <w:rsid w:val="123294C7"/>
    <w:rsid w:val="12508B44"/>
    <w:rsid w:val="12534367"/>
    <w:rsid w:val="12626BB5"/>
    <w:rsid w:val="1267F755"/>
    <w:rsid w:val="12681FCC"/>
    <w:rsid w:val="126887A6"/>
    <w:rsid w:val="1273E969"/>
    <w:rsid w:val="1298A90A"/>
    <w:rsid w:val="1299DB46"/>
    <w:rsid w:val="129D1484"/>
    <w:rsid w:val="12A39410"/>
    <w:rsid w:val="12A3EB85"/>
    <w:rsid w:val="12A5A334"/>
    <w:rsid w:val="12A90843"/>
    <w:rsid w:val="12B38D2A"/>
    <w:rsid w:val="12BD27B1"/>
    <w:rsid w:val="12BFC6F3"/>
    <w:rsid w:val="12C14E3A"/>
    <w:rsid w:val="12C4AAC4"/>
    <w:rsid w:val="12D0249B"/>
    <w:rsid w:val="12D25217"/>
    <w:rsid w:val="12D4E97C"/>
    <w:rsid w:val="12D69FEB"/>
    <w:rsid w:val="12EFD0DC"/>
    <w:rsid w:val="12F1AA3C"/>
    <w:rsid w:val="12F2644C"/>
    <w:rsid w:val="12F625A2"/>
    <w:rsid w:val="130F9B71"/>
    <w:rsid w:val="131225B6"/>
    <w:rsid w:val="1314A74E"/>
    <w:rsid w:val="131ACD1D"/>
    <w:rsid w:val="13265C47"/>
    <w:rsid w:val="1328E632"/>
    <w:rsid w:val="1329AC5D"/>
    <w:rsid w:val="132BA5B3"/>
    <w:rsid w:val="13381B68"/>
    <w:rsid w:val="133D9308"/>
    <w:rsid w:val="133DCB5C"/>
    <w:rsid w:val="1357197B"/>
    <w:rsid w:val="1359A06D"/>
    <w:rsid w:val="135FD420"/>
    <w:rsid w:val="1364CDB8"/>
    <w:rsid w:val="136F4FF5"/>
    <w:rsid w:val="13733BA1"/>
    <w:rsid w:val="13781BDB"/>
    <w:rsid w:val="137CA0FB"/>
    <w:rsid w:val="13880E93"/>
    <w:rsid w:val="138A2119"/>
    <w:rsid w:val="139BCEF8"/>
    <w:rsid w:val="139C86C3"/>
    <w:rsid w:val="13A1B137"/>
    <w:rsid w:val="13A1B9E9"/>
    <w:rsid w:val="13A7D902"/>
    <w:rsid w:val="13BC1CFC"/>
    <w:rsid w:val="13BE0478"/>
    <w:rsid w:val="13C1493A"/>
    <w:rsid w:val="13CB5D91"/>
    <w:rsid w:val="13D72418"/>
    <w:rsid w:val="13D94C48"/>
    <w:rsid w:val="13DD6673"/>
    <w:rsid w:val="13DF9EB2"/>
    <w:rsid w:val="13E3E551"/>
    <w:rsid w:val="13EA70B5"/>
    <w:rsid w:val="13F82A3A"/>
    <w:rsid w:val="1407114F"/>
    <w:rsid w:val="140C6A32"/>
    <w:rsid w:val="14109EDD"/>
    <w:rsid w:val="141E72A1"/>
    <w:rsid w:val="14236C5B"/>
    <w:rsid w:val="14311076"/>
    <w:rsid w:val="14373EA4"/>
    <w:rsid w:val="143966A0"/>
    <w:rsid w:val="143E2CB5"/>
    <w:rsid w:val="143EE3F0"/>
    <w:rsid w:val="1442E4EA"/>
    <w:rsid w:val="1449E2F9"/>
    <w:rsid w:val="144A1A58"/>
    <w:rsid w:val="144FD241"/>
    <w:rsid w:val="145AFA52"/>
    <w:rsid w:val="14695D27"/>
    <w:rsid w:val="1470A6DA"/>
    <w:rsid w:val="14786818"/>
    <w:rsid w:val="14893204"/>
    <w:rsid w:val="14A1A836"/>
    <w:rsid w:val="14B72CAD"/>
    <w:rsid w:val="14BCAFC0"/>
    <w:rsid w:val="14C3B22A"/>
    <w:rsid w:val="14C9EA98"/>
    <w:rsid w:val="14CA9CDF"/>
    <w:rsid w:val="14D0BAB7"/>
    <w:rsid w:val="14D84B2D"/>
    <w:rsid w:val="15097415"/>
    <w:rsid w:val="150AB05C"/>
    <w:rsid w:val="1515911F"/>
    <w:rsid w:val="15192B2C"/>
    <w:rsid w:val="15220428"/>
    <w:rsid w:val="1532A667"/>
    <w:rsid w:val="1533E4A5"/>
    <w:rsid w:val="15478D93"/>
    <w:rsid w:val="154AA446"/>
    <w:rsid w:val="154DCFA1"/>
    <w:rsid w:val="1558B4B2"/>
    <w:rsid w:val="156A1F01"/>
    <w:rsid w:val="156A3B44"/>
    <w:rsid w:val="156E7C19"/>
    <w:rsid w:val="1572F23D"/>
    <w:rsid w:val="1574DDF1"/>
    <w:rsid w:val="157E66D8"/>
    <w:rsid w:val="1582A93C"/>
    <w:rsid w:val="1584F1D9"/>
    <w:rsid w:val="158CCC46"/>
    <w:rsid w:val="158EE239"/>
    <w:rsid w:val="159CAEA9"/>
    <w:rsid w:val="159E3887"/>
    <w:rsid w:val="15B5399D"/>
    <w:rsid w:val="15BB6C2C"/>
    <w:rsid w:val="15BB8152"/>
    <w:rsid w:val="15C43C20"/>
    <w:rsid w:val="15C660B9"/>
    <w:rsid w:val="15C8AEC1"/>
    <w:rsid w:val="15CF96CF"/>
    <w:rsid w:val="15CFAD9E"/>
    <w:rsid w:val="15D06C4C"/>
    <w:rsid w:val="15D2C0A8"/>
    <w:rsid w:val="15D4446A"/>
    <w:rsid w:val="15D93196"/>
    <w:rsid w:val="15DAAFE2"/>
    <w:rsid w:val="15E70682"/>
    <w:rsid w:val="15EBC4D8"/>
    <w:rsid w:val="15F18EC2"/>
    <w:rsid w:val="15F82C1F"/>
    <w:rsid w:val="15FD6F26"/>
    <w:rsid w:val="16024732"/>
    <w:rsid w:val="160D4C6C"/>
    <w:rsid w:val="160E2E35"/>
    <w:rsid w:val="1613AA3F"/>
    <w:rsid w:val="1618E85F"/>
    <w:rsid w:val="161C76C6"/>
    <w:rsid w:val="162E0F6F"/>
    <w:rsid w:val="16303E62"/>
    <w:rsid w:val="1638E197"/>
    <w:rsid w:val="1649FF96"/>
    <w:rsid w:val="1652E751"/>
    <w:rsid w:val="16537B37"/>
    <w:rsid w:val="1655404B"/>
    <w:rsid w:val="1666478C"/>
    <w:rsid w:val="167B7683"/>
    <w:rsid w:val="167D50CE"/>
    <w:rsid w:val="168D5412"/>
    <w:rsid w:val="16926513"/>
    <w:rsid w:val="1692BADB"/>
    <w:rsid w:val="16967913"/>
    <w:rsid w:val="1698FC6C"/>
    <w:rsid w:val="16A006C6"/>
    <w:rsid w:val="16A24E7B"/>
    <w:rsid w:val="16A82103"/>
    <w:rsid w:val="16A85BAD"/>
    <w:rsid w:val="16BB7432"/>
    <w:rsid w:val="16BC932A"/>
    <w:rsid w:val="16BF75FB"/>
    <w:rsid w:val="16BFB9E6"/>
    <w:rsid w:val="16C1C13F"/>
    <w:rsid w:val="16C66C6D"/>
    <w:rsid w:val="16C8A05B"/>
    <w:rsid w:val="16C9FC15"/>
    <w:rsid w:val="16E9EC83"/>
    <w:rsid w:val="16EE470A"/>
    <w:rsid w:val="16F0D968"/>
    <w:rsid w:val="16FF7412"/>
    <w:rsid w:val="1711AEE8"/>
    <w:rsid w:val="1712B9ED"/>
    <w:rsid w:val="1716D91A"/>
    <w:rsid w:val="171A7B4A"/>
    <w:rsid w:val="172EDE4A"/>
    <w:rsid w:val="173116D6"/>
    <w:rsid w:val="173BCF1F"/>
    <w:rsid w:val="1743ECF7"/>
    <w:rsid w:val="174D58E5"/>
    <w:rsid w:val="17512329"/>
    <w:rsid w:val="1752CF6A"/>
    <w:rsid w:val="1752F227"/>
    <w:rsid w:val="175A5224"/>
    <w:rsid w:val="175EFB57"/>
    <w:rsid w:val="17604E0A"/>
    <w:rsid w:val="17664F81"/>
    <w:rsid w:val="1766580D"/>
    <w:rsid w:val="17697946"/>
    <w:rsid w:val="176AEB94"/>
    <w:rsid w:val="176AF70E"/>
    <w:rsid w:val="176B6B00"/>
    <w:rsid w:val="176CC87D"/>
    <w:rsid w:val="176F9D26"/>
    <w:rsid w:val="17726670"/>
    <w:rsid w:val="177277E8"/>
    <w:rsid w:val="1777F500"/>
    <w:rsid w:val="177C6FDB"/>
    <w:rsid w:val="17808954"/>
    <w:rsid w:val="17864612"/>
    <w:rsid w:val="1787978B"/>
    <w:rsid w:val="1788D751"/>
    <w:rsid w:val="178968A3"/>
    <w:rsid w:val="1799150D"/>
    <w:rsid w:val="17994D2D"/>
    <w:rsid w:val="179CD67B"/>
    <w:rsid w:val="179DACA5"/>
    <w:rsid w:val="17A8FABD"/>
    <w:rsid w:val="17AB73AF"/>
    <w:rsid w:val="17B96021"/>
    <w:rsid w:val="17BDC74B"/>
    <w:rsid w:val="17CDD87F"/>
    <w:rsid w:val="17D05240"/>
    <w:rsid w:val="17E693B0"/>
    <w:rsid w:val="17E7C5D8"/>
    <w:rsid w:val="17EB9D3C"/>
    <w:rsid w:val="17ECA28F"/>
    <w:rsid w:val="17EE8D1D"/>
    <w:rsid w:val="17EFBDD0"/>
    <w:rsid w:val="17F8F797"/>
    <w:rsid w:val="1800B287"/>
    <w:rsid w:val="1804D8F5"/>
    <w:rsid w:val="18060242"/>
    <w:rsid w:val="180AA22E"/>
    <w:rsid w:val="180D59CB"/>
    <w:rsid w:val="1819CFC5"/>
    <w:rsid w:val="182031F9"/>
    <w:rsid w:val="1824E29B"/>
    <w:rsid w:val="182700B8"/>
    <w:rsid w:val="1827618E"/>
    <w:rsid w:val="18277111"/>
    <w:rsid w:val="182E5CBE"/>
    <w:rsid w:val="182EE403"/>
    <w:rsid w:val="18315B15"/>
    <w:rsid w:val="1838F969"/>
    <w:rsid w:val="183AAD4F"/>
    <w:rsid w:val="183AE387"/>
    <w:rsid w:val="183E0CCE"/>
    <w:rsid w:val="1843194C"/>
    <w:rsid w:val="1843A5C9"/>
    <w:rsid w:val="18454772"/>
    <w:rsid w:val="184CB52F"/>
    <w:rsid w:val="184F2E2A"/>
    <w:rsid w:val="1861FDEF"/>
    <w:rsid w:val="1864E8B9"/>
    <w:rsid w:val="186BD62E"/>
    <w:rsid w:val="186CA1B0"/>
    <w:rsid w:val="18781742"/>
    <w:rsid w:val="1881FD07"/>
    <w:rsid w:val="188826F2"/>
    <w:rsid w:val="188F51F9"/>
    <w:rsid w:val="189AE179"/>
    <w:rsid w:val="189B4FAA"/>
    <w:rsid w:val="18BB5876"/>
    <w:rsid w:val="18BEB42F"/>
    <w:rsid w:val="18C212DD"/>
    <w:rsid w:val="18C9B822"/>
    <w:rsid w:val="18CFF27D"/>
    <w:rsid w:val="18D9EF3B"/>
    <w:rsid w:val="18DD3ADB"/>
    <w:rsid w:val="18DD9B51"/>
    <w:rsid w:val="18DF1F38"/>
    <w:rsid w:val="18EAD108"/>
    <w:rsid w:val="18EE7557"/>
    <w:rsid w:val="18F14473"/>
    <w:rsid w:val="18F15C60"/>
    <w:rsid w:val="1908D56A"/>
    <w:rsid w:val="190BEE78"/>
    <w:rsid w:val="190E6E4C"/>
    <w:rsid w:val="191C7C6E"/>
    <w:rsid w:val="193832CE"/>
    <w:rsid w:val="1938A196"/>
    <w:rsid w:val="193B4FE3"/>
    <w:rsid w:val="193C94FE"/>
    <w:rsid w:val="193F0B2D"/>
    <w:rsid w:val="1942567A"/>
    <w:rsid w:val="19432B46"/>
    <w:rsid w:val="194C45CE"/>
    <w:rsid w:val="1961F42A"/>
    <w:rsid w:val="196CD997"/>
    <w:rsid w:val="1990F3E4"/>
    <w:rsid w:val="1999B5E1"/>
    <w:rsid w:val="19A0CB0F"/>
    <w:rsid w:val="19A7B1B9"/>
    <w:rsid w:val="19A7E747"/>
    <w:rsid w:val="19A9F8AF"/>
    <w:rsid w:val="19B27ADA"/>
    <w:rsid w:val="19C19003"/>
    <w:rsid w:val="19CC3AD1"/>
    <w:rsid w:val="19CD286A"/>
    <w:rsid w:val="19CD8973"/>
    <w:rsid w:val="19D202C6"/>
    <w:rsid w:val="19D5472B"/>
    <w:rsid w:val="19D73BFC"/>
    <w:rsid w:val="19DEC8BE"/>
    <w:rsid w:val="19EA67B1"/>
    <w:rsid w:val="19F88DC4"/>
    <w:rsid w:val="19FFD178"/>
    <w:rsid w:val="1A09D793"/>
    <w:rsid w:val="1A0D8B2C"/>
    <w:rsid w:val="1A143306"/>
    <w:rsid w:val="1A1E8151"/>
    <w:rsid w:val="1A26249D"/>
    <w:rsid w:val="1A2759CA"/>
    <w:rsid w:val="1A3FFF31"/>
    <w:rsid w:val="1A418BFE"/>
    <w:rsid w:val="1A42F834"/>
    <w:rsid w:val="1A446687"/>
    <w:rsid w:val="1A4FA522"/>
    <w:rsid w:val="1A511061"/>
    <w:rsid w:val="1A52764B"/>
    <w:rsid w:val="1A63DC5F"/>
    <w:rsid w:val="1A6F6469"/>
    <w:rsid w:val="1A7387A4"/>
    <w:rsid w:val="1A7B3E15"/>
    <w:rsid w:val="1A951ADB"/>
    <w:rsid w:val="1A9E6AFD"/>
    <w:rsid w:val="1AAE7EDD"/>
    <w:rsid w:val="1AB6C02B"/>
    <w:rsid w:val="1AB84051"/>
    <w:rsid w:val="1AC9CFA4"/>
    <w:rsid w:val="1ACBEBC8"/>
    <w:rsid w:val="1AD6C327"/>
    <w:rsid w:val="1ADEFE2C"/>
    <w:rsid w:val="1AEC3B7F"/>
    <w:rsid w:val="1AF4B30F"/>
    <w:rsid w:val="1B17B4CF"/>
    <w:rsid w:val="1B1DBB2F"/>
    <w:rsid w:val="1B20BCDC"/>
    <w:rsid w:val="1B239511"/>
    <w:rsid w:val="1B24FCA2"/>
    <w:rsid w:val="1B2DFDFB"/>
    <w:rsid w:val="1B47FC50"/>
    <w:rsid w:val="1B4F1495"/>
    <w:rsid w:val="1B57CF86"/>
    <w:rsid w:val="1B58A3D8"/>
    <w:rsid w:val="1B5B063A"/>
    <w:rsid w:val="1B72BD50"/>
    <w:rsid w:val="1B7848D9"/>
    <w:rsid w:val="1B78AE87"/>
    <w:rsid w:val="1B7EA4A5"/>
    <w:rsid w:val="1B89D573"/>
    <w:rsid w:val="1BA710E0"/>
    <w:rsid w:val="1BA9AD8C"/>
    <w:rsid w:val="1BAFDD0A"/>
    <w:rsid w:val="1BC17C0E"/>
    <w:rsid w:val="1BC4E062"/>
    <w:rsid w:val="1BC9F587"/>
    <w:rsid w:val="1BD24FD4"/>
    <w:rsid w:val="1BD9BBCA"/>
    <w:rsid w:val="1BEDDB2D"/>
    <w:rsid w:val="1BF1D38F"/>
    <w:rsid w:val="1BF6E192"/>
    <w:rsid w:val="1BFCFE62"/>
    <w:rsid w:val="1C026CEB"/>
    <w:rsid w:val="1C0CA3A9"/>
    <w:rsid w:val="1C0DCD85"/>
    <w:rsid w:val="1C0E4C4E"/>
    <w:rsid w:val="1C11EF80"/>
    <w:rsid w:val="1C12B972"/>
    <w:rsid w:val="1C2590D7"/>
    <w:rsid w:val="1C2D854E"/>
    <w:rsid w:val="1C4A965A"/>
    <w:rsid w:val="1C5554E6"/>
    <w:rsid w:val="1C5C4C64"/>
    <w:rsid w:val="1C6B1CB5"/>
    <w:rsid w:val="1C72FFF9"/>
    <w:rsid w:val="1C73E22C"/>
    <w:rsid w:val="1C819E48"/>
    <w:rsid w:val="1C886524"/>
    <w:rsid w:val="1C8D688D"/>
    <w:rsid w:val="1C93D3B7"/>
    <w:rsid w:val="1C99B88A"/>
    <w:rsid w:val="1C9C737B"/>
    <w:rsid w:val="1CA276F4"/>
    <w:rsid w:val="1CA95EAB"/>
    <w:rsid w:val="1CAA9552"/>
    <w:rsid w:val="1CACFC1E"/>
    <w:rsid w:val="1CB4EFA0"/>
    <w:rsid w:val="1CB8AF59"/>
    <w:rsid w:val="1CBEAA47"/>
    <w:rsid w:val="1CC0A30D"/>
    <w:rsid w:val="1CC709E4"/>
    <w:rsid w:val="1CC91E6D"/>
    <w:rsid w:val="1CD6D4AA"/>
    <w:rsid w:val="1CD9C04A"/>
    <w:rsid w:val="1CE61C35"/>
    <w:rsid w:val="1CEB885A"/>
    <w:rsid w:val="1CF69243"/>
    <w:rsid w:val="1CF7C28B"/>
    <w:rsid w:val="1CFBF472"/>
    <w:rsid w:val="1D051C8A"/>
    <w:rsid w:val="1D0BD4B2"/>
    <w:rsid w:val="1D22B200"/>
    <w:rsid w:val="1D23D930"/>
    <w:rsid w:val="1D258D56"/>
    <w:rsid w:val="1D311653"/>
    <w:rsid w:val="1D35CD9F"/>
    <w:rsid w:val="1D362B83"/>
    <w:rsid w:val="1D364190"/>
    <w:rsid w:val="1D432D4E"/>
    <w:rsid w:val="1D4B10FC"/>
    <w:rsid w:val="1D4E32CD"/>
    <w:rsid w:val="1D4EF6B4"/>
    <w:rsid w:val="1D5E7796"/>
    <w:rsid w:val="1D66A7AB"/>
    <w:rsid w:val="1D677FB4"/>
    <w:rsid w:val="1D72338F"/>
    <w:rsid w:val="1D738321"/>
    <w:rsid w:val="1D747CBB"/>
    <w:rsid w:val="1D96937D"/>
    <w:rsid w:val="1D9AD805"/>
    <w:rsid w:val="1D9DCBB8"/>
    <w:rsid w:val="1DA33CAF"/>
    <w:rsid w:val="1DA8B119"/>
    <w:rsid w:val="1DA96875"/>
    <w:rsid w:val="1DADFF71"/>
    <w:rsid w:val="1DB927A8"/>
    <w:rsid w:val="1DBCF171"/>
    <w:rsid w:val="1DBF3B0C"/>
    <w:rsid w:val="1DC737D9"/>
    <w:rsid w:val="1DC8923D"/>
    <w:rsid w:val="1DDAB4C7"/>
    <w:rsid w:val="1DE45AD9"/>
    <w:rsid w:val="1DE746AE"/>
    <w:rsid w:val="1DE76955"/>
    <w:rsid w:val="1DE88C4D"/>
    <w:rsid w:val="1DE95A0C"/>
    <w:rsid w:val="1DEADAAD"/>
    <w:rsid w:val="1DEF8F98"/>
    <w:rsid w:val="1DF32D2E"/>
    <w:rsid w:val="1DF4EED9"/>
    <w:rsid w:val="1DF76050"/>
    <w:rsid w:val="1DF915F8"/>
    <w:rsid w:val="1E10595C"/>
    <w:rsid w:val="1E1151B7"/>
    <w:rsid w:val="1E1AAA21"/>
    <w:rsid w:val="1E1D2DE4"/>
    <w:rsid w:val="1E1DB7E2"/>
    <w:rsid w:val="1E276BF0"/>
    <w:rsid w:val="1E2A0E89"/>
    <w:rsid w:val="1E30CC77"/>
    <w:rsid w:val="1E3F557D"/>
    <w:rsid w:val="1E4216AC"/>
    <w:rsid w:val="1E421A0C"/>
    <w:rsid w:val="1E466927"/>
    <w:rsid w:val="1E59E69D"/>
    <w:rsid w:val="1E5F0FCA"/>
    <w:rsid w:val="1E6848DB"/>
    <w:rsid w:val="1E716B96"/>
    <w:rsid w:val="1E72D003"/>
    <w:rsid w:val="1E7529BA"/>
    <w:rsid w:val="1E7C1537"/>
    <w:rsid w:val="1E83E4BE"/>
    <w:rsid w:val="1E8EB508"/>
    <w:rsid w:val="1E8F834B"/>
    <w:rsid w:val="1E941406"/>
    <w:rsid w:val="1E9852FF"/>
    <w:rsid w:val="1EA623E5"/>
    <w:rsid w:val="1EA8F934"/>
    <w:rsid w:val="1EAB5721"/>
    <w:rsid w:val="1EB01703"/>
    <w:rsid w:val="1EB5AD85"/>
    <w:rsid w:val="1EC45043"/>
    <w:rsid w:val="1ECC4E5F"/>
    <w:rsid w:val="1ECCD20B"/>
    <w:rsid w:val="1EDB339E"/>
    <w:rsid w:val="1EDF4597"/>
    <w:rsid w:val="1EF28FCB"/>
    <w:rsid w:val="1F243299"/>
    <w:rsid w:val="1F2F3BBC"/>
    <w:rsid w:val="1F33F43F"/>
    <w:rsid w:val="1F59C378"/>
    <w:rsid w:val="1F6388D8"/>
    <w:rsid w:val="1F7A1205"/>
    <w:rsid w:val="1F7ADA18"/>
    <w:rsid w:val="1F816402"/>
    <w:rsid w:val="1F8474BD"/>
    <w:rsid w:val="1F85D404"/>
    <w:rsid w:val="1F867833"/>
    <w:rsid w:val="1F879FB1"/>
    <w:rsid w:val="1F95BFBE"/>
    <w:rsid w:val="1F973539"/>
    <w:rsid w:val="1FA3F7FE"/>
    <w:rsid w:val="1FA5A97E"/>
    <w:rsid w:val="1FA89E66"/>
    <w:rsid w:val="1FA90373"/>
    <w:rsid w:val="1FBAABAF"/>
    <w:rsid w:val="1FBC5773"/>
    <w:rsid w:val="1FBF2475"/>
    <w:rsid w:val="1FC15C0F"/>
    <w:rsid w:val="1FC50A5D"/>
    <w:rsid w:val="1FCC50A1"/>
    <w:rsid w:val="1FDE972D"/>
    <w:rsid w:val="1FDFB975"/>
    <w:rsid w:val="1FE06A06"/>
    <w:rsid w:val="1FE60A49"/>
    <w:rsid w:val="1FE8BB38"/>
    <w:rsid w:val="1FE91BD2"/>
    <w:rsid w:val="1FEAD9EA"/>
    <w:rsid w:val="1FF5D1F1"/>
    <w:rsid w:val="1FF8A0D9"/>
    <w:rsid w:val="1FFDDAC5"/>
    <w:rsid w:val="20019758"/>
    <w:rsid w:val="2006FAF7"/>
    <w:rsid w:val="2008EA26"/>
    <w:rsid w:val="2018D5C9"/>
    <w:rsid w:val="20233180"/>
    <w:rsid w:val="2026C5B6"/>
    <w:rsid w:val="202DD2C8"/>
    <w:rsid w:val="20322600"/>
    <w:rsid w:val="20361687"/>
    <w:rsid w:val="20390834"/>
    <w:rsid w:val="203A27B5"/>
    <w:rsid w:val="2040E259"/>
    <w:rsid w:val="20421432"/>
    <w:rsid w:val="2043E6C5"/>
    <w:rsid w:val="20463153"/>
    <w:rsid w:val="204C997F"/>
    <w:rsid w:val="204D34A0"/>
    <w:rsid w:val="2053F393"/>
    <w:rsid w:val="2054B391"/>
    <w:rsid w:val="205A467D"/>
    <w:rsid w:val="20608C3B"/>
    <w:rsid w:val="2060AA1F"/>
    <w:rsid w:val="2067D891"/>
    <w:rsid w:val="2069C85A"/>
    <w:rsid w:val="206B507D"/>
    <w:rsid w:val="206CDFD1"/>
    <w:rsid w:val="206DF74F"/>
    <w:rsid w:val="207305AA"/>
    <w:rsid w:val="2075942E"/>
    <w:rsid w:val="20772E7F"/>
    <w:rsid w:val="2078C99A"/>
    <w:rsid w:val="207BB76E"/>
    <w:rsid w:val="207F8727"/>
    <w:rsid w:val="2080365F"/>
    <w:rsid w:val="20829FF6"/>
    <w:rsid w:val="20873649"/>
    <w:rsid w:val="2096902C"/>
    <w:rsid w:val="2097FDF7"/>
    <w:rsid w:val="20996049"/>
    <w:rsid w:val="209BEBE2"/>
    <w:rsid w:val="209F2D09"/>
    <w:rsid w:val="20A0BE18"/>
    <w:rsid w:val="20A759AF"/>
    <w:rsid w:val="20B77428"/>
    <w:rsid w:val="20BE51CE"/>
    <w:rsid w:val="20BE67F3"/>
    <w:rsid w:val="20CE6D8F"/>
    <w:rsid w:val="20D08B3C"/>
    <w:rsid w:val="20E530A2"/>
    <w:rsid w:val="20F264FD"/>
    <w:rsid w:val="20F8A57D"/>
    <w:rsid w:val="2110B5C7"/>
    <w:rsid w:val="2117C227"/>
    <w:rsid w:val="2119455C"/>
    <w:rsid w:val="211F68D1"/>
    <w:rsid w:val="2134E45F"/>
    <w:rsid w:val="2136DD3F"/>
    <w:rsid w:val="213D2B60"/>
    <w:rsid w:val="21455778"/>
    <w:rsid w:val="21490E24"/>
    <w:rsid w:val="2158AA3F"/>
    <w:rsid w:val="21595168"/>
    <w:rsid w:val="216B701D"/>
    <w:rsid w:val="21725ED2"/>
    <w:rsid w:val="21743A99"/>
    <w:rsid w:val="21752F78"/>
    <w:rsid w:val="218FE3B3"/>
    <w:rsid w:val="218FF06B"/>
    <w:rsid w:val="219025C3"/>
    <w:rsid w:val="21A14CC1"/>
    <w:rsid w:val="21A4036D"/>
    <w:rsid w:val="21AC9657"/>
    <w:rsid w:val="21B03872"/>
    <w:rsid w:val="21B642A9"/>
    <w:rsid w:val="21BC7D13"/>
    <w:rsid w:val="21BF5CD0"/>
    <w:rsid w:val="21C11956"/>
    <w:rsid w:val="21C705CB"/>
    <w:rsid w:val="21CB0DAA"/>
    <w:rsid w:val="21CE4CB3"/>
    <w:rsid w:val="21D74BA5"/>
    <w:rsid w:val="21E0DE1D"/>
    <w:rsid w:val="21E2CB3D"/>
    <w:rsid w:val="21E80B0A"/>
    <w:rsid w:val="21EA334E"/>
    <w:rsid w:val="21EE839D"/>
    <w:rsid w:val="21EEF7B9"/>
    <w:rsid w:val="21F07468"/>
    <w:rsid w:val="21F51828"/>
    <w:rsid w:val="2208A0A1"/>
    <w:rsid w:val="220E29F1"/>
    <w:rsid w:val="22109896"/>
    <w:rsid w:val="221ACC7C"/>
    <w:rsid w:val="22214EF5"/>
    <w:rsid w:val="22270E4C"/>
    <w:rsid w:val="2230F0A0"/>
    <w:rsid w:val="22396605"/>
    <w:rsid w:val="223E0539"/>
    <w:rsid w:val="22413D60"/>
    <w:rsid w:val="2241F1D6"/>
    <w:rsid w:val="2251F001"/>
    <w:rsid w:val="225B3435"/>
    <w:rsid w:val="226EB511"/>
    <w:rsid w:val="2274593B"/>
    <w:rsid w:val="227EC101"/>
    <w:rsid w:val="2287B5F1"/>
    <w:rsid w:val="2288F98B"/>
    <w:rsid w:val="228A4213"/>
    <w:rsid w:val="228C7B35"/>
    <w:rsid w:val="229EB8D8"/>
    <w:rsid w:val="22B2F1B7"/>
    <w:rsid w:val="22B8A9AE"/>
    <w:rsid w:val="22B9079D"/>
    <w:rsid w:val="22BB9620"/>
    <w:rsid w:val="22C21BF0"/>
    <w:rsid w:val="22D02894"/>
    <w:rsid w:val="22E67866"/>
    <w:rsid w:val="22EFBB80"/>
    <w:rsid w:val="22F11B1C"/>
    <w:rsid w:val="22F2D001"/>
    <w:rsid w:val="22FA146E"/>
    <w:rsid w:val="22FCEED0"/>
    <w:rsid w:val="230EDAB4"/>
    <w:rsid w:val="2311E1CC"/>
    <w:rsid w:val="231627FD"/>
    <w:rsid w:val="2319413E"/>
    <w:rsid w:val="231969A0"/>
    <w:rsid w:val="231A0D73"/>
    <w:rsid w:val="2320F6F4"/>
    <w:rsid w:val="23253B72"/>
    <w:rsid w:val="232E95F2"/>
    <w:rsid w:val="232EF8BA"/>
    <w:rsid w:val="2337C116"/>
    <w:rsid w:val="234EB3F4"/>
    <w:rsid w:val="234F9EA6"/>
    <w:rsid w:val="23652113"/>
    <w:rsid w:val="23652503"/>
    <w:rsid w:val="237269C4"/>
    <w:rsid w:val="2383C3AB"/>
    <w:rsid w:val="23887260"/>
    <w:rsid w:val="238B2CB1"/>
    <w:rsid w:val="2393DEC4"/>
    <w:rsid w:val="23982A37"/>
    <w:rsid w:val="23994FA3"/>
    <w:rsid w:val="23A29EA6"/>
    <w:rsid w:val="23A7177A"/>
    <w:rsid w:val="23C6CA18"/>
    <w:rsid w:val="23E1BCBB"/>
    <w:rsid w:val="23EA7704"/>
    <w:rsid w:val="23F6A97A"/>
    <w:rsid w:val="23F7E890"/>
    <w:rsid w:val="24016BF0"/>
    <w:rsid w:val="24041F69"/>
    <w:rsid w:val="240B462C"/>
    <w:rsid w:val="240E55CE"/>
    <w:rsid w:val="240FE10F"/>
    <w:rsid w:val="2410DFAA"/>
    <w:rsid w:val="24170AA5"/>
    <w:rsid w:val="241B8274"/>
    <w:rsid w:val="241C9C88"/>
    <w:rsid w:val="241F4A2F"/>
    <w:rsid w:val="24211DC1"/>
    <w:rsid w:val="24226165"/>
    <w:rsid w:val="24249883"/>
    <w:rsid w:val="2426C8B8"/>
    <w:rsid w:val="2427935B"/>
    <w:rsid w:val="242DB636"/>
    <w:rsid w:val="24313017"/>
    <w:rsid w:val="2445F163"/>
    <w:rsid w:val="244CB5B5"/>
    <w:rsid w:val="245E3167"/>
    <w:rsid w:val="2460A372"/>
    <w:rsid w:val="2461BB92"/>
    <w:rsid w:val="2466E787"/>
    <w:rsid w:val="2467728F"/>
    <w:rsid w:val="24683A9F"/>
    <w:rsid w:val="246CFEA1"/>
    <w:rsid w:val="2473CD20"/>
    <w:rsid w:val="2475AC42"/>
    <w:rsid w:val="24792087"/>
    <w:rsid w:val="2487C857"/>
    <w:rsid w:val="248AA731"/>
    <w:rsid w:val="248CCE19"/>
    <w:rsid w:val="249B0297"/>
    <w:rsid w:val="24A94A4F"/>
    <w:rsid w:val="24B1D0B0"/>
    <w:rsid w:val="24B57E7E"/>
    <w:rsid w:val="24DD8BE8"/>
    <w:rsid w:val="24E3F42C"/>
    <w:rsid w:val="24F2BF5C"/>
    <w:rsid w:val="24F589BA"/>
    <w:rsid w:val="24F77864"/>
    <w:rsid w:val="24F89F5E"/>
    <w:rsid w:val="24FE50FB"/>
    <w:rsid w:val="250059FC"/>
    <w:rsid w:val="2504A65A"/>
    <w:rsid w:val="25064E83"/>
    <w:rsid w:val="250F696C"/>
    <w:rsid w:val="2511AE49"/>
    <w:rsid w:val="251C66A7"/>
    <w:rsid w:val="251CAE41"/>
    <w:rsid w:val="2528F4FD"/>
    <w:rsid w:val="2530AAF1"/>
    <w:rsid w:val="253B4183"/>
    <w:rsid w:val="254785A9"/>
    <w:rsid w:val="256C65D1"/>
    <w:rsid w:val="2576F7D2"/>
    <w:rsid w:val="257C852C"/>
    <w:rsid w:val="2584B1F4"/>
    <w:rsid w:val="2596C9C6"/>
    <w:rsid w:val="25AE880C"/>
    <w:rsid w:val="25B9B0E5"/>
    <w:rsid w:val="25BEEAFB"/>
    <w:rsid w:val="25C4DF73"/>
    <w:rsid w:val="25CBEF68"/>
    <w:rsid w:val="25CD9A83"/>
    <w:rsid w:val="25D06B46"/>
    <w:rsid w:val="25D6BA9B"/>
    <w:rsid w:val="25E9D284"/>
    <w:rsid w:val="25F6C0C5"/>
    <w:rsid w:val="25F71627"/>
    <w:rsid w:val="25FCB040"/>
    <w:rsid w:val="25FE1D74"/>
    <w:rsid w:val="26033BDE"/>
    <w:rsid w:val="260B37D4"/>
    <w:rsid w:val="260B5BFE"/>
    <w:rsid w:val="2612B833"/>
    <w:rsid w:val="26166E81"/>
    <w:rsid w:val="261699F2"/>
    <w:rsid w:val="2616DAE1"/>
    <w:rsid w:val="261701DC"/>
    <w:rsid w:val="26177AFB"/>
    <w:rsid w:val="2626B490"/>
    <w:rsid w:val="262CE4EC"/>
    <w:rsid w:val="262D4146"/>
    <w:rsid w:val="262FF415"/>
    <w:rsid w:val="2630FF64"/>
    <w:rsid w:val="26371050"/>
    <w:rsid w:val="26384E9F"/>
    <w:rsid w:val="263D05EC"/>
    <w:rsid w:val="26490782"/>
    <w:rsid w:val="264E1295"/>
    <w:rsid w:val="264FA66E"/>
    <w:rsid w:val="2653C32A"/>
    <w:rsid w:val="265ACCFB"/>
    <w:rsid w:val="265B3829"/>
    <w:rsid w:val="26694716"/>
    <w:rsid w:val="266B55C1"/>
    <w:rsid w:val="267538E7"/>
    <w:rsid w:val="2675D686"/>
    <w:rsid w:val="2677EA7B"/>
    <w:rsid w:val="268497CE"/>
    <w:rsid w:val="26890E0B"/>
    <w:rsid w:val="268D5B77"/>
    <w:rsid w:val="268EA439"/>
    <w:rsid w:val="2696D754"/>
    <w:rsid w:val="2697B290"/>
    <w:rsid w:val="269FD79D"/>
    <w:rsid w:val="26BB158B"/>
    <w:rsid w:val="26BD4DCD"/>
    <w:rsid w:val="26BD6405"/>
    <w:rsid w:val="26BF6A97"/>
    <w:rsid w:val="26BFCFED"/>
    <w:rsid w:val="26C6420A"/>
    <w:rsid w:val="26C8759C"/>
    <w:rsid w:val="26D5BA3C"/>
    <w:rsid w:val="26DFD96C"/>
    <w:rsid w:val="26E532CE"/>
    <w:rsid w:val="26E7849C"/>
    <w:rsid w:val="26EB160E"/>
    <w:rsid w:val="26EBBAA8"/>
    <w:rsid w:val="26F73A97"/>
    <w:rsid w:val="27078381"/>
    <w:rsid w:val="270A6418"/>
    <w:rsid w:val="270FDD54"/>
    <w:rsid w:val="2718C709"/>
    <w:rsid w:val="271EC5FB"/>
    <w:rsid w:val="272BF2D2"/>
    <w:rsid w:val="27374B6F"/>
    <w:rsid w:val="27381C56"/>
    <w:rsid w:val="274158E1"/>
    <w:rsid w:val="27434CC0"/>
    <w:rsid w:val="27465A00"/>
    <w:rsid w:val="2748E45C"/>
    <w:rsid w:val="274D0276"/>
    <w:rsid w:val="27501F2C"/>
    <w:rsid w:val="27552453"/>
    <w:rsid w:val="275F9473"/>
    <w:rsid w:val="2760A20B"/>
    <w:rsid w:val="27628774"/>
    <w:rsid w:val="277934A9"/>
    <w:rsid w:val="277D8DFB"/>
    <w:rsid w:val="27960545"/>
    <w:rsid w:val="27A50CEA"/>
    <w:rsid w:val="27A7ED2D"/>
    <w:rsid w:val="27B7E921"/>
    <w:rsid w:val="27BBD7C9"/>
    <w:rsid w:val="27CFE7D6"/>
    <w:rsid w:val="27D4B16E"/>
    <w:rsid w:val="27D88609"/>
    <w:rsid w:val="27D94842"/>
    <w:rsid w:val="27E1044D"/>
    <w:rsid w:val="27E654DC"/>
    <w:rsid w:val="27ED0458"/>
    <w:rsid w:val="27F084DA"/>
    <w:rsid w:val="27F87344"/>
    <w:rsid w:val="27FE8904"/>
    <w:rsid w:val="28069534"/>
    <w:rsid w:val="280C7DD1"/>
    <w:rsid w:val="280DB1A5"/>
    <w:rsid w:val="2813BF9F"/>
    <w:rsid w:val="28158973"/>
    <w:rsid w:val="281D2F24"/>
    <w:rsid w:val="282920BC"/>
    <w:rsid w:val="282C2B78"/>
    <w:rsid w:val="282D0C58"/>
    <w:rsid w:val="283C2495"/>
    <w:rsid w:val="28460A01"/>
    <w:rsid w:val="284DB86E"/>
    <w:rsid w:val="285898E9"/>
    <w:rsid w:val="2867967E"/>
    <w:rsid w:val="28717925"/>
    <w:rsid w:val="287B7A8D"/>
    <w:rsid w:val="287BFC6E"/>
    <w:rsid w:val="287E154D"/>
    <w:rsid w:val="2882A23C"/>
    <w:rsid w:val="2885679F"/>
    <w:rsid w:val="289081F5"/>
    <w:rsid w:val="2898528D"/>
    <w:rsid w:val="28A7656E"/>
    <w:rsid w:val="28BE67A2"/>
    <w:rsid w:val="28C1F836"/>
    <w:rsid w:val="28C31EE5"/>
    <w:rsid w:val="28C88787"/>
    <w:rsid w:val="28CAFD80"/>
    <w:rsid w:val="28CB0807"/>
    <w:rsid w:val="28CCF1B6"/>
    <w:rsid w:val="28D46482"/>
    <w:rsid w:val="28D7C582"/>
    <w:rsid w:val="28DF844C"/>
    <w:rsid w:val="28E06E5B"/>
    <w:rsid w:val="28EA28EF"/>
    <w:rsid w:val="28ED2293"/>
    <w:rsid w:val="28EFBAEE"/>
    <w:rsid w:val="28F46389"/>
    <w:rsid w:val="28F4BC0C"/>
    <w:rsid w:val="290DFBC9"/>
    <w:rsid w:val="2915AD15"/>
    <w:rsid w:val="291A26EF"/>
    <w:rsid w:val="291A2ED7"/>
    <w:rsid w:val="291C6B1F"/>
    <w:rsid w:val="292578E1"/>
    <w:rsid w:val="2927B9B8"/>
    <w:rsid w:val="2930A492"/>
    <w:rsid w:val="29322421"/>
    <w:rsid w:val="29492DE8"/>
    <w:rsid w:val="294FA4D6"/>
    <w:rsid w:val="29581046"/>
    <w:rsid w:val="29602591"/>
    <w:rsid w:val="296AA89A"/>
    <w:rsid w:val="296BC723"/>
    <w:rsid w:val="296FBE9D"/>
    <w:rsid w:val="2970E2A6"/>
    <w:rsid w:val="2987D8E3"/>
    <w:rsid w:val="298BBDA7"/>
    <w:rsid w:val="2990896C"/>
    <w:rsid w:val="2997129E"/>
    <w:rsid w:val="299F9068"/>
    <w:rsid w:val="29B3D535"/>
    <w:rsid w:val="29BDE6BF"/>
    <w:rsid w:val="29C3FF6D"/>
    <w:rsid w:val="29C4077C"/>
    <w:rsid w:val="29C8D310"/>
    <w:rsid w:val="29D3F144"/>
    <w:rsid w:val="29D6C10E"/>
    <w:rsid w:val="29D7C98E"/>
    <w:rsid w:val="29E26384"/>
    <w:rsid w:val="29E286D8"/>
    <w:rsid w:val="29E83D5A"/>
    <w:rsid w:val="29E85D11"/>
    <w:rsid w:val="29EB8AED"/>
    <w:rsid w:val="29EE9D58"/>
    <w:rsid w:val="29F2F91F"/>
    <w:rsid w:val="29F31936"/>
    <w:rsid w:val="29F4280F"/>
    <w:rsid w:val="2A01F2E9"/>
    <w:rsid w:val="2A32E36B"/>
    <w:rsid w:val="2A342B09"/>
    <w:rsid w:val="2A3939AF"/>
    <w:rsid w:val="2A4117D8"/>
    <w:rsid w:val="2A4F6316"/>
    <w:rsid w:val="2A5057BB"/>
    <w:rsid w:val="2A591D7F"/>
    <w:rsid w:val="2A5C2F46"/>
    <w:rsid w:val="2A61DFE9"/>
    <w:rsid w:val="2A682C07"/>
    <w:rsid w:val="2A78719C"/>
    <w:rsid w:val="2A7E677C"/>
    <w:rsid w:val="2A7F61E7"/>
    <w:rsid w:val="2A829844"/>
    <w:rsid w:val="2A8CF537"/>
    <w:rsid w:val="2A8DFA37"/>
    <w:rsid w:val="2A919C0A"/>
    <w:rsid w:val="2A979769"/>
    <w:rsid w:val="2A99845E"/>
    <w:rsid w:val="2A9BA62C"/>
    <w:rsid w:val="2AA11F4A"/>
    <w:rsid w:val="2AA3D654"/>
    <w:rsid w:val="2AA9AC31"/>
    <w:rsid w:val="2AB46A1F"/>
    <w:rsid w:val="2AB473B7"/>
    <w:rsid w:val="2AD13E0D"/>
    <w:rsid w:val="2AD59C30"/>
    <w:rsid w:val="2ADE8242"/>
    <w:rsid w:val="2AE873F2"/>
    <w:rsid w:val="2AEFF19C"/>
    <w:rsid w:val="2AF6CFC3"/>
    <w:rsid w:val="2AF8ABB9"/>
    <w:rsid w:val="2B0179A4"/>
    <w:rsid w:val="2B0D3CE0"/>
    <w:rsid w:val="2B128429"/>
    <w:rsid w:val="2B15BA70"/>
    <w:rsid w:val="2B1897A6"/>
    <w:rsid w:val="2B2B8CC6"/>
    <w:rsid w:val="2B390B1A"/>
    <w:rsid w:val="2B3EDCCD"/>
    <w:rsid w:val="2B575EFC"/>
    <w:rsid w:val="2B584898"/>
    <w:rsid w:val="2B651150"/>
    <w:rsid w:val="2B688D16"/>
    <w:rsid w:val="2B6A3235"/>
    <w:rsid w:val="2B7A07DE"/>
    <w:rsid w:val="2B7F1BD7"/>
    <w:rsid w:val="2B7FEEE0"/>
    <w:rsid w:val="2B82CD6B"/>
    <w:rsid w:val="2B926F5F"/>
    <w:rsid w:val="2BBCC863"/>
    <w:rsid w:val="2BC502FD"/>
    <w:rsid w:val="2BC51280"/>
    <w:rsid w:val="2BCEA4DF"/>
    <w:rsid w:val="2BD1E826"/>
    <w:rsid w:val="2BD3190E"/>
    <w:rsid w:val="2BD76446"/>
    <w:rsid w:val="2BDDAE97"/>
    <w:rsid w:val="2BEB43BC"/>
    <w:rsid w:val="2BECC413"/>
    <w:rsid w:val="2BEE7EF2"/>
    <w:rsid w:val="2BF1B5F3"/>
    <w:rsid w:val="2BF48137"/>
    <w:rsid w:val="2BF7805D"/>
    <w:rsid w:val="2BF7981F"/>
    <w:rsid w:val="2BFCAF0B"/>
    <w:rsid w:val="2BFE8EA0"/>
    <w:rsid w:val="2C032C49"/>
    <w:rsid w:val="2C106AE2"/>
    <w:rsid w:val="2C10A915"/>
    <w:rsid w:val="2C164E08"/>
    <w:rsid w:val="2C1DAE63"/>
    <w:rsid w:val="2C212E91"/>
    <w:rsid w:val="2C2213E4"/>
    <w:rsid w:val="2C39D226"/>
    <w:rsid w:val="2C3A3FA2"/>
    <w:rsid w:val="2C474F8E"/>
    <w:rsid w:val="2C5015CA"/>
    <w:rsid w:val="2C61A0C4"/>
    <w:rsid w:val="2C6723D7"/>
    <w:rsid w:val="2C6B18AD"/>
    <w:rsid w:val="2C6E6002"/>
    <w:rsid w:val="2C6F65E9"/>
    <w:rsid w:val="2C7FC6CC"/>
    <w:rsid w:val="2C827878"/>
    <w:rsid w:val="2C85CACA"/>
    <w:rsid w:val="2CA2B005"/>
    <w:rsid w:val="2CA2FEA7"/>
    <w:rsid w:val="2CA44A22"/>
    <w:rsid w:val="2CB1CAB4"/>
    <w:rsid w:val="2CB3D4D9"/>
    <w:rsid w:val="2CB462CF"/>
    <w:rsid w:val="2CBCBF74"/>
    <w:rsid w:val="2CBFDAC6"/>
    <w:rsid w:val="2CBFED1D"/>
    <w:rsid w:val="2CCA12F9"/>
    <w:rsid w:val="2CD3038C"/>
    <w:rsid w:val="2CD9508D"/>
    <w:rsid w:val="2CE0D58B"/>
    <w:rsid w:val="2CE47134"/>
    <w:rsid w:val="2CE64533"/>
    <w:rsid w:val="2CE7FBE3"/>
    <w:rsid w:val="2CE9C371"/>
    <w:rsid w:val="2CFD7EDD"/>
    <w:rsid w:val="2CFF5B59"/>
    <w:rsid w:val="2D031F22"/>
    <w:rsid w:val="2D035BCF"/>
    <w:rsid w:val="2D0543A8"/>
    <w:rsid w:val="2D0A2945"/>
    <w:rsid w:val="2D1204BC"/>
    <w:rsid w:val="2D19C271"/>
    <w:rsid w:val="2D221215"/>
    <w:rsid w:val="2D22F83B"/>
    <w:rsid w:val="2D2CCF56"/>
    <w:rsid w:val="2D63573E"/>
    <w:rsid w:val="2D645121"/>
    <w:rsid w:val="2D6559B3"/>
    <w:rsid w:val="2D72A527"/>
    <w:rsid w:val="2D74046D"/>
    <w:rsid w:val="2D75E022"/>
    <w:rsid w:val="2D8898BE"/>
    <w:rsid w:val="2D94C9F5"/>
    <w:rsid w:val="2D97660E"/>
    <w:rsid w:val="2DACBE97"/>
    <w:rsid w:val="2DAE8F11"/>
    <w:rsid w:val="2DB1411D"/>
    <w:rsid w:val="2DB19FC5"/>
    <w:rsid w:val="2DBAE54B"/>
    <w:rsid w:val="2DC0A36E"/>
    <w:rsid w:val="2DCD497F"/>
    <w:rsid w:val="2DCF1A41"/>
    <w:rsid w:val="2DD53684"/>
    <w:rsid w:val="2DD6BF78"/>
    <w:rsid w:val="2DD8453A"/>
    <w:rsid w:val="2DD92BE9"/>
    <w:rsid w:val="2DF9BEB5"/>
    <w:rsid w:val="2E0198BE"/>
    <w:rsid w:val="2E06E5B3"/>
    <w:rsid w:val="2E07F6FE"/>
    <w:rsid w:val="2E0AB51E"/>
    <w:rsid w:val="2E0FF08F"/>
    <w:rsid w:val="2E178974"/>
    <w:rsid w:val="2E235455"/>
    <w:rsid w:val="2E27C7EA"/>
    <w:rsid w:val="2E2BBC61"/>
    <w:rsid w:val="2E2DEB92"/>
    <w:rsid w:val="2E2F17C5"/>
    <w:rsid w:val="2E401B96"/>
    <w:rsid w:val="2E489768"/>
    <w:rsid w:val="2E4AEB77"/>
    <w:rsid w:val="2E4BC84E"/>
    <w:rsid w:val="2E4D97C7"/>
    <w:rsid w:val="2E535C7D"/>
    <w:rsid w:val="2E5BC2CE"/>
    <w:rsid w:val="2E5D00DB"/>
    <w:rsid w:val="2E5F442B"/>
    <w:rsid w:val="2E5FB54C"/>
    <w:rsid w:val="2E744A73"/>
    <w:rsid w:val="2E7C7A22"/>
    <w:rsid w:val="2EBD4066"/>
    <w:rsid w:val="2ECDE775"/>
    <w:rsid w:val="2ED1B987"/>
    <w:rsid w:val="2ED545FB"/>
    <w:rsid w:val="2ED66DFD"/>
    <w:rsid w:val="2ED841AA"/>
    <w:rsid w:val="2F0B6769"/>
    <w:rsid w:val="2F0DB1B9"/>
    <w:rsid w:val="2F0F11B8"/>
    <w:rsid w:val="2F116ECC"/>
    <w:rsid w:val="2F1B7684"/>
    <w:rsid w:val="2F1DE2B1"/>
    <w:rsid w:val="2F338E43"/>
    <w:rsid w:val="2F3EADA5"/>
    <w:rsid w:val="2F49590A"/>
    <w:rsid w:val="2F497669"/>
    <w:rsid w:val="2F4BF9D7"/>
    <w:rsid w:val="2F50D2F2"/>
    <w:rsid w:val="2F548948"/>
    <w:rsid w:val="2F5F3569"/>
    <w:rsid w:val="2F5F8F98"/>
    <w:rsid w:val="2F7A52B8"/>
    <w:rsid w:val="2F8D3AF9"/>
    <w:rsid w:val="2F9D1EDE"/>
    <w:rsid w:val="2F9F1EFC"/>
    <w:rsid w:val="2FA719A5"/>
    <w:rsid w:val="2FAB1D46"/>
    <w:rsid w:val="2FB1A112"/>
    <w:rsid w:val="2FB50653"/>
    <w:rsid w:val="2FB6061F"/>
    <w:rsid w:val="2FC74910"/>
    <w:rsid w:val="2FC7DF54"/>
    <w:rsid w:val="2FCA78DF"/>
    <w:rsid w:val="2FD02543"/>
    <w:rsid w:val="2FD221D0"/>
    <w:rsid w:val="2FD87727"/>
    <w:rsid w:val="2FDF5EAC"/>
    <w:rsid w:val="2FE0111E"/>
    <w:rsid w:val="2FE891C0"/>
    <w:rsid w:val="2FE9C66B"/>
    <w:rsid w:val="2FED8FED"/>
    <w:rsid w:val="2FF4CB8B"/>
    <w:rsid w:val="2FF5754E"/>
    <w:rsid w:val="2FFF7C26"/>
    <w:rsid w:val="300444DA"/>
    <w:rsid w:val="30068030"/>
    <w:rsid w:val="300B8F6F"/>
    <w:rsid w:val="301FEB0D"/>
    <w:rsid w:val="30205E5D"/>
    <w:rsid w:val="30284413"/>
    <w:rsid w:val="3038F208"/>
    <w:rsid w:val="303B4AAB"/>
    <w:rsid w:val="303CC0FE"/>
    <w:rsid w:val="303F0145"/>
    <w:rsid w:val="303FA581"/>
    <w:rsid w:val="3040242B"/>
    <w:rsid w:val="3052A218"/>
    <w:rsid w:val="3058C13C"/>
    <w:rsid w:val="30598E61"/>
    <w:rsid w:val="305C59BC"/>
    <w:rsid w:val="30671CAC"/>
    <w:rsid w:val="306CA86D"/>
    <w:rsid w:val="306DF30D"/>
    <w:rsid w:val="307114CB"/>
    <w:rsid w:val="307536E9"/>
    <w:rsid w:val="307FE17E"/>
    <w:rsid w:val="3083A5F5"/>
    <w:rsid w:val="308A57C6"/>
    <w:rsid w:val="308A69AD"/>
    <w:rsid w:val="308BADDF"/>
    <w:rsid w:val="308C731F"/>
    <w:rsid w:val="309210D7"/>
    <w:rsid w:val="3096666F"/>
    <w:rsid w:val="309D1B47"/>
    <w:rsid w:val="30A1D07A"/>
    <w:rsid w:val="30ABF1F7"/>
    <w:rsid w:val="30B68002"/>
    <w:rsid w:val="30B93F16"/>
    <w:rsid w:val="30BB8873"/>
    <w:rsid w:val="30CFBC59"/>
    <w:rsid w:val="30E0B821"/>
    <w:rsid w:val="30E117A3"/>
    <w:rsid w:val="30E4271A"/>
    <w:rsid w:val="30EF1ED5"/>
    <w:rsid w:val="30EFA09F"/>
    <w:rsid w:val="30F42DCE"/>
    <w:rsid w:val="30FA94D0"/>
    <w:rsid w:val="30FC66E7"/>
    <w:rsid w:val="310413A3"/>
    <w:rsid w:val="31068330"/>
    <w:rsid w:val="310EDA6A"/>
    <w:rsid w:val="3123803F"/>
    <w:rsid w:val="3124990D"/>
    <w:rsid w:val="3124C6D9"/>
    <w:rsid w:val="31267D95"/>
    <w:rsid w:val="3139C42F"/>
    <w:rsid w:val="3139E6CB"/>
    <w:rsid w:val="313B85E9"/>
    <w:rsid w:val="313D99DA"/>
    <w:rsid w:val="3148F488"/>
    <w:rsid w:val="314A0232"/>
    <w:rsid w:val="3151502D"/>
    <w:rsid w:val="31567BFC"/>
    <w:rsid w:val="31587004"/>
    <w:rsid w:val="31591ABE"/>
    <w:rsid w:val="315F7B9D"/>
    <w:rsid w:val="31604979"/>
    <w:rsid w:val="3161DBD6"/>
    <w:rsid w:val="3163D108"/>
    <w:rsid w:val="3167352F"/>
    <w:rsid w:val="316D0DF1"/>
    <w:rsid w:val="316F6B4C"/>
    <w:rsid w:val="3178FE76"/>
    <w:rsid w:val="31794D2E"/>
    <w:rsid w:val="31796800"/>
    <w:rsid w:val="318B3E8D"/>
    <w:rsid w:val="318CD653"/>
    <w:rsid w:val="319081E1"/>
    <w:rsid w:val="31A05793"/>
    <w:rsid w:val="31B4FF0D"/>
    <w:rsid w:val="31B57DFC"/>
    <w:rsid w:val="31B5D72B"/>
    <w:rsid w:val="31CCAD59"/>
    <w:rsid w:val="31D61BDB"/>
    <w:rsid w:val="31D93D24"/>
    <w:rsid w:val="31D98E35"/>
    <w:rsid w:val="31DD04ED"/>
    <w:rsid w:val="31DEF9ED"/>
    <w:rsid w:val="31EA2C34"/>
    <w:rsid w:val="31EF57DE"/>
    <w:rsid w:val="31F5C817"/>
    <w:rsid w:val="31FC02A3"/>
    <w:rsid w:val="31FD2D4E"/>
    <w:rsid w:val="31FEE64B"/>
    <w:rsid w:val="3203C1D5"/>
    <w:rsid w:val="320672CB"/>
    <w:rsid w:val="320EB2DD"/>
    <w:rsid w:val="32174B54"/>
    <w:rsid w:val="32222AB7"/>
    <w:rsid w:val="322792DC"/>
    <w:rsid w:val="323366E9"/>
    <w:rsid w:val="3234CEA5"/>
    <w:rsid w:val="323CDC88"/>
    <w:rsid w:val="323D21B0"/>
    <w:rsid w:val="3241DAC9"/>
    <w:rsid w:val="324BB4FE"/>
    <w:rsid w:val="3254FE21"/>
    <w:rsid w:val="325882C2"/>
    <w:rsid w:val="3258D4F6"/>
    <w:rsid w:val="32779CC4"/>
    <w:rsid w:val="327810FC"/>
    <w:rsid w:val="327DC4A2"/>
    <w:rsid w:val="327DC80E"/>
    <w:rsid w:val="3284BF15"/>
    <w:rsid w:val="328EFE10"/>
    <w:rsid w:val="3290BD46"/>
    <w:rsid w:val="32951F21"/>
    <w:rsid w:val="3296D49F"/>
    <w:rsid w:val="3298651C"/>
    <w:rsid w:val="32A115BB"/>
    <w:rsid w:val="32ADBE7B"/>
    <w:rsid w:val="32B30C6B"/>
    <w:rsid w:val="32B880D5"/>
    <w:rsid w:val="32BEECAF"/>
    <w:rsid w:val="32C7B2C4"/>
    <w:rsid w:val="32CE8553"/>
    <w:rsid w:val="32CFDF68"/>
    <w:rsid w:val="32D19863"/>
    <w:rsid w:val="32DCC555"/>
    <w:rsid w:val="32E7CAC1"/>
    <w:rsid w:val="32F3C46E"/>
    <w:rsid w:val="33006959"/>
    <w:rsid w:val="33049945"/>
    <w:rsid w:val="3306C1CE"/>
    <w:rsid w:val="33137BF7"/>
    <w:rsid w:val="331AE942"/>
    <w:rsid w:val="331B461F"/>
    <w:rsid w:val="33226FE6"/>
    <w:rsid w:val="3327892E"/>
    <w:rsid w:val="33293664"/>
    <w:rsid w:val="332FCE63"/>
    <w:rsid w:val="3332D793"/>
    <w:rsid w:val="333BCDD9"/>
    <w:rsid w:val="334D1312"/>
    <w:rsid w:val="33579194"/>
    <w:rsid w:val="33607A8E"/>
    <w:rsid w:val="3374B918"/>
    <w:rsid w:val="33785036"/>
    <w:rsid w:val="337C32DE"/>
    <w:rsid w:val="337D8F63"/>
    <w:rsid w:val="3381F625"/>
    <w:rsid w:val="339D5647"/>
    <w:rsid w:val="339F35E5"/>
    <w:rsid w:val="33AEA535"/>
    <w:rsid w:val="33AFA44F"/>
    <w:rsid w:val="33B10140"/>
    <w:rsid w:val="33B348F5"/>
    <w:rsid w:val="33C24802"/>
    <w:rsid w:val="33C7D728"/>
    <w:rsid w:val="33D281F7"/>
    <w:rsid w:val="33D43F5C"/>
    <w:rsid w:val="33D73271"/>
    <w:rsid w:val="33DC447D"/>
    <w:rsid w:val="33E4A5F4"/>
    <w:rsid w:val="33E7E77E"/>
    <w:rsid w:val="33EBF4CD"/>
    <w:rsid w:val="33EC126B"/>
    <w:rsid w:val="33F41FD8"/>
    <w:rsid w:val="33FFD4DB"/>
    <w:rsid w:val="34021BC8"/>
    <w:rsid w:val="34036394"/>
    <w:rsid w:val="34039E0B"/>
    <w:rsid w:val="3409D447"/>
    <w:rsid w:val="3409F011"/>
    <w:rsid w:val="3412D53C"/>
    <w:rsid w:val="34133B04"/>
    <w:rsid w:val="343367F0"/>
    <w:rsid w:val="343F3048"/>
    <w:rsid w:val="344577EC"/>
    <w:rsid w:val="344BA525"/>
    <w:rsid w:val="34567F77"/>
    <w:rsid w:val="34623304"/>
    <w:rsid w:val="34675DEB"/>
    <w:rsid w:val="346BD56B"/>
    <w:rsid w:val="346CA842"/>
    <w:rsid w:val="346E168C"/>
    <w:rsid w:val="346F9D90"/>
    <w:rsid w:val="34704A59"/>
    <w:rsid w:val="3471E0FC"/>
    <w:rsid w:val="3472F17B"/>
    <w:rsid w:val="347A4AD4"/>
    <w:rsid w:val="347AECEE"/>
    <w:rsid w:val="347E71E3"/>
    <w:rsid w:val="3480581A"/>
    <w:rsid w:val="34880C2C"/>
    <w:rsid w:val="34885086"/>
    <w:rsid w:val="348925D0"/>
    <w:rsid w:val="348D68B5"/>
    <w:rsid w:val="3497E941"/>
    <w:rsid w:val="34A1660E"/>
    <w:rsid w:val="34A74D11"/>
    <w:rsid w:val="34B912DB"/>
    <w:rsid w:val="34B98315"/>
    <w:rsid w:val="34C239DD"/>
    <w:rsid w:val="34CB9927"/>
    <w:rsid w:val="34D31C1F"/>
    <w:rsid w:val="34E00734"/>
    <w:rsid w:val="34E700AB"/>
    <w:rsid w:val="34F33730"/>
    <w:rsid w:val="34F3E3C5"/>
    <w:rsid w:val="3501905E"/>
    <w:rsid w:val="3503A44E"/>
    <w:rsid w:val="3505DA67"/>
    <w:rsid w:val="350B16BC"/>
    <w:rsid w:val="351267FE"/>
    <w:rsid w:val="3512CC7F"/>
    <w:rsid w:val="35183C8B"/>
    <w:rsid w:val="3526921F"/>
    <w:rsid w:val="352A2BF0"/>
    <w:rsid w:val="352F7C82"/>
    <w:rsid w:val="354840A5"/>
    <w:rsid w:val="35487AD0"/>
    <w:rsid w:val="354BE963"/>
    <w:rsid w:val="3553A318"/>
    <w:rsid w:val="35616096"/>
    <w:rsid w:val="3562762A"/>
    <w:rsid w:val="35648037"/>
    <w:rsid w:val="3565FAA2"/>
    <w:rsid w:val="356CC231"/>
    <w:rsid w:val="35774E57"/>
    <w:rsid w:val="35927B44"/>
    <w:rsid w:val="35946459"/>
    <w:rsid w:val="35968551"/>
    <w:rsid w:val="35998DD5"/>
    <w:rsid w:val="359DB3B5"/>
    <w:rsid w:val="35A53538"/>
    <w:rsid w:val="35A7E9B5"/>
    <w:rsid w:val="35A9BA05"/>
    <w:rsid w:val="35AC31B7"/>
    <w:rsid w:val="35BC11D8"/>
    <w:rsid w:val="35BFE2F4"/>
    <w:rsid w:val="35C2A060"/>
    <w:rsid w:val="35C31EBB"/>
    <w:rsid w:val="35C9ACCF"/>
    <w:rsid w:val="35CFE9C3"/>
    <w:rsid w:val="35D667B1"/>
    <w:rsid w:val="35E7F217"/>
    <w:rsid w:val="35E83592"/>
    <w:rsid w:val="3600AAA8"/>
    <w:rsid w:val="36044BE8"/>
    <w:rsid w:val="36067299"/>
    <w:rsid w:val="36096852"/>
    <w:rsid w:val="361464DF"/>
    <w:rsid w:val="361EA6B7"/>
    <w:rsid w:val="362286C6"/>
    <w:rsid w:val="362319B1"/>
    <w:rsid w:val="362B95FF"/>
    <w:rsid w:val="362CC9E6"/>
    <w:rsid w:val="362F07EB"/>
    <w:rsid w:val="363F3163"/>
    <w:rsid w:val="36427FFE"/>
    <w:rsid w:val="3643419E"/>
    <w:rsid w:val="36450310"/>
    <w:rsid w:val="3646015D"/>
    <w:rsid w:val="3654CCCE"/>
    <w:rsid w:val="36599F26"/>
    <w:rsid w:val="36609B93"/>
    <w:rsid w:val="3661FDA7"/>
    <w:rsid w:val="3664F245"/>
    <w:rsid w:val="36661F62"/>
    <w:rsid w:val="366786D9"/>
    <w:rsid w:val="36688009"/>
    <w:rsid w:val="366F60EA"/>
    <w:rsid w:val="3671054E"/>
    <w:rsid w:val="367601E3"/>
    <w:rsid w:val="36877BB4"/>
    <w:rsid w:val="3687AA02"/>
    <w:rsid w:val="3694E5E8"/>
    <w:rsid w:val="3698D140"/>
    <w:rsid w:val="369BDA33"/>
    <w:rsid w:val="36AC20EF"/>
    <w:rsid w:val="36B3DEB8"/>
    <w:rsid w:val="36B68EEC"/>
    <w:rsid w:val="36B8FC85"/>
    <w:rsid w:val="36BC0575"/>
    <w:rsid w:val="36BDEF4F"/>
    <w:rsid w:val="36C887EA"/>
    <w:rsid w:val="36C9D225"/>
    <w:rsid w:val="36CC236F"/>
    <w:rsid w:val="36D2F021"/>
    <w:rsid w:val="36D8BB56"/>
    <w:rsid w:val="36DF1792"/>
    <w:rsid w:val="36E83D5B"/>
    <w:rsid w:val="36F387C0"/>
    <w:rsid w:val="36F6D102"/>
    <w:rsid w:val="3702344F"/>
    <w:rsid w:val="37046DB2"/>
    <w:rsid w:val="370EDBFF"/>
    <w:rsid w:val="371410D5"/>
    <w:rsid w:val="37145F5A"/>
    <w:rsid w:val="3717091E"/>
    <w:rsid w:val="371F0723"/>
    <w:rsid w:val="37257186"/>
    <w:rsid w:val="3729186E"/>
    <w:rsid w:val="372E549B"/>
    <w:rsid w:val="372F8FAF"/>
    <w:rsid w:val="37335260"/>
    <w:rsid w:val="373352BF"/>
    <w:rsid w:val="3734D22F"/>
    <w:rsid w:val="3735E145"/>
    <w:rsid w:val="373C2547"/>
    <w:rsid w:val="374A8496"/>
    <w:rsid w:val="37617864"/>
    <w:rsid w:val="3763670F"/>
    <w:rsid w:val="376FE6D9"/>
    <w:rsid w:val="37741569"/>
    <w:rsid w:val="377AE93B"/>
    <w:rsid w:val="377D75D6"/>
    <w:rsid w:val="378E884C"/>
    <w:rsid w:val="3793411A"/>
    <w:rsid w:val="379839DF"/>
    <w:rsid w:val="3798D5CC"/>
    <w:rsid w:val="379CA0C4"/>
    <w:rsid w:val="379CE466"/>
    <w:rsid w:val="37A18A9C"/>
    <w:rsid w:val="37AD8633"/>
    <w:rsid w:val="37AD9AB7"/>
    <w:rsid w:val="37B0E7BA"/>
    <w:rsid w:val="37B65845"/>
    <w:rsid w:val="37BBE825"/>
    <w:rsid w:val="37C44D59"/>
    <w:rsid w:val="37D9CA5F"/>
    <w:rsid w:val="37E1B557"/>
    <w:rsid w:val="37E1CC22"/>
    <w:rsid w:val="37E27B83"/>
    <w:rsid w:val="37E61F3A"/>
    <w:rsid w:val="37EA0EDF"/>
    <w:rsid w:val="37F4AD7E"/>
    <w:rsid w:val="380977A7"/>
    <w:rsid w:val="380B8DCC"/>
    <w:rsid w:val="38105EF1"/>
    <w:rsid w:val="381146F5"/>
    <w:rsid w:val="381489A4"/>
    <w:rsid w:val="3815383B"/>
    <w:rsid w:val="38175CEB"/>
    <w:rsid w:val="38201581"/>
    <w:rsid w:val="38212DA6"/>
    <w:rsid w:val="3823957B"/>
    <w:rsid w:val="38244846"/>
    <w:rsid w:val="3834D689"/>
    <w:rsid w:val="38389183"/>
    <w:rsid w:val="383FAC82"/>
    <w:rsid w:val="384699D3"/>
    <w:rsid w:val="38483D40"/>
    <w:rsid w:val="384E5531"/>
    <w:rsid w:val="384F6801"/>
    <w:rsid w:val="3850DD8E"/>
    <w:rsid w:val="3856010A"/>
    <w:rsid w:val="385C866A"/>
    <w:rsid w:val="385DA9AD"/>
    <w:rsid w:val="38639344"/>
    <w:rsid w:val="3863EA4B"/>
    <w:rsid w:val="386536FA"/>
    <w:rsid w:val="386E2273"/>
    <w:rsid w:val="386EC4C8"/>
    <w:rsid w:val="386EDCF5"/>
    <w:rsid w:val="3872509D"/>
    <w:rsid w:val="3878C57A"/>
    <w:rsid w:val="387963DA"/>
    <w:rsid w:val="3882C797"/>
    <w:rsid w:val="3889A55E"/>
    <w:rsid w:val="388B0027"/>
    <w:rsid w:val="388D6094"/>
    <w:rsid w:val="388FB4D0"/>
    <w:rsid w:val="3892342A"/>
    <w:rsid w:val="3893BDA7"/>
    <w:rsid w:val="3896391E"/>
    <w:rsid w:val="389AD164"/>
    <w:rsid w:val="389B0BE4"/>
    <w:rsid w:val="38A87BE6"/>
    <w:rsid w:val="38ABCA14"/>
    <w:rsid w:val="38B0F0D1"/>
    <w:rsid w:val="38B734F8"/>
    <w:rsid w:val="38B7B8F5"/>
    <w:rsid w:val="38B844F6"/>
    <w:rsid w:val="38C321E8"/>
    <w:rsid w:val="38C3B53C"/>
    <w:rsid w:val="38CCD5BA"/>
    <w:rsid w:val="38D4F7F6"/>
    <w:rsid w:val="38D54ABA"/>
    <w:rsid w:val="38E0EB09"/>
    <w:rsid w:val="38E25DE6"/>
    <w:rsid w:val="38E7E5BF"/>
    <w:rsid w:val="38E9EB74"/>
    <w:rsid w:val="38EFD7F9"/>
    <w:rsid w:val="38F20F71"/>
    <w:rsid w:val="38F893E3"/>
    <w:rsid w:val="38FC125C"/>
    <w:rsid w:val="39031A4D"/>
    <w:rsid w:val="3908A241"/>
    <w:rsid w:val="390F9C97"/>
    <w:rsid w:val="3919AC82"/>
    <w:rsid w:val="3919AE84"/>
    <w:rsid w:val="391B2B22"/>
    <w:rsid w:val="392A9B4E"/>
    <w:rsid w:val="393C4CCC"/>
    <w:rsid w:val="3947012A"/>
    <w:rsid w:val="39576D9B"/>
    <w:rsid w:val="39586499"/>
    <w:rsid w:val="396A53B6"/>
    <w:rsid w:val="396B1786"/>
    <w:rsid w:val="396DDDE5"/>
    <w:rsid w:val="397708F1"/>
    <w:rsid w:val="3978A136"/>
    <w:rsid w:val="397C55DD"/>
    <w:rsid w:val="39945214"/>
    <w:rsid w:val="399B2F26"/>
    <w:rsid w:val="399F98DF"/>
    <w:rsid w:val="39AB5DA4"/>
    <w:rsid w:val="39ADE5E4"/>
    <w:rsid w:val="39AF6100"/>
    <w:rsid w:val="39B01C26"/>
    <w:rsid w:val="39B6703A"/>
    <w:rsid w:val="39C3E33D"/>
    <w:rsid w:val="39C97763"/>
    <w:rsid w:val="39CB6202"/>
    <w:rsid w:val="39D1FD89"/>
    <w:rsid w:val="39D86B9C"/>
    <w:rsid w:val="39E19871"/>
    <w:rsid w:val="39E52A61"/>
    <w:rsid w:val="39EBC612"/>
    <w:rsid w:val="39EF5176"/>
    <w:rsid w:val="39F7A655"/>
    <w:rsid w:val="39F82306"/>
    <w:rsid w:val="3A02BA2A"/>
    <w:rsid w:val="3A146E0B"/>
    <w:rsid w:val="3A1AB9B7"/>
    <w:rsid w:val="3A21D23E"/>
    <w:rsid w:val="3A3768A7"/>
    <w:rsid w:val="3A3D3EF2"/>
    <w:rsid w:val="3A4AC7C5"/>
    <w:rsid w:val="3A4D7073"/>
    <w:rsid w:val="3A5007DD"/>
    <w:rsid w:val="3A59ACF6"/>
    <w:rsid w:val="3A621600"/>
    <w:rsid w:val="3A6CC82A"/>
    <w:rsid w:val="3A716184"/>
    <w:rsid w:val="3A71D348"/>
    <w:rsid w:val="3A730EE8"/>
    <w:rsid w:val="3A7A092E"/>
    <w:rsid w:val="3A7D1143"/>
    <w:rsid w:val="3A81AF81"/>
    <w:rsid w:val="3A91BAEF"/>
    <w:rsid w:val="3A9377EB"/>
    <w:rsid w:val="3A957F26"/>
    <w:rsid w:val="3A9BF0A3"/>
    <w:rsid w:val="3A9DFD64"/>
    <w:rsid w:val="3AA266CC"/>
    <w:rsid w:val="3AAAC906"/>
    <w:rsid w:val="3AB70C18"/>
    <w:rsid w:val="3AB9ABD6"/>
    <w:rsid w:val="3ABA1369"/>
    <w:rsid w:val="3AC25A36"/>
    <w:rsid w:val="3AC86E80"/>
    <w:rsid w:val="3AD72EA4"/>
    <w:rsid w:val="3AD7BEEA"/>
    <w:rsid w:val="3AECB6D1"/>
    <w:rsid w:val="3AEE7C93"/>
    <w:rsid w:val="3AF648BD"/>
    <w:rsid w:val="3AFD6503"/>
    <w:rsid w:val="3AFF8DD6"/>
    <w:rsid w:val="3B00F9F0"/>
    <w:rsid w:val="3B11FB6B"/>
    <w:rsid w:val="3B1AB1B8"/>
    <w:rsid w:val="3B1C0878"/>
    <w:rsid w:val="3B1C45AC"/>
    <w:rsid w:val="3B1CC065"/>
    <w:rsid w:val="3B1E8DF1"/>
    <w:rsid w:val="3B34FD43"/>
    <w:rsid w:val="3B45C80E"/>
    <w:rsid w:val="3B501657"/>
    <w:rsid w:val="3B5533C8"/>
    <w:rsid w:val="3B566BF5"/>
    <w:rsid w:val="3B57BC55"/>
    <w:rsid w:val="3B7111BE"/>
    <w:rsid w:val="3B756886"/>
    <w:rsid w:val="3B7F0623"/>
    <w:rsid w:val="3B96020C"/>
    <w:rsid w:val="3B98A1F4"/>
    <w:rsid w:val="3BB1F1C6"/>
    <w:rsid w:val="3BB25825"/>
    <w:rsid w:val="3BB9D778"/>
    <w:rsid w:val="3BBD6137"/>
    <w:rsid w:val="3BC0BC00"/>
    <w:rsid w:val="3BC0C307"/>
    <w:rsid w:val="3BC4A630"/>
    <w:rsid w:val="3BCD4DC8"/>
    <w:rsid w:val="3BCD83AF"/>
    <w:rsid w:val="3BCFA59A"/>
    <w:rsid w:val="3BD5E35B"/>
    <w:rsid w:val="3BDAAA1D"/>
    <w:rsid w:val="3BDCF077"/>
    <w:rsid w:val="3BDD8824"/>
    <w:rsid w:val="3BDFF005"/>
    <w:rsid w:val="3BEABAE1"/>
    <w:rsid w:val="3BF4D267"/>
    <w:rsid w:val="3BF7D71F"/>
    <w:rsid w:val="3C046C38"/>
    <w:rsid w:val="3C04FE47"/>
    <w:rsid w:val="3C10C77F"/>
    <w:rsid w:val="3C238A5A"/>
    <w:rsid w:val="3C2EA070"/>
    <w:rsid w:val="3C3312D9"/>
    <w:rsid w:val="3C3A0D91"/>
    <w:rsid w:val="3C3E5991"/>
    <w:rsid w:val="3C410C81"/>
    <w:rsid w:val="3C44210A"/>
    <w:rsid w:val="3C4B3117"/>
    <w:rsid w:val="3C524A27"/>
    <w:rsid w:val="3C53B075"/>
    <w:rsid w:val="3C567973"/>
    <w:rsid w:val="3C64CE36"/>
    <w:rsid w:val="3C6772C8"/>
    <w:rsid w:val="3C6FDAC8"/>
    <w:rsid w:val="3C7872A3"/>
    <w:rsid w:val="3C7FEFB4"/>
    <w:rsid w:val="3C8480EA"/>
    <w:rsid w:val="3C8AFBA6"/>
    <w:rsid w:val="3C9070FC"/>
    <w:rsid w:val="3C983EA5"/>
    <w:rsid w:val="3CBE5BA5"/>
    <w:rsid w:val="3CC70C6A"/>
    <w:rsid w:val="3CD09D1D"/>
    <w:rsid w:val="3CE236DA"/>
    <w:rsid w:val="3CE9385B"/>
    <w:rsid w:val="3CED4D9B"/>
    <w:rsid w:val="3CF4F832"/>
    <w:rsid w:val="3CF67B3F"/>
    <w:rsid w:val="3CF89997"/>
    <w:rsid w:val="3D0C304A"/>
    <w:rsid w:val="3D13735A"/>
    <w:rsid w:val="3D1479AC"/>
    <w:rsid w:val="3D154C3B"/>
    <w:rsid w:val="3D15C1C6"/>
    <w:rsid w:val="3D16E4E4"/>
    <w:rsid w:val="3D1A1EAE"/>
    <w:rsid w:val="3D2515A2"/>
    <w:rsid w:val="3D2D6427"/>
    <w:rsid w:val="3D30EBBC"/>
    <w:rsid w:val="3D3764AE"/>
    <w:rsid w:val="3D38C1B7"/>
    <w:rsid w:val="3D4753D5"/>
    <w:rsid w:val="3D5316B5"/>
    <w:rsid w:val="3D550638"/>
    <w:rsid w:val="3D62C7F4"/>
    <w:rsid w:val="3D699165"/>
    <w:rsid w:val="3D6FA0DF"/>
    <w:rsid w:val="3D746360"/>
    <w:rsid w:val="3D78290B"/>
    <w:rsid w:val="3D790FFF"/>
    <w:rsid w:val="3D7C43A2"/>
    <w:rsid w:val="3D85DBD8"/>
    <w:rsid w:val="3D8BB135"/>
    <w:rsid w:val="3D9E6279"/>
    <w:rsid w:val="3D9F0760"/>
    <w:rsid w:val="3DA0BAAE"/>
    <w:rsid w:val="3DB043BE"/>
    <w:rsid w:val="3DB900F7"/>
    <w:rsid w:val="3DB95C3C"/>
    <w:rsid w:val="3DBF9F9A"/>
    <w:rsid w:val="3DCC2E7A"/>
    <w:rsid w:val="3DD56A24"/>
    <w:rsid w:val="3DD97F42"/>
    <w:rsid w:val="3DDB4EAE"/>
    <w:rsid w:val="3DE00285"/>
    <w:rsid w:val="3DE08AFA"/>
    <w:rsid w:val="3DE18868"/>
    <w:rsid w:val="3DEAD1B9"/>
    <w:rsid w:val="3E0C677D"/>
    <w:rsid w:val="3E0E0080"/>
    <w:rsid w:val="3E304458"/>
    <w:rsid w:val="3E363875"/>
    <w:rsid w:val="3E37BBA3"/>
    <w:rsid w:val="3E4DCA07"/>
    <w:rsid w:val="3E54E26C"/>
    <w:rsid w:val="3E572D3A"/>
    <w:rsid w:val="3E5D02AA"/>
    <w:rsid w:val="3E6AB373"/>
    <w:rsid w:val="3E7827DA"/>
    <w:rsid w:val="3E81693D"/>
    <w:rsid w:val="3E8586CD"/>
    <w:rsid w:val="3E8B7400"/>
    <w:rsid w:val="3E8BF6FE"/>
    <w:rsid w:val="3E9A5B82"/>
    <w:rsid w:val="3EA95654"/>
    <w:rsid w:val="3EB48F0A"/>
    <w:rsid w:val="3EC0C218"/>
    <w:rsid w:val="3ECA95E7"/>
    <w:rsid w:val="3ECCB05E"/>
    <w:rsid w:val="3ED1A95B"/>
    <w:rsid w:val="3EDB40DB"/>
    <w:rsid w:val="3EE14EE9"/>
    <w:rsid w:val="3EE1D7E9"/>
    <w:rsid w:val="3EEC7A02"/>
    <w:rsid w:val="3F027A5F"/>
    <w:rsid w:val="3F0F30D3"/>
    <w:rsid w:val="3F17E7E8"/>
    <w:rsid w:val="3F19D3A5"/>
    <w:rsid w:val="3F28120F"/>
    <w:rsid w:val="3F316C58"/>
    <w:rsid w:val="3F31DB2D"/>
    <w:rsid w:val="3F32F322"/>
    <w:rsid w:val="3F44466C"/>
    <w:rsid w:val="3F4CEB3D"/>
    <w:rsid w:val="3F64ADA6"/>
    <w:rsid w:val="3F78BBEE"/>
    <w:rsid w:val="3F78DFA2"/>
    <w:rsid w:val="3F82D175"/>
    <w:rsid w:val="3F8DF5AD"/>
    <w:rsid w:val="3F9AC0E6"/>
    <w:rsid w:val="3F9CB32A"/>
    <w:rsid w:val="3F9CDE37"/>
    <w:rsid w:val="3FA60662"/>
    <w:rsid w:val="3FA976D2"/>
    <w:rsid w:val="3FB2CE6B"/>
    <w:rsid w:val="3FB65B8B"/>
    <w:rsid w:val="3FBB31F3"/>
    <w:rsid w:val="3FBF5CCD"/>
    <w:rsid w:val="3FCA4000"/>
    <w:rsid w:val="3FCCF432"/>
    <w:rsid w:val="3FD19076"/>
    <w:rsid w:val="3FD29019"/>
    <w:rsid w:val="3FE25279"/>
    <w:rsid w:val="3FE8A704"/>
    <w:rsid w:val="3FFFA13B"/>
    <w:rsid w:val="4001B322"/>
    <w:rsid w:val="400A93C7"/>
    <w:rsid w:val="400ACDFE"/>
    <w:rsid w:val="40180E40"/>
    <w:rsid w:val="401AD8FD"/>
    <w:rsid w:val="401CFB5E"/>
    <w:rsid w:val="401E2600"/>
    <w:rsid w:val="40255406"/>
    <w:rsid w:val="40274C10"/>
    <w:rsid w:val="402976E7"/>
    <w:rsid w:val="40319A65"/>
    <w:rsid w:val="4032AC1D"/>
    <w:rsid w:val="40500F4D"/>
    <w:rsid w:val="405D6A2B"/>
    <w:rsid w:val="406168F2"/>
    <w:rsid w:val="4079B359"/>
    <w:rsid w:val="407E14AE"/>
    <w:rsid w:val="408A900D"/>
    <w:rsid w:val="408BFFFC"/>
    <w:rsid w:val="4091F332"/>
    <w:rsid w:val="4092C682"/>
    <w:rsid w:val="4094EA87"/>
    <w:rsid w:val="40965C63"/>
    <w:rsid w:val="409B041E"/>
    <w:rsid w:val="409E1591"/>
    <w:rsid w:val="40A05CC8"/>
    <w:rsid w:val="40A392CD"/>
    <w:rsid w:val="40B2E40D"/>
    <w:rsid w:val="40C0D6BE"/>
    <w:rsid w:val="40E7476B"/>
    <w:rsid w:val="40E77420"/>
    <w:rsid w:val="40FF2223"/>
    <w:rsid w:val="411C260C"/>
    <w:rsid w:val="411FC889"/>
    <w:rsid w:val="41210D15"/>
    <w:rsid w:val="4129E53F"/>
    <w:rsid w:val="412F4EC0"/>
    <w:rsid w:val="4130C7DC"/>
    <w:rsid w:val="415B1304"/>
    <w:rsid w:val="415D3D1D"/>
    <w:rsid w:val="415D7587"/>
    <w:rsid w:val="416059BF"/>
    <w:rsid w:val="416067CE"/>
    <w:rsid w:val="41669DA1"/>
    <w:rsid w:val="416E1118"/>
    <w:rsid w:val="4170E584"/>
    <w:rsid w:val="4172F9D3"/>
    <w:rsid w:val="41754C2F"/>
    <w:rsid w:val="417E36E7"/>
    <w:rsid w:val="418D77F0"/>
    <w:rsid w:val="418F56D3"/>
    <w:rsid w:val="4192843F"/>
    <w:rsid w:val="419890D1"/>
    <w:rsid w:val="419BA54F"/>
    <w:rsid w:val="419F6680"/>
    <w:rsid w:val="41A0B848"/>
    <w:rsid w:val="41A0EB2D"/>
    <w:rsid w:val="41A56955"/>
    <w:rsid w:val="41A908D2"/>
    <w:rsid w:val="41ACE728"/>
    <w:rsid w:val="41B6107D"/>
    <w:rsid w:val="41BE7B1E"/>
    <w:rsid w:val="41BF6758"/>
    <w:rsid w:val="41C37A5D"/>
    <w:rsid w:val="41C37B9E"/>
    <w:rsid w:val="41CA8848"/>
    <w:rsid w:val="41CC38E9"/>
    <w:rsid w:val="41DC3E13"/>
    <w:rsid w:val="41DDEF6B"/>
    <w:rsid w:val="41EB45D2"/>
    <w:rsid w:val="41ED3012"/>
    <w:rsid w:val="41EF6082"/>
    <w:rsid w:val="41FE8A4F"/>
    <w:rsid w:val="4205AD62"/>
    <w:rsid w:val="420A6EC4"/>
    <w:rsid w:val="420BB283"/>
    <w:rsid w:val="420DE0A0"/>
    <w:rsid w:val="420F9879"/>
    <w:rsid w:val="42142C00"/>
    <w:rsid w:val="422ADEC5"/>
    <w:rsid w:val="422BCDD4"/>
    <w:rsid w:val="42401B55"/>
    <w:rsid w:val="42497E7D"/>
    <w:rsid w:val="424CA3A1"/>
    <w:rsid w:val="424D21CC"/>
    <w:rsid w:val="424F7CA6"/>
    <w:rsid w:val="4263EB6B"/>
    <w:rsid w:val="4264E9C4"/>
    <w:rsid w:val="4266D0F6"/>
    <w:rsid w:val="427A212F"/>
    <w:rsid w:val="4292925E"/>
    <w:rsid w:val="429A42A1"/>
    <w:rsid w:val="429FA985"/>
    <w:rsid w:val="42A743F0"/>
    <w:rsid w:val="42AC922E"/>
    <w:rsid w:val="42B02198"/>
    <w:rsid w:val="42B878E1"/>
    <w:rsid w:val="42C01BA5"/>
    <w:rsid w:val="42C060D8"/>
    <w:rsid w:val="42C5872A"/>
    <w:rsid w:val="42C81428"/>
    <w:rsid w:val="42C90A8C"/>
    <w:rsid w:val="42CDAC98"/>
    <w:rsid w:val="42D58617"/>
    <w:rsid w:val="42D8E6E5"/>
    <w:rsid w:val="42DD9E48"/>
    <w:rsid w:val="42DE5C0C"/>
    <w:rsid w:val="42E400C2"/>
    <w:rsid w:val="42EF378D"/>
    <w:rsid w:val="42F2E972"/>
    <w:rsid w:val="42F4C5A4"/>
    <w:rsid w:val="42F962BA"/>
    <w:rsid w:val="4301F1C3"/>
    <w:rsid w:val="430C2EB7"/>
    <w:rsid w:val="43134432"/>
    <w:rsid w:val="4314319C"/>
    <w:rsid w:val="431C0471"/>
    <w:rsid w:val="433F0035"/>
    <w:rsid w:val="4341CEFC"/>
    <w:rsid w:val="4347B28D"/>
    <w:rsid w:val="4358B4A4"/>
    <w:rsid w:val="43628171"/>
    <w:rsid w:val="436687F2"/>
    <w:rsid w:val="4378E38A"/>
    <w:rsid w:val="4379152B"/>
    <w:rsid w:val="437C4077"/>
    <w:rsid w:val="438C8A19"/>
    <w:rsid w:val="4391C6DF"/>
    <w:rsid w:val="43AA2C6F"/>
    <w:rsid w:val="43AA9A69"/>
    <w:rsid w:val="43B20920"/>
    <w:rsid w:val="43BDCA67"/>
    <w:rsid w:val="43BDF765"/>
    <w:rsid w:val="43C42150"/>
    <w:rsid w:val="43E32229"/>
    <w:rsid w:val="43E687F1"/>
    <w:rsid w:val="43E9DC17"/>
    <w:rsid w:val="43EE4AF4"/>
    <w:rsid w:val="43EEA0C0"/>
    <w:rsid w:val="43FF3EE8"/>
    <w:rsid w:val="4405596E"/>
    <w:rsid w:val="44293DC7"/>
    <w:rsid w:val="4438E935"/>
    <w:rsid w:val="44482526"/>
    <w:rsid w:val="4449C67D"/>
    <w:rsid w:val="445B7283"/>
    <w:rsid w:val="4465CEFC"/>
    <w:rsid w:val="44685743"/>
    <w:rsid w:val="4469A73D"/>
    <w:rsid w:val="4475FD19"/>
    <w:rsid w:val="44760724"/>
    <w:rsid w:val="4478D9CF"/>
    <w:rsid w:val="447AA6E5"/>
    <w:rsid w:val="4491D47A"/>
    <w:rsid w:val="449C30D2"/>
    <w:rsid w:val="449C3A3E"/>
    <w:rsid w:val="449F81C5"/>
    <w:rsid w:val="44A9CA65"/>
    <w:rsid w:val="44AC5D9F"/>
    <w:rsid w:val="44AD888E"/>
    <w:rsid w:val="44B12B73"/>
    <w:rsid w:val="44B9B9DB"/>
    <w:rsid w:val="44C12EE3"/>
    <w:rsid w:val="44C53A03"/>
    <w:rsid w:val="44CD95A8"/>
    <w:rsid w:val="44CDDDC9"/>
    <w:rsid w:val="44D2CADC"/>
    <w:rsid w:val="44D6D861"/>
    <w:rsid w:val="44E048DC"/>
    <w:rsid w:val="44E878E2"/>
    <w:rsid w:val="44EB8215"/>
    <w:rsid w:val="44ED9E88"/>
    <w:rsid w:val="44F0819D"/>
    <w:rsid w:val="44F235D8"/>
    <w:rsid w:val="44FB82ED"/>
    <w:rsid w:val="44FF5A1C"/>
    <w:rsid w:val="4510264B"/>
    <w:rsid w:val="4511BB73"/>
    <w:rsid w:val="4514DC14"/>
    <w:rsid w:val="4526251C"/>
    <w:rsid w:val="45305F8B"/>
    <w:rsid w:val="45355C12"/>
    <w:rsid w:val="45365B41"/>
    <w:rsid w:val="454706B1"/>
    <w:rsid w:val="454CC0E6"/>
    <w:rsid w:val="455AD0A0"/>
    <w:rsid w:val="455E55D8"/>
    <w:rsid w:val="4568CBC3"/>
    <w:rsid w:val="456AA070"/>
    <w:rsid w:val="456AD0E4"/>
    <w:rsid w:val="456BEC8F"/>
    <w:rsid w:val="456C879B"/>
    <w:rsid w:val="457786D7"/>
    <w:rsid w:val="458DC7CC"/>
    <w:rsid w:val="45918CFF"/>
    <w:rsid w:val="4593A052"/>
    <w:rsid w:val="4594B156"/>
    <w:rsid w:val="4599E404"/>
    <w:rsid w:val="459CBB7B"/>
    <w:rsid w:val="459DEF15"/>
    <w:rsid w:val="45A24DF2"/>
    <w:rsid w:val="45B3834F"/>
    <w:rsid w:val="45C51084"/>
    <w:rsid w:val="45CEB7A4"/>
    <w:rsid w:val="45CFDBDB"/>
    <w:rsid w:val="45D2CBA0"/>
    <w:rsid w:val="45DFE26A"/>
    <w:rsid w:val="45EA1112"/>
    <w:rsid w:val="45EA61CB"/>
    <w:rsid w:val="45F933CE"/>
    <w:rsid w:val="45FAF15F"/>
    <w:rsid w:val="4605280F"/>
    <w:rsid w:val="4609BC9A"/>
    <w:rsid w:val="460D0000"/>
    <w:rsid w:val="461A7FE6"/>
    <w:rsid w:val="46259909"/>
    <w:rsid w:val="4627019E"/>
    <w:rsid w:val="462D46FB"/>
    <w:rsid w:val="46352C48"/>
    <w:rsid w:val="4638C23C"/>
    <w:rsid w:val="463EF825"/>
    <w:rsid w:val="463FB3F4"/>
    <w:rsid w:val="464509BF"/>
    <w:rsid w:val="464BD427"/>
    <w:rsid w:val="464BF239"/>
    <w:rsid w:val="4650B2AA"/>
    <w:rsid w:val="46513DE8"/>
    <w:rsid w:val="465C45BA"/>
    <w:rsid w:val="465D4C33"/>
    <w:rsid w:val="465DDD56"/>
    <w:rsid w:val="46687327"/>
    <w:rsid w:val="4669D8A3"/>
    <w:rsid w:val="467076A5"/>
    <w:rsid w:val="4671EA5D"/>
    <w:rsid w:val="467391F3"/>
    <w:rsid w:val="4680E1AF"/>
    <w:rsid w:val="4680E64D"/>
    <w:rsid w:val="468BC58C"/>
    <w:rsid w:val="4690D412"/>
    <w:rsid w:val="46B5A383"/>
    <w:rsid w:val="46BCDC33"/>
    <w:rsid w:val="46BF8B8A"/>
    <w:rsid w:val="46C04519"/>
    <w:rsid w:val="46D6E2D0"/>
    <w:rsid w:val="46D78877"/>
    <w:rsid w:val="46E19271"/>
    <w:rsid w:val="46EBFCF6"/>
    <w:rsid w:val="46F0ED4C"/>
    <w:rsid w:val="46F53187"/>
    <w:rsid w:val="46F6F8FC"/>
    <w:rsid w:val="46F77639"/>
    <w:rsid w:val="470067AB"/>
    <w:rsid w:val="4703899B"/>
    <w:rsid w:val="471698E2"/>
    <w:rsid w:val="47170AA7"/>
    <w:rsid w:val="47185E2A"/>
    <w:rsid w:val="471C0494"/>
    <w:rsid w:val="4724AAA9"/>
    <w:rsid w:val="47289A08"/>
    <w:rsid w:val="472CADD7"/>
    <w:rsid w:val="472F70B8"/>
    <w:rsid w:val="47327CCC"/>
    <w:rsid w:val="473588E9"/>
    <w:rsid w:val="4755A0D1"/>
    <w:rsid w:val="475EDC22"/>
    <w:rsid w:val="476F30B8"/>
    <w:rsid w:val="477C5455"/>
    <w:rsid w:val="47874500"/>
    <w:rsid w:val="47A36956"/>
    <w:rsid w:val="47A7CF6A"/>
    <w:rsid w:val="47BAD149"/>
    <w:rsid w:val="47BBDEF8"/>
    <w:rsid w:val="47C19A43"/>
    <w:rsid w:val="47C88FE3"/>
    <w:rsid w:val="47E02A90"/>
    <w:rsid w:val="47E234F6"/>
    <w:rsid w:val="47E25DB4"/>
    <w:rsid w:val="47E4C724"/>
    <w:rsid w:val="47F061B1"/>
    <w:rsid w:val="47F0A84F"/>
    <w:rsid w:val="47FC0A33"/>
    <w:rsid w:val="47FEA0CE"/>
    <w:rsid w:val="48043AE5"/>
    <w:rsid w:val="480BE1A3"/>
    <w:rsid w:val="4811C53F"/>
    <w:rsid w:val="481200B7"/>
    <w:rsid w:val="4818F564"/>
    <w:rsid w:val="481971E4"/>
    <w:rsid w:val="4819D534"/>
    <w:rsid w:val="481E1EF0"/>
    <w:rsid w:val="4823DD31"/>
    <w:rsid w:val="4826B69D"/>
    <w:rsid w:val="48285CF9"/>
    <w:rsid w:val="4835EE5E"/>
    <w:rsid w:val="4835F8C6"/>
    <w:rsid w:val="4836D0BC"/>
    <w:rsid w:val="4844C832"/>
    <w:rsid w:val="485207D6"/>
    <w:rsid w:val="4857F496"/>
    <w:rsid w:val="485F1B4A"/>
    <w:rsid w:val="4865C400"/>
    <w:rsid w:val="486A2298"/>
    <w:rsid w:val="4889692B"/>
    <w:rsid w:val="4896CF7A"/>
    <w:rsid w:val="489D9FB8"/>
    <w:rsid w:val="48B71F15"/>
    <w:rsid w:val="48BA0004"/>
    <w:rsid w:val="48C02A3D"/>
    <w:rsid w:val="48C1B7FF"/>
    <w:rsid w:val="48C3168C"/>
    <w:rsid w:val="48C5247E"/>
    <w:rsid w:val="48C6F982"/>
    <w:rsid w:val="48D0E735"/>
    <w:rsid w:val="48E218B5"/>
    <w:rsid w:val="48E90574"/>
    <w:rsid w:val="48F18679"/>
    <w:rsid w:val="48F7C6B5"/>
    <w:rsid w:val="48FC346C"/>
    <w:rsid w:val="48FF4A30"/>
    <w:rsid w:val="490686A1"/>
    <w:rsid w:val="490F9109"/>
    <w:rsid w:val="4913BE56"/>
    <w:rsid w:val="4916A9D8"/>
    <w:rsid w:val="49736BE2"/>
    <w:rsid w:val="4975E739"/>
    <w:rsid w:val="497A63D2"/>
    <w:rsid w:val="497A7D2E"/>
    <w:rsid w:val="497E3BAA"/>
    <w:rsid w:val="49814266"/>
    <w:rsid w:val="4981E3F8"/>
    <w:rsid w:val="4985E857"/>
    <w:rsid w:val="49861D50"/>
    <w:rsid w:val="498AF05C"/>
    <w:rsid w:val="499142E5"/>
    <w:rsid w:val="49997133"/>
    <w:rsid w:val="499E30E7"/>
    <w:rsid w:val="49A76977"/>
    <w:rsid w:val="49A96CD9"/>
    <w:rsid w:val="49B423C0"/>
    <w:rsid w:val="49BA2E2D"/>
    <w:rsid w:val="49C322F7"/>
    <w:rsid w:val="49D2B5C8"/>
    <w:rsid w:val="49D41499"/>
    <w:rsid w:val="49DAAC50"/>
    <w:rsid w:val="49E3D92F"/>
    <w:rsid w:val="49E48518"/>
    <w:rsid w:val="49EBD784"/>
    <w:rsid w:val="49ED3833"/>
    <w:rsid w:val="49EE0B2D"/>
    <w:rsid w:val="4A03DCB7"/>
    <w:rsid w:val="4A09EBB6"/>
    <w:rsid w:val="4A133EA8"/>
    <w:rsid w:val="4A1B1EB5"/>
    <w:rsid w:val="4A235B71"/>
    <w:rsid w:val="4A26C67C"/>
    <w:rsid w:val="4A2A4EC7"/>
    <w:rsid w:val="4A2CA1C4"/>
    <w:rsid w:val="4A3E33ED"/>
    <w:rsid w:val="4A4A6C9F"/>
    <w:rsid w:val="4A4D7EA7"/>
    <w:rsid w:val="4A4EA3B8"/>
    <w:rsid w:val="4A4EF8D0"/>
    <w:rsid w:val="4A596638"/>
    <w:rsid w:val="4A647DC9"/>
    <w:rsid w:val="4A6EC552"/>
    <w:rsid w:val="4A72C34F"/>
    <w:rsid w:val="4A731154"/>
    <w:rsid w:val="4A76D5AC"/>
    <w:rsid w:val="4A7795F9"/>
    <w:rsid w:val="4A7840E7"/>
    <w:rsid w:val="4A785052"/>
    <w:rsid w:val="4A7B3BA6"/>
    <w:rsid w:val="4A7ED6DE"/>
    <w:rsid w:val="4A8A571A"/>
    <w:rsid w:val="4A8B4060"/>
    <w:rsid w:val="4A9336C1"/>
    <w:rsid w:val="4A9AFED5"/>
    <w:rsid w:val="4AA4BB84"/>
    <w:rsid w:val="4AA9C3EE"/>
    <w:rsid w:val="4AB37B13"/>
    <w:rsid w:val="4ABFD687"/>
    <w:rsid w:val="4AC72001"/>
    <w:rsid w:val="4AD5D9CE"/>
    <w:rsid w:val="4ADF7E7C"/>
    <w:rsid w:val="4AF23182"/>
    <w:rsid w:val="4B18DE0F"/>
    <w:rsid w:val="4B1F2F98"/>
    <w:rsid w:val="4B23CAB9"/>
    <w:rsid w:val="4B285B0C"/>
    <w:rsid w:val="4B2E4AF5"/>
    <w:rsid w:val="4B321536"/>
    <w:rsid w:val="4B39642C"/>
    <w:rsid w:val="4B3DEC44"/>
    <w:rsid w:val="4B409358"/>
    <w:rsid w:val="4B434CC6"/>
    <w:rsid w:val="4B486757"/>
    <w:rsid w:val="4B5397A2"/>
    <w:rsid w:val="4B554A70"/>
    <w:rsid w:val="4B57757F"/>
    <w:rsid w:val="4B58DDD0"/>
    <w:rsid w:val="4B61F936"/>
    <w:rsid w:val="4B66E021"/>
    <w:rsid w:val="4B679E0C"/>
    <w:rsid w:val="4B67C645"/>
    <w:rsid w:val="4B7539AB"/>
    <w:rsid w:val="4B7A2847"/>
    <w:rsid w:val="4B7ABCBD"/>
    <w:rsid w:val="4B7B5E74"/>
    <w:rsid w:val="4B802B01"/>
    <w:rsid w:val="4B82925C"/>
    <w:rsid w:val="4B883157"/>
    <w:rsid w:val="4B8E4641"/>
    <w:rsid w:val="4B99C86F"/>
    <w:rsid w:val="4B9EA6DD"/>
    <w:rsid w:val="4B9FC4B2"/>
    <w:rsid w:val="4BBBDB87"/>
    <w:rsid w:val="4BBDB05A"/>
    <w:rsid w:val="4BC0C5C6"/>
    <w:rsid w:val="4BC623AF"/>
    <w:rsid w:val="4BC9A0DE"/>
    <w:rsid w:val="4BCFFE7C"/>
    <w:rsid w:val="4BD6B270"/>
    <w:rsid w:val="4BDB2B60"/>
    <w:rsid w:val="4BE482C2"/>
    <w:rsid w:val="4BF69F57"/>
    <w:rsid w:val="4C032873"/>
    <w:rsid w:val="4C0DE60D"/>
    <w:rsid w:val="4C1577BE"/>
    <w:rsid w:val="4C1B7F08"/>
    <w:rsid w:val="4C1BA95F"/>
    <w:rsid w:val="4C29011D"/>
    <w:rsid w:val="4C2D6DF2"/>
    <w:rsid w:val="4C2FB330"/>
    <w:rsid w:val="4C39C6AA"/>
    <w:rsid w:val="4C419692"/>
    <w:rsid w:val="4C56FEB7"/>
    <w:rsid w:val="4C61A6E2"/>
    <w:rsid w:val="4C665F98"/>
    <w:rsid w:val="4C75497A"/>
    <w:rsid w:val="4C86886C"/>
    <w:rsid w:val="4C881875"/>
    <w:rsid w:val="4C8B18B2"/>
    <w:rsid w:val="4C933C61"/>
    <w:rsid w:val="4C93796D"/>
    <w:rsid w:val="4C9573CC"/>
    <w:rsid w:val="4C958851"/>
    <w:rsid w:val="4C98DF19"/>
    <w:rsid w:val="4CABFA89"/>
    <w:rsid w:val="4CD97E83"/>
    <w:rsid w:val="4CDC9E2E"/>
    <w:rsid w:val="4CDECEF7"/>
    <w:rsid w:val="4CDF27BF"/>
    <w:rsid w:val="4CE0CD86"/>
    <w:rsid w:val="4CE2BDEE"/>
    <w:rsid w:val="4CE9F566"/>
    <w:rsid w:val="4CEB1BB2"/>
    <w:rsid w:val="4CEB7128"/>
    <w:rsid w:val="4D07AD86"/>
    <w:rsid w:val="4D0C8874"/>
    <w:rsid w:val="4D0E5050"/>
    <w:rsid w:val="4D0F6932"/>
    <w:rsid w:val="4D227E01"/>
    <w:rsid w:val="4D364A80"/>
    <w:rsid w:val="4D4F7728"/>
    <w:rsid w:val="4D599751"/>
    <w:rsid w:val="4D59C539"/>
    <w:rsid w:val="4D5C9C0A"/>
    <w:rsid w:val="4D5F36DB"/>
    <w:rsid w:val="4D69E7C3"/>
    <w:rsid w:val="4D7F76D9"/>
    <w:rsid w:val="4D843643"/>
    <w:rsid w:val="4D845FBF"/>
    <w:rsid w:val="4D893119"/>
    <w:rsid w:val="4D8D7605"/>
    <w:rsid w:val="4D8F5F3D"/>
    <w:rsid w:val="4D9001F7"/>
    <w:rsid w:val="4D92ADEE"/>
    <w:rsid w:val="4D961DB7"/>
    <w:rsid w:val="4DA506CB"/>
    <w:rsid w:val="4DA579CE"/>
    <w:rsid w:val="4DB6319D"/>
    <w:rsid w:val="4DD00776"/>
    <w:rsid w:val="4DD0297A"/>
    <w:rsid w:val="4DD0A9E8"/>
    <w:rsid w:val="4DD81EB6"/>
    <w:rsid w:val="4DD8F2F7"/>
    <w:rsid w:val="4DDFDACA"/>
    <w:rsid w:val="4DE18B3B"/>
    <w:rsid w:val="4DF2CF18"/>
    <w:rsid w:val="4E1542AB"/>
    <w:rsid w:val="4E1F4FB7"/>
    <w:rsid w:val="4E2B649D"/>
    <w:rsid w:val="4E3137B8"/>
    <w:rsid w:val="4E324E1E"/>
    <w:rsid w:val="4E3708DE"/>
    <w:rsid w:val="4E3A5204"/>
    <w:rsid w:val="4E3D73E5"/>
    <w:rsid w:val="4E4265E4"/>
    <w:rsid w:val="4E4A4BA8"/>
    <w:rsid w:val="4E4EE04D"/>
    <w:rsid w:val="4E5C8A00"/>
    <w:rsid w:val="4E5E9933"/>
    <w:rsid w:val="4E7292A4"/>
    <w:rsid w:val="4E74C24A"/>
    <w:rsid w:val="4E83A45C"/>
    <w:rsid w:val="4E84030E"/>
    <w:rsid w:val="4E8DD688"/>
    <w:rsid w:val="4E942F38"/>
    <w:rsid w:val="4E98F9FE"/>
    <w:rsid w:val="4EA586AF"/>
    <w:rsid w:val="4EA80ABE"/>
    <w:rsid w:val="4EA95763"/>
    <w:rsid w:val="4EB46BAE"/>
    <w:rsid w:val="4EB7EA14"/>
    <w:rsid w:val="4EBC782D"/>
    <w:rsid w:val="4EC0164D"/>
    <w:rsid w:val="4EC3E678"/>
    <w:rsid w:val="4EC8496E"/>
    <w:rsid w:val="4EC95AE4"/>
    <w:rsid w:val="4EDB9840"/>
    <w:rsid w:val="4EDBEAB0"/>
    <w:rsid w:val="4EEAB33D"/>
    <w:rsid w:val="4EED93D8"/>
    <w:rsid w:val="4EEDDE20"/>
    <w:rsid w:val="4EF42A16"/>
    <w:rsid w:val="4EF4B9C4"/>
    <w:rsid w:val="4EF77075"/>
    <w:rsid w:val="4EFE59A8"/>
    <w:rsid w:val="4EFF06A2"/>
    <w:rsid w:val="4F082DEF"/>
    <w:rsid w:val="4F09C1D2"/>
    <w:rsid w:val="4F0E3CAC"/>
    <w:rsid w:val="4F291308"/>
    <w:rsid w:val="4F334B1D"/>
    <w:rsid w:val="4F33C589"/>
    <w:rsid w:val="4F36BC4C"/>
    <w:rsid w:val="4F3BE82C"/>
    <w:rsid w:val="4F4654A3"/>
    <w:rsid w:val="4F467A98"/>
    <w:rsid w:val="4F493730"/>
    <w:rsid w:val="4F594F9F"/>
    <w:rsid w:val="4F59A1F8"/>
    <w:rsid w:val="4F600167"/>
    <w:rsid w:val="4F605178"/>
    <w:rsid w:val="4F6C22D3"/>
    <w:rsid w:val="4F746EDC"/>
    <w:rsid w:val="4F87C351"/>
    <w:rsid w:val="4F8C11A5"/>
    <w:rsid w:val="4F9618E4"/>
    <w:rsid w:val="4F99A439"/>
    <w:rsid w:val="4F9C72BC"/>
    <w:rsid w:val="4F9CEE70"/>
    <w:rsid w:val="4F9FFECF"/>
    <w:rsid w:val="4FA113A2"/>
    <w:rsid w:val="4FABC559"/>
    <w:rsid w:val="4FAC923D"/>
    <w:rsid w:val="4FB90E35"/>
    <w:rsid w:val="4FC08DA1"/>
    <w:rsid w:val="4FC7D114"/>
    <w:rsid w:val="4FC8BE85"/>
    <w:rsid w:val="4FCA0C3C"/>
    <w:rsid w:val="4FD93084"/>
    <w:rsid w:val="4FDCBFDC"/>
    <w:rsid w:val="4FDDB14E"/>
    <w:rsid w:val="4FE7DB18"/>
    <w:rsid w:val="4FECC76C"/>
    <w:rsid w:val="4FF0030D"/>
    <w:rsid w:val="4FF0FC73"/>
    <w:rsid w:val="4FF8B07C"/>
    <w:rsid w:val="500AFF5B"/>
    <w:rsid w:val="500DD44D"/>
    <w:rsid w:val="500FA742"/>
    <w:rsid w:val="50171B26"/>
    <w:rsid w:val="5018F298"/>
    <w:rsid w:val="501CC155"/>
    <w:rsid w:val="501F74BD"/>
    <w:rsid w:val="5028D80F"/>
    <w:rsid w:val="504A4CEA"/>
    <w:rsid w:val="504BBFB6"/>
    <w:rsid w:val="50528CFE"/>
    <w:rsid w:val="5053F2EC"/>
    <w:rsid w:val="505DC2E3"/>
    <w:rsid w:val="50645DBB"/>
    <w:rsid w:val="5065CBF0"/>
    <w:rsid w:val="50711630"/>
    <w:rsid w:val="5071D4EF"/>
    <w:rsid w:val="5083F2AB"/>
    <w:rsid w:val="508456C7"/>
    <w:rsid w:val="508FF671"/>
    <w:rsid w:val="5091D31F"/>
    <w:rsid w:val="50963DF0"/>
    <w:rsid w:val="50A4CA51"/>
    <w:rsid w:val="50A573D3"/>
    <w:rsid w:val="50B3381D"/>
    <w:rsid w:val="50B5EABD"/>
    <w:rsid w:val="50B6E5B1"/>
    <w:rsid w:val="50BE0CA1"/>
    <w:rsid w:val="50C48A21"/>
    <w:rsid w:val="50D03836"/>
    <w:rsid w:val="50D36D9E"/>
    <w:rsid w:val="50D81860"/>
    <w:rsid w:val="50DA0222"/>
    <w:rsid w:val="50DD66B4"/>
    <w:rsid w:val="50E0A05D"/>
    <w:rsid w:val="50F2E82E"/>
    <w:rsid w:val="50F6EDD5"/>
    <w:rsid w:val="50FBCA28"/>
    <w:rsid w:val="50FDEB4A"/>
    <w:rsid w:val="50FECEC2"/>
    <w:rsid w:val="51054798"/>
    <w:rsid w:val="5109BCFF"/>
    <w:rsid w:val="51196E2F"/>
    <w:rsid w:val="511CD76C"/>
    <w:rsid w:val="511F1355"/>
    <w:rsid w:val="51245B64"/>
    <w:rsid w:val="512804AB"/>
    <w:rsid w:val="512B47F1"/>
    <w:rsid w:val="512D3ABA"/>
    <w:rsid w:val="5130666D"/>
    <w:rsid w:val="5130EABE"/>
    <w:rsid w:val="513CB1F9"/>
    <w:rsid w:val="51416ACA"/>
    <w:rsid w:val="51646625"/>
    <w:rsid w:val="51663223"/>
    <w:rsid w:val="51691BC8"/>
    <w:rsid w:val="5171FE14"/>
    <w:rsid w:val="517EF2F5"/>
    <w:rsid w:val="51859CBD"/>
    <w:rsid w:val="518F5445"/>
    <w:rsid w:val="5196C12C"/>
    <w:rsid w:val="51A575F7"/>
    <w:rsid w:val="51B09BD7"/>
    <w:rsid w:val="51B16860"/>
    <w:rsid w:val="51B9E98B"/>
    <w:rsid w:val="51CFBBB5"/>
    <w:rsid w:val="51D65DB2"/>
    <w:rsid w:val="51EBDC73"/>
    <w:rsid w:val="51EF4ACC"/>
    <w:rsid w:val="51F19786"/>
    <w:rsid w:val="51F22769"/>
    <w:rsid w:val="51FA2447"/>
    <w:rsid w:val="5201841A"/>
    <w:rsid w:val="521B7A05"/>
    <w:rsid w:val="52228307"/>
    <w:rsid w:val="5224B4C1"/>
    <w:rsid w:val="52283B10"/>
    <w:rsid w:val="522E79BF"/>
    <w:rsid w:val="524AB6F5"/>
    <w:rsid w:val="5253E9D7"/>
    <w:rsid w:val="525D806D"/>
    <w:rsid w:val="52601950"/>
    <w:rsid w:val="5261A1A5"/>
    <w:rsid w:val="526846EA"/>
    <w:rsid w:val="526BFDBB"/>
    <w:rsid w:val="526DDC25"/>
    <w:rsid w:val="5274CB5A"/>
    <w:rsid w:val="527AE835"/>
    <w:rsid w:val="52825B65"/>
    <w:rsid w:val="529119DF"/>
    <w:rsid w:val="529E9501"/>
    <w:rsid w:val="52A16F66"/>
    <w:rsid w:val="52A51241"/>
    <w:rsid w:val="52A63497"/>
    <w:rsid w:val="52A8B27D"/>
    <w:rsid w:val="52AFDD49"/>
    <w:rsid w:val="52B5213E"/>
    <w:rsid w:val="52B82244"/>
    <w:rsid w:val="52BA8E25"/>
    <w:rsid w:val="52BFDE63"/>
    <w:rsid w:val="52C98022"/>
    <w:rsid w:val="52D2382D"/>
    <w:rsid w:val="52D3CFD1"/>
    <w:rsid w:val="52D60182"/>
    <w:rsid w:val="52DDF665"/>
    <w:rsid w:val="52E3DDD6"/>
    <w:rsid w:val="52E4B8BA"/>
    <w:rsid w:val="52EB3305"/>
    <w:rsid w:val="52ED9133"/>
    <w:rsid w:val="52EE60C3"/>
    <w:rsid w:val="52F1FD8D"/>
    <w:rsid w:val="52F8E726"/>
    <w:rsid w:val="5309328D"/>
    <w:rsid w:val="530A0469"/>
    <w:rsid w:val="531375EB"/>
    <w:rsid w:val="53278EEF"/>
    <w:rsid w:val="5327B428"/>
    <w:rsid w:val="53347A66"/>
    <w:rsid w:val="5340B72B"/>
    <w:rsid w:val="5354D7DE"/>
    <w:rsid w:val="53602FCD"/>
    <w:rsid w:val="5365CAA4"/>
    <w:rsid w:val="5366E6EC"/>
    <w:rsid w:val="53686D47"/>
    <w:rsid w:val="536C60AD"/>
    <w:rsid w:val="536E5721"/>
    <w:rsid w:val="536E63B0"/>
    <w:rsid w:val="537368AC"/>
    <w:rsid w:val="537E83AE"/>
    <w:rsid w:val="53826F05"/>
    <w:rsid w:val="538DAD6B"/>
    <w:rsid w:val="538DB28D"/>
    <w:rsid w:val="538ED9B3"/>
    <w:rsid w:val="538EDCAD"/>
    <w:rsid w:val="539F70CA"/>
    <w:rsid w:val="53A54CE2"/>
    <w:rsid w:val="53AB9D69"/>
    <w:rsid w:val="53B6EFBA"/>
    <w:rsid w:val="53B7980F"/>
    <w:rsid w:val="53BAB211"/>
    <w:rsid w:val="53D3C7F1"/>
    <w:rsid w:val="53DDB890"/>
    <w:rsid w:val="53DFB9D4"/>
    <w:rsid w:val="53E51F34"/>
    <w:rsid w:val="53F544CC"/>
    <w:rsid w:val="5403F49D"/>
    <w:rsid w:val="540A91C4"/>
    <w:rsid w:val="5414BA61"/>
    <w:rsid w:val="541E2CA1"/>
    <w:rsid w:val="54246F77"/>
    <w:rsid w:val="542875C5"/>
    <w:rsid w:val="542D0F98"/>
    <w:rsid w:val="54435827"/>
    <w:rsid w:val="544C30E2"/>
    <w:rsid w:val="5454CF76"/>
    <w:rsid w:val="5456D41A"/>
    <w:rsid w:val="545C64A2"/>
    <w:rsid w:val="5463FEAC"/>
    <w:rsid w:val="546E310B"/>
    <w:rsid w:val="54759735"/>
    <w:rsid w:val="547C6C0B"/>
    <w:rsid w:val="547FEE59"/>
    <w:rsid w:val="5489CD23"/>
    <w:rsid w:val="549290ED"/>
    <w:rsid w:val="549369F3"/>
    <w:rsid w:val="54983399"/>
    <w:rsid w:val="5499DF85"/>
    <w:rsid w:val="54A45914"/>
    <w:rsid w:val="54A4790C"/>
    <w:rsid w:val="54A5F878"/>
    <w:rsid w:val="54A75DF4"/>
    <w:rsid w:val="54B6D3EA"/>
    <w:rsid w:val="54B88EE5"/>
    <w:rsid w:val="54C5A629"/>
    <w:rsid w:val="54CEBFCC"/>
    <w:rsid w:val="54D39F15"/>
    <w:rsid w:val="54D72335"/>
    <w:rsid w:val="54D909EE"/>
    <w:rsid w:val="54E62286"/>
    <w:rsid w:val="54F878A5"/>
    <w:rsid w:val="54FB5B9E"/>
    <w:rsid w:val="54FFCB5A"/>
    <w:rsid w:val="550EB1BF"/>
    <w:rsid w:val="5519734B"/>
    <w:rsid w:val="551C26DE"/>
    <w:rsid w:val="55298FDA"/>
    <w:rsid w:val="552EE7C3"/>
    <w:rsid w:val="5537BFC5"/>
    <w:rsid w:val="553FEA1D"/>
    <w:rsid w:val="5544841F"/>
    <w:rsid w:val="5545595C"/>
    <w:rsid w:val="554576B5"/>
    <w:rsid w:val="55459669"/>
    <w:rsid w:val="55476D46"/>
    <w:rsid w:val="554E3642"/>
    <w:rsid w:val="555ED178"/>
    <w:rsid w:val="555EF3DE"/>
    <w:rsid w:val="55663B17"/>
    <w:rsid w:val="55666B3C"/>
    <w:rsid w:val="55877DC9"/>
    <w:rsid w:val="558978B0"/>
    <w:rsid w:val="55920A2D"/>
    <w:rsid w:val="5593EF6F"/>
    <w:rsid w:val="5593F2EC"/>
    <w:rsid w:val="5598A1B1"/>
    <w:rsid w:val="55A38161"/>
    <w:rsid w:val="55A52D08"/>
    <w:rsid w:val="55AB63D6"/>
    <w:rsid w:val="55B110A0"/>
    <w:rsid w:val="55B65535"/>
    <w:rsid w:val="55BE7C6A"/>
    <w:rsid w:val="55CC8AFF"/>
    <w:rsid w:val="55CDB347"/>
    <w:rsid w:val="55D1027F"/>
    <w:rsid w:val="55EED2C7"/>
    <w:rsid w:val="55F57C5A"/>
    <w:rsid w:val="55F8CF9D"/>
    <w:rsid w:val="5607F67C"/>
    <w:rsid w:val="560FBDF4"/>
    <w:rsid w:val="5610AE9F"/>
    <w:rsid w:val="561121EA"/>
    <w:rsid w:val="56156607"/>
    <w:rsid w:val="5626B8D4"/>
    <w:rsid w:val="5637750B"/>
    <w:rsid w:val="56384DFD"/>
    <w:rsid w:val="563E909F"/>
    <w:rsid w:val="5646074D"/>
    <w:rsid w:val="564B46C0"/>
    <w:rsid w:val="564C5131"/>
    <w:rsid w:val="565446BC"/>
    <w:rsid w:val="565C2FC2"/>
    <w:rsid w:val="566FD07B"/>
    <w:rsid w:val="56881591"/>
    <w:rsid w:val="569067FF"/>
    <w:rsid w:val="5692CAA8"/>
    <w:rsid w:val="5696033A"/>
    <w:rsid w:val="569D7A5B"/>
    <w:rsid w:val="56A0BA7B"/>
    <w:rsid w:val="56A21B93"/>
    <w:rsid w:val="56A670B7"/>
    <w:rsid w:val="56AE2CD4"/>
    <w:rsid w:val="56C4CD11"/>
    <w:rsid w:val="56C4CEB0"/>
    <w:rsid w:val="56C55883"/>
    <w:rsid w:val="56D00F95"/>
    <w:rsid w:val="56D36B93"/>
    <w:rsid w:val="56D8175C"/>
    <w:rsid w:val="56E8D209"/>
    <w:rsid w:val="56EEF51D"/>
    <w:rsid w:val="56F374AA"/>
    <w:rsid w:val="56FA469B"/>
    <w:rsid w:val="57008192"/>
    <w:rsid w:val="5709B16E"/>
    <w:rsid w:val="5709BF81"/>
    <w:rsid w:val="570B48E4"/>
    <w:rsid w:val="571244AA"/>
    <w:rsid w:val="5714E38E"/>
    <w:rsid w:val="5718C8FF"/>
    <w:rsid w:val="571B235C"/>
    <w:rsid w:val="571E94E2"/>
    <w:rsid w:val="5728A204"/>
    <w:rsid w:val="572B3CEB"/>
    <w:rsid w:val="573A32ED"/>
    <w:rsid w:val="573DD667"/>
    <w:rsid w:val="5743AAD1"/>
    <w:rsid w:val="5746832A"/>
    <w:rsid w:val="5748EDBD"/>
    <w:rsid w:val="574AF89C"/>
    <w:rsid w:val="57526371"/>
    <w:rsid w:val="57530549"/>
    <w:rsid w:val="575811E8"/>
    <w:rsid w:val="575E2573"/>
    <w:rsid w:val="576220A5"/>
    <w:rsid w:val="5770CEEF"/>
    <w:rsid w:val="57730B65"/>
    <w:rsid w:val="5777DAE6"/>
    <w:rsid w:val="57782C6B"/>
    <w:rsid w:val="577F982F"/>
    <w:rsid w:val="57866F2E"/>
    <w:rsid w:val="578E8FF7"/>
    <w:rsid w:val="579BCFBC"/>
    <w:rsid w:val="579CA3B3"/>
    <w:rsid w:val="57A10D0C"/>
    <w:rsid w:val="57A35229"/>
    <w:rsid w:val="57AC19EF"/>
    <w:rsid w:val="57B0B312"/>
    <w:rsid w:val="57B1802C"/>
    <w:rsid w:val="57B1FDEA"/>
    <w:rsid w:val="57B31140"/>
    <w:rsid w:val="57B6138A"/>
    <w:rsid w:val="57C88491"/>
    <w:rsid w:val="57CAA35A"/>
    <w:rsid w:val="57CB46B6"/>
    <w:rsid w:val="57D02732"/>
    <w:rsid w:val="57D4AEEB"/>
    <w:rsid w:val="57EF44E8"/>
    <w:rsid w:val="57F583DF"/>
    <w:rsid w:val="58003B2E"/>
    <w:rsid w:val="5809CF64"/>
    <w:rsid w:val="58197CD2"/>
    <w:rsid w:val="581AFEDF"/>
    <w:rsid w:val="5823F3CC"/>
    <w:rsid w:val="58255C7F"/>
    <w:rsid w:val="582A5B05"/>
    <w:rsid w:val="582D4073"/>
    <w:rsid w:val="582D5771"/>
    <w:rsid w:val="58304BB4"/>
    <w:rsid w:val="58307316"/>
    <w:rsid w:val="583A3F31"/>
    <w:rsid w:val="583CB9B2"/>
    <w:rsid w:val="5849399D"/>
    <w:rsid w:val="584953D5"/>
    <w:rsid w:val="584F70FB"/>
    <w:rsid w:val="5867BC61"/>
    <w:rsid w:val="586A565C"/>
    <w:rsid w:val="5874A357"/>
    <w:rsid w:val="587CF615"/>
    <w:rsid w:val="5880527E"/>
    <w:rsid w:val="5880A41F"/>
    <w:rsid w:val="588B5BFC"/>
    <w:rsid w:val="5890ECF8"/>
    <w:rsid w:val="58932F4A"/>
    <w:rsid w:val="589EB4F1"/>
    <w:rsid w:val="58A3F793"/>
    <w:rsid w:val="58A54854"/>
    <w:rsid w:val="58A7AEF6"/>
    <w:rsid w:val="58BEC634"/>
    <w:rsid w:val="58C4B278"/>
    <w:rsid w:val="58CD37AD"/>
    <w:rsid w:val="58CD50E0"/>
    <w:rsid w:val="58CEDAB8"/>
    <w:rsid w:val="58D352B1"/>
    <w:rsid w:val="58DDC1A4"/>
    <w:rsid w:val="58E21670"/>
    <w:rsid w:val="58E59CD9"/>
    <w:rsid w:val="58EE3BAA"/>
    <w:rsid w:val="58EFA4B7"/>
    <w:rsid w:val="58F06F82"/>
    <w:rsid w:val="58F615B3"/>
    <w:rsid w:val="58F9407E"/>
    <w:rsid w:val="590189EF"/>
    <w:rsid w:val="590763DF"/>
    <w:rsid w:val="5912A9AF"/>
    <w:rsid w:val="5916B15C"/>
    <w:rsid w:val="5919148E"/>
    <w:rsid w:val="591A7E90"/>
    <w:rsid w:val="591AA555"/>
    <w:rsid w:val="591F89C5"/>
    <w:rsid w:val="5926BB9E"/>
    <w:rsid w:val="59283404"/>
    <w:rsid w:val="5928C0BC"/>
    <w:rsid w:val="5929F26D"/>
    <w:rsid w:val="592B2B5A"/>
    <w:rsid w:val="592CD158"/>
    <w:rsid w:val="59319326"/>
    <w:rsid w:val="5932CDDD"/>
    <w:rsid w:val="593883F4"/>
    <w:rsid w:val="593F7214"/>
    <w:rsid w:val="594680BF"/>
    <w:rsid w:val="594F5602"/>
    <w:rsid w:val="594F6A64"/>
    <w:rsid w:val="594F7CC8"/>
    <w:rsid w:val="5950022F"/>
    <w:rsid w:val="5956DBB7"/>
    <w:rsid w:val="59590CDE"/>
    <w:rsid w:val="59592442"/>
    <w:rsid w:val="595C199A"/>
    <w:rsid w:val="596339C1"/>
    <w:rsid w:val="5966F92A"/>
    <w:rsid w:val="5974A365"/>
    <w:rsid w:val="5988EEA0"/>
    <w:rsid w:val="59893600"/>
    <w:rsid w:val="59979A50"/>
    <w:rsid w:val="599F9F5C"/>
    <w:rsid w:val="59ABD401"/>
    <w:rsid w:val="59B4FD3D"/>
    <w:rsid w:val="59BFB60D"/>
    <w:rsid w:val="59BFD562"/>
    <w:rsid w:val="59C81D32"/>
    <w:rsid w:val="59C8F158"/>
    <w:rsid w:val="59C9B51F"/>
    <w:rsid w:val="59CE9F4B"/>
    <w:rsid w:val="59D13E8D"/>
    <w:rsid w:val="59D60A0C"/>
    <w:rsid w:val="59D83727"/>
    <w:rsid w:val="5A007931"/>
    <w:rsid w:val="5A0A10D2"/>
    <w:rsid w:val="5A0BAF2D"/>
    <w:rsid w:val="5A152DB8"/>
    <w:rsid w:val="5A1758A1"/>
    <w:rsid w:val="5A1F0DED"/>
    <w:rsid w:val="5A2162B1"/>
    <w:rsid w:val="5A253F85"/>
    <w:rsid w:val="5A2CD167"/>
    <w:rsid w:val="5A330C0C"/>
    <w:rsid w:val="5A382B21"/>
    <w:rsid w:val="5A3C96A0"/>
    <w:rsid w:val="5A402254"/>
    <w:rsid w:val="5A411910"/>
    <w:rsid w:val="5A42AEA2"/>
    <w:rsid w:val="5A4694FB"/>
    <w:rsid w:val="5A55895C"/>
    <w:rsid w:val="5A5AC8BA"/>
    <w:rsid w:val="5A5E2C61"/>
    <w:rsid w:val="5A6237B0"/>
    <w:rsid w:val="5A62F016"/>
    <w:rsid w:val="5A685A9E"/>
    <w:rsid w:val="5A75D1E7"/>
    <w:rsid w:val="5A78CF9D"/>
    <w:rsid w:val="5A79C70D"/>
    <w:rsid w:val="5A7CEAAC"/>
    <w:rsid w:val="5A7F5462"/>
    <w:rsid w:val="5A8321B0"/>
    <w:rsid w:val="5A8682CE"/>
    <w:rsid w:val="5A9546EB"/>
    <w:rsid w:val="5A9BA0AB"/>
    <w:rsid w:val="5AAA63B9"/>
    <w:rsid w:val="5AB317B7"/>
    <w:rsid w:val="5AC4ACE4"/>
    <w:rsid w:val="5ACAB150"/>
    <w:rsid w:val="5ACF1954"/>
    <w:rsid w:val="5AD230CF"/>
    <w:rsid w:val="5ADBE275"/>
    <w:rsid w:val="5AEAC66C"/>
    <w:rsid w:val="5AFE1840"/>
    <w:rsid w:val="5B121662"/>
    <w:rsid w:val="5B129AE1"/>
    <w:rsid w:val="5B149D02"/>
    <w:rsid w:val="5B25E997"/>
    <w:rsid w:val="5B3CC0B8"/>
    <w:rsid w:val="5B48C984"/>
    <w:rsid w:val="5B4E5A25"/>
    <w:rsid w:val="5B59A87E"/>
    <w:rsid w:val="5B5AC460"/>
    <w:rsid w:val="5B637267"/>
    <w:rsid w:val="5B7AC340"/>
    <w:rsid w:val="5B7DA620"/>
    <w:rsid w:val="5B8407F4"/>
    <w:rsid w:val="5B8B930A"/>
    <w:rsid w:val="5B8BEF3F"/>
    <w:rsid w:val="5B8C010A"/>
    <w:rsid w:val="5B8F55EC"/>
    <w:rsid w:val="5B94392E"/>
    <w:rsid w:val="5B9C6555"/>
    <w:rsid w:val="5BB07347"/>
    <w:rsid w:val="5BB0BFEB"/>
    <w:rsid w:val="5BC58755"/>
    <w:rsid w:val="5BC72BDB"/>
    <w:rsid w:val="5BC9664D"/>
    <w:rsid w:val="5BCBA34D"/>
    <w:rsid w:val="5BEDAC55"/>
    <w:rsid w:val="5BF91CB3"/>
    <w:rsid w:val="5C017D39"/>
    <w:rsid w:val="5C033C9C"/>
    <w:rsid w:val="5C057FC7"/>
    <w:rsid w:val="5C0DC566"/>
    <w:rsid w:val="5C132D2C"/>
    <w:rsid w:val="5C183870"/>
    <w:rsid w:val="5C27BDE5"/>
    <w:rsid w:val="5C2DD279"/>
    <w:rsid w:val="5C32B108"/>
    <w:rsid w:val="5C3A29EE"/>
    <w:rsid w:val="5C3CB28B"/>
    <w:rsid w:val="5C4590FE"/>
    <w:rsid w:val="5C50C6C1"/>
    <w:rsid w:val="5C578B33"/>
    <w:rsid w:val="5C5C7996"/>
    <w:rsid w:val="5C645276"/>
    <w:rsid w:val="5C9974BE"/>
    <w:rsid w:val="5C9C5AC7"/>
    <w:rsid w:val="5CAC9767"/>
    <w:rsid w:val="5CBD9B05"/>
    <w:rsid w:val="5CCD841B"/>
    <w:rsid w:val="5CE29194"/>
    <w:rsid w:val="5CE9D752"/>
    <w:rsid w:val="5CF31235"/>
    <w:rsid w:val="5CF33437"/>
    <w:rsid w:val="5CFB02BA"/>
    <w:rsid w:val="5CFB7572"/>
    <w:rsid w:val="5D040E7E"/>
    <w:rsid w:val="5D0847E2"/>
    <w:rsid w:val="5D0DF800"/>
    <w:rsid w:val="5D0F9911"/>
    <w:rsid w:val="5D118250"/>
    <w:rsid w:val="5D1E9BC1"/>
    <w:rsid w:val="5D1ECF9C"/>
    <w:rsid w:val="5D255928"/>
    <w:rsid w:val="5D2F4B65"/>
    <w:rsid w:val="5D31F04B"/>
    <w:rsid w:val="5D43DAF1"/>
    <w:rsid w:val="5D4F8AF7"/>
    <w:rsid w:val="5D553C88"/>
    <w:rsid w:val="5D5783D0"/>
    <w:rsid w:val="5D77E65E"/>
    <w:rsid w:val="5D79E2DE"/>
    <w:rsid w:val="5D7CEB3E"/>
    <w:rsid w:val="5D831E7F"/>
    <w:rsid w:val="5D9D7332"/>
    <w:rsid w:val="5D9E62C4"/>
    <w:rsid w:val="5DA06AB6"/>
    <w:rsid w:val="5DAA9E4A"/>
    <w:rsid w:val="5DC217AA"/>
    <w:rsid w:val="5DD1D684"/>
    <w:rsid w:val="5DE01E1C"/>
    <w:rsid w:val="5DEE12D7"/>
    <w:rsid w:val="5DF5D3DC"/>
    <w:rsid w:val="5DF7DE7D"/>
    <w:rsid w:val="5E043778"/>
    <w:rsid w:val="5E089CC1"/>
    <w:rsid w:val="5E13A8F5"/>
    <w:rsid w:val="5E14A7A9"/>
    <w:rsid w:val="5E1BA833"/>
    <w:rsid w:val="5E1E292B"/>
    <w:rsid w:val="5E224F7D"/>
    <w:rsid w:val="5E2A22DA"/>
    <w:rsid w:val="5E331A41"/>
    <w:rsid w:val="5E358871"/>
    <w:rsid w:val="5E3916BD"/>
    <w:rsid w:val="5E3BD73F"/>
    <w:rsid w:val="5E47ED39"/>
    <w:rsid w:val="5E49233C"/>
    <w:rsid w:val="5E4D47E3"/>
    <w:rsid w:val="5E59ACBF"/>
    <w:rsid w:val="5E59B3AA"/>
    <w:rsid w:val="5E63FFF5"/>
    <w:rsid w:val="5E6B8EF9"/>
    <w:rsid w:val="5E6EDB80"/>
    <w:rsid w:val="5E72AE49"/>
    <w:rsid w:val="5E7ADB5F"/>
    <w:rsid w:val="5E7D1F10"/>
    <w:rsid w:val="5E7D3B32"/>
    <w:rsid w:val="5E812C51"/>
    <w:rsid w:val="5E8134E3"/>
    <w:rsid w:val="5E832112"/>
    <w:rsid w:val="5E84E92F"/>
    <w:rsid w:val="5E893122"/>
    <w:rsid w:val="5E95DA22"/>
    <w:rsid w:val="5E97C640"/>
    <w:rsid w:val="5E97D690"/>
    <w:rsid w:val="5E986536"/>
    <w:rsid w:val="5EB52D91"/>
    <w:rsid w:val="5EC46B72"/>
    <w:rsid w:val="5EC6802A"/>
    <w:rsid w:val="5EDDB0E8"/>
    <w:rsid w:val="5EDE78F3"/>
    <w:rsid w:val="5EEDF67D"/>
    <w:rsid w:val="5EF45E88"/>
    <w:rsid w:val="5EFF682D"/>
    <w:rsid w:val="5F027456"/>
    <w:rsid w:val="5F0690D0"/>
    <w:rsid w:val="5F0EE581"/>
    <w:rsid w:val="5F103797"/>
    <w:rsid w:val="5F1396F6"/>
    <w:rsid w:val="5F14F8C0"/>
    <w:rsid w:val="5F18CA1D"/>
    <w:rsid w:val="5F18DEB9"/>
    <w:rsid w:val="5F19CB2B"/>
    <w:rsid w:val="5F1BB93C"/>
    <w:rsid w:val="5F1BE0B9"/>
    <w:rsid w:val="5F22F1AC"/>
    <w:rsid w:val="5F352E44"/>
    <w:rsid w:val="5F3EE7DF"/>
    <w:rsid w:val="5F4605D2"/>
    <w:rsid w:val="5F492C42"/>
    <w:rsid w:val="5F49ED26"/>
    <w:rsid w:val="5F4AEB86"/>
    <w:rsid w:val="5F4F40B2"/>
    <w:rsid w:val="5F60C0D9"/>
    <w:rsid w:val="5F64304A"/>
    <w:rsid w:val="5F6DD84F"/>
    <w:rsid w:val="5F76D3BC"/>
    <w:rsid w:val="5F837284"/>
    <w:rsid w:val="5F95F730"/>
    <w:rsid w:val="5F99856A"/>
    <w:rsid w:val="5F9B7F90"/>
    <w:rsid w:val="5F9E6683"/>
    <w:rsid w:val="5FA16BAF"/>
    <w:rsid w:val="5FACC679"/>
    <w:rsid w:val="5FB0B427"/>
    <w:rsid w:val="5FB27E6F"/>
    <w:rsid w:val="5FC443FF"/>
    <w:rsid w:val="5FC7E826"/>
    <w:rsid w:val="5FCAF8A8"/>
    <w:rsid w:val="5FCE9488"/>
    <w:rsid w:val="5FD0553E"/>
    <w:rsid w:val="5FD204B6"/>
    <w:rsid w:val="5FD5BE69"/>
    <w:rsid w:val="5FDA16C6"/>
    <w:rsid w:val="5FDACAC0"/>
    <w:rsid w:val="5FDE840B"/>
    <w:rsid w:val="5FE249A4"/>
    <w:rsid w:val="5FFA8C95"/>
    <w:rsid w:val="5FFE25F1"/>
    <w:rsid w:val="6005C362"/>
    <w:rsid w:val="600AD8BC"/>
    <w:rsid w:val="6011FCB3"/>
    <w:rsid w:val="6025735F"/>
    <w:rsid w:val="60292F73"/>
    <w:rsid w:val="6034CF65"/>
    <w:rsid w:val="603641FE"/>
    <w:rsid w:val="603FBAEC"/>
    <w:rsid w:val="60469A12"/>
    <w:rsid w:val="6046DCCD"/>
    <w:rsid w:val="60515785"/>
    <w:rsid w:val="606373C9"/>
    <w:rsid w:val="6065BBDB"/>
    <w:rsid w:val="60680572"/>
    <w:rsid w:val="60704090"/>
    <w:rsid w:val="607115AD"/>
    <w:rsid w:val="60736372"/>
    <w:rsid w:val="60740FAA"/>
    <w:rsid w:val="6079C0E0"/>
    <w:rsid w:val="607B728E"/>
    <w:rsid w:val="607E84BF"/>
    <w:rsid w:val="60805032"/>
    <w:rsid w:val="6088389A"/>
    <w:rsid w:val="608B3445"/>
    <w:rsid w:val="608C0FF0"/>
    <w:rsid w:val="608F03B6"/>
    <w:rsid w:val="609843AD"/>
    <w:rsid w:val="60988E70"/>
    <w:rsid w:val="609C8B38"/>
    <w:rsid w:val="60A3FECB"/>
    <w:rsid w:val="60A7B1D8"/>
    <w:rsid w:val="60A96550"/>
    <w:rsid w:val="60A97547"/>
    <w:rsid w:val="60AC4743"/>
    <w:rsid w:val="60B45F4F"/>
    <w:rsid w:val="60BA54EB"/>
    <w:rsid w:val="60C2DFBC"/>
    <w:rsid w:val="60D353A6"/>
    <w:rsid w:val="60E4C14F"/>
    <w:rsid w:val="60EE05D9"/>
    <w:rsid w:val="60F6D849"/>
    <w:rsid w:val="6109A8F3"/>
    <w:rsid w:val="61145790"/>
    <w:rsid w:val="611B1ABC"/>
    <w:rsid w:val="612B829D"/>
    <w:rsid w:val="612E0431"/>
    <w:rsid w:val="6147714A"/>
    <w:rsid w:val="614A7F52"/>
    <w:rsid w:val="61507364"/>
    <w:rsid w:val="615C78BF"/>
    <w:rsid w:val="61604E4D"/>
    <w:rsid w:val="616460ED"/>
    <w:rsid w:val="61647B52"/>
    <w:rsid w:val="6168C138"/>
    <w:rsid w:val="616A5109"/>
    <w:rsid w:val="616C2F9C"/>
    <w:rsid w:val="616F2E1D"/>
    <w:rsid w:val="618606F7"/>
    <w:rsid w:val="61861727"/>
    <w:rsid w:val="61912296"/>
    <w:rsid w:val="61A4A8AB"/>
    <w:rsid w:val="61A51C16"/>
    <w:rsid w:val="61A55E40"/>
    <w:rsid w:val="61A6A91D"/>
    <w:rsid w:val="61A99896"/>
    <w:rsid w:val="61B6F243"/>
    <w:rsid w:val="61C4F2A4"/>
    <w:rsid w:val="61CBB916"/>
    <w:rsid w:val="61CEF553"/>
    <w:rsid w:val="61CF23EA"/>
    <w:rsid w:val="61CF7F5F"/>
    <w:rsid w:val="61E119F0"/>
    <w:rsid w:val="61E2C5D2"/>
    <w:rsid w:val="61EAD8E2"/>
    <w:rsid w:val="61EBBE7E"/>
    <w:rsid w:val="61ED3482"/>
    <w:rsid w:val="61F47CF9"/>
    <w:rsid w:val="61F8D308"/>
    <w:rsid w:val="61FEBD0F"/>
    <w:rsid w:val="62036930"/>
    <w:rsid w:val="620EE833"/>
    <w:rsid w:val="6214EB95"/>
    <w:rsid w:val="6217F770"/>
    <w:rsid w:val="621F5D95"/>
    <w:rsid w:val="6223EB29"/>
    <w:rsid w:val="6224AF9A"/>
    <w:rsid w:val="62276ADE"/>
    <w:rsid w:val="622BF920"/>
    <w:rsid w:val="622C80CE"/>
    <w:rsid w:val="623232AE"/>
    <w:rsid w:val="6232EFBE"/>
    <w:rsid w:val="6238E5C3"/>
    <w:rsid w:val="623B12CF"/>
    <w:rsid w:val="6246183A"/>
    <w:rsid w:val="624C127F"/>
    <w:rsid w:val="625DD395"/>
    <w:rsid w:val="62693BD4"/>
    <w:rsid w:val="627418C5"/>
    <w:rsid w:val="628172E1"/>
    <w:rsid w:val="628FB0FE"/>
    <w:rsid w:val="62908CB1"/>
    <w:rsid w:val="629920F3"/>
    <w:rsid w:val="62A2168B"/>
    <w:rsid w:val="62AA0E0E"/>
    <w:rsid w:val="62AC6374"/>
    <w:rsid w:val="62BA56DD"/>
    <w:rsid w:val="62CA0BBF"/>
    <w:rsid w:val="62E27320"/>
    <w:rsid w:val="62EB17E5"/>
    <w:rsid w:val="62F400C6"/>
    <w:rsid w:val="6309C4B7"/>
    <w:rsid w:val="63128E44"/>
    <w:rsid w:val="631E5590"/>
    <w:rsid w:val="6323B4C0"/>
    <w:rsid w:val="633672AE"/>
    <w:rsid w:val="6350F2EB"/>
    <w:rsid w:val="6352CCE6"/>
    <w:rsid w:val="635616F6"/>
    <w:rsid w:val="6357CF92"/>
    <w:rsid w:val="63706739"/>
    <w:rsid w:val="637B8E78"/>
    <w:rsid w:val="637FD41A"/>
    <w:rsid w:val="639493E5"/>
    <w:rsid w:val="63971A35"/>
    <w:rsid w:val="639873B9"/>
    <w:rsid w:val="639D2EC8"/>
    <w:rsid w:val="63A31D17"/>
    <w:rsid w:val="63AA85C4"/>
    <w:rsid w:val="63AD527A"/>
    <w:rsid w:val="63B01A53"/>
    <w:rsid w:val="63B18750"/>
    <w:rsid w:val="63C4F4E8"/>
    <w:rsid w:val="63C8E945"/>
    <w:rsid w:val="63C998F5"/>
    <w:rsid w:val="63D498BB"/>
    <w:rsid w:val="63D76503"/>
    <w:rsid w:val="63E109F8"/>
    <w:rsid w:val="63E90A33"/>
    <w:rsid w:val="63FF002E"/>
    <w:rsid w:val="64057CE1"/>
    <w:rsid w:val="640C9B0C"/>
    <w:rsid w:val="6415BC67"/>
    <w:rsid w:val="641AA9F9"/>
    <w:rsid w:val="641DC014"/>
    <w:rsid w:val="64379527"/>
    <w:rsid w:val="6439BDE6"/>
    <w:rsid w:val="643DBF3A"/>
    <w:rsid w:val="6442F1DC"/>
    <w:rsid w:val="644523B3"/>
    <w:rsid w:val="6452E53A"/>
    <w:rsid w:val="64567906"/>
    <w:rsid w:val="645AC25C"/>
    <w:rsid w:val="6464AC9B"/>
    <w:rsid w:val="6467B129"/>
    <w:rsid w:val="6468F170"/>
    <w:rsid w:val="646C1ACD"/>
    <w:rsid w:val="646F5A61"/>
    <w:rsid w:val="6470D552"/>
    <w:rsid w:val="647139F9"/>
    <w:rsid w:val="6474663D"/>
    <w:rsid w:val="6476DE0B"/>
    <w:rsid w:val="64787230"/>
    <w:rsid w:val="648A7491"/>
    <w:rsid w:val="648B73D5"/>
    <w:rsid w:val="64BBC981"/>
    <w:rsid w:val="64BBCA84"/>
    <w:rsid w:val="64C06BD5"/>
    <w:rsid w:val="64C9F03C"/>
    <w:rsid w:val="64CC9944"/>
    <w:rsid w:val="64D1A3FB"/>
    <w:rsid w:val="64E4695A"/>
    <w:rsid w:val="64E787A2"/>
    <w:rsid w:val="64E7D9B1"/>
    <w:rsid w:val="64EEC382"/>
    <w:rsid w:val="64F8AE4C"/>
    <w:rsid w:val="64F8E430"/>
    <w:rsid w:val="64FD4905"/>
    <w:rsid w:val="64FDFD17"/>
    <w:rsid w:val="650BAF18"/>
    <w:rsid w:val="650C8F15"/>
    <w:rsid w:val="650F907B"/>
    <w:rsid w:val="6515B91C"/>
    <w:rsid w:val="651A7097"/>
    <w:rsid w:val="651ED24D"/>
    <w:rsid w:val="652209D0"/>
    <w:rsid w:val="652CBCBE"/>
    <w:rsid w:val="653023C7"/>
    <w:rsid w:val="653BA16A"/>
    <w:rsid w:val="654BFCCD"/>
    <w:rsid w:val="656D82EC"/>
    <w:rsid w:val="657EF2BF"/>
    <w:rsid w:val="65807598"/>
    <w:rsid w:val="65AA1FA3"/>
    <w:rsid w:val="65D8E426"/>
    <w:rsid w:val="65DA1CA8"/>
    <w:rsid w:val="65EA5F29"/>
    <w:rsid w:val="65EDADC3"/>
    <w:rsid w:val="65EDBBDA"/>
    <w:rsid w:val="65EF076F"/>
    <w:rsid w:val="65F0146B"/>
    <w:rsid w:val="65F3ADE4"/>
    <w:rsid w:val="65FF6E24"/>
    <w:rsid w:val="660116FE"/>
    <w:rsid w:val="66057CC6"/>
    <w:rsid w:val="6605A8F7"/>
    <w:rsid w:val="660B4EF9"/>
    <w:rsid w:val="6614EA28"/>
    <w:rsid w:val="6617A207"/>
    <w:rsid w:val="661E50C4"/>
    <w:rsid w:val="66231CCC"/>
    <w:rsid w:val="6629E8B1"/>
    <w:rsid w:val="66317569"/>
    <w:rsid w:val="663AFFDD"/>
    <w:rsid w:val="663D33C2"/>
    <w:rsid w:val="663EFD58"/>
    <w:rsid w:val="6640B1CA"/>
    <w:rsid w:val="664DD298"/>
    <w:rsid w:val="66503E55"/>
    <w:rsid w:val="6650DA49"/>
    <w:rsid w:val="665608EB"/>
    <w:rsid w:val="66598DFC"/>
    <w:rsid w:val="665B606F"/>
    <w:rsid w:val="665BE7D9"/>
    <w:rsid w:val="665C1681"/>
    <w:rsid w:val="665E63DE"/>
    <w:rsid w:val="666B16AA"/>
    <w:rsid w:val="667A1A40"/>
    <w:rsid w:val="66866B04"/>
    <w:rsid w:val="668A6DFE"/>
    <w:rsid w:val="669723BC"/>
    <w:rsid w:val="66A2A9A9"/>
    <w:rsid w:val="66AEA5E3"/>
    <w:rsid w:val="66B21171"/>
    <w:rsid w:val="66BA258F"/>
    <w:rsid w:val="66BA6FC2"/>
    <w:rsid w:val="66BF0FC7"/>
    <w:rsid w:val="66C1B1C4"/>
    <w:rsid w:val="66C558F3"/>
    <w:rsid w:val="66C8B865"/>
    <w:rsid w:val="66CA3358"/>
    <w:rsid w:val="66D98E8A"/>
    <w:rsid w:val="66E2DBEB"/>
    <w:rsid w:val="66F3C870"/>
    <w:rsid w:val="671357D7"/>
    <w:rsid w:val="671668FD"/>
    <w:rsid w:val="67173323"/>
    <w:rsid w:val="6720726A"/>
    <w:rsid w:val="672BB863"/>
    <w:rsid w:val="673448DC"/>
    <w:rsid w:val="6735C317"/>
    <w:rsid w:val="67368037"/>
    <w:rsid w:val="674E7237"/>
    <w:rsid w:val="6750B3F4"/>
    <w:rsid w:val="675799C8"/>
    <w:rsid w:val="675CF490"/>
    <w:rsid w:val="676E635D"/>
    <w:rsid w:val="6779FD7D"/>
    <w:rsid w:val="677B7128"/>
    <w:rsid w:val="677E89AC"/>
    <w:rsid w:val="678099F0"/>
    <w:rsid w:val="678716CD"/>
    <w:rsid w:val="678B84E4"/>
    <w:rsid w:val="678E4EE6"/>
    <w:rsid w:val="6791914A"/>
    <w:rsid w:val="679994AB"/>
    <w:rsid w:val="679F5001"/>
    <w:rsid w:val="67A69E35"/>
    <w:rsid w:val="67A780E7"/>
    <w:rsid w:val="67A857BB"/>
    <w:rsid w:val="67AA8CEB"/>
    <w:rsid w:val="67AAE6A4"/>
    <w:rsid w:val="67B0A03E"/>
    <w:rsid w:val="67B9126F"/>
    <w:rsid w:val="67C19F0E"/>
    <w:rsid w:val="67D3DE48"/>
    <w:rsid w:val="67DF1E33"/>
    <w:rsid w:val="67E6FB58"/>
    <w:rsid w:val="67ED4078"/>
    <w:rsid w:val="67FCC995"/>
    <w:rsid w:val="680369D2"/>
    <w:rsid w:val="680C6CFE"/>
    <w:rsid w:val="680EDF8D"/>
    <w:rsid w:val="6820BB4F"/>
    <w:rsid w:val="682BD0F7"/>
    <w:rsid w:val="682DC2D5"/>
    <w:rsid w:val="682DFBCB"/>
    <w:rsid w:val="68325D94"/>
    <w:rsid w:val="68436470"/>
    <w:rsid w:val="6848BB6B"/>
    <w:rsid w:val="6850D8E1"/>
    <w:rsid w:val="68584A86"/>
    <w:rsid w:val="685B4C45"/>
    <w:rsid w:val="68621D80"/>
    <w:rsid w:val="6867BE39"/>
    <w:rsid w:val="686AE3C8"/>
    <w:rsid w:val="687214EA"/>
    <w:rsid w:val="68734E34"/>
    <w:rsid w:val="68859C15"/>
    <w:rsid w:val="688A8B81"/>
    <w:rsid w:val="6892E1FD"/>
    <w:rsid w:val="68A16779"/>
    <w:rsid w:val="68AD6D28"/>
    <w:rsid w:val="68AE7B2B"/>
    <w:rsid w:val="68B399C2"/>
    <w:rsid w:val="68B3ED28"/>
    <w:rsid w:val="68BDD776"/>
    <w:rsid w:val="68C9AFCB"/>
    <w:rsid w:val="68CD2800"/>
    <w:rsid w:val="68EC62FA"/>
    <w:rsid w:val="68F35498"/>
    <w:rsid w:val="68F44813"/>
    <w:rsid w:val="68FA8514"/>
    <w:rsid w:val="69031249"/>
    <w:rsid w:val="690AC2B3"/>
    <w:rsid w:val="691AB3D5"/>
    <w:rsid w:val="691B2FA7"/>
    <w:rsid w:val="691E4624"/>
    <w:rsid w:val="6922BC0B"/>
    <w:rsid w:val="693F7DF1"/>
    <w:rsid w:val="6949A281"/>
    <w:rsid w:val="694AFB40"/>
    <w:rsid w:val="694DD4C9"/>
    <w:rsid w:val="6955DE35"/>
    <w:rsid w:val="6957819F"/>
    <w:rsid w:val="69604E6F"/>
    <w:rsid w:val="6962564B"/>
    <w:rsid w:val="696CF1E4"/>
    <w:rsid w:val="697CB568"/>
    <w:rsid w:val="69902D57"/>
    <w:rsid w:val="69A1AA5B"/>
    <w:rsid w:val="69A1CE49"/>
    <w:rsid w:val="69AB60AC"/>
    <w:rsid w:val="69AF66E0"/>
    <w:rsid w:val="69AF6E50"/>
    <w:rsid w:val="69B1FAF3"/>
    <w:rsid w:val="69B2D44E"/>
    <w:rsid w:val="69C2B396"/>
    <w:rsid w:val="69C631CE"/>
    <w:rsid w:val="69E961D6"/>
    <w:rsid w:val="69EA4ACE"/>
    <w:rsid w:val="69F20188"/>
    <w:rsid w:val="69FB5571"/>
    <w:rsid w:val="6A002D30"/>
    <w:rsid w:val="6A0293CD"/>
    <w:rsid w:val="6A063724"/>
    <w:rsid w:val="6A17B730"/>
    <w:rsid w:val="6A18F3B4"/>
    <w:rsid w:val="6A1921FF"/>
    <w:rsid w:val="6A433759"/>
    <w:rsid w:val="6A473213"/>
    <w:rsid w:val="6A49EB17"/>
    <w:rsid w:val="6A67B84F"/>
    <w:rsid w:val="6A6EA531"/>
    <w:rsid w:val="6A8069AE"/>
    <w:rsid w:val="6A8192B4"/>
    <w:rsid w:val="6A90FB7F"/>
    <w:rsid w:val="6A95E05C"/>
    <w:rsid w:val="6A99A857"/>
    <w:rsid w:val="6A9D3983"/>
    <w:rsid w:val="6AB1D649"/>
    <w:rsid w:val="6AD6FA05"/>
    <w:rsid w:val="6ADB8556"/>
    <w:rsid w:val="6ADEABF6"/>
    <w:rsid w:val="6AE04FC3"/>
    <w:rsid w:val="6AE1F60D"/>
    <w:rsid w:val="6AED4C6E"/>
    <w:rsid w:val="6AEF55A6"/>
    <w:rsid w:val="6AF01FE4"/>
    <w:rsid w:val="6AF7AB9C"/>
    <w:rsid w:val="6AFF2BB6"/>
    <w:rsid w:val="6B0477CC"/>
    <w:rsid w:val="6B05554B"/>
    <w:rsid w:val="6B1CDDF9"/>
    <w:rsid w:val="6B21EF3B"/>
    <w:rsid w:val="6B317917"/>
    <w:rsid w:val="6B395324"/>
    <w:rsid w:val="6B4319A2"/>
    <w:rsid w:val="6B509BEE"/>
    <w:rsid w:val="6B533408"/>
    <w:rsid w:val="6B543AF3"/>
    <w:rsid w:val="6B54C13B"/>
    <w:rsid w:val="6B6FD802"/>
    <w:rsid w:val="6B74D35D"/>
    <w:rsid w:val="6B8DCA15"/>
    <w:rsid w:val="6B9144D2"/>
    <w:rsid w:val="6B9403F7"/>
    <w:rsid w:val="6B9B009C"/>
    <w:rsid w:val="6BA279FF"/>
    <w:rsid w:val="6BAD4CD6"/>
    <w:rsid w:val="6BB4FA88"/>
    <w:rsid w:val="6BCD1078"/>
    <w:rsid w:val="6BCD84DA"/>
    <w:rsid w:val="6BEC4EBB"/>
    <w:rsid w:val="6BF1E610"/>
    <w:rsid w:val="6BF3EA3C"/>
    <w:rsid w:val="6BF9B5B1"/>
    <w:rsid w:val="6BFB704E"/>
    <w:rsid w:val="6BFF964E"/>
    <w:rsid w:val="6C00377D"/>
    <w:rsid w:val="6C045A1D"/>
    <w:rsid w:val="6C1559CA"/>
    <w:rsid w:val="6C1640DE"/>
    <w:rsid w:val="6C1D60CF"/>
    <w:rsid w:val="6C218AA1"/>
    <w:rsid w:val="6C2D8A8B"/>
    <w:rsid w:val="6C37AF28"/>
    <w:rsid w:val="6C39B680"/>
    <w:rsid w:val="6C3CE0E2"/>
    <w:rsid w:val="6C406891"/>
    <w:rsid w:val="6C4839D9"/>
    <w:rsid w:val="6C4ECB2C"/>
    <w:rsid w:val="6C584D1C"/>
    <w:rsid w:val="6C5957B1"/>
    <w:rsid w:val="6C59D8C7"/>
    <w:rsid w:val="6C6328D2"/>
    <w:rsid w:val="6C72B333"/>
    <w:rsid w:val="6C7A0D62"/>
    <w:rsid w:val="6C7DE084"/>
    <w:rsid w:val="6C881DAE"/>
    <w:rsid w:val="6C94B7C7"/>
    <w:rsid w:val="6C9B2084"/>
    <w:rsid w:val="6C9B2B66"/>
    <w:rsid w:val="6C9C16B7"/>
    <w:rsid w:val="6CA1F993"/>
    <w:rsid w:val="6CA8D04C"/>
    <w:rsid w:val="6CAC851C"/>
    <w:rsid w:val="6CBF4EAC"/>
    <w:rsid w:val="6CC271BD"/>
    <w:rsid w:val="6CC63A97"/>
    <w:rsid w:val="6CCA2760"/>
    <w:rsid w:val="6CD3D3ED"/>
    <w:rsid w:val="6CFA3EB9"/>
    <w:rsid w:val="6CFAA8A8"/>
    <w:rsid w:val="6D13780E"/>
    <w:rsid w:val="6D165124"/>
    <w:rsid w:val="6D16E620"/>
    <w:rsid w:val="6D2852A9"/>
    <w:rsid w:val="6D351AB6"/>
    <w:rsid w:val="6D444DA5"/>
    <w:rsid w:val="6D45BCCC"/>
    <w:rsid w:val="6D46B468"/>
    <w:rsid w:val="6D59D0CA"/>
    <w:rsid w:val="6D68F103"/>
    <w:rsid w:val="6D700156"/>
    <w:rsid w:val="6D73A791"/>
    <w:rsid w:val="6D7D8EFD"/>
    <w:rsid w:val="6D806D64"/>
    <w:rsid w:val="6D813B63"/>
    <w:rsid w:val="6D81A1FE"/>
    <w:rsid w:val="6D83828C"/>
    <w:rsid w:val="6D8AEB88"/>
    <w:rsid w:val="6D8BC066"/>
    <w:rsid w:val="6D9F56A7"/>
    <w:rsid w:val="6DACD9CD"/>
    <w:rsid w:val="6DAD4B81"/>
    <w:rsid w:val="6DB54DC1"/>
    <w:rsid w:val="6DB89B5A"/>
    <w:rsid w:val="6DC871EA"/>
    <w:rsid w:val="6DCA7E68"/>
    <w:rsid w:val="6DD3E5CD"/>
    <w:rsid w:val="6DD7CF02"/>
    <w:rsid w:val="6DE7A913"/>
    <w:rsid w:val="6DEDF31D"/>
    <w:rsid w:val="6DEF4297"/>
    <w:rsid w:val="6DEF754B"/>
    <w:rsid w:val="6E057824"/>
    <w:rsid w:val="6E12C391"/>
    <w:rsid w:val="6E12D986"/>
    <w:rsid w:val="6E165F86"/>
    <w:rsid w:val="6E20ABD8"/>
    <w:rsid w:val="6E2C18E2"/>
    <w:rsid w:val="6E36037E"/>
    <w:rsid w:val="6E3924D7"/>
    <w:rsid w:val="6E435AFC"/>
    <w:rsid w:val="6E48B1D9"/>
    <w:rsid w:val="6E4DD095"/>
    <w:rsid w:val="6E54D31F"/>
    <w:rsid w:val="6E558306"/>
    <w:rsid w:val="6E6B1A52"/>
    <w:rsid w:val="6E6D7E3C"/>
    <w:rsid w:val="6E70AA46"/>
    <w:rsid w:val="6E785C20"/>
    <w:rsid w:val="6E79175A"/>
    <w:rsid w:val="6E86DC4B"/>
    <w:rsid w:val="6E874344"/>
    <w:rsid w:val="6E8A909A"/>
    <w:rsid w:val="6E8BCC88"/>
    <w:rsid w:val="6E8D053C"/>
    <w:rsid w:val="6E9089E2"/>
    <w:rsid w:val="6E9111B0"/>
    <w:rsid w:val="6E938154"/>
    <w:rsid w:val="6E975B77"/>
    <w:rsid w:val="6E990C68"/>
    <w:rsid w:val="6EA09F47"/>
    <w:rsid w:val="6EA6EA62"/>
    <w:rsid w:val="6EB80C4C"/>
    <w:rsid w:val="6EB889BD"/>
    <w:rsid w:val="6ED2CE2B"/>
    <w:rsid w:val="6ED888BC"/>
    <w:rsid w:val="6EDA81C6"/>
    <w:rsid w:val="6EDEA48F"/>
    <w:rsid w:val="6EDEE5B8"/>
    <w:rsid w:val="6EDFFE92"/>
    <w:rsid w:val="6EE3CBDC"/>
    <w:rsid w:val="6EEB5B82"/>
    <w:rsid w:val="6EFA048D"/>
    <w:rsid w:val="6F008CB7"/>
    <w:rsid w:val="6F091492"/>
    <w:rsid w:val="6F0BC648"/>
    <w:rsid w:val="6F20E095"/>
    <w:rsid w:val="6F2A97A1"/>
    <w:rsid w:val="6F32278F"/>
    <w:rsid w:val="6F3740C7"/>
    <w:rsid w:val="6F3A03DA"/>
    <w:rsid w:val="6F40FC10"/>
    <w:rsid w:val="6F4ABC52"/>
    <w:rsid w:val="6F4E7828"/>
    <w:rsid w:val="6F5650FF"/>
    <w:rsid w:val="6F5753DE"/>
    <w:rsid w:val="6F5D848B"/>
    <w:rsid w:val="6F645C3C"/>
    <w:rsid w:val="6F65CDB3"/>
    <w:rsid w:val="6F67E2CA"/>
    <w:rsid w:val="6F6B4D36"/>
    <w:rsid w:val="6F797105"/>
    <w:rsid w:val="6F7F6AE7"/>
    <w:rsid w:val="6F83EBF8"/>
    <w:rsid w:val="6F89EBCE"/>
    <w:rsid w:val="6F8C6D64"/>
    <w:rsid w:val="6F907107"/>
    <w:rsid w:val="6F913E41"/>
    <w:rsid w:val="6F9A5AF2"/>
    <w:rsid w:val="6FAD5453"/>
    <w:rsid w:val="6FB529F1"/>
    <w:rsid w:val="6FB8C731"/>
    <w:rsid w:val="6FB90FD5"/>
    <w:rsid w:val="6FCAA1A0"/>
    <w:rsid w:val="6FD15267"/>
    <w:rsid w:val="6FEA68E1"/>
    <w:rsid w:val="6FEF309C"/>
    <w:rsid w:val="6FF354E3"/>
    <w:rsid w:val="700A7507"/>
    <w:rsid w:val="700AF908"/>
    <w:rsid w:val="700C41FC"/>
    <w:rsid w:val="70102ACA"/>
    <w:rsid w:val="701B01FD"/>
    <w:rsid w:val="701BD0B7"/>
    <w:rsid w:val="70208CBF"/>
    <w:rsid w:val="702AF9B6"/>
    <w:rsid w:val="702C2D33"/>
    <w:rsid w:val="703C8D90"/>
    <w:rsid w:val="70456C62"/>
    <w:rsid w:val="704D1666"/>
    <w:rsid w:val="704E8F9F"/>
    <w:rsid w:val="7055D023"/>
    <w:rsid w:val="705634EC"/>
    <w:rsid w:val="70713385"/>
    <w:rsid w:val="70766786"/>
    <w:rsid w:val="70793D61"/>
    <w:rsid w:val="7080E6C7"/>
    <w:rsid w:val="7084603F"/>
    <w:rsid w:val="70998B71"/>
    <w:rsid w:val="709B4BB0"/>
    <w:rsid w:val="70B47B9A"/>
    <w:rsid w:val="70CC4E39"/>
    <w:rsid w:val="70CCA4CD"/>
    <w:rsid w:val="70CDF690"/>
    <w:rsid w:val="70CE7C0F"/>
    <w:rsid w:val="70D5123E"/>
    <w:rsid w:val="70E66036"/>
    <w:rsid w:val="70EA5871"/>
    <w:rsid w:val="70EB9A52"/>
    <w:rsid w:val="70ED87B1"/>
    <w:rsid w:val="70F0376F"/>
    <w:rsid w:val="70F3A278"/>
    <w:rsid w:val="70FAE38D"/>
    <w:rsid w:val="7103809C"/>
    <w:rsid w:val="7104DEDE"/>
    <w:rsid w:val="710AEB06"/>
    <w:rsid w:val="710DE3B7"/>
    <w:rsid w:val="7123EC11"/>
    <w:rsid w:val="712BED35"/>
    <w:rsid w:val="712E0B04"/>
    <w:rsid w:val="71321C73"/>
    <w:rsid w:val="7133FA56"/>
    <w:rsid w:val="71370DEE"/>
    <w:rsid w:val="713BA061"/>
    <w:rsid w:val="713C5F54"/>
    <w:rsid w:val="71417524"/>
    <w:rsid w:val="71430F39"/>
    <w:rsid w:val="714CD218"/>
    <w:rsid w:val="715EBD7E"/>
    <w:rsid w:val="71643DC3"/>
    <w:rsid w:val="7180C838"/>
    <w:rsid w:val="718B3D6B"/>
    <w:rsid w:val="7192AF7A"/>
    <w:rsid w:val="71A4912F"/>
    <w:rsid w:val="71A7D7D2"/>
    <w:rsid w:val="71B4A7BE"/>
    <w:rsid w:val="71BDDE0C"/>
    <w:rsid w:val="71BF64B9"/>
    <w:rsid w:val="71CF5459"/>
    <w:rsid w:val="71D29D8E"/>
    <w:rsid w:val="71D51E63"/>
    <w:rsid w:val="71D55C64"/>
    <w:rsid w:val="71D61EC6"/>
    <w:rsid w:val="71E390DA"/>
    <w:rsid w:val="71EA3037"/>
    <w:rsid w:val="71FCFAAA"/>
    <w:rsid w:val="72141AC6"/>
    <w:rsid w:val="7215CD25"/>
    <w:rsid w:val="7216B2B4"/>
    <w:rsid w:val="7217CDFD"/>
    <w:rsid w:val="721B25FB"/>
    <w:rsid w:val="723115EE"/>
    <w:rsid w:val="72452410"/>
    <w:rsid w:val="72492CF9"/>
    <w:rsid w:val="7251166D"/>
    <w:rsid w:val="7251A34D"/>
    <w:rsid w:val="725374A6"/>
    <w:rsid w:val="72657916"/>
    <w:rsid w:val="726B24BE"/>
    <w:rsid w:val="726E9B63"/>
    <w:rsid w:val="7270A8F7"/>
    <w:rsid w:val="7274313B"/>
    <w:rsid w:val="7278C28F"/>
    <w:rsid w:val="727E1DA7"/>
    <w:rsid w:val="728290E0"/>
    <w:rsid w:val="7287120B"/>
    <w:rsid w:val="7287C0FA"/>
    <w:rsid w:val="729AAF94"/>
    <w:rsid w:val="72A2B2EF"/>
    <w:rsid w:val="72B02869"/>
    <w:rsid w:val="72B43EFA"/>
    <w:rsid w:val="72D81E30"/>
    <w:rsid w:val="72D8525C"/>
    <w:rsid w:val="72DDF299"/>
    <w:rsid w:val="72F54EDC"/>
    <w:rsid w:val="72F9F77C"/>
    <w:rsid w:val="72FCE130"/>
    <w:rsid w:val="730FE511"/>
    <w:rsid w:val="732E15C2"/>
    <w:rsid w:val="732F4107"/>
    <w:rsid w:val="733149AC"/>
    <w:rsid w:val="7331F84D"/>
    <w:rsid w:val="733D169E"/>
    <w:rsid w:val="734BE6E3"/>
    <w:rsid w:val="73548912"/>
    <w:rsid w:val="735AA7BE"/>
    <w:rsid w:val="735DED3E"/>
    <w:rsid w:val="735E304D"/>
    <w:rsid w:val="7363BC83"/>
    <w:rsid w:val="7369FA1B"/>
    <w:rsid w:val="736E01EE"/>
    <w:rsid w:val="736E7CAD"/>
    <w:rsid w:val="7373D3B3"/>
    <w:rsid w:val="737757D3"/>
    <w:rsid w:val="7377DBDF"/>
    <w:rsid w:val="737AB157"/>
    <w:rsid w:val="737B411A"/>
    <w:rsid w:val="73868E8D"/>
    <w:rsid w:val="738E02F4"/>
    <w:rsid w:val="73935388"/>
    <w:rsid w:val="73A34720"/>
    <w:rsid w:val="73A7D2EA"/>
    <w:rsid w:val="73AC52FF"/>
    <w:rsid w:val="73B41FFE"/>
    <w:rsid w:val="73C39012"/>
    <w:rsid w:val="73C5088A"/>
    <w:rsid w:val="73C8E7CD"/>
    <w:rsid w:val="73CB821B"/>
    <w:rsid w:val="73DA484E"/>
    <w:rsid w:val="73EA23CD"/>
    <w:rsid w:val="73EF2E83"/>
    <w:rsid w:val="73EF3A01"/>
    <w:rsid w:val="73F9543B"/>
    <w:rsid w:val="73F9DD9B"/>
    <w:rsid w:val="73FAE383"/>
    <w:rsid w:val="73FC9479"/>
    <w:rsid w:val="73FDAA59"/>
    <w:rsid w:val="74046F94"/>
    <w:rsid w:val="7406EF7D"/>
    <w:rsid w:val="7408240F"/>
    <w:rsid w:val="741234AB"/>
    <w:rsid w:val="7423A6D3"/>
    <w:rsid w:val="742C3F62"/>
    <w:rsid w:val="74361598"/>
    <w:rsid w:val="743B55EF"/>
    <w:rsid w:val="74467870"/>
    <w:rsid w:val="74571D8C"/>
    <w:rsid w:val="7457BC3B"/>
    <w:rsid w:val="745B8E87"/>
    <w:rsid w:val="7469FCF4"/>
    <w:rsid w:val="747F8A66"/>
    <w:rsid w:val="74869F0D"/>
    <w:rsid w:val="74879DB6"/>
    <w:rsid w:val="74880809"/>
    <w:rsid w:val="7490A869"/>
    <w:rsid w:val="749A87AB"/>
    <w:rsid w:val="74A1E37C"/>
    <w:rsid w:val="74A4C245"/>
    <w:rsid w:val="74AC0C55"/>
    <w:rsid w:val="74B93974"/>
    <w:rsid w:val="74BA0603"/>
    <w:rsid w:val="74BAF561"/>
    <w:rsid w:val="74BBB49F"/>
    <w:rsid w:val="74C7825F"/>
    <w:rsid w:val="74D46084"/>
    <w:rsid w:val="74E1BE27"/>
    <w:rsid w:val="74EEE3BE"/>
    <w:rsid w:val="74FB822E"/>
    <w:rsid w:val="74FDD3AE"/>
    <w:rsid w:val="74FF6F86"/>
    <w:rsid w:val="7501952C"/>
    <w:rsid w:val="75199753"/>
    <w:rsid w:val="7520E539"/>
    <w:rsid w:val="752977DF"/>
    <w:rsid w:val="752D3EB9"/>
    <w:rsid w:val="752EF849"/>
    <w:rsid w:val="753179ED"/>
    <w:rsid w:val="753476D1"/>
    <w:rsid w:val="7536087B"/>
    <w:rsid w:val="75419CA7"/>
    <w:rsid w:val="7545583F"/>
    <w:rsid w:val="754DECD3"/>
    <w:rsid w:val="75620E3D"/>
    <w:rsid w:val="75622860"/>
    <w:rsid w:val="7563D909"/>
    <w:rsid w:val="756EE849"/>
    <w:rsid w:val="756F06D8"/>
    <w:rsid w:val="7570691D"/>
    <w:rsid w:val="757E3AEE"/>
    <w:rsid w:val="75805A9E"/>
    <w:rsid w:val="7587B0B9"/>
    <w:rsid w:val="7596CE7D"/>
    <w:rsid w:val="7598E342"/>
    <w:rsid w:val="759E5672"/>
    <w:rsid w:val="75A19B71"/>
    <w:rsid w:val="75A377F5"/>
    <w:rsid w:val="75A54BEF"/>
    <w:rsid w:val="75ADF6A2"/>
    <w:rsid w:val="75AFD19F"/>
    <w:rsid w:val="75B23FE0"/>
    <w:rsid w:val="75B5171B"/>
    <w:rsid w:val="75BF1DC8"/>
    <w:rsid w:val="75CFE320"/>
    <w:rsid w:val="75D344FB"/>
    <w:rsid w:val="75DD51AD"/>
    <w:rsid w:val="75E832FC"/>
    <w:rsid w:val="75EB87F7"/>
    <w:rsid w:val="75F02F5F"/>
    <w:rsid w:val="75F34C66"/>
    <w:rsid w:val="75FF63F6"/>
    <w:rsid w:val="76059351"/>
    <w:rsid w:val="76105244"/>
    <w:rsid w:val="7610D244"/>
    <w:rsid w:val="7616E9CE"/>
    <w:rsid w:val="7621DDEF"/>
    <w:rsid w:val="762401D5"/>
    <w:rsid w:val="763C16BA"/>
    <w:rsid w:val="764A2FFE"/>
    <w:rsid w:val="764C0A90"/>
    <w:rsid w:val="764C17BE"/>
    <w:rsid w:val="7653326F"/>
    <w:rsid w:val="76552125"/>
    <w:rsid w:val="765F764B"/>
    <w:rsid w:val="76660273"/>
    <w:rsid w:val="7666F08B"/>
    <w:rsid w:val="767B50D6"/>
    <w:rsid w:val="76833616"/>
    <w:rsid w:val="7695BFD7"/>
    <w:rsid w:val="769AB8A1"/>
    <w:rsid w:val="76B045A7"/>
    <w:rsid w:val="76BA28B6"/>
    <w:rsid w:val="76C166AA"/>
    <w:rsid w:val="76C54F2B"/>
    <w:rsid w:val="76CA1897"/>
    <w:rsid w:val="76CF14F3"/>
    <w:rsid w:val="76EF1F65"/>
    <w:rsid w:val="76F6415F"/>
    <w:rsid w:val="76FA0576"/>
    <w:rsid w:val="76FD8E8E"/>
    <w:rsid w:val="76FDAA23"/>
    <w:rsid w:val="77015D71"/>
    <w:rsid w:val="7702F31D"/>
    <w:rsid w:val="7706BAA7"/>
    <w:rsid w:val="7718F7B6"/>
    <w:rsid w:val="771CCF60"/>
    <w:rsid w:val="772126D8"/>
    <w:rsid w:val="7727719C"/>
    <w:rsid w:val="772C41AB"/>
    <w:rsid w:val="773573DE"/>
    <w:rsid w:val="7738532D"/>
    <w:rsid w:val="7760AE9B"/>
    <w:rsid w:val="77621DD9"/>
    <w:rsid w:val="776EA440"/>
    <w:rsid w:val="7773B5E9"/>
    <w:rsid w:val="7774CD32"/>
    <w:rsid w:val="777BBF8E"/>
    <w:rsid w:val="77825235"/>
    <w:rsid w:val="7787D82A"/>
    <w:rsid w:val="7794423D"/>
    <w:rsid w:val="7798C2DE"/>
    <w:rsid w:val="77997BFA"/>
    <w:rsid w:val="7799A92C"/>
    <w:rsid w:val="77A3BA61"/>
    <w:rsid w:val="77AAF1EC"/>
    <w:rsid w:val="77ACFF8E"/>
    <w:rsid w:val="77AEED6D"/>
    <w:rsid w:val="77AF74D1"/>
    <w:rsid w:val="77B2694E"/>
    <w:rsid w:val="77BAA5B3"/>
    <w:rsid w:val="77C31E34"/>
    <w:rsid w:val="77C55BB0"/>
    <w:rsid w:val="77D23849"/>
    <w:rsid w:val="77DB1EA5"/>
    <w:rsid w:val="77DC954E"/>
    <w:rsid w:val="77EA83B3"/>
    <w:rsid w:val="77EB888C"/>
    <w:rsid w:val="77EE50E3"/>
    <w:rsid w:val="77F39DC0"/>
    <w:rsid w:val="77F4B17A"/>
    <w:rsid w:val="77FAD77F"/>
    <w:rsid w:val="77FE90B7"/>
    <w:rsid w:val="78002759"/>
    <w:rsid w:val="78075588"/>
    <w:rsid w:val="78188E1A"/>
    <w:rsid w:val="782182DA"/>
    <w:rsid w:val="782228E7"/>
    <w:rsid w:val="782803D1"/>
    <w:rsid w:val="7829ABB0"/>
    <w:rsid w:val="782D14F8"/>
    <w:rsid w:val="7834B54E"/>
    <w:rsid w:val="78394E1E"/>
    <w:rsid w:val="7840F95D"/>
    <w:rsid w:val="7842D77F"/>
    <w:rsid w:val="78457EAF"/>
    <w:rsid w:val="784919E8"/>
    <w:rsid w:val="7849A105"/>
    <w:rsid w:val="784ED7D6"/>
    <w:rsid w:val="78516370"/>
    <w:rsid w:val="78539C41"/>
    <w:rsid w:val="7853E788"/>
    <w:rsid w:val="786DD97F"/>
    <w:rsid w:val="78780FFC"/>
    <w:rsid w:val="7878F904"/>
    <w:rsid w:val="787E01FA"/>
    <w:rsid w:val="78959A45"/>
    <w:rsid w:val="7896FF56"/>
    <w:rsid w:val="789A249D"/>
    <w:rsid w:val="78B1A99B"/>
    <w:rsid w:val="78B263D4"/>
    <w:rsid w:val="78D31371"/>
    <w:rsid w:val="78D8ECF6"/>
    <w:rsid w:val="78E28181"/>
    <w:rsid w:val="78E301E0"/>
    <w:rsid w:val="78E601EC"/>
    <w:rsid w:val="78EC0C58"/>
    <w:rsid w:val="78EEE4ED"/>
    <w:rsid w:val="78F08EAF"/>
    <w:rsid w:val="78F219EF"/>
    <w:rsid w:val="78FE0FCE"/>
    <w:rsid w:val="7904ED72"/>
    <w:rsid w:val="79117D38"/>
    <w:rsid w:val="7916DFA9"/>
    <w:rsid w:val="791990AA"/>
    <w:rsid w:val="791CB0FB"/>
    <w:rsid w:val="7922B555"/>
    <w:rsid w:val="7923A15B"/>
    <w:rsid w:val="793581BE"/>
    <w:rsid w:val="7939FC7F"/>
    <w:rsid w:val="794A0059"/>
    <w:rsid w:val="7969960F"/>
    <w:rsid w:val="796AE7EC"/>
    <w:rsid w:val="796DAD47"/>
    <w:rsid w:val="796E79AF"/>
    <w:rsid w:val="7972CC71"/>
    <w:rsid w:val="7974FD27"/>
    <w:rsid w:val="797C961D"/>
    <w:rsid w:val="79803177"/>
    <w:rsid w:val="79824967"/>
    <w:rsid w:val="7987AB74"/>
    <w:rsid w:val="7999AC8C"/>
    <w:rsid w:val="799B3A34"/>
    <w:rsid w:val="799C8DB1"/>
    <w:rsid w:val="799CC8DF"/>
    <w:rsid w:val="799F7A7F"/>
    <w:rsid w:val="79A21B98"/>
    <w:rsid w:val="79A805F4"/>
    <w:rsid w:val="79AA03C9"/>
    <w:rsid w:val="79AD0490"/>
    <w:rsid w:val="79B6EFA4"/>
    <w:rsid w:val="79C0579D"/>
    <w:rsid w:val="79C20BEF"/>
    <w:rsid w:val="79C4B636"/>
    <w:rsid w:val="79C5FCF8"/>
    <w:rsid w:val="79C65930"/>
    <w:rsid w:val="79C7DD64"/>
    <w:rsid w:val="79CE2518"/>
    <w:rsid w:val="79CF3828"/>
    <w:rsid w:val="79D38C85"/>
    <w:rsid w:val="79D5511B"/>
    <w:rsid w:val="79DB38F5"/>
    <w:rsid w:val="79DEBB81"/>
    <w:rsid w:val="79E0FAAF"/>
    <w:rsid w:val="79EB848D"/>
    <w:rsid w:val="79EF8C99"/>
    <w:rsid w:val="79F263FC"/>
    <w:rsid w:val="79F53538"/>
    <w:rsid w:val="79F6AF0F"/>
    <w:rsid w:val="79FC5C22"/>
    <w:rsid w:val="79FC5CF2"/>
    <w:rsid w:val="79FDC19B"/>
    <w:rsid w:val="7A020C8B"/>
    <w:rsid w:val="7A0C495A"/>
    <w:rsid w:val="7A0E03F7"/>
    <w:rsid w:val="7A194B20"/>
    <w:rsid w:val="7A1CC995"/>
    <w:rsid w:val="7A28F214"/>
    <w:rsid w:val="7A320F03"/>
    <w:rsid w:val="7A3BD7F4"/>
    <w:rsid w:val="7A42655D"/>
    <w:rsid w:val="7A57F48B"/>
    <w:rsid w:val="7A5A911F"/>
    <w:rsid w:val="7A5F016F"/>
    <w:rsid w:val="7A613929"/>
    <w:rsid w:val="7A6469BB"/>
    <w:rsid w:val="7A680369"/>
    <w:rsid w:val="7A6C680D"/>
    <w:rsid w:val="7A6EEEB3"/>
    <w:rsid w:val="7A6F99CB"/>
    <w:rsid w:val="7A72F5D4"/>
    <w:rsid w:val="7A741E55"/>
    <w:rsid w:val="7A7C6CBE"/>
    <w:rsid w:val="7A8050E3"/>
    <w:rsid w:val="7A848907"/>
    <w:rsid w:val="7A8AF503"/>
    <w:rsid w:val="7AB3C753"/>
    <w:rsid w:val="7AB6387A"/>
    <w:rsid w:val="7AC305A9"/>
    <w:rsid w:val="7AD07686"/>
    <w:rsid w:val="7AD195AA"/>
    <w:rsid w:val="7AD1FDD5"/>
    <w:rsid w:val="7AD53EB7"/>
    <w:rsid w:val="7AEE3B1B"/>
    <w:rsid w:val="7AFC8E3E"/>
    <w:rsid w:val="7B057D73"/>
    <w:rsid w:val="7B0695B1"/>
    <w:rsid w:val="7B09E57B"/>
    <w:rsid w:val="7B125299"/>
    <w:rsid w:val="7B1BC36D"/>
    <w:rsid w:val="7B1E039A"/>
    <w:rsid w:val="7B247E9F"/>
    <w:rsid w:val="7B262E90"/>
    <w:rsid w:val="7B27A8A8"/>
    <w:rsid w:val="7B368577"/>
    <w:rsid w:val="7B479EEF"/>
    <w:rsid w:val="7B555A28"/>
    <w:rsid w:val="7B62A8A0"/>
    <w:rsid w:val="7B66DF23"/>
    <w:rsid w:val="7B7188F8"/>
    <w:rsid w:val="7B77385E"/>
    <w:rsid w:val="7B7BC469"/>
    <w:rsid w:val="7B89FD83"/>
    <w:rsid w:val="7B8CFF63"/>
    <w:rsid w:val="7B96CFFE"/>
    <w:rsid w:val="7B97FD99"/>
    <w:rsid w:val="7B9B456C"/>
    <w:rsid w:val="7B9C0ECF"/>
    <w:rsid w:val="7BA7D043"/>
    <w:rsid w:val="7BAC94DD"/>
    <w:rsid w:val="7BC08EB4"/>
    <w:rsid w:val="7BC9599E"/>
    <w:rsid w:val="7BD03A80"/>
    <w:rsid w:val="7BD0C8BD"/>
    <w:rsid w:val="7BD0DFE6"/>
    <w:rsid w:val="7BD379BC"/>
    <w:rsid w:val="7BD6DA8B"/>
    <w:rsid w:val="7BD9A022"/>
    <w:rsid w:val="7BE3D9B2"/>
    <w:rsid w:val="7BE4FEEA"/>
    <w:rsid w:val="7BEF5F42"/>
    <w:rsid w:val="7BF3BC1A"/>
    <w:rsid w:val="7BFE4A48"/>
    <w:rsid w:val="7BFF17CF"/>
    <w:rsid w:val="7C03B235"/>
    <w:rsid w:val="7C125A98"/>
    <w:rsid w:val="7C14A0D3"/>
    <w:rsid w:val="7C20D5D2"/>
    <w:rsid w:val="7C29548C"/>
    <w:rsid w:val="7C31EC12"/>
    <w:rsid w:val="7C351462"/>
    <w:rsid w:val="7C36C5BF"/>
    <w:rsid w:val="7C387FE0"/>
    <w:rsid w:val="7C42BEDA"/>
    <w:rsid w:val="7C434991"/>
    <w:rsid w:val="7C5099E6"/>
    <w:rsid w:val="7C567A86"/>
    <w:rsid w:val="7C591176"/>
    <w:rsid w:val="7C5A3FCE"/>
    <w:rsid w:val="7C6A6088"/>
    <w:rsid w:val="7C6B4BA2"/>
    <w:rsid w:val="7C6EE253"/>
    <w:rsid w:val="7C73CE96"/>
    <w:rsid w:val="7C805387"/>
    <w:rsid w:val="7C876392"/>
    <w:rsid w:val="7C9762C8"/>
    <w:rsid w:val="7C984BBE"/>
    <w:rsid w:val="7C9BDB26"/>
    <w:rsid w:val="7CA1F8A9"/>
    <w:rsid w:val="7CAA36D0"/>
    <w:rsid w:val="7CAA4E1D"/>
    <w:rsid w:val="7CB82ACF"/>
    <w:rsid w:val="7CB8FAD1"/>
    <w:rsid w:val="7CB964F4"/>
    <w:rsid w:val="7CC0648B"/>
    <w:rsid w:val="7CC1A923"/>
    <w:rsid w:val="7CC254BC"/>
    <w:rsid w:val="7CCDCF63"/>
    <w:rsid w:val="7CCDE06F"/>
    <w:rsid w:val="7CD10BD7"/>
    <w:rsid w:val="7CDAD408"/>
    <w:rsid w:val="7CDE4DD6"/>
    <w:rsid w:val="7CE15B6D"/>
    <w:rsid w:val="7CE4CCEF"/>
    <w:rsid w:val="7CEA0260"/>
    <w:rsid w:val="7CF1F2B8"/>
    <w:rsid w:val="7CFFEDCA"/>
    <w:rsid w:val="7D029C4C"/>
    <w:rsid w:val="7D176FAF"/>
    <w:rsid w:val="7D221833"/>
    <w:rsid w:val="7D292AB1"/>
    <w:rsid w:val="7D2C3ED5"/>
    <w:rsid w:val="7D31DC0C"/>
    <w:rsid w:val="7D3C916E"/>
    <w:rsid w:val="7D3E6A0F"/>
    <w:rsid w:val="7D482D13"/>
    <w:rsid w:val="7D48C62F"/>
    <w:rsid w:val="7D5BF6D4"/>
    <w:rsid w:val="7D624BBF"/>
    <w:rsid w:val="7D720A67"/>
    <w:rsid w:val="7D752CF9"/>
    <w:rsid w:val="7D77452B"/>
    <w:rsid w:val="7D77AC95"/>
    <w:rsid w:val="7D77ADB7"/>
    <w:rsid w:val="7D83A774"/>
    <w:rsid w:val="7DA0C201"/>
    <w:rsid w:val="7DA427F8"/>
    <w:rsid w:val="7DA476B7"/>
    <w:rsid w:val="7DA4DCFA"/>
    <w:rsid w:val="7DA6299D"/>
    <w:rsid w:val="7DA9735E"/>
    <w:rsid w:val="7DB099BB"/>
    <w:rsid w:val="7DB3D020"/>
    <w:rsid w:val="7DB7E0F1"/>
    <w:rsid w:val="7DC59B45"/>
    <w:rsid w:val="7DD0E45C"/>
    <w:rsid w:val="7DDB7E69"/>
    <w:rsid w:val="7DE7553C"/>
    <w:rsid w:val="7DEEEB66"/>
    <w:rsid w:val="7E00F677"/>
    <w:rsid w:val="7E2A880A"/>
    <w:rsid w:val="7E2DCE81"/>
    <w:rsid w:val="7E2F39E0"/>
    <w:rsid w:val="7E339583"/>
    <w:rsid w:val="7E42F86E"/>
    <w:rsid w:val="7E43CB92"/>
    <w:rsid w:val="7E4CF2FE"/>
    <w:rsid w:val="7E61DBB2"/>
    <w:rsid w:val="7E6299EF"/>
    <w:rsid w:val="7E64E5EF"/>
    <w:rsid w:val="7E6D4CA9"/>
    <w:rsid w:val="7E6ECEF0"/>
    <w:rsid w:val="7E780C8F"/>
    <w:rsid w:val="7E794164"/>
    <w:rsid w:val="7E7DE2A8"/>
    <w:rsid w:val="7E8DA2AC"/>
    <w:rsid w:val="7E90DBDD"/>
    <w:rsid w:val="7E9E7CAC"/>
    <w:rsid w:val="7EAC5C45"/>
    <w:rsid w:val="7EB679BA"/>
    <w:rsid w:val="7EBCEFB7"/>
    <w:rsid w:val="7EBDE117"/>
    <w:rsid w:val="7EC94D6C"/>
    <w:rsid w:val="7EC9A92C"/>
    <w:rsid w:val="7ECACB7D"/>
    <w:rsid w:val="7ECE09CF"/>
    <w:rsid w:val="7ED03B0B"/>
    <w:rsid w:val="7ED94369"/>
    <w:rsid w:val="7EDB156E"/>
    <w:rsid w:val="7EE5E9A1"/>
    <w:rsid w:val="7EF13488"/>
    <w:rsid w:val="7EF287B6"/>
    <w:rsid w:val="7EF635C3"/>
    <w:rsid w:val="7EF6D4AC"/>
    <w:rsid w:val="7EF77EAB"/>
    <w:rsid w:val="7EF7A0E6"/>
    <w:rsid w:val="7EFD1E5B"/>
    <w:rsid w:val="7F063CE7"/>
    <w:rsid w:val="7F09114E"/>
    <w:rsid w:val="7F0D0131"/>
    <w:rsid w:val="7F1228EB"/>
    <w:rsid w:val="7F122EEC"/>
    <w:rsid w:val="7F17C292"/>
    <w:rsid w:val="7F28B04B"/>
    <w:rsid w:val="7F2AF145"/>
    <w:rsid w:val="7F2D07FE"/>
    <w:rsid w:val="7F2E9677"/>
    <w:rsid w:val="7F39EBF0"/>
    <w:rsid w:val="7F3C7500"/>
    <w:rsid w:val="7F59CBCF"/>
    <w:rsid w:val="7F59DE76"/>
    <w:rsid w:val="7F5D5933"/>
    <w:rsid w:val="7F61C448"/>
    <w:rsid w:val="7F674D98"/>
    <w:rsid w:val="7F734CA4"/>
    <w:rsid w:val="7F85429C"/>
    <w:rsid w:val="7F8E482D"/>
    <w:rsid w:val="7F934C46"/>
    <w:rsid w:val="7F993897"/>
    <w:rsid w:val="7F9AE2DA"/>
    <w:rsid w:val="7FA283F0"/>
    <w:rsid w:val="7FA5B712"/>
    <w:rsid w:val="7FA9E2B4"/>
    <w:rsid w:val="7FB3A3D0"/>
    <w:rsid w:val="7FBB0CF7"/>
    <w:rsid w:val="7FBD7B82"/>
    <w:rsid w:val="7FC17F71"/>
    <w:rsid w:val="7FCA6D16"/>
    <w:rsid w:val="7FCB4D1D"/>
    <w:rsid w:val="7FCEDCFC"/>
    <w:rsid w:val="7FD9653E"/>
    <w:rsid w:val="7FDF3A55"/>
    <w:rsid w:val="7FEB18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9A8B65"/>
  <w15:chartTrackingRefBased/>
  <w15:docId w15:val="{A6ADD4C7-D861-4E75-B6B1-555328558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6547FE"/>
    <w:pPr>
      <w:spacing w:before="120" w:after="120" w:line="280" w:lineRule="atLeast"/>
    </w:pPr>
    <w:rPr>
      <w:sz w:val="20"/>
      <w:szCs w:val="20"/>
    </w:rPr>
  </w:style>
  <w:style w:type="paragraph" w:styleId="Heading1">
    <w:name w:val="heading 1"/>
    <w:basedOn w:val="Normal"/>
    <w:next w:val="BodyText"/>
    <w:link w:val="Heading1Char"/>
    <w:uiPriority w:val="9"/>
    <w:qFormat/>
    <w:rsid w:val="00F83C5C"/>
    <w:pPr>
      <w:pBdr>
        <w:top w:val="single" w:sz="4" w:space="31" w:color="5BA5DA" w:themeColor="background2"/>
        <w:left w:val="single" w:sz="4" w:space="26" w:color="5BA5DA" w:themeColor="background2"/>
        <w:bottom w:val="single" w:sz="4" w:space="26" w:color="5BA5DA" w:themeColor="background2"/>
        <w:right w:val="single" w:sz="4" w:space="26" w:color="5BA5DA" w:themeColor="background2"/>
      </w:pBdr>
      <w:shd w:val="clear" w:color="auto" w:fill="5BA5DA" w:themeFill="background2"/>
      <w:spacing w:before="240" w:after="480" w:line="504" w:lineRule="atLeast"/>
      <w:ind w:left="1418" w:right="567" w:hanging="851"/>
      <w:outlineLvl w:val="0"/>
    </w:pPr>
    <w:rPr>
      <w:rFonts w:asciiTheme="majorHAnsi" w:hAnsiTheme="majorHAnsi"/>
      <w:color w:val="775538" w:themeColor="background1"/>
      <w:sz w:val="42"/>
    </w:rPr>
  </w:style>
  <w:style w:type="paragraph" w:styleId="Heading2">
    <w:name w:val="heading 2"/>
    <w:basedOn w:val="Normal"/>
    <w:next w:val="BodyText"/>
    <w:link w:val="Heading2Char"/>
    <w:uiPriority w:val="9"/>
    <w:qFormat/>
    <w:rsid w:val="00F83C5C"/>
    <w:pPr>
      <w:keepNext/>
      <w:keepLines/>
      <w:spacing w:before="480" w:line="340" w:lineRule="atLeast"/>
      <w:ind w:left="851" w:hanging="851"/>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F83C5C"/>
    <w:pPr>
      <w:keepNext/>
      <w:keepLines/>
      <w:spacing w:before="240" w:line="300" w:lineRule="atLeast"/>
      <w:outlineLvl w:val="2"/>
    </w:pPr>
    <w:rPr>
      <w:rFonts w:asciiTheme="majorHAnsi" w:eastAsiaTheme="majorEastAsia" w:hAnsiTheme="majorHAnsi" w:cstheme="majorBidi"/>
      <w:color w:val="88401D" w:themeColor="text2" w:themeShade="BF"/>
      <w:sz w:val="26"/>
      <w:szCs w:val="37"/>
    </w:rPr>
  </w:style>
  <w:style w:type="paragraph" w:styleId="Heading4">
    <w:name w:val="heading 4"/>
    <w:basedOn w:val="Normal"/>
    <w:next w:val="BodyText"/>
    <w:link w:val="Heading4Char"/>
    <w:uiPriority w:val="9"/>
    <w:qFormat/>
    <w:rsid w:val="00F83C5C"/>
    <w:pPr>
      <w:keepNext/>
      <w:keepLines/>
      <w:spacing w:before="240" w:line="264" w:lineRule="atLeast"/>
      <w:outlineLvl w:val="3"/>
    </w:pPr>
    <w:rPr>
      <w:rFonts w:asciiTheme="majorHAnsi" w:eastAsiaTheme="majorEastAsia" w:hAnsiTheme="majorHAnsi" w:cstheme="majorBidi"/>
      <w:iCs/>
      <w:color w:val="5BA5DA" w:themeColor="background2"/>
      <w:sz w:val="22"/>
      <w:szCs w:val="33"/>
    </w:rPr>
  </w:style>
  <w:style w:type="paragraph" w:styleId="Heading5">
    <w:name w:val="heading 5"/>
    <w:basedOn w:val="Normal"/>
    <w:next w:val="BodyText"/>
    <w:link w:val="Heading5Char"/>
    <w:uiPriority w:val="9"/>
    <w:qFormat/>
    <w:rsid w:val="00F83C5C"/>
    <w:pPr>
      <w:keepNext/>
      <w:keepLines/>
      <w:spacing w:line="264" w:lineRule="atLeast"/>
      <w:outlineLvl w:val="4"/>
    </w:pPr>
    <w:rPr>
      <w:rFonts w:eastAsiaTheme="majorEastAsia" w:cstheme="majorBidi"/>
      <w:b/>
      <w:color w:val="5BA5DA" w:themeColor="background2"/>
      <w:sz w:val="22"/>
      <w:szCs w:val="29"/>
    </w:rPr>
  </w:style>
  <w:style w:type="paragraph" w:styleId="Heading6">
    <w:name w:val="heading 6"/>
    <w:basedOn w:val="Normal"/>
    <w:next w:val="BodyText"/>
    <w:link w:val="Heading6Char"/>
    <w:uiPriority w:val="9"/>
    <w:qFormat/>
    <w:rsid w:val="00F83C5C"/>
    <w:pPr>
      <w:keepNext/>
      <w:keepLines/>
      <w:spacing w:line="240" w:lineRule="atLeast"/>
      <w:outlineLvl w:val="5"/>
    </w:pPr>
    <w:rPr>
      <w:rFonts w:eastAsiaTheme="majorEastAsia" w:cstheme="minorHAnsi"/>
      <w:b/>
      <w:bCs/>
      <w:i/>
      <w:color w:val="5BA5DA" w:themeColor="background2"/>
      <w:szCs w:val="24"/>
    </w:rPr>
  </w:style>
  <w:style w:type="paragraph" w:styleId="Heading7">
    <w:name w:val="heading 7"/>
    <w:basedOn w:val="Normal"/>
    <w:next w:val="Normal"/>
    <w:link w:val="Heading7Char"/>
    <w:uiPriority w:val="9"/>
    <w:semiHidden/>
    <w:qFormat/>
    <w:rsid w:val="00F83C5C"/>
    <w:pPr>
      <w:keepNext/>
      <w:keepLines/>
      <w:spacing w:line="240" w:lineRule="atLeast"/>
      <w:outlineLvl w:val="6"/>
    </w:pPr>
    <w:rPr>
      <w:rFonts w:eastAsiaTheme="majorEastAsia" w:cstheme="minorHAnsi"/>
      <w:b/>
      <w:bCs/>
      <w:i/>
      <w:iCs/>
      <w:color w:val="5BA5DA" w:themeColor="background2"/>
      <w:szCs w:val="22"/>
    </w:rPr>
  </w:style>
  <w:style w:type="paragraph" w:styleId="Heading8">
    <w:name w:val="heading 8"/>
    <w:basedOn w:val="Normal"/>
    <w:next w:val="Normal"/>
    <w:link w:val="Heading8Char"/>
    <w:uiPriority w:val="9"/>
    <w:semiHidden/>
    <w:qFormat/>
    <w:rsid w:val="00F83C5C"/>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qFormat/>
    <w:rsid w:val="00F83C5C"/>
    <w:pPr>
      <w:spacing w:line="240" w:lineRule="auto"/>
      <w:outlineLvl w:val="8"/>
    </w:pPr>
    <w:rPr>
      <w:rFonts w:asciiTheme="majorHAnsi" w:hAnsiTheme="majorHAnsi"/>
      <w:color w:val="2D7ABE"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83C5C"/>
    <w:rPr>
      <w:color w:val="808080"/>
    </w:rPr>
  </w:style>
  <w:style w:type="paragraph" w:styleId="Date">
    <w:name w:val="Date"/>
    <w:basedOn w:val="Normal"/>
    <w:next w:val="Normal"/>
    <w:link w:val="DateChar"/>
    <w:uiPriority w:val="99"/>
    <w:unhideWhenUsed/>
    <w:rsid w:val="00F83C5C"/>
    <w:pPr>
      <w:spacing w:after="360" w:line="293" w:lineRule="auto"/>
    </w:pPr>
  </w:style>
  <w:style w:type="character" w:customStyle="1" w:styleId="DateChar">
    <w:name w:val="Date Char"/>
    <w:basedOn w:val="DefaultParagraphFont"/>
    <w:link w:val="Date"/>
    <w:uiPriority w:val="99"/>
    <w:rsid w:val="00F83C5C"/>
    <w:rPr>
      <w:sz w:val="20"/>
      <w:szCs w:val="20"/>
    </w:rPr>
  </w:style>
  <w:style w:type="paragraph" w:styleId="NoSpacing">
    <w:name w:val="No Spacing"/>
    <w:basedOn w:val="Normal"/>
    <w:link w:val="NoSpacingChar"/>
    <w:uiPriority w:val="10"/>
    <w:qFormat/>
    <w:rsid w:val="00F83C5C"/>
    <w:pPr>
      <w:spacing w:before="0" w:after="0"/>
    </w:pPr>
  </w:style>
  <w:style w:type="paragraph" w:styleId="ListBullet">
    <w:name w:val="List Bullet"/>
    <w:basedOn w:val="Normal"/>
    <w:link w:val="ListBulletChar"/>
    <w:uiPriority w:val="1"/>
    <w:qFormat/>
    <w:rsid w:val="00415A0E"/>
    <w:pPr>
      <w:contextualSpacing/>
    </w:pPr>
  </w:style>
  <w:style w:type="paragraph" w:styleId="ListBullet2">
    <w:name w:val="List Bullet 2"/>
    <w:basedOn w:val="Normal"/>
    <w:uiPriority w:val="1"/>
    <w:qFormat/>
    <w:rsid w:val="00415A0E"/>
    <w:pPr>
      <w:ind w:left="454" w:hanging="227"/>
      <w:contextualSpacing/>
    </w:pPr>
  </w:style>
  <w:style w:type="paragraph" w:styleId="ListNumber">
    <w:name w:val="List Number"/>
    <w:basedOn w:val="Normal"/>
    <w:uiPriority w:val="2"/>
    <w:qFormat/>
    <w:rsid w:val="00F83C5C"/>
    <w:pPr>
      <w:numPr>
        <w:numId w:val="2"/>
      </w:numPr>
      <w:spacing w:before="60"/>
      <w:contextualSpacing/>
    </w:pPr>
  </w:style>
  <w:style w:type="numbering" w:customStyle="1" w:styleId="Bullets">
    <w:name w:val="Bullets"/>
    <w:uiPriority w:val="99"/>
    <w:rsid w:val="00F83C5C"/>
  </w:style>
  <w:style w:type="character" w:customStyle="1" w:styleId="Heading1Char">
    <w:name w:val="Heading 1 Char"/>
    <w:basedOn w:val="DefaultParagraphFont"/>
    <w:link w:val="Heading1"/>
    <w:uiPriority w:val="9"/>
    <w:rsid w:val="00F83C5C"/>
    <w:rPr>
      <w:rFonts w:asciiTheme="majorHAnsi" w:hAnsiTheme="majorHAnsi"/>
      <w:color w:val="775538" w:themeColor="background1"/>
      <w:sz w:val="42"/>
      <w:szCs w:val="20"/>
      <w:shd w:val="clear" w:color="auto" w:fill="5BA5DA" w:themeFill="background2"/>
    </w:rPr>
  </w:style>
  <w:style w:type="paragraph" w:styleId="ListNumber2">
    <w:name w:val="List Number 2"/>
    <w:basedOn w:val="Normal"/>
    <w:uiPriority w:val="13"/>
    <w:semiHidden/>
    <w:qFormat/>
    <w:rsid w:val="00F83C5C"/>
    <w:pPr>
      <w:numPr>
        <w:ilvl w:val="1"/>
        <w:numId w:val="2"/>
      </w:numPr>
      <w:spacing w:before="60"/>
      <w:contextualSpacing/>
    </w:pPr>
  </w:style>
  <w:style w:type="character" w:customStyle="1" w:styleId="Heading2Char">
    <w:name w:val="Heading 2 Char"/>
    <w:basedOn w:val="DefaultParagraphFont"/>
    <w:link w:val="Heading2"/>
    <w:uiPriority w:val="9"/>
    <w:rsid w:val="00F83C5C"/>
    <w:rPr>
      <w:rFonts w:asciiTheme="majorHAnsi" w:eastAsiaTheme="majorEastAsia" w:hAnsiTheme="majorHAnsi" w:cstheme="majorBidi"/>
      <w:sz w:val="30"/>
      <w:szCs w:val="60"/>
    </w:rPr>
  </w:style>
  <w:style w:type="paragraph" w:styleId="ListParagraph">
    <w:name w:val="List Paragraph"/>
    <w:basedOn w:val="Normal"/>
    <w:uiPriority w:val="34"/>
    <w:qFormat/>
    <w:rsid w:val="00F83C5C"/>
    <w:pPr>
      <w:spacing w:line="293" w:lineRule="auto"/>
      <w:ind w:left="284"/>
      <w:contextualSpacing/>
    </w:pPr>
  </w:style>
  <w:style w:type="paragraph" w:styleId="Header">
    <w:name w:val="header"/>
    <w:basedOn w:val="Normal"/>
    <w:link w:val="HeaderChar"/>
    <w:uiPriority w:val="99"/>
    <w:unhideWhenUsed/>
    <w:rsid w:val="00F83C5C"/>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F83C5C"/>
    <w:rPr>
      <w:sz w:val="16"/>
      <w:szCs w:val="20"/>
    </w:rPr>
  </w:style>
  <w:style w:type="paragraph" w:styleId="Footer">
    <w:name w:val="footer"/>
    <w:basedOn w:val="Normal"/>
    <w:link w:val="FooterChar"/>
    <w:uiPriority w:val="99"/>
    <w:rsid w:val="00F83C5C"/>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99"/>
    <w:rsid w:val="00F83C5C"/>
    <w:rPr>
      <w:rFonts w:asciiTheme="majorHAnsi" w:hAnsiTheme="majorHAnsi"/>
      <w:sz w:val="17"/>
    </w:rPr>
  </w:style>
  <w:style w:type="numbering" w:customStyle="1" w:styleId="Numbering">
    <w:name w:val="Numbering"/>
    <w:uiPriority w:val="99"/>
    <w:rsid w:val="00F83C5C"/>
  </w:style>
  <w:style w:type="paragraph" w:styleId="ListBullet3">
    <w:name w:val="List Bullet 3"/>
    <w:basedOn w:val="Normal"/>
    <w:uiPriority w:val="1"/>
    <w:qFormat/>
    <w:rsid w:val="00AE528A"/>
    <w:pPr>
      <w:ind w:left="907" w:hanging="227"/>
      <w:contextualSpacing/>
    </w:pPr>
  </w:style>
  <w:style w:type="paragraph" w:styleId="ListContinue2">
    <w:name w:val="List Continue 2"/>
    <w:basedOn w:val="Normal"/>
    <w:uiPriority w:val="3"/>
    <w:unhideWhenUsed/>
    <w:qFormat/>
    <w:rsid w:val="00F83C5C"/>
    <w:pPr>
      <w:spacing w:before="60"/>
      <w:ind w:left="454"/>
    </w:pPr>
  </w:style>
  <w:style w:type="paragraph" w:styleId="ListNumber3">
    <w:name w:val="List Number 3"/>
    <w:basedOn w:val="Normal"/>
    <w:uiPriority w:val="13"/>
    <w:semiHidden/>
    <w:qFormat/>
    <w:rsid w:val="00F83C5C"/>
    <w:pPr>
      <w:numPr>
        <w:ilvl w:val="2"/>
        <w:numId w:val="2"/>
      </w:numPr>
      <w:spacing w:before="60"/>
      <w:contextualSpacing/>
    </w:pPr>
  </w:style>
  <w:style w:type="paragraph" w:styleId="ListNumber4">
    <w:name w:val="List Number 4"/>
    <w:basedOn w:val="Normal"/>
    <w:uiPriority w:val="13"/>
    <w:semiHidden/>
    <w:qFormat/>
    <w:rsid w:val="00F83C5C"/>
    <w:pPr>
      <w:numPr>
        <w:ilvl w:val="3"/>
        <w:numId w:val="2"/>
      </w:numPr>
      <w:spacing w:after="200" w:line="293" w:lineRule="auto"/>
      <w:contextualSpacing/>
    </w:pPr>
  </w:style>
  <w:style w:type="paragraph" w:styleId="ListNumber5">
    <w:name w:val="List Number 5"/>
    <w:basedOn w:val="Normal"/>
    <w:uiPriority w:val="13"/>
    <w:semiHidden/>
    <w:rsid w:val="00F83C5C"/>
    <w:pPr>
      <w:numPr>
        <w:ilvl w:val="4"/>
        <w:numId w:val="2"/>
      </w:numPr>
      <w:spacing w:after="200" w:line="293" w:lineRule="auto"/>
      <w:contextualSpacing/>
    </w:pPr>
  </w:style>
  <w:style w:type="paragraph" w:styleId="ListContinue">
    <w:name w:val="List Continue"/>
    <w:basedOn w:val="Normal"/>
    <w:uiPriority w:val="3"/>
    <w:unhideWhenUsed/>
    <w:qFormat/>
    <w:rsid w:val="00F83C5C"/>
    <w:pPr>
      <w:spacing w:before="60"/>
      <w:ind w:left="227"/>
    </w:pPr>
  </w:style>
  <w:style w:type="paragraph" w:styleId="ListContinue3">
    <w:name w:val="List Continue 3"/>
    <w:basedOn w:val="Normal"/>
    <w:uiPriority w:val="3"/>
    <w:unhideWhenUsed/>
    <w:qFormat/>
    <w:rsid w:val="00F83C5C"/>
    <w:pPr>
      <w:spacing w:before="60"/>
      <w:ind w:left="907"/>
    </w:pPr>
  </w:style>
  <w:style w:type="paragraph" w:styleId="ListContinue4">
    <w:name w:val="List Continue 4"/>
    <w:basedOn w:val="Normal"/>
    <w:uiPriority w:val="3"/>
    <w:unhideWhenUsed/>
    <w:qFormat/>
    <w:rsid w:val="00F83C5C"/>
    <w:pPr>
      <w:spacing w:line="293" w:lineRule="auto"/>
      <w:ind w:left="907"/>
      <w:contextualSpacing/>
    </w:pPr>
  </w:style>
  <w:style w:type="character" w:customStyle="1" w:styleId="Heading3Char">
    <w:name w:val="Heading 3 Char"/>
    <w:basedOn w:val="DefaultParagraphFont"/>
    <w:link w:val="Heading3"/>
    <w:uiPriority w:val="9"/>
    <w:rsid w:val="00F83C5C"/>
    <w:rPr>
      <w:rFonts w:asciiTheme="majorHAnsi" w:eastAsiaTheme="majorEastAsia" w:hAnsiTheme="majorHAnsi" w:cstheme="majorBidi"/>
      <w:color w:val="88401D" w:themeColor="text2" w:themeShade="BF"/>
      <w:sz w:val="26"/>
      <w:szCs w:val="37"/>
    </w:rPr>
  </w:style>
  <w:style w:type="character" w:customStyle="1" w:styleId="Heading4Char">
    <w:name w:val="Heading 4 Char"/>
    <w:basedOn w:val="DefaultParagraphFont"/>
    <w:link w:val="Heading4"/>
    <w:uiPriority w:val="9"/>
    <w:rsid w:val="00F83C5C"/>
    <w:rPr>
      <w:rFonts w:asciiTheme="majorHAnsi" w:eastAsiaTheme="majorEastAsia" w:hAnsiTheme="majorHAnsi" w:cstheme="majorBidi"/>
      <w:iCs/>
      <w:color w:val="5BA5DA" w:themeColor="background2"/>
      <w:szCs w:val="33"/>
    </w:rPr>
  </w:style>
  <w:style w:type="character" w:customStyle="1" w:styleId="Heading5Char">
    <w:name w:val="Heading 5 Char"/>
    <w:basedOn w:val="DefaultParagraphFont"/>
    <w:link w:val="Heading5"/>
    <w:uiPriority w:val="9"/>
    <w:rsid w:val="00F83C5C"/>
    <w:rPr>
      <w:rFonts w:eastAsiaTheme="majorEastAsia" w:cstheme="majorBidi"/>
      <w:b/>
      <w:color w:val="5BA5DA" w:themeColor="background2"/>
      <w:szCs w:val="29"/>
    </w:rPr>
  </w:style>
  <w:style w:type="numbering" w:customStyle="1" w:styleId="ListHeadings">
    <w:name w:val="List Headings"/>
    <w:uiPriority w:val="99"/>
    <w:rsid w:val="00F83C5C"/>
  </w:style>
  <w:style w:type="paragraph" w:styleId="Title">
    <w:name w:val="Title"/>
    <w:basedOn w:val="Heading1"/>
    <w:next w:val="Normal"/>
    <w:link w:val="TitleChar"/>
    <w:uiPriority w:val="10"/>
    <w:qFormat/>
    <w:rsid w:val="00F83C5C"/>
    <w:pPr>
      <w:pBdr>
        <w:top w:val="none" w:sz="0" w:space="0" w:color="auto"/>
        <w:left w:val="none" w:sz="0" w:space="0" w:color="auto"/>
        <w:bottom w:val="none" w:sz="0" w:space="0" w:color="auto"/>
        <w:right w:val="none" w:sz="0" w:space="0" w:color="auto"/>
      </w:pBdr>
      <w:shd w:val="clear" w:color="auto" w:fill="auto"/>
      <w:spacing w:before="560" w:line="204" w:lineRule="auto"/>
      <w:ind w:left="0" w:right="2268" w:firstLine="0"/>
      <w:contextualSpacing/>
    </w:pPr>
    <w:rPr>
      <w:rFonts w:eastAsiaTheme="majorEastAsia" w:cstheme="majorBidi"/>
      <w:kern w:val="28"/>
      <w:sz w:val="52"/>
      <w:szCs w:val="56"/>
    </w:rPr>
  </w:style>
  <w:style w:type="character" w:customStyle="1" w:styleId="TitleChar">
    <w:name w:val="Title Char"/>
    <w:basedOn w:val="DefaultParagraphFont"/>
    <w:link w:val="Title"/>
    <w:uiPriority w:val="10"/>
    <w:rsid w:val="00F83C5C"/>
    <w:rPr>
      <w:rFonts w:asciiTheme="majorHAnsi" w:eastAsiaTheme="majorEastAsia" w:hAnsiTheme="majorHAnsi" w:cstheme="majorBidi"/>
      <w:color w:val="775538" w:themeColor="background1"/>
      <w:kern w:val="28"/>
      <w:sz w:val="52"/>
      <w:szCs w:val="56"/>
    </w:rPr>
  </w:style>
  <w:style w:type="paragraph" w:customStyle="1" w:styleId="Pull-outQuote">
    <w:name w:val="Pull-out Quote"/>
    <w:basedOn w:val="Normal"/>
    <w:link w:val="Pull-outQuoteChar"/>
    <w:uiPriority w:val="99"/>
    <w:semiHidden/>
    <w:rsid w:val="00F83C5C"/>
    <w:pPr>
      <w:pBdr>
        <w:top w:val="single" w:sz="4" w:space="4" w:color="B65627" w:themeColor="text2"/>
        <w:left w:val="single" w:sz="4" w:space="4" w:color="B65627" w:themeColor="text2"/>
        <w:bottom w:val="single" w:sz="4" w:space="4" w:color="B65627" w:themeColor="text2"/>
        <w:right w:val="single" w:sz="4" w:space="4" w:color="B65627" w:themeColor="text2"/>
      </w:pBdr>
      <w:shd w:val="clear" w:color="auto" w:fill="B65627" w:themeFill="text2"/>
      <w:spacing w:line="293" w:lineRule="auto"/>
      <w:ind w:left="113" w:right="113"/>
    </w:pPr>
    <w:rPr>
      <w:color w:val="775538" w:themeColor="background1"/>
    </w:rPr>
  </w:style>
  <w:style w:type="paragraph" w:customStyle="1" w:styleId="Pull-outQuoteHeading">
    <w:name w:val="Pull-out Quote Heading"/>
    <w:basedOn w:val="Pull-outQuote"/>
    <w:next w:val="Pull-outQuote"/>
    <w:link w:val="Pull-outQuoteHeadingChar"/>
    <w:uiPriority w:val="99"/>
    <w:semiHidden/>
    <w:rsid w:val="00F83C5C"/>
    <w:rPr>
      <w:b/>
    </w:rPr>
  </w:style>
  <w:style w:type="character" w:customStyle="1" w:styleId="Pull-outQuoteChar">
    <w:name w:val="Pull-out Quote Char"/>
    <w:basedOn w:val="DefaultParagraphFont"/>
    <w:link w:val="Pull-outQuote"/>
    <w:uiPriority w:val="99"/>
    <w:semiHidden/>
    <w:rsid w:val="00F83C5C"/>
    <w:rPr>
      <w:color w:val="775538" w:themeColor="background1"/>
      <w:sz w:val="20"/>
      <w:szCs w:val="20"/>
      <w:shd w:val="clear" w:color="auto" w:fill="B65627" w:themeFill="text2"/>
    </w:rPr>
  </w:style>
  <w:style w:type="character" w:customStyle="1" w:styleId="Pull-outQuoteHeadingChar">
    <w:name w:val="Pull-out Quote Heading Char"/>
    <w:basedOn w:val="Pull-outQuoteChar"/>
    <w:link w:val="Pull-outQuoteHeading"/>
    <w:uiPriority w:val="99"/>
    <w:semiHidden/>
    <w:rsid w:val="00F83C5C"/>
    <w:rPr>
      <w:b/>
      <w:color w:val="775538" w:themeColor="background1"/>
      <w:sz w:val="20"/>
      <w:szCs w:val="20"/>
      <w:shd w:val="clear" w:color="auto" w:fill="B65627" w:themeFill="text2"/>
    </w:rPr>
  </w:style>
  <w:style w:type="paragraph" w:customStyle="1" w:styleId="NumberedHeading1">
    <w:name w:val="Numbered Heading 1"/>
    <w:basedOn w:val="Heading1"/>
    <w:next w:val="Normal"/>
    <w:link w:val="NumberedHeading1Char"/>
    <w:uiPriority w:val="9"/>
    <w:semiHidden/>
    <w:rsid w:val="00F83C5C"/>
  </w:style>
  <w:style w:type="paragraph" w:customStyle="1" w:styleId="NumberedHeading2">
    <w:name w:val="Numbered Heading 2"/>
    <w:basedOn w:val="Heading2"/>
    <w:next w:val="Normal"/>
    <w:link w:val="NumberedHeading2Char"/>
    <w:uiPriority w:val="9"/>
    <w:semiHidden/>
    <w:rsid w:val="00F83C5C"/>
  </w:style>
  <w:style w:type="character" w:customStyle="1" w:styleId="NumberedHeading1Char">
    <w:name w:val="Numbered Heading 1 Char"/>
    <w:basedOn w:val="Heading1Char"/>
    <w:link w:val="NumberedHeading1"/>
    <w:uiPriority w:val="9"/>
    <w:semiHidden/>
    <w:rsid w:val="00F83C5C"/>
    <w:rPr>
      <w:rFonts w:asciiTheme="majorHAnsi" w:hAnsiTheme="majorHAnsi"/>
      <w:color w:val="775538" w:themeColor="background1"/>
      <w:sz w:val="42"/>
      <w:szCs w:val="20"/>
      <w:shd w:val="clear" w:color="auto" w:fill="5BA5DA" w:themeFill="background2"/>
    </w:rPr>
  </w:style>
  <w:style w:type="character" w:customStyle="1" w:styleId="NumberedHeading2Char">
    <w:name w:val="Numbered Heading 2 Char"/>
    <w:basedOn w:val="Heading2Char"/>
    <w:link w:val="NumberedHeading2"/>
    <w:uiPriority w:val="9"/>
    <w:semiHidden/>
    <w:rsid w:val="00F83C5C"/>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F83C5C"/>
    <w:pPr>
      <w:ind w:left="1134"/>
      <w:contextualSpacing/>
    </w:pPr>
  </w:style>
  <w:style w:type="table" w:styleId="TableGrid">
    <w:name w:val="Table Grid"/>
    <w:basedOn w:val="TableNormal"/>
    <w:uiPriority w:val="39"/>
    <w:rsid w:val="00F83C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qFormat/>
    <w:rsid w:val="00F83C5C"/>
    <w:pPr>
      <w:spacing w:before="0" w:after="40"/>
    </w:pPr>
    <w:rPr>
      <w:rFonts w:asciiTheme="majorHAnsi" w:hAnsiTheme="majorHAnsi"/>
      <w:iCs/>
      <w:color w:val="8C5E44" w:themeColor="text1"/>
      <w:szCs w:val="18"/>
    </w:rPr>
  </w:style>
  <w:style w:type="paragraph" w:styleId="List">
    <w:name w:val="List"/>
    <w:basedOn w:val="Normal"/>
    <w:uiPriority w:val="99"/>
    <w:semiHidden/>
    <w:qFormat/>
    <w:rsid w:val="00F83C5C"/>
    <w:pPr>
      <w:spacing w:before="60"/>
      <w:ind w:left="227" w:hanging="227"/>
    </w:pPr>
  </w:style>
  <w:style w:type="paragraph" w:styleId="List2">
    <w:name w:val="List 2"/>
    <w:basedOn w:val="Normal"/>
    <w:uiPriority w:val="99"/>
    <w:semiHidden/>
    <w:qFormat/>
    <w:rsid w:val="00F83C5C"/>
    <w:pPr>
      <w:spacing w:before="60"/>
      <w:ind w:left="454" w:hanging="227"/>
    </w:pPr>
  </w:style>
  <w:style w:type="numbering" w:customStyle="1" w:styleId="LetteredList">
    <w:name w:val="Lettered List"/>
    <w:uiPriority w:val="99"/>
    <w:rsid w:val="00F83C5C"/>
  </w:style>
  <w:style w:type="paragraph" w:styleId="Subtitle">
    <w:name w:val="Subtitle"/>
    <w:basedOn w:val="Normal"/>
    <w:next w:val="Normal"/>
    <w:link w:val="SubtitleChar"/>
    <w:uiPriority w:val="11"/>
    <w:qFormat/>
    <w:rsid w:val="00F83C5C"/>
    <w:pPr>
      <w:numPr>
        <w:ilvl w:val="1"/>
      </w:numPr>
      <w:spacing w:before="240" w:after="240" w:line="240" w:lineRule="auto"/>
    </w:pPr>
    <w:rPr>
      <w:rFonts w:eastAsiaTheme="minorEastAsia"/>
      <w:color w:val="775538" w:themeColor="background1"/>
      <w:sz w:val="52"/>
    </w:rPr>
  </w:style>
  <w:style w:type="character" w:customStyle="1" w:styleId="SubtitleChar">
    <w:name w:val="Subtitle Char"/>
    <w:basedOn w:val="DefaultParagraphFont"/>
    <w:link w:val="Subtitle"/>
    <w:uiPriority w:val="11"/>
    <w:rsid w:val="00F83C5C"/>
    <w:rPr>
      <w:rFonts w:eastAsiaTheme="minorEastAsia"/>
      <w:color w:val="775538" w:themeColor="background1"/>
      <w:sz w:val="52"/>
      <w:szCs w:val="20"/>
    </w:rPr>
  </w:style>
  <w:style w:type="character" w:styleId="Strong">
    <w:name w:val="Strong"/>
    <w:basedOn w:val="DefaultParagraphFont"/>
    <w:uiPriority w:val="22"/>
    <w:qFormat/>
    <w:rsid w:val="00F83C5C"/>
    <w:rPr>
      <w:rFonts w:asciiTheme="minorHAnsi" w:hAnsiTheme="minorHAnsi"/>
      <w:b/>
      <w:bCs/>
    </w:rPr>
  </w:style>
  <w:style w:type="paragraph" w:customStyle="1" w:styleId="Header-Keyline">
    <w:name w:val="Header - Keyline"/>
    <w:basedOn w:val="Header"/>
    <w:link w:val="Header-KeylineChar"/>
    <w:uiPriority w:val="99"/>
    <w:rsid w:val="00F83C5C"/>
    <w:pPr>
      <w:pBdr>
        <w:bottom w:val="single" w:sz="4" w:space="31" w:color="B65627" w:themeColor="text2"/>
      </w:pBdr>
      <w:spacing w:after="600"/>
    </w:pPr>
  </w:style>
  <w:style w:type="character" w:customStyle="1" w:styleId="Heading6Char">
    <w:name w:val="Heading 6 Char"/>
    <w:basedOn w:val="DefaultParagraphFont"/>
    <w:link w:val="Heading6"/>
    <w:uiPriority w:val="9"/>
    <w:rsid w:val="00F83C5C"/>
    <w:rPr>
      <w:rFonts w:eastAsiaTheme="majorEastAsia" w:cstheme="minorHAnsi"/>
      <w:b/>
      <w:bCs/>
      <w:i/>
      <w:color w:val="5BA5DA" w:themeColor="background2"/>
      <w:sz w:val="20"/>
      <w:szCs w:val="24"/>
    </w:rPr>
  </w:style>
  <w:style w:type="character" w:customStyle="1" w:styleId="Header-KeylineChar">
    <w:name w:val="Header - Keyline Char"/>
    <w:basedOn w:val="HeaderChar"/>
    <w:link w:val="Header-Keyline"/>
    <w:uiPriority w:val="99"/>
    <w:rsid w:val="00F83C5C"/>
    <w:rPr>
      <w:sz w:val="16"/>
      <w:szCs w:val="20"/>
    </w:rPr>
  </w:style>
  <w:style w:type="character" w:customStyle="1" w:styleId="Heading7Char">
    <w:name w:val="Heading 7 Char"/>
    <w:basedOn w:val="DefaultParagraphFont"/>
    <w:link w:val="Heading7"/>
    <w:uiPriority w:val="9"/>
    <w:semiHidden/>
    <w:rsid w:val="00F83C5C"/>
    <w:rPr>
      <w:rFonts w:eastAsiaTheme="majorEastAsia" w:cstheme="minorHAnsi"/>
      <w:b/>
      <w:bCs/>
      <w:i/>
      <w:iCs/>
      <w:color w:val="5BA5DA" w:themeColor="background2"/>
      <w:sz w:val="20"/>
    </w:rPr>
  </w:style>
  <w:style w:type="character" w:customStyle="1" w:styleId="Heading8Char">
    <w:name w:val="Heading 8 Char"/>
    <w:basedOn w:val="DefaultParagraphFont"/>
    <w:link w:val="Heading8"/>
    <w:uiPriority w:val="9"/>
    <w:semiHidden/>
    <w:rsid w:val="00F83C5C"/>
    <w:rPr>
      <w:rFonts w:eastAsiaTheme="majorEastAsia" w:cstheme="majorBidi"/>
      <w:b/>
      <w:sz w:val="18"/>
      <w:szCs w:val="21"/>
    </w:rPr>
  </w:style>
  <w:style w:type="table" w:customStyle="1" w:styleId="ProductivityCommissionTable1">
    <w:name w:val="Productivity Commission Table 1"/>
    <w:basedOn w:val="TableNormal"/>
    <w:uiPriority w:val="99"/>
    <w:rsid w:val="00F83C5C"/>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5BA5DA" w:themeColor="background2"/>
      </w:rPr>
    </w:tblStylePr>
    <w:tblStylePr w:type="firstCol">
      <w:rPr>
        <w:b/>
        <w:color w:val="5BA5D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F83C5C"/>
    <w:rPr>
      <w:rFonts w:asciiTheme="majorHAnsi" w:hAnsiTheme="majorHAnsi"/>
      <w:color w:val="2D7ABE" w:themeColor="accent2"/>
      <w:sz w:val="18"/>
      <w:szCs w:val="18"/>
    </w:rPr>
  </w:style>
  <w:style w:type="table" w:customStyle="1" w:styleId="ProductivityCommissionTable3">
    <w:name w:val="Productivity Commission Table 3"/>
    <w:basedOn w:val="TableNormal"/>
    <w:uiPriority w:val="99"/>
    <w:rsid w:val="00F83C5C"/>
    <w:pPr>
      <w:spacing w:after="0" w:line="240" w:lineRule="auto"/>
      <w:jc w:val="right"/>
    </w:pPr>
    <w:tblPr>
      <w:tblCellMar>
        <w:top w:w="45" w:type="dxa"/>
        <w:left w:w="0" w:type="dxa"/>
        <w:bottom w:w="45" w:type="dxa"/>
        <w:right w:w="28" w:type="dxa"/>
      </w:tblCellMar>
    </w:tblPr>
    <w:tblStylePr w:type="firstRow">
      <w:rPr>
        <w:b/>
        <w:color w:val="B65627" w:themeColor="text2"/>
      </w:rPr>
      <w:tblPr/>
      <w:tcPr>
        <w:tcBorders>
          <w:top w:val="nil"/>
          <w:left w:val="nil"/>
          <w:bottom w:val="single" w:sz="4" w:space="0" w:color="5DC08F" w:themeColor="accent3"/>
          <w:right w:val="nil"/>
          <w:insideH w:val="nil"/>
          <w:insideV w:val="nil"/>
          <w:tl2br w:val="nil"/>
          <w:tr2bl w:val="nil"/>
        </w:tcBorders>
      </w:tcPr>
    </w:tblStylePr>
    <w:tblStylePr w:type="lastRow">
      <w:rPr>
        <w:b/>
      </w:rPr>
      <w:tblPr/>
      <w:tcPr>
        <w:tcBorders>
          <w:top w:val="single" w:sz="4" w:space="0" w:color="5DC08F" w:themeColor="accent3"/>
          <w:left w:val="nil"/>
          <w:bottom w:val="single" w:sz="4" w:space="0" w:color="5DC08F"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qFormat/>
    <w:rsid w:val="00F83C5C"/>
    <w:pPr>
      <w:spacing w:before="240" w:after="240" w:line="500" w:lineRule="atLeast"/>
      <w:outlineLvl w:val="0"/>
    </w:pPr>
    <w:rPr>
      <w:rFonts w:asciiTheme="majorHAnsi" w:hAnsiTheme="majorHAnsi"/>
      <w:color w:val="5BA5DA" w:themeColor="background2"/>
      <w:sz w:val="42"/>
      <w:szCs w:val="20"/>
    </w:rPr>
  </w:style>
  <w:style w:type="paragraph" w:styleId="FootnoteText">
    <w:name w:val="footnote text"/>
    <w:basedOn w:val="Normal"/>
    <w:link w:val="FootnoteTextChar"/>
    <w:uiPriority w:val="99"/>
    <w:rsid w:val="00F83C5C"/>
    <w:pPr>
      <w:spacing w:before="60" w:after="60" w:line="293" w:lineRule="auto"/>
      <w:contextualSpacing/>
    </w:pPr>
    <w:rPr>
      <w:sz w:val="18"/>
    </w:rPr>
  </w:style>
  <w:style w:type="paragraph" w:styleId="TOC1">
    <w:name w:val="toc 1"/>
    <w:basedOn w:val="Normal"/>
    <w:next w:val="BodyText"/>
    <w:autoRedefine/>
    <w:uiPriority w:val="39"/>
    <w:unhideWhenUsed/>
    <w:rsid w:val="00447594"/>
    <w:pPr>
      <w:tabs>
        <w:tab w:val="left" w:pos="0"/>
        <w:tab w:val="right" w:pos="7938"/>
      </w:tabs>
      <w:spacing w:after="100" w:line="293" w:lineRule="auto"/>
      <w:ind w:left="567" w:right="1701" w:hanging="567"/>
    </w:pPr>
    <w:rPr>
      <w:rFonts w:asciiTheme="majorHAnsi" w:hAnsiTheme="majorHAnsi"/>
      <w:color w:val="B65627" w:themeColor="text2"/>
    </w:rPr>
  </w:style>
  <w:style w:type="character" w:customStyle="1" w:styleId="FootnoteTextChar">
    <w:name w:val="Footnote Text Char"/>
    <w:basedOn w:val="DefaultParagraphFont"/>
    <w:link w:val="FootnoteText"/>
    <w:uiPriority w:val="99"/>
    <w:rsid w:val="00F83C5C"/>
    <w:rPr>
      <w:sz w:val="18"/>
      <w:szCs w:val="20"/>
    </w:rPr>
  </w:style>
  <w:style w:type="character" w:styleId="FootnoteReference">
    <w:name w:val="footnote reference"/>
    <w:basedOn w:val="DefaultParagraphFont"/>
    <w:uiPriority w:val="99"/>
    <w:semiHidden/>
    <w:unhideWhenUsed/>
    <w:rsid w:val="00F83C5C"/>
    <w:rPr>
      <w:vertAlign w:val="superscript"/>
    </w:rPr>
  </w:style>
  <w:style w:type="character" w:styleId="Hyperlink">
    <w:name w:val="Hyperlink"/>
    <w:basedOn w:val="DefaultParagraphFont"/>
    <w:uiPriority w:val="99"/>
    <w:unhideWhenUsed/>
    <w:rsid w:val="00F83C5C"/>
    <w:rPr>
      <w:color w:val="000000" w:themeColor="hyperlink"/>
      <w:u w:val="single"/>
    </w:rPr>
  </w:style>
  <w:style w:type="character" w:styleId="HTMLVariable">
    <w:name w:val="HTML Variable"/>
    <w:basedOn w:val="DefaultParagraphFont"/>
    <w:uiPriority w:val="99"/>
    <w:unhideWhenUsed/>
    <w:rsid w:val="00F83C5C"/>
    <w:rPr>
      <w:i/>
      <w:iCs/>
    </w:rPr>
  </w:style>
  <w:style w:type="paragraph" w:styleId="TOC2">
    <w:name w:val="toc 2"/>
    <w:basedOn w:val="Normal"/>
    <w:next w:val="Normal"/>
    <w:autoRedefine/>
    <w:uiPriority w:val="39"/>
    <w:unhideWhenUsed/>
    <w:rsid w:val="00F83C5C"/>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104653"/>
    <w:pPr>
      <w:tabs>
        <w:tab w:val="right" w:pos="7938"/>
      </w:tabs>
      <w:spacing w:after="100" w:line="293" w:lineRule="auto"/>
      <w:ind w:right="1701"/>
    </w:pPr>
    <w:rPr>
      <w:rFonts w:cstheme="minorHAnsi"/>
      <w:noProof/>
      <w:color w:val="5BA5DA" w:themeColor="background2"/>
    </w:rPr>
  </w:style>
  <w:style w:type="paragraph" w:customStyle="1" w:styleId="Subtitle2">
    <w:name w:val="Subtitle 2"/>
    <w:basedOn w:val="Normal"/>
    <w:link w:val="Subtitle2Char"/>
    <w:uiPriority w:val="39"/>
    <w:rsid w:val="00F83C5C"/>
    <w:pPr>
      <w:spacing w:before="180" w:line="293" w:lineRule="auto"/>
    </w:pPr>
    <w:rPr>
      <w:rFonts w:asciiTheme="majorHAnsi" w:hAnsiTheme="majorHAnsi"/>
      <w:color w:val="775538" w:themeColor="background1"/>
      <w:spacing w:val="6"/>
      <w:sz w:val="28"/>
    </w:rPr>
  </w:style>
  <w:style w:type="paragraph" w:customStyle="1" w:styleId="Copyrightpage-Heading2">
    <w:name w:val="Copyright page-Heading 2"/>
    <w:basedOn w:val="NoSpacing"/>
    <w:link w:val="Copyrightpage-Heading2Char"/>
    <w:uiPriority w:val="19"/>
    <w:rsid w:val="00F83C5C"/>
    <w:pPr>
      <w:spacing w:before="240" w:after="60"/>
    </w:pPr>
    <w:rPr>
      <w:b/>
      <w:color w:val="775538" w:themeColor="background1"/>
      <w:sz w:val="16"/>
      <w:szCs w:val="16"/>
    </w:rPr>
  </w:style>
  <w:style w:type="character" w:customStyle="1" w:styleId="Subtitle2Char">
    <w:name w:val="Subtitle 2 Char"/>
    <w:basedOn w:val="DefaultParagraphFont"/>
    <w:link w:val="Subtitle2"/>
    <w:uiPriority w:val="39"/>
    <w:rsid w:val="00F83C5C"/>
    <w:rPr>
      <w:rFonts w:asciiTheme="majorHAnsi" w:hAnsiTheme="majorHAnsi"/>
      <w:color w:val="775538" w:themeColor="background1"/>
      <w:spacing w:val="6"/>
      <w:sz w:val="28"/>
      <w:szCs w:val="20"/>
    </w:rPr>
  </w:style>
  <w:style w:type="paragraph" w:customStyle="1" w:styleId="Copyrightpage-BodyText">
    <w:name w:val="Copyright page-Body Text"/>
    <w:basedOn w:val="Normal"/>
    <w:link w:val="Copyrightpage-BodyTextChar"/>
    <w:uiPriority w:val="19"/>
    <w:rsid w:val="00F83C5C"/>
    <w:pPr>
      <w:spacing w:before="80" w:line="250" w:lineRule="atLeast"/>
    </w:pPr>
    <w:rPr>
      <w:color w:val="775538" w:themeColor="background1"/>
      <w:sz w:val="16"/>
    </w:rPr>
  </w:style>
  <w:style w:type="character" w:customStyle="1" w:styleId="NoSpacingChar">
    <w:name w:val="No Spacing Char"/>
    <w:basedOn w:val="DefaultParagraphFont"/>
    <w:link w:val="NoSpacing"/>
    <w:uiPriority w:val="10"/>
    <w:rsid w:val="00F83C5C"/>
    <w:rPr>
      <w:sz w:val="20"/>
      <w:szCs w:val="20"/>
    </w:rPr>
  </w:style>
  <w:style w:type="character" w:customStyle="1" w:styleId="Copyrightpage-Heading2Char">
    <w:name w:val="Copyright page-Heading 2 Char"/>
    <w:basedOn w:val="NoSpacingChar"/>
    <w:link w:val="Copyrightpage-Heading2"/>
    <w:uiPriority w:val="19"/>
    <w:rsid w:val="00F83C5C"/>
    <w:rPr>
      <w:b/>
      <w:color w:val="775538" w:themeColor="background1"/>
      <w:sz w:val="16"/>
      <w:szCs w:val="16"/>
    </w:rPr>
  </w:style>
  <w:style w:type="paragraph" w:customStyle="1" w:styleId="Copyrightpage-Heading">
    <w:name w:val="Copyright page-Heading"/>
    <w:basedOn w:val="Subtitle2"/>
    <w:link w:val="Copyrightpage-HeadingChar"/>
    <w:uiPriority w:val="19"/>
    <w:rsid w:val="00F83C5C"/>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F83C5C"/>
    <w:rPr>
      <w:color w:val="775538" w:themeColor="background1"/>
      <w:sz w:val="16"/>
      <w:szCs w:val="20"/>
    </w:rPr>
  </w:style>
  <w:style w:type="paragraph" w:customStyle="1" w:styleId="Subtitle4">
    <w:name w:val="Subtitle 4"/>
    <w:basedOn w:val="Copyrightpage-Heading"/>
    <w:link w:val="Subtitle4Char"/>
    <w:uiPriority w:val="39"/>
    <w:rsid w:val="00F83C5C"/>
    <w:pPr>
      <w:spacing w:after="40"/>
    </w:pPr>
    <w:rPr>
      <w:b/>
      <w:sz w:val="16"/>
    </w:rPr>
  </w:style>
  <w:style w:type="character" w:customStyle="1" w:styleId="Copyrightpage-HeadingChar">
    <w:name w:val="Copyright page-Heading Char"/>
    <w:basedOn w:val="Subtitle2Char"/>
    <w:link w:val="Copyrightpage-Heading"/>
    <w:uiPriority w:val="19"/>
    <w:rsid w:val="00F83C5C"/>
    <w:rPr>
      <w:rFonts w:asciiTheme="majorHAnsi" w:hAnsiTheme="majorHAnsi"/>
      <w:color w:val="775538" w:themeColor="background1"/>
      <w:spacing w:val="4"/>
      <w:sz w:val="19"/>
      <w:szCs w:val="18"/>
    </w:rPr>
  </w:style>
  <w:style w:type="paragraph" w:customStyle="1" w:styleId="Heading1-noTOC">
    <w:name w:val="Heading 1-no TOC"/>
    <w:next w:val="BodyText"/>
    <w:uiPriority w:val="9"/>
    <w:qFormat/>
    <w:rsid w:val="00F83C5C"/>
    <w:pPr>
      <w:spacing w:before="600" w:after="480" w:line="504" w:lineRule="atLeast"/>
    </w:pPr>
    <w:rPr>
      <w:rFonts w:asciiTheme="majorHAnsi" w:eastAsiaTheme="majorEastAsia" w:hAnsiTheme="majorHAnsi" w:cstheme="majorBidi"/>
      <w:b/>
      <w:color w:val="5BA5DA" w:themeColor="background2"/>
      <w:sz w:val="42"/>
      <w:szCs w:val="68"/>
    </w:rPr>
  </w:style>
  <w:style w:type="character" w:customStyle="1" w:styleId="Subtitle4Char">
    <w:name w:val="Subtitle 4 Char"/>
    <w:basedOn w:val="Copyrightpage-HeadingChar"/>
    <w:link w:val="Subtitle4"/>
    <w:uiPriority w:val="39"/>
    <w:rsid w:val="00F83C5C"/>
    <w:rPr>
      <w:rFonts w:asciiTheme="majorHAnsi" w:hAnsiTheme="majorHAnsi"/>
      <w:b/>
      <w:color w:val="775538" w:themeColor="background1"/>
      <w:spacing w:val="4"/>
      <w:sz w:val="16"/>
      <w:szCs w:val="18"/>
    </w:rPr>
  </w:style>
  <w:style w:type="paragraph" w:customStyle="1" w:styleId="Heading2-noTOC">
    <w:name w:val="Heading 2-no TOC"/>
    <w:next w:val="BodyText"/>
    <w:uiPriority w:val="9"/>
    <w:unhideWhenUsed/>
    <w:qFormat/>
    <w:rsid w:val="00F83C5C"/>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F83C5C"/>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F83C5C"/>
    <w:pPr>
      <w:spacing w:line="360" w:lineRule="auto"/>
      <w:jc w:val="right"/>
    </w:pPr>
    <w:rPr>
      <w:sz w:val="16"/>
    </w:rPr>
  </w:style>
  <w:style w:type="paragraph" w:customStyle="1" w:styleId="Letterlogo">
    <w:name w:val="Letter logo"/>
    <w:basedOn w:val="LetterRight"/>
    <w:uiPriority w:val="99"/>
    <w:rsid w:val="00F83C5C"/>
    <w:pPr>
      <w:spacing w:after="320"/>
    </w:pPr>
  </w:style>
  <w:style w:type="character" w:customStyle="1" w:styleId="LetterRightChar">
    <w:name w:val="Letter Right Char"/>
    <w:basedOn w:val="DefaultParagraphFont"/>
    <w:link w:val="LetterRight"/>
    <w:uiPriority w:val="99"/>
    <w:rsid w:val="00F83C5C"/>
    <w:rPr>
      <w:sz w:val="16"/>
      <w:szCs w:val="20"/>
    </w:rPr>
  </w:style>
  <w:style w:type="character" w:styleId="UnresolvedMention">
    <w:name w:val="Unresolved Mention"/>
    <w:basedOn w:val="DefaultParagraphFont"/>
    <w:uiPriority w:val="99"/>
    <w:semiHidden/>
    <w:unhideWhenUsed/>
    <w:rsid w:val="00F83C5C"/>
    <w:rPr>
      <w:color w:val="605E5C"/>
      <w:shd w:val="clear" w:color="auto" w:fill="E1DFDD"/>
    </w:rPr>
  </w:style>
  <w:style w:type="paragraph" w:customStyle="1" w:styleId="LetterRight-NoSpace">
    <w:name w:val="Letter Right-No Space"/>
    <w:basedOn w:val="LetterRight"/>
    <w:uiPriority w:val="99"/>
    <w:rsid w:val="00F83C5C"/>
    <w:pPr>
      <w:spacing w:after="0"/>
    </w:pPr>
  </w:style>
  <w:style w:type="table" w:customStyle="1" w:styleId="Blank">
    <w:name w:val="Blank"/>
    <w:basedOn w:val="TableNormal"/>
    <w:uiPriority w:val="99"/>
    <w:rsid w:val="00F83C5C"/>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F83C5C"/>
    <w:pPr>
      <w:numPr>
        <w:numId w:val="1"/>
      </w:numPr>
      <w:contextualSpacing/>
    </w:pPr>
  </w:style>
  <w:style w:type="paragraph" w:customStyle="1" w:styleId="Coverdate">
    <w:name w:val="Cover date"/>
    <w:basedOn w:val="Normal"/>
    <w:uiPriority w:val="29"/>
    <w:rsid w:val="00F83C5C"/>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F83C5C"/>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5BA5DA" w:themeColor="background2"/>
      </w:rPr>
    </w:tblStylePr>
    <w:tblStylePr w:type="firstCol">
      <w:rPr>
        <w:b/>
        <w:color w:val="5BA5DA" w:themeColor="background2"/>
      </w:rPr>
    </w:tblStylePr>
    <w:tblStylePr w:type="band1Horz">
      <w:tblPr/>
      <w:tcPr>
        <w:shd w:val="clear" w:color="auto" w:fill="F1F1F2"/>
      </w:tcPr>
    </w:tblStylePr>
  </w:style>
  <w:style w:type="character" w:customStyle="1" w:styleId="White">
    <w:name w:val="White"/>
    <w:basedOn w:val="DefaultParagraphFont"/>
    <w:uiPriority w:val="10"/>
    <w:rsid w:val="00F83C5C"/>
    <w:rPr>
      <w:color w:val="775538" w:themeColor="background1"/>
    </w:rPr>
  </w:style>
  <w:style w:type="paragraph" w:customStyle="1" w:styleId="Copyrightpage-Keylinenotext">
    <w:name w:val="Copyright page-Keyline (no text)"/>
    <w:basedOn w:val="Copyrightpage-Heading2"/>
    <w:uiPriority w:val="19"/>
    <w:rsid w:val="00F83C5C"/>
    <w:pPr>
      <w:pBdr>
        <w:top w:val="single" w:sz="4" w:space="8" w:color="B65627" w:themeColor="text2"/>
      </w:pBdr>
      <w:spacing w:after="0" w:line="168" w:lineRule="auto"/>
    </w:pPr>
    <w:rPr>
      <w:b w:val="0"/>
      <w:color w:val="5BA5DA" w:themeColor="background2"/>
    </w:rPr>
  </w:style>
  <w:style w:type="table" w:customStyle="1" w:styleId="ProductivityCommissionTable4">
    <w:name w:val="Productivity Commission Table 4"/>
    <w:basedOn w:val="ProductivityCommissionTable3"/>
    <w:uiPriority w:val="99"/>
    <w:rsid w:val="00F83C5C"/>
    <w:pPr>
      <w:jc w:val="left"/>
    </w:pPr>
    <w:tblPr/>
    <w:tblStylePr w:type="firstRow">
      <w:rPr>
        <w:b/>
        <w:color w:val="5BA5D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F83C5C"/>
    <w:rPr>
      <w:b/>
    </w:rPr>
  </w:style>
  <w:style w:type="paragraph" w:customStyle="1" w:styleId="CoverImage">
    <w:name w:val="Cover Image"/>
    <w:basedOn w:val="Normal"/>
    <w:uiPriority w:val="29"/>
    <w:rsid w:val="00F83C5C"/>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F83C5C"/>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F83C5C"/>
    <w:pPr>
      <w:spacing w:after="0" w:line="240" w:lineRule="auto"/>
    </w:pPr>
    <w:tblPr>
      <w:tblCellMar>
        <w:top w:w="567" w:type="dxa"/>
        <w:left w:w="567" w:type="dxa"/>
        <w:bottom w:w="680" w:type="dxa"/>
        <w:right w:w="1134" w:type="dxa"/>
      </w:tblCellMar>
    </w:tblPr>
    <w:tcPr>
      <w:shd w:val="clear" w:color="auto" w:fill="5BA5DA" w:themeFill="background2"/>
      <w:vAlign w:val="bottom"/>
    </w:tcPr>
  </w:style>
  <w:style w:type="paragraph" w:styleId="Quote">
    <w:name w:val="Quote"/>
    <w:basedOn w:val="BodyText"/>
    <w:next w:val="BodyText"/>
    <w:link w:val="QuoteChar"/>
    <w:uiPriority w:val="29"/>
    <w:qFormat/>
    <w:rsid w:val="00F83C5C"/>
    <w:pPr>
      <w:spacing w:before="60"/>
      <w:ind w:left="113" w:right="851"/>
    </w:pPr>
    <w:rPr>
      <w:color w:val="58585B"/>
    </w:rPr>
  </w:style>
  <w:style w:type="numbering" w:customStyle="1" w:styleId="TOCList">
    <w:name w:val="TOC List"/>
    <w:uiPriority w:val="99"/>
    <w:rsid w:val="00F83C5C"/>
    <w:pPr>
      <w:numPr>
        <w:numId w:val="22"/>
      </w:numPr>
    </w:pPr>
  </w:style>
  <w:style w:type="paragraph" w:customStyle="1" w:styleId="Heading1-Section-fullpage">
    <w:name w:val="Heading 1-Section-full page"/>
    <w:basedOn w:val="Heading1-nobackground"/>
    <w:uiPriority w:val="9"/>
    <w:qFormat/>
    <w:rsid w:val="00F83C5C"/>
    <w:pPr>
      <w:framePr w:w="9639" w:h="13041" w:hRule="exact" w:wrap="around" w:vAnchor="text" w:hAnchor="text" w:y="1" w:anchorLock="1"/>
      <w:pBdr>
        <w:top w:val="single" w:sz="4" w:space="31" w:color="5BA5DA" w:themeColor="background2"/>
        <w:left w:val="single" w:sz="4" w:space="26" w:color="5BA5DA" w:themeColor="background2"/>
        <w:bottom w:val="single" w:sz="4" w:space="26" w:color="5BA5DA" w:themeColor="background2"/>
        <w:right w:val="single" w:sz="4" w:space="26" w:color="5BA5DA" w:themeColor="background2"/>
      </w:pBdr>
      <w:shd w:val="clear" w:color="auto" w:fill="5BA5DA" w:themeFill="background2"/>
      <w:spacing w:before="0"/>
      <w:ind w:left="567" w:right="567"/>
    </w:pPr>
    <w:rPr>
      <w:color w:val="B65627" w:themeColor="text2"/>
    </w:rPr>
  </w:style>
  <w:style w:type="table" w:customStyle="1" w:styleId="Texttable-Paleblue">
    <w:name w:val="Text table-Pale blue"/>
    <w:basedOn w:val="TableNormal"/>
    <w:uiPriority w:val="99"/>
    <w:rsid w:val="00F83C5C"/>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F83C5C"/>
    <w:pPr>
      <w:keepNext/>
      <w:spacing w:before="240"/>
    </w:pPr>
  </w:style>
  <w:style w:type="paragraph" w:customStyle="1" w:styleId="Source">
    <w:name w:val="Source"/>
    <w:basedOn w:val="Normal"/>
    <w:uiPriority w:val="9"/>
    <w:qFormat/>
    <w:rsid w:val="00F83C5C"/>
    <w:pPr>
      <w:spacing w:before="80" w:after="240" w:line="216" w:lineRule="atLeast"/>
    </w:pPr>
    <w:rPr>
      <w:sz w:val="18"/>
    </w:rPr>
  </w:style>
  <w:style w:type="paragraph" w:customStyle="1" w:styleId="Note">
    <w:name w:val="Note"/>
    <w:basedOn w:val="Source"/>
    <w:uiPriority w:val="9"/>
    <w:qFormat/>
    <w:rsid w:val="00F83C5C"/>
    <w:pPr>
      <w:spacing w:after="20"/>
    </w:pPr>
  </w:style>
  <w:style w:type="numbering" w:customStyle="1" w:styleId="Figure">
    <w:name w:val="Figure"/>
    <w:uiPriority w:val="99"/>
    <w:rsid w:val="00F83C5C"/>
    <w:pPr>
      <w:numPr>
        <w:numId w:val="1"/>
      </w:numPr>
    </w:pPr>
  </w:style>
  <w:style w:type="table" w:customStyle="1" w:styleId="Boxtable">
    <w:name w:val="Box table"/>
    <w:basedOn w:val="Texttable-Paleblue"/>
    <w:uiPriority w:val="99"/>
    <w:rsid w:val="00F83C5C"/>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F83C5C"/>
  </w:style>
  <w:style w:type="paragraph" w:customStyle="1" w:styleId="BoxHeading2">
    <w:name w:val="Box Heading 2"/>
    <w:basedOn w:val="Normal"/>
    <w:next w:val="BodyText"/>
    <w:uiPriority w:val="4"/>
    <w:qFormat/>
    <w:rsid w:val="00F83C5C"/>
    <w:rPr>
      <w:b/>
    </w:rPr>
  </w:style>
  <w:style w:type="table" w:customStyle="1" w:styleId="ProductivityCommissionTable2-Dark">
    <w:name w:val="Productivity Commission Table 2 - Dark"/>
    <w:basedOn w:val="ProductivityCommissionTable2"/>
    <w:uiPriority w:val="99"/>
    <w:rsid w:val="00F83C5C"/>
    <w:tblPr>
      <w:tblBorders>
        <w:top w:val="none" w:sz="0" w:space="0" w:color="auto"/>
        <w:bottom w:val="single" w:sz="4" w:space="0" w:color="B3B3B3"/>
        <w:insideH w:val="single" w:sz="4" w:space="0" w:color="B3B3B3"/>
      </w:tblBorders>
    </w:tblPr>
    <w:tblStylePr w:type="firstRow">
      <w:rPr>
        <w:b/>
        <w:color w:val="5BA5DA" w:themeColor="background2"/>
      </w:rPr>
    </w:tblStylePr>
    <w:tblStylePr w:type="firstCol">
      <w:rPr>
        <w:b/>
        <w:color w:val="5BA5D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F83C5C"/>
    <w:rPr>
      <w:i/>
    </w:rPr>
  </w:style>
  <w:style w:type="paragraph" w:customStyle="1" w:styleId="TableHeading">
    <w:name w:val="Table Heading"/>
    <w:basedOn w:val="NoSpacing"/>
    <w:uiPriority w:val="4"/>
    <w:qFormat/>
    <w:rsid w:val="00F83C5C"/>
    <w:pPr>
      <w:spacing w:after="20"/>
      <w:ind w:left="57"/>
    </w:pPr>
    <w:rPr>
      <w:b/>
      <w:color w:val="5BA5DA" w:themeColor="background2"/>
      <w:sz w:val="18"/>
    </w:rPr>
  </w:style>
  <w:style w:type="paragraph" w:customStyle="1" w:styleId="BodyText-Blue">
    <w:name w:val="Body Text-Blue"/>
    <w:basedOn w:val="BodyText"/>
    <w:link w:val="BodyText-BlueChar"/>
    <w:semiHidden/>
    <w:qFormat/>
    <w:rsid w:val="00F83C5C"/>
    <w:rPr>
      <w:color w:val="5BA5DA" w:themeColor="background2"/>
    </w:rPr>
  </w:style>
  <w:style w:type="table" w:customStyle="1" w:styleId="Texttable-Keyline">
    <w:name w:val="Text table-Keyline"/>
    <w:basedOn w:val="Texttable-Paleblue"/>
    <w:uiPriority w:val="99"/>
    <w:rsid w:val="00F83C5C"/>
    <w:tblPr>
      <w:tblBorders>
        <w:top w:val="single" w:sz="4" w:space="0" w:color="B65627" w:themeColor="text2"/>
        <w:left w:val="single" w:sz="4" w:space="0" w:color="B65627" w:themeColor="text2"/>
        <w:bottom w:val="single" w:sz="4" w:space="0" w:color="B65627" w:themeColor="text2"/>
        <w:right w:val="single" w:sz="4" w:space="0" w:color="B65627" w:themeColor="text2"/>
      </w:tblBorders>
    </w:tblPr>
    <w:tcPr>
      <w:shd w:val="clear" w:color="auto" w:fill="auto"/>
    </w:tcPr>
  </w:style>
  <w:style w:type="paragraph" w:customStyle="1" w:styleId="Header-KeylineRight">
    <w:name w:val="Header - Keyline Right"/>
    <w:basedOn w:val="Header-Keyline"/>
    <w:uiPriority w:val="99"/>
    <w:rsid w:val="00F83C5C"/>
    <w:pPr>
      <w:jc w:val="right"/>
    </w:pPr>
  </w:style>
  <w:style w:type="table" w:customStyle="1" w:styleId="CopyrightPage">
    <w:name w:val="Copyright Page"/>
    <w:basedOn w:val="OverviewPageBannerTableStyle"/>
    <w:uiPriority w:val="99"/>
    <w:rsid w:val="00F83C5C"/>
    <w:rPr>
      <w:color w:val="775538" w:themeColor="background1"/>
    </w:rPr>
    <w:tblPr>
      <w:tblCellMar>
        <w:top w:w="284" w:type="dxa"/>
        <w:left w:w="284" w:type="dxa"/>
        <w:bottom w:w="284" w:type="dxa"/>
        <w:right w:w="3119" w:type="dxa"/>
      </w:tblCellMar>
    </w:tblPr>
    <w:tcPr>
      <w:shd w:val="clear" w:color="auto" w:fill="5BA5DA" w:themeFill="background2"/>
    </w:tcPr>
  </w:style>
  <w:style w:type="paragraph" w:customStyle="1" w:styleId="Heading3-noTOC">
    <w:name w:val="Heading 3-no TOC"/>
    <w:basedOn w:val="Heading3"/>
    <w:uiPriority w:val="9"/>
    <w:qFormat/>
    <w:rsid w:val="00F83C5C"/>
    <w:pPr>
      <w:spacing w:line="312" w:lineRule="atLeast"/>
    </w:pPr>
    <w:rPr>
      <w:color w:val="2C9BC2"/>
    </w:rPr>
  </w:style>
  <w:style w:type="paragraph" w:styleId="BodyText">
    <w:name w:val="Body Text"/>
    <w:basedOn w:val="Normal"/>
    <w:link w:val="BodyTextChar"/>
    <w:qFormat/>
    <w:rsid w:val="00F83C5C"/>
  </w:style>
  <w:style w:type="character" w:customStyle="1" w:styleId="BodyTextChar">
    <w:name w:val="Body Text Char"/>
    <w:basedOn w:val="DefaultParagraphFont"/>
    <w:link w:val="BodyText"/>
    <w:rsid w:val="00F83C5C"/>
    <w:rPr>
      <w:sz w:val="20"/>
      <w:szCs w:val="20"/>
    </w:rPr>
  </w:style>
  <w:style w:type="paragraph" w:styleId="List4">
    <w:name w:val="List 4"/>
    <w:basedOn w:val="Normal"/>
    <w:uiPriority w:val="99"/>
    <w:semiHidden/>
    <w:rsid w:val="00F83C5C"/>
    <w:pPr>
      <w:ind w:left="1440" w:hanging="360"/>
      <w:contextualSpacing/>
    </w:pPr>
  </w:style>
  <w:style w:type="paragraph" w:styleId="List3">
    <w:name w:val="List 3"/>
    <w:basedOn w:val="Normal"/>
    <w:uiPriority w:val="99"/>
    <w:semiHidden/>
    <w:rsid w:val="00F83C5C"/>
    <w:pPr>
      <w:ind w:left="1080" w:hanging="360"/>
      <w:contextualSpacing/>
    </w:pPr>
  </w:style>
  <w:style w:type="paragraph" w:customStyle="1" w:styleId="Heading1-nonumber">
    <w:name w:val="Heading 1-no number"/>
    <w:basedOn w:val="Heading1"/>
    <w:next w:val="BodyText"/>
    <w:link w:val="Heading1-nonumberChar"/>
    <w:uiPriority w:val="9"/>
    <w:qFormat/>
    <w:rsid w:val="00F83C5C"/>
    <w:pPr>
      <w:ind w:left="567" w:firstLine="0"/>
    </w:pPr>
  </w:style>
  <w:style w:type="paragraph" w:customStyle="1" w:styleId="ListAlpha1">
    <w:name w:val="List Alpha 1"/>
    <w:basedOn w:val="Normal"/>
    <w:uiPriority w:val="3"/>
    <w:qFormat/>
    <w:rsid w:val="00F83C5C"/>
    <w:pPr>
      <w:spacing w:before="60"/>
      <w:ind w:left="1418" w:hanging="851"/>
      <w:contextualSpacing/>
    </w:pPr>
  </w:style>
  <w:style w:type="paragraph" w:customStyle="1" w:styleId="ListAlpha2">
    <w:name w:val="List Alpha 2"/>
    <w:basedOn w:val="ListAlpha1"/>
    <w:uiPriority w:val="3"/>
    <w:qFormat/>
    <w:rsid w:val="00F83C5C"/>
    <w:pPr>
      <w:ind w:left="851"/>
    </w:pPr>
  </w:style>
  <w:style w:type="paragraph" w:customStyle="1" w:styleId="ListAlpha3">
    <w:name w:val="List Alpha 3"/>
    <w:basedOn w:val="ListAlpha2"/>
    <w:uiPriority w:val="3"/>
    <w:qFormat/>
    <w:rsid w:val="00F83C5C"/>
    <w:pPr>
      <w:ind w:left="1080" w:hanging="360"/>
    </w:pPr>
  </w:style>
  <w:style w:type="paragraph" w:customStyle="1" w:styleId="ListAlpha4">
    <w:name w:val="List Alpha 4"/>
    <w:basedOn w:val="ListAlpha3"/>
    <w:uiPriority w:val="3"/>
    <w:semiHidden/>
    <w:qFormat/>
    <w:rsid w:val="00F83C5C"/>
    <w:pPr>
      <w:ind w:left="1440"/>
    </w:pPr>
  </w:style>
  <w:style w:type="numbering" w:customStyle="1" w:styleId="Alphalist">
    <w:name w:val="Alpha list"/>
    <w:uiPriority w:val="99"/>
    <w:rsid w:val="00F83C5C"/>
    <w:pPr>
      <w:numPr>
        <w:numId w:val="4"/>
      </w:numPr>
    </w:pPr>
  </w:style>
  <w:style w:type="paragraph" w:customStyle="1" w:styleId="KeyPoints-Bold">
    <w:name w:val="Key Points-Bold"/>
    <w:basedOn w:val="Normal"/>
    <w:uiPriority w:val="10"/>
    <w:qFormat/>
    <w:rsid w:val="00F83C5C"/>
    <w:pPr>
      <w:spacing w:before="40" w:after="60" w:line="274" w:lineRule="atLeast"/>
    </w:pPr>
    <w:rPr>
      <w:b/>
      <w:sz w:val="18"/>
    </w:rPr>
  </w:style>
  <w:style w:type="paragraph" w:customStyle="1" w:styleId="Copyrightpage-BodyBold">
    <w:name w:val="Copyright page-Body Bold"/>
    <w:basedOn w:val="Copyrightpage-BodyText"/>
    <w:uiPriority w:val="19"/>
    <w:rsid w:val="00F83C5C"/>
    <w:rPr>
      <w:b/>
    </w:rPr>
  </w:style>
  <w:style w:type="paragraph" w:customStyle="1" w:styleId="KeyPoints-Bullet">
    <w:name w:val="Key Points-Bullet"/>
    <w:basedOn w:val="ListBullet"/>
    <w:uiPriority w:val="10"/>
    <w:qFormat/>
    <w:rsid w:val="00F83C5C"/>
    <w:pPr>
      <w:spacing w:after="60" w:line="274" w:lineRule="atLeast"/>
    </w:pPr>
    <w:rPr>
      <w:sz w:val="18"/>
    </w:rPr>
  </w:style>
  <w:style w:type="paragraph" w:customStyle="1" w:styleId="BodyText-Grey">
    <w:name w:val="Body Text-Grey"/>
    <w:basedOn w:val="BodyText"/>
    <w:link w:val="BodyText-GreyChar"/>
    <w:semiHidden/>
    <w:qFormat/>
    <w:rsid w:val="00F83C5C"/>
    <w:rPr>
      <w:color w:val="58585B"/>
    </w:rPr>
  </w:style>
  <w:style w:type="character" w:customStyle="1" w:styleId="BodyText-GreyChar">
    <w:name w:val="Body Text-Grey Char"/>
    <w:basedOn w:val="BodyTextChar"/>
    <w:link w:val="BodyText-Grey"/>
    <w:semiHidden/>
    <w:rsid w:val="00F83C5C"/>
    <w:rPr>
      <w:color w:val="58585B"/>
      <w:sz w:val="20"/>
      <w:szCs w:val="20"/>
    </w:rPr>
  </w:style>
  <w:style w:type="paragraph" w:styleId="BalloonText">
    <w:name w:val="Balloon Text"/>
    <w:basedOn w:val="Normal"/>
    <w:link w:val="BalloonTextChar"/>
    <w:uiPriority w:val="99"/>
    <w:semiHidden/>
    <w:unhideWhenUsed/>
    <w:rsid w:val="00F83C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3C5C"/>
    <w:rPr>
      <w:rFonts w:ascii="Segoe UI" w:hAnsi="Segoe UI" w:cs="Segoe UI"/>
      <w:sz w:val="18"/>
      <w:szCs w:val="18"/>
    </w:rPr>
  </w:style>
  <w:style w:type="character" w:styleId="CommentReference">
    <w:name w:val="annotation reference"/>
    <w:basedOn w:val="DefaultParagraphFont"/>
    <w:uiPriority w:val="99"/>
    <w:semiHidden/>
    <w:unhideWhenUsed/>
    <w:rsid w:val="00F83C5C"/>
    <w:rPr>
      <w:sz w:val="16"/>
      <w:szCs w:val="16"/>
    </w:rPr>
  </w:style>
  <w:style w:type="paragraph" w:styleId="CommentText">
    <w:name w:val="annotation text"/>
    <w:basedOn w:val="Normal"/>
    <w:link w:val="CommentTextChar"/>
    <w:uiPriority w:val="99"/>
    <w:unhideWhenUsed/>
    <w:rsid w:val="00F83C5C"/>
    <w:pPr>
      <w:spacing w:line="240" w:lineRule="auto"/>
    </w:pPr>
  </w:style>
  <w:style w:type="character" w:customStyle="1" w:styleId="CommentTextChar">
    <w:name w:val="Comment Text Char"/>
    <w:basedOn w:val="DefaultParagraphFont"/>
    <w:link w:val="CommentText"/>
    <w:uiPriority w:val="99"/>
    <w:rsid w:val="00F83C5C"/>
    <w:rPr>
      <w:sz w:val="20"/>
      <w:szCs w:val="20"/>
    </w:rPr>
  </w:style>
  <w:style w:type="paragraph" w:styleId="CommentSubject">
    <w:name w:val="annotation subject"/>
    <w:basedOn w:val="CommentText"/>
    <w:next w:val="CommentText"/>
    <w:link w:val="CommentSubjectChar"/>
    <w:uiPriority w:val="99"/>
    <w:semiHidden/>
    <w:unhideWhenUsed/>
    <w:rsid w:val="00F83C5C"/>
    <w:rPr>
      <w:b/>
      <w:bCs/>
    </w:rPr>
  </w:style>
  <w:style w:type="character" w:customStyle="1" w:styleId="CommentSubjectChar">
    <w:name w:val="Comment Subject Char"/>
    <w:basedOn w:val="CommentTextChar"/>
    <w:link w:val="CommentSubject"/>
    <w:uiPriority w:val="99"/>
    <w:semiHidden/>
    <w:rsid w:val="00F83C5C"/>
    <w:rPr>
      <w:b/>
      <w:bCs/>
      <w:sz w:val="20"/>
      <w:szCs w:val="20"/>
    </w:rPr>
  </w:style>
  <w:style w:type="character" w:customStyle="1" w:styleId="ColourBlue">
    <w:name w:val="Colour Blue"/>
    <w:basedOn w:val="DefaultParagraphFont"/>
    <w:uiPriority w:val="22"/>
    <w:qFormat/>
    <w:rsid w:val="00F83C5C"/>
    <w:rPr>
      <w:color w:val="B65627" w:themeColor="text2"/>
    </w:rPr>
  </w:style>
  <w:style w:type="character" w:customStyle="1" w:styleId="ColourDarkBlue">
    <w:name w:val="Colour Dark Blue"/>
    <w:basedOn w:val="ColourBlue"/>
    <w:uiPriority w:val="22"/>
    <w:qFormat/>
    <w:rsid w:val="00F83C5C"/>
    <w:rPr>
      <w:color w:val="5BA5DA" w:themeColor="background2"/>
    </w:rPr>
  </w:style>
  <w:style w:type="paragraph" w:customStyle="1" w:styleId="BodyText-Beforebullet">
    <w:name w:val="Body Text-Before bullet"/>
    <w:basedOn w:val="BodyText"/>
    <w:link w:val="BodyText-BeforebulletChar"/>
    <w:semiHidden/>
    <w:unhideWhenUsed/>
    <w:rsid w:val="00F83C5C"/>
    <w:pPr>
      <w:spacing w:after="20"/>
    </w:pPr>
  </w:style>
  <w:style w:type="paragraph" w:customStyle="1" w:styleId="PullQuote">
    <w:name w:val="Pull Quote"/>
    <w:basedOn w:val="BodyText"/>
    <w:next w:val="BodyText"/>
    <w:uiPriority w:val="10"/>
    <w:qFormat/>
    <w:rsid w:val="00F83C5C"/>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F83C5C"/>
    <w:rPr>
      <w:sz w:val="20"/>
      <w:szCs w:val="20"/>
    </w:rPr>
  </w:style>
  <w:style w:type="paragraph" w:customStyle="1" w:styleId="TableBody">
    <w:name w:val="Table Body"/>
    <w:basedOn w:val="NoSpacing"/>
    <w:uiPriority w:val="4"/>
    <w:qFormat/>
    <w:rsid w:val="00F83C5C"/>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F83C5C"/>
    <w:pPr>
      <w:spacing w:before="60"/>
      <w:jc w:val="right"/>
    </w:pPr>
  </w:style>
  <w:style w:type="paragraph" w:customStyle="1" w:styleId="FigureTableSubheading">
    <w:name w:val="Figure/Table Subheading"/>
    <w:basedOn w:val="FigureTableHeading"/>
    <w:uiPriority w:val="4"/>
    <w:qFormat/>
    <w:rsid w:val="00F83C5C"/>
    <w:pPr>
      <w:spacing w:before="40"/>
    </w:pPr>
    <w:rPr>
      <w:color w:val="58585B"/>
    </w:rPr>
  </w:style>
  <w:style w:type="table" w:customStyle="1" w:styleId="TextTable-Grey">
    <w:name w:val="Text Table-Grey"/>
    <w:basedOn w:val="Texttable-Paleblue"/>
    <w:uiPriority w:val="99"/>
    <w:rsid w:val="00F83C5C"/>
    <w:rPr>
      <w:color w:val="5BA5DA" w:themeColor="background2"/>
    </w:rPr>
    <w:tblPr/>
    <w:tcPr>
      <w:shd w:val="clear" w:color="auto" w:fill="F2F2F2"/>
    </w:tcPr>
  </w:style>
  <w:style w:type="character" w:customStyle="1" w:styleId="BodyText-BlueChar">
    <w:name w:val="Body Text-Blue Char"/>
    <w:basedOn w:val="BodyTextChar"/>
    <w:link w:val="BodyText-Blue"/>
    <w:semiHidden/>
    <w:rsid w:val="00F83C5C"/>
    <w:rPr>
      <w:color w:val="5BA5DA" w:themeColor="background2"/>
      <w:sz w:val="20"/>
      <w:szCs w:val="20"/>
    </w:rPr>
  </w:style>
  <w:style w:type="paragraph" w:customStyle="1" w:styleId="Heading3-nonumber">
    <w:name w:val="Heading 3-no number"/>
    <w:basedOn w:val="Heading3"/>
    <w:uiPriority w:val="9"/>
    <w:semiHidden/>
    <w:qFormat/>
    <w:rsid w:val="00F83C5C"/>
  </w:style>
  <w:style w:type="paragraph" w:customStyle="1" w:styleId="Heading1-nobackground">
    <w:name w:val="Heading 1-no background"/>
    <w:basedOn w:val="Heading1"/>
    <w:next w:val="BodyText"/>
    <w:uiPriority w:val="9"/>
    <w:qFormat/>
    <w:rsid w:val="00F83C5C"/>
    <w:pPr>
      <w:pBdr>
        <w:top w:val="none" w:sz="0" w:space="0" w:color="auto"/>
        <w:left w:val="none" w:sz="0" w:space="0" w:color="auto"/>
        <w:bottom w:val="none" w:sz="0" w:space="0" w:color="auto"/>
        <w:right w:val="none" w:sz="0" w:space="0" w:color="auto"/>
      </w:pBdr>
      <w:shd w:val="clear" w:color="auto" w:fill="auto"/>
      <w:spacing w:before="600"/>
      <w:ind w:left="0" w:right="0" w:firstLine="0"/>
    </w:pPr>
    <w:rPr>
      <w:color w:val="5BA5DA" w:themeColor="background2"/>
    </w:rPr>
  </w:style>
  <w:style w:type="character" w:customStyle="1" w:styleId="QuoteChar">
    <w:name w:val="Quote Char"/>
    <w:basedOn w:val="DefaultParagraphFont"/>
    <w:link w:val="Quote"/>
    <w:uiPriority w:val="29"/>
    <w:rsid w:val="00F83C5C"/>
    <w:rPr>
      <w:color w:val="58585B"/>
      <w:sz w:val="20"/>
      <w:szCs w:val="20"/>
    </w:rPr>
  </w:style>
  <w:style w:type="paragraph" w:customStyle="1" w:styleId="TableHeading-numbered">
    <w:name w:val="Table Heading-numbered"/>
    <w:basedOn w:val="Normal"/>
    <w:semiHidden/>
    <w:qFormat/>
    <w:rsid w:val="00F83C5C"/>
    <w:pPr>
      <w:spacing w:before="60"/>
      <w:contextualSpacing/>
    </w:pPr>
    <w:rPr>
      <w:b/>
      <w:color w:val="5BA5DA" w:themeColor="background2"/>
    </w:rPr>
  </w:style>
  <w:style w:type="numbering" w:customStyle="1" w:styleId="TableList">
    <w:name w:val="TableList"/>
    <w:uiPriority w:val="99"/>
    <w:rsid w:val="00F83C5C"/>
    <w:pPr>
      <w:numPr>
        <w:numId w:val="3"/>
      </w:numPr>
    </w:pPr>
  </w:style>
  <w:style w:type="paragraph" w:customStyle="1" w:styleId="Footer-right">
    <w:name w:val="Footer-right"/>
    <w:basedOn w:val="Footer"/>
    <w:uiPriority w:val="11"/>
    <w:rsid w:val="00F83C5C"/>
    <w:pPr>
      <w:jc w:val="right"/>
    </w:pPr>
    <w:rPr>
      <w:szCs w:val="24"/>
    </w:rPr>
  </w:style>
  <w:style w:type="paragraph" w:customStyle="1" w:styleId="Heading2-nonumber">
    <w:name w:val="Heading 2-no number"/>
    <w:basedOn w:val="Heading2"/>
    <w:uiPriority w:val="9"/>
    <w:qFormat/>
    <w:rsid w:val="00F83C5C"/>
    <w:pPr>
      <w:ind w:left="0" w:firstLine="0"/>
    </w:pPr>
  </w:style>
  <w:style w:type="paragraph" w:customStyle="1" w:styleId="Heading-Appendix">
    <w:name w:val="Heading-Appendix"/>
    <w:basedOn w:val="Heading1-nonumber"/>
    <w:next w:val="BodyText"/>
    <w:uiPriority w:val="9"/>
    <w:qFormat/>
    <w:rsid w:val="00F83C5C"/>
    <w:pPr>
      <w:numPr>
        <w:numId w:val="9"/>
      </w:numPr>
    </w:pPr>
  </w:style>
  <w:style w:type="numbering" w:customStyle="1" w:styleId="AppendixHeading">
    <w:name w:val="AppendixHeading"/>
    <w:uiPriority w:val="99"/>
    <w:rsid w:val="00F83C5C"/>
    <w:pPr>
      <w:numPr>
        <w:numId w:val="5"/>
      </w:numPr>
    </w:pPr>
  </w:style>
  <w:style w:type="paragraph" w:customStyle="1" w:styleId="DraftingNote">
    <w:name w:val="Drafting Note"/>
    <w:basedOn w:val="BodyText"/>
    <w:link w:val="DraftingNoteChar"/>
    <w:qFormat/>
    <w:rsid w:val="00F83C5C"/>
    <w:pPr>
      <w:contextualSpacing/>
    </w:pPr>
    <w:rPr>
      <w:color w:val="A22D2B"/>
      <w:sz w:val="24"/>
      <w:u w:val="dotted"/>
    </w:rPr>
  </w:style>
  <w:style w:type="character" w:customStyle="1" w:styleId="DraftingNoteChar">
    <w:name w:val="Drafting Note Char"/>
    <w:basedOn w:val="BodyTextChar"/>
    <w:link w:val="DraftingNote"/>
    <w:rsid w:val="00F83C5C"/>
    <w:rPr>
      <w:color w:val="A22D2B"/>
      <w:sz w:val="24"/>
      <w:szCs w:val="20"/>
      <w:u w:val="dotted"/>
    </w:rPr>
  </w:style>
  <w:style w:type="paragraph" w:customStyle="1" w:styleId="BoxHeading1">
    <w:name w:val="Box Heading 1"/>
    <w:basedOn w:val="FigureTableHeading"/>
    <w:next w:val="BodyText"/>
    <w:uiPriority w:val="4"/>
    <w:qFormat/>
    <w:rsid w:val="00F83C5C"/>
    <w:pPr>
      <w:spacing w:after="0"/>
    </w:pPr>
  </w:style>
  <w:style w:type="character" w:styleId="Emphasis">
    <w:name w:val="Emphasis"/>
    <w:basedOn w:val="DefaultParagraphFont"/>
    <w:uiPriority w:val="22"/>
    <w:qFormat/>
    <w:rsid w:val="00F83C5C"/>
    <w:rPr>
      <w:i/>
      <w:iCs/>
    </w:rPr>
  </w:style>
  <w:style w:type="paragraph" w:customStyle="1" w:styleId="Reference">
    <w:name w:val="Reference"/>
    <w:basedOn w:val="BodyText"/>
    <w:qFormat/>
    <w:rsid w:val="00F83C5C"/>
    <w:pPr>
      <w:spacing w:before="0" w:after="60" w:line="200" w:lineRule="exact"/>
    </w:pPr>
    <w:rPr>
      <w:sz w:val="16"/>
    </w:rPr>
  </w:style>
  <w:style w:type="paragraph" w:customStyle="1" w:styleId="Keypoints-heading">
    <w:name w:val="Key points-heading"/>
    <w:basedOn w:val="Heading3"/>
    <w:uiPriority w:val="10"/>
    <w:qFormat/>
    <w:rsid w:val="00F83C5C"/>
    <w:rPr>
      <w:color w:val="auto"/>
    </w:rPr>
  </w:style>
  <w:style w:type="paragraph" w:customStyle="1" w:styleId="Heading2-Appendix">
    <w:name w:val="Heading 2-Appendix"/>
    <w:basedOn w:val="Heading2-nonumber"/>
    <w:next w:val="Normal"/>
    <w:uiPriority w:val="10"/>
    <w:qFormat/>
    <w:rsid w:val="00F83C5C"/>
    <w:pPr>
      <w:numPr>
        <w:ilvl w:val="1"/>
        <w:numId w:val="9"/>
      </w:numPr>
    </w:pPr>
  </w:style>
  <w:style w:type="numbering" w:customStyle="1" w:styleId="AppendixHeadingList">
    <w:name w:val="Appendix Heading List"/>
    <w:uiPriority w:val="99"/>
    <w:rsid w:val="00F83C5C"/>
    <w:pPr>
      <w:numPr>
        <w:numId w:val="9"/>
      </w:numPr>
    </w:pPr>
  </w:style>
  <w:style w:type="paragraph" w:customStyle="1" w:styleId="Space">
    <w:name w:val="Space"/>
    <w:basedOn w:val="BodyText"/>
    <w:uiPriority w:val="1"/>
    <w:rsid w:val="00F83C5C"/>
    <w:pPr>
      <w:spacing w:before="0" w:after="0"/>
    </w:pPr>
  </w:style>
  <w:style w:type="paragraph" w:customStyle="1" w:styleId="QuoteBullet">
    <w:name w:val="Quote Bullet"/>
    <w:basedOn w:val="ListBullet"/>
    <w:link w:val="QuoteBulletChar"/>
    <w:uiPriority w:val="1"/>
    <w:qFormat/>
    <w:rsid w:val="00F83C5C"/>
    <w:pPr>
      <w:spacing w:before="60"/>
      <w:ind w:left="340" w:right="851"/>
    </w:pPr>
    <w:rPr>
      <w:color w:val="58585B"/>
    </w:rPr>
  </w:style>
  <w:style w:type="character" w:customStyle="1" w:styleId="ListBulletChar">
    <w:name w:val="List Bullet Char"/>
    <w:basedOn w:val="DefaultParagraphFont"/>
    <w:link w:val="ListBullet"/>
    <w:uiPriority w:val="1"/>
    <w:rsid w:val="004B4CB0"/>
    <w:rPr>
      <w:sz w:val="20"/>
      <w:szCs w:val="20"/>
    </w:rPr>
  </w:style>
  <w:style w:type="character" w:customStyle="1" w:styleId="QuoteBulletChar">
    <w:name w:val="Quote Bullet Char"/>
    <w:basedOn w:val="ListBulletChar"/>
    <w:link w:val="QuoteBullet"/>
    <w:uiPriority w:val="1"/>
    <w:rsid w:val="00F83C5C"/>
    <w:rPr>
      <w:color w:val="58585B"/>
      <w:sz w:val="20"/>
      <w:szCs w:val="20"/>
    </w:rPr>
  </w:style>
  <w:style w:type="paragraph" w:customStyle="1" w:styleId="Figurecharttitle">
    <w:name w:val="Figure chart title"/>
    <w:basedOn w:val="BodyText"/>
    <w:uiPriority w:val="10"/>
    <w:qFormat/>
    <w:rsid w:val="00F83C5C"/>
    <w:pPr>
      <w:spacing w:before="0" w:after="0"/>
      <w:ind w:left="284" w:hanging="284"/>
    </w:pPr>
    <w:rPr>
      <w:sz w:val="18"/>
      <w:szCs w:val="18"/>
    </w:rPr>
  </w:style>
  <w:style w:type="paragraph" w:customStyle="1" w:styleId="TableListBullet">
    <w:name w:val="Table List Bullet"/>
    <w:basedOn w:val="ListBullet"/>
    <w:uiPriority w:val="10"/>
    <w:qFormat/>
    <w:rsid w:val="00F83C5C"/>
    <w:pPr>
      <w:spacing w:before="0" w:after="20"/>
      <w:ind w:left="170" w:hanging="113"/>
    </w:pPr>
  </w:style>
  <w:style w:type="paragraph" w:styleId="NormalWeb">
    <w:name w:val="Normal (Web)"/>
    <w:basedOn w:val="Normal"/>
    <w:uiPriority w:val="99"/>
    <w:unhideWhenUsed/>
    <w:rsid w:val="004E622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C2214A"/>
  </w:style>
  <w:style w:type="character" w:customStyle="1" w:styleId="eop">
    <w:name w:val="eop"/>
    <w:basedOn w:val="DefaultParagraphFont"/>
    <w:rsid w:val="00F1320F"/>
  </w:style>
  <w:style w:type="paragraph" w:customStyle="1" w:styleId="paragraph">
    <w:name w:val="paragraph"/>
    <w:basedOn w:val="Normal"/>
    <w:rsid w:val="0026222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superscript">
    <w:name w:val="superscript"/>
    <w:basedOn w:val="DefaultParagraphFont"/>
    <w:rsid w:val="00262226"/>
  </w:style>
  <w:style w:type="character" w:customStyle="1" w:styleId="findhit">
    <w:name w:val="findhit"/>
    <w:basedOn w:val="DefaultParagraphFont"/>
    <w:rsid w:val="005F1B0C"/>
  </w:style>
  <w:style w:type="character" w:styleId="FollowedHyperlink">
    <w:name w:val="FollowedHyperlink"/>
    <w:basedOn w:val="DefaultParagraphFont"/>
    <w:uiPriority w:val="99"/>
    <w:semiHidden/>
    <w:unhideWhenUsed/>
    <w:rsid w:val="00A217BC"/>
    <w:rPr>
      <w:color w:val="BFBFBF" w:themeColor="followedHyperlink"/>
      <w:u w:val="single"/>
    </w:rPr>
  </w:style>
  <w:style w:type="paragraph" w:styleId="Bibliography">
    <w:name w:val="Bibliography"/>
    <w:basedOn w:val="Normal"/>
    <w:next w:val="Normal"/>
    <w:uiPriority w:val="37"/>
    <w:unhideWhenUsed/>
    <w:rsid w:val="00C1308D"/>
  </w:style>
  <w:style w:type="character" w:customStyle="1" w:styleId="cf01">
    <w:name w:val="cf01"/>
    <w:basedOn w:val="DefaultParagraphFont"/>
    <w:rsid w:val="00603614"/>
    <w:rPr>
      <w:rFonts w:ascii="Segoe UI" w:hAnsi="Segoe UI" w:cs="Segoe UI" w:hint="default"/>
      <w:sz w:val="18"/>
      <w:szCs w:val="18"/>
    </w:rPr>
  </w:style>
  <w:style w:type="character" w:styleId="Mention">
    <w:name w:val="Mention"/>
    <w:basedOn w:val="DefaultParagraphFont"/>
    <w:uiPriority w:val="99"/>
    <w:unhideWhenUsed/>
    <w:rsid w:val="00573E63"/>
    <w:rPr>
      <w:color w:val="2B579A"/>
      <w:shd w:val="clear" w:color="auto" w:fill="E1DFDD"/>
    </w:rPr>
  </w:style>
  <w:style w:type="paragraph" w:customStyle="1" w:styleId="pf0">
    <w:name w:val="pf0"/>
    <w:basedOn w:val="Normal"/>
    <w:rsid w:val="002B743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ndnoteReference">
    <w:name w:val="endnote reference"/>
    <w:basedOn w:val="DefaultParagraphFont"/>
    <w:uiPriority w:val="99"/>
    <w:semiHidden/>
    <w:unhideWhenUsed/>
    <w:rsid w:val="0070695D"/>
    <w:rPr>
      <w:vertAlign w:val="superscript"/>
    </w:rPr>
  </w:style>
  <w:style w:type="character" w:customStyle="1" w:styleId="cf11">
    <w:name w:val="cf11"/>
    <w:basedOn w:val="DefaultParagraphFont"/>
    <w:rsid w:val="00BE37A1"/>
    <w:rPr>
      <w:rFonts w:ascii="Segoe UI" w:hAnsi="Segoe UI" w:cs="Segoe UI" w:hint="default"/>
      <w:sz w:val="18"/>
      <w:szCs w:val="18"/>
    </w:rPr>
  </w:style>
  <w:style w:type="character" w:customStyle="1" w:styleId="ui-provider">
    <w:name w:val="ui-provider"/>
    <w:basedOn w:val="DefaultParagraphFont"/>
    <w:rsid w:val="00066FE1"/>
  </w:style>
  <w:style w:type="numbering" w:customStyle="1" w:styleId="NoList1">
    <w:name w:val="No List1"/>
    <w:next w:val="NoList"/>
    <w:uiPriority w:val="99"/>
    <w:semiHidden/>
    <w:unhideWhenUsed/>
    <w:rsid w:val="00CD4770"/>
  </w:style>
  <w:style w:type="character" w:customStyle="1" w:styleId="IntenseEmphasis1">
    <w:name w:val="Intense Emphasis1"/>
    <w:basedOn w:val="DefaultParagraphFont"/>
    <w:uiPriority w:val="21"/>
    <w:qFormat/>
    <w:rsid w:val="00CD4770"/>
    <w:rPr>
      <w:i/>
      <w:iCs/>
      <w:color w:val="0F4761"/>
    </w:rPr>
  </w:style>
  <w:style w:type="paragraph" w:customStyle="1" w:styleId="IntenseQuote1">
    <w:name w:val="Intense Quote1"/>
    <w:basedOn w:val="Normal"/>
    <w:next w:val="Normal"/>
    <w:uiPriority w:val="30"/>
    <w:qFormat/>
    <w:rsid w:val="00CD4770"/>
    <w:pPr>
      <w:pBdr>
        <w:top w:val="single" w:sz="4" w:space="10" w:color="0F4761"/>
        <w:bottom w:val="single" w:sz="4" w:space="10" w:color="0F4761"/>
      </w:pBdr>
      <w:spacing w:before="360" w:after="360" w:line="259" w:lineRule="auto"/>
      <w:ind w:left="864" w:right="864"/>
      <w:jc w:val="center"/>
    </w:pPr>
    <w:rPr>
      <w:i/>
      <w:iCs/>
      <w:color w:val="0F4761"/>
      <w:kern w:val="2"/>
      <w:sz w:val="22"/>
      <w:szCs w:val="22"/>
      <w14:ligatures w14:val="standardContextual"/>
    </w:rPr>
  </w:style>
  <w:style w:type="character" w:customStyle="1" w:styleId="IntenseQuoteChar">
    <w:name w:val="Intense Quote Char"/>
    <w:basedOn w:val="DefaultParagraphFont"/>
    <w:link w:val="IntenseQuote"/>
    <w:uiPriority w:val="30"/>
    <w:rsid w:val="00CD4770"/>
    <w:rPr>
      <w:i/>
      <w:iCs/>
      <w:color w:val="0F4761"/>
    </w:rPr>
  </w:style>
  <w:style w:type="character" w:customStyle="1" w:styleId="IntenseReference1">
    <w:name w:val="Intense Reference1"/>
    <w:basedOn w:val="DefaultParagraphFont"/>
    <w:uiPriority w:val="32"/>
    <w:qFormat/>
    <w:rsid w:val="00CD4770"/>
    <w:rPr>
      <w:b/>
      <w:bCs/>
      <w:smallCaps/>
      <w:color w:val="0F4761"/>
      <w:spacing w:val="5"/>
    </w:rPr>
  </w:style>
  <w:style w:type="table" w:customStyle="1" w:styleId="TableGrid1">
    <w:name w:val="Table Grid1"/>
    <w:basedOn w:val="TableNormal"/>
    <w:next w:val="TableGrid"/>
    <w:uiPriority w:val="39"/>
    <w:rsid w:val="00CD477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CD4770"/>
    <w:pPr>
      <w:spacing w:after="0" w:line="240" w:lineRule="auto"/>
    </w:pPr>
    <w:rPr>
      <w:kern w:val="2"/>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sonormal0">
    <w:name w:val="msonormal"/>
    <w:basedOn w:val="Normal"/>
    <w:rsid w:val="00CD477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z3988">
    <w:name w:val="z3988"/>
    <w:basedOn w:val="DefaultParagraphFont"/>
    <w:rsid w:val="00CD4770"/>
  </w:style>
  <w:style w:type="table" w:customStyle="1" w:styleId="PlainTable11">
    <w:name w:val="Plain Table 11"/>
    <w:basedOn w:val="TableNormal"/>
    <w:next w:val="PlainTable1"/>
    <w:uiPriority w:val="41"/>
    <w:rsid w:val="00CD4770"/>
    <w:pPr>
      <w:spacing w:after="0" w:line="240" w:lineRule="auto"/>
    </w:pPr>
    <w:rPr>
      <w:kern w:val="2"/>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next w:val="TableGridLight"/>
    <w:uiPriority w:val="40"/>
    <w:rsid w:val="00CD4770"/>
    <w:pPr>
      <w:spacing w:after="0" w:line="240" w:lineRule="auto"/>
    </w:pPr>
    <w:rPr>
      <w:kern w:val="2"/>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IntenseEmphasis">
    <w:name w:val="Intense Emphasis"/>
    <w:basedOn w:val="DefaultParagraphFont"/>
    <w:uiPriority w:val="22"/>
    <w:rsid w:val="00CD4770"/>
    <w:rPr>
      <w:i/>
      <w:iCs/>
      <w:color w:val="3A6E77" w:themeColor="accent1"/>
    </w:rPr>
  </w:style>
  <w:style w:type="paragraph" w:styleId="IntenseQuote">
    <w:name w:val="Intense Quote"/>
    <w:basedOn w:val="Normal"/>
    <w:next w:val="Normal"/>
    <w:link w:val="IntenseQuoteChar"/>
    <w:uiPriority w:val="30"/>
    <w:rsid w:val="00CD4770"/>
    <w:pPr>
      <w:pBdr>
        <w:top w:val="single" w:sz="4" w:space="10" w:color="3A6E77" w:themeColor="accent1"/>
        <w:bottom w:val="single" w:sz="4" w:space="10" w:color="3A6E77" w:themeColor="accent1"/>
      </w:pBdr>
      <w:spacing w:before="360" w:after="360"/>
      <w:ind w:left="864" w:right="864"/>
      <w:jc w:val="center"/>
    </w:pPr>
    <w:rPr>
      <w:i/>
      <w:iCs/>
      <w:color w:val="0F4761"/>
      <w:sz w:val="22"/>
      <w:szCs w:val="22"/>
    </w:rPr>
  </w:style>
  <w:style w:type="character" w:customStyle="1" w:styleId="IntenseQuoteChar1">
    <w:name w:val="Intense Quote Char1"/>
    <w:basedOn w:val="DefaultParagraphFont"/>
    <w:uiPriority w:val="30"/>
    <w:rsid w:val="00CD4770"/>
    <w:rPr>
      <w:i/>
      <w:iCs/>
      <w:color w:val="3A6E77" w:themeColor="accent1"/>
      <w:sz w:val="20"/>
      <w:szCs w:val="20"/>
    </w:rPr>
  </w:style>
  <w:style w:type="character" w:styleId="IntenseReference">
    <w:name w:val="Intense Reference"/>
    <w:basedOn w:val="DefaultParagraphFont"/>
    <w:uiPriority w:val="32"/>
    <w:rsid w:val="00CD4770"/>
    <w:rPr>
      <w:b/>
      <w:bCs/>
      <w:smallCaps/>
      <w:color w:val="3A6E77" w:themeColor="accent1"/>
      <w:spacing w:val="5"/>
    </w:rPr>
  </w:style>
  <w:style w:type="table" w:styleId="PlainTable4">
    <w:name w:val="Plain Table 4"/>
    <w:basedOn w:val="TableNormal"/>
    <w:uiPriority w:val="44"/>
    <w:rsid w:val="00CD477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705035" w:themeFill="background1" w:themeFillShade="F2"/>
      </w:tcPr>
    </w:tblStylePr>
    <w:tblStylePr w:type="band1Horz">
      <w:tblPr/>
      <w:tcPr>
        <w:shd w:val="clear" w:color="auto" w:fill="705035" w:themeFill="background1" w:themeFillShade="F2"/>
      </w:tcPr>
    </w:tblStylePr>
  </w:style>
  <w:style w:type="table" w:styleId="PlainTable1">
    <w:name w:val="Plain Table 1"/>
    <w:basedOn w:val="TableNormal"/>
    <w:uiPriority w:val="41"/>
    <w:rsid w:val="00CD4770"/>
    <w:pPr>
      <w:spacing w:after="0" w:line="240" w:lineRule="auto"/>
    </w:pPr>
    <w:tblPr>
      <w:tblStyleRowBandSize w:val="1"/>
      <w:tblStyleColBandSize w:val="1"/>
      <w:tblBorders>
        <w:top w:val="single" w:sz="4" w:space="0" w:color="593F2A" w:themeColor="background1" w:themeShade="BF"/>
        <w:left w:val="single" w:sz="4" w:space="0" w:color="593F2A" w:themeColor="background1" w:themeShade="BF"/>
        <w:bottom w:val="single" w:sz="4" w:space="0" w:color="593F2A" w:themeColor="background1" w:themeShade="BF"/>
        <w:right w:val="single" w:sz="4" w:space="0" w:color="593F2A" w:themeColor="background1" w:themeShade="BF"/>
        <w:insideH w:val="single" w:sz="4" w:space="0" w:color="593F2A" w:themeColor="background1" w:themeShade="BF"/>
        <w:insideV w:val="single" w:sz="4" w:space="0" w:color="593F2A" w:themeColor="background1" w:themeShade="BF"/>
      </w:tblBorders>
    </w:tblPr>
    <w:tblStylePr w:type="firstRow">
      <w:rPr>
        <w:b/>
        <w:bCs/>
      </w:rPr>
    </w:tblStylePr>
    <w:tblStylePr w:type="lastRow">
      <w:rPr>
        <w:b/>
        <w:bCs/>
      </w:rPr>
      <w:tblPr/>
      <w:tcPr>
        <w:tcBorders>
          <w:top w:val="double" w:sz="4" w:space="0" w:color="593F2A" w:themeColor="background1" w:themeShade="BF"/>
        </w:tcBorders>
      </w:tcPr>
    </w:tblStylePr>
    <w:tblStylePr w:type="firstCol">
      <w:rPr>
        <w:b/>
        <w:bCs/>
      </w:rPr>
    </w:tblStylePr>
    <w:tblStylePr w:type="lastCol">
      <w:rPr>
        <w:b/>
        <w:bCs/>
      </w:rPr>
    </w:tblStylePr>
    <w:tblStylePr w:type="band1Vert">
      <w:tblPr/>
      <w:tcPr>
        <w:shd w:val="clear" w:color="auto" w:fill="705035" w:themeFill="background1" w:themeFillShade="F2"/>
      </w:tcPr>
    </w:tblStylePr>
    <w:tblStylePr w:type="band1Horz">
      <w:tblPr/>
      <w:tcPr>
        <w:shd w:val="clear" w:color="auto" w:fill="705035" w:themeFill="background1" w:themeFillShade="F2"/>
      </w:tcPr>
    </w:tblStylePr>
  </w:style>
  <w:style w:type="table" w:styleId="TableGridLight">
    <w:name w:val="Grid Table Light"/>
    <w:basedOn w:val="TableNormal"/>
    <w:uiPriority w:val="40"/>
    <w:rsid w:val="00CD4770"/>
    <w:pPr>
      <w:spacing w:after="0" w:line="240" w:lineRule="auto"/>
    </w:pPr>
    <w:tblPr>
      <w:tblBorders>
        <w:top w:val="single" w:sz="4" w:space="0" w:color="593F2A" w:themeColor="background1" w:themeShade="BF"/>
        <w:left w:val="single" w:sz="4" w:space="0" w:color="593F2A" w:themeColor="background1" w:themeShade="BF"/>
        <w:bottom w:val="single" w:sz="4" w:space="0" w:color="593F2A" w:themeColor="background1" w:themeShade="BF"/>
        <w:right w:val="single" w:sz="4" w:space="0" w:color="593F2A" w:themeColor="background1" w:themeShade="BF"/>
        <w:insideH w:val="single" w:sz="4" w:space="0" w:color="593F2A" w:themeColor="background1" w:themeShade="BF"/>
        <w:insideV w:val="single" w:sz="4" w:space="0" w:color="593F2A" w:themeColor="background1" w:themeShade="BF"/>
      </w:tblBorders>
    </w:tblPr>
  </w:style>
  <w:style w:type="paragraph" w:styleId="TOC5">
    <w:name w:val="toc 5"/>
    <w:basedOn w:val="Normal"/>
    <w:next w:val="Normal"/>
    <w:autoRedefine/>
    <w:uiPriority w:val="39"/>
    <w:unhideWhenUsed/>
    <w:rsid w:val="00713DAA"/>
    <w:pPr>
      <w:spacing w:after="100"/>
      <w:ind w:left="800"/>
    </w:pPr>
  </w:style>
  <w:style w:type="paragraph" w:styleId="TOC6">
    <w:name w:val="toc 6"/>
    <w:basedOn w:val="Normal"/>
    <w:next w:val="Normal"/>
    <w:autoRedefine/>
    <w:uiPriority w:val="39"/>
    <w:unhideWhenUsed/>
    <w:rsid w:val="00713DAA"/>
    <w:pPr>
      <w:spacing w:before="0" w:after="100" w:line="278" w:lineRule="auto"/>
      <w:ind w:left="1200"/>
    </w:pPr>
    <w:rPr>
      <w:rFonts w:eastAsiaTheme="minorEastAsia"/>
      <w:kern w:val="2"/>
      <w:sz w:val="24"/>
      <w:szCs w:val="24"/>
      <w:lang w:eastAsia="en-AU"/>
      <w14:ligatures w14:val="standardContextual"/>
    </w:rPr>
  </w:style>
  <w:style w:type="paragraph" w:styleId="TOC7">
    <w:name w:val="toc 7"/>
    <w:basedOn w:val="Normal"/>
    <w:next w:val="Normal"/>
    <w:autoRedefine/>
    <w:uiPriority w:val="39"/>
    <w:unhideWhenUsed/>
    <w:rsid w:val="00713DAA"/>
    <w:pPr>
      <w:spacing w:before="0" w:after="100" w:line="278" w:lineRule="auto"/>
      <w:ind w:left="1440"/>
    </w:pPr>
    <w:rPr>
      <w:rFonts w:eastAsiaTheme="minorEastAsia"/>
      <w:kern w:val="2"/>
      <w:sz w:val="24"/>
      <w:szCs w:val="24"/>
      <w:lang w:eastAsia="en-AU"/>
      <w14:ligatures w14:val="standardContextual"/>
    </w:rPr>
  </w:style>
  <w:style w:type="paragraph" w:styleId="TOC8">
    <w:name w:val="toc 8"/>
    <w:basedOn w:val="Normal"/>
    <w:next w:val="Normal"/>
    <w:autoRedefine/>
    <w:uiPriority w:val="39"/>
    <w:unhideWhenUsed/>
    <w:rsid w:val="00713DAA"/>
    <w:pPr>
      <w:spacing w:before="0" w:after="100" w:line="278" w:lineRule="auto"/>
      <w:ind w:left="1680"/>
    </w:pPr>
    <w:rPr>
      <w:rFonts w:eastAsiaTheme="minorEastAsia"/>
      <w:kern w:val="2"/>
      <w:sz w:val="24"/>
      <w:szCs w:val="24"/>
      <w:lang w:eastAsia="en-AU"/>
      <w14:ligatures w14:val="standardContextual"/>
    </w:rPr>
  </w:style>
  <w:style w:type="paragraph" w:styleId="TOC9">
    <w:name w:val="toc 9"/>
    <w:basedOn w:val="Normal"/>
    <w:next w:val="Normal"/>
    <w:autoRedefine/>
    <w:uiPriority w:val="39"/>
    <w:unhideWhenUsed/>
    <w:rsid w:val="00713DAA"/>
    <w:pPr>
      <w:spacing w:before="0" w:after="100" w:line="278" w:lineRule="auto"/>
      <w:ind w:left="1920"/>
    </w:pPr>
    <w:rPr>
      <w:rFonts w:eastAsiaTheme="minorEastAsia"/>
      <w:kern w:val="2"/>
      <w:sz w:val="24"/>
      <w:szCs w:val="24"/>
      <w:lang w:eastAsia="en-AU"/>
      <w14:ligatures w14:val="standardContextual"/>
    </w:rPr>
  </w:style>
  <w:style w:type="paragraph" w:styleId="EndnoteText">
    <w:name w:val="endnote text"/>
    <w:basedOn w:val="Normal"/>
    <w:link w:val="EndnoteTextChar"/>
    <w:uiPriority w:val="99"/>
    <w:semiHidden/>
    <w:unhideWhenUsed/>
    <w:rsid w:val="0024084A"/>
    <w:pPr>
      <w:spacing w:before="0" w:after="0" w:line="240" w:lineRule="auto"/>
    </w:pPr>
  </w:style>
  <w:style w:type="character" w:customStyle="1" w:styleId="EndnoteTextChar">
    <w:name w:val="Endnote Text Char"/>
    <w:basedOn w:val="DefaultParagraphFont"/>
    <w:link w:val="EndnoteText"/>
    <w:uiPriority w:val="99"/>
    <w:semiHidden/>
    <w:rsid w:val="0024084A"/>
    <w:rPr>
      <w:sz w:val="20"/>
      <w:szCs w:val="20"/>
    </w:rPr>
  </w:style>
  <w:style w:type="table" w:customStyle="1" w:styleId="Boxtable1">
    <w:name w:val="Box table1"/>
    <w:basedOn w:val="TableNormal"/>
    <w:uiPriority w:val="99"/>
    <w:rsid w:val="00D13B05"/>
    <w:pPr>
      <w:spacing w:after="0" w:line="240" w:lineRule="auto"/>
    </w:pPr>
    <w:rPr>
      <w14:ligatures w14:val="standardContextual"/>
    </w:rPr>
    <w:tblPr>
      <w:tblCellMar>
        <w:top w:w="170" w:type="dxa"/>
        <w:left w:w="170" w:type="dxa"/>
        <w:bottom w:w="170" w:type="dxa"/>
        <w:right w:w="170" w:type="dxa"/>
      </w:tblCellMar>
    </w:tblPr>
    <w:tcPr>
      <w:shd w:val="clear" w:color="auto" w:fill="F4F5F6"/>
    </w:tcPr>
  </w:style>
  <w:style w:type="table" w:customStyle="1" w:styleId="Boxtable2">
    <w:name w:val="Box table2"/>
    <w:basedOn w:val="TableNormal"/>
    <w:uiPriority w:val="99"/>
    <w:rsid w:val="00470E2A"/>
    <w:pPr>
      <w:spacing w:after="0" w:line="240" w:lineRule="auto"/>
    </w:pPr>
    <w:rPr>
      <w14:ligatures w14:val="standardContextual"/>
    </w:rPr>
    <w:tblPr>
      <w:tblCellMar>
        <w:top w:w="170" w:type="dxa"/>
        <w:left w:w="170" w:type="dxa"/>
        <w:bottom w:w="170" w:type="dxa"/>
        <w:right w:w="170" w:type="dxa"/>
      </w:tblCellMar>
    </w:tblPr>
    <w:tcPr>
      <w:shd w:val="clear" w:color="auto" w:fill="F4F5F6"/>
    </w:tcPr>
  </w:style>
  <w:style w:type="character" w:customStyle="1" w:styleId="wacimagecontainer">
    <w:name w:val="wacimagecontainer"/>
    <w:basedOn w:val="DefaultParagraphFont"/>
    <w:rsid w:val="00DC3A78"/>
  </w:style>
  <w:style w:type="paragraph" w:customStyle="1" w:styleId="TableBodyText">
    <w:name w:val="Table Body Text"/>
    <w:basedOn w:val="Normal"/>
    <w:link w:val="TableBodyTextChar"/>
    <w:uiPriority w:val="1"/>
    <w:rsid w:val="0084338C"/>
    <w:pPr>
      <w:keepNext/>
      <w:keepLines/>
      <w:spacing w:before="0" w:after="40"/>
      <w:ind w:left="6" w:right="113"/>
      <w:jc w:val="right"/>
    </w:pPr>
    <w:rPr>
      <w:rFonts w:ascii="Arial" w:eastAsia="Times New Roman" w:hAnsi="Arial" w:cs="Times New Roman"/>
      <w:sz w:val="18"/>
      <w:szCs w:val="18"/>
      <w:lang w:eastAsia="ja-JP"/>
    </w:rPr>
  </w:style>
  <w:style w:type="character" w:customStyle="1" w:styleId="TableBodyTextChar">
    <w:name w:val="Table Body Text Char"/>
    <w:basedOn w:val="DefaultParagraphFont"/>
    <w:link w:val="TableBodyText"/>
    <w:uiPriority w:val="1"/>
    <w:rsid w:val="0084338C"/>
    <w:rPr>
      <w:rFonts w:ascii="Arial" w:eastAsia="Times New Roman" w:hAnsi="Arial" w:cs="Times New Roman"/>
      <w:sz w:val="18"/>
      <w:szCs w:val="18"/>
      <w:lang w:eastAsia="ja-JP"/>
    </w:rPr>
  </w:style>
  <w:style w:type="character" w:customStyle="1" w:styleId="atable">
    <w:name w:val="atable"/>
    <w:basedOn w:val="DefaultParagraphFont"/>
    <w:rsid w:val="00097C34"/>
  </w:style>
  <w:style w:type="numbering" w:customStyle="1" w:styleId="TableList1">
    <w:name w:val="TableList1"/>
    <w:uiPriority w:val="99"/>
    <w:rsid w:val="000E3A6D"/>
  </w:style>
  <w:style w:type="paragraph" w:customStyle="1" w:styleId="Style1">
    <w:name w:val="Style1"/>
    <w:basedOn w:val="Heading1-nonumber"/>
    <w:link w:val="Style1Char"/>
    <w:uiPriority w:val="10"/>
    <w:qFormat/>
    <w:rsid w:val="005C5D49"/>
    <w:pPr>
      <w:numPr>
        <w:numId w:val="18"/>
      </w:numPr>
      <w:spacing w:before="1800" w:after="2040"/>
    </w:pPr>
  </w:style>
  <w:style w:type="character" w:customStyle="1" w:styleId="Heading1-nonumberChar">
    <w:name w:val="Heading 1-no number Char"/>
    <w:basedOn w:val="Heading1Char"/>
    <w:link w:val="Heading1-nonumber"/>
    <w:uiPriority w:val="9"/>
    <w:rsid w:val="000E3A6D"/>
    <w:rPr>
      <w:rFonts w:asciiTheme="majorHAnsi" w:hAnsiTheme="majorHAnsi"/>
      <w:color w:val="775538" w:themeColor="background1"/>
      <w:sz w:val="42"/>
      <w:szCs w:val="20"/>
      <w:shd w:val="clear" w:color="auto" w:fill="5BA5DA" w:themeFill="background2"/>
    </w:rPr>
  </w:style>
  <w:style w:type="character" w:customStyle="1" w:styleId="Style1Char">
    <w:name w:val="Style1 Char"/>
    <w:basedOn w:val="Heading1-nonumberChar"/>
    <w:link w:val="Style1"/>
    <w:uiPriority w:val="10"/>
    <w:rsid w:val="000E3A6D"/>
    <w:rPr>
      <w:rFonts w:asciiTheme="majorHAnsi" w:hAnsiTheme="majorHAnsi"/>
      <w:color w:val="775538" w:themeColor="background1"/>
      <w:sz w:val="42"/>
      <w:szCs w:val="20"/>
      <w:shd w:val="clear" w:color="auto" w:fill="5BA5DA" w:themeFill="background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83766">
      <w:bodyDiv w:val="1"/>
      <w:marLeft w:val="0"/>
      <w:marRight w:val="0"/>
      <w:marTop w:val="0"/>
      <w:marBottom w:val="0"/>
      <w:divBdr>
        <w:top w:val="none" w:sz="0" w:space="0" w:color="auto"/>
        <w:left w:val="none" w:sz="0" w:space="0" w:color="auto"/>
        <w:bottom w:val="none" w:sz="0" w:space="0" w:color="auto"/>
        <w:right w:val="none" w:sz="0" w:space="0" w:color="auto"/>
      </w:divBdr>
    </w:div>
    <w:div w:id="141848370">
      <w:bodyDiv w:val="1"/>
      <w:marLeft w:val="0"/>
      <w:marRight w:val="0"/>
      <w:marTop w:val="0"/>
      <w:marBottom w:val="0"/>
      <w:divBdr>
        <w:top w:val="none" w:sz="0" w:space="0" w:color="auto"/>
        <w:left w:val="none" w:sz="0" w:space="0" w:color="auto"/>
        <w:bottom w:val="none" w:sz="0" w:space="0" w:color="auto"/>
        <w:right w:val="none" w:sz="0" w:space="0" w:color="auto"/>
      </w:divBdr>
    </w:div>
    <w:div w:id="243611843">
      <w:bodyDiv w:val="1"/>
      <w:marLeft w:val="0"/>
      <w:marRight w:val="0"/>
      <w:marTop w:val="0"/>
      <w:marBottom w:val="0"/>
      <w:divBdr>
        <w:top w:val="none" w:sz="0" w:space="0" w:color="auto"/>
        <w:left w:val="none" w:sz="0" w:space="0" w:color="auto"/>
        <w:bottom w:val="none" w:sz="0" w:space="0" w:color="auto"/>
        <w:right w:val="none" w:sz="0" w:space="0" w:color="auto"/>
      </w:divBdr>
    </w:div>
    <w:div w:id="263268832">
      <w:bodyDiv w:val="1"/>
      <w:marLeft w:val="0"/>
      <w:marRight w:val="0"/>
      <w:marTop w:val="0"/>
      <w:marBottom w:val="0"/>
      <w:divBdr>
        <w:top w:val="none" w:sz="0" w:space="0" w:color="auto"/>
        <w:left w:val="none" w:sz="0" w:space="0" w:color="auto"/>
        <w:bottom w:val="none" w:sz="0" w:space="0" w:color="auto"/>
        <w:right w:val="none" w:sz="0" w:space="0" w:color="auto"/>
      </w:divBdr>
    </w:div>
    <w:div w:id="277951848">
      <w:bodyDiv w:val="1"/>
      <w:marLeft w:val="0"/>
      <w:marRight w:val="0"/>
      <w:marTop w:val="0"/>
      <w:marBottom w:val="0"/>
      <w:divBdr>
        <w:top w:val="none" w:sz="0" w:space="0" w:color="auto"/>
        <w:left w:val="none" w:sz="0" w:space="0" w:color="auto"/>
        <w:bottom w:val="none" w:sz="0" w:space="0" w:color="auto"/>
        <w:right w:val="none" w:sz="0" w:space="0" w:color="auto"/>
      </w:divBdr>
    </w:div>
    <w:div w:id="290283601">
      <w:bodyDiv w:val="1"/>
      <w:marLeft w:val="0"/>
      <w:marRight w:val="0"/>
      <w:marTop w:val="0"/>
      <w:marBottom w:val="0"/>
      <w:divBdr>
        <w:top w:val="none" w:sz="0" w:space="0" w:color="auto"/>
        <w:left w:val="none" w:sz="0" w:space="0" w:color="auto"/>
        <w:bottom w:val="none" w:sz="0" w:space="0" w:color="auto"/>
        <w:right w:val="none" w:sz="0" w:space="0" w:color="auto"/>
      </w:divBdr>
    </w:div>
    <w:div w:id="292946298">
      <w:bodyDiv w:val="1"/>
      <w:marLeft w:val="0"/>
      <w:marRight w:val="0"/>
      <w:marTop w:val="0"/>
      <w:marBottom w:val="0"/>
      <w:divBdr>
        <w:top w:val="none" w:sz="0" w:space="0" w:color="auto"/>
        <w:left w:val="none" w:sz="0" w:space="0" w:color="auto"/>
        <w:bottom w:val="none" w:sz="0" w:space="0" w:color="auto"/>
        <w:right w:val="none" w:sz="0" w:space="0" w:color="auto"/>
      </w:divBdr>
    </w:div>
    <w:div w:id="337076324">
      <w:bodyDiv w:val="1"/>
      <w:marLeft w:val="0"/>
      <w:marRight w:val="0"/>
      <w:marTop w:val="0"/>
      <w:marBottom w:val="0"/>
      <w:divBdr>
        <w:top w:val="none" w:sz="0" w:space="0" w:color="auto"/>
        <w:left w:val="none" w:sz="0" w:space="0" w:color="auto"/>
        <w:bottom w:val="none" w:sz="0" w:space="0" w:color="auto"/>
        <w:right w:val="none" w:sz="0" w:space="0" w:color="auto"/>
      </w:divBdr>
    </w:div>
    <w:div w:id="412972782">
      <w:bodyDiv w:val="1"/>
      <w:marLeft w:val="0"/>
      <w:marRight w:val="0"/>
      <w:marTop w:val="0"/>
      <w:marBottom w:val="0"/>
      <w:divBdr>
        <w:top w:val="none" w:sz="0" w:space="0" w:color="auto"/>
        <w:left w:val="none" w:sz="0" w:space="0" w:color="auto"/>
        <w:bottom w:val="none" w:sz="0" w:space="0" w:color="auto"/>
        <w:right w:val="none" w:sz="0" w:space="0" w:color="auto"/>
      </w:divBdr>
      <w:divsChild>
        <w:div w:id="1328554194">
          <w:marLeft w:val="0"/>
          <w:marRight w:val="0"/>
          <w:marTop w:val="0"/>
          <w:marBottom w:val="0"/>
          <w:divBdr>
            <w:top w:val="none" w:sz="0" w:space="0" w:color="auto"/>
            <w:left w:val="none" w:sz="0" w:space="0" w:color="auto"/>
            <w:bottom w:val="none" w:sz="0" w:space="0" w:color="auto"/>
            <w:right w:val="none" w:sz="0" w:space="0" w:color="auto"/>
          </w:divBdr>
          <w:divsChild>
            <w:div w:id="821624891">
              <w:marLeft w:val="0"/>
              <w:marRight w:val="0"/>
              <w:marTop w:val="0"/>
              <w:marBottom w:val="0"/>
              <w:divBdr>
                <w:top w:val="none" w:sz="0" w:space="0" w:color="auto"/>
                <w:left w:val="none" w:sz="0" w:space="0" w:color="auto"/>
                <w:bottom w:val="none" w:sz="0" w:space="0" w:color="auto"/>
                <w:right w:val="none" w:sz="0" w:space="0" w:color="auto"/>
              </w:divBdr>
              <w:divsChild>
                <w:div w:id="8996607">
                  <w:marLeft w:val="0"/>
                  <w:marRight w:val="0"/>
                  <w:marTop w:val="0"/>
                  <w:marBottom w:val="0"/>
                  <w:divBdr>
                    <w:top w:val="none" w:sz="0" w:space="0" w:color="auto"/>
                    <w:left w:val="none" w:sz="0" w:space="0" w:color="auto"/>
                    <w:bottom w:val="none" w:sz="0" w:space="0" w:color="auto"/>
                    <w:right w:val="none" w:sz="0" w:space="0" w:color="auto"/>
                  </w:divBdr>
                  <w:divsChild>
                    <w:div w:id="1936133661">
                      <w:marLeft w:val="0"/>
                      <w:marRight w:val="0"/>
                      <w:marTop w:val="0"/>
                      <w:marBottom w:val="0"/>
                      <w:divBdr>
                        <w:top w:val="none" w:sz="0" w:space="0" w:color="auto"/>
                        <w:left w:val="none" w:sz="0" w:space="0" w:color="auto"/>
                        <w:bottom w:val="none" w:sz="0" w:space="0" w:color="auto"/>
                        <w:right w:val="none" w:sz="0" w:space="0" w:color="auto"/>
                      </w:divBdr>
                      <w:divsChild>
                        <w:div w:id="1137456521">
                          <w:marLeft w:val="4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251420">
          <w:marLeft w:val="0"/>
          <w:marRight w:val="0"/>
          <w:marTop w:val="0"/>
          <w:marBottom w:val="0"/>
          <w:divBdr>
            <w:top w:val="none" w:sz="0" w:space="0" w:color="auto"/>
            <w:left w:val="none" w:sz="0" w:space="0" w:color="auto"/>
            <w:bottom w:val="none" w:sz="0" w:space="0" w:color="auto"/>
            <w:right w:val="none" w:sz="0" w:space="0" w:color="auto"/>
          </w:divBdr>
          <w:divsChild>
            <w:div w:id="444663036">
              <w:marLeft w:val="0"/>
              <w:marRight w:val="0"/>
              <w:marTop w:val="0"/>
              <w:marBottom w:val="0"/>
              <w:divBdr>
                <w:top w:val="none" w:sz="0" w:space="0" w:color="auto"/>
                <w:left w:val="none" w:sz="0" w:space="0" w:color="auto"/>
                <w:bottom w:val="none" w:sz="0" w:space="0" w:color="auto"/>
                <w:right w:val="none" w:sz="0" w:space="0" w:color="auto"/>
              </w:divBdr>
              <w:divsChild>
                <w:div w:id="92171209">
                  <w:marLeft w:val="0"/>
                  <w:marRight w:val="0"/>
                  <w:marTop w:val="0"/>
                  <w:marBottom w:val="0"/>
                  <w:divBdr>
                    <w:top w:val="none" w:sz="0" w:space="0" w:color="auto"/>
                    <w:left w:val="none" w:sz="0" w:space="0" w:color="auto"/>
                    <w:bottom w:val="none" w:sz="0" w:space="0" w:color="auto"/>
                    <w:right w:val="none" w:sz="0" w:space="0" w:color="auto"/>
                  </w:divBdr>
                  <w:divsChild>
                    <w:div w:id="97545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196101">
      <w:bodyDiv w:val="1"/>
      <w:marLeft w:val="0"/>
      <w:marRight w:val="0"/>
      <w:marTop w:val="0"/>
      <w:marBottom w:val="0"/>
      <w:divBdr>
        <w:top w:val="none" w:sz="0" w:space="0" w:color="auto"/>
        <w:left w:val="none" w:sz="0" w:space="0" w:color="auto"/>
        <w:bottom w:val="none" w:sz="0" w:space="0" w:color="auto"/>
        <w:right w:val="none" w:sz="0" w:space="0" w:color="auto"/>
      </w:divBdr>
    </w:div>
    <w:div w:id="442579799">
      <w:bodyDiv w:val="1"/>
      <w:marLeft w:val="0"/>
      <w:marRight w:val="0"/>
      <w:marTop w:val="0"/>
      <w:marBottom w:val="0"/>
      <w:divBdr>
        <w:top w:val="none" w:sz="0" w:space="0" w:color="auto"/>
        <w:left w:val="none" w:sz="0" w:space="0" w:color="auto"/>
        <w:bottom w:val="none" w:sz="0" w:space="0" w:color="auto"/>
        <w:right w:val="none" w:sz="0" w:space="0" w:color="auto"/>
      </w:divBdr>
    </w:div>
    <w:div w:id="627207361">
      <w:bodyDiv w:val="1"/>
      <w:marLeft w:val="0"/>
      <w:marRight w:val="0"/>
      <w:marTop w:val="0"/>
      <w:marBottom w:val="0"/>
      <w:divBdr>
        <w:top w:val="none" w:sz="0" w:space="0" w:color="auto"/>
        <w:left w:val="none" w:sz="0" w:space="0" w:color="auto"/>
        <w:bottom w:val="none" w:sz="0" w:space="0" w:color="auto"/>
        <w:right w:val="none" w:sz="0" w:space="0" w:color="auto"/>
      </w:divBdr>
    </w:div>
    <w:div w:id="703335612">
      <w:bodyDiv w:val="1"/>
      <w:marLeft w:val="0"/>
      <w:marRight w:val="0"/>
      <w:marTop w:val="0"/>
      <w:marBottom w:val="0"/>
      <w:divBdr>
        <w:top w:val="none" w:sz="0" w:space="0" w:color="auto"/>
        <w:left w:val="none" w:sz="0" w:space="0" w:color="auto"/>
        <w:bottom w:val="none" w:sz="0" w:space="0" w:color="auto"/>
        <w:right w:val="none" w:sz="0" w:space="0" w:color="auto"/>
      </w:divBdr>
    </w:div>
    <w:div w:id="766314843">
      <w:bodyDiv w:val="1"/>
      <w:marLeft w:val="0"/>
      <w:marRight w:val="0"/>
      <w:marTop w:val="0"/>
      <w:marBottom w:val="0"/>
      <w:divBdr>
        <w:top w:val="none" w:sz="0" w:space="0" w:color="auto"/>
        <w:left w:val="none" w:sz="0" w:space="0" w:color="auto"/>
        <w:bottom w:val="none" w:sz="0" w:space="0" w:color="auto"/>
        <w:right w:val="none" w:sz="0" w:space="0" w:color="auto"/>
      </w:divBdr>
    </w:div>
    <w:div w:id="772365742">
      <w:bodyDiv w:val="1"/>
      <w:marLeft w:val="0"/>
      <w:marRight w:val="0"/>
      <w:marTop w:val="0"/>
      <w:marBottom w:val="0"/>
      <w:divBdr>
        <w:top w:val="none" w:sz="0" w:space="0" w:color="auto"/>
        <w:left w:val="none" w:sz="0" w:space="0" w:color="auto"/>
        <w:bottom w:val="none" w:sz="0" w:space="0" w:color="auto"/>
        <w:right w:val="none" w:sz="0" w:space="0" w:color="auto"/>
      </w:divBdr>
    </w:div>
    <w:div w:id="775715025">
      <w:bodyDiv w:val="1"/>
      <w:marLeft w:val="0"/>
      <w:marRight w:val="0"/>
      <w:marTop w:val="0"/>
      <w:marBottom w:val="0"/>
      <w:divBdr>
        <w:top w:val="none" w:sz="0" w:space="0" w:color="auto"/>
        <w:left w:val="none" w:sz="0" w:space="0" w:color="auto"/>
        <w:bottom w:val="none" w:sz="0" w:space="0" w:color="auto"/>
        <w:right w:val="none" w:sz="0" w:space="0" w:color="auto"/>
      </w:divBdr>
    </w:div>
    <w:div w:id="850149311">
      <w:bodyDiv w:val="1"/>
      <w:marLeft w:val="0"/>
      <w:marRight w:val="0"/>
      <w:marTop w:val="0"/>
      <w:marBottom w:val="0"/>
      <w:divBdr>
        <w:top w:val="none" w:sz="0" w:space="0" w:color="auto"/>
        <w:left w:val="none" w:sz="0" w:space="0" w:color="auto"/>
        <w:bottom w:val="none" w:sz="0" w:space="0" w:color="auto"/>
        <w:right w:val="none" w:sz="0" w:space="0" w:color="auto"/>
      </w:divBdr>
    </w:div>
    <w:div w:id="895123149">
      <w:bodyDiv w:val="1"/>
      <w:marLeft w:val="0"/>
      <w:marRight w:val="0"/>
      <w:marTop w:val="0"/>
      <w:marBottom w:val="0"/>
      <w:divBdr>
        <w:top w:val="none" w:sz="0" w:space="0" w:color="auto"/>
        <w:left w:val="none" w:sz="0" w:space="0" w:color="auto"/>
        <w:bottom w:val="none" w:sz="0" w:space="0" w:color="auto"/>
        <w:right w:val="none" w:sz="0" w:space="0" w:color="auto"/>
      </w:divBdr>
      <w:divsChild>
        <w:div w:id="190998827">
          <w:marLeft w:val="0"/>
          <w:marRight w:val="0"/>
          <w:marTop w:val="0"/>
          <w:marBottom w:val="0"/>
          <w:divBdr>
            <w:top w:val="none" w:sz="0" w:space="0" w:color="auto"/>
            <w:left w:val="none" w:sz="0" w:space="0" w:color="auto"/>
            <w:bottom w:val="none" w:sz="0" w:space="0" w:color="auto"/>
            <w:right w:val="none" w:sz="0" w:space="0" w:color="auto"/>
          </w:divBdr>
        </w:div>
      </w:divsChild>
    </w:div>
    <w:div w:id="985358544">
      <w:bodyDiv w:val="1"/>
      <w:marLeft w:val="0"/>
      <w:marRight w:val="0"/>
      <w:marTop w:val="0"/>
      <w:marBottom w:val="0"/>
      <w:divBdr>
        <w:top w:val="none" w:sz="0" w:space="0" w:color="auto"/>
        <w:left w:val="none" w:sz="0" w:space="0" w:color="auto"/>
        <w:bottom w:val="none" w:sz="0" w:space="0" w:color="auto"/>
        <w:right w:val="none" w:sz="0" w:space="0" w:color="auto"/>
      </w:divBdr>
    </w:div>
    <w:div w:id="1000430238">
      <w:bodyDiv w:val="1"/>
      <w:marLeft w:val="0"/>
      <w:marRight w:val="0"/>
      <w:marTop w:val="0"/>
      <w:marBottom w:val="0"/>
      <w:divBdr>
        <w:top w:val="none" w:sz="0" w:space="0" w:color="auto"/>
        <w:left w:val="none" w:sz="0" w:space="0" w:color="auto"/>
        <w:bottom w:val="none" w:sz="0" w:space="0" w:color="auto"/>
        <w:right w:val="none" w:sz="0" w:space="0" w:color="auto"/>
      </w:divBdr>
    </w:div>
    <w:div w:id="1011373104">
      <w:bodyDiv w:val="1"/>
      <w:marLeft w:val="0"/>
      <w:marRight w:val="0"/>
      <w:marTop w:val="0"/>
      <w:marBottom w:val="0"/>
      <w:divBdr>
        <w:top w:val="none" w:sz="0" w:space="0" w:color="auto"/>
        <w:left w:val="none" w:sz="0" w:space="0" w:color="auto"/>
        <w:bottom w:val="none" w:sz="0" w:space="0" w:color="auto"/>
        <w:right w:val="none" w:sz="0" w:space="0" w:color="auto"/>
      </w:divBdr>
      <w:divsChild>
        <w:div w:id="631330740">
          <w:marLeft w:val="0"/>
          <w:marRight w:val="0"/>
          <w:marTop w:val="0"/>
          <w:marBottom w:val="0"/>
          <w:divBdr>
            <w:top w:val="none" w:sz="0" w:space="0" w:color="auto"/>
            <w:left w:val="none" w:sz="0" w:space="0" w:color="auto"/>
            <w:bottom w:val="none" w:sz="0" w:space="0" w:color="auto"/>
            <w:right w:val="none" w:sz="0" w:space="0" w:color="auto"/>
          </w:divBdr>
        </w:div>
        <w:div w:id="1595165138">
          <w:marLeft w:val="0"/>
          <w:marRight w:val="0"/>
          <w:marTop w:val="0"/>
          <w:marBottom w:val="0"/>
          <w:divBdr>
            <w:top w:val="none" w:sz="0" w:space="0" w:color="auto"/>
            <w:left w:val="none" w:sz="0" w:space="0" w:color="auto"/>
            <w:bottom w:val="none" w:sz="0" w:space="0" w:color="auto"/>
            <w:right w:val="none" w:sz="0" w:space="0" w:color="auto"/>
          </w:divBdr>
        </w:div>
      </w:divsChild>
    </w:div>
    <w:div w:id="1049186017">
      <w:bodyDiv w:val="1"/>
      <w:marLeft w:val="0"/>
      <w:marRight w:val="0"/>
      <w:marTop w:val="0"/>
      <w:marBottom w:val="0"/>
      <w:divBdr>
        <w:top w:val="none" w:sz="0" w:space="0" w:color="auto"/>
        <w:left w:val="none" w:sz="0" w:space="0" w:color="auto"/>
        <w:bottom w:val="none" w:sz="0" w:space="0" w:color="auto"/>
        <w:right w:val="none" w:sz="0" w:space="0" w:color="auto"/>
      </w:divBdr>
    </w:div>
    <w:div w:id="1062291965">
      <w:bodyDiv w:val="1"/>
      <w:marLeft w:val="0"/>
      <w:marRight w:val="0"/>
      <w:marTop w:val="0"/>
      <w:marBottom w:val="0"/>
      <w:divBdr>
        <w:top w:val="none" w:sz="0" w:space="0" w:color="auto"/>
        <w:left w:val="none" w:sz="0" w:space="0" w:color="auto"/>
        <w:bottom w:val="none" w:sz="0" w:space="0" w:color="auto"/>
        <w:right w:val="none" w:sz="0" w:space="0" w:color="auto"/>
      </w:divBdr>
    </w:div>
    <w:div w:id="1074015195">
      <w:bodyDiv w:val="1"/>
      <w:marLeft w:val="0"/>
      <w:marRight w:val="0"/>
      <w:marTop w:val="0"/>
      <w:marBottom w:val="0"/>
      <w:divBdr>
        <w:top w:val="none" w:sz="0" w:space="0" w:color="auto"/>
        <w:left w:val="none" w:sz="0" w:space="0" w:color="auto"/>
        <w:bottom w:val="none" w:sz="0" w:space="0" w:color="auto"/>
        <w:right w:val="none" w:sz="0" w:space="0" w:color="auto"/>
      </w:divBdr>
    </w:div>
    <w:div w:id="1085106571">
      <w:bodyDiv w:val="1"/>
      <w:marLeft w:val="0"/>
      <w:marRight w:val="0"/>
      <w:marTop w:val="0"/>
      <w:marBottom w:val="0"/>
      <w:divBdr>
        <w:top w:val="none" w:sz="0" w:space="0" w:color="auto"/>
        <w:left w:val="none" w:sz="0" w:space="0" w:color="auto"/>
        <w:bottom w:val="none" w:sz="0" w:space="0" w:color="auto"/>
        <w:right w:val="none" w:sz="0" w:space="0" w:color="auto"/>
      </w:divBdr>
    </w:div>
    <w:div w:id="1144200072">
      <w:bodyDiv w:val="1"/>
      <w:marLeft w:val="0"/>
      <w:marRight w:val="0"/>
      <w:marTop w:val="0"/>
      <w:marBottom w:val="0"/>
      <w:divBdr>
        <w:top w:val="none" w:sz="0" w:space="0" w:color="auto"/>
        <w:left w:val="none" w:sz="0" w:space="0" w:color="auto"/>
        <w:bottom w:val="none" w:sz="0" w:space="0" w:color="auto"/>
        <w:right w:val="none" w:sz="0" w:space="0" w:color="auto"/>
      </w:divBdr>
    </w:div>
    <w:div w:id="1170674602">
      <w:bodyDiv w:val="1"/>
      <w:marLeft w:val="0"/>
      <w:marRight w:val="0"/>
      <w:marTop w:val="0"/>
      <w:marBottom w:val="0"/>
      <w:divBdr>
        <w:top w:val="none" w:sz="0" w:space="0" w:color="auto"/>
        <w:left w:val="none" w:sz="0" w:space="0" w:color="auto"/>
        <w:bottom w:val="none" w:sz="0" w:space="0" w:color="auto"/>
        <w:right w:val="none" w:sz="0" w:space="0" w:color="auto"/>
      </w:divBdr>
    </w:div>
    <w:div w:id="1175805041">
      <w:bodyDiv w:val="1"/>
      <w:marLeft w:val="0"/>
      <w:marRight w:val="0"/>
      <w:marTop w:val="0"/>
      <w:marBottom w:val="0"/>
      <w:divBdr>
        <w:top w:val="none" w:sz="0" w:space="0" w:color="auto"/>
        <w:left w:val="none" w:sz="0" w:space="0" w:color="auto"/>
        <w:bottom w:val="none" w:sz="0" w:space="0" w:color="auto"/>
        <w:right w:val="none" w:sz="0" w:space="0" w:color="auto"/>
      </w:divBdr>
    </w:div>
    <w:div w:id="1177379127">
      <w:bodyDiv w:val="1"/>
      <w:marLeft w:val="0"/>
      <w:marRight w:val="0"/>
      <w:marTop w:val="0"/>
      <w:marBottom w:val="0"/>
      <w:divBdr>
        <w:top w:val="none" w:sz="0" w:space="0" w:color="auto"/>
        <w:left w:val="none" w:sz="0" w:space="0" w:color="auto"/>
        <w:bottom w:val="none" w:sz="0" w:space="0" w:color="auto"/>
        <w:right w:val="none" w:sz="0" w:space="0" w:color="auto"/>
      </w:divBdr>
    </w:div>
    <w:div w:id="1211379930">
      <w:bodyDiv w:val="1"/>
      <w:marLeft w:val="0"/>
      <w:marRight w:val="0"/>
      <w:marTop w:val="0"/>
      <w:marBottom w:val="0"/>
      <w:divBdr>
        <w:top w:val="none" w:sz="0" w:space="0" w:color="auto"/>
        <w:left w:val="none" w:sz="0" w:space="0" w:color="auto"/>
        <w:bottom w:val="none" w:sz="0" w:space="0" w:color="auto"/>
        <w:right w:val="none" w:sz="0" w:space="0" w:color="auto"/>
      </w:divBdr>
    </w:div>
    <w:div w:id="1255361325">
      <w:bodyDiv w:val="1"/>
      <w:marLeft w:val="0"/>
      <w:marRight w:val="0"/>
      <w:marTop w:val="0"/>
      <w:marBottom w:val="0"/>
      <w:divBdr>
        <w:top w:val="none" w:sz="0" w:space="0" w:color="auto"/>
        <w:left w:val="none" w:sz="0" w:space="0" w:color="auto"/>
        <w:bottom w:val="none" w:sz="0" w:space="0" w:color="auto"/>
        <w:right w:val="none" w:sz="0" w:space="0" w:color="auto"/>
      </w:divBdr>
    </w:div>
    <w:div w:id="1266235304">
      <w:bodyDiv w:val="1"/>
      <w:marLeft w:val="0"/>
      <w:marRight w:val="0"/>
      <w:marTop w:val="0"/>
      <w:marBottom w:val="0"/>
      <w:divBdr>
        <w:top w:val="none" w:sz="0" w:space="0" w:color="auto"/>
        <w:left w:val="none" w:sz="0" w:space="0" w:color="auto"/>
        <w:bottom w:val="none" w:sz="0" w:space="0" w:color="auto"/>
        <w:right w:val="none" w:sz="0" w:space="0" w:color="auto"/>
      </w:divBdr>
      <w:divsChild>
        <w:div w:id="88157212">
          <w:marLeft w:val="0"/>
          <w:marRight w:val="0"/>
          <w:marTop w:val="0"/>
          <w:marBottom w:val="0"/>
          <w:divBdr>
            <w:top w:val="none" w:sz="0" w:space="0" w:color="auto"/>
            <w:left w:val="none" w:sz="0" w:space="0" w:color="auto"/>
            <w:bottom w:val="none" w:sz="0" w:space="0" w:color="auto"/>
            <w:right w:val="none" w:sz="0" w:space="0" w:color="auto"/>
          </w:divBdr>
        </w:div>
        <w:div w:id="135222555">
          <w:marLeft w:val="0"/>
          <w:marRight w:val="0"/>
          <w:marTop w:val="0"/>
          <w:marBottom w:val="0"/>
          <w:divBdr>
            <w:top w:val="none" w:sz="0" w:space="0" w:color="auto"/>
            <w:left w:val="none" w:sz="0" w:space="0" w:color="auto"/>
            <w:bottom w:val="none" w:sz="0" w:space="0" w:color="auto"/>
            <w:right w:val="none" w:sz="0" w:space="0" w:color="auto"/>
          </w:divBdr>
        </w:div>
        <w:div w:id="198013798">
          <w:marLeft w:val="0"/>
          <w:marRight w:val="0"/>
          <w:marTop w:val="0"/>
          <w:marBottom w:val="0"/>
          <w:divBdr>
            <w:top w:val="none" w:sz="0" w:space="0" w:color="auto"/>
            <w:left w:val="none" w:sz="0" w:space="0" w:color="auto"/>
            <w:bottom w:val="none" w:sz="0" w:space="0" w:color="auto"/>
            <w:right w:val="none" w:sz="0" w:space="0" w:color="auto"/>
          </w:divBdr>
        </w:div>
        <w:div w:id="1024206334">
          <w:marLeft w:val="0"/>
          <w:marRight w:val="0"/>
          <w:marTop w:val="0"/>
          <w:marBottom w:val="0"/>
          <w:divBdr>
            <w:top w:val="none" w:sz="0" w:space="0" w:color="auto"/>
            <w:left w:val="none" w:sz="0" w:space="0" w:color="auto"/>
            <w:bottom w:val="none" w:sz="0" w:space="0" w:color="auto"/>
            <w:right w:val="none" w:sz="0" w:space="0" w:color="auto"/>
          </w:divBdr>
        </w:div>
        <w:div w:id="2126919527">
          <w:marLeft w:val="0"/>
          <w:marRight w:val="0"/>
          <w:marTop w:val="0"/>
          <w:marBottom w:val="0"/>
          <w:divBdr>
            <w:top w:val="none" w:sz="0" w:space="0" w:color="auto"/>
            <w:left w:val="none" w:sz="0" w:space="0" w:color="auto"/>
            <w:bottom w:val="none" w:sz="0" w:space="0" w:color="auto"/>
            <w:right w:val="none" w:sz="0" w:space="0" w:color="auto"/>
          </w:divBdr>
        </w:div>
      </w:divsChild>
    </w:div>
    <w:div w:id="1317345686">
      <w:bodyDiv w:val="1"/>
      <w:marLeft w:val="0"/>
      <w:marRight w:val="0"/>
      <w:marTop w:val="0"/>
      <w:marBottom w:val="0"/>
      <w:divBdr>
        <w:top w:val="none" w:sz="0" w:space="0" w:color="auto"/>
        <w:left w:val="none" w:sz="0" w:space="0" w:color="auto"/>
        <w:bottom w:val="none" w:sz="0" w:space="0" w:color="auto"/>
        <w:right w:val="none" w:sz="0" w:space="0" w:color="auto"/>
      </w:divBdr>
    </w:div>
    <w:div w:id="1424913672">
      <w:bodyDiv w:val="1"/>
      <w:marLeft w:val="0"/>
      <w:marRight w:val="0"/>
      <w:marTop w:val="0"/>
      <w:marBottom w:val="0"/>
      <w:divBdr>
        <w:top w:val="none" w:sz="0" w:space="0" w:color="auto"/>
        <w:left w:val="none" w:sz="0" w:space="0" w:color="auto"/>
        <w:bottom w:val="none" w:sz="0" w:space="0" w:color="auto"/>
        <w:right w:val="none" w:sz="0" w:space="0" w:color="auto"/>
      </w:divBdr>
    </w:div>
    <w:div w:id="1447652507">
      <w:bodyDiv w:val="1"/>
      <w:marLeft w:val="0"/>
      <w:marRight w:val="0"/>
      <w:marTop w:val="0"/>
      <w:marBottom w:val="0"/>
      <w:divBdr>
        <w:top w:val="none" w:sz="0" w:space="0" w:color="auto"/>
        <w:left w:val="none" w:sz="0" w:space="0" w:color="auto"/>
        <w:bottom w:val="none" w:sz="0" w:space="0" w:color="auto"/>
        <w:right w:val="none" w:sz="0" w:space="0" w:color="auto"/>
      </w:divBdr>
    </w:div>
    <w:div w:id="1466459805">
      <w:bodyDiv w:val="1"/>
      <w:marLeft w:val="0"/>
      <w:marRight w:val="0"/>
      <w:marTop w:val="0"/>
      <w:marBottom w:val="0"/>
      <w:divBdr>
        <w:top w:val="none" w:sz="0" w:space="0" w:color="auto"/>
        <w:left w:val="none" w:sz="0" w:space="0" w:color="auto"/>
        <w:bottom w:val="none" w:sz="0" w:space="0" w:color="auto"/>
        <w:right w:val="none" w:sz="0" w:space="0" w:color="auto"/>
      </w:divBdr>
    </w:div>
    <w:div w:id="1517230173">
      <w:bodyDiv w:val="1"/>
      <w:marLeft w:val="0"/>
      <w:marRight w:val="0"/>
      <w:marTop w:val="0"/>
      <w:marBottom w:val="0"/>
      <w:divBdr>
        <w:top w:val="none" w:sz="0" w:space="0" w:color="auto"/>
        <w:left w:val="none" w:sz="0" w:space="0" w:color="auto"/>
        <w:bottom w:val="none" w:sz="0" w:space="0" w:color="auto"/>
        <w:right w:val="none" w:sz="0" w:space="0" w:color="auto"/>
      </w:divBdr>
    </w:div>
    <w:div w:id="1563524371">
      <w:bodyDiv w:val="1"/>
      <w:marLeft w:val="0"/>
      <w:marRight w:val="0"/>
      <w:marTop w:val="0"/>
      <w:marBottom w:val="0"/>
      <w:divBdr>
        <w:top w:val="none" w:sz="0" w:space="0" w:color="auto"/>
        <w:left w:val="none" w:sz="0" w:space="0" w:color="auto"/>
        <w:bottom w:val="none" w:sz="0" w:space="0" w:color="auto"/>
        <w:right w:val="none" w:sz="0" w:space="0" w:color="auto"/>
      </w:divBdr>
      <w:divsChild>
        <w:div w:id="1927036394">
          <w:marLeft w:val="0"/>
          <w:marRight w:val="0"/>
          <w:marTop w:val="0"/>
          <w:marBottom w:val="0"/>
          <w:divBdr>
            <w:top w:val="none" w:sz="0" w:space="0" w:color="auto"/>
            <w:left w:val="none" w:sz="0" w:space="0" w:color="auto"/>
            <w:bottom w:val="none" w:sz="0" w:space="0" w:color="auto"/>
            <w:right w:val="none" w:sz="0" w:space="0" w:color="auto"/>
          </w:divBdr>
        </w:div>
        <w:div w:id="1950500572">
          <w:marLeft w:val="0"/>
          <w:marRight w:val="0"/>
          <w:marTop w:val="0"/>
          <w:marBottom w:val="0"/>
          <w:divBdr>
            <w:top w:val="none" w:sz="0" w:space="0" w:color="auto"/>
            <w:left w:val="none" w:sz="0" w:space="0" w:color="auto"/>
            <w:bottom w:val="none" w:sz="0" w:space="0" w:color="auto"/>
            <w:right w:val="none" w:sz="0" w:space="0" w:color="auto"/>
          </w:divBdr>
        </w:div>
      </w:divsChild>
    </w:div>
    <w:div w:id="1575430919">
      <w:bodyDiv w:val="1"/>
      <w:marLeft w:val="0"/>
      <w:marRight w:val="0"/>
      <w:marTop w:val="0"/>
      <w:marBottom w:val="0"/>
      <w:divBdr>
        <w:top w:val="none" w:sz="0" w:space="0" w:color="auto"/>
        <w:left w:val="none" w:sz="0" w:space="0" w:color="auto"/>
        <w:bottom w:val="none" w:sz="0" w:space="0" w:color="auto"/>
        <w:right w:val="none" w:sz="0" w:space="0" w:color="auto"/>
      </w:divBdr>
    </w:div>
    <w:div w:id="1585452280">
      <w:bodyDiv w:val="1"/>
      <w:marLeft w:val="0"/>
      <w:marRight w:val="0"/>
      <w:marTop w:val="0"/>
      <w:marBottom w:val="0"/>
      <w:divBdr>
        <w:top w:val="none" w:sz="0" w:space="0" w:color="auto"/>
        <w:left w:val="none" w:sz="0" w:space="0" w:color="auto"/>
        <w:bottom w:val="none" w:sz="0" w:space="0" w:color="auto"/>
        <w:right w:val="none" w:sz="0" w:space="0" w:color="auto"/>
      </w:divBdr>
    </w:div>
    <w:div w:id="1640109538">
      <w:bodyDiv w:val="1"/>
      <w:marLeft w:val="0"/>
      <w:marRight w:val="0"/>
      <w:marTop w:val="0"/>
      <w:marBottom w:val="0"/>
      <w:divBdr>
        <w:top w:val="none" w:sz="0" w:space="0" w:color="auto"/>
        <w:left w:val="none" w:sz="0" w:space="0" w:color="auto"/>
        <w:bottom w:val="none" w:sz="0" w:space="0" w:color="auto"/>
        <w:right w:val="none" w:sz="0" w:space="0" w:color="auto"/>
      </w:divBdr>
    </w:div>
    <w:div w:id="1653293367">
      <w:bodyDiv w:val="1"/>
      <w:marLeft w:val="0"/>
      <w:marRight w:val="0"/>
      <w:marTop w:val="0"/>
      <w:marBottom w:val="0"/>
      <w:divBdr>
        <w:top w:val="none" w:sz="0" w:space="0" w:color="auto"/>
        <w:left w:val="none" w:sz="0" w:space="0" w:color="auto"/>
        <w:bottom w:val="none" w:sz="0" w:space="0" w:color="auto"/>
        <w:right w:val="none" w:sz="0" w:space="0" w:color="auto"/>
      </w:divBdr>
    </w:div>
    <w:div w:id="1710452915">
      <w:bodyDiv w:val="1"/>
      <w:marLeft w:val="0"/>
      <w:marRight w:val="0"/>
      <w:marTop w:val="0"/>
      <w:marBottom w:val="0"/>
      <w:divBdr>
        <w:top w:val="none" w:sz="0" w:space="0" w:color="auto"/>
        <w:left w:val="none" w:sz="0" w:space="0" w:color="auto"/>
        <w:bottom w:val="none" w:sz="0" w:space="0" w:color="auto"/>
        <w:right w:val="none" w:sz="0" w:space="0" w:color="auto"/>
      </w:divBdr>
    </w:div>
    <w:div w:id="1808354273">
      <w:bodyDiv w:val="1"/>
      <w:marLeft w:val="0"/>
      <w:marRight w:val="0"/>
      <w:marTop w:val="0"/>
      <w:marBottom w:val="0"/>
      <w:divBdr>
        <w:top w:val="none" w:sz="0" w:space="0" w:color="auto"/>
        <w:left w:val="none" w:sz="0" w:space="0" w:color="auto"/>
        <w:bottom w:val="none" w:sz="0" w:space="0" w:color="auto"/>
        <w:right w:val="none" w:sz="0" w:space="0" w:color="auto"/>
      </w:divBdr>
    </w:div>
    <w:div w:id="1826166944">
      <w:bodyDiv w:val="1"/>
      <w:marLeft w:val="0"/>
      <w:marRight w:val="0"/>
      <w:marTop w:val="0"/>
      <w:marBottom w:val="0"/>
      <w:divBdr>
        <w:top w:val="none" w:sz="0" w:space="0" w:color="auto"/>
        <w:left w:val="none" w:sz="0" w:space="0" w:color="auto"/>
        <w:bottom w:val="none" w:sz="0" w:space="0" w:color="auto"/>
        <w:right w:val="none" w:sz="0" w:space="0" w:color="auto"/>
      </w:divBdr>
    </w:div>
    <w:div w:id="1865436968">
      <w:bodyDiv w:val="1"/>
      <w:marLeft w:val="0"/>
      <w:marRight w:val="0"/>
      <w:marTop w:val="0"/>
      <w:marBottom w:val="0"/>
      <w:divBdr>
        <w:top w:val="none" w:sz="0" w:space="0" w:color="auto"/>
        <w:left w:val="none" w:sz="0" w:space="0" w:color="auto"/>
        <w:bottom w:val="none" w:sz="0" w:space="0" w:color="auto"/>
        <w:right w:val="none" w:sz="0" w:space="0" w:color="auto"/>
      </w:divBdr>
    </w:div>
    <w:div w:id="2007853843">
      <w:bodyDiv w:val="1"/>
      <w:marLeft w:val="0"/>
      <w:marRight w:val="0"/>
      <w:marTop w:val="0"/>
      <w:marBottom w:val="0"/>
      <w:divBdr>
        <w:top w:val="none" w:sz="0" w:space="0" w:color="auto"/>
        <w:left w:val="none" w:sz="0" w:space="0" w:color="auto"/>
        <w:bottom w:val="none" w:sz="0" w:space="0" w:color="auto"/>
        <w:right w:val="none" w:sz="0" w:space="0" w:color="auto"/>
      </w:divBdr>
    </w:div>
    <w:div w:id="2009012598">
      <w:bodyDiv w:val="1"/>
      <w:marLeft w:val="0"/>
      <w:marRight w:val="0"/>
      <w:marTop w:val="0"/>
      <w:marBottom w:val="0"/>
      <w:divBdr>
        <w:top w:val="none" w:sz="0" w:space="0" w:color="auto"/>
        <w:left w:val="none" w:sz="0" w:space="0" w:color="auto"/>
        <w:bottom w:val="none" w:sz="0" w:space="0" w:color="auto"/>
        <w:right w:val="none" w:sz="0" w:space="0" w:color="auto"/>
      </w:divBdr>
    </w:div>
    <w:div w:id="2018579716">
      <w:bodyDiv w:val="1"/>
      <w:marLeft w:val="0"/>
      <w:marRight w:val="0"/>
      <w:marTop w:val="0"/>
      <w:marBottom w:val="0"/>
      <w:divBdr>
        <w:top w:val="none" w:sz="0" w:space="0" w:color="auto"/>
        <w:left w:val="none" w:sz="0" w:space="0" w:color="auto"/>
        <w:bottom w:val="none" w:sz="0" w:space="0" w:color="auto"/>
        <w:right w:val="none" w:sz="0" w:space="0" w:color="auto"/>
      </w:divBdr>
    </w:div>
    <w:div w:id="2052148128">
      <w:bodyDiv w:val="1"/>
      <w:marLeft w:val="0"/>
      <w:marRight w:val="0"/>
      <w:marTop w:val="0"/>
      <w:marBottom w:val="0"/>
      <w:divBdr>
        <w:top w:val="none" w:sz="0" w:space="0" w:color="auto"/>
        <w:left w:val="none" w:sz="0" w:space="0" w:color="auto"/>
        <w:bottom w:val="none" w:sz="0" w:space="0" w:color="auto"/>
        <w:right w:val="none" w:sz="0" w:space="0" w:color="auto"/>
      </w:divBdr>
    </w:div>
    <w:div w:id="2134128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6.xml"/><Relationship Id="rId21" Type="http://schemas.openxmlformats.org/officeDocument/2006/relationships/image" Target="media/image2.png"/><Relationship Id="rId42" Type="http://schemas.openxmlformats.org/officeDocument/2006/relationships/image" Target="media/image14.emf"/><Relationship Id="rId63" Type="http://schemas.openxmlformats.org/officeDocument/2006/relationships/image" Target="media/image31.png"/><Relationship Id="rId84" Type="http://schemas.openxmlformats.org/officeDocument/2006/relationships/image" Target="media/image45.emf"/><Relationship Id="rId138" Type="http://schemas.openxmlformats.org/officeDocument/2006/relationships/header" Target="header12.xml"/><Relationship Id="rId107" Type="http://schemas.openxmlformats.org/officeDocument/2006/relationships/image" Target="media/image63.emf"/><Relationship Id="rId11" Type="http://schemas.openxmlformats.org/officeDocument/2006/relationships/webSettings" Target="webSettings.xml"/><Relationship Id="rId32" Type="http://schemas.openxmlformats.org/officeDocument/2006/relationships/image" Target="media/image10.png"/><Relationship Id="rId53" Type="http://schemas.microsoft.com/office/2007/relationships/hdphoto" Target="media/hdphoto1.wdp"/><Relationship Id="rId74" Type="http://schemas.openxmlformats.org/officeDocument/2006/relationships/image" Target="media/image37.emf"/><Relationship Id="rId128" Type="http://schemas.openxmlformats.org/officeDocument/2006/relationships/hyperlink" Target="https://www.abs.gov.au/census" TargetMode="External"/><Relationship Id="rId149" Type="http://schemas.openxmlformats.org/officeDocument/2006/relationships/footer" Target="footer33.xml"/><Relationship Id="rId5" Type="http://schemas.openxmlformats.org/officeDocument/2006/relationships/customXml" Target="../customXml/item5.xml"/><Relationship Id="rId95" Type="http://schemas.microsoft.com/office/2007/relationships/hdphoto" Target="media/hdphoto6.wdp"/><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15.emf"/><Relationship Id="rId48" Type="http://schemas.openxmlformats.org/officeDocument/2006/relationships/footer" Target="footer10.xml"/><Relationship Id="rId64" Type="http://schemas.microsoft.com/office/2007/relationships/hdphoto" Target="media/hdphoto2.wdp"/><Relationship Id="rId69" Type="http://schemas.openxmlformats.org/officeDocument/2006/relationships/image" Target="media/image34.emf"/><Relationship Id="rId113" Type="http://schemas.openxmlformats.org/officeDocument/2006/relationships/footer" Target="footer23.xml"/><Relationship Id="rId118" Type="http://schemas.openxmlformats.org/officeDocument/2006/relationships/image" Target="media/image66.emf"/><Relationship Id="rId134" Type="http://schemas.openxmlformats.org/officeDocument/2006/relationships/hyperlink" Target="http://www.nntt.gov.au/" TargetMode="External"/><Relationship Id="rId139" Type="http://schemas.openxmlformats.org/officeDocument/2006/relationships/footer" Target="footer27.xml"/><Relationship Id="rId80" Type="http://schemas.openxmlformats.org/officeDocument/2006/relationships/footer" Target="footer16.xml"/><Relationship Id="rId85" Type="http://schemas.openxmlformats.org/officeDocument/2006/relationships/footer" Target="footer18.xml"/><Relationship Id="rId150" Type="http://schemas.openxmlformats.org/officeDocument/2006/relationships/footer" Target="footer34.xml"/><Relationship Id="rId12" Type="http://schemas.openxmlformats.org/officeDocument/2006/relationships/footnotes" Target="footnotes.xml"/><Relationship Id="rId17" Type="http://schemas.openxmlformats.org/officeDocument/2006/relationships/header" Target="header2.xml"/><Relationship Id="rId33" Type="http://schemas.openxmlformats.org/officeDocument/2006/relationships/header" Target="header4.xml"/><Relationship Id="rId38" Type="http://schemas.openxmlformats.org/officeDocument/2006/relationships/footer" Target="footer7.xml"/><Relationship Id="rId59" Type="http://schemas.openxmlformats.org/officeDocument/2006/relationships/footer" Target="footer12.xml"/><Relationship Id="rId103" Type="http://schemas.openxmlformats.org/officeDocument/2006/relationships/image" Target="media/image59.emf"/><Relationship Id="rId108" Type="http://schemas.openxmlformats.org/officeDocument/2006/relationships/image" Target="media/image64.png"/><Relationship Id="rId124" Type="http://schemas.openxmlformats.org/officeDocument/2006/relationships/hyperlink" Target="https://www.abs.gov.au/census" TargetMode="External"/><Relationship Id="rId129" Type="http://schemas.openxmlformats.org/officeDocument/2006/relationships/hyperlink" Target="https://www.abs.gov.au/statistics/people/crime-and-justice/prisoners-australia/latest-release" TargetMode="External"/><Relationship Id="rId54" Type="http://schemas.openxmlformats.org/officeDocument/2006/relationships/image" Target="media/image24.emf"/><Relationship Id="rId70" Type="http://schemas.openxmlformats.org/officeDocument/2006/relationships/header" Target="header8.xml"/><Relationship Id="rId75" Type="http://schemas.openxmlformats.org/officeDocument/2006/relationships/image" Target="media/image38.emf"/><Relationship Id="rId91" Type="http://schemas.openxmlformats.org/officeDocument/2006/relationships/image" Target="media/image50.emf"/><Relationship Id="rId96" Type="http://schemas.openxmlformats.org/officeDocument/2006/relationships/image" Target="media/image53.emf"/><Relationship Id="rId140" Type="http://schemas.openxmlformats.org/officeDocument/2006/relationships/footer" Target="footer28.xml"/><Relationship Id="rId145"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4.png"/><Relationship Id="rId28" Type="http://schemas.openxmlformats.org/officeDocument/2006/relationships/header" Target="header3.xml"/><Relationship Id="rId49" Type="http://schemas.openxmlformats.org/officeDocument/2006/relationships/image" Target="media/image20.emf"/><Relationship Id="rId114" Type="http://schemas.openxmlformats.org/officeDocument/2006/relationships/footer" Target="footer24.xml"/><Relationship Id="rId119" Type="http://schemas.openxmlformats.org/officeDocument/2006/relationships/hyperlink" Target="https://www.abs.gov.au/statistics/people/aboriginal-and-torres-strait-islander-peoples/aboriginal-and-torres-strait-islander-life-expectancy/latest-release" TargetMode="External"/><Relationship Id="rId44" Type="http://schemas.openxmlformats.org/officeDocument/2006/relationships/image" Target="media/image16.emf"/><Relationship Id="rId60" Type="http://schemas.openxmlformats.org/officeDocument/2006/relationships/image" Target="media/image28.emf"/><Relationship Id="rId65" Type="http://schemas.openxmlformats.org/officeDocument/2006/relationships/image" Target="media/image32.emf"/><Relationship Id="rId81" Type="http://schemas.openxmlformats.org/officeDocument/2006/relationships/footer" Target="footer17.xml"/><Relationship Id="rId86" Type="http://schemas.openxmlformats.org/officeDocument/2006/relationships/footer" Target="footer19.xml"/><Relationship Id="rId130" Type="http://schemas.openxmlformats.org/officeDocument/2006/relationships/hyperlink" Target="https://www.aihw.gov.au/about-our-data/our-data-collections/youth-justice" TargetMode="External"/><Relationship Id="rId135" Type="http://schemas.openxmlformats.org/officeDocument/2006/relationships/hyperlink" Target="https://aiatsis.gov.au/research/current-projects/third-national-indigenous-languages-survey" TargetMode="External"/><Relationship Id="rId151" Type="http://schemas.openxmlformats.org/officeDocument/2006/relationships/header" Target="header15.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header" Target="header6.xml"/><Relationship Id="rId109" Type="http://schemas.microsoft.com/office/2007/relationships/hdphoto" Target="media/hdphoto7.wdp"/><Relationship Id="rId34" Type="http://schemas.openxmlformats.org/officeDocument/2006/relationships/image" Target="media/image11.emf"/><Relationship Id="rId50" Type="http://schemas.openxmlformats.org/officeDocument/2006/relationships/image" Target="media/image21.emf"/><Relationship Id="rId55" Type="http://schemas.openxmlformats.org/officeDocument/2006/relationships/image" Target="media/image25.emf"/><Relationship Id="rId76" Type="http://schemas.openxmlformats.org/officeDocument/2006/relationships/image" Target="media/image39.emf"/><Relationship Id="rId97" Type="http://schemas.openxmlformats.org/officeDocument/2006/relationships/footer" Target="footer22.xml"/><Relationship Id="rId104" Type="http://schemas.openxmlformats.org/officeDocument/2006/relationships/image" Target="media/image60.emf"/><Relationship Id="rId120" Type="http://schemas.openxmlformats.org/officeDocument/2006/relationships/hyperlink" Target="https://www.abs.gov.au/statistics/people/aboriginal-and-torres-strait-islander-peoples/aboriginal-and-torres-strait-islander-life-expectancy/latest-release" TargetMode="External"/><Relationship Id="rId125" Type="http://schemas.openxmlformats.org/officeDocument/2006/relationships/hyperlink" Target="https://www.abs.gov.au/census" TargetMode="External"/><Relationship Id="rId141" Type="http://schemas.openxmlformats.org/officeDocument/2006/relationships/image" Target="media/image67.emf"/><Relationship Id="rId146" Type="http://schemas.openxmlformats.org/officeDocument/2006/relationships/footer" Target="footer31.xml"/><Relationship Id="rId7" Type="http://schemas.openxmlformats.org/officeDocument/2006/relationships/customXml" Target="../customXml/item7.xml"/><Relationship Id="rId71" Type="http://schemas.openxmlformats.org/officeDocument/2006/relationships/footer" Target="footer14.xml"/><Relationship Id="rId92" Type="http://schemas.openxmlformats.org/officeDocument/2006/relationships/footer" Target="footer20.xml"/><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image" Target="media/image5.jpeg"/><Relationship Id="rId40" Type="http://schemas.openxmlformats.org/officeDocument/2006/relationships/footer" Target="footer8.xml"/><Relationship Id="rId45" Type="http://schemas.openxmlformats.org/officeDocument/2006/relationships/image" Target="media/image17.emf"/><Relationship Id="rId66" Type="http://schemas.openxmlformats.org/officeDocument/2006/relationships/footer" Target="footer13.xml"/><Relationship Id="rId87" Type="http://schemas.openxmlformats.org/officeDocument/2006/relationships/image" Target="media/image47.png"/><Relationship Id="rId110" Type="http://schemas.openxmlformats.org/officeDocument/2006/relationships/image" Target="media/image65.emf"/><Relationship Id="rId115" Type="http://schemas.openxmlformats.org/officeDocument/2006/relationships/header" Target="header11.xml"/><Relationship Id="rId131" Type="http://schemas.openxmlformats.org/officeDocument/2006/relationships/hyperlink" Target="https://www.aihw.gov.au/about-our-data/our-data-collections/child-protection-national-minimum-data-set" TargetMode="External"/><Relationship Id="rId136" Type="http://schemas.openxmlformats.org/officeDocument/2006/relationships/hyperlink" Target="https://www.abs.gov.au/ausstats/abs@.nsf/Lookup/by%20Subject/4714.0~2014-15~Main%20Features~Key%20findings~1" TargetMode="External"/><Relationship Id="rId61" Type="http://schemas.openxmlformats.org/officeDocument/2006/relationships/image" Target="media/image29.emf"/><Relationship Id="rId82" Type="http://schemas.openxmlformats.org/officeDocument/2006/relationships/image" Target="media/image43.emf"/><Relationship Id="rId152"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1.png"/><Relationship Id="rId30" Type="http://schemas.openxmlformats.org/officeDocument/2006/relationships/footer" Target="footer4.xml"/><Relationship Id="rId35" Type="http://schemas.openxmlformats.org/officeDocument/2006/relationships/image" Target="media/image12.emf"/><Relationship Id="rId56" Type="http://schemas.openxmlformats.org/officeDocument/2006/relationships/image" Target="media/image26.emf"/><Relationship Id="rId77" Type="http://schemas.openxmlformats.org/officeDocument/2006/relationships/image" Target="media/image40.png"/><Relationship Id="rId100" Type="http://schemas.openxmlformats.org/officeDocument/2006/relationships/image" Target="media/image56.emf"/><Relationship Id="rId105" Type="http://schemas.openxmlformats.org/officeDocument/2006/relationships/image" Target="media/image61.emf"/><Relationship Id="rId126" Type="http://schemas.openxmlformats.org/officeDocument/2006/relationships/hyperlink" Target="https://www.abs.gov.au/census" TargetMode="External"/><Relationship Id="rId147" Type="http://schemas.openxmlformats.org/officeDocument/2006/relationships/footer" Target="footer32.xml"/><Relationship Id="rId8" Type="http://schemas.openxmlformats.org/officeDocument/2006/relationships/numbering" Target="numbering.xml"/><Relationship Id="rId51" Type="http://schemas.openxmlformats.org/officeDocument/2006/relationships/image" Target="media/image22.emf"/><Relationship Id="rId72" Type="http://schemas.openxmlformats.org/officeDocument/2006/relationships/footer" Target="footer15.xml"/><Relationship Id="rId93" Type="http://schemas.openxmlformats.org/officeDocument/2006/relationships/footer" Target="footer21.xml"/><Relationship Id="rId98" Type="http://schemas.openxmlformats.org/officeDocument/2006/relationships/image" Target="media/image54.emf"/><Relationship Id="rId121" Type="http://schemas.openxmlformats.org/officeDocument/2006/relationships/hyperlink" Target="https://www.aihw.gov.au/about-our-data/our-data-collections/national-perinatal-data-collection" TargetMode="External"/><Relationship Id="rId142" Type="http://schemas.openxmlformats.org/officeDocument/2006/relationships/header" Target="header13.xml"/><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image" Target="media/image18.emf"/><Relationship Id="rId67" Type="http://schemas.openxmlformats.org/officeDocument/2006/relationships/image" Target="media/image33.png"/><Relationship Id="rId116" Type="http://schemas.openxmlformats.org/officeDocument/2006/relationships/footer" Target="footer25.xml"/><Relationship Id="rId137" Type="http://schemas.openxmlformats.org/officeDocument/2006/relationships/hyperlink" Target="https://www.abs.gov.au/ausstats/abs@.nsf/Lookup/by%20Subject/4714.0~2014-15~Main%20Features~Key%20findings~1" TargetMode="External"/><Relationship Id="rId20" Type="http://schemas.openxmlformats.org/officeDocument/2006/relationships/hyperlink" Target="mailto:publications@pc.gov.au" TargetMode="External"/><Relationship Id="rId41" Type="http://schemas.openxmlformats.org/officeDocument/2006/relationships/footer" Target="footer9.xml"/><Relationship Id="rId62" Type="http://schemas.openxmlformats.org/officeDocument/2006/relationships/image" Target="media/image30.emf"/><Relationship Id="rId83" Type="http://schemas.openxmlformats.org/officeDocument/2006/relationships/image" Target="media/image44.emf"/><Relationship Id="rId88" Type="http://schemas.microsoft.com/office/2007/relationships/hdphoto" Target="media/hdphoto5.wdp"/><Relationship Id="rId111" Type="http://schemas.openxmlformats.org/officeDocument/2006/relationships/header" Target="header9.xml"/><Relationship Id="rId132" Type="http://schemas.openxmlformats.org/officeDocument/2006/relationships/hyperlink" Target="https://www.abs.gov.au/statistics/people/aboriginal-and-torres-strait-islander-peoples/national-aboriginal-and-torres-strait-islander-health-survey/latest-release" TargetMode="External"/><Relationship Id="rId153" Type="http://schemas.openxmlformats.org/officeDocument/2006/relationships/glossaryDocument" Target="glossary/document.xml"/><Relationship Id="rId15" Type="http://schemas.openxmlformats.org/officeDocument/2006/relationships/hyperlink" Target="http://www.pc.gov.au" TargetMode="External"/><Relationship Id="rId36" Type="http://schemas.openxmlformats.org/officeDocument/2006/relationships/header" Target="header5.xml"/><Relationship Id="rId57" Type="http://schemas.openxmlformats.org/officeDocument/2006/relationships/header" Target="header7.xml"/><Relationship Id="rId106" Type="http://schemas.openxmlformats.org/officeDocument/2006/relationships/image" Target="media/image62.emf"/><Relationship Id="rId127" Type="http://schemas.openxmlformats.org/officeDocument/2006/relationships/hyperlink" Target="https://www.abs.gov.au/census" TargetMode="External"/><Relationship Id="rId10" Type="http://schemas.openxmlformats.org/officeDocument/2006/relationships/settings" Target="settings.xml"/><Relationship Id="rId31" Type="http://schemas.openxmlformats.org/officeDocument/2006/relationships/footer" Target="footer5.xml"/><Relationship Id="rId52" Type="http://schemas.openxmlformats.org/officeDocument/2006/relationships/image" Target="media/image23.png"/><Relationship Id="rId73" Type="http://schemas.openxmlformats.org/officeDocument/2006/relationships/image" Target="media/image36.emf"/><Relationship Id="rId78" Type="http://schemas.microsoft.com/office/2007/relationships/hdphoto" Target="media/hdphoto4.wdp"/><Relationship Id="rId94" Type="http://schemas.openxmlformats.org/officeDocument/2006/relationships/image" Target="media/image52.png"/><Relationship Id="rId99" Type="http://schemas.openxmlformats.org/officeDocument/2006/relationships/image" Target="media/image55.emf"/><Relationship Id="rId101" Type="http://schemas.openxmlformats.org/officeDocument/2006/relationships/image" Target="media/image57.emf"/><Relationship Id="rId122" Type="http://schemas.openxmlformats.org/officeDocument/2006/relationships/hyperlink" Target="https://www.abs.gov.au/statistics/people/education/preschool-education-australia/latest-release" TargetMode="External"/><Relationship Id="rId143" Type="http://schemas.openxmlformats.org/officeDocument/2006/relationships/footer" Target="footer29.xml"/><Relationship Id="rId148"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image" Target="media/image7.png"/><Relationship Id="rId47" Type="http://schemas.openxmlformats.org/officeDocument/2006/relationships/image" Target="media/image19.emf"/><Relationship Id="rId68" Type="http://schemas.microsoft.com/office/2007/relationships/hdphoto" Target="media/hdphoto3.wdp"/><Relationship Id="rId89" Type="http://schemas.openxmlformats.org/officeDocument/2006/relationships/image" Target="media/image48.emf"/><Relationship Id="rId112" Type="http://schemas.openxmlformats.org/officeDocument/2006/relationships/header" Target="header10.xml"/><Relationship Id="rId133" Type="http://schemas.openxmlformats.org/officeDocument/2006/relationships/hyperlink" Target="https://www.abs.gov.au/statistics/health/causes-death/causes-death-australia/latest-release" TargetMode="External"/><Relationship Id="rId154" Type="http://schemas.openxmlformats.org/officeDocument/2006/relationships/theme" Target="theme/theme1.xml"/><Relationship Id="rId16" Type="http://schemas.openxmlformats.org/officeDocument/2006/relationships/header" Target="header1.xml"/><Relationship Id="rId37" Type="http://schemas.openxmlformats.org/officeDocument/2006/relationships/footer" Target="footer6.xml"/><Relationship Id="rId58" Type="http://schemas.openxmlformats.org/officeDocument/2006/relationships/footer" Target="footer11.xml"/><Relationship Id="rId79" Type="http://schemas.openxmlformats.org/officeDocument/2006/relationships/image" Target="media/image41.emf"/><Relationship Id="rId102" Type="http://schemas.openxmlformats.org/officeDocument/2006/relationships/image" Target="media/image58.emf"/><Relationship Id="rId123" Type="http://schemas.openxmlformats.org/officeDocument/2006/relationships/hyperlink" Target="https://www.aedc.gov.au/" TargetMode="External"/><Relationship Id="rId144" Type="http://schemas.openxmlformats.org/officeDocument/2006/relationships/footer" Target="footer30.xml"/><Relationship Id="rId90" Type="http://schemas.openxmlformats.org/officeDocument/2006/relationships/image" Target="media/image49.emf"/></Relationships>
</file>

<file path=word/_rels/footer10.xml.rels><?xml version="1.0" encoding="UTF-8" standalone="yes"?>
<Relationships xmlns="http://schemas.openxmlformats.org/package/2006/relationships"><Relationship Id="rId1" Type="http://schemas.openxmlformats.org/officeDocument/2006/relationships/image" Target="media/image13.png"/></Relationships>
</file>

<file path=word/_rels/footer11.xml.rels><?xml version="1.0" encoding="UTF-8" standalone="yes"?>
<Relationships xmlns="http://schemas.openxmlformats.org/package/2006/relationships"><Relationship Id="rId1" Type="http://schemas.openxmlformats.org/officeDocument/2006/relationships/image" Target="media/image27.png"/></Relationships>
</file>

<file path=word/_rels/footer12.xml.rels><?xml version="1.0" encoding="UTF-8" standalone="yes"?>
<Relationships xmlns="http://schemas.openxmlformats.org/package/2006/relationships"><Relationship Id="rId1" Type="http://schemas.openxmlformats.org/officeDocument/2006/relationships/image" Target="media/image27.png"/></Relationships>
</file>

<file path=word/_rels/footer13.xml.rels><?xml version="1.0" encoding="UTF-8" standalone="yes"?>
<Relationships xmlns="http://schemas.openxmlformats.org/package/2006/relationships"><Relationship Id="rId1" Type="http://schemas.openxmlformats.org/officeDocument/2006/relationships/image" Target="media/image27.png"/></Relationships>
</file>

<file path=word/_rels/footer14.xml.rels><?xml version="1.0" encoding="UTF-8" standalone="yes"?>
<Relationships xmlns="http://schemas.openxmlformats.org/package/2006/relationships"><Relationship Id="rId1" Type="http://schemas.openxmlformats.org/officeDocument/2006/relationships/image" Target="media/image35.png"/></Relationships>
</file>

<file path=word/_rels/footer15.xml.rels><?xml version="1.0" encoding="UTF-8" standalone="yes"?>
<Relationships xmlns="http://schemas.openxmlformats.org/package/2006/relationships"><Relationship Id="rId1" Type="http://schemas.openxmlformats.org/officeDocument/2006/relationships/image" Target="media/image35.png"/></Relationships>
</file>

<file path=word/_rels/footer16.xml.rels><?xml version="1.0" encoding="UTF-8" standalone="yes"?>
<Relationships xmlns="http://schemas.openxmlformats.org/package/2006/relationships"><Relationship Id="rId1" Type="http://schemas.openxmlformats.org/officeDocument/2006/relationships/image" Target="media/image42.png"/></Relationships>
</file>

<file path=word/_rels/footer17.xml.rels><?xml version="1.0" encoding="UTF-8" standalone="yes"?>
<Relationships xmlns="http://schemas.openxmlformats.org/package/2006/relationships"><Relationship Id="rId1" Type="http://schemas.openxmlformats.org/officeDocument/2006/relationships/image" Target="media/image42.png"/></Relationships>
</file>

<file path=word/_rels/footer18.xml.rels><?xml version="1.0" encoding="UTF-8" standalone="yes"?>
<Relationships xmlns="http://schemas.openxmlformats.org/package/2006/relationships"><Relationship Id="rId1" Type="http://schemas.openxmlformats.org/officeDocument/2006/relationships/image" Target="media/image46.png"/></Relationships>
</file>

<file path=word/_rels/footer19.xml.rels><?xml version="1.0" encoding="UTF-8" standalone="yes"?>
<Relationships xmlns="http://schemas.openxmlformats.org/package/2006/relationships"><Relationship Id="rId1" Type="http://schemas.openxmlformats.org/officeDocument/2006/relationships/image" Target="media/image46.png"/></Relationships>
</file>

<file path=word/_rels/footer20.xml.rels><?xml version="1.0" encoding="UTF-8" standalone="yes"?>
<Relationships xmlns="http://schemas.openxmlformats.org/package/2006/relationships"><Relationship Id="rId1" Type="http://schemas.openxmlformats.org/officeDocument/2006/relationships/image" Target="media/image51.png"/></Relationships>
</file>

<file path=word/_rels/footer21.xml.rels><?xml version="1.0" encoding="UTF-8" standalone="yes"?>
<Relationships xmlns="http://schemas.openxmlformats.org/package/2006/relationships"><Relationship Id="rId1" Type="http://schemas.openxmlformats.org/officeDocument/2006/relationships/image" Target="media/image51.png"/></Relationships>
</file>

<file path=word/_rels/footer22.xml.rels><?xml version="1.0" encoding="UTF-8" standalone="yes"?>
<Relationships xmlns="http://schemas.openxmlformats.org/package/2006/relationships"><Relationship Id="rId1" Type="http://schemas.openxmlformats.org/officeDocument/2006/relationships/image" Target="media/image51.png"/></Relationships>
</file>

<file path=word/_rels/footer23.xml.rels><?xml version="1.0" encoding="UTF-8" standalone="yes"?>
<Relationships xmlns="http://schemas.openxmlformats.org/package/2006/relationships"><Relationship Id="rId1" Type="http://schemas.openxmlformats.org/officeDocument/2006/relationships/image" Target="media/image9.png"/></Relationships>
</file>

<file path=word/_rels/footer25.xml.rels><?xml version="1.0" encoding="UTF-8" standalone="yes"?>
<Relationships xmlns="http://schemas.openxmlformats.org/package/2006/relationships"><Relationship Id="rId1" Type="http://schemas.openxmlformats.org/officeDocument/2006/relationships/image" Target="media/image9.png"/></Relationships>
</file>

<file path=word/_rels/footer27.xml.rels><?xml version="1.0" encoding="UTF-8" standalone="yes"?>
<Relationships xmlns="http://schemas.openxmlformats.org/package/2006/relationships"><Relationship Id="rId1" Type="http://schemas.openxmlformats.org/officeDocument/2006/relationships/image" Target="media/image9.png"/></Relationships>
</file>

<file path=word/_rels/footer28.xml.rels><?xml version="1.0" encoding="UTF-8" standalone="yes"?>
<Relationships xmlns="http://schemas.openxmlformats.org/package/2006/relationships"><Relationship Id="rId1" Type="http://schemas.openxmlformats.org/officeDocument/2006/relationships/image" Target="media/image9.png"/></Relationships>
</file>

<file path=word/_rels/footer29.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_rels/footer30.xml.rels><?xml version="1.0" encoding="UTF-8" standalone="yes"?>
<Relationships xmlns="http://schemas.openxmlformats.org/package/2006/relationships"><Relationship Id="rId1" Type="http://schemas.openxmlformats.org/officeDocument/2006/relationships/image" Target="media/image9.png"/></Relationships>
</file>

<file path=word/_rels/footer31.xml.rels><?xml version="1.0" encoding="UTF-8" standalone="yes"?>
<Relationships xmlns="http://schemas.openxmlformats.org/package/2006/relationships"><Relationship Id="rId1" Type="http://schemas.openxmlformats.org/officeDocument/2006/relationships/image" Target="media/image9.png"/></Relationships>
</file>

<file path=word/_rels/footer32.xml.rels><?xml version="1.0" encoding="UTF-8" standalone="yes"?>
<Relationships xmlns="http://schemas.openxmlformats.org/package/2006/relationships"><Relationship Id="rId1" Type="http://schemas.openxmlformats.org/officeDocument/2006/relationships/image" Target="media/image9.png"/></Relationships>
</file>

<file path=word/_rels/footer33.xml.rels><?xml version="1.0" encoding="UTF-8" standalone="yes"?>
<Relationships xmlns="http://schemas.openxmlformats.org/package/2006/relationships"><Relationship Id="rId1" Type="http://schemas.openxmlformats.org/officeDocument/2006/relationships/image" Target="media/image9.png"/></Relationships>
</file>

<file path=word/_rels/footer34.xml.rels><?xml version="1.0" encoding="UTF-8" standalone="yes"?>
<Relationships xmlns="http://schemas.openxmlformats.org/package/2006/relationships"><Relationship Id="rId1" Type="http://schemas.openxmlformats.org/officeDocument/2006/relationships/image" Target="media/image9.png"/></Relationships>
</file>

<file path=word/_rels/footer4.xml.rels><?xml version="1.0" encoding="UTF-8" standalone="yes"?>
<Relationships xmlns="http://schemas.openxmlformats.org/package/2006/relationships"><Relationship Id="rId1" Type="http://schemas.openxmlformats.org/officeDocument/2006/relationships/image" Target="media/image9.png"/></Relationships>
</file>

<file path=word/_rels/footer8.xml.rels><?xml version="1.0" encoding="UTF-8" standalone="yes"?>
<Relationships xmlns="http://schemas.openxmlformats.org/package/2006/relationships"><Relationship Id="rId1" Type="http://schemas.openxmlformats.org/officeDocument/2006/relationships/image" Target="media/image13.png"/></Relationships>
</file>

<file path=word/_rels/footer9.xml.rels><?xml version="1.0" encoding="UTF-8" standalone="yes"?>
<Relationships xmlns="http://schemas.openxmlformats.org/package/2006/relationships"><Relationship Id="rId1"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www.closingthegap.gov.au/resourc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ndalon\AppData\Local\Temp\Templafy\WordVsto\chap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9E96D8C30B0467EA5AC1EDFAAF5DFA8"/>
        <w:category>
          <w:name w:val="General"/>
          <w:gallery w:val="placeholder"/>
        </w:category>
        <w:types>
          <w:type w:val="bbPlcHdr"/>
        </w:types>
        <w:behaviors>
          <w:behavior w:val="content"/>
        </w:behaviors>
        <w:guid w:val="{491C1E2E-879B-41C3-9DD9-6A0BF3EA1184}"/>
      </w:docPartPr>
      <w:docPartBody>
        <w:p w:rsidR="00A333C3" w:rsidRDefault="00122E03">
          <w:pPr>
            <w:pStyle w:val="59E96D8C30B0467EA5AC1EDFAAF5DFA8"/>
          </w:pPr>
          <w:r w:rsidRPr="00201320">
            <w:rPr>
              <w:rStyle w:val="Strong"/>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w:altName w:val="Arial"/>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auhaus 93">
    <w:panose1 w:val="04030905020B02020C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C8F"/>
    <w:rsid w:val="000C0FCB"/>
    <w:rsid w:val="00122E03"/>
    <w:rsid w:val="002254E4"/>
    <w:rsid w:val="00261288"/>
    <w:rsid w:val="00426AE3"/>
    <w:rsid w:val="006E44CE"/>
    <w:rsid w:val="007C3CED"/>
    <w:rsid w:val="00A333C3"/>
    <w:rsid w:val="00A96A8E"/>
    <w:rsid w:val="00C85C8F"/>
    <w:rsid w:val="00CB7895"/>
    <w:rsid w:val="00CC4D84"/>
    <w:rsid w:val="00DE7ACC"/>
    <w:rsid w:val="00E90341"/>
    <w:rsid w:val="00EE3B8B"/>
    <w:rsid w:val="00FD438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Pr>
      <w:rFonts w:asciiTheme="minorHAnsi" w:hAnsiTheme="minorHAnsi"/>
      <w:b/>
      <w:bCs/>
    </w:rPr>
  </w:style>
  <w:style w:type="paragraph" w:customStyle="1" w:styleId="59E96D8C30B0467EA5AC1EDFAAF5DFA8">
    <w:name w:val="59E96D8C30B0467EA5AC1EDFAAF5DFA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Lani Colour Palette">
      <a:dk1>
        <a:srgbClr val="8C5E44"/>
      </a:dk1>
      <a:lt1>
        <a:srgbClr val="775538"/>
      </a:lt1>
      <a:dk2>
        <a:srgbClr val="B65627"/>
      </a:dk2>
      <a:lt2>
        <a:srgbClr val="5BA5DA"/>
      </a:lt2>
      <a:accent1>
        <a:srgbClr val="3A6E77"/>
      </a:accent1>
      <a:accent2>
        <a:srgbClr val="2D7ABE"/>
      </a:accent2>
      <a:accent3>
        <a:srgbClr val="5DC08F"/>
      </a:accent3>
      <a:accent4>
        <a:srgbClr val="DF5B2B"/>
      </a:accent4>
      <a:accent5>
        <a:srgbClr val="D28874"/>
      </a:accent5>
      <a:accent6>
        <a:srgbClr val="FFFFFF"/>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TemplafyFormConfiguration><![CDATA[{"formFields":[],"formDataEntries":[]}]]></TemplafyFormConfigura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TemplafyTemplateConfiguration><![CDATA[{"elementsMetadata":[],"transformationConfigurations":[],"templateName":"chapter","templateDescription":"","enableDocumentContentUpdater":false,"version":"2.0"}]]></TemplafyTemplateConfiguration>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SharedWithUsers xmlns="20393cdf-440a-4521-8f19-00ba43423d00">
      <UserInfo>
        <DisplayName>Mabel Andalón</DisplayName>
        <AccountId>167</AccountId>
        <AccountType/>
      </UserInfo>
      <UserInfo>
        <DisplayName>Jayden Crozier</DisplayName>
        <AccountId>3180</AccountId>
        <AccountType/>
      </UserInfo>
      <UserInfo>
        <DisplayName>Amanda Meric</DisplayName>
        <AccountId>3391</AccountId>
        <AccountType/>
      </UserInfo>
    </SharedWithUsers>
    <thumbnail xmlns="3d385984-9344-419b-a80b-49c06a2bdab8" xsi:nil="true"/>
    <Status xmlns="3d385984-9344-419b-a80b-49c06a2bdab8" xsi:nil="true"/>
    <_Flow_SignoffStatus xmlns="3d385984-9344-419b-a80b-49c06a2bdab8" xsi:nil="true"/>
    <_dlc_DocId xmlns="20393cdf-440a-4521-8f19-00ba43423d00">MPWT-2140667901-65653</_dlc_DocId>
    <_dlc_DocIdUrl xmlns="20393cdf-440a-4521-8f19-00ba43423d00">
      <Url>https://pcgov.sharepoint.com/sites/sceteam/_layouts/15/DocIdRedir.aspx?ID=MPWT-2140667901-65653</Url>
      <Description>MPWT-2140667901-65653</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c9b2ddb7930df5b167201b1e6e01278c">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8a6a4c8cb508606891bb3a8fd084611a"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2.xml><?xml version="1.0" encoding="utf-8"?>
<ds:datastoreItem xmlns:ds="http://schemas.openxmlformats.org/officeDocument/2006/customXml" ds:itemID="{EAA9E73B-C643-4C3C-A2C7-804E7CB98A79}">
  <ds:schemaRefs>
    <ds:schemaRef ds:uri="http://schemas.microsoft.com/sharepoint/events"/>
  </ds:schemaRefs>
</ds:datastoreItem>
</file>

<file path=customXml/itemProps3.xml><?xml version="1.0" encoding="utf-8"?>
<ds:datastoreItem xmlns:ds="http://schemas.openxmlformats.org/officeDocument/2006/customXml" ds:itemID="{9897F752-2238-441E-ABA5-DB8C10DEA577}">
  <ds:schemaRefs/>
</ds:datastoreItem>
</file>

<file path=customXml/itemProps4.xml><?xml version="1.0" encoding="utf-8"?>
<ds:datastoreItem xmlns:ds="http://schemas.openxmlformats.org/officeDocument/2006/customXml" ds:itemID="{0359E2D5-52A9-429B-90C3-F144E0AA471F}">
  <ds:schemaRefs>
    <ds:schemaRef ds:uri="http://schemas.microsoft.com/sharepoint/v3/contenttype/forms"/>
  </ds:schemaRefs>
</ds:datastoreItem>
</file>

<file path=customXml/itemProps5.xml><?xml version="1.0" encoding="utf-8"?>
<ds:datastoreItem xmlns:ds="http://schemas.openxmlformats.org/officeDocument/2006/customXml" ds:itemID="{5CCDCE8C-2FF2-479D-91C1-79A7A7683D3C}">
  <ds:schemaRefs/>
</ds:datastoreItem>
</file>

<file path=customXml/itemProps6.xml><?xml version="1.0" encoding="utf-8"?>
<ds:datastoreItem xmlns:ds="http://schemas.openxmlformats.org/officeDocument/2006/customXml" ds:itemID="{915C6573-4383-4B2A-8960-3683C4725C60}">
  <ds:schemaRefs>
    <ds:schemaRef ds:uri="http://www.w3.org/XML/1998/namespace"/>
    <ds:schemaRef ds:uri="http://purl.org/dc/elements/1.1/"/>
    <ds:schemaRef ds:uri="http://schemas.microsoft.com/office/2006/metadata/properties"/>
    <ds:schemaRef ds:uri="http://schemas.microsoft.com/office/infopath/2007/PartnerControls"/>
    <ds:schemaRef ds:uri="http://purl.org/dc/dcmitype/"/>
    <ds:schemaRef ds:uri="20393cdf-440a-4521-8f19-00ba43423d00"/>
    <ds:schemaRef ds:uri="http://schemas.microsoft.com/office/2006/documentManagement/types"/>
    <ds:schemaRef ds:uri="http://schemas.openxmlformats.org/package/2006/metadata/core-properties"/>
    <ds:schemaRef ds:uri="3d385984-9344-419b-a80b-49c06a2bdab8"/>
    <ds:schemaRef ds:uri="http://purl.org/dc/terms/"/>
  </ds:schemaRefs>
</ds:datastoreItem>
</file>

<file path=customXml/itemProps7.xml><?xml version="1.0" encoding="utf-8"?>
<ds:datastoreItem xmlns:ds="http://schemas.openxmlformats.org/officeDocument/2006/customXml" ds:itemID="{449E1D42-0DA0-4854-8660-D39011884D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chapter.dotx</Template>
  <TotalTime>66</TotalTime>
  <Pages>101</Pages>
  <Words>26272</Words>
  <Characters>154458</Characters>
  <Application>Microsoft Office Word</Application>
  <DocSecurity>0</DocSecurity>
  <Lines>1287</Lines>
  <Paragraphs>360</Paragraphs>
  <ScaleCrop>false</ScaleCrop>
  <HeadingPairs>
    <vt:vector size="2" baseType="variant">
      <vt:variant>
        <vt:lpstr>Title</vt:lpstr>
      </vt:variant>
      <vt:variant>
        <vt:i4>1</vt:i4>
      </vt:variant>
    </vt:vector>
  </HeadingPairs>
  <TitlesOfParts>
    <vt:vector size="1" baseType="lpstr">
      <vt:lpstr>Closing the Gap</vt:lpstr>
    </vt:vector>
  </TitlesOfParts>
  <Company>Productivity Commission</Company>
  <LinksUpToDate>false</LinksUpToDate>
  <CharactersWithSpaces>180370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Closing the Gap Annual Data Compilation Report July 2024</dc:title>
  <dc:subject>Annual Data Compilation Report</dc:subject>
  <dc:creator>Productivity Commission</dc:creator>
  <cp:keywords/>
  <dc:description/>
  <cp:lastModifiedBy>Mark Pimperl</cp:lastModifiedBy>
  <cp:revision>28</cp:revision>
  <cp:lastPrinted>2024-07-30T10:43:00Z</cp:lastPrinted>
  <dcterms:created xsi:type="dcterms:W3CDTF">2024-07-31T00:13:00Z</dcterms:created>
  <dcterms:modified xsi:type="dcterms:W3CDTF">2024-07-31T01:19:00Z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637629323564275408</vt:lpwstr>
  </property>
  <property fmtid="{D5CDD505-2E9C-101B-9397-08002B2CF9AE}" pid="4" name="TemplafyUserProfileId">
    <vt:lpwstr>637791878362767137</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MediaServiceImageTags">
    <vt:lpwstr/>
  </property>
  <property fmtid="{D5CDD505-2E9C-101B-9397-08002B2CF9AE}" pid="8" name="RevIMBCS">
    <vt:lpwstr>1;#Unclassified|3955eeb1-2d18-4582-aeb2-00144ec3aaf5</vt:lpwstr>
  </property>
  <property fmtid="{D5CDD505-2E9C-101B-9397-08002B2CF9AE}" pid="9" name="ZOTERO_PREF_2">
    <vt:lpwstr>JournalAbbreviations" value="true"/&gt;&lt;pref name="dontAskDelayCitationUpdates" value="true"/&gt;&lt;/prefs&gt;&lt;/data&gt;</vt:lpwstr>
  </property>
  <property fmtid="{D5CDD505-2E9C-101B-9397-08002B2CF9AE}" pid="10" name="GrammarlyDocumentId">
    <vt:lpwstr>3bf0f65f3f4dea861a000befa565425fe8eed102e2486801e0ea535a5f0ca8ca</vt:lpwstr>
  </property>
  <property fmtid="{D5CDD505-2E9C-101B-9397-08002B2CF9AE}" pid="11" name="ClassificationContentMarkingHeaderShapeIds">
    <vt:lpwstr>17c2e81f,44a07be2,4c0b16dc,3c54f4ce,2b64ee53,11a96487,6b3f28c7,1692099c,5ab57ff7,d5e83d3,9cfdd4a,5eb3fee0,4dbb8148,1705da14,62c7d6d1</vt:lpwstr>
  </property>
  <property fmtid="{D5CDD505-2E9C-101B-9397-08002B2CF9AE}" pid="12" name="ClassificationContentMarkingHeaderFontProps">
    <vt:lpwstr>#ff0000,12,Calibri</vt:lpwstr>
  </property>
  <property fmtid="{D5CDD505-2E9C-101B-9397-08002B2CF9AE}" pid="13" name="ClassificationContentMarkingHeaderText">
    <vt:lpwstr> OFFICIAL // Sensitive</vt:lpwstr>
  </property>
  <property fmtid="{D5CDD505-2E9C-101B-9397-08002B2CF9AE}" pid="14" name="MSIP_Label_619d8a32-f3e2-418b-9b9c-185dd69abda4_Enabled">
    <vt:lpwstr>true</vt:lpwstr>
  </property>
  <property fmtid="{D5CDD505-2E9C-101B-9397-08002B2CF9AE}" pid="15" name="MSIP_Label_619d8a32-f3e2-418b-9b9c-185dd69abda4_SetDate">
    <vt:lpwstr>2024-05-29T04:12:08Z</vt:lpwstr>
  </property>
  <property fmtid="{D5CDD505-2E9C-101B-9397-08002B2CF9AE}" pid="16" name="MSIP_Label_619d8a32-f3e2-418b-9b9c-185dd69abda4_Method">
    <vt:lpwstr>Privileged</vt:lpwstr>
  </property>
  <property fmtid="{D5CDD505-2E9C-101B-9397-08002B2CF9AE}" pid="17" name="MSIP_Label_619d8a32-f3e2-418b-9b9c-185dd69abda4_Name">
    <vt:lpwstr>OFFICIAL Sensitive</vt:lpwstr>
  </property>
  <property fmtid="{D5CDD505-2E9C-101B-9397-08002B2CF9AE}" pid="18" name="MSIP_Label_619d8a32-f3e2-418b-9b9c-185dd69abda4_SiteId">
    <vt:lpwstr>29f9330b-c0fe-4244-830e-ba9f275d6c34</vt:lpwstr>
  </property>
  <property fmtid="{D5CDD505-2E9C-101B-9397-08002B2CF9AE}" pid="19" name="MSIP_Label_619d8a32-f3e2-418b-9b9c-185dd69abda4_ActionId">
    <vt:lpwstr>cec53bad-7b0b-4327-a5d3-75f1a185df11</vt:lpwstr>
  </property>
  <property fmtid="{D5CDD505-2E9C-101B-9397-08002B2CF9AE}" pid="20" name="MSIP_Label_619d8a32-f3e2-418b-9b9c-185dd69abda4_ContentBits">
    <vt:lpwstr>1</vt:lpwstr>
  </property>
  <property fmtid="{D5CDD505-2E9C-101B-9397-08002B2CF9AE}" pid="21" name="ZOTERO_PREF_1">
    <vt:lpwstr>&lt;data data-version="3" zotero-version="6.0.36"&gt;&lt;session id="CqODJ3qh"/&gt;&lt;style id="http://www.zotero.org/styles/Productivity-Commission" hasBibliography="1" bibliographyStyleHasBeenSet="1"/&gt;&lt;prefs&gt;&lt;pref name="fieldType" value="Field"/&gt;&lt;pref name="automatic</vt:lpwstr>
  </property>
  <property fmtid="{D5CDD505-2E9C-101B-9397-08002B2CF9AE}" pid="22" name="_dlc_DocIdItemGuid">
    <vt:lpwstr>bb572166-d092-490a-a16a-da01be8ef124</vt:lpwstr>
  </property>
</Properties>
</file>