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52798EFE" w14:textId="468CC5B2" w:rsidR="0049695F" w:rsidRPr="003967D2" w:rsidRDefault="0049695F" w:rsidP="003967D2">
          <w:pPr>
            <w:pStyle w:val="BodyText"/>
            <w:spacing w:after="0"/>
            <w:rPr>
              <w:color w:val="FFFFFF" w:themeColor="background1"/>
            </w:rPr>
          </w:pPr>
        </w:p>
        <w:p w14:paraId="1C6F75ED" w14:textId="6661BF18" w:rsidR="0049695F" w:rsidRPr="00DC5DFF" w:rsidRDefault="0049695F" w:rsidP="0049695F">
          <w:pPr>
            <w:pStyle w:val="Coverdate"/>
            <w:framePr w:wrap="around"/>
          </w:pPr>
          <w:r>
            <w:t xml:space="preserve">Report no. </w:t>
          </w:r>
          <w:r w:rsidR="0004047A">
            <w:t>106</w:t>
          </w:r>
          <w:r>
            <w:t xml:space="preserve"> – </w:t>
          </w:r>
          <w:r w:rsidR="00D74AFF">
            <w:t>28 June 2024</w:t>
          </w:r>
        </w:p>
        <w:p w14:paraId="7B0BBBCB" w14:textId="77777777" w:rsidR="0049695F" w:rsidRDefault="0049695F" w:rsidP="0049695F">
          <w:pPr>
            <w:pStyle w:val="CoverImage"/>
            <w:framePr w:h="10036" w:hRule="exact" w:wrap="around" w:y="6805" w:anchorLock="0"/>
          </w:pPr>
          <w:r>
            <w:rPr>
              <w:noProof/>
            </w:rPr>
            <w:drawing>
              <wp:inline distT="0" distB="0" distL="0" distR="0" wp14:anchorId="445C4F4F" wp14:editId="36CF9966">
                <wp:extent cx="7965000" cy="63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65000" cy="6372000"/>
                        </a:xfrm>
                        <a:prstGeom prst="rect">
                          <a:avLst/>
                        </a:prstGeom>
                      </pic:spPr>
                    </pic:pic>
                  </a:graphicData>
                </a:graphic>
              </wp:inline>
            </w:drawing>
          </w:r>
        </w:p>
        <w:p w14:paraId="0C304B84" w14:textId="33A28CE3" w:rsidR="0049695F" w:rsidRPr="00C26A02" w:rsidRDefault="0061431E" w:rsidP="00085C9A">
          <w:pPr>
            <w:pStyle w:val="Title"/>
            <w:spacing w:before="120"/>
            <w:ind w:right="849"/>
          </w:pPr>
          <w:r>
            <w:rPr>
              <w:rStyle w:val="TitleChar"/>
              <w:color w:val="auto"/>
            </w:rPr>
            <w:t>A path to universal early childhood education and care</w:t>
          </w:r>
        </w:p>
        <w:p w14:paraId="647F01E3" w14:textId="4FFFEAFD" w:rsidR="002123A5" w:rsidRDefault="002123A5" w:rsidP="0049695F">
          <w:pPr>
            <w:pStyle w:val="Subtitle"/>
            <w:rPr>
              <w:color w:val="auto"/>
            </w:rPr>
          </w:pPr>
          <w:r>
            <w:rPr>
              <w:color w:val="auto"/>
            </w:rPr>
            <w:t xml:space="preserve">Inquiry report </w:t>
          </w:r>
          <w:r w:rsidR="0065709F" w:rsidRPr="0065709F">
            <w:rPr>
              <w:color w:val="auto"/>
            </w:rPr>
            <w:t xml:space="preserve">– </w:t>
          </w:r>
          <w:r w:rsidR="0065709F" w:rsidRPr="00FF3709">
            <w:rPr>
              <w:i/>
              <w:iCs/>
              <w:color w:val="auto"/>
            </w:rPr>
            <w:t xml:space="preserve">volume </w:t>
          </w:r>
          <w:r w:rsidR="005506BD">
            <w:rPr>
              <w:i/>
              <w:iCs/>
              <w:color w:val="auto"/>
            </w:rPr>
            <w:t>3</w:t>
          </w:r>
        </w:p>
        <w:p w14:paraId="7898070F" w14:textId="5A45F38B" w:rsidR="0049695F" w:rsidRDefault="005506BD" w:rsidP="001C609D">
          <w:pPr>
            <w:pStyle w:val="Subtitle"/>
          </w:pPr>
          <w:r>
            <w:rPr>
              <w:color w:val="auto"/>
              <w:sz w:val="40"/>
              <w:szCs w:val="40"/>
            </w:rPr>
            <w:t>A</w:t>
          </w:r>
          <w:r w:rsidR="00D6407A">
            <w:rPr>
              <w:color w:val="auto"/>
              <w:sz w:val="40"/>
              <w:szCs w:val="40"/>
            </w:rPr>
            <w:t>ppendices</w:t>
          </w:r>
        </w:p>
        <w:p w14:paraId="7B53BA77" w14:textId="77777777" w:rsidR="00B302FA" w:rsidRDefault="00B302FA" w:rsidP="0049695F">
          <w:pPr>
            <w:pStyle w:val="CoverImage"/>
            <w:framePr w:wrap="around"/>
            <w:sectPr w:rsidR="00B302FA" w:rsidSect="00AC4903">
              <w:footerReference w:type="even" r:id="rId15"/>
              <w:footerReference w:type="default" r:id="rId16"/>
              <w:headerReference w:type="first" r:id="rId17"/>
              <w:footerReference w:type="first" r:id="rId18"/>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116D4CD" w14:textId="77777777" w:rsidTr="00FF0F81">
            <w:trPr>
              <w:trHeight w:hRule="exact" w:val="12643"/>
            </w:trPr>
            <w:tc>
              <w:tcPr>
                <w:tcW w:w="9638" w:type="dxa"/>
                <w:tcMar>
                  <w:top w:w="113" w:type="dxa"/>
                </w:tcMar>
              </w:tcPr>
              <w:p w14:paraId="56255659" w14:textId="77777777" w:rsidR="00C31E23" w:rsidRPr="000F4488" w:rsidRDefault="00B302FA" w:rsidP="00FF0F81">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716E7C8E" w14:textId="77777777" w:rsidR="00C31E23" w:rsidRPr="00F37CB6" w:rsidRDefault="00C31E23" w:rsidP="00FF0F81">
                <w:pPr>
                  <w:pStyle w:val="Copyrightpage-Keylinenotext"/>
                  <w:ind w:right="-284"/>
                </w:pPr>
              </w:p>
              <w:p w14:paraId="36AD46D4" w14:textId="77777777" w:rsidR="00C31E23" w:rsidRPr="00D96F65" w:rsidRDefault="00C31E23" w:rsidP="00FF0F81">
                <w:pPr>
                  <w:pStyle w:val="Copyrightpage-Heading"/>
                  <w:ind w:right="-284"/>
                </w:pPr>
                <w:r w:rsidRPr="00D96F65">
                  <w:t>The Productivity Commission</w:t>
                </w:r>
              </w:p>
              <w:p w14:paraId="3082F494" w14:textId="77777777" w:rsidR="00C31E23" w:rsidRPr="0049695F" w:rsidRDefault="00C31E23" w:rsidP="00FF0F81">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AEDA922" w14:textId="77777777" w:rsidR="00C31E23" w:rsidRPr="000F4488" w:rsidRDefault="00C31E23" w:rsidP="00FF0F81">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A7E4F3F" w14:textId="77777777" w:rsidR="00C31E23" w:rsidRPr="000F4488" w:rsidRDefault="00C31E23" w:rsidP="00FF0F81">
                <w:pPr>
                  <w:pStyle w:val="Copyrightpage-BodyBold"/>
                </w:pPr>
                <w:r w:rsidRPr="000561CF">
                  <w:t>Further information on the Productivity Commission can be obtained from the Commission’s website (www.pc.gov.au).</w:t>
                </w:r>
              </w:p>
              <w:p w14:paraId="5AB3122E" w14:textId="77777777" w:rsidR="00C31E23" w:rsidRPr="000F4488" w:rsidRDefault="00C31E23" w:rsidP="00FF0F81">
                <w:pPr>
                  <w:pStyle w:val="Copyrightpage-Keylinenotext"/>
                  <w:ind w:right="-284"/>
                  <w:rPr>
                    <w:b/>
                    <w:bCs/>
                  </w:rPr>
                </w:pPr>
              </w:p>
              <w:p w14:paraId="22CD56F0" w14:textId="77777777" w:rsidR="00C31E23" w:rsidRPr="000561CF" w:rsidRDefault="00C31E23" w:rsidP="00FF0F81">
                <w:pPr>
                  <w:pStyle w:val="Copyrightpage-BodyBold"/>
                </w:pPr>
                <w:r w:rsidRPr="00E72EE0">
                  <w:t>©</w:t>
                </w:r>
                <w:r w:rsidRPr="00137FAB">
                  <w:t xml:space="preserve"> Commonwealth of Australia 202</w:t>
                </w:r>
                <w:r w:rsidR="004D2BB0">
                  <w:t>4</w:t>
                </w:r>
              </w:p>
              <w:p w14:paraId="3A8D0211" w14:textId="77777777" w:rsidR="00C31E23" w:rsidRPr="00E72EE0" w:rsidRDefault="00C31E23" w:rsidP="00FF0F81">
                <w:pPr>
                  <w:pStyle w:val="Copyrightpage-Heading2"/>
                  <w:spacing w:before="0"/>
                  <w:ind w:right="-284"/>
                  <w:rPr>
                    <w:bCs/>
                  </w:rPr>
                </w:pPr>
                <w:r w:rsidRPr="00E72EE0">
                  <w:rPr>
                    <w:bCs/>
                    <w:noProof/>
                  </w:rPr>
                  <w:drawing>
                    <wp:inline distT="0" distB="0" distL="0" distR="0" wp14:anchorId="5F99673A" wp14:editId="1B1A0E1D">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4E950796" w14:textId="77777777" w:rsidR="00C31E23" w:rsidRPr="000F4488" w:rsidRDefault="00C31E23" w:rsidP="00FF0F81">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650F549" w14:textId="77777777" w:rsidR="00C31E23" w:rsidRPr="000F4488" w:rsidRDefault="00C31E23" w:rsidP="00FF0F81">
                <w:pPr>
                  <w:pStyle w:val="Copyrightpage-BodyBold"/>
                </w:pPr>
                <w:r w:rsidRPr="000561CF">
                  <w:t>The terms under which the Coat of Arms can be used are detailed at: www.pmc.gov.au/government/commonwealth-coat-arms.</w:t>
                </w:r>
              </w:p>
              <w:p w14:paraId="2ADECBA9" w14:textId="77777777" w:rsidR="00C31E23" w:rsidRPr="000561CF" w:rsidRDefault="00C31E23" w:rsidP="00FF0F81">
                <w:pPr>
                  <w:pStyle w:val="Copyrightpage-BodyBold"/>
                </w:pPr>
                <w:r w:rsidRPr="000561CF">
                  <w:t>Wherever a third party holds copyright in this material the copyright remains with that party. Their permission may be required to use the material, please contact them directly.</w:t>
                </w:r>
              </w:p>
              <w:p w14:paraId="4037D994" w14:textId="7B5C2C96" w:rsidR="004F7CD4" w:rsidRPr="00D773B1" w:rsidRDefault="004F7CD4" w:rsidP="00D773B1">
                <w:pPr>
                  <w:pStyle w:val="Copyrightpage-BodyBold"/>
                  <w:spacing w:after="0"/>
                </w:pPr>
                <w:r w:rsidRPr="000561CF">
                  <w:t xml:space="preserve">ISSN </w:t>
                </w:r>
                <w:r w:rsidR="00EF0C3C" w:rsidRPr="00EF0C3C">
                  <w:t xml:space="preserve">1447-1337 </w:t>
                </w:r>
                <w:r>
                  <w:t>(online)</w:t>
                </w:r>
                <w:r w:rsidR="00FF0F81">
                  <w:t xml:space="preserve"> |</w:t>
                </w:r>
                <w:r w:rsidRPr="000561CF">
                  <w:t>ISSN</w:t>
                </w:r>
                <w:r w:rsidR="00A37A1F">
                  <w:t xml:space="preserve"> </w:t>
                </w:r>
                <w:r w:rsidR="00A37A1F" w:rsidRPr="00A37A1F">
                  <w:t>1447-1329</w:t>
                </w:r>
                <w:r w:rsidR="00A37A1F">
                  <w:t xml:space="preserve"> </w:t>
                </w:r>
                <w:r>
                  <w:t>(print)</w:t>
                </w:r>
                <w:r>
                  <w:br/>
                </w:r>
                <w:r w:rsidR="00EA4ABE" w:rsidRPr="00D773B1">
                  <w:t>ISBN 978-1-74037-795-9 (set)</w:t>
                </w:r>
                <w:r w:rsidR="00EA4ABE" w:rsidRPr="00D773B1">
                  <w:br/>
                </w:r>
                <w:r w:rsidRPr="00D773B1">
                  <w:t xml:space="preserve">ISBN </w:t>
                </w:r>
                <w:r w:rsidR="00A37A1F" w:rsidRPr="00D773B1">
                  <w:t>978-1-74037-796-6</w:t>
                </w:r>
                <w:r w:rsidRPr="00D773B1">
                  <w:t xml:space="preserve"> (</w:t>
                </w:r>
                <w:r w:rsidR="00333F6F" w:rsidRPr="00D773B1">
                  <w:t>volume 1</w:t>
                </w:r>
                <w:r w:rsidRPr="00D773B1">
                  <w:t>)</w:t>
                </w:r>
                <w:r w:rsidRPr="00D773B1">
                  <w:br/>
                </w:r>
                <w:r w:rsidR="00333F6F" w:rsidRPr="00D773B1">
                  <w:t>ISBN 978-1-74037-797-3 (volume 2)</w:t>
                </w:r>
              </w:p>
              <w:p w14:paraId="058C421A" w14:textId="24C6F7E6" w:rsidR="00D773B1" w:rsidRPr="00D773B1" w:rsidRDefault="00D773B1" w:rsidP="00D773B1">
                <w:pPr>
                  <w:pStyle w:val="Copyrightpage-BodyBold"/>
                  <w:spacing w:before="0"/>
                </w:pPr>
                <w:r w:rsidRPr="00D773B1">
                  <w:t>ISBN 978-1-74037-798-0 (volume 3)</w:t>
                </w:r>
              </w:p>
              <w:p w14:paraId="39A2CBAC" w14:textId="3C0A9FA7" w:rsidR="004F7CD4" w:rsidRPr="00137FAB" w:rsidRDefault="004F7CD4" w:rsidP="00FF0F81">
                <w:pPr>
                  <w:pStyle w:val="Copyrightpage-BodyBold"/>
                </w:pPr>
                <w:r w:rsidRPr="000F4488">
                  <w:t>An appropriate reference for this publication is:</w:t>
                </w:r>
                <w:r>
                  <w:br/>
                  <w:t>Productivity Commission</w:t>
                </w:r>
                <w:r w:rsidR="00890154">
                  <w:t xml:space="preserve"> </w:t>
                </w:r>
                <w:r w:rsidR="00AC4903">
                  <w:t>2024</w:t>
                </w:r>
                <w:r>
                  <w:t xml:space="preserve">, </w:t>
                </w:r>
                <w:r w:rsidR="00BD1213" w:rsidRPr="00BD1213">
                  <w:rPr>
                    <w:i/>
                    <w:iCs/>
                  </w:rPr>
                  <w:t>A path to universal early childhood education and care</w:t>
                </w:r>
                <w:r w:rsidRPr="00E72EE0">
                  <w:t xml:space="preserve">, </w:t>
                </w:r>
                <w:r>
                  <w:t xml:space="preserve">Inquiry </w:t>
                </w:r>
                <w:r w:rsidR="006D2658">
                  <w:t>r</w:t>
                </w:r>
                <w:r>
                  <w:t xml:space="preserve">eport no. </w:t>
                </w:r>
                <w:r w:rsidR="00EF0C3C">
                  <w:t>106</w:t>
                </w:r>
                <w:r>
                  <w:t xml:space="preserve">, </w:t>
                </w:r>
                <w:r w:rsidR="00432FB3">
                  <w:t>Vol</w:t>
                </w:r>
                <w:r w:rsidR="008A4C43">
                  <w:t>.</w:t>
                </w:r>
                <w:r w:rsidR="00432FB3">
                  <w:t xml:space="preserve"> </w:t>
                </w:r>
                <w:r w:rsidR="00FB0403">
                  <w:t>3</w:t>
                </w:r>
                <w:r w:rsidR="00432FB3">
                  <w:t xml:space="preserve">, </w:t>
                </w:r>
                <w:r w:rsidR="00FB0403">
                  <w:t>A</w:t>
                </w:r>
                <w:r w:rsidR="00803706">
                  <w:t>ppendices</w:t>
                </w:r>
                <w:r w:rsidR="00432FB3">
                  <w:t xml:space="preserve">, </w:t>
                </w:r>
                <w:r>
                  <w:t>Canberra</w:t>
                </w:r>
              </w:p>
              <w:p w14:paraId="356C5536" w14:textId="77777777" w:rsidR="00C31E23" w:rsidRDefault="00C31E23" w:rsidP="00FF0F81">
                <w:pPr>
                  <w:pStyle w:val="Copyrightpage-BodyBold"/>
                  <w:ind w:right="-284"/>
                </w:pPr>
              </w:p>
              <w:p w14:paraId="180DB649" w14:textId="77777777" w:rsidR="00C31E23" w:rsidRDefault="00C31E23" w:rsidP="00FF0F81">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43EEA4D9" w14:textId="77777777" w:rsidR="00295330" w:rsidRPr="004A40A7" w:rsidRDefault="00000000" w:rsidP="00E83C1B">
          <w:pPr>
            <w:pStyle w:val="NoSpacing"/>
          </w:pPr>
        </w:p>
      </w:sdtContent>
    </w:sdt>
    <w:p w14:paraId="25042389" w14:textId="77777777" w:rsidR="002E3F19" w:rsidRDefault="00840CAD" w:rsidP="00072247">
      <w:pPr>
        <w:pStyle w:val="Heading1-nobackground"/>
      </w:pPr>
      <w:bookmarkStart w:id="0" w:name="_Toc170128322"/>
      <w:bookmarkStart w:id="1" w:name="_Toc170303054"/>
      <w:bookmarkStart w:id="2" w:name="_Toc170475914"/>
      <w:bookmarkStart w:id="3" w:name="_Toc172213565"/>
      <w:r w:rsidRPr="00AC587D">
        <w:lastRenderedPageBreak/>
        <w:t>Contents</w:t>
      </w:r>
      <w:bookmarkEnd w:id="0"/>
      <w:bookmarkEnd w:id="1"/>
      <w:bookmarkEnd w:id="2"/>
      <w:bookmarkEnd w:id="3"/>
    </w:p>
    <w:p w14:paraId="23A6B8E6" w14:textId="09C02547" w:rsidR="00AA7216" w:rsidRDefault="00C3581C" w:rsidP="00C3581C">
      <w:pPr>
        <w:pStyle w:val="BodyText"/>
      </w:pPr>
      <w:r>
        <w:t>The Commission’s final report is in t</w:t>
      </w:r>
      <w:r w:rsidR="00046DEF">
        <w:t>hree</w:t>
      </w:r>
      <w:r>
        <w:t xml:space="preserve"> parts. The inquiry report – volume 1 – includes an executive summary and the recommendations of the inquiry. </w:t>
      </w:r>
      <w:r w:rsidR="002F67CE">
        <w:t xml:space="preserve">It is available on the Commission’s website: </w:t>
      </w:r>
      <w:hyperlink r:id="rId21" w:history="1">
        <w:r w:rsidR="002F67CE" w:rsidRPr="00254253">
          <w:rPr>
            <w:rStyle w:val="Hyperlink"/>
          </w:rPr>
          <w:t>pc.gov.au/</w:t>
        </w:r>
        <w:r w:rsidR="00254253" w:rsidRPr="00254253">
          <w:rPr>
            <w:rStyle w:val="Hyperlink"/>
          </w:rPr>
          <w:t>childhood</w:t>
        </w:r>
      </w:hyperlink>
      <w:r w:rsidR="002F67CE">
        <w:t xml:space="preserve">. </w:t>
      </w:r>
      <w:r w:rsidR="00064708" w:rsidRPr="00064708">
        <w:t>The supporting papers and appendices – volume</w:t>
      </w:r>
      <w:r w:rsidR="00EF0FB9">
        <w:t>s</w:t>
      </w:r>
      <w:r w:rsidR="00064708" w:rsidRPr="00064708">
        <w:t xml:space="preserve"> 2 </w:t>
      </w:r>
      <w:r w:rsidR="00CA1A32">
        <w:t xml:space="preserve">and 3 </w:t>
      </w:r>
      <w:r w:rsidR="00064708" w:rsidRPr="00064708">
        <w:t>– provide further detail on each of the main topics covered in the inquiry report.</w:t>
      </w:r>
    </w:p>
    <w:p w14:paraId="125CFF6A" w14:textId="3EDE44A6" w:rsidR="0099227E" w:rsidRPr="0099227E" w:rsidRDefault="0099227E" w:rsidP="0099227E">
      <w:pPr>
        <w:spacing w:before="360"/>
        <w:rPr>
          <w:rFonts w:asciiTheme="majorHAnsi" w:hAnsiTheme="majorHAnsi"/>
          <w:b/>
          <w:bCs/>
          <w:color w:val="265A9A" w:themeColor="background2"/>
        </w:rPr>
      </w:pPr>
      <w:r w:rsidRPr="002956D2">
        <w:rPr>
          <w:rFonts w:asciiTheme="majorHAnsi" w:hAnsiTheme="majorHAnsi"/>
          <w:b/>
          <w:bCs/>
          <w:color w:val="265A9A" w:themeColor="background2"/>
        </w:rPr>
        <w:t>Early Childhood Education and Care</w:t>
      </w:r>
      <w:r w:rsidRPr="002956D2">
        <w:rPr>
          <w:rFonts w:asciiTheme="majorHAnsi" w:hAnsiTheme="majorHAnsi"/>
          <w:b/>
          <w:bCs/>
          <w:webHidden/>
          <w:color w:val="265A9A" w:themeColor="background2"/>
        </w:rPr>
        <w:t xml:space="preserve"> – volume </w:t>
      </w:r>
      <w:r w:rsidR="00FB0403">
        <w:rPr>
          <w:rFonts w:asciiTheme="majorHAnsi" w:hAnsiTheme="majorHAnsi"/>
          <w:b/>
          <w:bCs/>
          <w:webHidden/>
          <w:color w:val="265A9A" w:themeColor="background2"/>
        </w:rPr>
        <w:t>3</w:t>
      </w:r>
    </w:p>
    <w:sdt>
      <w:sdtPr>
        <w:rPr>
          <w:rFonts w:cstheme="minorBidi"/>
          <w:b w:val="0"/>
          <w:bCs w:val="0"/>
          <w:noProof w:val="0"/>
        </w:rPr>
        <w:id w:val="-1864441025"/>
        <w:docPartObj>
          <w:docPartGallery w:val="Table of Contents"/>
          <w:docPartUnique/>
        </w:docPartObj>
      </w:sdtPr>
      <w:sdtContent>
        <w:p w14:paraId="3DC69CAE" w14:textId="0B2C8BE2" w:rsidR="004E388B" w:rsidRDefault="0009753B">
          <w:pPr>
            <w:pStyle w:val="TOC1"/>
            <w:rPr>
              <w:rFonts w:eastAsiaTheme="minorEastAsia" w:cstheme="minorBidi"/>
              <w:b w:val="0"/>
              <w:bCs w:val="0"/>
              <w:kern w:val="2"/>
              <w:sz w:val="24"/>
              <w:szCs w:val="24"/>
              <w:lang w:eastAsia="en-AU"/>
              <w14:ligatures w14:val="standardContextual"/>
            </w:rPr>
          </w:pPr>
          <w:r>
            <w:rPr>
              <w:rFonts w:asciiTheme="majorHAnsi" w:hAnsiTheme="majorHAnsi"/>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rFonts w:asciiTheme="majorHAnsi" w:hAnsiTheme="majorHAnsi"/>
            </w:rPr>
            <w:fldChar w:fldCharType="separate"/>
          </w:r>
          <w:r w:rsidR="004E388B">
            <w:t>Contents</w:t>
          </w:r>
          <w:r w:rsidR="004E388B">
            <w:rPr>
              <w:webHidden/>
            </w:rPr>
            <w:tab/>
          </w:r>
          <w:r w:rsidR="004E388B">
            <w:rPr>
              <w:webHidden/>
            </w:rPr>
            <w:fldChar w:fldCharType="begin"/>
          </w:r>
          <w:r w:rsidR="004E388B">
            <w:rPr>
              <w:webHidden/>
            </w:rPr>
            <w:instrText xml:space="preserve"> PAGEREF _Toc172213565 \h </w:instrText>
          </w:r>
          <w:r w:rsidR="004E388B">
            <w:rPr>
              <w:webHidden/>
            </w:rPr>
          </w:r>
          <w:r w:rsidR="004E388B">
            <w:rPr>
              <w:webHidden/>
            </w:rPr>
            <w:fldChar w:fldCharType="separate"/>
          </w:r>
          <w:r w:rsidR="00BA5CB1">
            <w:rPr>
              <w:webHidden/>
            </w:rPr>
            <w:t>iii</w:t>
          </w:r>
          <w:r w:rsidR="004E388B">
            <w:rPr>
              <w:webHidden/>
            </w:rPr>
            <w:fldChar w:fldCharType="end"/>
          </w:r>
        </w:p>
        <w:p w14:paraId="0775A1AC" w14:textId="403D65AF" w:rsidR="004E388B" w:rsidRDefault="004E388B">
          <w:pPr>
            <w:pStyle w:val="TOC1"/>
            <w:rPr>
              <w:rFonts w:eastAsiaTheme="minorEastAsia" w:cstheme="minorBidi"/>
              <w:b w:val="0"/>
              <w:bCs w:val="0"/>
              <w:kern w:val="2"/>
              <w:sz w:val="24"/>
              <w:szCs w:val="24"/>
              <w:lang w:eastAsia="en-AU"/>
              <w14:ligatures w14:val="standardContextual"/>
            </w:rPr>
          </w:pPr>
          <w:r>
            <w:t>A.</w:t>
          </w:r>
          <w:r>
            <w:rPr>
              <w:rFonts w:eastAsiaTheme="minorEastAsia" w:cstheme="minorBidi"/>
              <w:b w:val="0"/>
              <w:bCs w:val="0"/>
              <w:kern w:val="2"/>
              <w:sz w:val="24"/>
              <w:szCs w:val="24"/>
              <w:lang w:eastAsia="en-AU"/>
              <w14:ligatures w14:val="standardContextual"/>
            </w:rPr>
            <w:tab/>
          </w:r>
          <w:r>
            <w:t>Public consultation</w:t>
          </w:r>
          <w:r>
            <w:rPr>
              <w:webHidden/>
            </w:rPr>
            <w:tab/>
          </w:r>
          <w:r>
            <w:rPr>
              <w:webHidden/>
            </w:rPr>
            <w:fldChar w:fldCharType="begin"/>
          </w:r>
          <w:r>
            <w:rPr>
              <w:webHidden/>
            </w:rPr>
            <w:instrText xml:space="preserve"> PAGEREF _Toc172213566 \h </w:instrText>
          </w:r>
          <w:r>
            <w:rPr>
              <w:webHidden/>
            </w:rPr>
          </w:r>
          <w:r>
            <w:rPr>
              <w:webHidden/>
            </w:rPr>
            <w:fldChar w:fldCharType="separate"/>
          </w:r>
          <w:r w:rsidR="00BA5CB1">
            <w:rPr>
              <w:webHidden/>
            </w:rPr>
            <w:t>5</w:t>
          </w:r>
          <w:r>
            <w:rPr>
              <w:webHidden/>
            </w:rPr>
            <w:fldChar w:fldCharType="end"/>
          </w:r>
        </w:p>
        <w:p w14:paraId="46C7EA86" w14:textId="60D24B9D" w:rsidR="004E388B" w:rsidRDefault="004E388B">
          <w:pPr>
            <w:pStyle w:val="TOC1"/>
            <w:rPr>
              <w:rFonts w:eastAsiaTheme="minorEastAsia" w:cstheme="minorBidi"/>
              <w:b w:val="0"/>
              <w:bCs w:val="0"/>
              <w:kern w:val="2"/>
              <w:sz w:val="24"/>
              <w:szCs w:val="24"/>
              <w:lang w:eastAsia="en-AU"/>
              <w14:ligatures w14:val="standardContextual"/>
            </w:rPr>
          </w:pPr>
          <w:r>
            <w:t>B.</w:t>
          </w:r>
          <w:r>
            <w:rPr>
              <w:rFonts w:eastAsiaTheme="minorEastAsia" w:cstheme="minorBidi"/>
              <w:b w:val="0"/>
              <w:bCs w:val="0"/>
              <w:kern w:val="2"/>
              <w:sz w:val="24"/>
              <w:szCs w:val="24"/>
              <w:lang w:eastAsia="en-AU"/>
              <w14:ligatures w14:val="standardContextual"/>
            </w:rPr>
            <w:tab/>
          </w:r>
          <w:r>
            <w:t>International models</w:t>
          </w:r>
          <w:r>
            <w:rPr>
              <w:webHidden/>
            </w:rPr>
            <w:tab/>
          </w:r>
          <w:r>
            <w:rPr>
              <w:webHidden/>
            </w:rPr>
            <w:fldChar w:fldCharType="begin"/>
          </w:r>
          <w:r>
            <w:rPr>
              <w:webHidden/>
            </w:rPr>
            <w:instrText xml:space="preserve"> PAGEREF _Toc172213567 \h </w:instrText>
          </w:r>
          <w:r>
            <w:rPr>
              <w:webHidden/>
            </w:rPr>
          </w:r>
          <w:r>
            <w:rPr>
              <w:webHidden/>
            </w:rPr>
            <w:fldChar w:fldCharType="separate"/>
          </w:r>
          <w:r w:rsidR="00BA5CB1">
            <w:rPr>
              <w:webHidden/>
            </w:rPr>
            <w:t>25</w:t>
          </w:r>
          <w:r>
            <w:rPr>
              <w:webHidden/>
            </w:rPr>
            <w:fldChar w:fldCharType="end"/>
          </w:r>
        </w:p>
        <w:p w14:paraId="7E7CE281" w14:textId="1B8E0A1D" w:rsidR="004E388B" w:rsidRDefault="004E388B">
          <w:pPr>
            <w:pStyle w:val="TOC2"/>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An overview of international ECEC use and delivery</w:t>
          </w:r>
          <w:r>
            <w:rPr>
              <w:webHidden/>
            </w:rPr>
            <w:tab/>
          </w:r>
          <w:r>
            <w:rPr>
              <w:webHidden/>
            </w:rPr>
            <w:fldChar w:fldCharType="begin"/>
          </w:r>
          <w:r>
            <w:rPr>
              <w:webHidden/>
            </w:rPr>
            <w:instrText xml:space="preserve"> PAGEREF _Toc172213568 \h </w:instrText>
          </w:r>
          <w:r>
            <w:rPr>
              <w:webHidden/>
            </w:rPr>
          </w:r>
          <w:r>
            <w:rPr>
              <w:webHidden/>
            </w:rPr>
            <w:fldChar w:fldCharType="separate"/>
          </w:r>
          <w:r w:rsidR="00BA5CB1">
            <w:rPr>
              <w:webHidden/>
            </w:rPr>
            <w:t>25</w:t>
          </w:r>
          <w:r>
            <w:rPr>
              <w:webHidden/>
            </w:rPr>
            <w:fldChar w:fldCharType="end"/>
          </w:r>
        </w:p>
        <w:p w14:paraId="180A682D" w14:textId="7277C683" w:rsidR="004E388B" w:rsidRDefault="004E388B">
          <w:pPr>
            <w:pStyle w:val="TOC2"/>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A closer examination of international examples</w:t>
          </w:r>
          <w:r>
            <w:rPr>
              <w:webHidden/>
            </w:rPr>
            <w:tab/>
          </w:r>
          <w:r>
            <w:rPr>
              <w:webHidden/>
            </w:rPr>
            <w:fldChar w:fldCharType="begin"/>
          </w:r>
          <w:r>
            <w:rPr>
              <w:webHidden/>
            </w:rPr>
            <w:instrText xml:space="preserve"> PAGEREF _Toc172213569 \h </w:instrText>
          </w:r>
          <w:r>
            <w:rPr>
              <w:webHidden/>
            </w:rPr>
          </w:r>
          <w:r>
            <w:rPr>
              <w:webHidden/>
            </w:rPr>
            <w:fldChar w:fldCharType="separate"/>
          </w:r>
          <w:r w:rsidR="00BA5CB1">
            <w:rPr>
              <w:webHidden/>
            </w:rPr>
            <w:t>32</w:t>
          </w:r>
          <w:r>
            <w:rPr>
              <w:webHidden/>
            </w:rPr>
            <w:fldChar w:fldCharType="end"/>
          </w:r>
        </w:p>
        <w:p w14:paraId="624B3CD2" w14:textId="52C88BA7"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_Toc172213570 \h </w:instrText>
          </w:r>
          <w:r>
            <w:rPr>
              <w:webHidden/>
            </w:rPr>
          </w:r>
          <w:r>
            <w:rPr>
              <w:webHidden/>
            </w:rPr>
            <w:fldChar w:fldCharType="separate"/>
          </w:r>
          <w:r w:rsidR="00BA5CB1">
            <w:rPr>
              <w:webHidden/>
            </w:rPr>
            <w:t>42</w:t>
          </w:r>
          <w:r>
            <w:rPr>
              <w:webHidden/>
            </w:rPr>
            <w:fldChar w:fldCharType="end"/>
          </w:r>
        </w:p>
        <w:p w14:paraId="7B692026" w14:textId="58AA21BF" w:rsidR="004E388B" w:rsidRDefault="004E388B">
          <w:pPr>
            <w:pStyle w:val="TOC1"/>
            <w:rPr>
              <w:rFonts w:eastAsiaTheme="minorEastAsia" w:cstheme="minorBidi"/>
              <w:b w:val="0"/>
              <w:bCs w:val="0"/>
              <w:kern w:val="2"/>
              <w:sz w:val="24"/>
              <w:szCs w:val="24"/>
              <w:lang w:eastAsia="en-AU"/>
              <w14:ligatures w14:val="standardContextual"/>
            </w:rPr>
          </w:pPr>
          <w:r>
            <w:t>C.</w:t>
          </w:r>
          <w:r>
            <w:rPr>
              <w:rFonts w:eastAsiaTheme="minorEastAsia" w:cstheme="minorBidi"/>
              <w:b w:val="0"/>
              <w:bCs w:val="0"/>
              <w:kern w:val="2"/>
              <w:sz w:val="24"/>
              <w:szCs w:val="24"/>
              <w:lang w:eastAsia="en-AU"/>
              <w14:ligatures w14:val="standardContextual"/>
            </w:rPr>
            <w:tab/>
          </w:r>
          <w:r>
            <w:t>Overview of the National Quality Framework</w:t>
          </w:r>
          <w:r>
            <w:rPr>
              <w:webHidden/>
            </w:rPr>
            <w:tab/>
          </w:r>
          <w:r>
            <w:rPr>
              <w:webHidden/>
            </w:rPr>
            <w:fldChar w:fldCharType="begin"/>
          </w:r>
          <w:r>
            <w:rPr>
              <w:webHidden/>
            </w:rPr>
            <w:instrText xml:space="preserve"> PAGEREF _Toc172213571 \h </w:instrText>
          </w:r>
          <w:r>
            <w:rPr>
              <w:webHidden/>
            </w:rPr>
          </w:r>
          <w:r>
            <w:rPr>
              <w:webHidden/>
            </w:rPr>
            <w:fldChar w:fldCharType="separate"/>
          </w:r>
          <w:r w:rsidR="00BA5CB1">
            <w:rPr>
              <w:webHidden/>
            </w:rPr>
            <w:t>45</w:t>
          </w:r>
          <w:r>
            <w:rPr>
              <w:webHidden/>
            </w:rPr>
            <w:fldChar w:fldCharType="end"/>
          </w:r>
        </w:p>
        <w:p w14:paraId="0B03462C" w14:textId="76F96D28" w:rsidR="004E388B" w:rsidRDefault="004E388B">
          <w:pPr>
            <w:pStyle w:val="TOC2"/>
            <w:rPr>
              <w:rFonts w:eastAsiaTheme="minorEastAsia"/>
              <w:kern w:val="2"/>
              <w:sz w:val="24"/>
              <w:szCs w:val="24"/>
              <w:lang w:eastAsia="en-AU"/>
              <w14:ligatures w14:val="standardContextual"/>
            </w:rPr>
          </w:pPr>
          <w:r>
            <w:t>C.1</w:t>
          </w:r>
          <w:r>
            <w:rPr>
              <w:rFonts w:eastAsiaTheme="minorEastAsia"/>
              <w:kern w:val="2"/>
              <w:sz w:val="24"/>
              <w:szCs w:val="24"/>
              <w:lang w:eastAsia="en-AU"/>
              <w14:ligatures w14:val="standardContextual"/>
            </w:rPr>
            <w:tab/>
          </w:r>
          <w:r>
            <w:t>Background</w:t>
          </w:r>
          <w:r>
            <w:rPr>
              <w:webHidden/>
            </w:rPr>
            <w:tab/>
          </w:r>
          <w:r>
            <w:rPr>
              <w:webHidden/>
            </w:rPr>
            <w:fldChar w:fldCharType="begin"/>
          </w:r>
          <w:r>
            <w:rPr>
              <w:webHidden/>
            </w:rPr>
            <w:instrText xml:space="preserve"> PAGEREF _Toc172213572 \h </w:instrText>
          </w:r>
          <w:r>
            <w:rPr>
              <w:webHidden/>
            </w:rPr>
          </w:r>
          <w:r>
            <w:rPr>
              <w:webHidden/>
            </w:rPr>
            <w:fldChar w:fldCharType="separate"/>
          </w:r>
          <w:r w:rsidR="00BA5CB1">
            <w:rPr>
              <w:webHidden/>
            </w:rPr>
            <w:t>45</w:t>
          </w:r>
          <w:r>
            <w:rPr>
              <w:webHidden/>
            </w:rPr>
            <w:fldChar w:fldCharType="end"/>
          </w:r>
        </w:p>
        <w:p w14:paraId="17A7BCE9" w14:textId="210DC758" w:rsidR="004E388B" w:rsidRDefault="004E388B">
          <w:pPr>
            <w:pStyle w:val="TOC2"/>
            <w:rPr>
              <w:rFonts w:eastAsiaTheme="minorEastAsia"/>
              <w:kern w:val="2"/>
              <w:sz w:val="24"/>
              <w:szCs w:val="24"/>
              <w:lang w:eastAsia="en-AU"/>
              <w14:ligatures w14:val="standardContextual"/>
            </w:rPr>
          </w:pPr>
          <w:r>
            <w:t>C.2</w:t>
          </w:r>
          <w:r>
            <w:rPr>
              <w:rFonts w:eastAsiaTheme="minorEastAsia"/>
              <w:kern w:val="2"/>
              <w:sz w:val="24"/>
              <w:szCs w:val="24"/>
              <w:lang w:eastAsia="en-AU"/>
              <w14:ligatures w14:val="standardContextual"/>
            </w:rPr>
            <w:tab/>
          </w:r>
          <w:r>
            <w:t>Governance arrangements</w:t>
          </w:r>
          <w:r>
            <w:rPr>
              <w:webHidden/>
            </w:rPr>
            <w:tab/>
          </w:r>
          <w:r>
            <w:rPr>
              <w:webHidden/>
            </w:rPr>
            <w:fldChar w:fldCharType="begin"/>
          </w:r>
          <w:r>
            <w:rPr>
              <w:webHidden/>
            </w:rPr>
            <w:instrText xml:space="preserve"> PAGEREF _Toc172213573 \h </w:instrText>
          </w:r>
          <w:r>
            <w:rPr>
              <w:webHidden/>
            </w:rPr>
          </w:r>
          <w:r>
            <w:rPr>
              <w:webHidden/>
            </w:rPr>
            <w:fldChar w:fldCharType="separate"/>
          </w:r>
          <w:r w:rsidR="00BA5CB1">
            <w:rPr>
              <w:webHidden/>
            </w:rPr>
            <w:t>46</w:t>
          </w:r>
          <w:r>
            <w:rPr>
              <w:webHidden/>
            </w:rPr>
            <w:fldChar w:fldCharType="end"/>
          </w:r>
        </w:p>
        <w:p w14:paraId="1906EF98" w14:textId="678E5392" w:rsidR="004E388B" w:rsidRDefault="004E388B">
          <w:pPr>
            <w:pStyle w:val="TOC2"/>
            <w:rPr>
              <w:rFonts w:eastAsiaTheme="minorEastAsia"/>
              <w:kern w:val="2"/>
              <w:sz w:val="24"/>
              <w:szCs w:val="24"/>
              <w:lang w:eastAsia="en-AU"/>
              <w14:ligatures w14:val="standardContextual"/>
            </w:rPr>
          </w:pPr>
          <w:r>
            <w:t>C.3</w:t>
          </w:r>
          <w:r>
            <w:rPr>
              <w:rFonts w:eastAsiaTheme="minorEastAsia"/>
              <w:kern w:val="2"/>
              <w:sz w:val="24"/>
              <w:szCs w:val="24"/>
              <w:lang w:eastAsia="en-AU"/>
              <w14:ligatures w14:val="standardContextual"/>
            </w:rPr>
            <w:tab/>
          </w:r>
          <w:r>
            <w:t>How the system works</w:t>
          </w:r>
          <w:r>
            <w:rPr>
              <w:webHidden/>
            </w:rPr>
            <w:tab/>
          </w:r>
          <w:r>
            <w:rPr>
              <w:webHidden/>
            </w:rPr>
            <w:fldChar w:fldCharType="begin"/>
          </w:r>
          <w:r>
            <w:rPr>
              <w:webHidden/>
            </w:rPr>
            <w:instrText xml:space="preserve"> PAGEREF _Toc172213574 \h </w:instrText>
          </w:r>
          <w:r>
            <w:rPr>
              <w:webHidden/>
            </w:rPr>
          </w:r>
          <w:r>
            <w:rPr>
              <w:webHidden/>
            </w:rPr>
            <w:fldChar w:fldCharType="separate"/>
          </w:r>
          <w:r w:rsidR="00BA5CB1">
            <w:rPr>
              <w:webHidden/>
            </w:rPr>
            <w:t>51</w:t>
          </w:r>
          <w:r>
            <w:rPr>
              <w:webHidden/>
            </w:rPr>
            <w:fldChar w:fldCharType="end"/>
          </w:r>
        </w:p>
        <w:p w14:paraId="3A224F7E" w14:textId="7056C4E9"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_Toc172213575 \h </w:instrText>
          </w:r>
          <w:r>
            <w:rPr>
              <w:webHidden/>
            </w:rPr>
          </w:r>
          <w:r>
            <w:rPr>
              <w:webHidden/>
            </w:rPr>
            <w:fldChar w:fldCharType="separate"/>
          </w:r>
          <w:r w:rsidR="00BA5CB1">
            <w:rPr>
              <w:webHidden/>
            </w:rPr>
            <w:t>62</w:t>
          </w:r>
          <w:r>
            <w:rPr>
              <w:webHidden/>
            </w:rPr>
            <w:fldChar w:fldCharType="end"/>
          </w:r>
        </w:p>
        <w:p w14:paraId="5150743B" w14:textId="18199184" w:rsidR="004E388B" w:rsidRDefault="004E388B">
          <w:pPr>
            <w:pStyle w:val="TOC1"/>
            <w:rPr>
              <w:rFonts w:eastAsiaTheme="minorEastAsia" w:cstheme="minorBidi"/>
              <w:b w:val="0"/>
              <w:bCs w:val="0"/>
              <w:kern w:val="2"/>
              <w:sz w:val="24"/>
              <w:szCs w:val="24"/>
              <w:lang w:eastAsia="en-AU"/>
              <w14:ligatures w14:val="standardContextual"/>
            </w:rPr>
          </w:pPr>
          <w:r>
            <w:t>D.</w:t>
          </w:r>
          <w:r>
            <w:rPr>
              <w:rFonts w:eastAsiaTheme="minorEastAsia" w:cstheme="minorBidi"/>
              <w:b w:val="0"/>
              <w:bCs w:val="0"/>
              <w:kern w:val="2"/>
              <w:sz w:val="24"/>
              <w:szCs w:val="24"/>
              <w:lang w:eastAsia="en-AU"/>
              <w14:ligatures w14:val="standardContextual"/>
            </w:rPr>
            <w:tab/>
          </w:r>
          <w:r>
            <w:t>The Child Care Subsidy system</w:t>
          </w:r>
          <w:r>
            <w:rPr>
              <w:webHidden/>
            </w:rPr>
            <w:tab/>
          </w:r>
          <w:r>
            <w:rPr>
              <w:webHidden/>
            </w:rPr>
            <w:fldChar w:fldCharType="begin"/>
          </w:r>
          <w:r>
            <w:rPr>
              <w:webHidden/>
            </w:rPr>
            <w:instrText xml:space="preserve"> PAGEREF _Toc172213576 \h </w:instrText>
          </w:r>
          <w:r>
            <w:rPr>
              <w:webHidden/>
            </w:rPr>
          </w:r>
          <w:r>
            <w:rPr>
              <w:webHidden/>
            </w:rPr>
            <w:fldChar w:fldCharType="separate"/>
          </w:r>
          <w:r w:rsidR="00BA5CB1">
            <w:rPr>
              <w:webHidden/>
            </w:rPr>
            <w:t>63</w:t>
          </w:r>
          <w:r>
            <w:rPr>
              <w:webHidden/>
            </w:rPr>
            <w:fldChar w:fldCharType="end"/>
          </w:r>
        </w:p>
        <w:p w14:paraId="1687E503" w14:textId="4279FF13" w:rsidR="004E388B" w:rsidRDefault="004E388B">
          <w:pPr>
            <w:pStyle w:val="TOC2"/>
            <w:rPr>
              <w:rFonts w:eastAsiaTheme="minorEastAsia"/>
              <w:kern w:val="2"/>
              <w:sz w:val="24"/>
              <w:szCs w:val="24"/>
              <w:lang w:eastAsia="en-AU"/>
              <w14:ligatures w14:val="standardContextual"/>
            </w:rPr>
          </w:pPr>
          <w:r>
            <w:t>D.1</w:t>
          </w:r>
          <w:r>
            <w:rPr>
              <w:rFonts w:eastAsiaTheme="minorEastAsia"/>
              <w:kern w:val="2"/>
              <w:sz w:val="24"/>
              <w:szCs w:val="24"/>
              <w:lang w:eastAsia="en-AU"/>
              <w14:ligatures w14:val="standardContextual"/>
            </w:rPr>
            <w:tab/>
          </w:r>
          <w:r>
            <w:t>Eligibility and subsidy amounts</w:t>
          </w:r>
          <w:r>
            <w:rPr>
              <w:webHidden/>
            </w:rPr>
            <w:tab/>
          </w:r>
          <w:r>
            <w:rPr>
              <w:webHidden/>
            </w:rPr>
            <w:fldChar w:fldCharType="begin"/>
          </w:r>
          <w:r>
            <w:rPr>
              <w:webHidden/>
            </w:rPr>
            <w:instrText xml:space="preserve"> PAGEREF _Toc172213577 \h </w:instrText>
          </w:r>
          <w:r>
            <w:rPr>
              <w:webHidden/>
            </w:rPr>
          </w:r>
          <w:r>
            <w:rPr>
              <w:webHidden/>
            </w:rPr>
            <w:fldChar w:fldCharType="separate"/>
          </w:r>
          <w:r w:rsidR="00BA5CB1">
            <w:rPr>
              <w:webHidden/>
            </w:rPr>
            <w:t>63</w:t>
          </w:r>
          <w:r>
            <w:rPr>
              <w:webHidden/>
            </w:rPr>
            <w:fldChar w:fldCharType="end"/>
          </w:r>
        </w:p>
        <w:p w14:paraId="766954F1" w14:textId="475B16F2" w:rsidR="004E388B" w:rsidRDefault="004E388B">
          <w:pPr>
            <w:pStyle w:val="TOC2"/>
            <w:rPr>
              <w:rFonts w:eastAsiaTheme="minorEastAsia"/>
              <w:kern w:val="2"/>
              <w:sz w:val="24"/>
              <w:szCs w:val="24"/>
              <w:lang w:eastAsia="en-AU"/>
              <w14:ligatures w14:val="standardContextual"/>
            </w:rPr>
          </w:pPr>
          <w:r>
            <w:t>D.2</w:t>
          </w:r>
          <w:r>
            <w:rPr>
              <w:rFonts w:eastAsiaTheme="minorEastAsia"/>
              <w:kern w:val="2"/>
              <w:sz w:val="24"/>
              <w:szCs w:val="24"/>
              <w:lang w:eastAsia="en-AU"/>
              <w14:ligatures w14:val="standardContextual"/>
            </w:rPr>
            <w:tab/>
          </w:r>
          <w:r>
            <w:t>The evolution of the CCS</w:t>
          </w:r>
          <w:r>
            <w:rPr>
              <w:webHidden/>
            </w:rPr>
            <w:tab/>
          </w:r>
          <w:r>
            <w:rPr>
              <w:webHidden/>
            </w:rPr>
            <w:fldChar w:fldCharType="begin"/>
          </w:r>
          <w:r>
            <w:rPr>
              <w:webHidden/>
            </w:rPr>
            <w:instrText xml:space="preserve"> PAGEREF _Toc172213578 \h </w:instrText>
          </w:r>
          <w:r>
            <w:rPr>
              <w:webHidden/>
            </w:rPr>
          </w:r>
          <w:r>
            <w:rPr>
              <w:webHidden/>
            </w:rPr>
            <w:fldChar w:fldCharType="separate"/>
          </w:r>
          <w:r w:rsidR="00BA5CB1">
            <w:rPr>
              <w:webHidden/>
            </w:rPr>
            <w:t>79</w:t>
          </w:r>
          <w:r>
            <w:rPr>
              <w:webHidden/>
            </w:rPr>
            <w:fldChar w:fldCharType="end"/>
          </w:r>
        </w:p>
        <w:p w14:paraId="41EC8BE0" w14:textId="77FD16AB" w:rsidR="004E388B" w:rsidRDefault="004E388B">
          <w:pPr>
            <w:pStyle w:val="TOC2"/>
            <w:rPr>
              <w:rFonts w:eastAsiaTheme="minorEastAsia"/>
              <w:kern w:val="2"/>
              <w:sz w:val="24"/>
              <w:szCs w:val="24"/>
              <w:lang w:eastAsia="en-AU"/>
              <w14:ligatures w14:val="standardContextual"/>
            </w:rPr>
          </w:pPr>
          <w:r>
            <w:t>D.3</w:t>
          </w:r>
          <w:r>
            <w:rPr>
              <w:rFonts w:eastAsiaTheme="minorEastAsia"/>
              <w:kern w:val="2"/>
              <w:sz w:val="24"/>
              <w:szCs w:val="24"/>
              <w:lang w:eastAsia="en-AU"/>
              <w14:ligatures w14:val="standardContextual"/>
            </w:rPr>
            <w:tab/>
          </w:r>
          <w:r>
            <w:t>Administration of the CCS</w:t>
          </w:r>
          <w:r>
            <w:rPr>
              <w:webHidden/>
            </w:rPr>
            <w:tab/>
          </w:r>
          <w:r>
            <w:rPr>
              <w:webHidden/>
            </w:rPr>
            <w:fldChar w:fldCharType="begin"/>
          </w:r>
          <w:r>
            <w:rPr>
              <w:webHidden/>
            </w:rPr>
            <w:instrText xml:space="preserve"> PAGEREF _Toc172213579 \h </w:instrText>
          </w:r>
          <w:r>
            <w:rPr>
              <w:webHidden/>
            </w:rPr>
          </w:r>
          <w:r>
            <w:rPr>
              <w:webHidden/>
            </w:rPr>
            <w:fldChar w:fldCharType="separate"/>
          </w:r>
          <w:r w:rsidR="00BA5CB1">
            <w:rPr>
              <w:webHidden/>
            </w:rPr>
            <w:t>81</w:t>
          </w:r>
          <w:r>
            <w:rPr>
              <w:webHidden/>
            </w:rPr>
            <w:fldChar w:fldCharType="end"/>
          </w:r>
        </w:p>
        <w:p w14:paraId="2ABEE0A0" w14:textId="2AA5210B" w:rsidR="004E388B" w:rsidRDefault="004E388B">
          <w:pPr>
            <w:pStyle w:val="TOC2"/>
            <w:rPr>
              <w:rFonts w:eastAsiaTheme="minorEastAsia"/>
              <w:kern w:val="2"/>
              <w:sz w:val="24"/>
              <w:szCs w:val="24"/>
              <w:lang w:eastAsia="en-AU"/>
              <w14:ligatures w14:val="standardContextual"/>
            </w:rPr>
          </w:pPr>
          <w:r>
            <w:t>D.4</w:t>
          </w:r>
          <w:r>
            <w:rPr>
              <w:rFonts w:eastAsiaTheme="minorEastAsia"/>
              <w:kern w:val="2"/>
              <w:sz w:val="24"/>
              <w:szCs w:val="24"/>
              <w:lang w:eastAsia="en-AU"/>
              <w14:ligatures w14:val="standardContextual"/>
            </w:rPr>
            <w:tab/>
          </w:r>
          <w:r>
            <w:t>Government expenditure on CCS and ACCS</w:t>
          </w:r>
          <w:r>
            <w:rPr>
              <w:webHidden/>
            </w:rPr>
            <w:tab/>
          </w:r>
          <w:r>
            <w:rPr>
              <w:webHidden/>
            </w:rPr>
            <w:fldChar w:fldCharType="begin"/>
          </w:r>
          <w:r>
            <w:rPr>
              <w:webHidden/>
            </w:rPr>
            <w:instrText xml:space="preserve"> PAGEREF _Toc172213580 \h </w:instrText>
          </w:r>
          <w:r>
            <w:rPr>
              <w:webHidden/>
            </w:rPr>
          </w:r>
          <w:r>
            <w:rPr>
              <w:webHidden/>
            </w:rPr>
            <w:fldChar w:fldCharType="separate"/>
          </w:r>
          <w:r w:rsidR="00BA5CB1">
            <w:rPr>
              <w:webHidden/>
            </w:rPr>
            <w:t>83</w:t>
          </w:r>
          <w:r>
            <w:rPr>
              <w:webHidden/>
            </w:rPr>
            <w:fldChar w:fldCharType="end"/>
          </w:r>
        </w:p>
        <w:p w14:paraId="77BC2234" w14:textId="19F013AF" w:rsidR="004E388B" w:rsidRDefault="004E388B">
          <w:pPr>
            <w:pStyle w:val="TOC2"/>
            <w:rPr>
              <w:rFonts w:eastAsiaTheme="minorEastAsia"/>
              <w:kern w:val="2"/>
              <w:sz w:val="24"/>
              <w:szCs w:val="24"/>
              <w:lang w:eastAsia="en-AU"/>
              <w14:ligatures w14:val="standardContextual"/>
            </w:rPr>
          </w:pPr>
          <w:r>
            <w:t>D.5</w:t>
          </w:r>
          <w:r>
            <w:rPr>
              <w:rFonts w:eastAsiaTheme="minorEastAsia"/>
              <w:kern w:val="2"/>
              <w:sz w:val="24"/>
              <w:szCs w:val="24"/>
              <w:lang w:eastAsia="en-AU"/>
              <w14:ligatures w14:val="standardContextual"/>
            </w:rPr>
            <w:tab/>
          </w:r>
          <w:r>
            <w:t>Children using CCS-approved services</w:t>
          </w:r>
          <w:r>
            <w:rPr>
              <w:webHidden/>
            </w:rPr>
            <w:tab/>
          </w:r>
          <w:r>
            <w:rPr>
              <w:webHidden/>
            </w:rPr>
            <w:fldChar w:fldCharType="begin"/>
          </w:r>
          <w:r>
            <w:rPr>
              <w:webHidden/>
            </w:rPr>
            <w:instrText xml:space="preserve"> PAGEREF _Toc172213581 \h </w:instrText>
          </w:r>
          <w:r>
            <w:rPr>
              <w:webHidden/>
            </w:rPr>
          </w:r>
          <w:r>
            <w:rPr>
              <w:webHidden/>
            </w:rPr>
            <w:fldChar w:fldCharType="separate"/>
          </w:r>
          <w:r w:rsidR="00BA5CB1">
            <w:rPr>
              <w:webHidden/>
            </w:rPr>
            <w:t>84</w:t>
          </w:r>
          <w:r>
            <w:rPr>
              <w:webHidden/>
            </w:rPr>
            <w:fldChar w:fldCharType="end"/>
          </w:r>
        </w:p>
        <w:p w14:paraId="07791B0E" w14:textId="0AF78518"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_Toc172213582 \h </w:instrText>
          </w:r>
          <w:r>
            <w:rPr>
              <w:webHidden/>
            </w:rPr>
          </w:r>
          <w:r>
            <w:rPr>
              <w:webHidden/>
            </w:rPr>
            <w:fldChar w:fldCharType="separate"/>
          </w:r>
          <w:r w:rsidR="00BA5CB1">
            <w:rPr>
              <w:webHidden/>
            </w:rPr>
            <w:t>91</w:t>
          </w:r>
          <w:r>
            <w:rPr>
              <w:webHidden/>
            </w:rPr>
            <w:fldChar w:fldCharType="end"/>
          </w:r>
        </w:p>
        <w:p w14:paraId="4C0FACCB" w14:textId="6DDF0F35" w:rsidR="004E388B" w:rsidRDefault="004E388B">
          <w:pPr>
            <w:pStyle w:val="TOC1"/>
            <w:rPr>
              <w:rFonts w:eastAsiaTheme="minorEastAsia" w:cstheme="minorBidi"/>
              <w:b w:val="0"/>
              <w:bCs w:val="0"/>
              <w:kern w:val="2"/>
              <w:sz w:val="24"/>
              <w:szCs w:val="24"/>
              <w:lang w:eastAsia="en-AU"/>
              <w14:ligatures w14:val="standardContextual"/>
            </w:rPr>
          </w:pPr>
          <w:r>
            <w:t>E.</w:t>
          </w:r>
          <w:r>
            <w:rPr>
              <w:rFonts w:eastAsiaTheme="minorEastAsia" w:cstheme="minorBidi"/>
              <w:b w:val="0"/>
              <w:bCs w:val="0"/>
              <w:kern w:val="2"/>
              <w:sz w:val="24"/>
              <w:szCs w:val="24"/>
              <w:lang w:eastAsia="en-AU"/>
              <w14:ligatures w14:val="standardContextual"/>
            </w:rPr>
            <w:tab/>
          </w:r>
          <w:r>
            <w:t>Preschool funding and reforms</w:t>
          </w:r>
          <w:r>
            <w:rPr>
              <w:webHidden/>
            </w:rPr>
            <w:tab/>
          </w:r>
          <w:r>
            <w:rPr>
              <w:webHidden/>
            </w:rPr>
            <w:fldChar w:fldCharType="begin"/>
          </w:r>
          <w:r>
            <w:rPr>
              <w:webHidden/>
            </w:rPr>
            <w:instrText xml:space="preserve"> PAGEREF _Toc172213583 \h </w:instrText>
          </w:r>
          <w:r>
            <w:rPr>
              <w:webHidden/>
            </w:rPr>
          </w:r>
          <w:r>
            <w:rPr>
              <w:webHidden/>
            </w:rPr>
            <w:fldChar w:fldCharType="separate"/>
          </w:r>
          <w:r w:rsidR="00BA5CB1">
            <w:rPr>
              <w:webHidden/>
            </w:rPr>
            <w:t>93</w:t>
          </w:r>
          <w:r>
            <w:rPr>
              <w:webHidden/>
            </w:rPr>
            <w:fldChar w:fldCharType="end"/>
          </w:r>
        </w:p>
        <w:p w14:paraId="1064D73E" w14:textId="2E402A80" w:rsidR="004E388B" w:rsidRDefault="004E388B">
          <w:pPr>
            <w:pStyle w:val="TOC2"/>
            <w:rPr>
              <w:rFonts w:eastAsiaTheme="minorEastAsia"/>
              <w:kern w:val="2"/>
              <w:sz w:val="24"/>
              <w:szCs w:val="24"/>
              <w:lang w:eastAsia="en-AU"/>
              <w14:ligatures w14:val="standardContextual"/>
            </w:rPr>
          </w:pPr>
          <w:r>
            <w:t>E.1</w:t>
          </w:r>
          <w:r>
            <w:rPr>
              <w:rFonts w:eastAsiaTheme="minorEastAsia"/>
              <w:kern w:val="2"/>
              <w:sz w:val="24"/>
              <w:szCs w:val="24"/>
              <w:lang w:eastAsia="en-AU"/>
              <w14:ligatures w14:val="standardContextual"/>
            </w:rPr>
            <w:tab/>
          </w:r>
          <w:r>
            <w:t>Introduction</w:t>
          </w:r>
          <w:r>
            <w:rPr>
              <w:webHidden/>
            </w:rPr>
            <w:tab/>
          </w:r>
          <w:r>
            <w:rPr>
              <w:webHidden/>
            </w:rPr>
            <w:fldChar w:fldCharType="begin"/>
          </w:r>
          <w:r>
            <w:rPr>
              <w:webHidden/>
            </w:rPr>
            <w:instrText xml:space="preserve"> PAGEREF _Toc172213584 \h </w:instrText>
          </w:r>
          <w:r>
            <w:rPr>
              <w:webHidden/>
            </w:rPr>
          </w:r>
          <w:r>
            <w:rPr>
              <w:webHidden/>
            </w:rPr>
            <w:fldChar w:fldCharType="separate"/>
          </w:r>
          <w:r w:rsidR="00BA5CB1">
            <w:rPr>
              <w:webHidden/>
            </w:rPr>
            <w:t>93</w:t>
          </w:r>
          <w:r>
            <w:rPr>
              <w:webHidden/>
            </w:rPr>
            <w:fldChar w:fldCharType="end"/>
          </w:r>
        </w:p>
        <w:p w14:paraId="07A223CB" w14:textId="3983FD7B" w:rsidR="004E388B" w:rsidRDefault="004E388B">
          <w:pPr>
            <w:pStyle w:val="TOC2"/>
            <w:rPr>
              <w:rFonts w:eastAsiaTheme="minorEastAsia"/>
              <w:kern w:val="2"/>
              <w:sz w:val="24"/>
              <w:szCs w:val="24"/>
              <w:lang w:eastAsia="en-AU"/>
              <w14:ligatures w14:val="standardContextual"/>
            </w:rPr>
          </w:pPr>
          <w:r>
            <w:t>E.2</w:t>
          </w:r>
          <w:r>
            <w:rPr>
              <w:rFonts w:eastAsiaTheme="minorEastAsia"/>
              <w:kern w:val="2"/>
              <w:sz w:val="24"/>
              <w:szCs w:val="24"/>
              <w:lang w:eastAsia="en-AU"/>
              <w14:ligatures w14:val="standardContextual"/>
            </w:rPr>
            <w:tab/>
          </w:r>
          <w:r>
            <w:t>Children attend preschool in different settings across Australia</w:t>
          </w:r>
          <w:r>
            <w:rPr>
              <w:webHidden/>
            </w:rPr>
            <w:tab/>
          </w:r>
          <w:r>
            <w:rPr>
              <w:webHidden/>
            </w:rPr>
            <w:fldChar w:fldCharType="begin"/>
          </w:r>
          <w:r>
            <w:rPr>
              <w:webHidden/>
            </w:rPr>
            <w:instrText xml:space="preserve"> PAGEREF _Toc172213585 \h </w:instrText>
          </w:r>
          <w:r>
            <w:rPr>
              <w:webHidden/>
            </w:rPr>
          </w:r>
          <w:r>
            <w:rPr>
              <w:webHidden/>
            </w:rPr>
            <w:fldChar w:fldCharType="separate"/>
          </w:r>
          <w:r w:rsidR="00BA5CB1">
            <w:rPr>
              <w:webHidden/>
            </w:rPr>
            <w:t>94</w:t>
          </w:r>
          <w:r>
            <w:rPr>
              <w:webHidden/>
            </w:rPr>
            <w:fldChar w:fldCharType="end"/>
          </w:r>
        </w:p>
        <w:p w14:paraId="7243D40C" w14:textId="761784AE" w:rsidR="004E388B" w:rsidRDefault="004E388B">
          <w:pPr>
            <w:pStyle w:val="TOC2"/>
            <w:rPr>
              <w:rFonts w:eastAsiaTheme="minorEastAsia"/>
              <w:kern w:val="2"/>
              <w:sz w:val="24"/>
              <w:szCs w:val="24"/>
              <w:lang w:eastAsia="en-AU"/>
              <w14:ligatures w14:val="standardContextual"/>
            </w:rPr>
          </w:pPr>
          <w:r>
            <w:t>E.3</w:t>
          </w:r>
          <w:r>
            <w:rPr>
              <w:rFonts w:eastAsiaTheme="minorEastAsia"/>
              <w:kern w:val="2"/>
              <w:sz w:val="24"/>
              <w:szCs w:val="24"/>
              <w:lang w:eastAsia="en-AU"/>
              <w14:ligatures w14:val="standardContextual"/>
            </w:rPr>
            <w:tab/>
          </w:r>
          <w:r>
            <w:t>Current preschool funding arrangements</w:t>
          </w:r>
          <w:r>
            <w:rPr>
              <w:webHidden/>
            </w:rPr>
            <w:tab/>
          </w:r>
          <w:r>
            <w:rPr>
              <w:webHidden/>
            </w:rPr>
            <w:fldChar w:fldCharType="begin"/>
          </w:r>
          <w:r>
            <w:rPr>
              <w:webHidden/>
            </w:rPr>
            <w:instrText xml:space="preserve"> PAGEREF _Toc172213586 \h </w:instrText>
          </w:r>
          <w:r>
            <w:rPr>
              <w:webHidden/>
            </w:rPr>
          </w:r>
          <w:r>
            <w:rPr>
              <w:webHidden/>
            </w:rPr>
            <w:fldChar w:fldCharType="separate"/>
          </w:r>
          <w:r w:rsidR="00BA5CB1">
            <w:rPr>
              <w:webHidden/>
            </w:rPr>
            <w:t>95</w:t>
          </w:r>
          <w:r>
            <w:rPr>
              <w:webHidden/>
            </w:rPr>
            <w:fldChar w:fldCharType="end"/>
          </w:r>
        </w:p>
        <w:p w14:paraId="2F2ABE21" w14:textId="527EE81F" w:rsidR="004E388B" w:rsidRDefault="004E388B">
          <w:pPr>
            <w:pStyle w:val="TOC2"/>
            <w:rPr>
              <w:rFonts w:eastAsiaTheme="minorEastAsia"/>
              <w:kern w:val="2"/>
              <w:sz w:val="24"/>
              <w:szCs w:val="24"/>
              <w:lang w:eastAsia="en-AU"/>
              <w14:ligatures w14:val="standardContextual"/>
            </w:rPr>
          </w:pPr>
          <w:r>
            <w:t>E.4</w:t>
          </w:r>
          <w:r>
            <w:rPr>
              <w:rFonts w:eastAsiaTheme="minorEastAsia"/>
              <w:kern w:val="2"/>
              <w:sz w:val="24"/>
              <w:szCs w:val="24"/>
              <w:lang w:eastAsia="en-AU"/>
              <w14:ligatures w14:val="standardContextual"/>
            </w:rPr>
            <w:tab/>
          </w:r>
          <w:r>
            <w:t>State and territory reforms</w:t>
          </w:r>
          <w:r>
            <w:rPr>
              <w:webHidden/>
            </w:rPr>
            <w:tab/>
          </w:r>
          <w:r>
            <w:rPr>
              <w:webHidden/>
            </w:rPr>
            <w:fldChar w:fldCharType="begin"/>
          </w:r>
          <w:r>
            <w:rPr>
              <w:webHidden/>
            </w:rPr>
            <w:instrText xml:space="preserve"> PAGEREF _Toc172213587 \h </w:instrText>
          </w:r>
          <w:r>
            <w:rPr>
              <w:webHidden/>
            </w:rPr>
          </w:r>
          <w:r>
            <w:rPr>
              <w:webHidden/>
            </w:rPr>
            <w:fldChar w:fldCharType="separate"/>
          </w:r>
          <w:r w:rsidR="00BA5CB1">
            <w:rPr>
              <w:webHidden/>
            </w:rPr>
            <w:t>103</w:t>
          </w:r>
          <w:r>
            <w:rPr>
              <w:webHidden/>
            </w:rPr>
            <w:fldChar w:fldCharType="end"/>
          </w:r>
        </w:p>
        <w:p w14:paraId="15CCD5E0" w14:textId="18DE7A5C"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_Toc172213588 \h </w:instrText>
          </w:r>
          <w:r>
            <w:rPr>
              <w:webHidden/>
            </w:rPr>
          </w:r>
          <w:r>
            <w:rPr>
              <w:webHidden/>
            </w:rPr>
            <w:fldChar w:fldCharType="separate"/>
          </w:r>
          <w:r w:rsidR="00BA5CB1">
            <w:rPr>
              <w:webHidden/>
            </w:rPr>
            <w:t>109</w:t>
          </w:r>
          <w:r>
            <w:rPr>
              <w:webHidden/>
            </w:rPr>
            <w:fldChar w:fldCharType="end"/>
          </w:r>
        </w:p>
        <w:p w14:paraId="65258531" w14:textId="77777777" w:rsidR="00CC3421" w:rsidRDefault="00CC3421">
          <w:pPr>
            <w:spacing w:before="0" w:after="160" w:line="259" w:lineRule="auto"/>
            <w:rPr>
              <w:rFonts w:cstheme="minorHAnsi"/>
              <w:b/>
              <w:bCs/>
              <w:noProof/>
            </w:rPr>
          </w:pPr>
          <w:r>
            <w:rPr>
              <w:noProof/>
            </w:rPr>
            <w:br w:type="page"/>
          </w:r>
        </w:p>
        <w:p w14:paraId="6E35BCB4" w14:textId="32153B46" w:rsidR="004E388B" w:rsidRDefault="004E388B">
          <w:pPr>
            <w:pStyle w:val="TOC1"/>
            <w:rPr>
              <w:rFonts w:eastAsiaTheme="minorEastAsia" w:cstheme="minorBidi"/>
              <w:b w:val="0"/>
              <w:bCs w:val="0"/>
              <w:kern w:val="2"/>
              <w:sz w:val="24"/>
              <w:szCs w:val="24"/>
              <w:lang w:eastAsia="en-AU"/>
              <w14:ligatures w14:val="standardContextual"/>
            </w:rPr>
          </w:pPr>
          <w:r>
            <w:lastRenderedPageBreak/>
            <w:t>F.</w:t>
          </w:r>
          <w:r>
            <w:rPr>
              <w:rFonts w:eastAsiaTheme="minorEastAsia" w:cstheme="minorBidi"/>
              <w:b w:val="0"/>
              <w:bCs w:val="0"/>
              <w:kern w:val="2"/>
              <w:sz w:val="24"/>
              <w:szCs w:val="24"/>
              <w:lang w:eastAsia="en-AU"/>
              <w14:ligatures w14:val="standardContextual"/>
            </w:rPr>
            <w:tab/>
          </w:r>
          <w:r>
            <w:t>Workforce disincentive rates</w:t>
          </w:r>
          <w:r>
            <w:rPr>
              <w:webHidden/>
            </w:rPr>
            <w:tab/>
          </w:r>
          <w:r>
            <w:rPr>
              <w:webHidden/>
            </w:rPr>
            <w:fldChar w:fldCharType="begin"/>
          </w:r>
          <w:r>
            <w:rPr>
              <w:webHidden/>
            </w:rPr>
            <w:instrText xml:space="preserve"> PAGEREF _Toc172213589 \h </w:instrText>
          </w:r>
          <w:r>
            <w:rPr>
              <w:webHidden/>
            </w:rPr>
          </w:r>
          <w:r>
            <w:rPr>
              <w:webHidden/>
            </w:rPr>
            <w:fldChar w:fldCharType="separate"/>
          </w:r>
          <w:r w:rsidR="00BA5CB1">
            <w:rPr>
              <w:webHidden/>
            </w:rPr>
            <w:t>111</w:t>
          </w:r>
          <w:r>
            <w:rPr>
              <w:webHidden/>
            </w:rPr>
            <w:fldChar w:fldCharType="end"/>
          </w:r>
        </w:p>
        <w:p w14:paraId="1E95266D" w14:textId="6E6E0E75" w:rsidR="004E388B" w:rsidRDefault="004E388B">
          <w:pPr>
            <w:pStyle w:val="TOC2"/>
            <w:rPr>
              <w:rFonts w:eastAsiaTheme="minorEastAsia"/>
              <w:kern w:val="2"/>
              <w:sz w:val="24"/>
              <w:szCs w:val="24"/>
              <w:lang w:eastAsia="en-AU"/>
              <w14:ligatures w14:val="standardContextual"/>
            </w:rPr>
          </w:pPr>
          <w:r>
            <w:t>F.1</w:t>
          </w:r>
          <w:r>
            <w:rPr>
              <w:rFonts w:eastAsiaTheme="minorEastAsia"/>
              <w:kern w:val="2"/>
              <w:sz w:val="24"/>
              <w:szCs w:val="24"/>
              <w:lang w:eastAsia="en-AU"/>
              <w14:ligatures w14:val="standardContextual"/>
            </w:rPr>
            <w:tab/>
          </w:r>
          <w:r>
            <w:t>Assumptions for workforce disincentive rate calculations</w:t>
          </w:r>
          <w:r>
            <w:rPr>
              <w:webHidden/>
            </w:rPr>
            <w:tab/>
          </w:r>
          <w:r>
            <w:rPr>
              <w:webHidden/>
            </w:rPr>
            <w:fldChar w:fldCharType="begin"/>
          </w:r>
          <w:r>
            <w:rPr>
              <w:webHidden/>
            </w:rPr>
            <w:instrText xml:space="preserve"> PAGEREF _Toc172213590 \h </w:instrText>
          </w:r>
          <w:r>
            <w:rPr>
              <w:webHidden/>
            </w:rPr>
          </w:r>
          <w:r>
            <w:rPr>
              <w:webHidden/>
            </w:rPr>
            <w:fldChar w:fldCharType="separate"/>
          </w:r>
          <w:r w:rsidR="00BA5CB1">
            <w:rPr>
              <w:webHidden/>
            </w:rPr>
            <w:t>111</w:t>
          </w:r>
          <w:r>
            <w:rPr>
              <w:webHidden/>
            </w:rPr>
            <w:fldChar w:fldCharType="end"/>
          </w:r>
        </w:p>
        <w:p w14:paraId="5AEFDFC4" w14:textId="64DACFBD" w:rsidR="004E388B" w:rsidRDefault="004E388B">
          <w:pPr>
            <w:pStyle w:val="TOC2"/>
            <w:rPr>
              <w:rFonts w:eastAsiaTheme="minorEastAsia"/>
              <w:kern w:val="2"/>
              <w:sz w:val="24"/>
              <w:szCs w:val="24"/>
              <w:lang w:eastAsia="en-AU"/>
              <w14:ligatures w14:val="standardContextual"/>
            </w:rPr>
          </w:pPr>
          <w:r>
            <w:t>F.2</w:t>
          </w:r>
          <w:r>
            <w:rPr>
              <w:rFonts w:eastAsiaTheme="minorEastAsia"/>
              <w:kern w:val="2"/>
              <w:sz w:val="24"/>
              <w:szCs w:val="24"/>
              <w:lang w:eastAsia="en-AU"/>
              <w14:ligatures w14:val="standardContextual"/>
            </w:rPr>
            <w:tab/>
          </w:r>
          <w:r>
            <w:t>Main findings</w:t>
          </w:r>
          <w:r>
            <w:rPr>
              <w:webHidden/>
            </w:rPr>
            <w:tab/>
          </w:r>
          <w:r>
            <w:rPr>
              <w:webHidden/>
            </w:rPr>
            <w:fldChar w:fldCharType="begin"/>
          </w:r>
          <w:r>
            <w:rPr>
              <w:webHidden/>
            </w:rPr>
            <w:instrText xml:space="preserve"> PAGEREF _Toc172213591 \h </w:instrText>
          </w:r>
          <w:r>
            <w:rPr>
              <w:webHidden/>
            </w:rPr>
          </w:r>
          <w:r>
            <w:rPr>
              <w:webHidden/>
            </w:rPr>
            <w:fldChar w:fldCharType="separate"/>
          </w:r>
          <w:r w:rsidR="00BA5CB1">
            <w:rPr>
              <w:webHidden/>
            </w:rPr>
            <w:t>114</w:t>
          </w:r>
          <w:r>
            <w:rPr>
              <w:webHidden/>
            </w:rPr>
            <w:fldChar w:fldCharType="end"/>
          </w:r>
        </w:p>
        <w:p w14:paraId="3F683693" w14:textId="4566F331" w:rsidR="004E388B" w:rsidRDefault="004E388B">
          <w:pPr>
            <w:pStyle w:val="TOC2"/>
            <w:rPr>
              <w:rFonts w:eastAsiaTheme="minorEastAsia"/>
              <w:kern w:val="2"/>
              <w:sz w:val="24"/>
              <w:szCs w:val="24"/>
              <w:lang w:eastAsia="en-AU"/>
              <w14:ligatures w14:val="standardContextual"/>
            </w:rPr>
          </w:pPr>
          <w:r>
            <w:t>F.3</w:t>
          </w:r>
          <w:r>
            <w:rPr>
              <w:rFonts w:eastAsiaTheme="minorEastAsia"/>
              <w:kern w:val="2"/>
              <w:sz w:val="24"/>
              <w:szCs w:val="24"/>
              <w:lang w:eastAsia="en-AU"/>
              <w14:ligatures w14:val="standardContextual"/>
            </w:rPr>
            <w:tab/>
          </w:r>
          <w:r>
            <w:t>Some family income compositions are more common than others</w:t>
          </w:r>
          <w:r>
            <w:rPr>
              <w:webHidden/>
            </w:rPr>
            <w:tab/>
          </w:r>
          <w:r>
            <w:rPr>
              <w:webHidden/>
            </w:rPr>
            <w:fldChar w:fldCharType="begin"/>
          </w:r>
          <w:r>
            <w:rPr>
              <w:webHidden/>
            </w:rPr>
            <w:instrText xml:space="preserve"> PAGEREF _Toc172213592 \h </w:instrText>
          </w:r>
          <w:r>
            <w:rPr>
              <w:webHidden/>
            </w:rPr>
          </w:r>
          <w:r>
            <w:rPr>
              <w:webHidden/>
            </w:rPr>
            <w:fldChar w:fldCharType="separate"/>
          </w:r>
          <w:r w:rsidR="00BA5CB1">
            <w:rPr>
              <w:webHidden/>
            </w:rPr>
            <w:t>126</w:t>
          </w:r>
          <w:r>
            <w:rPr>
              <w:webHidden/>
            </w:rPr>
            <w:fldChar w:fldCharType="end"/>
          </w:r>
        </w:p>
        <w:p w14:paraId="1C026D1C" w14:textId="3DC35454" w:rsidR="004E388B" w:rsidRDefault="004E388B">
          <w:pPr>
            <w:pStyle w:val="TOC2"/>
            <w:rPr>
              <w:rFonts w:eastAsiaTheme="minorEastAsia"/>
              <w:kern w:val="2"/>
              <w:sz w:val="24"/>
              <w:szCs w:val="24"/>
              <w:lang w:eastAsia="en-AU"/>
              <w14:ligatures w14:val="standardContextual"/>
            </w:rPr>
          </w:pPr>
          <w:r>
            <w:t>F.4</w:t>
          </w:r>
          <w:r>
            <w:rPr>
              <w:rFonts w:eastAsiaTheme="minorEastAsia"/>
              <w:kern w:val="2"/>
              <w:sz w:val="24"/>
              <w:szCs w:val="24"/>
              <w:lang w:eastAsia="en-AU"/>
              <w14:ligatures w14:val="standardContextual"/>
            </w:rPr>
            <w:tab/>
          </w:r>
          <w:r>
            <w:t>Families’ actual incomes also vary</w:t>
          </w:r>
          <w:r>
            <w:rPr>
              <w:webHidden/>
            </w:rPr>
            <w:tab/>
          </w:r>
          <w:r>
            <w:rPr>
              <w:webHidden/>
            </w:rPr>
            <w:fldChar w:fldCharType="begin"/>
          </w:r>
          <w:r>
            <w:rPr>
              <w:webHidden/>
            </w:rPr>
            <w:instrText xml:space="preserve"> PAGEREF _Toc172213593 \h </w:instrText>
          </w:r>
          <w:r>
            <w:rPr>
              <w:webHidden/>
            </w:rPr>
          </w:r>
          <w:r>
            <w:rPr>
              <w:webHidden/>
            </w:rPr>
            <w:fldChar w:fldCharType="separate"/>
          </w:r>
          <w:r w:rsidR="00BA5CB1">
            <w:rPr>
              <w:webHidden/>
            </w:rPr>
            <w:t>130</w:t>
          </w:r>
          <w:r>
            <w:rPr>
              <w:webHidden/>
            </w:rPr>
            <w:fldChar w:fldCharType="end"/>
          </w:r>
        </w:p>
        <w:p w14:paraId="24209E7F" w14:textId="16E954CC"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_Toc172213594 \h </w:instrText>
          </w:r>
          <w:r>
            <w:rPr>
              <w:webHidden/>
            </w:rPr>
          </w:r>
          <w:r>
            <w:rPr>
              <w:webHidden/>
            </w:rPr>
            <w:fldChar w:fldCharType="separate"/>
          </w:r>
          <w:r w:rsidR="00BA5CB1">
            <w:rPr>
              <w:webHidden/>
            </w:rPr>
            <w:t>131</w:t>
          </w:r>
          <w:r>
            <w:rPr>
              <w:webHidden/>
            </w:rPr>
            <w:fldChar w:fldCharType="end"/>
          </w:r>
        </w:p>
        <w:p w14:paraId="126D2104" w14:textId="54081D60" w:rsidR="004E388B" w:rsidRDefault="004E388B">
          <w:pPr>
            <w:pStyle w:val="TOC1"/>
            <w:rPr>
              <w:rFonts w:eastAsiaTheme="minorEastAsia" w:cstheme="minorBidi"/>
              <w:b w:val="0"/>
              <w:bCs w:val="0"/>
              <w:kern w:val="2"/>
              <w:sz w:val="24"/>
              <w:szCs w:val="24"/>
              <w:lang w:eastAsia="en-AU"/>
              <w14:ligatures w14:val="standardContextual"/>
            </w:rPr>
          </w:pPr>
          <w:r>
            <w:t>G.</w:t>
          </w:r>
          <w:r>
            <w:rPr>
              <w:rFonts w:eastAsiaTheme="minorEastAsia" w:cstheme="minorBidi"/>
              <w:b w:val="0"/>
              <w:bCs w:val="0"/>
              <w:kern w:val="2"/>
              <w:sz w:val="24"/>
              <w:szCs w:val="24"/>
              <w:lang w:eastAsia="en-AU"/>
              <w14:ligatures w14:val="standardContextual"/>
            </w:rPr>
            <w:tab/>
          </w:r>
          <w:r>
            <w:t>Modelling of labour supply and ECEC demand</w:t>
          </w:r>
          <w:r>
            <w:rPr>
              <w:webHidden/>
            </w:rPr>
            <w:tab/>
          </w:r>
          <w:r>
            <w:rPr>
              <w:webHidden/>
            </w:rPr>
            <w:fldChar w:fldCharType="begin"/>
          </w:r>
          <w:r>
            <w:rPr>
              <w:webHidden/>
            </w:rPr>
            <w:instrText xml:space="preserve"> PAGEREF _Toc172213595 \h </w:instrText>
          </w:r>
          <w:r>
            <w:rPr>
              <w:webHidden/>
            </w:rPr>
          </w:r>
          <w:r>
            <w:rPr>
              <w:webHidden/>
            </w:rPr>
            <w:fldChar w:fldCharType="separate"/>
          </w:r>
          <w:r w:rsidR="00BA5CB1">
            <w:rPr>
              <w:webHidden/>
            </w:rPr>
            <w:t>133</w:t>
          </w:r>
          <w:r>
            <w:rPr>
              <w:webHidden/>
            </w:rPr>
            <w:fldChar w:fldCharType="end"/>
          </w:r>
        </w:p>
        <w:p w14:paraId="7F9856BD" w14:textId="1CEA4A8E" w:rsidR="004E388B" w:rsidRDefault="004E388B">
          <w:pPr>
            <w:pStyle w:val="TOC2"/>
            <w:rPr>
              <w:rFonts w:eastAsiaTheme="minorEastAsia"/>
              <w:kern w:val="2"/>
              <w:sz w:val="24"/>
              <w:szCs w:val="24"/>
              <w:lang w:eastAsia="en-AU"/>
              <w14:ligatures w14:val="standardContextual"/>
            </w:rPr>
          </w:pPr>
          <w:r>
            <w:t>G.1</w:t>
          </w:r>
          <w:r>
            <w:rPr>
              <w:rFonts w:eastAsiaTheme="minorEastAsia"/>
              <w:kern w:val="2"/>
              <w:sz w:val="24"/>
              <w:szCs w:val="24"/>
              <w:lang w:eastAsia="en-AU"/>
              <w14:ligatures w14:val="standardContextual"/>
            </w:rPr>
            <w:tab/>
          </w:r>
          <w:r>
            <w:t>Why behavioural microsimulation modelling?</w:t>
          </w:r>
          <w:r>
            <w:rPr>
              <w:webHidden/>
            </w:rPr>
            <w:tab/>
          </w:r>
          <w:r>
            <w:rPr>
              <w:webHidden/>
            </w:rPr>
            <w:fldChar w:fldCharType="begin"/>
          </w:r>
          <w:r>
            <w:rPr>
              <w:webHidden/>
            </w:rPr>
            <w:instrText xml:space="preserve"> PAGEREF _Toc172213596 \h </w:instrText>
          </w:r>
          <w:r>
            <w:rPr>
              <w:webHidden/>
            </w:rPr>
          </w:r>
          <w:r>
            <w:rPr>
              <w:webHidden/>
            </w:rPr>
            <w:fldChar w:fldCharType="separate"/>
          </w:r>
          <w:r w:rsidR="00BA5CB1">
            <w:rPr>
              <w:webHidden/>
            </w:rPr>
            <w:t>133</w:t>
          </w:r>
          <w:r>
            <w:rPr>
              <w:webHidden/>
            </w:rPr>
            <w:fldChar w:fldCharType="end"/>
          </w:r>
        </w:p>
        <w:p w14:paraId="12448B05" w14:textId="67A0B98E" w:rsidR="004E388B" w:rsidRDefault="004E388B">
          <w:pPr>
            <w:pStyle w:val="TOC2"/>
            <w:rPr>
              <w:rFonts w:eastAsiaTheme="minorEastAsia"/>
              <w:kern w:val="2"/>
              <w:sz w:val="24"/>
              <w:szCs w:val="24"/>
              <w:lang w:eastAsia="en-AU"/>
              <w14:ligatures w14:val="standardContextual"/>
            </w:rPr>
          </w:pPr>
          <w:r>
            <w:t>G.2</w:t>
          </w:r>
          <w:r>
            <w:rPr>
              <w:rFonts w:eastAsiaTheme="minorEastAsia"/>
              <w:kern w:val="2"/>
              <w:sz w:val="24"/>
              <w:szCs w:val="24"/>
              <w:lang w:eastAsia="en-AU"/>
              <w14:ligatures w14:val="standardContextual"/>
            </w:rPr>
            <w:tab/>
          </w:r>
          <w:r>
            <w:t>CAPITA</w:t>
          </w:r>
          <w:r>
            <w:noBreakHyphen/>
            <w:t>B with ECEC</w:t>
          </w:r>
          <w:r>
            <w:rPr>
              <w:webHidden/>
            </w:rPr>
            <w:tab/>
          </w:r>
          <w:r>
            <w:rPr>
              <w:webHidden/>
            </w:rPr>
            <w:fldChar w:fldCharType="begin"/>
          </w:r>
          <w:r>
            <w:rPr>
              <w:webHidden/>
            </w:rPr>
            <w:instrText xml:space="preserve"> PAGEREF _Toc172213597 \h </w:instrText>
          </w:r>
          <w:r>
            <w:rPr>
              <w:webHidden/>
            </w:rPr>
          </w:r>
          <w:r>
            <w:rPr>
              <w:webHidden/>
            </w:rPr>
            <w:fldChar w:fldCharType="separate"/>
          </w:r>
          <w:r w:rsidR="00BA5CB1">
            <w:rPr>
              <w:webHidden/>
            </w:rPr>
            <w:t>134</w:t>
          </w:r>
          <w:r>
            <w:rPr>
              <w:webHidden/>
            </w:rPr>
            <w:fldChar w:fldCharType="end"/>
          </w:r>
        </w:p>
        <w:p w14:paraId="6A960A1E" w14:textId="17F259F3" w:rsidR="004E388B" w:rsidRDefault="004E388B">
          <w:pPr>
            <w:pStyle w:val="TOC2"/>
            <w:rPr>
              <w:rFonts w:eastAsiaTheme="minorEastAsia"/>
              <w:kern w:val="2"/>
              <w:sz w:val="24"/>
              <w:szCs w:val="24"/>
              <w:lang w:eastAsia="en-AU"/>
              <w14:ligatures w14:val="standardContextual"/>
            </w:rPr>
          </w:pPr>
          <w:r>
            <w:t>G.3</w:t>
          </w:r>
          <w:r>
            <w:rPr>
              <w:rFonts w:eastAsiaTheme="minorEastAsia"/>
              <w:kern w:val="2"/>
              <w:sz w:val="24"/>
              <w:szCs w:val="24"/>
              <w:lang w:eastAsia="en-AU"/>
              <w14:ligatures w14:val="standardContextual"/>
            </w:rPr>
            <w:tab/>
          </w:r>
          <w:r>
            <w:t>Wage imputation approach</w:t>
          </w:r>
          <w:r>
            <w:rPr>
              <w:webHidden/>
            </w:rPr>
            <w:tab/>
          </w:r>
          <w:r>
            <w:rPr>
              <w:webHidden/>
            </w:rPr>
            <w:fldChar w:fldCharType="begin"/>
          </w:r>
          <w:r>
            <w:rPr>
              <w:webHidden/>
            </w:rPr>
            <w:instrText xml:space="preserve"> PAGEREF _Toc172213598 \h </w:instrText>
          </w:r>
          <w:r>
            <w:rPr>
              <w:webHidden/>
            </w:rPr>
          </w:r>
          <w:r>
            <w:rPr>
              <w:webHidden/>
            </w:rPr>
            <w:fldChar w:fldCharType="separate"/>
          </w:r>
          <w:r w:rsidR="00BA5CB1">
            <w:rPr>
              <w:webHidden/>
            </w:rPr>
            <w:t>141</w:t>
          </w:r>
          <w:r>
            <w:rPr>
              <w:webHidden/>
            </w:rPr>
            <w:fldChar w:fldCharType="end"/>
          </w:r>
        </w:p>
        <w:p w14:paraId="190F0FCC" w14:textId="664F07A7" w:rsidR="004E388B" w:rsidRDefault="004E388B">
          <w:pPr>
            <w:pStyle w:val="TOC2"/>
            <w:rPr>
              <w:rFonts w:eastAsiaTheme="minorEastAsia"/>
              <w:kern w:val="2"/>
              <w:sz w:val="24"/>
              <w:szCs w:val="24"/>
              <w:lang w:eastAsia="en-AU"/>
              <w14:ligatures w14:val="standardContextual"/>
            </w:rPr>
          </w:pPr>
          <w:r>
            <w:t>G.4</w:t>
          </w:r>
          <w:r>
            <w:rPr>
              <w:rFonts w:eastAsiaTheme="minorEastAsia"/>
              <w:kern w:val="2"/>
              <w:sz w:val="24"/>
              <w:szCs w:val="24"/>
              <w:lang w:eastAsia="en-AU"/>
              <w14:ligatures w14:val="standardContextual"/>
            </w:rPr>
            <w:tab/>
          </w:r>
          <w:r>
            <w:t>Labour supply and formal care modelling approach</w:t>
          </w:r>
          <w:r>
            <w:rPr>
              <w:webHidden/>
            </w:rPr>
            <w:tab/>
          </w:r>
          <w:r>
            <w:rPr>
              <w:webHidden/>
            </w:rPr>
            <w:fldChar w:fldCharType="begin"/>
          </w:r>
          <w:r>
            <w:rPr>
              <w:webHidden/>
            </w:rPr>
            <w:instrText xml:space="preserve"> PAGEREF _Toc172213599 \h </w:instrText>
          </w:r>
          <w:r>
            <w:rPr>
              <w:webHidden/>
            </w:rPr>
          </w:r>
          <w:r>
            <w:rPr>
              <w:webHidden/>
            </w:rPr>
            <w:fldChar w:fldCharType="separate"/>
          </w:r>
          <w:r w:rsidR="00BA5CB1">
            <w:rPr>
              <w:webHidden/>
            </w:rPr>
            <w:t>149</w:t>
          </w:r>
          <w:r>
            <w:rPr>
              <w:webHidden/>
            </w:rPr>
            <w:fldChar w:fldCharType="end"/>
          </w:r>
        </w:p>
        <w:p w14:paraId="71DDB1FD" w14:textId="016A9194" w:rsidR="004E388B" w:rsidRDefault="004E388B">
          <w:pPr>
            <w:pStyle w:val="TOC2"/>
            <w:rPr>
              <w:rFonts w:eastAsiaTheme="minorEastAsia"/>
              <w:kern w:val="2"/>
              <w:sz w:val="24"/>
              <w:szCs w:val="24"/>
              <w:lang w:eastAsia="en-AU"/>
              <w14:ligatures w14:val="standardContextual"/>
            </w:rPr>
          </w:pPr>
          <w:r>
            <w:t>G.5</w:t>
          </w:r>
          <w:r>
            <w:rPr>
              <w:rFonts w:eastAsiaTheme="minorEastAsia"/>
              <w:kern w:val="2"/>
              <w:sz w:val="24"/>
              <w:szCs w:val="24"/>
              <w:lang w:eastAsia="en-AU"/>
              <w14:ligatures w14:val="standardContextual"/>
            </w:rPr>
            <w:tab/>
          </w:r>
          <w:r>
            <w:t>Results of simulated changes to ECEC subsidies</w:t>
          </w:r>
          <w:r>
            <w:rPr>
              <w:webHidden/>
            </w:rPr>
            <w:tab/>
          </w:r>
          <w:r>
            <w:rPr>
              <w:webHidden/>
            </w:rPr>
            <w:fldChar w:fldCharType="begin"/>
          </w:r>
          <w:r>
            <w:rPr>
              <w:webHidden/>
            </w:rPr>
            <w:instrText xml:space="preserve"> PAGEREF _Toc172213600 \h </w:instrText>
          </w:r>
          <w:r>
            <w:rPr>
              <w:webHidden/>
            </w:rPr>
          </w:r>
          <w:r>
            <w:rPr>
              <w:webHidden/>
            </w:rPr>
            <w:fldChar w:fldCharType="separate"/>
          </w:r>
          <w:r w:rsidR="00BA5CB1">
            <w:rPr>
              <w:webHidden/>
            </w:rPr>
            <w:t>158</w:t>
          </w:r>
          <w:r>
            <w:rPr>
              <w:webHidden/>
            </w:rPr>
            <w:fldChar w:fldCharType="end"/>
          </w:r>
        </w:p>
        <w:p w14:paraId="61022F8B" w14:textId="1A3D3C17" w:rsidR="004E388B" w:rsidRDefault="004E388B">
          <w:pPr>
            <w:pStyle w:val="TOC2"/>
            <w:rPr>
              <w:rFonts w:eastAsiaTheme="minorEastAsia"/>
              <w:kern w:val="2"/>
              <w:sz w:val="24"/>
              <w:szCs w:val="24"/>
              <w:lang w:eastAsia="en-AU"/>
              <w14:ligatures w14:val="standardContextual"/>
            </w:rPr>
          </w:pPr>
          <w:r>
            <w:t>G.6</w:t>
          </w:r>
          <w:r>
            <w:rPr>
              <w:rFonts w:eastAsiaTheme="minorEastAsia"/>
              <w:kern w:val="2"/>
              <w:sz w:val="24"/>
              <w:szCs w:val="24"/>
              <w:lang w:eastAsia="en-AU"/>
              <w14:ligatures w14:val="standardContextual"/>
            </w:rPr>
            <w:tab/>
          </w:r>
          <w:r>
            <w:t>Confidence intervals</w:t>
          </w:r>
          <w:r>
            <w:rPr>
              <w:webHidden/>
            </w:rPr>
            <w:tab/>
          </w:r>
          <w:r>
            <w:rPr>
              <w:webHidden/>
            </w:rPr>
            <w:fldChar w:fldCharType="begin"/>
          </w:r>
          <w:r>
            <w:rPr>
              <w:webHidden/>
            </w:rPr>
            <w:instrText xml:space="preserve"> PAGEREF _Toc172213601 \h </w:instrText>
          </w:r>
          <w:r>
            <w:rPr>
              <w:webHidden/>
            </w:rPr>
          </w:r>
          <w:r>
            <w:rPr>
              <w:webHidden/>
            </w:rPr>
            <w:fldChar w:fldCharType="separate"/>
          </w:r>
          <w:r w:rsidR="00BA5CB1">
            <w:rPr>
              <w:webHidden/>
            </w:rPr>
            <w:t>169</w:t>
          </w:r>
          <w:r>
            <w:rPr>
              <w:webHidden/>
            </w:rPr>
            <w:fldChar w:fldCharType="end"/>
          </w:r>
        </w:p>
        <w:p w14:paraId="2BE6D26C" w14:textId="68FF4904" w:rsidR="004E388B" w:rsidRDefault="004E388B">
          <w:pPr>
            <w:pStyle w:val="TOC2"/>
            <w:rPr>
              <w:rFonts w:eastAsiaTheme="minorEastAsia"/>
              <w:kern w:val="2"/>
              <w:sz w:val="24"/>
              <w:szCs w:val="24"/>
              <w:lang w:eastAsia="en-AU"/>
              <w14:ligatures w14:val="standardContextual"/>
            </w:rPr>
          </w:pPr>
          <w:r>
            <w:t>G.7</w:t>
          </w:r>
          <w:r>
            <w:rPr>
              <w:rFonts w:eastAsiaTheme="minorEastAsia"/>
              <w:kern w:val="2"/>
              <w:sz w:val="24"/>
              <w:szCs w:val="24"/>
              <w:lang w:eastAsia="en-AU"/>
              <w14:ligatures w14:val="standardContextual"/>
            </w:rPr>
            <w:tab/>
          </w:r>
          <w:r>
            <w:t>CAPITA</w:t>
          </w:r>
          <w:r>
            <w:noBreakHyphen/>
            <w:t>B with ECEC – technical background information</w:t>
          </w:r>
          <w:r>
            <w:rPr>
              <w:webHidden/>
            </w:rPr>
            <w:tab/>
          </w:r>
          <w:r>
            <w:rPr>
              <w:webHidden/>
            </w:rPr>
            <w:fldChar w:fldCharType="begin"/>
          </w:r>
          <w:r>
            <w:rPr>
              <w:webHidden/>
            </w:rPr>
            <w:instrText xml:space="preserve"> PAGEREF _Toc172213602 \h </w:instrText>
          </w:r>
          <w:r>
            <w:rPr>
              <w:webHidden/>
            </w:rPr>
          </w:r>
          <w:r>
            <w:rPr>
              <w:webHidden/>
            </w:rPr>
            <w:fldChar w:fldCharType="separate"/>
          </w:r>
          <w:r w:rsidR="00BA5CB1">
            <w:rPr>
              <w:webHidden/>
            </w:rPr>
            <w:t>171</w:t>
          </w:r>
          <w:r>
            <w:rPr>
              <w:webHidden/>
            </w:rPr>
            <w:fldChar w:fldCharType="end"/>
          </w:r>
        </w:p>
        <w:p w14:paraId="5123346D" w14:textId="4F1FDE62"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_Toc172213603 \h </w:instrText>
          </w:r>
          <w:r>
            <w:rPr>
              <w:webHidden/>
            </w:rPr>
          </w:r>
          <w:r>
            <w:rPr>
              <w:webHidden/>
            </w:rPr>
            <w:fldChar w:fldCharType="separate"/>
          </w:r>
          <w:r w:rsidR="00BA5CB1">
            <w:rPr>
              <w:webHidden/>
            </w:rPr>
            <w:t>178</w:t>
          </w:r>
          <w:r>
            <w:rPr>
              <w:webHidden/>
            </w:rPr>
            <w:fldChar w:fldCharType="end"/>
          </w:r>
        </w:p>
        <w:p w14:paraId="4E9F2678" w14:textId="52CA5A72" w:rsidR="004E388B" w:rsidRDefault="004E388B">
          <w:pPr>
            <w:pStyle w:val="TOC1"/>
            <w:rPr>
              <w:rFonts w:eastAsiaTheme="minorEastAsia" w:cstheme="minorBidi"/>
              <w:b w:val="0"/>
              <w:bCs w:val="0"/>
              <w:kern w:val="2"/>
              <w:sz w:val="24"/>
              <w:szCs w:val="24"/>
              <w:lang w:eastAsia="en-AU"/>
              <w14:ligatures w14:val="standardContextual"/>
            </w:rPr>
          </w:pPr>
          <w:r>
            <w:t>H.</w:t>
          </w:r>
          <w:r>
            <w:rPr>
              <w:rFonts w:eastAsiaTheme="minorEastAsia" w:cstheme="minorBidi"/>
              <w:b w:val="0"/>
              <w:bCs w:val="0"/>
              <w:kern w:val="2"/>
              <w:sz w:val="24"/>
              <w:szCs w:val="24"/>
              <w:lang w:eastAsia="en-AU"/>
              <w14:ligatures w14:val="standardContextual"/>
            </w:rPr>
            <w:tab/>
          </w:r>
          <w:r>
            <w:t>Children’s outcomes literature</w:t>
          </w:r>
          <w:r>
            <w:rPr>
              <w:webHidden/>
            </w:rPr>
            <w:tab/>
          </w:r>
          <w:r>
            <w:rPr>
              <w:webHidden/>
            </w:rPr>
            <w:fldChar w:fldCharType="begin"/>
          </w:r>
          <w:r>
            <w:rPr>
              <w:webHidden/>
            </w:rPr>
            <w:instrText xml:space="preserve"> PAGEREF _Toc172213604 \h </w:instrText>
          </w:r>
          <w:r>
            <w:rPr>
              <w:webHidden/>
            </w:rPr>
          </w:r>
          <w:r>
            <w:rPr>
              <w:webHidden/>
            </w:rPr>
            <w:fldChar w:fldCharType="separate"/>
          </w:r>
          <w:r w:rsidR="00BA5CB1">
            <w:rPr>
              <w:webHidden/>
            </w:rPr>
            <w:t>179</w:t>
          </w:r>
          <w:r>
            <w:rPr>
              <w:webHidden/>
            </w:rPr>
            <w:fldChar w:fldCharType="end"/>
          </w:r>
        </w:p>
        <w:p w14:paraId="4A93A083" w14:textId="75102643" w:rsidR="004E388B" w:rsidRDefault="004E388B">
          <w:pPr>
            <w:pStyle w:val="TOC2"/>
            <w:rPr>
              <w:rFonts w:eastAsiaTheme="minorEastAsia"/>
              <w:kern w:val="2"/>
              <w:sz w:val="24"/>
              <w:szCs w:val="24"/>
              <w:lang w:eastAsia="en-AU"/>
              <w14:ligatures w14:val="standardContextual"/>
            </w:rPr>
          </w:pPr>
          <w:r>
            <w:t>H.1</w:t>
          </w:r>
          <w:r>
            <w:rPr>
              <w:rFonts w:eastAsiaTheme="minorEastAsia"/>
              <w:kern w:val="2"/>
              <w:sz w:val="24"/>
              <w:szCs w:val="24"/>
              <w:lang w:eastAsia="en-AU"/>
              <w14:ligatures w14:val="standardContextual"/>
            </w:rPr>
            <w:tab/>
          </w:r>
          <w:r>
            <w:t>Background</w:t>
          </w:r>
          <w:r>
            <w:rPr>
              <w:webHidden/>
            </w:rPr>
            <w:tab/>
          </w:r>
          <w:r>
            <w:rPr>
              <w:webHidden/>
            </w:rPr>
            <w:fldChar w:fldCharType="begin"/>
          </w:r>
          <w:r>
            <w:rPr>
              <w:webHidden/>
            </w:rPr>
            <w:instrText xml:space="preserve"> PAGEREF _Toc172213605 \h </w:instrText>
          </w:r>
          <w:r>
            <w:rPr>
              <w:webHidden/>
            </w:rPr>
          </w:r>
          <w:r>
            <w:rPr>
              <w:webHidden/>
            </w:rPr>
            <w:fldChar w:fldCharType="separate"/>
          </w:r>
          <w:r w:rsidR="00BA5CB1">
            <w:rPr>
              <w:webHidden/>
            </w:rPr>
            <w:t>179</w:t>
          </w:r>
          <w:r>
            <w:rPr>
              <w:webHidden/>
            </w:rPr>
            <w:fldChar w:fldCharType="end"/>
          </w:r>
        </w:p>
        <w:p w14:paraId="1C81900B" w14:textId="0A4E4590" w:rsidR="004E388B" w:rsidRDefault="004E388B">
          <w:pPr>
            <w:pStyle w:val="TOC2"/>
            <w:rPr>
              <w:rFonts w:eastAsiaTheme="minorEastAsia"/>
              <w:kern w:val="2"/>
              <w:sz w:val="24"/>
              <w:szCs w:val="24"/>
              <w:lang w:eastAsia="en-AU"/>
              <w14:ligatures w14:val="standardContextual"/>
            </w:rPr>
          </w:pPr>
          <w:r>
            <w:t>H.2</w:t>
          </w:r>
          <w:r>
            <w:rPr>
              <w:rFonts w:eastAsiaTheme="minorEastAsia"/>
              <w:kern w:val="2"/>
              <w:sz w:val="24"/>
              <w:szCs w:val="24"/>
              <w:lang w:eastAsia="en-AU"/>
              <w14:ligatures w14:val="standardContextual"/>
            </w:rPr>
            <w:tab/>
          </w:r>
          <w:r>
            <w:t>Tables of studies</w:t>
          </w:r>
          <w:r>
            <w:rPr>
              <w:webHidden/>
            </w:rPr>
            <w:tab/>
          </w:r>
          <w:r>
            <w:rPr>
              <w:webHidden/>
            </w:rPr>
            <w:fldChar w:fldCharType="begin"/>
          </w:r>
          <w:r>
            <w:rPr>
              <w:webHidden/>
            </w:rPr>
            <w:instrText xml:space="preserve"> PAGEREF _Toc172213606 \h </w:instrText>
          </w:r>
          <w:r>
            <w:rPr>
              <w:webHidden/>
            </w:rPr>
          </w:r>
          <w:r>
            <w:rPr>
              <w:webHidden/>
            </w:rPr>
            <w:fldChar w:fldCharType="separate"/>
          </w:r>
          <w:r w:rsidR="00BA5CB1">
            <w:rPr>
              <w:webHidden/>
            </w:rPr>
            <w:t>186</w:t>
          </w:r>
          <w:r>
            <w:rPr>
              <w:webHidden/>
            </w:rPr>
            <w:fldChar w:fldCharType="end"/>
          </w:r>
        </w:p>
        <w:p w14:paraId="317FB04B" w14:textId="678E3A90" w:rsidR="004E388B" w:rsidRDefault="004E388B">
          <w:pPr>
            <w:pStyle w:val="TOC2"/>
            <w:rPr>
              <w:rFonts w:eastAsiaTheme="minorEastAsia"/>
              <w:kern w:val="2"/>
              <w:sz w:val="24"/>
              <w:szCs w:val="24"/>
              <w:lang w:eastAsia="en-AU"/>
              <w14:ligatures w14:val="standardContextual"/>
            </w:rPr>
          </w:pPr>
          <w:r>
            <w:t>References</w:t>
          </w:r>
          <w:r>
            <w:rPr>
              <w:webHidden/>
            </w:rPr>
            <w:tab/>
          </w:r>
          <w:r>
            <w:rPr>
              <w:webHidden/>
            </w:rPr>
            <w:fldChar w:fldCharType="begin"/>
          </w:r>
          <w:r>
            <w:rPr>
              <w:webHidden/>
            </w:rPr>
            <w:instrText xml:space="preserve"> PAGEREF _Toc172213607 \h </w:instrText>
          </w:r>
          <w:r>
            <w:rPr>
              <w:webHidden/>
            </w:rPr>
          </w:r>
          <w:r>
            <w:rPr>
              <w:webHidden/>
            </w:rPr>
            <w:fldChar w:fldCharType="separate"/>
          </w:r>
          <w:r w:rsidR="00BA5CB1">
            <w:rPr>
              <w:webHidden/>
            </w:rPr>
            <w:t>212</w:t>
          </w:r>
          <w:r>
            <w:rPr>
              <w:webHidden/>
            </w:rPr>
            <w:fldChar w:fldCharType="end"/>
          </w:r>
        </w:p>
        <w:p w14:paraId="6A4D3D16" w14:textId="0A9AECDD" w:rsidR="0009753B" w:rsidRDefault="0009753B" w:rsidP="0009753B">
          <w:pPr>
            <w:rPr>
              <w:bCs/>
              <w:noProof/>
            </w:rPr>
          </w:pPr>
          <w:r>
            <w:rPr>
              <w:sz w:val="18"/>
            </w:rPr>
            <w:fldChar w:fldCharType="end"/>
          </w:r>
        </w:p>
      </w:sdtContent>
    </w:sdt>
    <w:p w14:paraId="54291226" w14:textId="77777777" w:rsidR="00376491" w:rsidRDefault="00376491" w:rsidP="000F4488">
      <w:pPr>
        <w:pStyle w:val="BodyText"/>
      </w:pPr>
    </w:p>
    <w:p w14:paraId="48842A16" w14:textId="77777777" w:rsidR="002F00CC" w:rsidRDefault="002F00CC" w:rsidP="00823B3B">
      <w:pPr>
        <w:pStyle w:val="BodyText"/>
        <w:sectPr w:rsidR="002F00CC" w:rsidSect="00322C6D">
          <w:headerReference w:type="even" r:id="rId22"/>
          <w:headerReference w:type="default" r:id="rId23"/>
          <w:headerReference w:type="first" r:id="rId24"/>
          <w:footnotePr>
            <w:numRestart w:val="eachSect"/>
          </w:footnotePr>
          <w:pgSz w:w="11906" w:h="16838" w:code="9"/>
          <w:pgMar w:top="1134" w:right="1134" w:bottom="1134" w:left="1134" w:header="794" w:footer="510" w:gutter="0"/>
          <w:pgNumType w:fmt="lowerRoman"/>
          <w:cols w:space="708"/>
          <w:docGrid w:linePitch="360"/>
        </w:sectPr>
      </w:pPr>
    </w:p>
    <w:p w14:paraId="5DBFD302" w14:textId="2809BD37" w:rsidR="00BA4F92" w:rsidRDefault="00BA4F92" w:rsidP="00882158">
      <w:pPr>
        <w:pStyle w:val="Heading-Appendix"/>
      </w:pPr>
      <w:bookmarkStart w:id="4" w:name="_Toc172213566"/>
      <w:r>
        <w:lastRenderedPageBreak/>
        <w:t xml:space="preserve">Public </w:t>
      </w:r>
      <w:r w:rsidR="002771AE">
        <w:t>c</w:t>
      </w:r>
      <w:r>
        <w:t>onsultation</w:t>
      </w:r>
      <w:bookmarkEnd w:id="4"/>
    </w:p>
    <w:p w14:paraId="230ED2F6" w14:textId="77777777" w:rsidR="00BA4F92" w:rsidRDefault="00BA4F92" w:rsidP="00882158">
      <w:pPr>
        <w:pStyle w:val="BodyText"/>
      </w:pPr>
      <w:r>
        <w:t>This appendix outlines the consultation process undertaken and lists the organisations and individuals who participated in the Inquiry.</w:t>
      </w:r>
    </w:p>
    <w:p w14:paraId="0ABFFC0A" w14:textId="2C39B9E3" w:rsidR="00BA4F92" w:rsidRDefault="00BA4F92" w:rsidP="00882158">
      <w:pPr>
        <w:pStyle w:val="BodyText"/>
      </w:pPr>
      <w:r>
        <w:t>The Commission received the terms of reference for this inquiry on 9 February 2023. A call for submissions was released on 13 March 2023 inviting public submissions and brief comments. The draft report was released on 23 November 2023, and further submissions and brief comments were sought.</w:t>
      </w:r>
    </w:p>
    <w:p w14:paraId="0234C8DA" w14:textId="3BBD2746" w:rsidR="00BA4F92" w:rsidRDefault="00BA4F92" w:rsidP="00882158">
      <w:pPr>
        <w:pStyle w:val="BodyText"/>
      </w:pPr>
      <w:r>
        <w:t xml:space="preserve">In total, 329 submissions were received (table A.1) and 272 brief comments. The submissions and brief comments are available at: </w:t>
      </w:r>
      <w:hyperlink r:id="rId25" w:history="1">
        <w:r w:rsidRPr="00B35BDC">
          <w:rPr>
            <w:color w:val="0000FF"/>
            <w:u w:val="single"/>
          </w:rPr>
          <w:t xml:space="preserve">View submissions and brief comments </w:t>
        </w:r>
        <w:r w:rsidR="003930D2">
          <w:rPr>
            <w:color w:val="0000FF"/>
            <w:u w:val="single"/>
          </w:rPr>
          <w:t>–</w:t>
        </w:r>
        <w:r w:rsidRPr="00B35BDC">
          <w:rPr>
            <w:color w:val="0000FF"/>
            <w:u w:val="single"/>
          </w:rPr>
          <w:t xml:space="preserve"> Early Childhood Education and Care </w:t>
        </w:r>
        <w:r w:rsidR="003930D2">
          <w:rPr>
            <w:color w:val="0000FF"/>
            <w:u w:val="single"/>
          </w:rPr>
          <w:t>–</w:t>
        </w:r>
        <w:r w:rsidRPr="00B35BDC">
          <w:rPr>
            <w:color w:val="0000FF"/>
            <w:u w:val="single"/>
          </w:rPr>
          <w:t xml:space="preserve"> Productivity Commission (pc.gov.au)</w:t>
        </w:r>
      </w:hyperlink>
      <w:r>
        <w:t>.</w:t>
      </w:r>
    </w:p>
    <w:p w14:paraId="3E0A1608" w14:textId="220187F3" w:rsidR="00BA4F92" w:rsidRDefault="00BA4F92" w:rsidP="00882158">
      <w:pPr>
        <w:pStyle w:val="BodyText"/>
      </w:pPr>
      <w:r>
        <w:t>During the inquiry, the Commission held consultations (table A.2), roundtables (table A.3) and public hearings online and in-person (table A.4) with early childhood education and care (ECEC) services, educators and early childhood teachers, in addition to families who attend ECEC services, unions, advocacy groups, academics and researchers.</w:t>
      </w:r>
    </w:p>
    <w:p w14:paraId="23FC0BA6" w14:textId="50CBB1A9" w:rsidR="00BA4F92" w:rsidRDefault="00BA4F92" w:rsidP="00882158">
      <w:pPr>
        <w:pStyle w:val="BodyText"/>
      </w:pPr>
      <w:r>
        <w:t>The Commission would like to thank everyone who participated in this inquiry.</w:t>
      </w:r>
    </w:p>
    <w:p w14:paraId="1757A883" w14:textId="77777777" w:rsidR="00BA4F92" w:rsidRDefault="00BA4F92">
      <w:pPr>
        <w:spacing w:before="0" w:after="160" w:line="259" w:lineRule="auto"/>
      </w:pPr>
      <w:r>
        <w:br w:type="page"/>
      </w:r>
    </w:p>
    <w:p w14:paraId="18E86ED4" w14:textId="4812848F" w:rsidR="00BA4F92" w:rsidRDefault="00BA4F92" w:rsidP="00882158">
      <w:pPr>
        <w:pStyle w:val="FigureTableHeading"/>
      </w:pPr>
      <w:r>
        <w:lastRenderedPageBreak/>
        <w:t xml:space="preserve">Table </w:t>
      </w:r>
      <w:r w:rsidR="003F7D9B">
        <w:t>A.1</w:t>
      </w:r>
      <w:r>
        <w:rPr>
          <w:noProof/>
        </w:rPr>
        <w:t xml:space="preserve"> – </w:t>
      </w:r>
      <w:r>
        <w:t>Submissions</w:t>
      </w:r>
    </w:p>
    <w:tbl>
      <w:tblPr>
        <w:tblW w:w="5000" w:type="pct"/>
        <w:tblBorders>
          <w:bottom w:val="single" w:sz="4" w:space="0" w:color="B3B3B3"/>
        </w:tblBorders>
        <w:shd w:val="clear" w:color="000000" w:fill="auto"/>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123"/>
        <w:gridCol w:w="1515"/>
      </w:tblGrid>
      <w:tr w:rsidR="00BA4F92" w:rsidRPr="003F0303" w14:paraId="6A1594FC" w14:textId="77777777" w:rsidTr="00556714">
        <w:trPr>
          <w:tblHeader/>
        </w:trPr>
        <w:tc>
          <w:tcPr>
            <w:tcW w:w="4214" w:type="pct"/>
            <w:tcBorders>
              <w:bottom w:val="single" w:sz="4" w:space="0" w:color="B3B3B3"/>
            </w:tcBorders>
            <w:shd w:val="clear" w:color="000000" w:fill="auto"/>
            <w:vAlign w:val="bottom"/>
          </w:tcPr>
          <w:p w14:paraId="27F06833" w14:textId="458476EA" w:rsidR="00BA4F92" w:rsidRPr="003F0303" w:rsidRDefault="00BA4F92" w:rsidP="00882158">
            <w:pPr>
              <w:spacing w:before="45" w:after="45"/>
              <w:ind w:left="57" w:right="108"/>
              <w:rPr>
                <w:rFonts w:ascii="Arial (Body)" w:hAnsi="Arial (Body)"/>
                <w:b/>
                <w:color w:val="265A9A"/>
                <w:sz w:val="18"/>
              </w:rPr>
            </w:pPr>
            <w:r w:rsidRPr="003F0303">
              <w:rPr>
                <w:rFonts w:ascii="Arial (Body)" w:hAnsi="Arial (Body)"/>
                <w:b/>
                <w:bCs/>
                <w:color w:val="265A9A"/>
                <w:sz w:val="18"/>
              </w:rPr>
              <w:br w:type="page"/>
            </w:r>
            <w:r w:rsidRPr="003F0303">
              <w:rPr>
                <w:rFonts w:ascii="Arial (Body)" w:hAnsi="Arial (Body)"/>
                <w:b/>
                <w:color w:val="265A9A"/>
                <w:sz w:val="18"/>
              </w:rPr>
              <w:t>Participant</w:t>
            </w:r>
            <w:r w:rsidR="0072342A">
              <w:rPr>
                <w:rFonts w:ascii="Arial (Body)" w:hAnsi="Arial (Body)"/>
                <w:b/>
                <w:color w:val="265A9A"/>
                <w:sz w:val="18"/>
              </w:rPr>
              <w:t>s</w:t>
            </w:r>
          </w:p>
        </w:tc>
        <w:tc>
          <w:tcPr>
            <w:tcW w:w="786" w:type="pct"/>
            <w:tcBorders>
              <w:bottom w:val="single" w:sz="4" w:space="0" w:color="B3B3B3"/>
            </w:tcBorders>
            <w:shd w:val="clear" w:color="000000" w:fill="auto"/>
            <w:vAlign w:val="bottom"/>
          </w:tcPr>
          <w:p w14:paraId="4CDA344F" w14:textId="3E6A11CE" w:rsidR="00BA4F92" w:rsidRPr="003F0303" w:rsidRDefault="00BA4F92" w:rsidP="00882158">
            <w:pPr>
              <w:pStyle w:val="TableHeading"/>
              <w:spacing w:before="45" w:after="45"/>
              <w:ind w:left="0" w:right="108"/>
              <w:jc w:val="right"/>
              <w:rPr>
                <w:rFonts w:ascii="Arial (Body)" w:hAnsi="Arial (Body)"/>
                <w:color w:val="265A9A"/>
              </w:rPr>
            </w:pPr>
            <w:r w:rsidRPr="003F0303">
              <w:rPr>
                <w:rFonts w:ascii="Arial (Body)" w:hAnsi="Arial (Body)"/>
                <w:color w:val="265A9A"/>
              </w:rPr>
              <w:t>Submission</w:t>
            </w:r>
            <w:r w:rsidR="0072342A">
              <w:rPr>
                <w:rFonts w:ascii="Arial (Body)" w:hAnsi="Arial (Body)"/>
                <w:color w:val="265A9A"/>
              </w:rPr>
              <w:t xml:space="preserve"> no.</w:t>
            </w:r>
          </w:p>
        </w:tc>
      </w:tr>
      <w:tr w:rsidR="00BA4F92" w:rsidRPr="003F0303" w14:paraId="3E2CD383" w14:textId="77777777" w:rsidTr="00556714">
        <w:tc>
          <w:tcPr>
            <w:tcW w:w="4214" w:type="pct"/>
            <w:tcBorders>
              <w:top w:val="single" w:sz="4" w:space="0" w:color="B3B3B3"/>
              <w:bottom w:val="nil"/>
            </w:tcBorders>
            <w:shd w:val="clear" w:color="000000" w:fill="F2F2F2"/>
          </w:tcPr>
          <w:p w14:paraId="59018307"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1</w:t>
            </w:r>
            <w:r w:rsidRPr="00D01C74">
              <w:rPr>
                <w:rFonts w:ascii="Arial (Body)" w:hAnsi="Arial (Body)"/>
                <w:b w:val="0"/>
                <w:color w:val="auto"/>
              </w:rPr>
              <w:t>st</w:t>
            </w:r>
            <w:r w:rsidRPr="004C6294">
              <w:rPr>
                <w:rFonts w:ascii="Arial (Body)" w:hAnsi="Arial (Body)"/>
                <w:b w:val="0"/>
                <w:bCs/>
                <w:color w:val="auto"/>
              </w:rPr>
              <w:t xml:space="preserve"> Impressions Early Learning Centre</w:t>
            </w:r>
          </w:p>
        </w:tc>
        <w:tc>
          <w:tcPr>
            <w:tcW w:w="786" w:type="pct"/>
            <w:tcBorders>
              <w:top w:val="single" w:sz="4" w:space="0" w:color="B3B3B3"/>
              <w:bottom w:val="nil"/>
            </w:tcBorders>
            <w:shd w:val="clear" w:color="000000" w:fill="F2F2F2"/>
          </w:tcPr>
          <w:p w14:paraId="2A0C8A9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91</w:t>
            </w:r>
          </w:p>
        </w:tc>
      </w:tr>
      <w:tr w:rsidR="00BA4F92" w:rsidRPr="003F0303" w14:paraId="16CD2AA7" w14:textId="77777777" w:rsidTr="00556714">
        <w:tc>
          <w:tcPr>
            <w:tcW w:w="4214" w:type="pct"/>
            <w:tcBorders>
              <w:top w:val="nil"/>
              <w:bottom w:val="nil"/>
            </w:tcBorders>
            <w:shd w:val="clear" w:color="000000" w:fill="auto"/>
          </w:tcPr>
          <w:p w14:paraId="58BB2593"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Academy of Social Sciences in Australia</w:t>
            </w:r>
          </w:p>
        </w:tc>
        <w:tc>
          <w:tcPr>
            <w:tcW w:w="786" w:type="pct"/>
            <w:tcBorders>
              <w:top w:val="nil"/>
              <w:bottom w:val="nil"/>
            </w:tcBorders>
            <w:shd w:val="clear" w:color="000000" w:fill="auto"/>
          </w:tcPr>
          <w:p w14:paraId="1E9D623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116</w:t>
            </w:r>
          </w:p>
        </w:tc>
      </w:tr>
      <w:tr w:rsidR="00BA4F92" w:rsidRPr="003F0303" w14:paraId="256E96EA" w14:textId="77777777" w:rsidTr="00556714">
        <w:tc>
          <w:tcPr>
            <w:tcW w:w="4214" w:type="pct"/>
            <w:tcBorders>
              <w:bottom w:val="nil"/>
            </w:tcBorders>
            <w:shd w:val="clear" w:color="000000" w:fill="F2F2F2"/>
          </w:tcPr>
          <w:p w14:paraId="57EA0043"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ACT Government</w:t>
            </w:r>
          </w:p>
        </w:tc>
        <w:tc>
          <w:tcPr>
            <w:tcW w:w="786" w:type="pct"/>
            <w:tcBorders>
              <w:bottom w:val="nil"/>
            </w:tcBorders>
            <w:shd w:val="clear" w:color="000000" w:fill="F2F2F2"/>
          </w:tcPr>
          <w:p w14:paraId="4719020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27</w:t>
            </w:r>
          </w:p>
        </w:tc>
      </w:tr>
      <w:tr w:rsidR="00BA4F92" w:rsidRPr="003F0303" w14:paraId="6A43EF1C" w14:textId="77777777" w:rsidTr="00556714">
        <w:tc>
          <w:tcPr>
            <w:tcW w:w="4214" w:type="pct"/>
            <w:tcBorders>
              <w:top w:val="nil"/>
              <w:bottom w:val="nil"/>
            </w:tcBorders>
            <w:shd w:val="clear" w:color="000000" w:fill="auto"/>
          </w:tcPr>
          <w:p w14:paraId="1EA04B7A"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AGJ Businesses Pty Ltd</w:t>
            </w:r>
          </w:p>
        </w:tc>
        <w:tc>
          <w:tcPr>
            <w:tcW w:w="786" w:type="pct"/>
            <w:tcBorders>
              <w:top w:val="nil"/>
              <w:bottom w:val="nil"/>
            </w:tcBorders>
            <w:shd w:val="clear" w:color="000000" w:fill="auto"/>
          </w:tcPr>
          <w:p w14:paraId="067C513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w:t>
            </w:r>
          </w:p>
        </w:tc>
      </w:tr>
      <w:tr w:rsidR="00BA4F92" w:rsidRPr="003F0303" w14:paraId="04C3EE94" w14:textId="77777777" w:rsidTr="00556714">
        <w:tc>
          <w:tcPr>
            <w:tcW w:w="4214" w:type="pct"/>
            <w:tcBorders>
              <w:bottom w:val="nil"/>
            </w:tcBorders>
            <w:shd w:val="clear" w:color="000000" w:fill="F2F2F2"/>
          </w:tcPr>
          <w:p w14:paraId="4B39005B"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Alannah and Madeline Foundation</w:t>
            </w:r>
          </w:p>
        </w:tc>
        <w:tc>
          <w:tcPr>
            <w:tcW w:w="786" w:type="pct"/>
            <w:tcBorders>
              <w:bottom w:val="nil"/>
            </w:tcBorders>
            <w:shd w:val="clear" w:color="000000" w:fill="F2F2F2"/>
          </w:tcPr>
          <w:p w14:paraId="64CF6E3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53, 192</w:t>
            </w:r>
          </w:p>
        </w:tc>
      </w:tr>
      <w:tr w:rsidR="00BA4F92" w:rsidRPr="003F0303" w14:paraId="7594EC25" w14:textId="77777777" w:rsidTr="00556714">
        <w:tc>
          <w:tcPr>
            <w:tcW w:w="4214" w:type="pct"/>
            <w:tcBorders>
              <w:top w:val="nil"/>
              <w:bottom w:val="nil"/>
            </w:tcBorders>
            <w:shd w:val="clear" w:color="000000" w:fill="auto"/>
          </w:tcPr>
          <w:p w14:paraId="6BA458E3"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Albury Preschool</w:t>
            </w:r>
          </w:p>
        </w:tc>
        <w:tc>
          <w:tcPr>
            <w:tcW w:w="786" w:type="pct"/>
            <w:tcBorders>
              <w:top w:val="nil"/>
              <w:bottom w:val="nil"/>
            </w:tcBorders>
            <w:shd w:val="clear" w:color="000000" w:fill="auto"/>
          </w:tcPr>
          <w:p w14:paraId="1AF2F45A"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43</w:t>
            </w:r>
          </w:p>
        </w:tc>
      </w:tr>
      <w:tr w:rsidR="00BA4F92" w:rsidRPr="003F0303" w14:paraId="7785C128" w14:textId="77777777" w:rsidTr="00556714">
        <w:tc>
          <w:tcPr>
            <w:tcW w:w="4214" w:type="pct"/>
            <w:tcBorders>
              <w:bottom w:val="nil"/>
            </w:tcBorders>
            <w:shd w:val="clear" w:color="000000" w:fill="F2F2F2"/>
          </w:tcPr>
          <w:p w14:paraId="6D344445"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Allanson, Dr Susie</w:t>
            </w:r>
          </w:p>
        </w:tc>
        <w:tc>
          <w:tcPr>
            <w:tcW w:w="786" w:type="pct"/>
            <w:tcBorders>
              <w:bottom w:val="nil"/>
            </w:tcBorders>
            <w:shd w:val="clear" w:color="000000" w:fill="F2F2F2"/>
          </w:tcPr>
          <w:p w14:paraId="092BFC9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180</w:t>
            </w:r>
          </w:p>
        </w:tc>
      </w:tr>
      <w:tr w:rsidR="00BA4F92" w:rsidRPr="003F0303" w14:paraId="491F70A7" w14:textId="77777777" w:rsidTr="00556714">
        <w:tc>
          <w:tcPr>
            <w:tcW w:w="4214" w:type="pct"/>
            <w:tcBorders>
              <w:top w:val="nil"/>
              <w:bottom w:val="nil"/>
            </w:tcBorders>
            <w:shd w:val="clear" w:color="000000" w:fill="auto"/>
          </w:tcPr>
          <w:p w14:paraId="61502459"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Ananda-Rajah, Dr Michelle</w:t>
            </w:r>
          </w:p>
        </w:tc>
        <w:tc>
          <w:tcPr>
            <w:tcW w:w="786" w:type="pct"/>
            <w:tcBorders>
              <w:top w:val="nil"/>
              <w:bottom w:val="nil"/>
            </w:tcBorders>
            <w:shd w:val="clear" w:color="000000" w:fill="auto"/>
          </w:tcPr>
          <w:p w14:paraId="5A8F5E3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269</w:t>
            </w:r>
          </w:p>
        </w:tc>
      </w:tr>
      <w:tr w:rsidR="00BA4F92" w:rsidRPr="003F0303" w14:paraId="71DD6F07" w14:textId="77777777" w:rsidTr="00556714">
        <w:tc>
          <w:tcPr>
            <w:tcW w:w="4214" w:type="pct"/>
            <w:tcBorders>
              <w:bottom w:val="nil"/>
            </w:tcBorders>
            <w:shd w:val="clear" w:color="000000" w:fill="F2F2F2"/>
          </w:tcPr>
          <w:p w14:paraId="5631815F"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Anonymous</w:t>
            </w:r>
          </w:p>
        </w:tc>
        <w:tc>
          <w:tcPr>
            <w:tcW w:w="786" w:type="pct"/>
            <w:tcBorders>
              <w:bottom w:val="nil"/>
            </w:tcBorders>
            <w:shd w:val="clear" w:color="000000" w:fill="F2F2F2"/>
          </w:tcPr>
          <w:p w14:paraId="443CF70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260</w:t>
            </w:r>
          </w:p>
        </w:tc>
      </w:tr>
      <w:tr w:rsidR="00BA4F92" w:rsidRPr="003F0303" w14:paraId="290F2A00" w14:textId="77777777" w:rsidTr="00556714">
        <w:tc>
          <w:tcPr>
            <w:tcW w:w="4214" w:type="pct"/>
            <w:tcBorders>
              <w:top w:val="nil"/>
              <w:bottom w:val="nil"/>
            </w:tcBorders>
            <w:shd w:val="clear" w:color="000000" w:fill="auto"/>
          </w:tcPr>
          <w:p w14:paraId="56F9552E"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Association for Children with a Disability</w:t>
            </w:r>
          </w:p>
        </w:tc>
        <w:tc>
          <w:tcPr>
            <w:tcW w:w="786" w:type="pct"/>
            <w:tcBorders>
              <w:top w:val="nil"/>
              <w:bottom w:val="nil"/>
            </w:tcBorders>
            <w:shd w:val="clear" w:color="000000" w:fill="auto"/>
          </w:tcPr>
          <w:p w14:paraId="3645A67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78</w:t>
            </w:r>
          </w:p>
        </w:tc>
      </w:tr>
      <w:tr w:rsidR="00BA4F92" w:rsidRPr="003F0303" w14:paraId="444AB1C2" w14:textId="77777777" w:rsidTr="00556714">
        <w:tc>
          <w:tcPr>
            <w:tcW w:w="4214" w:type="pct"/>
            <w:tcBorders>
              <w:bottom w:val="nil"/>
            </w:tcBorders>
            <w:shd w:val="clear" w:color="000000" w:fill="F2F2F2"/>
          </w:tcPr>
          <w:p w14:paraId="45CAF986"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Association of Graduates in Early Childhood Studies (AGECS)</w:t>
            </w:r>
          </w:p>
        </w:tc>
        <w:tc>
          <w:tcPr>
            <w:tcW w:w="786" w:type="pct"/>
            <w:tcBorders>
              <w:bottom w:val="nil"/>
            </w:tcBorders>
            <w:shd w:val="clear" w:color="000000" w:fill="F2F2F2"/>
          </w:tcPr>
          <w:p w14:paraId="16D3540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208</w:t>
            </w:r>
          </w:p>
        </w:tc>
      </w:tr>
      <w:tr w:rsidR="00BA4F92" w:rsidRPr="003F0303" w14:paraId="1F04EBE7" w14:textId="77777777" w:rsidTr="00556714">
        <w:tc>
          <w:tcPr>
            <w:tcW w:w="4214" w:type="pct"/>
            <w:tcBorders>
              <w:top w:val="nil"/>
              <w:bottom w:val="nil"/>
            </w:tcBorders>
            <w:shd w:val="clear" w:color="000000" w:fill="auto"/>
          </w:tcPr>
          <w:p w14:paraId="009241F0"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Childcare Alliance (ACA)</w:t>
            </w:r>
          </w:p>
        </w:tc>
        <w:tc>
          <w:tcPr>
            <w:tcW w:w="786" w:type="pct"/>
            <w:tcBorders>
              <w:top w:val="nil"/>
              <w:bottom w:val="nil"/>
            </w:tcBorders>
            <w:shd w:val="clear" w:color="000000" w:fill="auto"/>
          </w:tcPr>
          <w:p w14:paraId="05F83B3B"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150, 255</w:t>
            </w:r>
          </w:p>
        </w:tc>
      </w:tr>
      <w:tr w:rsidR="00BA4F92" w:rsidRPr="003F0303" w14:paraId="6B241CDB" w14:textId="77777777" w:rsidTr="00556714">
        <w:tc>
          <w:tcPr>
            <w:tcW w:w="4214" w:type="pct"/>
            <w:tcBorders>
              <w:bottom w:val="nil"/>
            </w:tcBorders>
            <w:shd w:val="clear" w:color="000000" w:fill="F2F2F2"/>
          </w:tcPr>
          <w:p w14:paraId="1ADAB500"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Australia’s Leading Home Care Agency</w:t>
            </w:r>
          </w:p>
        </w:tc>
        <w:tc>
          <w:tcPr>
            <w:tcW w:w="786" w:type="pct"/>
            <w:tcBorders>
              <w:bottom w:val="nil"/>
            </w:tcBorders>
            <w:shd w:val="clear" w:color="000000" w:fill="F2F2F2"/>
          </w:tcPr>
          <w:p w14:paraId="535E7E6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167, 179</w:t>
            </w:r>
          </w:p>
        </w:tc>
      </w:tr>
      <w:tr w:rsidR="00BA4F92" w:rsidRPr="003F0303" w14:paraId="12F6E962" w14:textId="77777777" w:rsidTr="00556714">
        <w:tc>
          <w:tcPr>
            <w:tcW w:w="4214" w:type="pct"/>
            <w:tcBorders>
              <w:top w:val="nil"/>
              <w:bottom w:val="nil"/>
            </w:tcBorders>
            <w:shd w:val="clear" w:color="000000" w:fill="auto"/>
          </w:tcPr>
          <w:p w14:paraId="6373E136" w14:textId="77777777" w:rsidR="00BA4F92" w:rsidRPr="00270F35" w:rsidRDefault="00BA4F92" w:rsidP="00882158">
            <w:pPr>
              <w:pStyle w:val="TableHeading"/>
              <w:spacing w:before="45" w:after="45"/>
              <w:ind w:right="108"/>
              <w:rPr>
                <w:rFonts w:ascii="Arial (Body)" w:hAnsi="Arial (Body)"/>
                <w:b w:val="0"/>
                <w:color w:val="auto"/>
              </w:rPr>
            </w:pPr>
            <w:r w:rsidRPr="004C6294">
              <w:rPr>
                <w:rFonts w:ascii="Arial (Body)" w:hAnsi="Arial (Body)"/>
                <w:b w:val="0"/>
                <w:bCs/>
                <w:color w:val="auto"/>
              </w:rPr>
              <w:t>Australian Children’s Education and Care Quality Authority (ACECQA)</w:t>
            </w:r>
          </w:p>
        </w:tc>
        <w:tc>
          <w:tcPr>
            <w:tcW w:w="786" w:type="pct"/>
            <w:tcBorders>
              <w:top w:val="nil"/>
              <w:bottom w:val="nil"/>
            </w:tcBorders>
            <w:shd w:val="clear" w:color="000000" w:fill="auto"/>
          </w:tcPr>
          <w:p w14:paraId="6F93C4E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6, 256</w:t>
            </w:r>
          </w:p>
        </w:tc>
      </w:tr>
      <w:tr w:rsidR="00BA4F92" w:rsidRPr="003F0303" w14:paraId="454005B3" w14:textId="77777777" w:rsidTr="00556714">
        <w:tc>
          <w:tcPr>
            <w:tcW w:w="4214" w:type="pct"/>
            <w:tcBorders>
              <w:bottom w:val="nil"/>
            </w:tcBorders>
            <w:shd w:val="clear" w:color="000000" w:fill="F2F2F2"/>
          </w:tcPr>
          <w:p w14:paraId="2563FF16"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Council of State Schools Organisations Ltd (ACSSO)</w:t>
            </w:r>
          </w:p>
        </w:tc>
        <w:tc>
          <w:tcPr>
            <w:tcW w:w="786" w:type="pct"/>
            <w:tcBorders>
              <w:bottom w:val="nil"/>
            </w:tcBorders>
            <w:shd w:val="clear" w:color="000000" w:fill="F2F2F2"/>
          </w:tcPr>
          <w:p w14:paraId="083DC87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115</w:t>
            </w:r>
            <w:r w:rsidRPr="00D01C74">
              <w:rPr>
                <w:rFonts w:ascii="Arial (Body)" w:hAnsi="Arial (Body)"/>
                <w:bCs/>
                <w:color w:val="000000"/>
              </w:rPr>
              <w:t>, 283</w:t>
            </w:r>
          </w:p>
        </w:tc>
      </w:tr>
      <w:tr w:rsidR="00BA4F92" w:rsidRPr="003F0303" w14:paraId="128EC2C0" w14:textId="77777777" w:rsidTr="00556714">
        <w:tc>
          <w:tcPr>
            <w:tcW w:w="4214" w:type="pct"/>
            <w:tcBorders>
              <w:top w:val="nil"/>
              <w:bottom w:val="nil"/>
            </w:tcBorders>
            <w:shd w:val="clear" w:color="000000" w:fill="auto"/>
          </w:tcPr>
          <w:p w14:paraId="44276BA9"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Council of TESOL Associations (ACTA)</w:t>
            </w:r>
          </w:p>
        </w:tc>
        <w:tc>
          <w:tcPr>
            <w:tcW w:w="786" w:type="pct"/>
            <w:tcBorders>
              <w:top w:val="nil"/>
              <w:bottom w:val="nil"/>
            </w:tcBorders>
            <w:shd w:val="clear" w:color="000000" w:fill="auto"/>
          </w:tcPr>
          <w:p w14:paraId="3759FEB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74, 199</w:t>
            </w:r>
          </w:p>
        </w:tc>
      </w:tr>
      <w:tr w:rsidR="00BA4F92" w:rsidRPr="003F0303" w14:paraId="282D0144" w14:textId="77777777" w:rsidTr="00556714">
        <w:tc>
          <w:tcPr>
            <w:tcW w:w="4214" w:type="pct"/>
            <w:tcBorders>
              <w:bottom w:val="nil"/>
            </w:tcBorders>
            <w:shd w:val="clear" w:color="000000" w:fill="F2F2F2"/>
          </w:tcPr>
          <w:p w14:paraId="09D1FFAB"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Early Childhood Teacher Education Network (AECTEN)</w:t>
            </w:r>
          </w:p>
        </w:tc>
        <w:tc>
          <w:tcPr>
            <w:tcW w:w="786" w:type="pct"/>
            <w:tcBorders>
              <w:bottom w:val="nil"/>
            </w:tcBorders>
            <w:shd w:val="clear" w:color="000000" w:fill="F2F2F2"/>
          </w:tcPr>
          <w:p w14:paraId="5849F44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106</w:t>
            </w:r>
          </w:p>
        </w:tc>
      </w:tr>
      <w:tr w:rsidR="00BA4F92" w:rsidRPr="003F0303" w14:paraId="21141C2C" w14:textId="77777777" w:rsidTr="00556714">
        <w:tc>
          <w:tcPr>
            <w:tcW w:w="4214" w:type="pct"/>
            <w:tcBorders>
              <w:top w:val="nil"/>
              <w:bottom w:val="nil"/>
            </w:tcBorders>
            <w:shd w:val="clear" w:color="000000" w:fill="auto"/>
          </w:tcPr>
          <w:p w14:paraId="61964D64"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Education Research Organisation (AERO)</w:t>
            </w:r>
          </w:p>
        </w:tc>
        <w:tc>
          <w:tcPr>
            <w:tcW w:w="786" w:type="pct"/>
            <w:tcBorders>
              <w:top w:val="nil"/>
              <w:bottom w:val="nil"/>
            </w:tcBorders>
            <w:shd w:val="clear" w:color="000000" w:fill="auto"/>
          </w:tcPr>
          <w:p w14:paraId="5E23DE4D"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137, 248</w:t>
            </w:r>
          </w:p>
        </w:tc>
      </w:tr>
      <w:tr w:rsidR="00BA4F92" w:rsidRPr="003F0303" w14:paraId="21B4AE58" w14:textId="77777777" w:rsidTr="00556714">
        <w:tc>
          <w:tcPr>
            <w:tcW w:w="4214" w:type="pct"/>
            <w:tcBorders>
              <w:bottom w:val="nil"/>
            </w:tcBorders>
            <w:shd w:val="clear" w:color="000000" w:fill="F2F2F2"/>
          </w:tcPr>
          <w:p w14:paraId="1B89828D"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Education Union (AEU)</w:t>
            </w:r>
          </w:p>
        </w:tc>
        <w:tc>
          <w:tcPr>
            <w:tcW w:w="786" w:type="pct"/>
            <w:tcBorders>
              <w:bottom w:val="nil"/>
            </w:tcBorders>
            <w:shd w:val="clear" w:color="000000" w:fill="F2F2F2"/>
          </w:tcPr>
          <w:p w14:paraId="0562286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144</w:t>
            </w:r>
          </w:p>
        </w:tc>
      </w:tr>
      <w:tr w:rsidR="00BA4F92" w:rsidRPr="003F0303" w14:paraId="52ACE366" w14:textId="77777777" w:rsidTr="00556714">
        <w:tc>
          <w:tcPr>
            <w:tcW w:w="4214" w:type="pct"/>
            <w:tcBorders>
              <w:top w:val="nil"/>
              <w:bottom w:val="nil"/>
            </w:tcBorders>
            <w:shd w:val="clear" w:color="000000" w:fill="auto"/>
          </w:tcPr>
          <w:p w14:paraId="2B911EEA"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Australian Government Department of Education </w:t>
            </w:r>
          </w:p>
        </w:tc>
        <w:tc>
          <w:tcPr>
            <w:tcW w:w="786" w:type="pct"/>
            <w:tcBorders>
              <w:top w:val="nil"/>
              <w:bottom w:val="nil"/>
            </w:tcBorders>
            <w:shd w:val="clear" w:color="000000" w:fill="auto"/>
          </w:tcPr>
          <w:p w14:paraId="795BD2A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90</w:t>
            </w:r>
          </w:p>
        </w:tc>
      </w:tr>
      <w:tr w:rsidR="00BA4F92" w:rsidRPr="003F0303" w14:paraId="00922380" w14:textId="77777777" w:rsidTr="00556714">
        <w:tc>
          <w:tcPr>
            <w:tcW w:w="4214" w:type="pct"/>
            <w:tcBorders>
              <w:bottom w:val="nil"/>
            </w:tcBorders>
            <w:shd w:val="clear" w:color="000000" w:fill="F2F2F2"/>
          </w:tcPr>
          <w:p w14:paraId="4D9CA9C7"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Industry Group (Ai Group)</w:t>
            </w:r>
          </w:p>
        </w:tc>
        <w:tc>
          <w:tcPr>
            <w:tcW w:w="786" w:type="pct"/>
            <w:tcBorders>
              <w:bottom w:val="nil"/>
            </w:tcBorders>
            <w:shd w:val="clear" w:color="000000" w:fill="F2F2F2"/>
          </w:tcPr>
          <w:p w14:paraId="0E2A1C7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126</w:t>
            </w:r>
          </w:p>
        </w:tc>
      </w:tr>
      <w:tr w:rsidR="00BA4F92" w:rsidRPr="003F0303" w14:paraId="6BB00DAC" w14:textId="77777777" w:rsidTr="00556714">
        <w:tc>
          <w:tcPr>
            <w:tcW w:w="4214" w:type="pct"/>
            <w:tcBorders>
              <w:top w:val="nil"/>
              <w:bottom w:val="nil"/>
            </w:tcBorders>
            <w:shd w:val="clear" w:color="000000" w:fill="auto"/>
          </w:tcPr>
          <w:p w14:paraId="01689010"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Institute for Teaching and School Leadership (AITSL)</w:t>
            </w:r>
          </w:p>
        </w:tc>
        <w:tc>
          <w:tcPr>
            <w:tcW w:w="786" w:type="pct"/>
            <w:tcBorders>
              <w:top w:val="nil"/>
              <w:bottom w:val="nil"/>
            </w:tcBorders>
            <w:shd w:val="clear" w:color="000000" w:fill="auto"/>
          </w:tcPr>
          <w:p w14:paraId="236B6FE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86, 198</w:t>
            </w:r>
          </w:p>
        </w:tc>
      </w:tr>
      <w:tr w:rsidR="00BA4F92" w:rsidRPr="003F0303" w14:paraId="43BE9D36" w14:textId="77777777" w:rsidTr="00556714">
        <w:tc>
          <w:tcPr>
            <w:tcW w:w="4214" w:type="pct"/>
            <w:tcBorders>
              <w:bottom w:val="nil"/>
            </w:tcBorders>
            <w:shd w:val="clear" w:color="000000" w:fill="F2F2F2"/>
          </w:tcPr>
          <w:p w14:paraId="5C09657F"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Institute of Family Studies (AIFS)</w:t>
            </w:r>
          </w:p>
        </w:tc>
        <w:tc>
          <w:tcPr>
            <w:tcW w:w="786" w:type="pct"/>
            <w:tcBorders>
              <w:bottom w:val="nil"/>
            </w:tcBorders>
            <w:shd w:val="clear" w:color="000000" w:fill="F2F2F2"/>
          </w:tcPr>
          <w:p w14:paraId="6F87B1D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76</w:t>
            </w:r>
          </w:p>
        </w:tc>
      </w:tr>
      <w:tr w:rsidR="00BA4F92" w:rsidRPr="003F0303" w14:paraId="0DCD529D" w14:textId="77777777" w:rsidTr="00556714">
        <w:tc>
          <w:tcPr>
            <w:tcW w:w="4214" w:type="pct"/>
            <w:tcBorders>
              <w:top w:val="nil"/>
              <w:bottom w:val="nil"/>
            </w:tcBorders>
            <w:shd w:val="clear" w:color="000000" w:fill="auto"/>
          </w:tcPr>
          <w:p w14:paraId="02A1F045"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Literacy and Numeracy Foundation (ALNF)</w:t>
            </w:r>
          </w:p>
        </w:tc>
        <w:tc>
          <w:tcPr>
            <w:tcW w:w="786" w:type="pct"/>
            <w:tcBorders>
              <w:top w:val="nil"/>
              <w:bottom w:val="nil"/>
            </w:tcBorders>
            <w:shd w:val="clear" w:color="000000" w:fill="auto"/>
          </w:tcPr>
          <w:p w14:paraId="198B3DC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211</w:t>
            </w:r>
          </w:p>
        </w:tc>
      </w:tr>
      <w:tr w:rsidR="00BA4F92" w:rsidRPr="003F0303" w14:paraId="79E2307A" w14:textId="77777777" w:rsidTr="00556714">
        <w:tc>
          <w:tcPr>
            <w:tcW w:w="4214" w:type="pct"/>
            <w:tcBorders>
              <w:bottom w:val="nil"/>
            </w:tcBorders>
            <w:shd w:val="clear" w:color="000000" w:fill="F2F2F2"/>
          </w:tcPr>
          <w:p w14:paraId="18E70351"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Multiple Birth Association</w:t>
            </w:r>
          </w:p>
        </w:tc>
        <w:tc>
          <w:tcPr>
            <w:tcW w:w="786" w:type="pct"/>
            <w:tcBorders>
              <w:bottom w:val="nil"/>
            </w:tcBorders>
            <w:shd w:val="clear" w:color="000000" w:fill="F2F2F2"/>
          </w:tcPr>
          <w:p w14:paraId="7176E95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165, 182</w:t>
            </w:r>
          </w:p>
        </w:tc>
      </w:tr>
      <w:tr w:rsidR="00BA4F92" w:rsidRPr="003F0303" w14:paraId="4E7A719D" w14:textId="77777777" w:rsidTr="00556714">
        <w:tc>
          <w:tcPr>
            <w:tcW w:w="4214" w:type="pct"/>
            <w:tcBorders>
              <w:top w:val="nil"/>
              <w:bottom w:val="nil"/>
            </w:tcBorders>
            <w:shd w:val="clear" w:color="000000" w:fill="auto"/>
          </w:tcPr>
          <w:p w14:paraId="756AA6FD"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Research Alliance for Children and Youth (ARACY)</w:t>
            </w:r>
          </w:p>
        </w:tc>
        <w:tc>
          <w:tcPr>
            <w:tcW w:w="786" w:type="pct"/>
            <w:tcBorders>
              <w:top w:val="nil"/>
              <w:bottom w:val="nil"/>
            </w:tcBorders>
            <w:shd w:val="clear" w:color="000000" w:fill="auto"/>
          </w:tcPr>
          <w:p w14:paraId="17951CB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107, 268</w:t>
            </w:r>
          </w:p>
        </w:tc>
      </w:tr>
      <w:tr w:rsidR="00BA4F92" w:rsidRPr="003F0303" w14:paraId="3E333086" w14:textId="77777777" w:rsidTr="00556714">
        <w:tc>
          <w:tcPr>
            <w:tcW w:w="4214" w:type="pct"/>
            <w:tcBorders>
              <w:bottom w:val="nil"/>
            </w:tcBorders>
            <w:shd w:val="clear" w:color="000000" w:fill="F2F2F2"/>
          </w:tcPr>
          <w:p w14:paraId="4A658088"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Australian Research Council Centre of Excellence for the Digital Child</w:t>
            </w:r>
          </w:p>
        </w:tc>
        <w:tc>
          <w:tcPr>
            <w:tcW w:w="786" w:type="pct"/>
            <w:tcBorders>
              <w:bottom w:val="nil"/>
            </w:tcBorders>
            <w:shd w:val="clear" w:color="000000" w:fill="F2F2F2"/>
          </w:tcPr>
          <w:p w14:paraId="3300BBD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67</w:t>
            </w:r>
          </w:p>
        </w:tc>
      </w:tr>
      <w:tr w:rsidR="00BA4F92" w:rsidRPr="003F0303" w14:paraId="33AA4116" w14:textId="77777777" w:rsidTr="00556714">
        <w:tc>
          <w:tcPr>
            <w:tcW w:w="4214" w:type="pct"/>
            <w:tcBorders>
              <w:top w:val="nil"/>
              <w:bottom w:val="nil"/>
            </w:tcBorders>
            <w:shd w:val="clear" w:color="000000" w:fill="auto"/>
          </w:tcPr>
          <w:p w14:paraId="4CD96377"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B4 Early Years Coalition Tasmania</w:t>
            </w:r>
          </w:p>
        </w:tc>
        <w:tc>
          <w:tcPr>
            <w:tcW w:w="786" w:type="pct"/>
            <w:tcBorders>
              <w:top w:val="nil"/>
              <w:bottom w:val="nil"/>
            </w:tcBorders>
            <w:shd w:val="clear" w:color="000000" w:fill="auto"/>
          </w:tcPr>
          <w:p w14:paraId="4AC99D7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55</w:t>
            </w:r>
          </w:p>
        </w:tc>
      </w:tr>
      <w:tr w:rsidR="00BA4F92" w:rsidRPr="003F0303" w14:paraId="51C561F5" w14:textId="77777777" w:rsidTr="00556714">
        <w:tc>
          <w:tcPr>
            <w:tcW w:w="4214" w:type="pct"/>
            <w:tcBorders>
              <w:bottom w:val="nil"/>
            </w:tcBorders>
            <w:shd w:val="clear" w:color="000000" w:fill="F2F2F2"/>
          </w:tcPr>
          <w:p w14:paraId="258FA995"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Bermagui Preschool </w:t>
            </w:r>
          </w:p>
        </w:tc>
        <w:tc>
          <w:tcPr>
            <w:tcW w:w="786" w:type="pct"/>
            <w:tcBorders>
              <w:bottom w:val="nil"/>
            </w:tcBorders>
            <w:shd w:val="clear" w:color="000000" w:fill="F2F2F2"/>
          </w:tcPr>
          <w:p w14:paraId="136982A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49</w:t>
            </w:r>
          </w:p>
        </w:tc>
      </w:tr>
      <w:tr w:rsidR="00BA4F92" w:rsidRPr="003F0303" w14:paraId="69AFACB9" w14:textId="77777777" w:rsidTr="00556714">
        <w:tc>
          <w:tcPr>
            <w:tcW w:w="4214" w:type="pct"/>
            <w:tcBorders>
              <w:top w:val="nil"/>
              <w:bottom w:val="nil"/>
            </w:tcBorders>
            <w:shd w:val="clear" w:color="000000" w:fill="auto"/>
          </w:tcPr>
          <w:p w14:paraId="1C4BDD6E"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Berry Cottage Childcare and Preschool</w:t>
            </w:r>
          </w:p>
        </w:tc>
        <w:tc>
          <w:tcPr>
            <w:tcW w:w="786" w:type="pct"/>
            <w:tcBorders>
              <w:top w:val="nil"/>
              <w:bottom w:val="nil"/>
            </w:tcBorders>
            <w:shd w:val="clear" w:color="000000" w:fill="auto"/>
          </w:tcPr>
          <w:p w14:paraId="257A8E3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141</w:t>
            </w:r>
          </w:p>
        </w:tc>
      </w:tr>
      <w:tr w:rsidR="00BA4F92" w:rsidRPr="003F0303" w14:paraId="4E9A8283" w14:textId="77777777" w:rsidTr="00556714">
        <w:tc>
          <w:tcPr>
            <w:tcW w:w="4214" w:type="pct"/>
            <w:tcBorders>
              <w:bottom w:val="nil"/>
            </w:tcBorders>
            <w:shd w:val="clear" w:color="000000" w:fill="F2F2F2"/>
          </w:tcPr>
          <w:p w14:paraId="13822AFF"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BHP</w:t>
            </w:r>
          </w:p>
        </w:tc>
        <w:tc>
          <w:tcPr>
            <w:tcW w:w="786" w:type="pct"/>
            <w:tcBorders>
              <w:bottom w:val="nil"/>
            </w:tcBorders>
            <w:shd w:val="clear" w:color="000000" w:fill="F2F2F2"/>
          </w:tcPr>
          <w:p w14:paraId="03B840C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136</w:t>
            </w:r>
          </w:p>
        </w:tc>
      </w:tr>
      <w:tr w:rsidR="00BA4F92" w:rsidRPr="003F0303" w14:paraId="32F82F38" w14:textId="77777777" w:rsidTr="00556714">
        <w:tc>
          <w:tcPr>
            <w:tcW w:w="4214" w:type="pct"/>
            <w:tcBorders>
              <w:top w:val="nil"/>
              <w:bottom w:val="nil"/>
            </w:tcBorders>
            <w:shd w:val="clear" w:color="000000" w:fill="auto"/>
          </w:tcPr>
          <w:p w14:paraId="188DC278"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Big Fat Smile</w:t>
            </w:r>
          </w:p>
        </w:tc>
        <w:tc>
          <w:tcPr>
            <w:tcW w:w="786" w:type="pct"/>
            <w:tcBorders>
              <w:top w:val="nil"/>
              <w:bottom w:val="nil"/>
            </w:tcBorders>
            <w:shd w:val="clear" w:color="000000" w:fill="auto"/>
          </w:tcPr>
          <w:p w14:paraId="116A382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120</w:t>
            </w:r>
          </w:p>
        </w:tc>
      </w:tr>
      <w:tr w:rsidR="00BA4F92" w:rsidRPr="003F0303" w14:paraId="1E0F2DA3" w14:textId="77777777" w:rsidTr="00556714">
        <w:tc>
          <w:tcPr>
            <w:tcW w:w="4214" w:type="pct"/>
            <w:tcBorders>
              <w:bottom w:val="nil"/>
            </w:tcBorders>
            <w:shd w:val="clear" w:color="000000" w:fill="F2F2F2"/>
          </w:tcPr>
          <w:p w14:paraId="76383A07"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Binarri-binyja yarrawoo Aboriginal Corporation (BBY)</w:t>
            </w:r>
          </w:p>
        </w:tc>
        <w:tc>
          <w:tcPr>
            <w:tcW w:w="786" w:type="pct"/>
            <w:tcBorders>
              <w:bottom w:val="nil"/>
            </w:tcBorders>
            <w:shd w:val="clear" w:color="000000" w:fill="F2F2F2"/>
          </w:tcPr>
          <w:p w14:paraId="661711B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85</w:t>
            </w:r>
          </w:p>
        </w:tc>
      </w:tr>
      <w:tr w:rsidR="00BA4F92" w:rsidRPr="003F0303" w14:paraId="67ED2FA0" w14:textId="77777777" w:rsidTr="00556714">
        <w:tc>
          <w:tcPr>
            <w:tcW w:w="4214" w:type="pct"/>
            <w:tcBorders>
              <w:top w:val="nil"/>
              <w:bottom w:val="nil"/>
            </w:tcBorders>
            <w:shd w:val="clear" w:color="000000" w:fill="auto"/>
          </w:tcPr>
          <w:p w14:paraId="47569ABC"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Black, Wayne</w:t>
            </w:r>
          </w:p>
        </w:tc>
        <w:tc>
          <w:tcPr>
            <w:tcW w:w="786" w:type="pct"/>
            <w:tcBorders>
              <w:top w:val="nil"/>
              <w:bottom w:val="nil"/>
            </w:tcBorders>
            <w:shd w:val="clear" w:color="000000" w:fill="auto"/>
          </w:tcPr>
          <w:p w14:paraId="607AF3F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258</w:t>
            </w:r>
          </w:p>
        </w:tc>
      </w:tr>
      <w:tr w:rsidR="00BA4F92" w:rsidRPr="003F0303" w14:paraId="493FDB9C" w14:textId="77777777" w:rsidTr="00556714">
        <w:tc>
          <w:tcPr>
            <w:tcW w:w="4214" w:type="pct"/>
            <w:tcBorders>
              <w:bottom w:val="nil"/>
            </w:tcBorders>
            <w:shd w:val="clear" w:color="000000" w:fill="F2F2F2"/>
          </w:tcPr>
          <w:p w14:paraId="11490D7B"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lastRenderedPageBreak/>
              <w:t>Blaxland, Megan and Skattebol, Jennifer</w:t>
            </w:r>
          </w:p>
        </w:tc>
        <w:tc>
          <w:tcPr>
            <w:tcW w:w="786" w:type="pct"/>
            <w:tcBorders>
              <w:bottom w:val="nil"/>
            </w:tcBorders>
            <w:shd w:val="clear" w:color="000000" w:fill="F2F2F2"/>
          </w:tcPr>
          <w:p w14:paraId="3A96E0E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233</w:t>
            </w:r>
          </w:p>
        </w:tc>
      </w:tr>
      <w:tr w:rsidR="00BA4F92" w:rsidRPr="003F0303" w14:paraId="77AB8194" w14:textId="77777777" w:rsidTr="00556714">
        <w:tc>
          <w:tcPr>
            <w:tcW w:w="4214" w:type="pct"/>
            <w:tcBorders>
              <w:top w:val="nil"/>
              <w:bottom w:val="nil"/>
            </w:tcBorders>
            <w:shd w:val="clear" w:color="000000" w:fill="auto"/>
          </w:tcPr>
          <w:p w14:paraId="31D8BEA6"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 xml:space="preserve">Borland, </w:t>
            </w:r>
            <w:r w:rsidRPr="00270F35">
              <w:rPr>
                <w:rFonts w:ascii="Arial (Body)" w:hAnsi="Arial (Body)"/>
                <w:b w:val="0"/>
                <w:bCs/>
                <w:color w:val="auto"/>
              </w:rPr>
              <w:t xml:space="preserve">Prof </w:t>
            </w:r>
            <w:r w:rsidRPr="00D26DA8">
              <w:rPr>
                <w:rFonts w:ascii="Arial (Body)" w:hAnsi="Arial (Body)"/>
                <w:b w:val="0"/>
                <w:bCs/>
                <w:color w:val="auto"/>
              </w:rPr>
              <w:t>Jeff</w:t>
            </w:r>
          </w:p>
        </w:tc>
        <w:tc>
          <w:tcPr>
            <w:tcW w:w="786" w:type="pct"/>
            <w:tcBorders>
              <w:top w:val="nil"/>
              <w:bottom w:val="nil"/>
            </w:tcBorders>
            <w:shd w:val="clear" w:color="000000" w:fill="auto"/>
          </w:tcPr>
          <w:p w14:paraId="6316AB0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94, 235</w:t>
            </w:r>
          </w:p>
        </w:tc>
      </w:tr>
      <w:tr w:rsidR="00BA4F92" w:rsidRPr="003F0303" w14:paraId="6F2BB1B7" w14:textId="77777777" w:rsidTr="00556714">
        <w:tc>
          <w:tcPr>
            <w:tcW w:w="4214" w:type="pct"/>
            <w:tcBorders>
              <w:bottom w:val="nil"/>
            </w:tcBorders>
            <w:shd w:val="clear" w:color="000000" w:fill="F2F2F2"/>
          </w:tcPr>
          <w:p w14:paraId="099715C3"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Bray, Dr Rob</w:t>
            </w:r>
            <w:r w:rsidRPr="00270F35">
              <w:rPr>
                <w:rFonts w:ascii="Arial (Body)" w:hAnsi="Arial (Body)"/>
                <w:b w:val="0"/>
                <w:bCs/>
                <w:color w:val="auto"/>
              </w:rPr>
              <w:t xml:space="preserve"> J</w:t>
            </w:r>
            <w:r w:rsidRPr="00D26DA8">
              <w:rPr>
                <w:rFonts w:ascii="Arial (Body)" w:hAnsi="Arial (Body)"/>
                <w:b w:val="0"/>
                <w:bCs/>
                <w:color w:val="auto"/>
              </w:rPr>
              <w:t>, and Gray, Prof Matthew</w:t>
            </w:r>
          </w:p>
        </w:tc>
        <w:tc>
          <w:tcPr>
            <w:tcW w:w="786" w:type="pct"/>
            <w:tcBorders>
              <w:bottom w:val="nil"/>
            </w:tcBorders>
            <w:shd w:val="clear" w:color="000000" w:fill="F2F2F2"/>
          </w:tcPr>
          <w:p w14:paraId="042A8B3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14</w:t>
            </w:r>
            <w:r w:rsidRPr="00D01C74">
              <w:rPr>
                <w:rFonts w:ascii="Arial (Body)" w:hAnsi="Arial (Body)"/>
                <w:bCs/>
                <w:color w:val="000000"/>
              </w:rPr>
              <w:t>, 279</w:t>
            </w:r>
          </w:p>
        </w:tc>
      </w:tr>
      <w:tr w:rsidR="00BA4F92" w:rsidRPr="00270F35" w14:paraId="56F89670" w14:textId="77777777" w:rsidTr="00556714">
        <w:tc>
          <w:tcPr>
            <w:tcW w:w="4214" w:type="pct"/>
            <w:tcBorders>
              <w:top w:val="nil"/>
              <w:bottom w:val="nil"/>
            </w:tcBorders>
            <w:shd w:val="clear" w:color="000000" w:fill="auto"/>
          </w:tcPr>
          <w:p w14:paraId="7A4DB988"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Breen, Shelley</w:t>
            </w:r>
          </w:p>
        </w:tc>
        <w:tc>
          <w:tcPr>
            <w:tcW w:w="786" w:type="pct"/>
            <w:tcBorders>
              <w:top w:val="nil"/>
              <w:bottom w:val="nil"/>
            </w:tcBorders>
            <w:shd w:val="clear" w:color="000000" w:fill="auto"/>
          </w:tcPr>
          <w:p w14:paraId="12D38095"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295</w:t>
            </w:r>
          </w:p>
        </w:tc>
      </w:tr>
      <w:tr w:rsidR="00BA4F92" w:rsidRPr="003F0303" w14:paraId="48C001C6" w14:textId="77777777" w:rsidTr="00556714">
        <w:tc>
          <w:tcPr>
            <w:tcW w:w="4214" w:type="pct"/>
            <w:tcBorders>
              <w:bottom w:val="nil"/>
            </w:tcBorders>
            <w:shd w:val="clear" w:color="000000" w:fill="F2F2F2"/>
          </w:tcPr>
          <w:p w14:paraId="19B03D60"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Bryant, Lisa</w:t>
            </w:r>
          </w:p>
        </w:tc>
        <w:tc>
          <w:tcPr>
            <w:tcW w:w="786" w:type="pct"/>
            <w:tcBorders>
              <w:bottom w:val="nil"/>
            </w:tcBorders>
            <w:shd w:val="clear" w:color="000000" w:fill="F2F2F2"/>
          </w:tcPr>
          <w:p w14:paraId="192F5AED"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204</w:t>
            </w:r>
          </w:p>
        </w:tc>
      </w:tr>
      <w:tr w:rsidR="00BA4F92" w:rsidRPr="00270F35" w14:paraId="41D9D4F7" w14:textId="77777777" w:rsidTr="00556714">
        <w:tc>
          <w:tcPr>
            <w:tcW w:w="4214" w:type="pct"/>
            <w:tcBorders>
              <w:top w:val="nil"/>
              <w:bottom w:val="nil"/>
            </w:tcBorders>
            <w:shd w:val="clear" w:color="000000" w:fill="auto"/>
          </w:tcPr>
          <w:p w14:paraId="0910F44E"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Burman, Gabi</w:t>
            </w:r>
          </w:p>
        </w:tc>
        <w:tc>
          <w:tcPr>
            <w:tcW w:w="786" w:type="pct"/>
            <w:tcBorders>
              <w:top w:val="nil"/>
              <w:bottom w:val="nil"/>
            </w:tcBorders>
            <w:shd w:val="clear" w:color="000000" w:fill="auto"/>
          </w:tcPr>
          <w:p w14:paraId="6A7912F9"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317</w:t>
            </w:r>
          </w:p>
        </w:tc>
      </w:tr>
      <w:tr w:rsidR="00BA4F92" w:rsidRPr="003F0303" w14:paraId="7CE5B97D" w14:textId="77777777" w:rsidTr="00556714">
        <w:tc>
          <w:tcPr>
            <w:tcW w:w="4214" w:type="pct"/>
            <w:tcBorders>
              <w:bottom w:val="nil"/>
            </w:tcBorders>
            <w:shd w:val="clear" w:color="000000" w:fill="F2F2F2"/>
          </w:tcPr>
          <w:p w14:paraId="5CCBE0E5"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Bridge Darebin</w:t>
            </w:r>
          </w:p>
        </w:tc>
        <w:tc>
          <w:tcPr>
            <w:tcW w:w="786" w:type="pct"/>
            <w:tcBorders>
              <w:bottom w:val="nil"/>
            </w:tcBorders>
            <w:shd w:val="clear" w:color="000000" w:fill="F2F2F2"/>
          </w:tcPr>
          <w:p w14:paraId="147F90E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3</w:t>
            </w:r>
          </w:p>
        </w:tc>
      </w:tr>
      <w:tr w:rsidR="00BA4F92" w:rsidRPr="003F0303" w14:paraId="576986E1" w14:textId="77777777" w:rsidTr="00556714">
        <w:tc>
          <w:tcPr>
            <w:tcW w:w="4214" w:type="pct"/>
            <w:tcBorders>
              <w:top w:val="nil"/>
              <w:bottom w:val="nil"/>
            </w:tcBorders>
            <w:shd w:val="clear" w:color="000000" w:fill="auto"/>
          </w:tcPr>
          <w:p w14:paraId="1409E1A1"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Brisbane, Darren</w:t>
            </w:r>
          </w:p>
        </w:tc>
        <w:tc>
          <w:tcPr>
            <w:tcW w:w="786" w:type="pct"/>
            <w:tcBorders>
              <w:top w:val="nil"/>
              <w:bottom w:val="nil"/>
            </w:tcBorders>
            <w:shd w:val="clear" w:color="000000" w:fill="auto"/>
          </w:tcPr>
          <w:p w14:paraId="5A21A2A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218</w:t>
            </w:r>
          </w:p>
        </w:tc>
      </w:tr>
      <w:tr w:rsidR="00BA4F92" w:rsidRPr="003F0303" w14:paraId="15B59470" w14:textId="77777777" w:rsidTr="00556714">
        <w:tc>
          <w:tcPr>
            <w:tcW w:w="4214" w:type="pct"/>
            <w:tcBorders>
              <w:bottom w:val="nil"/>
            </w:tcBorders>
            <w:shd w:val="clear" w:color="000000" w:fill="F2F2F2"/>
          </w:tcPr>
          <w:p w14:paraId="06685802"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Brotherhood of St Laurence</w:t>
            </w:r>
          </w:p>
        </w:tc>
        <w:tc>
          <w:tcPr>
            <w:tcW w:w="786" w:type="pct"/>
            <w:tcBorders>
              <w:bottom w:val="nil"/>
            </w:tcBorders>
            <w:shd w:val="clear" w:color="000000" w:fill="F2F2F2"/>
          </w:tcPr>
          <w:p w14:paraId="6C04F84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96, 289</w:t>
            </w:r>
          </w:p>
        </w:tc>
      </w:tr>
      <w:tr w:rsidR="00BA4F92" w:rsidRPr="003F0303" w14:paraId="45A71E8F" w14:textId="77777777" w:rsidTr="00556714">
        <w:tc>
          <w:tcPr>
            <w:tcW w:w="4214" w:type="pct"/>
            <w:tcBorders>
              <w:top w:val="nil"/>
              <w:bottom w:val="nil"/>
            </w:tcBorders>
            <w:shd w:val="clear" w:color="000000" w:fill="auto"/>
          </w:tcPr>
          <w:p w14:paraId="720C3BAA"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Business Council of Australia (BCA)</w:t>
            </w:r>
          </w:p>
        </w:tc>
        <w:tc>
          <w:tcPr>
            <w:tcW w:w="786" w:type="pct"/>
            <w:tcBorders>
              <w:top w:val="nil"/>
              <w:bottom w:val="nil"/>
            </w:tcBorders>
            <w:shd w:val="clear" w:color="000000" w:fill="auto"/>
          </w:tcPr>
          <w:p w14:paraId="5A59E4B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101</w:t>
            </w:r>
            <w:r w:rsidRPr="00D01C74">
              <w:rPr>
                <w:rFonts w:ascii="Arial (Body)" w:hAnsi="Arial (Body)"/>
                <w:bCs/>
                <w:color w:val="000000"/>
              </w:rPr>
              <w:t>, 308</w:t>
            </w:r>
          </w:p>
        </w:tc>
      </w:tr>
      <w:tr w:rsidR="00BA4F92" w:rsidRPr="003F0303" w14:paraId="46FF25E8" w14:textId="77777777" w:rsidTr="00556714">
        <w:tc>
          <w:tcPr>
            <w:tcW w:w="4214" w:type="pct"/>
            <w:tcBorders>
              <w:bottom w:val="nil"/>
            </w:tcBorders>
            <w:shd w:val="clear" w:color="000000" w:fill="F2F2F2"/>
          </w:tcPr>
          <w:p w14:paraId="374C3FFF"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Byrne, Brian, Larsen, Sally A., Coventry, William L</w:t>
            </w:r>
          </w:p>
        </w:tc>
        <w:tc>
          <w:tcPr>
            <w:tcW w:w="786" w:type="pct"/>
            <w:tcBorders>
              <w:bottom w:val="nil"/>
            </w:tcBorders>
            <w:shd w:val="clear" w:color="000000" w:fill="F2F2F2"/>
          </w:tcPr>
          <w:p w14:paraId="033FF0A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7</w:t>
            </w:r>
          </w:p>
        </w:tc>
      </w:tr>
      <w:tr w:rsidR="00BA4F92" w:rsidRPr="003F0303" w14:paraId="2652AB94" w14:textId="77777777" w:rsidTr="00556714">
        <w:tc>
          <w:tcPr>
            <w:tcW w:w="4214" w:type="pct"/>
            <w:tcBorders>
              <w:top w:val="nil"/>
              <w:bottom w:val="nil"/>
            </w:tcBorders>
            <w:shd w:val="clear" w:color="000000" w:fill="auto"/>
          </w:tcPr>
          <w:p w14:paraId="455E11D2"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By Five Wimmera Southern Mallee Early Years Initiative and North Central LLEN</w:t>
            </w:r>
          </w:p>
        </w:tc>
        <w:tc>
          <w:tcPr>
            <w:tcW w:w="786" w:type="pct"/>
            <w:tcBorders>
              <w:top w:val="nil"/>
              <w:bottom w:val="nil"/>
            </w:tcBorders>
            <w:shd w:val="clear" w:color="000000" w:fill="auto"/>
          </w:tcPr>
          <w:p w14:paraId="44DE7C4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228</w:t>
            </w:r>
          </w:p>
        </w:tc>
      </w:tr>
      <w:tr w:rsidR="00BA4F92" w:rsidRPr="003F0303" w14:paraId="6FE0679D" w14:textId="77777777" w:rsidTr="00556714">
        <w:tc>
          <w:tcPr>
            <w:tcW w:w="4214" w:type="pct"/>
            <w:tcBorders>
              <w:bottom w:val="nil"/>
            </w:tcBorders>
            <w:shd w:val="clear" w:color="000000" w:fill="F2F2F2"/>
          </w:tcPr>
          <w:p w14:paraId="4C8D02F0"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Byron Bay Preschool</w:t>
            </w:r>
          </w:p>
        </w:tc>
        <w:tc>
          <w:tcPr>
            <w:tcW w:w="786" w:type="pct"/>
            <w:tcBorders>
              <w:bottom w:val="nil"/>
            </w:tcBorders>
            <w:shd w:val="clear" w:color="000000" w:fill="F2F2F2"/>
          </w:tcPr>
          <w:p w14:paraId="58B6978A"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18</w:t>
            </w:r>
          </w:p>
        </w:tc>
      </w:tr>
      <w:tr w:rsidR="00BA4F92" w:rsidRPr="003F0303" w14:paraId="5E981F09" w14:textId="77777777" w:rsidTr="00556714">
        <w:tc>
          <w:tcPr>
            <w:tcW w:w="4214" w:type="pct"/>
            <w:tcBorders>
              <w:top w:val="nil"/>
              <w:bottom w:val="nil"/>
            </w:tcBorders>
            <w:shd w:val="clear" w:color="000000" w:fill="auto"/>
          </w:tcPr>
          <w:p w14:paraId="0EF3F41D"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Carlyle, Michelle</w:t>
            </w:r>
          </w:p>
        </w:tc>
        <w:tc>
          <w:tcPr>
            <w:tcW w:w="786" w:type="pct"/>
            <w:tcBorders>
              <w:top w:val="nil"/>
              <w:bottom w:val="nil"/>
            </w:tcBorders>
            <w:shd w:val="clear" w:color="000000" w:fill="auto"/>
          </w:tcPr>
          <w:p w14:paraId="3FE8BC9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9</w:t>
            </w:r>
          </w:p>
        </w:tc>
      </w:tr>
      <w:tr w:rsidR="00BA4F92" w:rsidRPr="003F0303" w14:paraId="0F8A8C24" w14:textId="77777777" w:rsidTr="00556714">
        <w:tc>
          <w:tcPr>
            <w:tcW w:w="4214" w:type="pct"/>
            <w:tcBorders>
              <w:bottom w:val="nil"/>
            </w:tcBorders>
            <w:shd w:val="clear" w:color="000000" w:fill="F2F2F2"/>
          </w:tcPr>
          <w:p w14:paraId="0CEB73DD"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Carter, Cheyanne</w:t>
            </w:r>
          </w:p>
        </w:tc>
        <w:tc>
          <w:tcPr>
            <w:tcW w:w="786" w:type="pct"/>
            <w:tcBorders>
              <w:bottom w:val="nil"/>
            </w:tcBorders>
            <w:shd w:val="clear" w:color="000000" w:fill="F2F2F2"/>
          </w:tcPr>
          <w:p w14:paraId="3FC8A5B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177</w:t>
            </w:r>
          </w:p>
        </w:tc>
      </w:tr>
      <w:tr w:rsidR="00BA4F92" w:rsidRPr="003F0303" w14:paraId="252105BC" w14:textId="77777777" w:rsidTr="00556714">
        <w:tc>
          <w:tcPr>
            <w:tcW w:w="4214" w:type="pct"/>
            <w:tcBorders>
              <w:top w:val="nil"/>
              <w:bottom w:val="nil"/>
            </w:tcBorders>
            <w:shd w:val="clear" w:color="000000" w:fill="auto"/>
          </w:tcPr>
          <w:p w14:paraId="512F0410"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Catholic Diocese of Parramatta Services</w:t>
            </w:r>
          </w:p>
        </w:tc>
        <w:tc>
          <w:tcPr>
            <w:tcW w:w="786" w:type="pct"/>
            <w:tcBorders>
              <w:top w:val="nil"/>
              <w:bottom w:val="nil"/>
            </w:tcBorders>
            <w:shd w:val="clear" w:color="000000" w:fill="auto"/>
          </w:tcPr>
          <w:p w14:paraId="13BBC27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84</w:t>
            </w:r>
          </w:p>
        </w:tc>
      </w:tr>
      <w:tr w:rsidR="00BA4F92" w:rsidRPr="003F0303" w14:paraId="52A0BE3F" w14:textId="77777777" w:rsidTr="00556714">
        <w:tc>
          <w:tcPr>
            <w:tcW w:w="4214" w:type="pct"/>
            <w:tcBorders>
              <w:bottom w:val="nil"/>
            </w:tcBorders>
            <w:shd w:val="clear" w:color="000000" w:fill="F2F2F2"/>
          </w:tcPr>
          <w:p w14:paraId="7EE5CC58"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Catholic Education South Australia (CESA)</w:t>
            </w:r>
          </w:p>
        </w:tc>
        <w:tc>
          <w:tcPr>
            <w:tcW w:w="786" w:type="pct"/>
            <w:tcBorders>
              <w:bottom w:val="nil"/>
            </w:tcBorders>
            <w:shd w:val="clear" w:color="000000" w:fill="F2F2F2"/>
          </w:tcPr>
          <w:p w14:paraId="50DD3E0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13</w:t>
            </w:r>
          </w:p>
        </w:tc>
      </w:tr>
      <w:tr w:rsidR="00BA4F92" w:rsidRPr="003F0303" w14:paraId="0BFED25D" w14:textId="77777777" w:rsidTr="00556714">
        <w:tc>
          <w:tcPr>
            <w:tcW w:w="4214" w:type="pct"/>
            <w:tcBorders>
              <w:top w:val="nil"/>
              <w:bottom w:val="nil"/>
            </w:tcBorders>
            <w:shd w:val="clear" w:color="000000" w:fill="auto"/>
          </w:tcPr>
          <w:p w14:paraId="7BAF69D3"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Catholic School Parents Australia</w:t>
            </w:r>
          </w:p>
        </w:tc>
        <w:tc>
          <w:tcPr>
            <w:tcW w:w="786" w:type="pct"/>
            <w:tcBorders>
              <w:top w:val="nil"/>
              <w:bottom w:val="nil"/>
            </w:tcBorders>
            <w:shd w:val="clear" w:color="000000" w:fill="auto"/>
          </w:tcPr>
          <w:p w14:paraId="137BB5E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36</w:t>
            </w:r>
          </w:p>
        </w:tc>
      </w:tr>
      <w:tr w:rsidR="00BA4F92" w:rsidRPr="003F0303" w14:paraId="777C270F" w14:textId="77777777" w:rsidTr="00556714">
        <w:tc>
          <w:tcPr>
            <w:tcW w:w="4214" w:type="pct"/>
            <w:tcBorders>
              <w:bottom w:val="nil"/>
            </w:tcBorders>
            <w:shd w:val="clear" w:color="000000" w:fill="F2F2F2"/>
          </w:tcPr>
          <w:p w14:paraId="49D8F308"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Centre for Excellence in Child and Family Welfare</w:t>
            </w:r>
          </w:p>
        </w:tc>
        <w:tc>
          <w:tcPr>
            <w:tcW w:w="786" w:type="pct"/>
            <w:tcBorders>
              <w:bottom w:val="nil"/>
            </w:tcBorders>
            <w:shd w:val="clear" w:color="000000" w:fill="F2F2F2"/>
          </w:tcPr>
          <w:p w14:paraId="22F04B0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59, 202</w:t>
            </w:r>
          </w:p>
        </w:tc>
      </w:tr>
      <w:tr w:rsidR="00BA4F92" w:rsidRPr="003F0303" w14:paraId="16BBCFC7" w14:textId="77777777" w:rsidTr="00556714">
        <w:tc>
          <w:tcPr>
            <w:tcW w:w="4214" w:type="pct"/>
            <w:tcBorders>
              <w:top w:val="nil"/>
              <w:bottom w:val="nil"/>
            </w:tcBorders>
            <w:shd w:val="clear" w:color="000000" w:fill="auto"/>
          </w:tcPr>
          <w:p w14:paraId="70F35585"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Centre for Policy Development (CPD)</w:t>
            </w:r>
          </w:p>
        </w:tc>
        <w:tc>
          <w:tcPr>
            <w:tcW w:w="786" w:type="pct"/>
            <w:tcBorders>
              <w:top w:val="nil"/>
              <w:bottom w:val="nil"/>
            </w:tcBorders>
            <w:shd w:val="clear" w:color="000000" w:fill="auto"/>
          </w:tcPr>
          <w:p w14:paraId="4224BEE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color w:val="000000"/>
              </w:rPr>
              <w:t>156</w:t>
            </w:r>
            <w:r w:rsidRPr="00D01C74">
              <w:rPr>
                <w:rFonts w:ascii="Arial (Body)" w:hAnsi="Arial (Body)"/>
                <w:bCs/>
                <w:color w:val="000000"/>
              </w:rPr>
              <w:t>, 282</w:t>
            </w:r>
          </w:p>
        </w:tc>
      </w:tr>
      <w:tr w:rsidR="00BA4F92" w:rsidRPr="003F0303" w14:paraId="5ED1C990" w14:textId="77777777" w:rsidTr="00556714">
        <w:tc>
          <w:tcPr>
            <w:tcW w:w="4214" w:type="pct"/>
            <w:tcBorders>
              <w:bottom w:val="nil"/>
            </w:tcBorders>
            <w:shd w:val="clear" w:color="000000" w:fill="F2F2F2"/>
          </w:tcPr>
          <w:p w14:paraId="3E1EB972" w14:textId="77777777" w:rsidR="00BA4F92" w:rsidRPr="00D26DA8" w:rsidRDefault="00BA4F92" w:rsidP="00882158">
            <w:pPr>
              <w:pStyle w:val="TableHeading"/>
              <w:spacing w:before="45" w:after="45"/>
              <w:ind w:right="108"/>
              <w:rPr>
                <w:rFonts w:ascii="Arial (Body)" w:hAnsi="Arial (Body)"/>
                <w:b w:val="0"/>
                <w:bCs/>
                <w:color w:val="auto"/>
              </w:rPr>
            </w:pPr>
            <w:r w:rsidRPr="00D26DA8">
              <w:rPr>
                <w:rFonts w:ascii="Arial (Body)" w:hAnsi="Arial (Body)"/>
                <w:b w:val="0"/>
                <w:bCs/>
                <w:color w:val="auto"/>
              </w:rPr>
              <w:t>Centre for Research in Early Childhood Education (CRECE)</w:t>
            </w:r>
          </w:p>
        </w:tc>
        <w:tc>
          <w:tcPr>
            <w:tcW w:w="786" w:type="pct"/>
            <w:tcBorders>
              <w:bottom w:val="nil"/>
            </w:tcBorders>
            <w:shd w:val="clear" w:color="000000" w:fill="F2F2F2"/>
          </w:tcPr>
          <w:p w14:paraId="3BBD0E13" w14:textId="77777777" w:rsidR="00BA4F92" w:rsidRPr="00D01C74" w:rsidRDefault="00BA4F92" w:rsidP="00882158">
            <w:pPr>
              <w:pStyle w:val="TableBody"/>
              <w:spacing w:before="45" w:after="45"/>
              <w:ind w:right="108"/>
              <w:jc w:val="right"/>
              <w:rPr>
                <w:rFonts w:ascii="Arial (Body)" w:hAnsi="Arial (Body)"/>
                <w:color w:val="000000"/>
              </w:rPr>
            </w:pPr>
            <w:r>
              <w:rPr>
                <w:rFonts w:ascii="Arial (Body)" w:hAnsi="Arial (Body)"/>
                <w:bCs/>
                <w:color w:val="000000"/>
              </w:rPr>
              <w:t xml:space="preserve">21, </w:t>
            </w:r>
            <w:r w:rsidRPr="00D01C74">
              <w:rPr>
                <w:rFonts w:ascii="Arial (Body)" w:hAnsi="Arial (Body)"/>
                <w:color w:val="000000"/>
              </w:rPr>
              <w:t>244</w:t>
            </w:r>
          </w:p>
        </w:tc>
      </w:tr>
      <w:tr w:rsidR="00BA4F92" w:rsidRPr="003F0303" w14:paraId="15FC098B" w14:textId="77777777" w:rsidTr="00556714">
        <w:tc>
          <w:tcPr>
            <w:tcW w:w="4214" w:type="pct"/>
            <w:tcBorders>
              <w:top w:val="nil"/>
              <w:bottom w:val="nil"/>
            </w:tcBorders>
            <w:shd w:val="clear" w:color="000000" w:fill="auto"/>
          </w:tcPr>
          <w:p w14:paraId="312E9146"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Centre Support</w:t>
            </w:r>
          </w:p>
        </w:tc>
        <w:tc>
          <w:tcPr>
            <w:tcW w:w="786" w:type="pct"/>
            <w:tcBorders>
              <w:top w:val="nil"/>
              <w:bottom w:val="nil"/>
            </w:tcBorders>
            <w:shd w:val="clear" w:color="000000" w:fill="auto"/>
          </w:tcPr>
          <w:p w14:paraId="6287FCD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113</w:t>
            </w:r>
          </w:p>
        </w:tc>
      </w:tr>
      <w:tr w:rsidR="00BA4F92" w:rsidRPr="003F0303" w14:paraId="5E044480" w14:textId="77777777" w:rsidTr="00556714">
        <w:tc>
          <w:tcPr>
            <w:tcW w:w="4214" w:type="pct"/>
            <w:tcBorders>
              <w:bottom w:val="nil"/>
            </w:tcBorders>
            <w:shd w:val="clear" w:color="000000" w:fill="F2F2F2"/>
          </w:tcPr>
          <w:p w14:paraId="0106E4E1"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Chief Executive Women (CEW)</w:t>
            </w:r>
          </w:p>
        </w:tc>
        <w:tc>
          <w:tcPr>
            <w:tcW w:w="786" w:type="pct"/>
            <w:tcBorders>
              <w:bottom w:val="nil"/>
            </w:tcBorders>
            <w:shd w:val="clear" w:color="000000" w:fill="F2F2F2"/>
          </w:tcPr>
          <w:p w14:paraId="008734E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142</w:t>
            </w:r>
          </w:p>
        </w:tc>
      </w:tr>
      <w:tr w:rsidR="00BA4F92" w:rsidRPr="003F0303" w14:paraId="2CA16889" w14:textId="77777777" w:rsidTr="00556714">
        <w:tc>
          <w:tcPr>
            <w:tcW w:w="4214" w:type="pct"/>
            <w:tcBorders>
              <w:top w:val="nil"/>
              <w:bottom w:val="nil"/>
            </w:tcBorders>
            <w:shd w:val="clear" w:color="000000" w:fill="auto"/>
          </w:tcPr>
          <w:p w14:paraId="64C4C0A5"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Child Development Council (SA)</w:t>
            </w:r>
          </w:p>
        </w:tc>
        <w:tc>
          <w:tcPr>
            <w:tcW w:w="786" w:type="pct"/>
            <w:tcBorders>
              <w:top w:val="nil"/>
              <w:bottom w:val="nil"/>
            </w:tcBorders>
            <w:shd w:val="clear" w:color="000000" w:fill="auto"/>
          </w:tcPr>
          <w:p w14:paraId="6B1F58E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22</w:t>
            </w:r>
          </w:p>
        </w:tc>
      </w:tr>
      <w:tr w:rsidR="00BA4F92" w:rsidRPr="003F0303" w14:paraId="6BE335DA" w14:textId="77777777" w:rsidTr="00556714">
        <w:tc>
          <w:tcPr>
            <w:tcW w:w="4214" w:type="pct"/>
            <w:tcBorders>
              <w:bottom w:val="nil"/>
            </w:tcBorders>
            <w:shd w:val="clear" w:color="000000" w:fill="F2F2F2"/>
          </w:tcPr>
          <w:p w14:paraId="47341D9F"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Children and Young People with Disability Australia (CYDA)</w:t>
            </w:r>
          </w:p>
        </w:tc>
        <w:tc>
          <w:tcPr>
            <w:tcW w:w="786" w:type="pct"/>
            <w:tcBorders>
              <w:bottom w:val="nil"/>
            </w:tcBorders>
            <w:shd w:val="clear" w:color="000000" w:fill="F2F2F2"/>
          </w:tcPr>
          <w:p w14:paraId="35612C0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35, 238</w:t>
            </w:r>
          </w:p>
        </w:tc>
      </w:tr>
      <w:tr w:rsidR="00BA4F92" w:rsidRPr="003F0303" w14:paraId="3B533966" w14:textId="77777777" w:rsidTr="00556714">
        <w:tc>
          <w:tcPr>
            <w:tcW w:w="4214" w:type="pct"/>
            <w:tcBorders>
              <w:top w:val="nil"/>
              <w:bottom w:val="nil"/>
            </w:tcBorders>
            <w:shd w:val="clear" w:color="000000" w:fill="auto"/>
          </w:tcPr>
          <w:p w14:paraId="0695CB35"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Children’s Ground</w:t>
            </w:r>
          </w:p>
        </w:tc>
        <w:tc>
          <w:tcPr>
            <w:tcW w:w="786" w:type="pct"/>
            <w:tcBorders>
              <w:top w:val="nil"/>
              <w:bottom w:val="nil"/>
            </w:tcBorders>
            <w:shd w:val="clear" w:color="000000" w:fill="auto"/>
          </w:tcPr>
          <w:p w14:paraId="3BA17005" w14:textId="77777777" w:rsidR="00BA4F92" w:rsidRPr="00D01C74" w:rsidRDefault="00BA4F92" w:rsidP="00882158">
            <w:pPr>
              <w:pStyle w:val="TableBody"/>
              <w:tabs>
                <w:tab w:val="right" w:pos="6129"/>
              </w:tabs>
              <w:spacing w:before="45" w:after="45"/>
              <w:ind w:right="108"/>
              <w:jc w:val="right"/>
              <w:rPr>
                <w:rFonts w:ascii="Arial (Body)" w:hAnsi="Arial (Body)"/>
                <w:color w:val="000000"/>
              </w:rPr>
            </w:pPr>
            <w:r w:rsidRPr="00D01C74">
              <w:rPr>
                <w:rFonts w:ascii="Arial (Body)" w:hAnsi="Arial (Body)"/>
                <w:bCs/>
                <w:color w:val="000000"/>
              </w:rPr>
              <w:t>221</w:t>
            </w:r>
          </w:p>
        </w:tc>
      </w:tr>
      <w:tr w:rsidR="00BA4F92" w:rsidRPr="003F0303" w14:paraId="5A20EFE2" w14:textId="77777777" w:rsidTr="00556714">
        <w:tc>
          <w:tcPr>
            <w:tcW w:w="4214" w:type="pct"/>
            <w:tcBorders>
              <w:bottom w:val="nil"/>
            </w:tcBorders>
            <w:shd w:val="clear" w:color="000000" w:fill="F2F2F2"/>
          </w:tcPr>
          <w:p w14:paraId="02CDBFC5"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Children First Alliance</w:t>
            </w:r>
          </w:p>
        </w:tc>
        <w:tc>
          <w:tcPr>
            <w:tcW w:w="786" w:type="pct"/>
            <w:tcBorders>
              <w:bottom w:val="nil"/>
            </w:tcBorders>
            <w:shd w:val="clear" w:color="000000" w:fill="F2F2F2"/>
          </w:tcPr>
          <w:p w14:paraId="2A42A782" w14:textId="77777777" w:rsidR="00BA4F92" w:rsidRPr="00D01C74" w:rsidRDefault="00BA4F92" w:rsidP="00882158">
            <w:pPr>
              <w:pStyle w:val="TableBody"/>
              <w:tabs>
                <w:tab w:val="right" w:pos="6129"/>
              </w:tabs>
              <w:spacing w:before="45" w:after="45"/>
              <w:ind w:right="108"/>
              <w:jc w:val="right"/>
              <w:rPr>
                <w:rFonts w:ascii="Arial (Body)" w:hAnsi="Arial (Body)"/>
                <w:color w:val="000000"/>
              </w:rPr>
            </w:pPr>
            <w:r w:rsidRPr="00D01C74">
              <w:rPr>
                <w:rFonts w:ascii="Arial (Body)" w:hAnsi="Arial (Body)"/>
                <w:bCs/>
                <w:color w:val="000000"/>
              </w:rPr>
              <w:t>140</w:t>
            </w:r>
          </w:p>
        </w:tc>
      </w:tr>
      <w:tr w:rsidR="00BA4F92" w:rsidRPr="003F0303" w14:paraId="30EFD492" w14:textId="77777777" w:rsidTr="00556714">
        <w:tc>
          <w:tcPr>
            <w:tcW w:w="4214" w:type="pct"/>
            <w:tcBorders>
              <w:top w:val="nil"/>
              <w:bottom w:val="nil"/>
            </w:tcBorders>
            <w:shd w:val="clear" w:color="000000" w:fill="auto"/>
          </w:tcPr>
          <w:p w14:paraId="3C9F90C9" w14:textId="77777777" w:rsidR="00BA4F92" w:rsidRPr="00D26DA8"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City of Sydney</w:t>
            </w:r>
          </w:p>
        </w:tc>
        <w:tc>
          <w:tcPr>
            <w:tcW w:w="786" w:type="pct"/>
            <w:tcBorders>
              <w:top w:val="nil"/>
              <w:bottom w:val="nil"/>
            </w:tcBorders>
            <w:shd w:val="clear" w:color="000000" w:fill="auto"/>
          </w:tcPr>
          <w:p w14:paraId="50824722" w14:textId="77777777" w:rsidR="00BA4F92" w:rsidRPr="00D01C74" w:rsidRDefault="00BA4F92" w:rsidP="00882158">
            <w:pPr>
              <w:pStyle w:val="TableBody"/>
              <w:tabs>
                <w:tab w:val="right" w:pos="6129"/>
              </w:tabs>
              <w:spacing w:before="45" w:after="45"/>
              <w:ind w:right="108"/>
              <w:jc w:val="right"/>
              <w:rPr>
                <w:rFonts w:ascii="Arial (Body)" w:hAnsi="Arial (Body)"/>
                <w:color w:val="000000"/>
              </w:rPr>
            </w:pPr>
            <w:r w:rsidRPr="00D01C74">
              <w:rPr>
                <w:rFonts w:ascii="Arial (Body)" w:hAnsi="Arial (Body)"/>
                <w:bCs/>
                <w:color w:val="000000"/>
              </w:rPr>
              <w:t>65</w:t>
            </w:r>
          </w:p>
        </w:tc>
      </w:tr>
      <w:tr w:rsidR="00BA4F92" w:rsidRPr="003F0303" w14:paraId="570EF4E5" w14:textId="77777777" w:rsidTr="00556714">
        <w:tc>
          <w:tcPr>
            <w:tcW w:w="4214" w:type="pct"/>
            <w:tcBorders>
              <w:bottom w:val="nil"/>
            </w:tcBorders>
            <w:shd w:val="clear" w:color="000000" w:fill="F2F2F2"/>
          </w:tcPr>
          <w:p w14:paraId="7BBAAA1F"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Clarendon Children’s Centre Co</w:t>
            </w:r>
            <w:r w:rsidRPr="00270F35">
              <w:rPr>
                <w:rFonts w:ascii="Arial (Body)" w:hAnsi="Arial (Body)"/>
                <w:b w:val="0"/>
                <w:bCs/>
                <w:color w:val="auto"/>
              </w:rPr>
              <w:noBreakHyphen/>
              <w:t>operative Ltd</w:t>
            </w:r>
          </w:p>
        </w:tc>
        <w:tc>
          <w:tcPr>
            <w:tcW w:w="786" w:type="pct"/>
            <w:tcBorders>
              <w:bottom w:val="nil"/>
            </w:tcBorders>
            <w:shd w:val="clear" w:color="000000" w:fill="F2F2F2"/>
          </w:tcPr>
          <w:p w14:paraId="431D533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12</w:t>
            </w:r>
          </w:p>
        </w:tc>
      </w:tr>
      <w:tr w:rsidR="00BA4F92" w:rsidRPr="003F0303" w14:paraId="17FFD280" w14:textId="77777777" w:rsidTr="00556714">
        <w:tc>
          <w:tcPr>
            <w:tcW w:w="4214" w:type="pct"/>
            <w:tcBorders>
              <w:top w:val="nil"/>
              <w:bottom w:val="nil"/>
            </w:tcBorders>
            <w:shd w:val="clear" w:color="000000" w:fill="auto"/>
          </w:tcPr>
          <w:p w14:paraId="73D5D5B2"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Cleveland, Gordon</w:t>
            </w:r>
          </w:p>
        </w:tc>
        <w:tc>
          <w:tcPr>
            <w:tcW w:w="786" w:type="pct"/>
            <w:tcBorders>
              <w:top w:val="nil"/>
              <w:bottom w:val="nil"/>
            </w:tcBorders>
            <w:shd w:val="clear" w:color="000000" w:fill="auto"/>
          </w:tcPr>
          <w:p w14:paraId="6D740C1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278</w:t>
            </w:r>
          </w:p>
        </w:tc>
      </w:tr>
      <w:tr w:rsidR="00BA4F92" w:rsidRPr="00270F35" w14:paraId="7AE67C2D" w14:textId="77777777" w:rsidTr="00556714">
        <w:tc>
          <w:tcPr>
            <w:tcW w:w="4214" w:type="pct"/>
            <w:tcBorders>
              <w:bottom w:val="nil"/>
            </w:tcBorders>
            <w:shd w:val="clear" w:color="000000" w:fill="F2F2F2"/>
          </w:tcPr>
          <w:p w14:paraId="4C3B48BF"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Clifford, Mary Louise</w:t>
            </w:r>
          </w:p>
        </w:tc>
        <w:tc>
          <w:tcPr>
            <w:tcW w:w="786" w:type="pct"/>
            <w:tcBorders>
              <w:bottom w:val="nil"/>
            </w:tcBorders>
            <w:shd w:val="clear" w:color="000000" w:fill="F2F2F2"/>
          </w:tcPr>
          <w:p w14:paraId="1962B5D5"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267</w:t>
            </w:r>
          </w:p>
        </w:tc>
      </w:tr>
      <w:tr w:rsidR="00BA4F92" w:rsidRPr="003F0303" w14:paraId="5BBF9F99" w14:textId="77777777" w:rsidTr="00556714">
        <w:tc>
          <w:tcPr>
            <w:tcW w:w="4214" w:type="pct"/>
            <w:tcBorders>
              <w:top w:val="nil"/>
              <w:bottom w:val="nil"/>
            </w:tcBorders>
            <w:shd w:val="clear" w:color="000000" w:fill="auto"/>
          </w:tcPr>
          <w:p w14:paraId="7736B55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Cobham, Alan</w:t>
            </w:r>
          </w:p>
        </w:tc>
        <w:tc>
          <w:tcPr>
            <w:tcW w:w="786" w:type="pct"/>
            <w:tcBorders>
              <w:top w:val="nil"/>
              <w:bottom w:val="nil"/>
            </w:tcBorders>
            <w:shd w:val="clear" w:color="000000" w:fill="auto"/>
          </w:tcPr>
          <w:p w14:paraId="08D7D97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20</w:t>
            </w:r>
          </w:p>
        </w:tc>
      </w:tr>
      <w:tr w:rsidR="00BA4F92" w:rsidRPr="00270F35" w14:paraId="6AEB5F38" w14:textId="77777777" w:rsidTr="00556714">
        <w:tc>
          <w:tcPr>
            <w:tcW w:w="4214" w:type="pct"/>
            <w:tcBorders>
              <w:bottom w:val="nil"/>
            </w:tcBorders>
            <w:shd w:val="clear" w:color="000000" w:fill="F2F2F2"/>
          </w:tcPr>
          <w:p w14:paraId="615A8ED7"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Colman Education Foundation</w:t>
            </w:r>
          </w:p>
        </w:tc>
        <w:tc>
          <w:tcPr>
            <w:tcW w:w="786" w:type="pct"/>
            <w:tcBorders>
              <w:bottom w:val="nil"/>
            </w:tcBorders>
            <w:shd w:val="clear" w:color="000000" w:fill="F2F2F2"/>
          </w:tcPr>
          <w:p w14:paraId="6A26BB46"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33</w:t>
            </w:r>
          </w:p>
        </w:tc>
      </w:tr>
      <w:tr w:rsidR="00BA4F92" w:rsidRPr="003F0303" w14:paraId="2CD1B657" w14:textId="77777777" w:rsidTr="00556714">
        <w:tc>
          <w:tcPr>
            <w:tcW w:w="4214" w:type="pct"/>
            <w:tcBorders>
              <w:top w:val="nil"/>
              <w:bottom w:val="nil"/>
            </w:tcBorders>
            <w:shd w:val="clear" w:color="000000" w:fill="auto"/>
          </w:tcPr>
          <w:p w14:paraId="62B0CBA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Commissioner for Children and Young People (WA)</w:t>
            </w:r>
          </w:p>
        </w:tc>
        <w:tc>
          <w:tcPr>
            <w:tcW w:w="786" w:type="pct"/>
            <w:tcBorders>
              <w:top w:val="nil"/>
              <w:bottom w:val="nil"/>
            </w:tcBorders>
            <w:shd w:val="clear" w:color="000000" w:fill="auto"/>
          </w:tcPr>
          <w:p w14:paraId="338267B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259</w:t>
            </w:r>
          </w:p>
        </w:tc>
      </w:tr>
      <w:tr w:rsidR="00BA4F92" w:rsidRPr="003F0303" w14:paraId="645CBFC9" w14:textId="77777777" w:rsidTr="00556714">
        <w:tc>
          <w:tcPr>
            <w:tcW w:w="4214" w:type="pct"/>
            <w:tcBorders>
              <w:bottom w:val="nil"/>
            </w:tcBorders>
            <w:shd w:val="clear" w:color="000000" w:fill="F2F2F2"/>
          </w:tcPr>
          <w:p w14:paraId="044CFFC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Community Child Care Association (CCC)</w:t>
            </w:r>
          </w:p>
        </w:tc>
        <w:tc>
          <w:tcPr>
            <w:tcW w:w="786" w:type="pct"/>
            <w:tcBorders>
              <w:bottom w:val="nil"/>
            </w:tcBorders>
            <w:shd w:val="clear" w:color="000000" w:fill="F2F2F2"/>
          </w:tcPr>
          <w:p w14:paraId="18FE06E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111</w:t>
            </w:r>
          </w:p>
        </w:tc>
      </w:tr>
      <w:tr w:rsidR="00BA4F92" w:rsidRPr="003F0303" w14:paraId="1A68439B" w14:textId="77777777" w:rsidTr="00556714">
        <w:tc>
          <w:tcPr>
            <w:tcW w:w="4214" w:type="pct"/>
            <w:tcBorders>
              <w:top w:val="nil"/>
              <w:bottom w:val="nil"/>
            </w:tcBorders>
            <w:shd w:val="clear" w:color="000000" w:fill="auto"/>
          </w:tcPr>
          <w:p w14:paraId="55366E5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Community Connections Solutions Australia (CCSA)</w:t>
            </w:r>
          </w:p>
        </w:tc>
        <w:tc>
          <w:tcPr>
            <w:tcW w:w="786" w:type="pct"/>
            <w:tcBorders>
              <w:top w:val="nil"/>
              <w:bottom w:val="nil"/>
            </w:tcBorders>
            <w:shd w:val="clear" w:color="000000" w:fill="auto"/>
          </w:tcPr>
          <w:p w14:paraId="2434D8A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105</w:t>
            </w:r>
          </w:p>
        </w:tc>
      </w:tr>
      <w:tr w:rsidR="00BA4F92" w:rsidRPr="003F0303" w14:paraId="52571D91" w14:textId="77777777" w:rsidTr="00556714">
        <w:tc>
          <w:tcPr>
            <w:tcW w:w="4214" w:type="pct"/>
            <w:tcBorders>
              <w:bottom w:val="nil"/>
            </w:tcBorders>
            <w:shd w:val="clear" w:color="000000" w:fill="F2F2F2"/>
          </w:tcPr>
          <w:p w14:paraId="2CF648FB"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Community </w:t>
            </w:r>
            <w:r w:rsidRPr="00270F35">
              <w:rPr>
                <w:rFonts w:ascii="Arial (Body)" w:hAnsi="Arial (Body)"/>
                <w:b w:val="0"/>
                <w:bCs/>
                <w:color w:val="auto"/>
              </w:rPr>
              <w:t>Early Learning</w:t>
            </w:r>
            <w:r w:rsidRPr="004C6294">
              <w:rPr>
                <w:rFonts w:ascii="Arial (Body)" w:hAnsi="Arial (Body)"/>
                <w:b w:val="0"/>
                <w:bCs/>
                <w:color w:val="auto"/>
              </w:rPr>
              <w:t xml:space="preserve"> Australia (</w:t>
            </w:r>
            <w:r w:rsidRPr="00270F35">
              <w:rPr>
                <w:rFonts w:ascii="Arial (Body)" w:hAnsi="Arial (Body)"/>
                <w:b w:val="0"/>
                <w:bCs/>
                <w:color w:val="auto"/>
              </w:rPr>
              <w:t>CELA</w:t>
            </w:r>
            <w:r w:rsidRPr="004C6294">
              <w:rPr>
                <w:rFonts w:ascii="Arial (Body)" w:hAnsi="Arial (Body)"/>
                <w:b w:val="0"/>
                <w:bCs/>
                <w:color w:val="auto"/>
              </w:rPr>
              <w:t>)</w:t>
            </w:r>
          </w:p>
        </w:tc>
        <w:tc>
          <w:tcPr>
            <w:tcW w:w="786" w:type="pct"/>
            <w:tcBorders>
              <w:bottom w:val="nil"/>
            </w:tcBorders>
            <w:shd w:val="clear" w:color="000000" w:fill="F2F2F2"/>
          </w:tcPr>
          <w:p w14:paraId="7F5A9D7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92</w:t>
            </w:r>
          </w:p>
        </w:tc>
      </w:tr>
      <w:tr w:rsidR="00BA4F92" w:rsidRPr="003F0303" w14:paraId="66204BBC" w14:textId="77777777" w:rsidTr="00556714">
        <w:tc>
          <w:tcPr>
            <w:tcW w:w="4214" w:type="pct"/>
            <w:tcBorders>
              <w:top w:val="nil"/>
              <w:bottom w:val="nil"/>
            </w:tcBorders>
            <w:shd w:val="clear" w:color="000000" w:fill="auto"/>
          </w:tcPr>
          <w:p w14:paraId="731626F4"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Community </w:t>
            </w:r>
            <w:r w:rsidRPr="00270F35">
              <w:rPr>
                <w:rFonts w:ascii="Arial (Body)" w:hAnsi="Arial (Body)"/>
                <w:b w:val="0"/>
                <w:bCs/>
                <w:color w:val="auto"/>
              </w:rPr>
              <w:t>Hubs</w:t>
            </w:r>
            <w:r w:rsidRPr="004C6294">
              <w:rPr>
                <w:rFonts w:ascii="Arial (Body)" w:hAnsi="Arial (Body)"/>
                <w:b w:val="0"/>
                <w:bCs/>
                <w:color w:val="auto"/>
              </w:rPr>
              <w:t xml:space="preserve"> Australia</w:t>
            </w:r>
          </w:p>
        </w:tc>
        <w:tc>
          <w:tcPr>
            <w:tcW w:w="786" w:type="pct"/>
            <w:tcBorders>
              <w:top w:val="nil"/>
              <w:bottom w:val="nil"/>
            </w:tcBorders>
            <w:shd w:val="clear" w:color="000000" w:fill="auto"/>
          </w:tcPr>
          <w:p w14:paraId="33E1525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266</w:t>
            </w:r>
          </w:p>
        </w:tc>
      </w:tr>
      <w:tr w:rsidR="00BA4F92" w:rsidRPr="003F0303" w14:paraId="5C8F266B" w14:textId="77777777" w:rsidTr="00556714">
        <w:tc>
          <w:tcPr>
            <w:tcW w:w="4214" w:type="pct"/>
            <w:tcBorders>
              <w:bottom w:val="nil"/>
            </w:tcBorders>
            <w:shd w:val="clear" w:color="000000" w:fill="F2F2F2"/>
          </w:tcPr>
          <w:p w14:paraId="000668B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Community Industry Group and Early Childhood Education Services and Training (ECTARC)</w:t>
            </w:r>
          </w:p>
        </w:tc>
        <w:tc>
          <w:tcPr>
            <w:tcW w:w="786" w:type="pct"/>
            <w:tcBorders>
              <w:bottom w:val="nil"/>
            </w:tcBorders>
            <w:shd w:val="clear" w:color="000000" w:fill="F2F2F2"/>
          </w:tcPr>
          <w:p w14:paraId="10EC83F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285</w:t>
            </w:r>
          </w:p>
        </w:tc>
      </w:tr>
      <w:tr w:rsidR="00BA4F92" w:rsidRPr="00270F35" w14:paraId="3617F9A6" w14:textId="77777777" w:rsidTr="00556714">
        <w:tc>
          <w:tcPr>
            <w:tcW w:w="4214" w:type="pct"/>
            <w:tcBorders>
              <w:top w:val="nil"/>
              <w:bottom w:val="nil"/>
            </w:tcBorders>
            <w:shd w:val="clear" w:color="000000" w:fill="auto"/>
          </w:tcPr>
          <w:p w14:paraId="7AC1CB40"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Coorong District Council</w:t>
            </w:r>
          </w:p>
        </w:tc>
        <w:tc>
          <w:tcPr>
            <w:tcW w:w="786" w:type="pct"/>
            <w:tcBorders>
              <w:top w:val="nil"/>
              <w:bottom w:val="nil"/>
            </w:tcBorders>
            <w:shd w:val="clear" w:color="000000" w:fill="auto"/>
          </w:tcPr>
          <w:p w14:paraId="779F51F4"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236</w:t>
            </w:r>
          </w:p>
        </w:tc>
      </w:tr>
      <w:tr w:rsidR="00BA4F92" w:rsidRPr="003F0303" w14:paraId="3192CF5B" w14:textId="77777777" w:rsidTr="00556714">
        <w:tc>
          <w:tcPr>
            <w:tcW w:w="4214" w:type="pct"/>
            <w:tcBorders>
              <w:bottom w:val="nil"/>
            </w:tcBorders>
            <w:shd w:val="clear" w:color="000000" w:fill="F2F2F2"/>
          </w:tcPr>
          <w:p w14:paraId="50D12075"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Connect.Ed Trauma-Informed Education and Care</w:t>
            </w:r>
          </w:p>
        </w:tc>
        <w:tc>
          <w:tcPr>
            <w:tcW w:w="786" w:type="pct"/>
            <w:tcBorders>
              <w:bottom w:val="nil"/>
            </w:tcBorders>
            <w:shd w:val="clear" w:color="000000" w:fill="F2F2F2"/>
          </w:tcPr>
          <w:p w14:paraId="01D7097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104</w:t>
            </w:r>
          </w:p>
        </w:tc>
      </w:tr>
      <w:tr w:rsidR="00BA4F92" w:rsidRPr="003F0303" w14:paraId="52F104E4" w14:textId="77777777" w:rsidTr="00556714">
        <w:tc>
          <w:tcPr>
            <w:tcW w:w="4214" w:type="pct"/>
            <w:tcBorders>
              <w:top w:val="nil"/>
              <w:bottom w:val="nil"/>
            </w:tcBorders>
            <w:shd w:val="clear" w:color="000000" w:fill="auto"/>
          </w:tcPr>
          <w:p w14:paraId="6829A795"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 xml:space="preserve">Cornelius, Shirley </w:t>
            </w:r>
          </w:p>
        </w:tc>
        <w:tc>
          <w:tcPr>
            <w:tcW w:w="786" w:type="pct"/>
            <w:tcBorders>
              <w:top w:val="nil"/>
              <w:bottom w:val="nil"/>
            </w:tcBorders>
            <w:shd w:val="clear" w:color="000000" w:fill="auto"/>
          </w:tcPr>
          <w:p w14:paraId="210EE19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75</w:t>
            </w:r>
          </w:p>
        </w:tc>
      </w:tr>
      <w:tr w:rsidR="00BA4F92" w:rsidRPr="003F0303" w14:paraId="6BFFF899" w14:textId="77777777" w:rsidTr="00556714">
        <w:tc>
          <w:tcPr>
            <w:tcW w:w="4214" w:type="pct"/>
            <w:tcBorders>
              <w:bottom w:val="nil"/>
            </w:tcBorders>
            <w:shd w:val="clear" w:color="000000" w:fill="F2F2F2"/>
          </w:tcPr>
          <w:p w14:paraId="0355910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Corowa Preschool</w:t>
            </w:r>
          </w:p>
        </w:tc>
        <w:tc>
          <w:tcPr>
            <w:tcW w:w="786" w:type="pct"/>
            <w:tcBorders>
              <w:bottom w:val="nil"/>
            </w:tcBorders>
            <w:shd w:val="clear" w:color="000000" w:fill="F2F2F2"/>
          </w:tcPr>
          <w:p w14:paraId="04A93FC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44</w:t>
            </w:r>
          </w:p>
        </w:tc>
      </w:tr>
      <w:tr w:rsidR="00BA4F92" w:rsidRPr="003F0303" w14:paraId="112A0FC8" w14:textId="77777777" w:rsidTr="00556714">
        <w:tc>
          <w:tcPr>
            <w:tcW w:w="4214" w:type="pct"/>
            <w:tcBorders>
              <w:top w:val="nil"/>
              <w:bottom w:val="nil"/>
            </w:tcBorders>
            <w:shd w:val="clear" w:color="000000" w:fill="auto"/>
          </w:tcPr>
          <w:p w14:paraId="55F100D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Costin, Cr. Graham</w:t>
            </w:r>
          </w:p>
        </w:tc>
        <w:tc>
          <w:tcPr>
            <w:tcW w:w="786" w:type="pct"/>
            <w:tcBorders>
              <w:top w:val="nil"/>
              <w:bottom w:val="nil"/>
            </w:tcBorders>
            <w:shd w:val="clear" w:color="000000" w:fill="auto"/>
          </w:tcPr>
          <w:p w14:paraId="19BA0A4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26</w:t>
            </w:r>
          </w:p>
        </w:tc>
      </w:tr>
      <w:tr w:rsidR="00BA4F92" w:rsidRPr="003F0303" w14:paraId="419F83A1" w14:textId="77777777" w:rsidTr="00556714">
        <w:tc>
          <w:tcPr>
            <w:tcW w:w="4214" w:type="pct"/>
            <w:tcBorders>
              <w:bottom w:val="nil"/>
            </w:tcBorders>
            <w:shd w:val="clear" w:color="000000" w:fill="F2F2F2"/>
          </w:tcPr>
          <w:p w14:paraId="15AC1D0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Council of Single Mothers and their Children</w:t>
            </w:r>
          </w:p>
        </w:tc>
        <w:tc>
          <w:tcPr>
            <w:tcW w:w="786" w:type="pct"/>
            <w:tcBorders>
              <w:bottom w:val="nil"/>
            </w:tcBorders>
            <w:shd w:val="clear" w:color="000000" w:fill="F2F2F2"/>
          </w:tcPr>
          <w:p w14:paraId="06E2B0A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100</w:t>
            </w:r>
          </w:p>
        </w:tc>
      </w:tr>
      <w:tr w:rsidR="00BA4F92" w:rsidRPr="003F0303" w14:paraId="347E6E1A" w14:textId="77777777" w:rsidTr="00556714">
        <w:tc>
          <w:tcPr>
            <w:tcW w:w="4214" w:type="pct"/>
            <w:tcBorders>
              <w:top w:val="nil"/>
              <w:bottom w:val="nil"/>
            </w:tcBorders>
            <w:shd w:val="clear" w:color="000000" w:fill="auto"/>
          </w:tcPr>
          <w:p w14:paraId="1F89A19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Cultural Au Pair Association of Australia (CAPAA)</w:t>
            </w:r>
          </w:p>
        </w:tc>
        <w:tc>
          <w:tcPr>
            <w:tcW w:w="786" w:type="pct"/>
            <w:tcBorders>
              <w:top w:val="nil"/>
              <w:bottom w:val="nil"/>
            </w:tcBorders>
            <w:shd w:val="clear" w:color="000000" w:fill="auto"/>
          </w:tcPr>
          <w:p w14:paraId="7E08D91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31</w:t>
            </w:r>
          </w:p>
        </w:tc>
      </w:tr>
      <w:tr w:rsidR="00BA4F92" w:rsidRPr="003F0303" w14:paraId="6CC4BA66" w14:textId="77777777" w:rsidTr="00556714">
        <w:tc>
          <w:tcPr>
            <w:tcW w:w="4214" w:type="pct"/>
            <w:tcBorders>
              <w:bottom w:val="nil"/>
            </w:tcBorders>
            <w:shd w:val="clear" w:color="000000" w:fill="F2F2F2"/>
          </w:tcPr>
          <w:p w14:paraId="7152AE6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Curtin University</w:t>
            </w:r>
          </w:p>
        </w:tc>
        <w:tc>
          <w:tcPr>
            <w:tcW w:w="786" w:type="pct"/>
            <w:tcBorders>
              <w:bottom w:val="nil"/>
            </w:tcBorders>
            <w:shd w:val="clear" w:color="000000" w:fill="F2F2F2"/>
          </w:tcPr>
          <w:p w14:paraId="0BF90F1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175</w:t>
            </w:r>
          </w:p>
        </w:tc>
      </w:tr>
      <w:tr w:rsidR="00BA4F92" w:rsidRPr="003F0303" w14:paraId="468BBA57" w14:textId="77777777" w:rsidTr="00556714">
        <w:tc>
          <w:tcPr>
            <w:tcW w:w="4214" w:type="pct"/>
            <w:tcBorders>
              <w:top w:val="nil"/>
              <w:bottom w:val="nil"/>
            </w:tcBorders>
            <w:shd w:val="clear" w:color="000000" w:fill="auto"/>
          </w:tcPr>
          <w:p w14:paraId="522FBB1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Deniliquin Children’s Centre</w:t>
            </w:r>
          </w:p>
        </w:tc>
        <w:tc>
          <w:tcPr>
            <w:tcW w:w="786" w:type="pct"/>
            <w:tcBorders>
              <w:top w:val="nil"/>
              <w:bottom w:val="nil"/>
            </w:tcBorders>
            <w:shd w:val="clear" w:color="000000" w:fill="auto"/>
          </w:tcPr>
          <w:p w14:paraId="0C2A1C4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169</w:t>
            </w:r>
          </w:p>
        </w:tc>
      </w:tr>
      <w:tr w:rsidR="00BA4F92" w:rsidRPr="003F0303" w14:paraId="1B6DF8FC" w14:textId="77777777" w:rsidTr="00556714">
        <w:tc>
          <w:tcPr>
            <w:tcW w:w="4214" w:type="pct"/>
            <w:tcBorders>
              <w:bottom w:val="nil"/>
            </w:tcBorders>
            <w:shd w:val="clear" w:color="000000" w:fill="F2F2F2"/>
          </w:tcPr>
          <w:p w14:paraId="797880A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Diversity Council Australia (DCA)</w:t>
            </w:r>
          </w:p>
        </w:tc>
        <w:tc>
          <w:tcPr>
            <w:tcW w:w="786" w:type="pct"/>
            <w:tcBorders>
              <w:bottom w:val="nil"/>
            </w:tcBorders>
            <w:shd w:val="clear" w:color="000000" w:fill="F2F2F2"/>
          </w:tcPr>
          <w:p w14:paraId="1EED94B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71</w:t>
            </w:r>
          </w:p>
        </w:tc>
      </w:tr>
      <w:tr w:rsidR="00BA4F92" w:rsidRPr="003F0303" w14:paraId="79879B82" w14:textId="77777777" w:rsidTr="00556714">
        <w:tc>
          <w:tcPr>
            <w:tcW w:w="4214" w:type="pct"/>
            <w:tcBorders>
              <w:top w:val="nil"/>
              <w:bottom w:val="nil"/>
            </w:tcBorders>
            <w:shd w:val="clear" w:color="000000" w:fill="auto"/>
          </w:tcPr>
          <w:p w14:paraId="64F5953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Childhood</w:t>
            </w:r>
            <w:r w:rsidRPr="00E32E8A">
              <w:rPr>
                <w:rFonts w:ascii="Arial (Body)" w:hAnsi="Arial (Body)"/>
                <w:b w:val="0"/>
                <w:bCs/>
                <w:color w:val="auto"/>
              </w:rPr>
              <w:t xml:space="preserve"> Australia (</w:t>
            </w:r>
            <w:r w:rsidRPr="00270F35">
              <w:rPr>
                <w:rFonts w:ascii="Arial (Body)" w:hAnsi="Arial (Body)"/>
                <w:b w:val="0"/>
                <w:bCs/>
                <w:color w:val="auto"/>
              </w:rPr>
              <w:t>ECA</w:t>
            </w:r>
            <w:r w:rsidRPr="00E32E8A">
              <w:rPr>
                <w:rFonts w:ascii="Arial (Body)" w:hAnsi="Arial (Body)"/>
                <w:b w:val="0"/>
                <w:bCs/>
                <w:color w:val="auto"/>
              </w:rPr>
              <w:t>)</w:t>
            </w:r>
          </w:p>
        </w:tc>
        <w:tc>
          <w:tcPr>
            <w:tcW w:w="786" w:type="pct"/>
            <w:tcBorders>
              <w:top w:val="nil"/>
              <w:bottom w:val="nil"/>
            </w:tcBorders>
            <w:shd w:val="clear" w:color="000000" w:fill="auto"/>
          </w:tcPr>
          <w:p w14:paraId="3C6B401E"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154, 302</w:t>
            </w:r>
          </w:p>
        </w:tc>
      </w:tr>
      <w:tr w:rsidR="00BA4F92" w:rsidRPr="003F0303" w14:paraId="5EF856AA" w14:textId="77777777" w:rsidTr="00556714">
        <w:tc>
          <w:tcPr>
            <w:tcW w:w="4214" w:type="pct"/>
            <w:tcBorders>
              <w:bottom w:val="nil"/>
            </w:tcBorders>
            <w:shd w:val="clear" w:color="000000" w:fill="F2F2F2"/>
          </w:tcPr>
          <w:p w14:paraId="6265B78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Childhood Care and Development Policy Partnership (ECPP)</w:t>
            </w:r>
          </w:p>
        </w:tc>
        <w:tc>
          <w:tcPr>
            <w:tcW w:w="786" w:type="pct"/>
            <w:tcBorders>
              <w:bottom w:val="nil"/>
            </w:tcBorders>
            <w:shd w:val="clear" w:color="000000" w:fill="F2F2F2"/>
          </w:tcPr>
          <w:p w14:paraId="733F504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329</w:t>
            </w:r>
          </w:p>
        </w:tc>
      </w:tr>
      <w:tr w:rsidR="00BA4F92" w:rsidRPr="00270F35" w14:paraId="5988F3B7" w14:textId="77777777" w:rsidTr="00556714">
        <w:tc>
          <w:tcPr>
            <w:tcW w:w="4214" w:type="pct"/>
            <w:tcBorders>
              <w:top w:val="nil"/>
              <w:bottom w:val="nil"/>
            </w:tcBorders>
            <w:shd w:val="clear" w:color="000000" w:fill="auto"/>
          </w:tcPr>
          <w:p w14:paraId="782196B0"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Childhood Organisation South Australia (EChO)</w:t>
            </w:r>
          </w:p>
        </w:tc>
        <w:tc>
          <w:tcPr>
            <w:tcW w:w="786" w:type="pct"/>
            <w:tcBorders>
              <w:top w:val="nil"/>
              <w:bottom w:val="nil"/>
            </w:tcBorders>
            <w:shd w:val="clear" w:color="000000" w:fill="auto"/>
          </w:tcPr>
          <w:p w14:paraId="3B9EE376" w14:textId="77777777" w:rsidR="00BA4F92" w:rsidRPr="002A2BD7" w:rsidRDefault="00BA4F92" w:rsidP="00882158">
            <w:pPr>
              <w:pStyle w:val="TableBody"/>
              <w:spacing w:before="45" w:after="45"/>
              <w:ind w:right="108"/>
              <w:jc w:val="right"/>
              <w:rPr>
                <w:rFonts w:ascii="Arial (Body)" w:hAnsi="Arial (Body)"/>
                <w:color w:val="000000"/>
              </w:rPr>
            </w:pPr>
            <w:r w:rsidRPr="002A2BD7">
              <w:rPr>
                <w:rFonts w:ascii="Arial (Body)" w:hAnsi="Arial (Body)"/>
                <w:color w:val="000000"/>
              </w:rPr>
              <w:t>28</w:t>
            </w:r>
          </w:p>
        </w:tc>
      </w:tr>
      <w:tr w:rsidR="00BA4F92" w:rsidRPr="003F0303" w14:paraId="4C1C81C4" w14:textId="77777777" w:rsidTr="00556714">
        <w:tc>
          <w:tcPr>
            <w:tcW w:w="4214" w:type="pct"/>
            <w:tcBorders>
              <w:bottom w:val="nil"/>
            </w:tcBorders>
            <w:shd w:val="clear" w:color="000000" w:fill="F2F2F2"/>
          </w:tcPr>
          <w:p w14:paraId="75FAA91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Childhood Teacher Education Council (ECTEC) NSW/ACT</w:t>
            </w:r>
          </w:p>
        </w:tc>
        <w:tc>
          <w:tcPr>
            <w:tcW w:w="786" w:type="pct"/>
            <w:tcBorders>
              <w:bottom w:val="nil"/>
            </w:tcBorders>
            <w:shd w:val="clear" w:color="000000" w:fill="F2F2F2"/>
          </w:tcPr>
          <w:p w14:paraId="2C36C47C" w14:textId="77777777" w:rsidR="00BA4F92" w:rsidRPr="002A2BD7" w:rsidRDefault="00BA4F92" w:rsidP="00882158">
            <w:pPr>
              <w:pStyle w:val="TableHeading"/>
              <w:spacing w:before="45" w:after="45"/>
              <w:ind w:right="108"/>
              <w:jc w:val="right"/>
              <w:rPr>
                <w:rFonts w:ascii="Arial (Body)" w:hAnsi="Arial (Body)"/>
                <w:b w:val="0"/>
                <w:color w:val="000000"/>
              </w:rPr>
            </w:pPr>
            <w:r w:rsidRPr="002A2BD7">
              <w:rPr>
                <w:rFonts w:ascii="Arial (Body)" w:hAnsi="Arial (Body)"/>
                <w:b w:val="0"/>
                <w:color w:val="000000"/>
              </w:rPr>
              <w:t>246</w:t>
            </w:r>
          </w:p>
        </w:tc>
      </w:tr>
      <w:tr w:rsidR="00BA4F92" w:rsidRPr="003F0303" w14:paraId="6554487C" w14:textId="77777777" w:rsidTr="00556714">
        <w:tc>
          <w:tcPr>
            <w:tcW w:w="4214" w:type="pct"/>
            <w:tcBorders>
              <w:top w:val="nil"/>
              <w:bottom w:val="nil"/>
            </w:tcBorders>
            <w:shd w:val="clear" w:color="000000" w:fill="auto"/>
          </w:tcPr>
          <w:p w14:paraId="7CAB294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Early Learning and Care Council of Australia (ELACCA)</w:t>
            </w:r>
          </w:p>
        </w:tc>
        <w:tc>
          <w:tcPr>
            <w:tcW w:w="786" w:type="pct"/>
            <w:tcBorders>
              <w:top w:val="nil"/>
              <w:bottom w:val="nil"/>
            </w:tcBorders>
            <w:shd w:val="clear" w:color="000000" w:fill="auto"/>
          </w:tcPr>
          <w:p w14:paraId="4D5C346E" w14:textId="77777777" w:rsidR="00BA4F92" w:rsidRPr="002A2BD7" w:rsidRDefault="00BA4F92" w:rsidP="00882158">
            <w:pPr>
              <w:pStyle w:val="TableHeading"/>
              <w:spacing w:before="45" w:after="45"/>
              <w:ind w:right="108"/>
              <w:jc w:val="right"/>
              <w:rPr>
                <w:rFonts w:ascii="Arial (Body)" w:hAnsi="Arial (Body)"/>
                <w:b w:val="0"/>
                <w:color w:val="000000"/>
              </w:rPr>
            </w:pPr>
            <w:r w:rsidRPr="002A2BD7">
              <w:rPr>
                <w:rFonts w:ascii="Arial (Body)" w:hAnsi="Arial (Body)"/>
                <w:b w:val="0"/>
                <w:color w:val="000000"/>
              </w:rPr>
              <w:t>153, 299, 322</w:t>
            </w:r>
          </w:p>
        </w:tc>
      </w:tr>
      <w:tr w:rsidR="00BA4F92" w:rsidRPr="003F0303" w14:paraId="645EEC6B" w14:textId="77777777" w:rsidTr="00556714">
        <w:tc>
          <w:tcPr>
            <w:tcW w:w="4214" w:type="pct"/>
            <w:tcBorders>
              <w:bottom w:val="nil"/>
            </w:tcBorders>
            <w:shd w:val="clear" w:color="000000" w:fill="F2F2F2"/>
          </w:tcPr>
          <w:p w14:paraId="6D6DA5CB"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 xml:space="preserve">Early Learning </w:t>
            </w:r>
            <w:r w:rsidRPr="00270F35">
              <w:rPr>
                <w:rFonts w:ascii="Arial (Body)" w:hAnsi="Arial (Body)"/>
                <w:b w:val="0"/>
                <w:bCs/>
                <w:color w:val="auto"/>
              </w:rPr>
              <w:t>Association</w:t>
            </w:r>
            <w:r w:rsidRPr="00E32E8A">
              <w:rPr>
                <w:rFonts w:ascii="Arial (Body)" w:hAnsi="Arial (Body)"/>
                <w:b w:val="0"/>
                <w:bCs/>
                <w:color w:val="auto"/>
              </w:rPr>
              <w:t xml:space="preserve"> Australia </w:t>
            </w:r>
            <w:r w:rsidRPr="00270F35">
              <w:rPr>
                <w:rFonts w:ascii="Arial (Body)" w:hAnsi="Arial (Body)"/>
                <w:b w:val="0"/>
                <w:bCs/>
                <w:color w:val="auto"/>
              </w:rPr>
              <w:t>INC.</w:t>
            </w:r>
          </w:p>
        </w:tc>
        <w:tc>
          <w:tcPr>
            <w:tcW w:w="786" w:type="pct"/>
            <w:tcBorders>
              <w:bottom w:val="nil"/>
            </w:tcBorders>
            <w:shd w:val="clear" w:color="000000" w:fill="F2F2F2"/>
          </w:tcPr>
          <w:p w14:paraId="227E5A6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48, 237</w:t>
            </w:r>
          </w:p>
        </w:tc>
      </w:tr>
      <w:tr w:rsidR="00BA4F92" w:rsidRPr="003F0303" w14:paraId="22B3ABBE" w14:textId="77777777" w:rsidTr="00556714">
        <w:tc>
          <w:tcPr>
            <w:tcW w:w="4214" w:type="pct"/>
            <w:tcBorders>
              <w:top w:val="nil"/>
              <w:bottom w:val="nil"/>
            </w:tcBorders>
            <w:shd w:val="clear" w:color="000000" w:fill="auto"/>
          </w:tcPr>
          <w:p w14:paraId="28A0BE42"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 xml:space="preserve">Early </w:t>
            </w:r>
            <w:r w:rsidRPr="00270F35">
              <w:rPr>
                <w:rFonts w:ascii="Arial (Body)" w:hAnsi="Arial (Body)"/>
                <w:b w:val="0"/>
                <w:bCs/>
                <w:color w:val="auto"/>
              </w:rPr>
              <w:t>Years Intercultural</w:t>
            </w:r>
            <w:r w:rsidRPr="00E32E8A">
              <w:rPr>
                <w:rFonts w:ascii="Arial (Body)" w:hAnsi="Arial (Body)"/>
                <w:b w:val="0"/>
                <w:bCs/>
                <w:color w:val="auto"/>
              </w:rPr>
              <w:t xml:space="preserve"> Association </w:t>
            </w:r>
            <w:r w:rsidRPr="00270F35">
              <w:rPr>
                <w:rFonts w:ascii="Arial (Body)" w:hAnsi="Arial (Body)"/>
                <w:b w:val="0"/>
                <w:bCs/>
                <w:color w:val="auto"/>
              </w:rPr>
              <w:t>(EYIA)</w:t>
            </w:r>
          </w:p>
        </w:tc>
        <w:tc>
          <w:tcPr>
            <w:tcW w:w="786" w:type="pct"/>
            <w:tcBorders>
              <w:top w:val="nil"/>
              <w:bottom w:val="nil"/>
            </w:tcBorders>
            <w:shd w:val="clear" w:color="000000" w:fill="auto"/>
          </w:tcPr>
          <w:p w14:paraId="39AFA75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97</w:t>
            </w:r>
          </w:p>
        </w:tc>
      </w:tr>
      <w:tr w:rsidR="00BA4F92" w:rsidRPr="003F0303" w14:paraId="147C931D" w14:textId="77777777" w:rsidTr="00556714">
        <w:tc>
          <w:tcPr>
            <w:tcW w:w="4214" w:type="pct"/>
            <w:tcBorders>
              <w:bottom w:val="nil"/>
            </w:tcBorders>
            <w:shd w:val="clear" w:color="000000" w:fill="F2F2F2"/>
          </w:tcPr>
          <w:p w14:paraId="61D06A85"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Education Standards Board (ESA)</w:t>
            </w:r>
          </w:p>
        </w:tc>
        <w:tc>
          <w:tcPr>
            <w:tcW w:w="786" w:type="pct"/>
            <w:tcBorders>
              <w:bottom w:val="nil"/>
            </w:tcBorders>
            <w:shd w:val="clear" w:color="000000" w:fill="F2F2F2"/>
          </w:tcPr>
          <w:p w14:paraId="139349A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310</w:t>
            </w:r>
          </w:p>
        </w:tc>
      </w:tr>
      <w:tr w:rsidR="00BA4F92" w:rsidRPr="00270F35" w14:paraId="49040DC5" w14:textId="77777777" w:rsidTr="00556714">
        <w:tc>
          <w:tcPr>
            <w:tcW w:w="4214" w:type="pct"/>
            <w:tcBorders>
              <w:top w:val="nil"/>
              <w:bottom w:val="nil"/>
            </w:tcBorders>
            <w:shd w:val="clear" w:color="000000" w:fill="auto"/>
          </w:tcPr>
          <w:p w14:paraId="0A24690D"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Elder Street Early Childhood Centre</w:t>
            </w:r>
          </w:p>
        </w:tc>
        <w:tc>
          <w:tcPr>
            <w:tcW w:w="786" w:type="pct"/>
            <w:tcBorders>
              <w:top w:val="nil"/>
              <w:bottom w:val="nil"/>
            </w:tcBorders>
            <w:shd w:val="clear" w:color="000000" w:fill="auto"/>
          </w:tcPr>
          <w:p w14:paraId="31DEBCF7"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30</w:t>
            </w:r>
          </w:p>
        </w:tc>
      </w:tr>
      <w:tr w:rsidR="00BA4F92" w:rsidRPr="003F0303" w14:paraId="5779E039" w14:textId="77777777" w:rsidTr="00556714">
        <w:tc>
          <w:tcPr>
            <w:tcW w:w="4214" w:type="pct"/>
            <w:tcBorders>
              <w:bottom w:val="nil"/>
            </w:tcBorders>
            <w:shd w:val="clear" w:color="000000" w:fill="F2F2F2"/>
          </w:tcPr>
          <w:p w14:paraId="3B9127B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eQIPd</w:t>
            </w:r>
          </w:p>
        </w:tc>
        <w:tc>
          <w:tcPr>
            <w:tcW w:w="786" w:type="pct"/>
            <w:tcBorders>
              <w:bottom w:val="nil"/>
            </w:tcBorders>
            <w:shd w:val="clear" w:color="000000" w:fill="F2F2F2"/>
          </w:tcPr>
          <w:p w14:paraId="4AAC851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216</w:t>
            </w:r>
          </w:p>
        </w:tc>
      </w:tr>
      <w:tr w:rsidR="00BA4F92" w:rsidRPr="003F0303" w14:paraId="40C93E46" w14:textId="77777777" w:rsidTr="00556714">
        <w:tc>
          <w:tcPr>
            <w:tcW w:w="4214" w:type="pct"/>
            <w:tcBorders>
              <w:top w:val="nil"/>
              <w:bottom w:val="nil"/>
            </w:tcBorders>
            <w:shd w:val="clear" w:color="000000" w:fill="auto"/>
          </w:tcPr>
          <w:p w14:paraId="799BDEF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Faculty of Education, Monash University</w:t>
            </w:r>
          </w:p>
        </w:tc>
        <w:tc>
          <w:tcPr>
            <w:tcW w:w="786" w:type="pct"/>
            <w:tcBorders>
              <w:top w:val="nil"/>
              <w:bottom w:val="nil"/>
            </w:tcBorders>
            <w:shd w:val="clear" w:color="000000" w:fill="auto"/>
          </w:tcPr>
          <w:p w14:paraId="6BC6B2E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80</w:t>
            </w:r>
          </w:p>
        </w:tc>
      </w:tr>
      <w:tr w:rsidR="00BA4F92" w:rsidRPr="003F0303" w14:paraId="40A4B6AE" w14:textId="77777777" w:rsidTr="00556714">
        <w:tc>
          <w:tcPr>
            <w:tcW w:w="4214" w:type="pct"/>
            <w:tcBorders>
              <w:bottom w:val="nil"/>
            </w:tcBorders>
            <w:shd w:val="clear" w:color="000000" w:fill="F2F2F2"/>
          </w:tcPr>
          <w:p w14:paraId="0366E9D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Family Advocacy</w:t>
            </w:r>
          </w:p>
        </w:tc>
        <w:tc>
          <w:tcPr>
            <w:tcW w:w="786" w:type="pct"/>
            <w:tcBorders>
              <w:bottom w:val="nil"/>
            </w:tcBorders>
            <w:shd w:val="clear" w:color="000000" w:fill="F2F2F2"/>
          </w:tcPr>
          <w:p w14:paraId="1E265C0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118</w:t>
            </w:r>
          </w:p>
        </w:tc>
      </w:tr>
      <w:tr w:rsidR="00BA4F92" w:rsidRPr="003F0303" w14:paraId="7B17622A" w14:textId="77777777" w:rsidTr="00556714">
        <w:tc>
          <w:tcPr>
            <w:tcW w:w="4214" w:type="pct"/>
            <w:tcBorders>
              <w:top w:val="nil"/>
              <w:bottom w:val="nil"/>
            </w:tcBorders>
            <w:shd w:val="clear" w:color="000000" w:fill="auto"/>
          </w:tcPr>
          <w:p w14:paraId="0A011804"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Family Day Care Australia (FDCA)</w:t>
            </w:r>
          </w:p>
        </w:tc>
        <w:tc>
          <w:tcPr>
            <w:tcW w:w="786" w:type="pct"/>
            <w:tcBorders>
              <w:top w:val="nil"/>
              <w:bottom w:val="nil"/>
            </w:tcBorders>
            <w:shd w:val="clear" w:color="000000" w:fill="auto"/>
          </w:tcPr>
          <w:p w14:paraId="67030D0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66, 240</w:t>
            </w:r>
          </w:p>
        </w:tc>
      </w:tr>
      <w:tr w:rsidR="00BA4F92" w:rsidRPr="003F0303" w14:paraId="2164D2BA" w14:textId="77777777" w:rsidTr="00556714">
        <w:tc>
          <w:tcPr>
            <w:tcW w:w="4214" w:type="pct"/>
            <w:tcBorders>
              <w:bottom w:val="nil"/>
            </w:tcBorders>
            <w:shd w:val="clear" w:color="000000" w:fill="F2F2F2"/>
          </w:tcPr>
          <w:p w14:paraId="4B1DCDEF"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Finlay, Dr Summer May and Jackson, Ms Belinda</w:t>
            </w:r>
          </w:p>
        </w:tc>
        <w:tc>
          <w:tcPr>
            <w:tcW w:w="786" w:type="pct"/>
            <w:tcBorders>
              <w:bottom w:val="nil"/>
            </w:tcBorders>
            <w:shd w:val="clear" w:color="000000" w:fill="F2F2F2"/>
          </w:tcPr>
          <w:p w14:paraId="51721A3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273</w:t>
            </w:r>
          </w:p>
        </w:tc>
      </w:tr>
      <w:tr w:rsidR="00BA4F92" w:rsidRPr="003F0303" w14:paraId="01F2D1FF" w14:textId="77777777" w:rsidTr="00556714">
        <w:tc>
          <w:tcPr>
            <w:tcW w:w="4214" w:type="pct"/>
            <w:tcBorders>
              <w:top w:val="nil"/>
              <w:bottom w:val="nil"/>
            </w:tcBorders>
            <w:shd w:val="clear" w:color="000000" w:fill="auto"/>
          </w:tcPr>
          <w:p w14:paraId="33F4F12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First People’s Disability Network</w:t>
            </w:r>
          </w:p>
        </w:tc>
        <w:tc>
          <w:tcPr>
            <w:tcW w:w="786" w:type="pct"/>
            <w:tcBorders>
              <w:top w:val="nil"/>
              <w:bottom w:val="nil"/>
            </w:tcBorders>
            <w:shd w:val="clear" w:color="000000" w:fill="auto"/>
          </w:tcPr>
          <w:p w14:paraId="56D3445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257</w:t>
            </w:r>
          </w:p>
        </w:tc>
      </w:tr>
      <w:tr w:rsidR="00BA4F92" w:rsidRPr="003F0303" w14:paraId="5E978B0B" w14:textId="77777777" w:rsidTr="00556714">
        <w:tc>
          <w:tcPr>
            <w:tcW w:w="4214" w:type="pct"/>
            <w:tcBorders>
              <w:bottom w:val="nil"/>
            </w:tcBorders>
            <w:shd w:val="clear" w:color="000000" w:fill="F2F2F2"/>
          </w:tcPr>
          <w:p w14:paraId="5B6EE32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Fischer, Glenn</w:t>
            </w:r>
          </w:p>
        </w:tc>
        <w:tc>
          <w:tcPr>
            <w:tcW w:w="786" w:type="pct"/>
            <w:tcBorders>
              <w:bottom w:val="nil"/>
            </w:tcBorders>
            <w:shd w:val="clear" w:color="000000" w:fill="F2F2F2"/>
          </w:tcPr>
          <w:p w14:paraId="480E1063"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172</w:t>
            </w:r>
          </w:p>
        </w:tc>
      </w:tr>
      <w:tr w:rsidR="00BA4F92" w:rsidRPr="003F0303" w14:paraId="787CA91C" w14:textId="77777777" w:rsidTr="00556714">
        <w:tc>
          <w:tcPr>
            <w:tcW w:w="4214" w:type="pct"/>
            <w:tcBorders>
              <w:top w:val="nil"/>
              <w:bottom w:val="nil"/>
            </w:tcBorders>
            <w:shd w:val="clear" w:color="000000" w:fill="auto"/>
          </w:tcPr>
          <w:p w14:paraId="76BE001B" w14:textId="7A5099A1"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fka Children</w:t>
            </w:r>
            <w:r w:rsidR="00B5417E">
              <w:rPr>
                <w:rFonts w:ascii="Arial (Body)" w:hAnsi="Arial (Body)"/>
                <w:b w:val="0"/>
                <w:bCs/>
                <w:color w:val="auto"/>
              </w:rPr>
              <w:t>’</w:t>
            </w:r>
            <w:r w:rsidRPr="00270F35">
              <w:rPr>
                <w:rFonts w:ascii="Arial (Body)" w:hAnsi="Arial (Body)"/>
                <w:b w:val="0"/>
                <w:bCs/>
                <w:color w:val="auto"/>
              </w:rPr>
              <w:t>s Services (fksCS)</w:t>
            </w:r>
          </w:p>
        </w:tc>
        <w:tc>
          <w:tcPr>
            <w:tcW w:w="786" w:type="pct"/>
            <w:tcBorders>
              <w:top w:val="nil"/>
              <w:bottom w:val="nil"/>
            </w:tcBorders>
            <w:shd w:val="clear" w:color="000000" w:fill="auto"/>
          </w:tcPr>
          <w:p w14:paraId="7217073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200</w:t>
            </w:r>
          </w:p>
        </w:tc>
      </w:tr>
      <w:tr w:rsidR="00BA4F92" w:rsidRPr="003F0303" w14:paraId="1E3A147F" w14:textId="77777777" w:rsidTr="00556714">
        <w:tc>
          <w:tcPr>
            <w:tcW w:w="4214" w:type="pct"/>
            <w:tcBorders>
              <w:bottom w:val="nil"/>
            </w:tcBorders>
            <w:shd w:val="clear" w:color="000000" w:fill="F2F2F2"/>
          </w:tcPr>
          <w:p w14:paraId="6170992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Flinders University</w:t>
            </w:r>
          </w:p>
        </w:tc>
        <w:tc>
          <w:tcPr>
            <w:tcW w:w="786" w:type="pct"/>
            <w:tcBorders>
              <w:bottom w:val="nil"/>
            </w:tcBorders>
            <w:shd w:val="clear" w:color="000000" w:fill="F2F2F2"/>
          </w:tcPr>
          <w:p w14:paraId="37B10C8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99, 262</w:t>
            </w:r>
          </w:p>
        </w:tc>
      </w:tr>
      <w:tr w:rsidR="00BA4F92" w:rsidRPr="003F0303" w14:paraId="5539B601" w14:textId="77777777" w:rsidTr="00556714">
        <w:tc>
          <w:tcPr>
            <w:tcW w:w="4214" w:type="pct"/>
            <w:tcBorders>
              <w:top w:val="nil"/>
              <w:bottom w:val="nil"/>
            </w:tcBorders>
            <w:shd w:val="clear" w:color="000000" w:fill="auto"/>
          </w:tcPr>
          <w:p w14:paraId="35311F3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Future Women (FW)</w:t>
            </w:r>
          </w:p>
        </w:tc>
        <w:tc>
          <w:tcPr>
            <w:tcW w:w="786" w:type="pct"/>
            <w:tcBorders>
              <w:top w:val="nil"/>
              <w:bottom w:val="nil"/>
            </w:tcBorders>
            <w:shd w:val="clear" w:color="000000" w:fill="auto"/>
          </w:tcPr>
          <w:p w14:paraId="3888052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270</w:t>
            </w:r>
          </w:p>
        </w:tc>
      </w:tr>
      <w:tr w:rsidR="00BA4F92" w:rsidRPr="003F0303" w14:paraId="09B82FE0" w14:textId="77777777" w:rsidTr="00556714">
        <w:tc>
          <w:tcPr>
            <w:tcW w:w="4214" w:type="pct"/>
            <w:tcBorders>
              <w:bottom w:val="nil"/>
            </w:tcBorders>
            <w:shd w:val="clear" w:color="000000" w:fill="F2F2F2"/>
          </w:tcPr>
          <w:p w14:paraId="2208173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G8 Education Limited</w:t>
            </w:r>
          </w:p>
        </w:tc>
        <w:tc>
          <w:tcPr>
            <w:tcW w:w="786" w:type="pct"/>
            <w:tcBorders>
              <w:bottom w:val="nil"/>
            </w:tcBorders>
            <w:shd w:val="clear" w:color="000000" w:fill="F2F2F2"/>
          </w:tcPr>
          <w:p w14:paraId="2B702E9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68, 301</w:t>
            </w:r>
          </w:p>
        </w:tc>
      </w:tr>
      <w:tr w:rsidR="00BA4F92" w:rsidRPr="003F0303" w14:paraId="433FCCFF" w14:textId="77777777" w:rsidTr="00556714">
        <w:tc>
          <w:tcPr>
            <w:tcW w:w="4214" w:type="pct"/>
            <w:tcBorders>
              <w:top w:val="nil"/>
              <w:bottom w:val="nil"/>
            </w:tcBorders>
            <w:shd w:val="clear" w:color="000000" w:fill="auto"/>
          </w:tcPr>
          <w:p w14:paraId="7A114FC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Garland, Dr Carina</w:t>
            </w:r>
          </w:p>
        </w:tc>
        <w:tc>
          <w:tcPr>
            <w:tcW w:w="786" w:type="pct"/>
            <w:tcBorders>
              <w:top w:val="nil"/>
              <w:bottom w:val="nil"/>
            </w:tcBorders>
            <w:shd w:val="clear" w:color="000000" w:fill="auto"/>
          </w:tcPr>
          <w:p w14:paraId="052DA5D7"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263</w:t>
            </w:r>
          </w:p>
        </w:tc>
      </w:tr>
      <w:tr w:rsidR="00BA4F92" w:rsidRPr="003F0303" w14:paraId="278EC856" w14:textId="77777777" w:rsidTr="00556714">
        <w:tc>
          <w:tcPr>
            <w:tcW w:w="4214" w:type="pct"/>
            <w:tcBorders>
              <w:bottom w:val="nil"/>
            </w:tcBorders>
            <w:shd w:val="clear" w:color="000000" w:fill="F2F2F2"/>
          </w:tcPr>
          <w:p w14:paraId="01A82CB4"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Glenelg Shire Council</w:t>
            </w:r>
          </w:p>
        </w:tc>
        <w:tc>
          <w:tcPr>
            <w:tcW w:w="786" w:type="pct"/>
            <w:tcBorders>
              <w:bottom w:val="nil"/>
            </w:tcBorders>
            <w:shd w:val="clear" w:color="000000" w:fill="F2F2F2"/>
          </w:tcPr>
          <w:p w14:paraId="2BC7B59B"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242</w:t>
            </w:r>
          </w:p>
        </w:tc>
      </w:tr>
      <w:tr w:rsidR="00BA4F92" w:rsidRPr="003F0303" w14:paraId="140E00E4" w14:textId="77777777" w:rsidTr="00556714">
        <w:tc>
          <w:tcPr>
            <w:tcW w:w="4214" w:type="pct"/>
            <w:tcBorders>
              <w:top w:val="nil"/>
              <w:bottom w:val="nil"/>
            </w:tcBorders>
            <w:shd w:val="clear" w:color="000000" w:fill="auto"/>
          </w:tcPr>
          <w:p w14:paraId="2BA86618"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Gallagher, Aisling</w:t>
            </w:r>
          </w:p>
        </w:tc>
        <w:tc>
          <w:tcPr>
            <w:tcW w:w="786" w:type="pct"/>
            <w:tcBorders>
              <w:top w:val="nil"/>
              <w:bottom w:val="nil"/>
            </w:tcBorders>
            <w:shd w:val="clear" w:color="000000" w:fill="auto"/>
          </w:tcPr>
          <w:p w14:paraId="7661768D"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164</w:t>
            </w:r>
          </w:p>
        </w:tc>
      </w:tr>
      <w:tr w:rsidR="00BA4F92" w:rsidRPr="003F0303" w14:paraId="72911B84" w14:textId="77777777" w:rsidTr="00556714">
        <w:tc>
          <w:tcPr>
            <w:tcW w:w="4214" w:type="pct"/>
            <w:tcBorders>
              <w:bottom w:val="nil"/>
            </w:tcBorders>
            <w:shd w:val="clear" w:color="000000" w:fill="F2F2F2"/>
          </w:tcPr>
          <w:p w14:paraId="7844D7D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Goodstart Early Learning</w:t>
            </w:r>
          </w:p>
        </w:tc>
        <w:tc>
          <w:tcPr>
            <w:tcW w:w="786" w:type="pct"/>
            <w:tcBorders>
              <w:bottom w:val="nil"/>
            </w:tcBorders>
            <w:shd w:val="clear" w:color="000000" w:fill="F2F2F2"/>
          </w:tcPr>
          <w:p w14:paraId="0419F32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125, 277</w:t>
            </w:r>
          </w:p>
        </w:tc>
      </w:tr>
      <w:tr w:rsidR="00BA4F92" w:rsidRPr="003F0303" w14:paraId="5D0E5100" w14:textId="77777777" w:rsidTr="00556714">
        <w:tc>
          <w:tcPr>
            <w:tcW w:w="4214" w:type="pct"/>
            <w:tcBorders>
              <w:top w:val="nil"/>
              <w:bottom w:val="nil"/>
            </w:tcBorders>
            <w:shd w:val="clear" w:color="000000" w:fill="auto"/>
          </w:tcPr>
          <w:p w14:paraId="43D991B0"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Gowrie Australia</w:t>
            </w:r>
          </w:p>
        </w:tc>
        <w:tc>
          <w:tcPr>
            <w:tcW w:w="786" w:type="pct"/>
            <w:tcBorders>
              <w:top w:val="nil"/>
              <w:bottom w:val="nil"/>
            </w:tcBorders>
            <w:shd w:val="clear" w:color="000000" w:fill="auto"/>
          </w:tcPr>
          <w:p w14:paraId="0CB6D4C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79, 294</w:t>
            </w:r>
          </w:p>
        </w:tc>
      </w:tr>
      <w:tr w:rsidR="00BA4F92" w:rsidRPr="003F0303" w14:paraId="4616DF9B" w14:textId="77777777" w:rsidTr="00556714">
        <w:tc>
          <w:tcPr>
            <w:tcW w:w="4214" w:type="pct"/>
            <w:tcBorders>
              <w:bottom w:val="nil"/>
            </w:tcBorders>
            <w:shd w:val="clear" w:color="000000" w:fill="F2F2F2"/>
          </w:tcPr>
          <w:p w14:paraId="0946645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GrainGrowers Limited</w:t>
            </w:r>
          </w:p>
        </w:tc>
        <w:tc>
          <w:tcPr>
            <w:tcW w:w="786" w:type="pct"/>
            <w:tcBorders>
              <w:bottom w:val="nil"/>
            </w:tcBorders>
            <w:shd w:val="clear" w:color="000000" w:fill="F2F2F2"/>
          </w:tcPr>
          <w:p w14:paraId="6C8504D2"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46</w:t>
            </w:r>
          </w:p>
        </w:tc>
      </w:tr>
      <w:tr w:rsidR="00BA4F92" w:rsidRPr="003F0303" w14:paraId="283CD13A" w14:textId="77777777" w:rsidTr="00556714">
        <w:tc>
          <w:tcPr>
            <w:tcW w:w="4214" w:type="pct"/>
            <w:tcBorders>
              <w:top w:val="nil"/>
              <w:bottom w:val="nil"/>
            </w:tcBorders>
            <w:shd w:val="clear" w:color="000000" w:fill="auto"/>
          </w:tcPr>
          <w:p w14:paraId="768D05C3" w14:textId="77777777" w:rsidR="00BA4F92" w:rsidRPr="003C43E3" w:rsidRDefault="00BA4F92" w:rsidP="00882158">
            <w:pPr>
              <w:pStyle w:val="TableHeading"/>
              <w:spacing w:before="45" w:after="45"/>
              <w:ind w:right="108"/>
              <w:rPr>
                <w:rFonts w:ascii="Arial (Body)" w:hAnsi="Arial (Body)"/>
                <w:b w:val="0"/>
                <w:bCs/>
                <w:color w:val="auto"/>
                <w:lang w:val="de-DE"/>
              </w:rPr>
            </w:pPr>
            <w:r w:rsidRPr="003C43E3">
              <w:rPr>
                <w:rFonts w:ascii="Arial (Body)" w:hAnsi="Arial (Body)"/>
                <w:b w:val="0"/>
                <w:bCs/>
                <w:color w:val="auto"/>
                <w:lang w:val="de-DE"/>
              </w:rPr>
              <w:t>Griffin, Dr Des AM FRSN, Krefft Gerard, Fellow</w:t>
            </w:r>
          </w:p>
        </w:tc>
        <w:tc>
          <w:tcPr>
            <w:tcW w:w="786" w:type="pct"/>
            <w:tcBorders>
              <w:top w:val="nil"/>
              <w:bottom w:val="nil"/>
            </w:tcBorders>
            <w:shd w:val="clear" w:color="000000" w:fill="auto"/>
          </w:tcPr>
          <w:p w14:paraId="1B22FC7C"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181</w:t>
            </w:r>
          </w:p>
        </w:tc>
      </w:tr>
      <w:tr w:rsidR="00BA4F92" w:rsidRPr="003F0303" w14:paraId="06BA494D" w14:textId="77777777" w:rsidTr="00556714">
        <w:tc>
          <w:tcPr>
            <w:tcW w:w="4214" w:type="pct"/>
            <w:tcBorders>
              <w:bottom w:val="nil"/>
            </w:tcBorders>
            <w:shd w:val="clear" w:color="000000" w:fill="F2F2F2"/>
          </w:tcPr>
          <w:p w14:paraId="4033700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Guardian Childcare and Education</w:t>
            </w:r>
          </w:p>
        </w:tc>
        <w:tc>
          <w:tcPr>
            <w:tcW w:w="786" w:type="pct"/>
            <w:tcBorders>
              <w:bottom w:val="nil"/>
            </w:tcBorders>
            <w:shd w:val="clear" w:color="000000" w:fill="F2F2F2"/>
          </w:tcPr>
          <w:p w14:paraId="105E24E6"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254</w:t>
            </w:r>
          </w:p>
        </w:tc>
      </w:tr>
      <w:tr w:rsidR="00BA4F92" w:rsidRPr="003F0303" w14:paraId="107DA28A" w14:textId="77777777" w:rsidTr="00556714">
        <w:tc>
          <w:tcPr>
            <w:tcW w:w="4214" w:type="pct"/>
            <w:tcBorders>
              <w:top w:val="nil"/>
              <w:bottom w:val="nil"/>
            </w:tcBorders>
            <w:shd w:val="clear" w:color="000000" w:fill="auto"/>
          </w:tcPr>
          <w:p w14:paraId="339AB5D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Harrison, Linda</w:t>
            </w:r>
          </w:p>
        </w:tc>
        <w:tc>
          <w:tcPr>
            <w:tcW w:w="786" w:type="pct"/>
            <w:tcBorders>
              <w:top w:val="nil"/>
              <w:bottom w:val="nil"/>
            </w:tcBorders>
            <w:shd w:val="clear" w:color="000000" w:fill="auto"/>
          </w:tcPr>
          <w:p w14:paraId="513F9D2D"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325</w:t>
            </w:r>
          </w:p>
        </w:tc>
      </w:tr>
      <w:tr w:rsidR="00BA4F92" w:rsidRPr="00270F35" w14:paraId="247C8531" w14:textId="77777777" w:rsidTr="00556714">
        <w:tc>
          <w:tcPr>
            <w:tcW w:w="4214" w:type="pct"/>
            <w:tcBorders>
              <w:bottom w:val="nil"/>
            </w:tcBorders>
            <w:shd w:val="clear" w:color="000000" w:fill="F2F2F2"/>
          </w:tcPr>
          <w:p w14:paraId="3ED13DC8"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Health and Wellbeing Queensland (HWQld)</w:t>
            </w:r>
          </w:p>
        </w:tc>
        <w:tc>
          <w:tcPr>
            <w:tcW w:w="786" w:type="pct"/>
            <w:tcBorders>
              <w:bottom w:val="nil"/>
            </w:tcBorders>
            <w:shd w:val="clear" w:color="000000" w:fill="F2F2F2"/>
          </w:tcPr>
          <w:p w14:paraId="7C3BFD97"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193</w:t>
            </w:r>
          </w:p>
        </w:tc>
      </w:tr>
      <w:tr w:rsidR="00BA4F92" w:rsidRPr="003F0303" w14:paraId="5D011C7E" w14:textId="77777777" w:rsidTr="00556714">
        <w:tc>
          <w:tcPr>
            <w:tcW w:w="4214" w:type="pct"/>
            <w:tcBorders>
              <w:top w:val="nil"/>
              <w:bottom w:val="nil"/>
            </w:tcBorders>
            <w:shd w:val="clear" w:color="000000" w:fill="auto"/>
          </w:tcPr>
          <w:p w14:paraId="580E5BA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Hicks, Tamika</w:t>
            </w:r>
          </w:p>
        </w:tc>
        <w:tc>
          <w:tcPr>
            <w:tcW w:w="786" w:type="pct"/>
            <w:tcBorders>
              <w:top w:val="nil"/>
              <w:bottom w:val="nil"/>
            </w:tcBorders>
            <w:shd w:val="clear" w:color="000000" w:fill="auto"/>
          </w:tcPr>
          <w:p w14:paraId="39DFE280"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61</w:t>
            </w:r>
          </w:p>
        </w:tc>
      </w:tr>
      <w:tr w:rsidR="00BA4F92" w:rsidRPr="003F0303" w14:paraId="6A7B6F7B" w14:textId="77777777" w:rsidTr="00556714">
        <w:tc>
          <w:tcPr>
            <w:tcW w:w="4214" w:type="pct"/>
            <w:tcBorders>
              <w:bottom w:val="nil"/>
            </w:tcBorders>
            <w:shd w:val="clear" w:color="000000" w:fill="F2F2F2"/>
          </w:tcPr>
          <w:p w14:paraId="0EAEFF5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Howlett, Nicole</w:t>
            </w:r>
          </w:p>
        </w:tc>
        <w:tc>
          <w:tcPr>
            <w:tcW w:w="786" w:type="pct"/>
            <w:tcBorders>
              <w:bottom w:val="nil"/>
            </w:tcBorders>
            <w:shd w:val="clear" w:color="000000" w:fill="F2F2F2"/>
          </w:tcPr>
          <w:p w14:paraId="6A877AB5"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178</w:t>
            </w:r>
          </w:p>
        </w:tc>
      </w:tr>
      <w:tr w:rsidR="00BA4F92" w:rsidRPr="003F0303" w14:paraId="57B686B1" w14:textId="77777777" w:rsidTr="00556714">
        <w:tc>
          <w:tcPr>
            <w:tcW w:w="4214" w:type="pct"/>
            <w:tcBorders>
              <w:top w:val="nil"/>
              <w:bottom w:val="nil"/>
            </w:tcBorders>
            <w:shd w:val="clear" w:color="000000" w:fill="auto"/>
          </w:tcPr>
          <w:p w14:paraId="1C70B9F2"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Howlong Preschool</w:t>
            </w:r>
          </w:p>
        </w:tc>
        <w:tc>
          <w:tcPr>
            <w:tcW w:w="786" w:type="pct"/>
            <w:tcBorders>
              <w:top w:val="nil"/>
              <w:bottom w:val="nil"/>
            </w:tcBorders>
            <w:shd w:val="clear" w:color="000000" w:fill="auto"/>
          </w:tcPr>
          <w:p w14:paraId="2B9A40D9"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77</w:t>
            </w:r>
          </w:p>
        </w:tc>
      </w:tr>
      <w:tr w:rsidR="00BA4F92" w:rsidRPr="003F0303" w14:paraId="71147412" w14:textId="77777777" w:rsidTr="00556714">
        <w:tc>
          <w:tcPr>
            <w:tcW w:w="4214" w:type="pct"/>
            <w:tcBorders>
              <w:bottom w:val="nil"/>
            </w:tcBorders>
            <w:shd w:val="clear" w:color="000000" w:fill="F2F2F2"/>
          </w:tcPr>
          <w:p w14:paraId="105A278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Independent Education Union of Australia (IEU)</w:t>
            </w:r>
          </w:p>
        </w:tc>
        <w:tc>
          <w:tcPr>
            <w:tcW w:w="786" w:type="pct"/>
            <w:tcBorders>
              <w:bottom w:val="nil"/>
            </w:tcBorders>
            <w:shd w:val="clear" w:color="000000" w:fill="F2F2F2"/>
          </w:tcPr>
          <w:p w14:paraId="6DABC0E8"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243</w:t>
            </w:r>
          </w:p>
        </w:tc>
      </w:tr>
      <w:tr w:rsidR="00BA4F92" w:rsidRPr="003F0303" w14:paraId="4302F57D" w14:textId="77777777" w:rsidTr="00556714">
        <w:tc>
          <w:tcPr>
            <w:tcW w:w="4214" w:type="pct"/>
            <w:tcBorders>
              <w:top w:val="nil"/>
              <w:bottom w:val="nil"/>
            </w:tcBorders>
            <w:shd w:val="clear" w:color="000000" w:fill="auto"/>
          </w:tcPr>
          <w:p w14:paraId="38B5D70B"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 xml:space="preserve">Independent </w:t>
            </w:r>
            <w:r w:rsidRPr="00270F35">
              <w:rPr>
                <w:rFonts w:ascii="Arial (Body)" w:hAnsi="Arial (Body)"/>
                <w:b w:val="0"/>
                <w:bCs/>
                <w:color w:val="auto"/>
              </w:rPr>
              <w:t>Schools</w:t>
            </w:r>
            <w:r w:rsidRPr="00E32E8A">
              <w:rPr>
                <w:rFonts w:ascii="Arial (Body)" w:hAnsi="Arial (Body)"/>
                <w:b w:val="0"/>
                <w:bCs/>
                <w:color w:val="auto"/>
              </w:rPr>
              <w:t xml:space="preserve"> Australia (</w:t>
            </w:r>
            <w:r w:rsidRPr="00270F35">
              <w:rPr>
                <w:rFonts w:ascii="Arial (Body)" w:hAnsi="Arial (Body)"/>
                <w:b w:val="0"/>
                <w:bCs/>
                <w:color w:val="auto"/>
              </w:rPr>
              <w:t>ISA</w:t>
            </w:r>
            <w:r w:rsidRPr="00E32E8A">
              <w:rPr>
                <w:rFonts w:ascii="Arial (Body)" w:hAnsi="Arial (Body)"/>
                <w:b w:val="0"/>
                <w:bCs/>
                <w:color w:val="auto"/>
              </w:rPr>
              <w:t>)</w:t>
            </w:r>
          </w:p>
        </w:tc>
        <w:tc>
          <w:tcPr>
            <w:tcW w:w="786" w:type="pct"/>
            <w:tcBorders>
              <w:top w:val="nil"/>
              <w:bottom w:val="nil"/>
            </w:tcBorders>
            <w:shd w:val="clear" w:color="000000" w:fill="auto"/>
          </w:tcPr>
          <w:p w14:paraId="33078841"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110, 251</w:t>
            </w:r>
          </w:p>
        </w:tc>
      </w:tr>
      <w:tr w:rsidR="00BA4F92" w:rsidRPr="003F0303" w14:paraId="42C52DE6" w14:textId="77777777" w:rsidTr="00556714">
        <w:tc>
          <w:tcPr>
            <w:tcW w:w="4214" w:type="pct"/>
            <w:tcBorders>
              <w:bottom w:val="nil"/>
            </w:tcBorders>
            <w:shd w:val="clear" w:color="000000" w:fill="F2F2F2"/>
          </w:tcPr>
          <w:p w14:paraId="6390880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Infinity Community Solution</w:t>
            </w:r>
          </w:p>
        </w:tc>
        <w:tc>
          <w:tcPr>
            <w:tcW w:w="786" w:type="pct"/>
            <w:tcBorders>
              <w:bottom w:val="nil"/>
            </w:tcBorders>
            <w:shd w:val="clear" w:color="000000" w:fill="F2F2F2"/>
          </w:tcPr>
          <w:p w14:paraId="3ABEBF7F"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296</w:t>
            </w:r>
          </w:p>
        </w:tc>
      </w:tr>
      <w:tr w:rsidR="00BA4F92" w:rsidRPr="00270F35" w14:paraId="5C286608" w14:textId="77777777" w:rsidTr="00556714">
        <w:tc>
          <w:tcPr>
            <w:tcW w:w="4214" w:type="pct"/>
            <w:tcBorders>
              <w:top w:val="nil"/>
              <w:bottom w:val="nil"/>
            </w:tcBorders>
            <w:shd w:val="clear" w:color="000000" w:fill="auto"/>
          </w:tcPr>
          <w:p w14:paraId="217EA454"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International Child Care College</w:t>
            </w:r>
          </w:p>
        </w:tc>
        <w:tc>
          <w:tcPr>
            <w:tcW w:w="786" w:type="pct"/>
            <w:tcBorders>
              <w:top w:val="nil"/>
              <w:bottom w:val="nil"/>
            </w:tcBorders>
            <w:shd w:val="clear" w:color="000000" w:fill="auto"/>
          </w:tcPr>
          <w:p w14:paraId="1272E0D7"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265</w:t>
            </w:r>
          </w:p>
        </w:tc>
      </w:tr>
      <w:tr w:rsidR="00BA4F92" w:rsidRPr="003F0303" w14:paraId="720CB516" w14:textId="77777777" w:rsidTr="00556714">
        <w:tc>
          <w:tcPr>
            <w:tcW w:w="4214" w:type="pct"/>
            <w:tcBorders>
              <w:bottom w:val="nil"/>
            </w:tcBorders>
            <w:shd w:val="clear" w:color="000000" w:fill="F2F2F2"/>
          </w:tcPr>
          <w:p w14:paraId="14DF172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Jackson, Dr Jen</w:t>
            </w:r>
          </w:p>
        </w:tc>
        <w:tc>
          <w:tcPr>
            <w:tcW w:w="786" w:type="pct"/>
            <w:tcBorders>
              <w:bottom w:val="nil"/>
            </w:tcBorders>
            <w:shd w:val="clear" w:color="000000" w:fill="F2F2F2"/>
          </w:tcPr>
          <w:p w14:paraId="4D87E944" w14:textId="77777777" w:rsidR="00BA4F92" w:rsidRPr="00D01C74" w:rsidRDefault="00BA4F92" w:rsidP="00882158">
            <w:pPr>
              <w:pStyle w:val="TableBody"/>
              <w:spacing w:before="45" w:after="45"/>
              <w:ind w:right="108"/>
              <w:jc w:val="right"/>
              <w:rPr>
                <w:rFonts w:ascii="Arial (Body)" w:hAnsi="Arial (Body)"/>
                <w:color w:val="000000"/>
              </w:rPr>
            </w:pPr>
            <w:r w:rsidRPr="00D01C74">
              <w:rPr>
                <w:rFonts w:ascii="Arial (Body)" w:hAnsi="Arial (Body)"/>
                <w:bCs/>
                <w:color w:val="000000"/>
              </w:rPr>
              <w:t>320</w:t>
            </w:r>
          </w:p>
        </w:tc>
      </w:tr>
      <w:tr w:rsidR="00BA4F92" w:rsidRPr="00270F35" w14:paraId="21317066" w14:textId="77777777" w:rsidTr="00556714">
        <w:tc>
          <w:tcPr>
            <w:tcW w:w="4214" w:type="pct"/>
            <w:tcBorders>
              <w:top w:val="nil"/>
              <w:bottom w:val="nil"/>
            </w:tcBorders>
            <w:shd w:val="clear" w:color="000000" w:fill="auto"/>
          </w:tcPr>
          <w:p w14:paraId="6C8BEF98"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Karitane and UNSW</w:t>
            </w:r>
          </w:p>
        </w:tc>
        <w:tc>
          <w:tcPr>
            <w:tcW w:w="786" w:type="pct"/>
            <w:tcBorders>
              <w:top w:val="nil"/>
              <w:bottom w:val="nil"/>
            </w:tcBorders>
            <w:shd w:val="clear" w:color="000000" w:fill="auto"/>
          </w:tcPr>
          <w:p w14:paraId="4F739BEB" w14:textId="77777777" w:rsidR="00BA4F92" w:rsidRPr="00D01C74" w:rsidRDefault="00BA4F92" w:rsidP="00882158">
            <w:pPr>
              <w:pStyle w:val="TableBody"/>
              <w:spacing w:before="45" w:after="45"/>
              <w:ind w:right="108"/>
              <w:jc w:val="right"/>
              <w:rPr>
                <w:rFonts w:ascii="Arial (Body)" w:hAnsi="Arial (Body)"/>
                <w:bCs/>
                <w:color w:val="000000"/>
              </w:rPr>
            </w:pPr>
            <w:r w:rsidRPr="00D01C74">
              <w:rPr>
                <w:rFonts w:ascii="Arial (Body)" w:hAnsi="Arial (Body)"/>
                <w:bCs/>
                <w:color w:val="000000"/>
              </w:rPr>
              <w:t>214</w:t>
            </w:r>
          </w:p>
        </w:tc>
      </w:tr>
      <w:tr w:rsidR="00BA4F92" w:rsidRPr="003F0303" w14:paraId="2C33F874" w14:textId="77777777" w:rsidTr="00556714">
        <w:tc>
          <w:tcPr>
            <w:tcW w:w="4214" w:type="pct"/>
            <w:tcBorders>
              <w:bottom w:val="nil"/>
            </w:tcBorders>
            <w:shd w:val="clear" w:color="000000" w:fill="F2F2F2"/>
          </w:tcPr>
          <w:p w14:paraId="00B1AD5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Kids First Australia</w:t>
            </w:r>
          </w:p>
        </w:tc>
        <w:tc>
          <w:tcPr>
            <w:tcW w:w="786" w:type="pct"/>
            <w:tcBorders>
              <w:bottom w:val="nil"/>
            </w:tcBorders>
            <w:shd w:val="clear" w:color="000000" w:fill="F2F2F2"/>
          </w:tcPr>
          <w:p w14:paraId="3B544DA8" w14:textId="77777777" w:rsidR="00BA4F92" w:rsidRPr="00D01C74"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163</w:t>
            </w:r>
          </w:p>
        </w:tc>
      </w:tr>
      <w:tr w:rsidR="00BA4F92" w:rsidRPr="003F0303" w14:paraId="4D76B827" w14:textId="77777777" w:rsidTr="00556714">
        <w:trPr>
          <w:tblHeader/>
        </w:trPr>
        <w:tc>
          <w:tcPr>
            <w:tcW w:w="4214" w:type="pct"/>
            <w:tcBorders>
              <w:top w:val="nil"/>
              <w:bottom w:val="nil"/>
            </w:tcBorders>
            <w:shd w:val="clear" w:color="000000" w:fill="auto"/>
          </w:tcPr>
          <w:p w14:paraId="60CF57F3" w14:textId="77777777" w:rsidR="00BA4F92" w:rsidRPr="00270F35" w:rsidRDefault="00BA4F92" w:rsidP="00882158">
            <w:pPr>
              <w:pStyle w:val="TableHeading"/>
              <w:spacing w:before="45" w:after="45"/>
              <w:ind w:right="108"/>
              <w:rPr>
                <w:rFonts w:ascii="Arial (Body)" w:hAnsi="Arial (Body)"/>
              </w:rPr>
            </w:pPr>
            <w:r w:rsidRPr="00270F35">
              <w:rPr>
                <w:rFonts w:ascii="Arial (Body)" w:hAnsi="Arial (Body)"/>
                <w:b w:val="0"/>
                <w:bCs/>
                <w:color w:val="auto"/>
              </w:rPr>
              <w:t>Killen, Dr Elizabeth</w:t>
            </w:r>
          </w:p>
        </w:tc>
        <w:tc>
          <w:tcPr>
            <w:tcW w:w="786" w:type="pct"/>
            <w:tcBorders>
              <w:top w:val="nil"/>
              <w:bottom w:val="nil"/>
            </w:tcBorders>
            <w:shd w:val="clear" w:color="000000" w:fill="auto"/>
          </w:tcPr>
          <w:p w14:paraId="0D6DEF01" w14:textId="77777777" w:rsidR="00BA4F92" w:rsidRPr="003F0303" w:rsidRDefault="00BA4F92" w:rsidP="00882158">
            <w:pPr>
              <w:pStyle w:val="TableHeading"/>
              <w:spacing w:before="45" w:after="45"/>
              <w:ind w:right="108"/>
              <w:jc w:val="right"/>
              <w:rPr>
                <w:rFonts w:ascii="Arial (Body)" w:hAnsi="Arial (Body)"/>
                <w:b w:val="0"/>
                <w:color w:val="000000"/>
              </w:rPr>
            </w:pPr>
            <w:r w:rsidRPr="00270F35">
              <w:rPr>
                <w:rFonts w:ascii="Arial (Body)" w:hAnsi="Arial (Body)"/>
                <w:b w:val="0"/>
                <w:color w:val="000000"/>
              </w:rPr>
              <w:t>32</w:t>
            </w:r>
          </w:p>
        </w:tc>
      </w:tr>
      <w:tr w:rsidR="00BA4F92" w:rsidRPr="00270F35" w14:paraId="0BBEE26C" w14:textId="77777777" w:rsidTr="00556714">
        <w:trPr>
          <w:tblHeader/>
        </w:trPr>
        <w:tc>
          <w:tcPr>
            <w:tcW w:w="4214" w:type="pct"/>
            <w:tcBorders>
              <w:bottom w:val="nil"/>
            </w:tcBorders>
            <w:shd w:val="clear" w:color="000000" w:fill="F2F2F2"/>
          </w:tcPr>
          <w:p w14:paraId="5E83923F" w14:textId="77777777" w:rsidR="00BA4F92" w:rsidRPr="00270F35" w:rsidRDefault="00BA4F92" w:rsidP="00882158">
            <w:pPr>
              <w:pStyle w:val="TableHeading"/>
              <w:spacing w:before="45" w:after="45"/>
              <w:ind w:right="108"/>
              <w:rPr>
                <w:rFonts w:ascii="Arial (Body)" w:hAnsi="Arial (Body)"/>
                <w:bCs/>
              </w:rPr>
            </w:pPr>
            <w:r w:rsidRPr="00270F35">
              <w:rPr>
                <w:rFonts w:ascii="Arial (Body)" w:hAnsi="Arial (Body)"/>
                <w:b w:val="0"/>
                <w:bCs/>
                <w:color w:val="auto"/>
              </w:rPr>
              <w:t>KPMG</w:t>
            </w:r>
          </w:p>
        </w:tc>
        <w:tc>
          <w:tcPr>
            <w:tcW w:w="786" w:type="pct"/>
            <w:tcBorders>
              <w:bottom w:val="nil"/>
            </w:tcBorders>
            <w:shd w:val="clear" w:color="000000" w:fill="F2F2F2"/>
          </w:tcPr>
          <w:p w14:paraId="788E722B" w14:textId="77777777" w:rsidR="00BA4F92" w:rsidRPr="00270F35" w:rsidRDefault="00BA4F92" w:rsidP="00882158">
            <w:pPr>
              <w:pStyle w:val="TableHeading"/>
              <w:spacing w:before="45" w:after="45"/>
              <w:ind w:right="108"/>
              <w:jc w:val="right"/>
              <w:rPr>
                <w:rFonts w:ascii="Arial (Body)" w:hAnsi="Arial (Body)"/>
                <w:b w:val="0"/>
                <w:color w:val="000000"/>
              </w:rPr>
            </w:pPr>
            <w:r w:rsidRPr="00270F35">
              <w:rPr>
                <w:rFonts w:ascii="Arial (Body)" w:hAnsi="Arial (Body)"/>
                <w:b w:val="0"/>
                <w:color w:val="000000"/>
              </w:rPr>
              <w:t>190</w:t>
            </w:r>
          </w:p>
        </w:tc>
      </w:tr>
      <w:tr w:rsidR="00BA4F92" w:rsidRPr="003F0303" w14:paraId="500F5A74" w14:textId="77777777" w:rsidTr="00556714">
        <w:trPr>
          <w:tblHeader/>
        </w:trPr>
        <w:tc>
          <w:tcPr>
            <w:tcW w:w="4214" w:type="pct"/>
            <w:tcBorders>
              <w:top w:val="nil"/>
              <w:bottom w:val="nil"/>
            </w:tcBorders>
            <w:shd w:val="clear" w:color="000000" w:fill="auto"/>
          </w:tcPr>
          <w:p w14:paraId="3500F405" w14:textId="77777777" w:rsidR="00BA4F92" w:rsidRPr="00270F35" w:rsidRDefault="00BA4F92" w:rsidP="00882158">
            <w:pPr>
              <w:pStyle w:val="TableHeading"/>
              <w:spacing w:before="45" w:after="45"/>
              <w:ind w:right="108"/>
              <w:rPr>
                <w:rFonts w:ascii="Arial (Body)" w:hAnsi="Arial (Body)"/>
              </w:rPr>
            </w:pPr>
            <w:r w:rsidRPr="00D01C74">
              <w:rPr>
                <w:rFonts w:ascii="Arial (Body)" w:hAnsi="Arial (Body)"/>
                <w:b w:val="0"/>
                <w:bCs/>
                <w:color w:val="auto"/>
              </w:rPr>
              <w:t>KU Children</w:t>
            </w:r>
            <w:r>
              <w:rPr>
                <w:rFonts w:ascii="Arial (Body)" w:hAnsi="Arial (Body)"/>
                <w:b w:val="0"/>
                <w:bCs/>
                <w:color w:val="auto"/>
              </w:rPr>
              <w:t>’</w:t>
            </w:r>
            <w:r w:rsidRPr="00D01C74">
              <w:rPr>
                <w:rFonts w:ascii="Arial (Body)" w:hAnsi="Arial (Body)"/>
                <w:b w:val="0"/>
                <w:bCs/>
                <w:color w:val="auto"/>
              </w:rPr>
              <w:t>s Services</w:t>
            </w:r>
          </w:p>
        </w:tc>
        <w:tc>
          <w:tcPr>
            <w:tcW w:w="786" w:type="pct"/>
            <w:tcBorders>
              <w:top w:val="nil"/>
              <w:bottom w:val="nil"/>
            </w:tcBorders>
            <w:shd w:val="clear" w:color="000000" w:fill="auto"/>
          </w:tcPr>
          <w:p w14:paraId="009E32CC" w14:textId="77777777" w:rsidR="00BA4F92" w:rsidRPr="003F0303" w:rsidRDefault="00BA4F92" w:rsidP="00882158">
            <w:pPr>
              <w:pStyle w:val="TableHeading"/>
              <w:spacing w:before="45" w:after="45"/>
              <w:ind w:right="108"/>
              <w:jc w:val="right"/>
              <w:rPr>
                <w:rFonts w:ascii="Arial (Body)" w:hAnsi="Arial (Body)"/>
                <w:b w:val="0"/>
                <w:color w:val="000000"/>
              </w:rPr>
            </w:pPr>
            <w:r w:rsidRPr="00270F35">
              <w:rPr>
                <w:rFonts w:ascii="Arial (Body)" w:hAnsi="Arial (Body)"/>
                <w:b w:val="0"/>
                <w:color w:val="000000"/>
              </w:rPr>
              <w:t>83, 303</w:t>
            </w:r>
          </w:p>
        </w:tc>
      </w:tr>
      <w:tr w:rsidR="00BA4F92" w:rsidRPr="003F0303" w14:paraId="55F10C90" w14:textId="77777777" w:rsidTr="00556714">
        <w:trPr>
          <w:tblHeader/>
        </w:trPr>
        <w:tc>
          <w:tcPr>
            <w:tcW w:w="4214" w:type="pct"/>
            <w:tcBorders>
              <w:bottom w:val="nil"/>
            </w:tcBorders>
            <w:shd w:val="clear" w:color="000000" w:fill="F2F2F2"/>
          </w:tcPr>
          <w:p w14:paraId="780E03A2" w14:textId="77777777" w:rsidR="00BA4F92" w:rsidRPr="00270F35" w:rsidRDefault="00BA4F92" w:rsidP="00882158">
            <w:pPr>
              <w:pStyle w:val="TableHeading"/>
              <w:spacing w:before="45" w:after="45"/>
              <w:ind w:right="108"/>
              <w:rPr>
                <w:rFonts w:ascii="Arial (Body)" w:hAnsi="Arial (Body)"/>
              </w:rPr>
            </w:pPr>
            <w:r w:rsidRPr="00270F35">
              <w:rPr>
                <w:rFonts w:ascii="Arial (Body)" w:hAnsi="Arial (Body)"/>
                <w:b w:val="0"/>
                <w:bCs/>
                <w:color w:val="auto"/>
              </w:rPr>
              <w:t>Lady Gowrie Child Centre Inc.</w:t>
            </w:r>
            <w:r>
              <w:rPr>
                <w:rFonts w:ascii="Arial (Body)" w:hAnsi="Arial (Body)"/>
                <w:b w:val="0"/>
                <w:bCs/>
                <w:color w:val="auto"/>
              </w:rPr>
              <w:t xml:space="preserve"> (Gowrie SA)</w:t>
            </w:r>
          </w:p>
        </w:tc>
        <w:tc>
          <w:tcPr>
            <w:tcW w:w="786" w:type="pct"/>
            <w:tcBorders>
              <w:bottom w:val="nil"/>
            </w:tcBorders>
            <w:shd w:val="clear" w:color="000000" w:fill="F2F2F2"/>
          </w:tcPr>
          <w:p w14:paraId="4CAE4DF2" w14:textId="77777777" w:rsidR="00BA4F92" w:rsidRPr="003F0303" w:rsidRDefault="00BA4F92" w:rsidP="00882158">
            <w:pPr>
              <w:pStyle w:val="TableHeading"/>
              <w:spacing w:before="45" w:after="45"/>
              <w:ind w:right="108"/>
              <w:jc w:val="right"/>
              <w:rPr>
                <w:rFonts w:ascii="Arial (Body)" w:hAnsi="Arial (Body)"/>
                <w:b w:val="0"/>
                <w:color w:val="000000"/>
              </w:rPr>
            </w:pPr>
            <w:r w:rsidRPr="00B23531">
              <w:rPr>
                <w:rFonts w:ascii="Arial (Body)" w:hAnsi="Arial (Body)"/>
                <w:b w:val="0"/>
                <w:bCs/>
                <w:color w:val="000000"/>
              </w:rPr>
              <w:t>25</w:t>
            </w:r>
          </w:p>
        </w:tc>
      </w:tr>
      <w:tr w:rsidR="00BA4F92" w:rsidRPr="003F0303" w14:paraId="6A31D9CB" w14:textId="77777777" w:rsidTr="00556714">
        <w:tc>
          <w:tcPr>
            <w:tcW w:w="4214" w:type="pct"/>
            <w:tcBorders>
              <w:top w:val="nil"/>
              <w:bottom w:val="nil"/>
            </w:tcBorders>
            <w:shd w:val="clear" w:color="000000" w:fill="auto"/>
          </w:tcPr>
          <w:p w14:paraId="1B7BCD60"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Latrobe University</w:t>
            </w:r>
          </w:p>
        </w:tc>
        <w:tc>
          <w:tcPr>
            <w:tcW w:w="786" w:type="pct"/>
            <w:tcBorders>
              <w:top w:val="nil"/>
              <w:bottom w:val="nil"/>
            </w:tcBorders>
            <w:shd w:val="clear" w:color="000000" w:fill="auto"/>
          </w:tcPr>
          <w:p w14:paraId="7782A64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298</w:t>
            </w:r>
          </w:p>
        </w:tc>
      </w:tr>
      <w:tr w:rsidR="00BA4F92" w:rsidRPr="00270F35" w14:paraId="2E19FC17" w14:textId="77777777" w:rsidTr="00556714">
        <w:tc>
          <w:tcPr>
            <w:tcW w:w="4214" w:type="pct"/>
            <w:tcBorders>
              <w:bottom w:val="nil"/>
            </w:tcBorders>
            <w:shd w:val="clear" w:color="000000" w:fill="F2F2F2"/>
          </w:tcPr>
          <w:p w14:paraId="157D1F15"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Lawson Grains and Rural Regional Remote Women’s Network</w:t>
            </w:r>
          </w:p>
        </w:tc>
        <w:tc>
          <w:tcPr>
            <w:tcW w:w="786" w:type="pct"/>
            <w:tcBorders>
              <w:bottom w:val="nil"/>
            </w:tcBorders>
            <w:shd w:val="clear" w:color="000000" w:fill="F2F2F2"/>
          </w:tcPr>
          <w:p w14:paraId="7C1E3667"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134</w:t>
            </w:r>
          </w:p>
        </w:tc>
      </w:tr>
      <w:tr w:rsidR="00BA4F92" w:rsidRPr="003F0303" w14:paraId="2FE5D226" w14:textId="77777777" w:rsidTr="00556714">
        <w:tc>
          <w:tcPr>
            <w:tcW w:w="4214" w:type="pct"/>
            <w:tcBorders>
              <w:top w:val="nil"/>
              <w:bottom w:val="nil"/>
            </w:tcBorders>
            <w:shd w:val="clear" w:color="000000" w:fill="auto"/>
          </w:tcPr>
          <w:p w14:paraId="35E8BCC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Life Without Barriers</w:t>
            </w:r>
          </w:p>
        </w:tc>
        <w:tc>
          <w:tcPr>
            <w:tcW w:w="786" w:type="pct"/>
            <w:tcBorders>
              <w:top w:val="nil"/>
              <w:bottom w:val="nil"/>
            </w:tcBorders>
            <w:shd w:val="clear" w:color="000000" w:fill="auto"/>
          </w:tcPr>
          <w:p w14:paraId="3C9EB72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24</w:t>
            </w:r>
          </w:p>
        </w:tc>
      </w:tr>
      <w:tr w:rsidR="00BA4F92" w:rsidRPr="003F0303" w14:paraId="66792B89" w14:textId="77777777" w:rsidTr="00556714">
        <w:tc>
          <w:tcPr>
            <w:tcW w:w="4214" w:type="pct"/>
            <w:tcBorders>
              <w:bottom w:val="nil"/>
            </w:tcBorders>
            <w:shd w:val="clear" w:color="000000" w:fill="F2F2F2"/>
          </w:tcPr>
          <w:p w14:paraId="1EBBDA5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Little Scientists Australia</w:t>
            </w:r>
          </w:p>
        </w:tc>
        <w:tc>
          <w:tcPr>
            <w:tcW w:w="786" w:type="pct"/>
            <w:tcBorders>
              <w:bottom w:val="nil"/>
            </w:tcBorders>
            <w:shd w:val="clear" w:color="000000" w:fill="F2F2F2"/>
          </w:tcPr>
          <w:p w14:paraId="27B50478"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324</w:t>
            </w:r>
          </w:p>
        </w:tc>
      </w:tr>
      <w:tr w:rsidR="00BA4F92" w:rsidRPr="00270F35" w14:paraId="2E7661DE" w14:textId="77777777" w:rsidTr="00556714">
        <w:tc>
          <w:tcPr>
            <w:tcW w:w="4214" w:type="pct"/>
            <w:tcBorders>
              <w:top w:val="nil"/>
              <w:bottom w:val="nil"/>
            </w:tcBorders>
            <w:shd w:val="clear" w:color="000000" w:fill="auto"/>
          </w:tcPr>
          <w:p w14:paraId="51880C99" w14:textId="61F0AFB3"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Local Government NSW and the NSW Children</w:t>
            </w:r>
            <w:r w:rsidR="00B5417E">
              <w:rPr>
                <w:rFonts w:ascii="Arial (Body)" w:hAnsi="Arial (Body)"/>
                <w:b w:val="0"/>
                <w:bCs/>
                <w:color w:val="auto"/>
              </w:rPr>
              <w:t>’</w:t>
            </w:r>
            <w:r w:rsidRPr="00270F35">
              <w:rPr>
                <w:rFonts w:ascii="Arial (Body)" w:hAnsi="Arial (Body)"/>
                <w:b w:val="0"/>
                <w:bCs/>
                <w:color w:val="auto"/>
              </w:rPr>
              <w:t>s Services Managers Group</w:t>
            </w:r>
          </w:p>
        </w:tc>
        <w:tc>
          <w:tcPr>
            <w:tcW w:w="786" w:type="pct"/>
            <w:tcBorders>
              <w:top w:val="nil"/>
              <w:bottom w:val="nil"/>
            </w:tcBorders>
            <w:shd w:val="clear" w:color="000000" w:fill="auto"/>
          </w:tcPr>
          <w:p w14:paraId="6B581DA6"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287</w:t>
            </w:r>
          </w:p>
        </w:tc>
      </w:tr>
      <w:tr w:rsidR="00BA4F92" w:rsidRPr="00270F35" w14:paraId="6CEF5058" w14:textId="77777777" w:rsidTr="00556714">
        <w:tc>
          <w:tcPr>
            <w:tcW w:w="4214" w:type="pct"/>
            <w:tcBorders>
              <w:bottom w:val="nil"/>
            </w:tcBorders>
            <w:shd w:val="clear" w:color="000000" w:fill="F2F2F2"/>
          </w:tcPr>
          <w:p w14:paraId="0E953F2B"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Loddon Campaspe Group of Councils</w:t>
            </w:r>
          </w:p>
        </w:tc>
        <w:tc>
          <w:tcPr>
            <w:tcW w:w="786" w:type="pct"/>
            <w:tcBorders>
              <w:bottom w:val="nil"/>
            </w:tcBorders>
            <w:shd w:val="clear" w:color="000000" w:fill="F2F2F2"/>
          </w:tcPr>
          <w:p w14:paraId="0EA50CF8"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11</w:t>
            </w:r>
          </w:p>
        </w:tc>
      </w:tr>
      <w:tr w:rsidR="00BA4F92" w:rsidRPr="003F0303" w14:paraId="11CE68D6" w14:textId="77777777" w:rsidTr="00556714">
        <w:tc>
          <w:tcPr>
            <w:tcW w:w="4214" w:type="pct"/>
            <w:tcBorders>
              <w:top w:val="nil"/>
              <w:bottom w:val="nil"/>
            </w:tcBorders>
            <w:shd w:val="clear" w:color="000000" w:fill="auto"/>
          </w:tcPr>
          <w:p w14:paraId="33EA406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Logan Together</w:t>
            </w:r>
          </w:p>
        </w:tc>
        <w:tc>
          <w:tcPr>
            <w:tcW w:w="786" w:type="pct"/>
            <w:tcBorders>
              <w:top w:val="nil"/>
              <w:bottom w:val="nil"/>
            </w:tcBorders>
            <w:shd w:val="clear" w:color="000000" w:fill="auto"/>
          </w:tcPr>
          <w:p w14:paraId="3CB5496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292</w:t>
            </w:r>
          </w:p>
        </w:tc>
      </w:tr>
      <w:tr w:rsidR="00BA4F92" w:rsidRPr="00270F35" w14:paraId="24B62533" w14:textId="77777777" w:rsidTr="00556714">
        <w:tc>
          <w:tcPr>
            <w:tcW w:w="4214" w:type="pct"/>
            <w:tcBorders>
              <w:bottom w:val="nil"/>
            </w:tcBorders>
            <w:shd w:val="clear" w:color="000000" w:fill="F2F2F2"/>
          </w:tcPr>
          <w:p w14:paraId="3698A0DA"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Long, Vanessa</w:t>
            </w:r>
          </w:p>
        </w:tc>
        <w:tc>
          <w:tcPr>
            <w:tcW w:w="786" w:type="pct"/>
            <w:tcBorders>
              <w:bottom w:val="nil"/>
            </w:tcBorders>
            <w:shd w:val="clear" w:color="000000" w:fill="F2F2F2"/>
          </w:tcPr>
          <w:p w14:paraId="185F8D23"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w:t>
            </w:r>
          </w:p>
        </w:tc>
      </w:tr>
      <w:tr w:rsidR="00BA4F92" w:rsidRPr="003F0303" w14:paraId="3D044B69" w14:textId="77777777" w:rsidTr="00556714">
        <w:tc>
          <w:tcPr>
            <w:tcW w:w="4214" w:type="pct"/>
            <w:tcBorders>
              <w:top w:val="nil"/>
              <w:bottom w:val="nil"/>
            </w:tcBorders>
            <w:shd w:val="clear" w:color="000000" w:fill="auto"/>
          </w:tcPr>
          <w:p w14:paraId="7ABDD2D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Lumsden, Anna</w:t>
            </w:r>
          </w:p>
        </w:tc>
        <w:tc>
          <w:tcPr>
            <w:tcW w:w="786" w:type="pct"/>
            <w:tcBorders>
              <w:top w:val="nil"/>
              <w:bottom w:val="nil"/>
            </w:tcBorders>
            <w:shd w:val="clear" w:color="000000" w:fill="auto"/>
          </w:tcPr>
          <w:p w14:paraId="5F4D8C18"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316</w:t>
            </w:r>
          </w:p>
        </w:tc>
      </w:tr>
      <w:tr w:rsidR="00BA4F92" w:rsidRPr="00270F35" w14:paraId="4DFA53E0" w14:textId="77777777" w:rsidTr="00556714">
        <w:tc>
          <w:tcPr>
            <w:tcW w:w="4214" w:type="pct"/>
            <w:tcBorders>
              <w:bottom w:val="nil"/>
            </w:tcBorders>
            <w:shd w:val="clear" w:color="000000" w:fill="F2F2F2"/>
          </w:tcPr>
          <w:p w14:paraId="68CDDB0D"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Manuka Occasional Childcare Centre Association (MOCCA)</w:t>
            </w:r>
          </w:p>
        </w:tc>
        <w:tc>
          <w:tcPr>
            <w:tcW w:w="786" w:type="pct"/>
            <w:tcBorders>
              <w:bottom w:val="nil"/>
            </w:tcBorders>
            <w:shd w:val="clear" w:color="000000" w:fill="F2F2F2"/>
          </w:tcPr>
          <w:p w14:paraId="3C596EBE"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42</w:t>
            </w:r>
          </w:p>
        </w:tc>
      </w:tr>
      <w:tr w:rsidR="00BA4F92" w:rsidRPr="003F0303" w14:paraId="33F65DB9" w14:textId="77777777" w:rsidTr="00556714">
        <w:tc>
          <w:tcPr>
            <w:tcW w:w="4214" w:type="pct"/>
            <w:tcBorders>
              <w:top w:val="nil"/>
              <w:bottom w:val="nil"/>
            </w:tcBorders>
            <w:shd w:val="clear" w:color="000000" w:fill="auto"/>
          </w:tcPr>
          <w:p w14:paraId="1770A4F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McGregor, Carolyn</w:t>
            </w:r>
          </w:p>
        </w:tc>
        <w:tc>
          <w:tcPr>
            <w:tcW w:w="786" w:type="pct"/>
            <w:tcBorders>
              <w:top w:val="nil"/>
              <w:bottom w:val="nil"/>
            </w:tcBorders>
            <w:shd w:val="clear" w:color="000000" w:fill="auto"/>
          </w:tcPr>
          <w:p w14:paraId="5774B95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293</w:t>
            </w:r>
          </w:p>
        </w:tc>
      </w:tr>
      <w:tr w:rsidR="00BA4F92" w:rsidRPr="00270F35" w14:paraId="48330C88" w14:textId="77777777" w:rsidTr="00556714">
        <w:tc>
          <w:tcPr>
            <w:tcW w:w="4214" w:type="pct"/>
            <w:tcBorders>
              <w:bottom w:val="nil"/>
            </w:tcBorders>
            <w:shd w:val="clear" w:color="000000" w:fill="F2F2F2"/>
          </w:tcPr>
          <w:p w14:paraId="0D76615F"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Meli</w:t>
            </w:r>
          </w:p>
        </w:tc>
        <w:tc>
          <w:tcPr>
            <w:tcW w:w="786" w:type="pct"/>
            <w:tcBorders>
              <w:bottom w:val="nil"/>
            </w:tcBorders>
            <w:shd w:val="clear" w:color="000000" w:fill="F2F2F2"/>
          </w:tcPr>
          <w:p w14:paraId="118220DA"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139</w:t>
            </w:r>
          </w:p>
        </w:tc>
      </w:tr>
      <w:tr w:rsidR="00BA4F92" w:rsidRPr="003F0303" w14:paraId="700C8A78" w14:textId="77777777" w:rsidTr="00556714">
        <w:tc>
          <w:tcPr>
            <w:tcW w:w="4214" w:type="pct"/>
            <w:tcBorders>
              <w:top w:val="nil"/>
              <w:bottom w:val="nil"/>
            </w:tcBorders>
            <w:shd w:val="clear" w:color="000000" w:fill="auto"/>
          </w:tcPr>
          <w:p w14:paraId="6974A63B" w14:textId="5B4BAECF"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Menindee Children</w:t>
            </w:r>
            <w:r w:rsidR="00B5417E">
              <w:rPr>
                <w:rFonts w:ascii="Arial (Body)" w:hAnsi="Arial (Body)"/>
                <w:b w:val="0"/>
                <w:bCs/>
                <w:color w:val="auto"/>
              </w:rPr>
              <w:t>’</w:t>
            </w:r>
            <w:r w:rsidRPr="00270F35">
              <w:rPr>
                <w:rFonts w:ascii="Arial (Body)" w:hAnsi="Arial (Body)"/>
                <w:b w:val="0"/>
                <w:bCs/>
                <w:color w:val="auto"/>
              </w:rPr>
              <w:t>s Centre</w:t>
            </w:r>
          </w:p>
        </w:tc>
        <w:tc>
          <w:tcPr>
            <w:tcW w:w="786" w:type="pct"/>
            <w:tcBorders>
              <w:top w:val="nil"/>
              <w:bottom w:val="nil"/>
            </w:tcBorders>
            <w:shd w:val="clear" w:color="000000" w:fill="auto"/>
          </w:tcPr>
          <w:p w14:paraId="3B1A03B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203</w:t>
            </w:r>
          </w:p>
        </w:tc>
      </w:tr>
      <w:tr w:rsidR="00BA4F92" w:rsidRPr="003F0303" w14:paraId="7914839D" w14:textId="77777777" w:rsidTr="00556714">
        <w:tc>
          <w:tcPr>
            <w:tcW w:w="4214" w:type="pct"/>
            <w:tcBorders>
              <w:bottom w:val="nil"/>
            </w:tcBorders>
            <w:shd w:val="clear" w:color="000000" w:fill="F2F2F2"/>
          </w:tcPr>
          <w:p w14:paraId="2C29106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Merewether, Netty, Taylor-Bush, Adam</w:t>
            </w:r>
          </w:p>
        </w:tc>
        <w:tc>
          <w:tcPr>
            <w:tcW w:w="786" w:type="pct"/>
            <w:tcBorders>
              <w:bottom w:val="nil"/>
            </w:tcBorders>
            <w:shd w:val="clear" w:color="000000" w:fill="F2F2F2"/>
          </w:tcPr>
          <w:p w14:paraId="3E6663E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60</w:t>
            </w:r>
          </w:p>
        </w:tc>
      </w:tr>
      <w:tr w:rsidR="00BA4F92" w:rsidRPr="003F0303" w14:paraId="5E78727B" w14:textId="77777777" w:rsidTr="00556714">
        <w:tc>
          <w:tcPr>
            <w:tcW w:w="4214" w:type="pct"/>
            <w:tcBorders>
              <w:top w:val="nil"/>
              <w:bottom w:val="nil"/>
            </w:tcBorders>
            <w:shd w:val="clear" w:color="000000" w:fill="auto"/>
          </w:tcPr>
          <w:p w14:paraId="230A1C4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Meuleners, Aleesha</w:t>
            </w:r>
          </w:p>
        </w:tc>
        <w:tc>
          <w:tcPr>
            <w:tcW w:w="786" w:type="pct"/>
            <w:tcBorders>
              <w:top w:val="nil"/>
              <w:bottom w:val="nil"/>
            </w:tcBorders>
            <w:shd w:val="clear" w:color="000000" w:fill="auto"/>
          </w:tcPr>
          <w:p w14:paraId="55EC1F4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185</w:t>
            </w:r>
          </w:p>
        </w:tc>
      </w:tr>
      <w:tr w:rsidR="00BA4F92" w:rsidRPr="003F0303" w14:paraId="72A2CB47" w14:textId="77777777" w:rsidTr="00556714">
        <w:tc>
          <w:tcPr>
            <w:tcW w:w="4214" w:type="pct"/>
            <w:tcBorders>
              <w:bottom w:val="nil"/>
            </w:tcBorders>
            <w:shd w:val="clear" w:color="000000" w:fill="F2F2F2"/>
          </w:tcPr>
          <w:p w14:paraId="4DCCBF6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Milgate, Gabby</w:t>
            </w:r>
          </w:p>
        </w:tc>
        <w:tc>
          <w:tcPr>
            <w:tcW w:w="786" w:type="pct"/>
            <w:tcBorders>
              <w:bottom w:val="nil"/>
            </w:tcBorders>
            <w:shd w:val="clear" w:color="000000" w:fill="F2F2F2"/>
          </w:tcPr>
          <w:p w14:paraId="42D7FA1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183</w:t>
            </w:r>
          </w:p>
        </w:tc>
      </w:tr>
      <w:tr w:rsidR="00BA4F92" w:rsidRPr="003F0303" w14:paraId="38C096F8" w14:textId="77777777" w:rsidTr="00556714">
        <w:tc>
          <w:tcPr>
            <w:tcW w:w="4214" w:type="pct"/>
            <w:tcBorders>
              <w:top w:val="nil"/>
              <w:bottom w:val="nil"/>
            </w:tcBorders>
            <w:shd w:val="clear" w:color="000000" w:fill="auto"/>
          </w:tcPr>
          <w:p w14:paraId="6A5D4B1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Milton, Dr Alyssa</w:t>
            </w:r>
          </w:p>
        </w:tc>
        <w:tc>
          <w:tcPr>
            <w:tcW w:w="786" w:type="pct"/>
            <w:tcBorders>
              <w:top w:val="nil"/>
              <w:bottom w:val="nil"/>
            </w:tcBorders>
            <w:shd w:val="clear" w:color="000000" w:fill="auto"/>
          </w:tcPr>
          <w:p w14:paraId="1816AB91"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168</w:t>
            </w:r>
          </w:p>
        </w:tc>
      </w:tr>
      <w:tr w:rsidR="00BA4F92" w:rsidRPr="003F0303" w14:paraId="3B687FED" w14:textId="77777777" w:rsidTr="00556714">
        <w:tc>
          <w:tcPr>
            <w:tcW w:w="4214" w:type="pct"/>
            <w:tcBorders>
              <w:bottom w:val="nil"/>
            </w:tcBorders>
            <w:shd w:val="clear" w:color="000000" w:fill="F2F2F2"/>
          </w:tcPr>
          <w:p w14:paraId="4F6C71E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Moriarty Foundation</w:t>
            </w:r>
          </w:p>
        </w:tc>
        <w:tc>
          <w:tcPr>
            <w:tcW w:w="786" w:type="pct"/>
            <w:tcBorders>
              <w:bottom w:val="nil"/>
            </w:tcBorders>
            <w:shd w:val="clear" w:color="000000" w:fill="F2F2F2"/>
          </w:tcPr>
          <w:p w14:paraId="0E5A5B2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327</w:t>
            </w:r>
          </w:p>
        </w:tc>
      </w:tr>
      <w:tr w:rsidR="00BA4F92" w:rsidRPr="003F0303" w14:paraId="0E31D54B" w14:textId="77777777" w:rsidTr="00556714">
        <w:tc>
          <w:tcPr>
            <w:tcW w:w="4214" w:type="pct"/>
            <w:tcBorders>
              <w:top w:val="nil"/>
              <w:bottom w:val="nil"/>
            </w:tcBorders>
            <w:shd w:val="clear" w:color="000000" w:fill="auto"/>
          </w:tcPr>
          <w:p w14:paraId="330071E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Mullins, Jill</w:t>
            </w:r>
          </w:p>
        </w:tc>
        <w:tc>
          <w:tcPr>
            <w:tcW w:w="786" w:type="pct"/>
            <w:tcBorders>
              <w:top w:val="nil"/>
              <w:bottom w:val="nil"/>
            </w:tcBorders>
            <w:shd w:val="clear" w:color="000000" w:fill="auto"/>
          </w:tcPr>
          <w:p w14:paraId="331D82D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184</w:t>
            </w:r>
          </w:p>
        </w:tc>
      </w:tr>
      <w:tr w:rsidR="00BA4F92" w:rsidRPr="003F0303" w14:paraId="2E590B00" w14:textId="77777777" w:rsidTr="00556714">
        <w:tc>
          <w:tcPr>
            <w:tcW w:w="4214" w:type="pct"/>
            <w:tcBorders>
              <w:bottom w:val="nil"/>
            </w:tcBorders>
            <w:shd w:val="clear" w:color="000000" w:fill="F2F2F2"/>
          </w:tcPr>
          <w:p w14:paraId="28D0478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Municipal Association of Victoria (MAV)</w:t>
            </w:r>
          </w:p>
        </w:tc>
        <w:tc>
          <w:tcPr>
            <w:tcW w:w="786" w:type="pct"/>
            <w:tcBorders>
              <w:bottom w:val="nil"/>
            </w:tcBorders>
            <w:shd w:val="clear" w:color="000000" w:fill="F2F2F2"/>
          </w:tcPr>
          <w:p w14:paraId="5955097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117, 213</w:t>
            </w:r>
          </w:p>
        </w:tc>
      </w:tr>
      <w:tr w:rsidR="00BA4F92" w:rsidRPr="003F0303" w14:paraId="30A5EE00" w14:textId="77777777" w:rsidTr="00556714">
        <w:tc>
          <w:tcPr>
            <w:tcW w:w="4214" w:type="pct"/>
            <w:tcBorders>
              <w:top w:val="nil"/>
              <w:bottom w:val="nil"/>
            </w:tcBorders>
            <w:shd w:val="clear" w:color="000000" w:fill="auto"/>
          </w:tcPr>
          <w:p w14:paraId="2907C0A4"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Aboriginal Community Controlled Health Organisation (NACCHO)</w:t>
            </w:r>
          </w:p>
        </w:tc>
        <w:tc>
          <w:tcPr>
            <w:tcW w:w="786" w:type="pct"/>
            <w:tcBorders>
              <w:top w:val="nil"/>
              <w:bottom w:val="nil"/>
            </w:tcBorders>
            <w:shd w:val="clear" w:color="000000" w:fill="auto"/>
          </w:tcPr>
          <w:p w14:paraId="29760B8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151</w:t>
            </w:r>
          </w:p>
        </w:tc>
      </w:tr>
      <w:tr w:rsidR="00BA4F92" w:rsidRPr="003F0303" w14:paraId="3CF92D45" w14:textId="77777777" w:rsidTr="00556714">
        <w:tc>
          <w:tcPr>
            <w:tcW w:w="4214" w:type="pct"/>
            <w:tcBorders>
              <w:bottom w:val="nil"/>
            </w:tcBorders>
            <w:shd w:val="clear" w:color="000000" w:fill="F2F2F2"/>
          </w:tcPr>
          <w:p w14:paraId="68A83E4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Child and Family Hubs Network</w:t>
            </w:r>
          </w:p>
        </w:tc>
        <w:tc>
          <w:tcPr>
            <w:tcW w:w="786" w:type="pct"/>
            <w:tcBorders>
              <w:bottom w:val="nil"/>
            </w:tcBorders>
            <w:shd w:val="clear" w:color="000000" w:fill="F2F2F2"/>
          </w:tcPr>
          <w:p w14:paraId="196B1B0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220</w:t>
            </w:r>
          </w:p>
        </w:tc>
      </w:tr>
      <w:tr w:rsidR="00BA4F92" w:rsidRPr="003F0303" w14:paraId="09789AF2" w14:textId="77777777" w:rsidTr="00556714">
        <w:tc>
          <w:tcPr>
            <w:tcW w:w="4214" w:type="pct"/>
            <w:tcBorders>
              <w:top w:val="nil"/>
              <w:bottom w:val="nil"/>
            </w:tcBorders>
            <w:shd w:val="clear" w:color="000000" w:fill="auto"/>
          </w:tcPr>
          <w:p w14:paraId="3E4A735A"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Catholic Education Commission (NCEC)</w:t>
            </w:r>
          </w:p>
        </w:tc>
        <w:tc>
          <w:tcPr>
            <w:tcW w:w="786" w:type="pct"/>
            <w:tcBorders>
              <w:top w:val="nil"/>
              <w:bottom w:val="nil"/>
            </w:tcBorders>
            <w:shd w:val="clear" w:color="000000" w:fill="auto"/>
          </w:tcPr>
          <w:p w14:paraId="493821E1"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69, 274</w:t>
            </w:r>
          </w:p>
        </w:tc>
      </w:tr>
      <w:tr w:rsidR="00BA4F92" w:rsidRPr="003F0303" w14:paraId="49175619" w14:textId="77777777" w:rsidTr="00556714">
        <w:tc>
          <w:tcPr>
            <w:tcW w:w="4214" w:type="pct"/>
            <w:tcBorders>
              <w:bottom w:val="nil"/>
            </w:tcBorders>
            <w:shd w:val="clear" w:color="000000" w:fill="F2F2F2"/>
          </w:tcPr>
          <w:p w14:paraId="72DCE01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Foundation for Australian Women (NFAW)</w:t>
            </w:r>
          </w:p>
        </w:tc>
        <w:tc>
          <w:tcPr>
            <w:tcW w:w="786" w:type="pct"/>
            <w:tcBorders>
              <w:bottom w:val="nil"/>
            </w:tcBorders>
            <w:shd w:val="clear" w:color="000000" w:fill="F2F2F2"/>
          </w:tcPr>
          <w:p w14:paraId="1E8E030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10, 194</w:t>
            </w:r>
          </w:p>
        </w:tc>
      </w:tr>
      <w:tr w:rsidR="00BA4F92" w:rsidRPr="003F0303" w14:paraId="6A4DAE96" w14:textId="77777777" w:rsidTr="00556714">
        <w:tc>
          <w:tcPr>
            <w:tcW w:w="4214" w:type="pct"/>
            <w:tcBorders>
              <w:top w:val="nil"/>
              <w:bottom w:val="nil"/>
            </w:tcBorders>
            <w:shd w:val="clear" w:color="000000" w:fill="auto"/>
          </w:tcPr>
          <w:p w14:paraId="1F4ED127"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Indigenous Australians Agency (NIAA)</w:t>
            </w:r>
          </w:p>
        </w:tc>
        <w:tc>
          <w:tcPr>
            <w:tcW w:w="786" w:type="pct"/>
            <w:tcBorders>
              <w:top w:val="nil"/>
              <w:bottom w:val="nil"/>
            </w:tcBorders>
            <w:shd w:val="clear" w:color="000000" w:fill="auto"/>
          </w:tcPr>
          <w:p w14:paraId="2DBA975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152</w:t>
            </w:r>
          </w:p>
        </w:tc>
      </w:tr>
      <w:tr w:rsidR="00BA4F92" w:rsidRPr="003F0303" w14:paraId="78D41DB1" w14:textId="77777777" w:rsidTr="00556714">
        <w:tc>
          <w:tcPr>
            <w:tcW w:w="4214" w:type="pct"/>
            <w:tcBorders>
              <w:bottom w:val="nil"/>
            </w:tcBorders>
            <w:shd w:val="clear" w:color="000000" w:fill="F2F2F2"/>
          </w:tcPr>
          <w:p w14:paraId="412FAE99"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Indigenous Education Consultative Meeting (IECM)</w:t>
            </w:r>
          </w:p>
        </w:tc>
        <w:tc>
          <w:tcPr>
            <w:tcW w:w="786" w:type="pct"/>
            <w:tcBorders>
              <w:bottom w:val="nil"/>
            </w:tcBorders>
            <w:shd w:val="clear" w:color="000000" w:fill="F2F2F2"/>
          </w:tcPr>
          <w:p w14:paraId="5D49F1F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309</w:t>
            </w:r>
          </w:p>
        </w:tc>
      </w:tr>
      <w:tr w:rsidR="00BA4F92" w:rsidRPr="00270F35" w14:paraId="1C11F07E" w14:textId="77777777" w:rsidTr="00556714">
        <w:tc>
          <w:tcPr>
            <w:tcW w:w="4214" w:type="pct"/>
            <w:tcBorders>
              <w:top w:val="nil"/>
              <w:bottom w:val="nil"/>
            </w:tcBorders>
            <w:shd w:val="clear" w:color="000000" w:fill="auto"/>
          </w:tcPr>
          <w:p w14:paraId="7C83F965"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Nutrition Network-Early Childhood Education and Care (NNN-ECEC)</w:t>
            </w:r>
          </w:p>
        </w:tc>
        <w:tc>
          <w:tcPr>
            <w:tcW w:w="786" w:type="pct"/>
            <w:tcBorders>
              <w:top w:val="nil"/>
              <w:bottom w:val="nil"/>
            </w:tcBorders>
            <w:shd w:val="clear" w:color="000000" w:fill="auto"/>
          </w:tcPr>
          <w:p w14:paraId="6E039FAF"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95, 225</w:t>
            </w:r>
          </w:p>
        </w:tc>
      </w:tr>
      <w:tr w:rsidR="00BA4F92" w:rsidRPr="003F0303" w14:paraId="6D6AAC45" w14:textId="77777777" w:rsidTr="00556714">
        <w:tc>
          <w:tcPr>
            <w:tcW w:w="4214" w:type="pct"/>
            <w:tcBorders>
              <w:bottom w:val="nil"/>
            </w:tcBorders>
            <w:shd w:val="clear" w:color="000000" w:fill="F2F2F2"/>
          </w:tcPr>
          <w:p w14:paraId="7743C53F"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Outside School Hours Services Alliance (NOSHSA)</w:t>
            </w:r>
          </w:p>
        </w:tc>
        <w:tc>
          <w:tcPr>
            <w:tcW w:w="786" w:type="pct"/>
            <w:tcBorders>
              <w:bottom w:val="nil"/>
            </w:tcBorders>
            <w:shd w:val="clear" w:color="000000" w:fill="F2F2F2"/>
          </w:tcPr>
          <w:p w14:paraId="7DF2F9E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103, 305</w:t>
            </w:r>
          </w:p>
        </w:tc>
      </w:tr>
      <w:tr w:rsidR="00BA4F92" w:rsidRPr="003F0303" w14:paraId="52567B6C" w14:textId="77777777" w:rsidTr="00556714">
        <w:tc>
          <w:tcPr>
            <w:tcW w:w="4214" w:type="pct"/>
            <w:tcBorders>
              <w:top w:val="nil"/>
              <w:bottom w:val="nil"/>
            </w:tcBorders>
            <w:shd w:val="clear" w:color="000000" w:fill="auto"/>
          </w:tcPr>
          <w:p w14:paraId="305FD5A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National Rural Women’s Coalition (NRWC) and Isolated Children’s Parents’ Association of Australia (ICPA)</w:t>
            </w:r>
          </w:p>
        </w:tc>
        <w:tc>
          <w:tcPr>
            <w:tcW w:w="786" w:type="pct"/>
            <w:tcBorders>
              <w:top w:val="nil"/>
              <w:bottom w:val="nil"/>
            </w:tcBorders>
            <w:shd w:val="clear" w:color="000000" w:fill="auto"/>
          </w:tcPr>
          <w:p w14:paraId="6794CBA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297</w:t>
            </w:r>
          </w:p>
        </w:tc>
      </w:tr>
      <w:tr w:rsidR="00BA4F92" w:rsidRPr="00270F35" w14:paraId="36886C42" w14:textId="77777777" w:rsidTr="00556714">
        <w:tc>
          <w:tcPr>
            <w:tcW w:w="4214" w:type="pct"/>
            <w:tcBorders>
              <w:bottom w:val="nil"/>
            </w:tcBorders>
            <w:shd w:val="clear" w:color="000000" w:fill="F2F2F2"/>
          </w:tcPr>
          <w:p w14:paraId="5AC9B453"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Neighbourhood Houses Victoria</w:t>
            </w:r>
          </w:p>
        </w:tc>
        <w:tc>
          <w:tcPr>
            <w:tcW w:w="786" w:type="pct"/>
            <w:tcBorders>
              <w:bottom w:val="nil"/>
            </w:tcBorders>
            <w:shd w:val="clear" w:color="000000" w:fill="F2F2F2"/>
          </w:tcPr>
          <w:p w14:paraId="0717C90B"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124, 230</w:t>
            </w:r>
          </w:p>
        </w:tc>
      </w:tr>
      <w:tr w:rsidR="00BA4F92" w:rsidRPr="003F0303" w14:paraId="593A4145" w14:textId="77777777" w:rsidTr="00556714">
        <w:tc>
          <w:tcPr>
            <w:tcW w:w="4214" w:type="pct"/>
            <w:tcBorders>
              <w:top w:val="nil"/>
              <w:bottom w:val="nil"/>
            </w:tcBorders>
            <w:shd w:val="clear" w:color="000000" w:fill="auto"/>
          </w:tcPr>
          <w:p w14:paraId="2AAE01D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Network of Communities Activities</w:t>
            </w:r>
          </w:p>
        </w:tc>
        <w:tc>
          <w:tcPr>
            <w:tcW w:w="786" w:type="pct"/>
            <w:tcBorders>
              <w:top w:val="nil"/>
              <w:bottom w:val="nil"/>
            </w:tcBorders>
            <w:shd w:val="clear" w:color="000000" w:fill="auto"/>
          </w:tcPr>
          <w:p w14:paraId="70892AC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171</w:t>
            </w:r>
          </w:p>
        </w:tc>
      </w:tr>
      <w:tr w:rsidR="00BA4F92" w:rsidRPr="003F0303" w14:paraId="43ADAE7B" w14:textId="77777777" w:rsidTr="00556714">
        <w:tc>
          <w:tcPr>
            <w:tcW w:w="4214" w:type="pct"/>
            <w:tcBorders>
              <w:bottom w:val="nil"/>
            </w:tcBorders>
            <w:shd w:val="clear" w:color="000000" w:fill="F2F2F2"/>
          </w:tcPr>
          <w:p w14:paraId="2AE6EA6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Northern Rivers Preschool Alliance</w:t>
            </w:r>
          </w:p>
        </w:tc>
        <w:tc>
          <w:tcPr>
            <w:tcW w:w="786" w:type="pct"/>
            <w:tcBorders>
              <w:bottom w:val="nil"/>
            </w:tcBorders>
            <w:shd w:val="clear" w:color="000000" w:fill="F2F2F2"/>
          </w:tcPr>
          <w:p w14:paraId="77BA5DC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195</w:t>
            </w:r>
          </w:p>
        </w:tc>
      </w:tr>
      <w:tr w:rsidR="00BA4F92" w:rsidRPr="003F0303" w14:paraId="5600AF1F" w14:textId="77777777" w:rsidTr="00556714">
        <w:tc>
          <w:tcPr>
            <w:tcW w:w="4214" w:type="pct"/>
            <w:tcBorders>
              <w:top w:val="nil"/>
              <w:bottom w:val="nil"/>
            </w:tcBorders>
            <w:shd w:val="clear" w:color="000000" w:fill="auto"/>
          </w:tcPr>
          <w:p w14:paraId="790B8E4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Northern Territory Government</w:t>
            </w:r>
          </w:p>
        </w:tc>
        <w:tc>
          <w:tcPr>
            <w:tcW w:w="786" w:type="pct"/>
            <w:tcBorders>
              <w:top w:val="nil"/>
              <w:bottom w:val="nil"/>
            </w:tcBorders>
            <w:shd w:val="clear" w:color="000000" w:fill="auto"/>
          </w:tcPr>
          <w:p w14:paraId="4B5D5131"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157, 314</w:t>
            </w:r>
          </w:p>
        </w:tc>
      </w:tr>
      <w:tr w:rsidR="00BA4F92" w:rsidRPr="003F0303" w14:paraId="46E1617D" w14:textId="77777777" w:rsidTr="00556714">
        <w:tc>
          <w:tcPr>
            <w:tcW w:w="4214" w:type="pct"/>
            <w:tcBorders>
              <w:bottom w:val="nil"/>
            </w:tcBorders>
            <w:shd w:val="clear" w:color="000000" w:fill="F2F2F2"/>
          </w:tcPr>
          <w:p w14:paraId="734B2ECC"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NSW Aboriginal Education Consultative Group Inc</w:t>
            </w:r>
          </w:p>
        </w:tc>
        <w:tc>
          <w:tcPr>
            <w:tcW w:w="786" w:type="pct"/>
            <w:tcBorders>
              <w:bottom w:val="nil"/>
            </w:tcBorders>
            <w:shd w:val="clear" w:color="000000" w:fill="F2F2F2"/>
          </w:tcPr>
          <w:p w14:paraId="264F2F96"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217</w:t>
            </w:r>
          </w:p>
        </w:tc>
      </w:tr>
      <w:tr w:rsidR="00BA4F92" w:rsidRPr="003F0303" w14:paraId="771D3871" w14:textId="77777777" w:rsidTr="00556714">
        <w:tc>
          <w:tcPr>
            <w:tcW w:w="4214" w:type="pct"/>
            <w:tcBorders>
              <w:top w:val="nil"/>
              <w:bottom w:val="nil"/>
            </w:tcBorders>
            <w:shd w:val="clear" w:color="000000" w:fill="auto"/>
          </w:tcPr>
          <w:p w14:paraId="4F65C3A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Northside Community Service</w:t>
            </w:r>
          </w:p>
        </w:tc>
        <w:tc>
          <w:tcPr>
            <w:tcW w:w="786" w:type="pct"/>
            <w:tcBorders>
              <w:top w:val="nil"/>
              <w:bottom w:val="nil"/>
            </w:tcBorders>
            <w:shd w:val="clear" w:color="000000" w:fill="auto"/>
          </w:tcPr>
          <w:p w14:paraId="0E0F2C2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29</w:t>
            </w:r>
          </w:p>
        </w:tc>
      </w:tr>
      <w:tr w:rsidR="00BA4F92" w:rsidRPr="003F0303" w14:paraId="26A4835F" w14:textId="77777777" w:rsidTr="00556714">
        <w:tc>
          <w:tcPr>
            <w:tcW w:w="4214" w:type="pct"/>
            <w:tcBorders>
              <w:bottom w:val="nil"/>
            </w:tcBorders>
            <w:shd w:val="clear" w:color="000000" w:fill="F2F2F2"/>
          </w:tcPr>
          <w:p w14:paraId="370B3F50"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NSW Family Day Care Association (NSWFDCA)</w:t>
            </w:r>
          </w:p>
        </w:tc>
        <w:tc>
          <w:tcPr>
            <w:tcW w:w="786" w:type="pct"/>
            <w:tcBorders>
              <w:bottom w:val="nil"/>
            </w:tcBorders>
            <w:shd w:val="clear" w:color="000000" w:fill="F2F2F2"/>
          </w:tcPr>
          <w:p w14:paraId="4588A81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89, 209</w:t>
            </w:r>
          </w:p>
        </w:tc>
      </w:tr>
      <w:tr w:rsidR="00BA4F92" w:rsidRPr="003F0303" w14:paraId="1697CB78" w14:textId="77777777" w:rsidTr="00556714">
        <w:tc>
          <w:tcPr>
            <w:tcW w:w="4214" w:type="pct"/>
            <w:tcBorders>
              <w:top w:val="nil"/>
              <w:bottom w:val="nil"/>
            </w:tcBorders>
            <w:shd w:val="clear" w:color="000000" w:fill="auto"/>
          </w:tcPr>
          <w:p w14:paraId="10509C45"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NSW Government</w:t>
            </w:r>
          </w:p>
        </w:tc>
        <w:tc>
          <w:tcPr>
            <w:tcW w:w="786" w:type="pct"/>
            <w:tcBorders>
              <w:top w:val="nil"/>
              <w:bottom w:val="nil"/>
            </w:tcBorders>
            <w:shd w:val="clear" w:color="000000" w:fill="auto"/>
          </w:tcPr>
          <w:p w14:paraId="7F87C4D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158, 312</w:t>
            </w:r>
          </w:p>
        </w:tc>
      </w:tr>
      <w:tr w:rsidR="00BA4F92" w:rsidRPr="003F0303" w14:paraId="57B95C8C" w14:textId="77777777" w:rsidTr="00556714">
        <w:tc>
          <w:tcPr>
            <w:tcW w:w="4214" w:type="pct"/>
            <w:tcBorders>
              <w:bottom w:val="nil"/>
            </w:tcBorders>
            <w:shd w:val="clear" w:color="000000" w:fill="F2F2F2"/>
          </w:tcPr>
          <w:p w14:paraId="58658033"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NSW Small Business Commissioner</w:t>
            </w:r>
          </w:p>
        </w:tc>
        <w:tc>
          <w:tcPr>
            <w:tcW w:w="786" w:type="pct"/>
            <w:tcBorders>
              <w:bottom w:val="nil"/>
            </w:tcBorders>
            <w:shd w:val="clear" w:color="000000" w:fill="F2F2F2"/>
          </w:tcPr>
          <w:p w14:paraId="48F41AE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128</w:t>
            </w:r>
          </w:p>
        </w:tc>
      </w:tr>
      <w:tr w:rsidR="00BA4F92" w:rsidRPr="003F0303" w14:paraId="02FF531B" w14:textId="77777777" w:rsidTr="00556714">
        <w:tc>
          <w:tcPr>
            <w:tcW w:w="4214" w:type="pct"/>
            <w:tcBorders>
              <w:top w:val="nil"/>
              <w:bottom w:val="nil"/>
            </w:tcBorders>
            <w:shd w:val="clear" w:color="000000" w:fill="auto"/>
          </w:tcPr>
          <w:p w14:paraId="7D204305"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Ogrizek, Mick</w:t>
            </w:r>
          </w:p>
        </w:tc>
        <w:tc>
          <w:tcPr>
            <w:tcW w:w="786" w:type="pct"/>
            <w:tcBorders>
              <w:top w:val="nil"/>
              <w:bottom w:val="nil"/>
            </w:tcBorders>
            <w:shd w:val="clear" w:color="000000" w:fill="auto"/>
          </w:tcPr>
          <w:p w14:paraId="59B800B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4</w:t>
            </w:r>
          </w:p>
        </w:tc>
      </w:tr>
      <w:tr w:rsidR="00BA4F92" w:rsidRPr="003F0303" w14:paraId="1813D007" w14:textId="77777777" w:rsidTr="00556714">
        <w:tc>
          <w:tcPr>
            <w:tcW w:w="4214" w:type="pct"/>
            <w:tcBorders>
              <w:bottom w:val="nil"/>
            </w:tcBorders>
            <w:shd w:val="clear" w:color="000000" w:fill="F2F2F2"/>
          </w:tcPr>
          <w:p w14:paraId="1823ED4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O’Hare, Ann</w:t>
            </w:r>
          </w:p>
        </w:tc>
        <w:tc>
          <w:tcPr>
            <w:tcW w:w="786" w:type="pct"/>
            <w:tcBorders>
              <w:bottom w:val="nil"/>
            </w:tcBorders>
            <w:shd w:val="clear" w:color="000000" w:fill="F2F2F2"/>
          </w:tcPr>
          <w:p w14:paraId="3551A42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189</w:t>
            </w:r>
          </w:p>
        </w:tc>
      </w:tr>
      <w:tr w:rsidR="00BA4F92" w:rsidRPr="003F0303" w14:paraId="63FE3F22" w14:textId="77777777" w:rsidTr="00556714">
        <w:tc>
          <w:tcPr>
            <w:tcW w:w="4214" w:type="pct"/>
            <w:tcBorders>
              <w:top w:val="nil"/>
              <w:bottom w:val="nil"/>
            </w:tcBorders>
            <w:shd w:val="clear" w:color="000000" w:fill="auto"/>
          </w:tcPr>
          <w:p w14:paraId="4B205E2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One Tree Community Services (OTCS)</w:t>
            </w:r>
          </w:p>
        </w:tc>
        <w:tc>
          <w:tcPr>
            <w:tcW w:w="786" w:type="pct"/>
            <w:tcBorders>
              <w:top w:val="nil"/>
              <w:bottom w:val="nil"/>
            </w:tcBorders>
            <w:shd w:val="clear" w:color="000000" w:fill="auto"/>
          </w:tcPr>
          <w:p w14:paraId="33C9E90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121</w:t>
            </w:r>
          </w:p>
        </w:tc>
      </w:tr>
      <w:tr w:rsidR="00BA4F92" w:rsidRPr="003F0303" w14:paraId="40EF1AF3" w14:textId="77777777" w:rsidTr="00556714">
        <w:tc>
          <w:tcPr>
            <w:tcW w:w="4214" w:type="pct"/>
            <w:tcBorders>
              <w:bottom w:val="nil"/>
            </w:tcBorders>
            <w:shd w:val="clear" w:color="000000" w:fill="F2F2F2"/>
          </w:tcPr>
          <w:p w14:paraId="2BC8EA0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Outside School Hours Council of Australia (OSHCA)</w:t>
            </w:r>
          </w:p>
        </w:tc>
        <w:tc>
          <w:tcPr>
            <w:tcW w:w="786" w:type="pct"/>
            <w:tcBorders>
              <w:bottom w:val="nil"/>
            </w:tcBorders>
            <w:shd w:val="clear" w:color="000000" w:fill="F2F2F2"/>
          </w:tcPr>
          <w:p w14:paraId="55C6A68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82, 232</w:t>
            </w:r>
          </w:p>
        </w:tc>
      </w:tr>
      <w:tr w:rsidR="00BA4F92" w:rsidRPr="003F0303" w14:paraId="5A33F75B" w14:textId="77777777" w:rsidTr="00556714">
        <w:tc>
          <w:tcPr>
            <w:tcW w:w="4214" w:type="pct"/>
            <w:tcBorders>
              <w:top w:val="nil"/>
              <w:bottom w:val="nil"/>
            </w:tcBorders>
            <w:shd w:val="clear" w:color="000000" w:fill="auto"/>
          </w:tcPr>
          <w:p w14:paraId="2FE9C5ED"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Parenting Research Centre</w:t>
            </w:r>
          </w:p>
        </w:tc>
        <w:tc>
          <w:tcPr>
            <w:tcW w:w="786" w:type="pct"/>
            <w:tcBorders>
              <w:top w:val="nil"/>
              <w:bottom w:val="nil"/>
            </w:tcBorders>
            <w:shd w:val="clear" w:color="000000" w:fill="auto"/>
          </w:tcPr>
          <w:p w14:paraId="365AF34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328</w:t>
            </w:r>
          </w:p>
        </w:tc>
      </w:tr>
      <w:tr w:rsidR="00BA4F92" w:rsidRPr="00270F35" w14:paraId="6D24BC09" w14:textId="77777777" w:rsidTr="00556714">
        <w:tc>
          <w:tcPr>
            <w:tcW w:w="4214" w:type="pct"/>
            <w:tcBorders>
              <w:bottom w:val="nil"/>
            </w:tcBorders>
            <w:shd w:val="clear" w:color="000000" w:fill="F2F2F2"/>
          </w:tcPr>
          <w:p w14:paraId="16A554F9"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Parents Work Collective</w:t>
            </w:r>
          </w:p>
        </w:tc>
        <w:tc>
          <w:tcPr>
            <w:tcW w:w="786" w:type="pct"/>
            <w:tcBorders>
              <w:bottom w:val="nil"/>
            </w:tcBorders>
            <w:shd w:val="clear" w:color="000000" w:fill="F2F2F2"/>
          </w:tcPr>
          <w:p w14:paraId="5FB9920C"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73, 315</w:t>
            </w:r>
          </w:p>
        </w:tc>
      </w:tr>
      <w:tr w:rsidR="00BA4F92" w:rsidRPr="003F0303" w14:paraId="48AF04A2" w14:textId="77777777" w:rsidTr="00556714">
        <w:tc>
          <w:tcPr>
            <w:tcW w:w="4214" w:type="pct"/>
            <w:tcBorders>
              <w:top w:val="nil"/>
              <w:bottom w:val="nil"/>
            </w:tcBorders>
            <w:shd w:val="clear" w:color="000000" w:fill="auto"/>
          </w:tcPr>
          <w:p w14:paraId="354E91C4"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Parkville Institute</w:t>
            </w:r>
          </w:p>
        </w:tc>
        <w:tc>
          <w:tcPr>
            <w:tcW w:w="786" w:type="pct"/>
            <w:tcBorders>
              <w:top w:val="nil"/>
              <w:bottom w:val="nil"/>
            </w:tcBorders>
            <w:shd w:val="clear" w:color="000000" w:fill="auto"/>
          </w:tcPr>
          <w:p w14:paraId="223AE6A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231</w:t>
            </w:r>
          </w:p>
        </w:tc>
      </w:tr>
      <w:tr w:rsidR="00BA4F92" w:rsidRPr="003F0303" w14:paraId="48DF45A1" w14:textId="77777777" w:rsidTr="00556714">
        <w:tc>
          <w:tcPr>
            <w:tcW w:w="4214" w:type="pct"/>
            <w:tcBorders>
              <w:bottom w:val="nil"/>
            </w:tcBorders>
            <w:shd w:val="clear" w:color="000000" w:fill="F2F2F2"/>
          </w:tcPr>
          <w:p w14:paraId="7D5199A2"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Pathways in Place Research program</w:t>
            </w:r>
          </w:p>
        </w:tc>
        <w:tc>
          <w:tcPr>
            <w:tcW w:w="786" w:type="pct"/>
            <w:tcBorders>
              <w:bottom w:val="nil"/>
            </w:tcBorders>
            <w:shd w:val="clear" w:color="000000" w:fill="F2F2F2"/>
          </w:tcPr>
          <w:p w14:paraId="3E7FD37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130</w:t>
            </w:r>
          </w:p>
        </w:tc>
      </w:tr>
      <w:tr w:rsidR="00BA4F92" w:rsidRPr="003F0303" w14:paraId="76BFD8B1" w14:textId="77777777" w:rsidTr="00556714">
        <w:tc>
          <w:tcPr>
            <w:tcW w:w="4214" w:type="pct"/>
            <w:tcBorders>
              <w:top w:val="nil"/>
              <w:bottom w:val="nil"/>
            </w:tcBorders>
            <w:shd w:val="clear" w:color="000000" w:fill="auto"/>
          </w:tcPr>
          <w:p w14:paraId="387F1871"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Paul Ramsay Foundation</w:t>
            </w:r>
          </w:p>
        </w:tc>
        <w:tc>
          <w:tcPr>
            <w:tcW w:w="786" w:type="pct"/>
            <w:tcBorders>
              <w:top w:val="nil"/>
              <w:bottom w:val="nil"/>
            </w:tcBorders>
            <w:shd w:val="clear" w:color="000000" w:fill="auto"/>
          </w:tcPr>
          <w:p w14:paraId="7ED9708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148</w:t>
            </w:r>
          </w:p>
        </w:tc>
      </w:tr>
      <w:tr w:rsidR="00BA4F92" w:rsidRPr="003F0303" w14:paraId="7C4DBE44" w14:textId="77777777" w:rsidTr="00556714">
        <w:tc>
          <w:tcPr>
            <w:tcW w:w="4214" w:type="pct"/>
            <w:tcBorders>
              <w:bottom w:val="nil"/>
            </w:tcBorders>
            <w:shd w:val="clear" w:color="000000" w:fill="F2F2F2"/>
          </w:tcPr>
          <w:p w14:paraId="38E8E7BA"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Peatfield, Jonathon</w:t>
            </w:r>
            <w:r>
              <w:rPr>
                <w:rFonts w:ascii="Arial (Body)" w:hAnsi="Arial (Body)"/>
                <w:b w:val="0"/>
                <w:bCs/>
                <w:color w:val="auto"/>
              </w:rPr>
              <w:t xml:space="preserve"> and</w:t>
            </w:r>
            <w:r w:rsidRPr="00270F35">
              <w:rPr>
                <w:rFonts w:ascii="Arial (Body)" w:hAnsi="Arial (Body)"/>
                <w:b w:val="0"/>
                <w:bCs/>
                <w:color w:val="auto"/>
              </w:rPr>
              <w:t xml:space="preserve"> Wilson, Caitlin</w:t>
            </w:r>
          </w:p>
        </w:tc>
        <w:tc>
          <w:tcPr>
            <w:tcW w:w="786" w:type="pct"/>
            <w:tcBorders>
              <w:bottom w:val="nil"/>
            </w:tcBorders>
            <w:shd w:val="clear" w:color="000000" w:fill="F2F2F2"/>
          </w:tcPr>
          <w:p w14:paraId="5A0E93E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38</w:t>
            </w:r>
          </w:p>
        </w:tc>
      </w:tr>
      <w:tr w:rsidR="00BA4F92" w:rsidRPr="003F0303" w14:paraId="71D8921C" w14:textId="77777777" w:rsidTr="00556714">
        <w:tc>
          <w:tcPr>
            <w:tcW w:w="4214" w:type="pct"/>
            <w:tcBorders>
              <w:top w:val="nil"/>
              <w:bottom w:val="nil"/>
            </w:tcBorders>
            <w:shd w:val="clear" w:color="000000" w:fill="auto"/>
          </w:tcPr>
          <w:p w14:paraId="4D89285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Phillip Island Early Learning Centre</w:t>
            </w:r>
          </w:p>
        </w:tc>
        <w:tc>
          <w:tcPr>
            <w:tcW w:w="786" w:type="pct"/>
            <w:tcBorders>
              <w:top w:val="nil"/>
              <w:bottom w:val="nil"/>
            </w:tcBorders>
            <w:shd w:val="clear" w:color="000000" w:fill="auto"/>
          </w:tcPr>
          <w:p w14:paraId="21DE8D1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w:t>
            </w:r>
          </w:p>
        </w:tc>
      </w:tr>
      <w:tr w:rsidR="00BA4F92" w:rsidRPr="003F0303" w14:paraId="4C8B2D2D" w14:textId="77777777" w:rsidTr="00556714">
        <w:tc>
          <w:tcPr>
            <w:tcW w:w="4214" w:type="pct"/>
            <w:tcBorders>
              <w:bottom w:val="nil"/>
            </w:tcBorders>
            <w:shd w:val="clear" w:color="000000" w:fill="F2F2F2"/>
          </w:tcPr>
          <w:p w14:paraId="1C6A30B0"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Playgroup Australia</w:t>
            </w:r>
          </w:p>
        </w:tc>
        <w:tc>
          <w:tcPr>
            <w:tcW w:w="786" w:type="pct"/>
            <w:tcBorders>
              <w:bottom w:val="nil"/>
            </w:tcBorders>
            <w:shd w:val="clear" w:color="000000" w:fill="F2F2F2"/>
          </w:tcPr>
          <w:p w14:paraId="30DA94C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160, 223</w:t>
            </w:r>
          </w:p>
        </w:tc>
      </w:tr>
      <w:tr w:rsidR="00BA4F92" w:rsidRPr="003F0303" w14:paraId="019C6BD9" w14:textId="77777777" w:rsidTr="00556714">
        <w:trPr>
          <w:tblHeader/>
        </w:trPr>
        <w:tc>
          <w:tcPr>
            <w:tcW w:w="4214" w:type="pct"/>
            <w:tcBorders>
              <w:top w:val="nil"/>
              <w:bottom w:val="nil"/>
            </w:tcBorders>
            <w:shd w:val="clear" w:color="000000" w:fill="auto"/>
          </w:tcPr>
          <w:p w14:paraId="1250F3BD" w14:textId="77777777" w:rsidR="00BA4F92" w:rsidRPr="00270F35" w:rsidRDefault="00BA4F92" w:rsidP="00882158">
            <w:pPr>
              <w:pStyle w:val="TableHeading"/>
              <w:spacing w:before="45" w:after="45"/>
              <w:ind w:right="108"/>
              <w:rPr>
                <w:rFonts w:ascii="Arial (Body)" w:hAnsi="Arial (Body)"/>
              </w:rPr>
            </w:pPr>
            <w:r w:rsidRPr="00270F35">
              <w:rPr>
                <w:rFonts w:ascii="Arial (Body)" w:hAnsi="Arial (Body)"/>
                <w:b w:val="0"/>
                <w:bCs/>
                <w:color w:val="auto"/>
              </w:rPr>
              <w:t>Preschool Directors Association of South Australia</w:t>
            </w:r>
          </w:p>
        </w:tc>
        <w:tc>
          <w:tcPr>
            <w:tcW w:w="786" w:type="pct"/>
            <w:tcBorders>
              <w:top w:val="nil"/>
              <w:bottom w:val="nil"/>
            </w:tcBorders>
            <w:shd w:val="clear" w:color="000000" w:fill="auto"/>
          </w:tcPr>
          <w:p w14:paraId="46A34BB6" w14:textId="77777777" w:rsidR="00BA4F92" w:rsidRPr="003F0303" w:rsidRDefault="00BA4F92" w:rsidP="00882158">
            <w:pPr>
              <w:pStyle w:val="TableHeading"/>
              <w:spacing w:before="45" w:after="45"/>
              <w:ind w:right="108"/>
              <w:jc w:val="right"/>
              <w:rPr>
                <w:rFonts w:ascii="Arial (Body)" w:hAnsi="Arial (Body)"/>
                <w:b w:val="0"/>
                <w:color w:val="000000"/>
              </w:rPr>
            </w:pPr>
            <w:r w:rsidRPr="00895F8E">
              <w:rPr>
                <w:rFonts w:ascii="Arial (Body)" w:hAnsi="Arial (Body)"/>
                <w:b w:val="0"/>
                <w:bCs/>
                <w:color w:val="000000"/>
              </w:rPr>
              <w:t>47</w:t>
            </w:r>
          </w:p>
        </w:tc>
      </w:tr>
      <w:tr w:rsidR="00BA4F92" w:rsidRPr="003F0303" w14:paraId="7F9F6CB9" w14:textId="77777777" w:rsidTr="00556714">
        <w:tc>
          <w:tcPr>
            <w:tcW w:w="4214" w:type="pct"/>
            <w:tcBorders>
              <w:bottom w:val="nil"/>
            </w:tcBorders>
            <w:shd w:val="clear" w:color="000000" w:fill="F2F2F2"/>
          </w:tcPr>
          <w:p w14:paraId="68E2186E"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Press, Prof Frances</w:t>
            </w:r>
          </w:p>
        </w:tc>
        <w:tc>
          <w:tcPr>
            <w:tcW w:w="786" w:type="pct"/>
            <w:tcBorders>
              <w:bottom w:val="nil"/>
            </w:tcBorders>
            <w:shd w:val="clear" w:color="000000" w:fill="F2F2F2"/>
          </w:tcPr>
          <w:p w14:paraId="44D0216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135</w:t>
            </w:r>
          </w:p>
        </w:tc>
      </w:tr>
      <w:tr w:rsidR="00BA4F92" w:rsidRPr="003F0303" w14:paraId="1D1567C4" w14:textId="77777777" w:rsidTr="00556714">
        <w:tc>
          <w:tcPr>
            <w:tcW w:w="4214" w:type="pct"/>
            <w:tcBorders>
              <w:top w:val="nil"/>
              <w:bottom w:val="nil"/>
            </w:tcBorders>
            <w:shd w:val="clear" w:color="000000" w:fill="auto"/>
          </w:tcPr>
          <w:p w14:paraId="221AE76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Professionals and Researchers in Early Childhood Intervention (PRECI)</w:t>
            </w:r>
          </w:p>
        </w:tc>
        <w:tc>
          <w:tcPr>
            <w:tcW w:w="786" w:type="pct"/>
            <w:tcBorders>
              <w:top w:val="nil"/>
              <w:bottom w:val="nil"/>
            </w:tcBorders>
            <w:shd w:val="clear" w:color="000000" w:fill="auto"/>
          </w:tcPr>
          <w:p w14:paraId="7D2C06F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249</w:t>
            </w:r>
          </w:p>
        </w:tc>
      </w:tr>
      <w:tr w:rsidR="00BA4F92" w:rsidRPr="003F0303" w14:paraId="2CC2377D" w14:textId="77777777" w:rsidTr="00556714">
        <w:tc>
          <w:tcPr>
            <w:tcW w:w="4214" w:type="pct"/>
            <w:tcBorders>
              <w:bottom w:val="nil"/>
            </w:tcBorders>
            <w:shd w:val="clear" w:color="000000" w:fill="F2F2F2"/>
          </w:tcPr>
          <w:p w14:paraId="593A78E2"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Queensland Brain Institute</w:t>
            </w:r>
          </w:p>
        </w:tc>
        <w:tc>
          <w:tcPr>
            <w:tcW w:w="786" w:type="pct"/>
            <w:tcBorders>
              <w:bottom w:val="nil"/>
            </w:tcBorders>
            <w:shd w:val="clear" w:color="000000" w:fill="F2F2F2"/>
          </w:tcPr>
          <w:p w14:paraId="333C562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252</w:t>
            </w:r>
          </w:p>
        </w:tc>
      </w:tr>
      <w:tr w:rsidR="00BA4F92" w:rsidRPr="003F0303" w14:paraId="6D815D13" w14:textId="77777777" w:rsidTr="00556714">
        <w:tc>
          <w:tcPr>
            <w:tcW w:w="4214" w:type="pct"/>
            <w:tcBorders>
              <w:top w:val="nil"/>
              <w:bottom w:val="nil"/>
            </w:tcBorders>
            <w:shd w:val="clear" w:color="000000" w:fill="auto"/>
          </w:tcPr>
          <w:p w14:paraId="31D79306"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Queensland Council of Deans of Education (QCDE)</w:t>
            </w:r>
          </w:p>
        </w:tc>
        <w:tc>
          <w:tcPr>
            <w:tcW w:w="786" w:type="pct"/>
            <w:tcBorders>
              <w:top w:val="nil"/>
              <w:bottom w:val="nil"/>
            </w:tcBorders>
            <w:shd w:val="clear" w:color="000000" w:fill="auto"/>
          </w:tcPr>
          <w:p w14:paraId="3630142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206</w:t>
            </w:r>
          </w:p>
        </w:tc>
      </w:tr>
      <w:tr w:rsidR="00BA4F92" w:rsidRPr="003F0303" w14:paraId="12260BAB" w14:textId="77777777" w:rsidTr="00556714">
        <w:tc>
          <w:tcPr>
            <w:tcW w:w="4214" w:type="pct"/>
            <w:tcBorders>
              <w:bottom w:val="nil"/>
            </w:tcBorders>
            <w:shd w:val="clear" w:color="000000" w:fill="F2F2F2"/>
          </w:tcPr>
          <w:p w14:paraId="16DCA45B"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Queensland Government</w:t>
            </w:r>
          </w:p>
        </w:tc>
        <w:tc>
          <w:tcPr>
            <w:tcW w:w="786" w:type="pct"/>
            <w:tcBorders>
              <w:bottom w:val="nil"/>
            </w:tcBorders>
            <w:shd w:val="clear" w:color="000000" w:fill="F2F2F2"/>
          </w:tcPr>
          <w:p w14:paraId="2999F3A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174, 319</w:t>
            </w:r>
          </w:p>
        </w:tc>
      </w:tr>
      <w:tr w:rsidR="00BA4F92" w:rsidRPr="003F0303" w14:paraId="1AA08A91" w14:textId="77777777" w:rsidTr="00556714">
        <w:tc>
          <w:tcPr>
            <w:tcW w:w="4214" w:type="pct"/>
            <w:tcBorders>
              <w:top w:val="nil"/>
              <w:bottom w:val="nil"/>
            </w:tcBorders>
            <w:shd w:val="clear" w:color="000000" w:fill="auto"/>
          </w:tcPr>
          <w:p w14:paraId="589A4E1A" w14:textId="77777777" w:rsidR="00BA4F92" w:rsidRPr="00E32E8A"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Queensland University of Technology (QUT), School of Early Childhood and Inclusive Education</w:t>
            </w:r>
          </w:p>
        </w:tc>
        <w:tc>
          <w:tcPr>
            <w:tcW w:w="786" w:type="pct"/>
            <w:tcBorders>
              <w:top w:val="nil"/>
              <w:bottom w:val="nil"/>
            </w:tcBorders>
            <w:shd w:val="clear" w:color="000000" w:fill="auto"/>
          </w:tcPr>
          <w:p w14:paraId="32B31104"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52, 205</w:t>
            </w:r>
          </w:p>
        </w:tc>
      </w:tr>
      <w:tr w:rsidR="00BA4F92" w:rsidRPr="003F0303" w14:paraId="3DE91A43" w14:textId="77777777" w:rsidTr="00556714">
        <w:tc>
          <w:tcPr>
            <w:tcW w:w="4214" w:type="pct"/>
            <w:tcBorders>
              <w:bottom w:val="nil"/>
            </w:tcBorders>
            <w:shd w:val="clear" w:color="000000" w:fill="F2F2F2"/>
          </w:tcPr>
          <w:p w14:paraId="1BF0946D"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RARE</w:t>
            </w:r>
          </w:p>
        </w:tc>
        <w:tc>
          <w:tcPr>
            <w:tcW w:w="786" w:type="pct"/>
            <w:tcBorders>
              <w:bottom w:val="nil"/>
            </w:tcBorders>
            <w:shd w:val="clear" w:color="000000" w:fill="F2F2F2"/>
          </w:tcPr>
          <w:p w14:paraId="777AD277"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45</w:t>
            </w:r>
          </w:p>
        </w:tc>
      </w:tr>
      <w:tr w:rsidR="00BA4F92" w:rsidRPr="003F0303" w14:paraId="41C1C68F" w14:textId="77777777" w:rsidTr="00556714">
        <w:tc>
          <w:tcPr>
            <w:tcW w:w="4214" w:type="pct"/>
            <w:tcBorders>
              <w:top w:val="nil"/>
              <w:bottom w:val="nil"/>
            </w:tcBorders>
            <w:shd w:val="clear" w:color="000000" w:fill="auto"/>
          </w:tcPr>
          <w:p w14:paraId="32A16012"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Regional Australia Institute (RAI)</w:t>
            </w:r>
          </w:p>
        </w:tc>
        <w:tc>
          <w:tcPr>
            <w:tcW w:w="786" w:type="pct"/>
            <w:tcBorders>
              <w:top w:val="nil"/>
              <w:bottom w:val="nil"/>
            </w:tcBorders>
            <w:shd w:val="clear" w:color="000000" w:fill="auto"/>
          </w:tcPr>
          <w:p w14:paraId="73EF634F"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170, 229</w:t>
            </w:r>
          </w:p>
        </w:tc>
      </w:tr>
      <w:tr w:rsidR="00BA4F92" w:rsidRPr="003F0303" w14:paraId="3C476F22" w14:textId="77777777" w:rsidTr="00556714">
        <w:tc>
          <w:tcPr>
            <w:tcW w:w="4214" w:type="pct"/>
            <w:tcBorders>
              <w:bottom w:val="nil"/>
            </w:tcBorders>
            <w:shd w:val="clear" w:color="000000" w:fill="F2F2F2"/>
          </w:tcPr>
          <w:p w14:paraId="41EB3557" w14:textId="77777777" w:rsidR="00BA4F92" w:rsidRPr="00E32E8A" w:rsidRDefault="00BA4F92" w:rsidP="00882158">
            <w:pPr>
              <w:pStyle w:val="TableHeading"/>
              <w:spacing w:before="45" w:after="45"/>
              <w:ind w:right="108"/>
              <w:rPr>
                <w:rFonts w:ascii="Arial (Body)" w:hAnsi="Arial (Body)"/>
                <w:b w:val="0"/>
                <w:bCs/>
                <w:color w:val="auto"/>
              </w:rPr>
            </w:pPr>
            <w:r w:rsidRPr="00E32E8A">
              <w:rPr>
                <w:rFonts w:ascii="Arial (Body)" w:hAnsi="Arial (Body)"/>
                <w:b w:val="0"/>
                <w:bCs/>
                <w:color w:val="auto"/>
              </w:rPr>
              <w:t>Regional Development Australia, Barwon South West</w:t>
            </w:r>
            <w:r w:rsidRPr="00270F35">
              <w:rPr>
                <w:rFonts w:ascii="Arial (Body)" w:hAnsi="Arial (Body)"/>
                <w:b w:val="0"/>
                <w:bCs/>
                <w:color w:val="auto"/>
              </w:rPr>
              <w:t xml:space="preserve"> (RDA BSW)</w:t>
            </w:r>
          </w:p>
        </w:tc>
        <w:tc>
          <w:tcPr>
            <w:tcW w:w="786" w:type="pct"/>
            <w:tcBorders>
              <w:bottom w:val="nil"/>
            </w:tcBorders>
            <w:shd w:val="clear" w:color="000000" w:fill="F2F2F2"/>
          </w:tcPr>
          <w:p w14:paraId="776A18D4"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112</w:t>
            </w:r>
          </w:p>
        </w:tc>
      </w:tr>
      <w:tr w:rsidR="00BA4F92" w:rsidRPr="003F0303" w14:paraId="34C9F177" w14:textId="77777777" w:rsidTr="00556714">
        <w:tc>
          <w:tcPr>
            <w:tcW w:w="4214" w:type="pct"/>
            <w:tcBorders>
              <w:top w:val="nil"/>
              <w:bottom w:val="nil"/>
            </w:tcBorders>
            <w:shd w:val="clear" w:color="000000" w:fill="auto"/>
          </w:tcPr>
          <w:p w14:paraId="1B7F3768"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Regional Development Australia, Kimberley</w:t>
            </w:r>
          </w:p>
        </w:tc>
        <w:tc>
          <w:tcPr>
            <w:tcW w:w="786" w:type="pct"/>
            <w:tcBorders>
              <w:top w:val="nil"/>
              <w:bottom w:val="nil"/>
            </w:tcBorders>
            <w:shd w:val="clear" w:color="000000" w:fill="auto"/>
          </w:tcPr>
          <w:p w14:paraId="7A7D5244"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1, 226</w:t>
            </w:r>
          </w:p>
        </w:tc>
      </w:tr>
      <w:tr w:rsidR="00BA4F92" w:rsidRPr="003F0303" w14:paraId="2613527A" w14:textId="77777777" w:rsidTr="00556714">
        <w:tc>
          <w:tcPr>
            <w:tcW w:w="4214" w:type="pct"/>
            <w:tcBorders>
              <w:bottom w:val="nil"/>
            </w:tcBorders>
            <w:shd w:val="clear" w:color="000000" w:fill="F2F2F2"/>
          </w:tcPr>
          <w:p w14:paraId="42413853"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Regional Development Australia, Loddon Mallee</w:t>
            </w:r>
          </w:p>
        </w:tc>
        <w:tc>
          <w:tcPr>
            <w:tcW w:w="786" w:type="pct"/>
            <w:tcBorders>
              <w:bottom w:val="nil"/>
            </w:tcBorders>
            <w:shd w:val="clear" w:color="000000" w:fill="F2F2F2"/>
          </w:tcPr>
          <w:p w14:paraId="5B1A96AD"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15</w:t>
            </w:r>
          </w:p>
        </w:tc>
      </w:tr>
      <w:tr w:rsidR="00BA4F92" w:rsidRPr="003F0303" w14:paraId="5E20B858" w14:textId="77777777" w:rsidTr="00556714">
        <w:tc>
          <w:tcPr>
            <w:tcW w:w="4214" w:type="pct"/>
            <w:tcBorders>
              <w:top w:val="nil"/>
              <w:bottom w:val="nil"/>
            </w:tcBorders>
            <w:shd w:val="clear" w:color="000000" w:fill="auto"/>
          </w:tcPr>
          <w:p w14:paraId="4E4FCDD0"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Regional Development Australia, Mid-North Coast (RDAMNC)</w:t>
            </w:r>
          </w:p>
        </w:tc>
        <w:tc>
          <w:tcPr>
            <w:tcW w:w="786" w:type="pct"/>
            <w:tcBorders>
              <w:top w:val="nil"/>
              <w:bottom w:val="nil"/>
            </w:tcBorders>
            <w:shd w:val="clear" w:color="000000" w:fill="auto"/>
          </w:tcPr>
          <w:p w14:paraId="669786F1" w14:textId="77777777" w:rsidR="00BA4F92" w:rsidRPr="003F0303" w:rsidRDefault="00BA4F92" w:rsidP="00882158">
            <w:pPr>
              <w:pStyle w:val="TableBody"/>
              <w:spacing w:before="45" w:after="45"/>
              <w:ind w:right="108"/>
              <w:jc w:val="right"/>
              <w:rPr>
                <w:rFonts w:ascii="Arial (Body)" w:hAnsi="Arial (Body)"/>
                <w:color w:val="000000"/>
              </w:rPr>
            </w:pPr>
            <w:r w:rsidRPr="003F0303">
              <w:rPr>
                <w:rFonts w:ascii="Arial (Body)" w:hAnsi="Arial (Body)"/>
                <w:color w:val="000000"/>
              </w:rPr>
              <w:t>245</w:t>
            </w:r>
          </w:p>
        </w:tc>
      </w:tr>
      <w:tr w:rsidR="00BA4F92" w:rsidRPr="003F0303" w14:paraId="71DDD9DA" w14:textId="77777777" w:rsidTr="00556714">
        <w:tc>
          <w:tcPr>
            <w:tcW w:w="4214" w:type="pct"/>
            <w:tcBorders>
              <w:bottom w:val="nil"/>
            </w:tcBorders>
            <w:shd w:val="clear" w:color="000000" w:fill="F2F2F2"/>
          </w:tcPr>
          <w:p w14:paraId="284CFE4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Reid, Dr Gordon</w:t>
            </w:r>
          </w:p>
        </w:tc>
        <w:tc>
          <w:tcPr>
            <w:tcW w:w="786" w:type="pct"/>
            <w:tcBorders>
              <w:bottom w:val="nil"/>
            </w:tcBorders>
            <w:shd w:val="clear" w:color="000000" w:fill="F2F2F2"/>
          </w:tcPr>
          <w:p w14:paraId="2CC3E2B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286</w:t>
            </w:r>
          </w:p>
        </w:tc>
      </w:tr>
      <w:tr w:rsidR="00BA4F92" w:rsidRPr="003F0303" w14:paraId="23DA5617" w14:textId="77777777" w:rsidTr="00556714">
        <w:tc>
          <w:tcPr>
            <w:tcW w:w="4214" w:type="pct"/>
            <w:tcBorders>
              <w:top w:val="nil"/>
              <w:bottom w:val="nil"/>
            </w:tcBorders>
            <w:shd w:val="clear" w:color="000000" w:fill="auto"/>
          </w:tcPr>
          <w:p w14:paraId="66FB69B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Research in Effective Education in Early Childhood (REEaCh) Centre</w:t>
            </w:r>
          </w:p>
        </w:tc>
        <w:tc>
          <w:tcPr>
            <w:tcW w:w="786" w:type="pct"/>
            <w:tcBorders>
              <w:top w:val="nil"/>
              <w:bottom w:val="nil"/>
            </w:tcBorders>
            <w:shd w:val="clear" w:color="000000" w:fill="auto"/>
          </w:tcPr>
          <w:p w14:paraId="5612A1E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54</w:t>
            </w:r>
          </w:p>
        </w:tc>
      </w:tr>
      <w:tr w:rsidR="00BA4F92" w:rsidRPr="00270F35" w14:paraId="60C78AC8" w14:textId="77777777" w:rsidTr="00556714">
        <w:tc>
          <w:tcPr>
            <w:tcW w:w="4214" w:type="pct"/>
            <w:tcBorders>
              <w:bottom w:val="nil"/>
            </w:tcBorders>
            <w:shd w:val="clear" w:color="000000" w:fill="F2F2F2"/>
          </w:tcPr>
          <w:p w14:paraId="0A258028"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Restacking the Odds (RSTO)</w:t>
            </w:r>
          </w:p>
        </w:tc>
        <w:tc>
          <w:tcPr>
            <w:tcW w:w="786" w:type="pct"/>
            <w:tcBorders>
              <w:bottom w:val="nil"/>
            </w:tcBorders>
            <w:shd w:val="clear" w:color="000000" w:fill="F2F2F2"/>
          </w:tcPr>
          <w:p w14:paraId="5BB2432A"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149, 291</w:t>
            </w:r>
          </w:p>
        </w:tc>
      </w:tr>
      <w:tr w:rsidR="00BA4F92" w:rsidRPr="003F0303" w14:paraId="0E0E97D6" w14:textId="77777777" w:rsidTr="00556714">
        <w:tc>
          <w:tcPr>
            <w:tcW w:w="4214" w:type="pct"/>
            <w:tcBorders>
              <w:top w:val="nil"/>
              <w:bottom w:val="nil"/>
            </w:tcBorders>
            <w:shd w:val="clear" w:color="000000" w:fill="auto"/>
          </w:tcPr>
          <w:p w14:paraId="62240367"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Rogers, Dr Marg</w:t>
            </w:r>
          </w:p>
        </w:tc>
        <w:tc>
          <w:tcPr>
            <w:tcW w:w="786" w:type="pct"/>
            <w:tcBorders>
              <w:top w:val="nil"/>
              <w:bottom w:val="nil"/>
            </w:tcBorders>
            <w:shd w:val="clear" w:color="000000" w:fill="auto"/>
          </w:tcPr>
          <w:p w14:paraId="1AA3841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323</w:t>
            </w:r>
          </w:p>
        </w:tc>
      </w:tr>
      <w:tr w:rsidR="00BA4F92" w:rsidRPr="003F0303" w14:paraId="550294F6" w14:textId="77777777" w:rsidTr="00556714">
        <w:tc>
          <w:tcPr>
            <w:tcW w:w="4214" w:type="pct"/>
            <w:tcBorders>
              <w:bottom w:val="nil"/>
            </w:tcBorders>
            <w:shd w:val="clear" w:color="000000" w:fill="F2F2F2"/>
          </w:tcPr>
          <w:p w14:paraId="60E3926E"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Ross Circuit Preschool Inc.</w:t>
            </w:r>
          </w:p>
        </w:tc>
        <w:tc>
          <w:tcPr>
            <w:tcW w:w="786" w:type="pct"/>
            <w:tcBorders>
              <w:bottom w:val="nil"/>
            </w:tcBorders>
            <w:shd w:val="clear" w:color="000000" w:fill="F2F2F2"/>
          </w:tcPr>
          <w:p w14:paraId="15756DD1"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62</w:t>
            </w:r>
          </w:p>
        </w:tc>
      </w:tr>
      <w:tr w:rsidR="00BA4F92" w:rsidRPr="003F0303" w14:paraId="4E505210" w14:textId="77777777" w:rsidTr="00556714">
        <w:tc>
          <w:tcPr>
            <w:tcW w:w="4214" w:type="pct"/>
            <w:tcBorders>
              <w:top w:val="nil"/>
              <w:bottom w:val="nil"/>
            </w:tcBorders>
            <w:shd w:val="clear" w:color="000000" w:fill="auto"/>
          </w:tcPr>
          <w:p w14:paraId="5F197762"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Royal Australasian College of Physicians (RACP)</w:t>
            </w:r>
          </w:p>
        </w:tc>
        <w:tc>
          <w:tcPr>
            <w:tcW w:w="786" w:type="pct"/>
            <w:tcBorders>
              <w:top w:val="nil"/>
              <w:bottom w:val="nil"/>
            </w:tcBorders>
            <w:shd w:val="clear" w:color="000000" w:fill="auto"/>
          </w:tcPr>
          <w:p w14:paraId="6F05D88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37</w:t>
            </w:r>
          </w:p>
        </w:tc>
      </w:tr>
      <w:tr w:rsidR="00BA4F92" w:rsidRPr="003F0303" w14:paraId="41A170C6" w14:textId="77777777" w:rsidTr="00556714">
        <w:tc>
          <w:tcPr>
            <w:tcW w:w="4214" w:type="pct"/>
            <w:tcBorders>
              <w:bottom w:val="nil"/>
            </w:tcBorders>
            <w:shd w:val="clear" w:color="000000" w:fill="F2F2F2"/>
          </w:tcPr>
          <w:p w14:paraId="7A69117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Royal Far West</w:t>
            </w:r>
          </w:p>
        </w:tc>
        <w:tc>
          <w:tcPr>
            <w:tcW w:w="786" w:type="pct"/>
            <w:tcBorders>
              <w:bottom w:val="nil"/>
            </w:tcBorders>
            <w:shd w:val="clear" w:color="000000" w:fill="F2F2F2"/>
          </w:tcPr>
          <w:p w14:paraId="2BCF0FE4"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41, 281</w:t>
            </w:r>
          </w:p>
        </w:tc>
      </w:tr>
      <w:tr w:rsidR="00BA4F92" w:rsidRPr="003F0303" w14:paraId="3A565749" w14:textId="77777777" w:rsidTr="00556714">
        <w:tc>
          <w:tcPr>
            <w:tcW w:w="4214" w:type="pct"/>
            <w:tcBorders>
              <w:top w:val="nil"/>
              <w:bottom w:val="nil"/>
            </w:tcBorders>
            <w:shd w:val="clear" w:color="000000" w:fill="auto"/>
          </w:tcPr>
          <w:p w14:paraId="697038B0"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Rural Regional and Remote ECEC in Victoria</w:t>
            </w:r>
          </w:p>
        </w:tc>
        <w:tc>
          <w:tcPr>
            <w:tcW w:w="786" w:type="pct"/>
            <w:tcBorders>
              <w:top w:val="nil"/>
              <w:bottom w:val="nil"/>
            </w:tcBorders>
            <w:shd w:val="clear" w:color="000000" w:fill="auto"/>
          </w:tcPr>
          <w:p w14:paraId="113BB33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88</w:t>
            </w:r>
          </w:p>
        </w:tc>
      </w:tr>
      <w:tr w:rsidR="00BA4F92" w:rsidRPr="003F0303" w14:paraId="7A3499BB" w14:textId="77777777" w:rsidTr="00556714">
        <w:tc>
          <w:tcPr>
            <w:tcW w:w="4214" w:type="pct"/>
            <w:tcBorders>
              <w:bottom w:val="nil"/>
            </w:tcBorders>
            <w:shd w:val="clear" w:color="000000" w:fill="F2F2F2"/>
          </w:tcPr>
          <w:p w14:paraId="1D5F685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Sandgate Kids Early Education Incorporated</w:t>
            </w:r>
          </w:p>
        </w:tc>
        <w:tc>
          <w:tcPr>
            <w:tcW w:w="786" w:type="pct"/>
            <w:tcBorders>
              <w:bottom w:val="nil"/>
            </w:tcBorders>
            <w:shd w:val="clear" w:color="000000" w:fill="F2F2F2"/>
          </w:tcPr>
          <w:p w14:paraId="703346E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51</w:t>
            </w:r>
          </w:p>
        </w:tc>
      </w:tr>
      <w:tr w:rsidR="00BA4F92" w:rsidRPr="003F0303" w14:paraId="1BE81933" w14:textId="77777777" w:rsidTr="00556714">
        <w:tc>
          <w:tcPr>
            <w:tcW w:w="4214" w:type="pct"/>
            <w:tcBorders>
              <w:top w:val="nil"/>
              <w:bottom w:val="nil"/>
            </w:tcBorders>
            <w:shd w:val="clear" w:color="000000" w:fill="auto"/>
          </w:tcPr>
          <w:p w14:paraId="4EFA9E95"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Sargood, Annie</w:t>
            </w:r>
          </w:p>
        </w:tc>
        <w:tc>
          <w:tcPr>
            <w:tcW w:w="786" w:type="pct"/>
            <w:tcBorders>
              <w:top w:val="nil"/>
              <w:bottom w:val="nil"/>
            </w:tcBorders>
            <w:shd w:val="clear" w:color="000000" w:fill="auto"/>
          </w:tcPr>
          <w:p w14:paraId="7FA2998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166</w:t>
            </w:r>
          </w:p>
        </w:tc>
      </w:tr>
      <w:tr w:rsidR="00BA4F92" w:rsidRPr="00270F35" w14:paraId="63162578" w14:textId="77777777" w:rsidTr="00556714">
        <w:tc>
          <w:tcPr>
            <w:tcW w:w="4214" w:type="pct"/>
            <w:tcBorders>
              <w:bottom w:val="nil"/>
            </w:tcBorders>
            <w:shd w:val="clear" w:color="000000" w:fill="F2F2F2"/>
          </w:tcPr>
          <w:p w14:paraId="321B6E81"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SDN Children’s Services</w:t>
            </w:r>
          </w:p>
        </w:tc>
        <w:tc>
          <w:tcPr>
            <w:tcW w:w="786" w:type="pct"/>
            <w:tcBorders>
              <w:bottom w:val="nil"/>
            </w:tcBorders>
            <w:shd w:val="clear" w:color="000000" w:fill="F2F2F2"/>
          </w:tcPr>
          <w:p w14:paraId="616B0E72"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63</w:t>
            </w:r>
          </w:p>
        </w:tc>
      </w:tr>
      <w:tr w:rsidR="00BA4F92" w:rsidRPr="003F0303" w14:paraId="6477D50F" w14:textId="77777777" w:rsidTr="00556714">
        <w:tc>
          <w:tcPr>
            <w:tcW w:w="4214" w:type="pct"/>
            <w:tcBorders>
              <w:top w:val="nil"/>
              <w:bottom w:val="nil"/>
            </w:tcBorders>
            <w:shd w:val="clear" w:color="000000" w:fill="auto"/>
          </w:tcPr>
          <w:p w14:paraId="63A868A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Search Light Inc</w:t>
            </w:r>
          </w:p>
        </w:tc>
        <w:tc>
          <w:tcPr>
            <w:tcW w:w="786" w:type="pct"/>
            <w:tcBorders>
              <w:top w:val="nil"/>
              <w:bottom w:val="nil"/>
            </w:tcBorders>
            <w:shd w:val="clear" w:color="000000" w:fill="auto"/>
          </w:tcPr>
          <w:p w14:paraId="4EC486E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304</w:t>
            </w:r>
          </w:p>
        </w:tc>
      </w:tr>
      <w:tr w:rsidR="00BA4F92" w:rsidRPr="003F0303" w14:paraId="00DE1E04" w14:textId="77777777" w:rsidTr="00556714">
        <w:tc>
          <w:tcPr>
            <w:tcW w:w="4214" w:type="pct"/>
            <w:tcBorders>
              <w:bottom w:val="nil"/>
            </w:tcBorders>
            <w:shd w:val="clear" w:color="000000" w:fill="F2F2F2"/>
          </w:tcPr>
          <w:p w14:paraId="6435806E"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Settlements Services International</w:t>
            </w:r>
          </w:p>
        </w:tc>
        <w:tc>
          <w:tcPr>
            <w:tcW w:w="786" w:type="pct"/>
            <w:tcBorders>
              <w:bottom w:val="nil"/>
            </w:tcBorders>
            <w:shd w:val="clear" w:color="000000" w:fill="F2F2F2"/>
          </w:tcPr>
          <w:p w14:paraId="738CEFF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196</w:t>
            </w:r>
          </w:p>
        </w:tc>
      </w:tr>
      <w:tr w:rsidR="00BA4F92" w:rsidRPr="003F0303" w14:paraId="70006731" w14:textId="77777777" w:rsidTr="00556714">
        <w:tc>
          <w:tcPr>
            <w:tcW w:w="4214" w:type="pct"/>
            <w:tcBorders>
              <w:top w:val="nil"/>
              <w:bottom w:val="nil"/>
            </w:tcBorders>
            <w:shd w:val="clear" w:color="000000" w:fill="auto"/>
          </w:tcPr>
          <w:p w14:paraId="64321FBF"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Shop, Distributive and Allied Employees Association (SDA)</w:t>
            </w:r>
          </w:p>
        </w:tc>
        <w:tc>
          <w:tcPr>
            <w:tcW w:w="786" w:type="pct"/>
            <w:tcBorders>
              <w:top w:val="nil"/>
              <w:bottom w:val="nil"/>
            </w:tcBorders>
            <w:shd w:val="clear" w:color="000000" w:fill="auto"/>
          </w:tcPr>
          <w:p w14:paraId="71F8C73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72</w:t>
            </w:r>
          </w:p>
        </w:tc>
      </w:tr>
      <w:tr w:rsidR="00BA4F92" w:rsidRPr="003F0303" w14:paraId="77E89DF7" w14:textId="77777777" w:rsidTr="00556714">
        <w:tc>
          <w:tcPr>
            <w:tcW w:w="4214" w:type="pct"/>
            <w:tcBorders>
              <w:bottom w:val="nil"/>
            </w:tcBorders>
            <w:shd w:val="clear" w:color="000000" w:fill="F2F2F2"/>
          </w:tcPr>
          <w:p w14:paraId="5A83C2B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Siraj, Prof Iram</w:t>
            </w:r>
          </w:p>
        </w:tc>
        <w:tc>
          <w:tcPr>
            <w:tcW w:w="786" w:type="pct"/>
            <w:tcBorders>
              <w:bottom w:val="nil"/>
            </w:tcBorders>
            <w:shd w:val="clear" w:color="000000" w:fill="F2F2F2"/>
          </w:tcPr>
          <w:p w14:paraId="0BD14FA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23</w:t>
            </w:r>
          </w:p>
        </w:tc>
      </w:tr>
      <w:tr w:rsidR="00BA4F92" w:rsidRPr="003F0303" w14:paraId="1D44E48C" w14:textId="77777777" w:rsidTr="00556714">
        <w:tc>
          <w:tcPr>
            <w:tcW w:w="4214" w:type="pct"/>
            <w:tcBorders>
              <w:top w:val="nil"/>
              <w:bottom w:val="nil"/>
            </w:tcBorders>
            <w:shd w:val="clear" w:color="000000" w:fill="auto"/>
          </w:tcPr>
          <w:p w14:paraId="3200FBB3"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Smith, Rosie</w:t>
            </w:r>
          </w:p>
        </w:tc>
        <w:tc>
          <w:tcPr>
            <w:tcW w:w="786" w:type="pct"/>
            <w:tcBorders>
              <w:top w:val="nil"/>
              <w:bottom w:val="nil"/>
            </w:tcBorders>
            <w:shd w:val="clear" w:color="000000" w:fill="auto"/>
          </w:tcPr>
          <w:p w14:paraId="6AC4DC5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207</w:t>
            </w:r>
          </w:p>
        </w:tc>
      </w:tr>
      <w:tr w:rsidR="00BA4F92" w:rsidRPr="003F0303" w14:paraId="62072D4D" w14:textId="77777777" w:rsidTr="00556714">
        <w:tc>
          <w:tcPr>
            <w:tcW w:w="4214" w:type="pct"/>
            <w:tcBorders>
              <w:bottom w:val="nil"/>
            </w:tcBorders>
            <w:shd w:val="clear" w:color="000000" w:fill="F2F2F2"/>
          </w:tcPr>
          <w:p w14:paraId="77008F85"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Smithie, Rose</w:t>
            </w:r>
          </w:p>
        </w:tc>
        <w:tc>
          <w:tcPr>
            <w:tcW w:w="786" w:type="pct"/>
            <w:tcBorders>
              <w:bottom w:val="nil"/>
            </w:tcBorders>
            <w:shd w:val="clear" w:color="000000" w:fill="F2F2F2"/>
          </w:tcPr>
          <w:p w14:paraId="6B8ED826"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261</w:t>
            </w:r>
          </w:p>
        </w:tc>
      </w:tr>
      <w:tr w:rsidR="00BA4F92" w:rsidRPr="003F0303" w14:paraId="102CD074" w14:textId="77777777" w:rsidTr="00556714">
        <w:tc>
          <w:tcPr>
            <w:tcW w:w="4214" w:type="pct"/>
            <w:tcBorders>
              <w:top w:val="nil"/>
              <w:bottom w:val="nil"/>
            </w:tcBorders>
            <w:shd w:val="clear" w:color="000000" w:fill="auto"/>
          </w:tcPr>
          <w:p w14:paraId="4861DAC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Smith, Senator Marielle</w:t>
            </w:r>
          </w:p>
        </w:tc>
        <w:tc>
          <w:tcPr>
            <w:tcW w:w="786" w:type="pct"/>
            <w:tcBorders>
              <w:top w:val="nil"/>
              <w:bottom w:val="nil"/>
            </w:tcBorders>
            <w:shd w:val="clear" w:color="000000" w:fill="auto"/>
          </w:tcPr>
          <w:p w14:paraId="6D13158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264</w:t>
            </w:r>
          </w:p>
        </w:tc>
      </w:tr>
      <w:tr w:rsidR="00BA4F92" w:rsidRPr="003F0303" w14:paraId="59EF7608" w14:textId="77777777" w:rsidTr="00556714">
        <w:tc>
          <w:tcPr>
            <w:tcW w:w="4214" w:type="pct"/>
            <w:tcBorders>
              <w:bottom w:val="nil"/>
            </w:tcBorders>
            <w:shd w:val="clear" w:color="000000" w:fill="F2F2F2"/>
          </w:tcPr>
          <w:p w14:paraId="2245BCD9" w14:textId="47A2111C"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SNAICC (Secretariat of National Aboriginal and Islander Child</w:t>
            </w:r>
            <w:r w:rsidR="00153DDA">
              <w:rPr>
                <w:rFonts w:ascii="Arial (Body)" w:hAnsi="Arial (Body)"/>
                <w:b w:val="0"/>
                <w:bCs/>
                <w:color w:val="auto"/>
              </w:rPr>
              <w:t xml:space="preserve"> C</w:t>
            </w:r>
            <w:r w:rsidRPr="00270F35">
              <w:rPr>
                <w:rFonts w:ascii="Arial (Body)" w:hAnsi="Arial (Body)"/>
                <w:b w:val="0"/>
                <w:bCs/>
                <w:color w:val="auto"/>
              </w:rPr>
              <w:t>are)</w:t>
            </w:r>
          </w:p>
        </w:tc>
        <w:tc>
          <w:tcPr>
            <w:tcW w:w="786" w:type="pct"/>
            <w:tcBorders>
              <w:bottom w:val="nil"/>
            </w:tcBorders>
            <w:shd w:val="clear" w:color="000000" w:fill="F2F2F2"/>
          </w:tcPr>
          <w:p w14:paraId="686A87F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133, 290</w:t>
            </w:r>
          </w:p>
        </w:tc>
      </w:tr>
      <w:tr w:rsidR="00BA4F92" w:rsidRPr="003F0303" w14:paraId="18AF5547" w14:textId="77777777" w:rsidTr="00556714">
        <w:tc>
          <w:tcPr>
            <w:tcW w:w="4214" w:type="pct"/>
            <w:tcBorders>
              <w:top w:val="nil"/>
              <w:bottom w:val="nil"/>
            </w:tcBorders>
            <w:shd w:val="clear" w:color="000000" w:fill="auto"/>
          </w:tcPr>
          <w:p w14:paraId="5290068B"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Social Ventures Australia (SVA)</w:t>
            </w:r>
          </w:p>
        </w:tc>
        <w:tc>
          <w:tcPr>
            <w:tcW w:w="786" w:type="pct"/>
            <w:tcBorders>
              <w:top w:val="nil"/>
              <w:bottom w:val="nil"/>
            </w:tcBorders>
            <w:shd w:val="clear" w:color="000000" w:fill="auto"/>
          </w:tcPr>
          <w:p w14:paraId="7A57E31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145, 247</w:t>
            </w:r>
          </w:p>
        </w:tc>
      </w:tr>
      <w:tr w:rsidR="00BA4F92" w:rsidRPr="00270F35" w14:paraId="7601821E" w14:textId="77777777" w:rsidTr="00556714">
        <w:tc>
          <w:tcPr>
            <w:tcW w:w="4214" w:type="pct"/>
            <w:tcBorders>
              <w:bottom w:val="nil"/>
            </w:tcBorders>
            <w:shd w:val="clear" w:color="000000" w:fill="F2F2F2"/>
          </w:tcPr>
          <w:p w14:paraId="1967448F"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South Australian Council of Social Service (SACOSS)</w:t>
            </w:r>
          </w:p>
        </w:tc>
        <w:tc>
          <w:tcPr>
            <w:tcW w:w="786" w:type="pct"/>
            <w:tcBorders>
              <w:bottom w:val="nil"/>
            </w:tcBorders>
            <w:shd w:val="clear" w:color="000000" w:fill="F2F2F2"/>
          </w:tcPr>
          <w:p w14:paraId="29BDEB88"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129</w:t>
            </w:r>
          </w:p>
        </w:tc>
      </w:tr>
      <w:tr w:rsidR="00BA4F92" w:rsidRPr="003F0303" w14:paraId="54A6958A" w14:textId="77777777" w:rsidTr="00556714">
        <w:tc>
          <w:tcPr>
            <w:tcW w:w="4214" w:type="pct"/>
            <w:tcBorders>
              <w:top w:val="nil"/>
              <w:bottom w:val="nil"/>
            </w:tcBorders>
            <w:shd w:val="clear" w:color="000000" w:fill="auto"/>
          </w:tcPr>
          <w:p w14:paraId="32E99E3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South Australian Government</w:t>
            </w:r>
          </w:p>
        </w:tc>
        <w:tc>
          <w:tcPr>
            <w:tcW w:w="786" w:type="pct"/>
            <w:tcBorders>
              <w:top w:val="nil"/>
              <w:bottom w:val="nil"/>
            </w:tcBorders>
            <w:shd w:val="clear" w:color="000000" w:fill="auto"/>
          </w:tcPr>
          <w:p w14:paraId="4766FA8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313</w:t>
            </w:r>
          </w:p>
        </w:tc>
      </w:tr>
      <w:tr w:rsidR="00BA4F92" w:rsidRPr="003F0303" w14:paraId="05EF96AB" w14:textId="77777777" w:rsidTr="00556714">
        <w:tc>
          <w:tcPr>
            <w:tcW w:w="4214" w:type="pct"/>
            <w:tcBorders>
              <w:bottom w:val="nil"/>
            </w:tcBorders>
            <w:shd w:val="clear" w:color="000000" w:fill="F2F2F2"/>
          </w:tcPr>
          <w:p w14:paraId="15C3B05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South Australian Royal Commission into Early Childhood Education and Care</w:t>
            </w:r>
          </w:p>
        </w:tc>
        <w:tc>
          <w:tcPr>
            <w:tcW w:w="786" w:type="pct"/>
            <w:tcBorders>
              <w:bottom w:val="nil"/>
            </w:tcBorders>
            <w:shd w:val="clear" w:color="000000" w:fill="F2F2F2"/>
          </w:tcPr>
          <w:p w14:paraId="0F4FDD7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161</w:t>
            </w:r>
          </w:p>
        </w:tc>
      </w:tr>
      <w:tr w:rsidR="00BA4F92" w:rsidRPr="003F0303" w14:paraId="7CF9DC5A" w14:textId="77777777" w:rsidTr="00556714">
        <w:tc>
          <w:tcPr>
            <w:tcW w:w="4214" w:type="pct"/>
            <w:tcBorders>
              <w:top w:val="nil"/>
              <w:bottom w:val="nil"/>
            </w:tcBorders>
            <w:shd w:val="clear" w:color="000000" w:fill="auto"/>
          </w:tcPr>
          <w:p w14:paraId="5373C455"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Special Teaching and Research (STaR) Ltd</w:t>
            </w:r>
          </w:p>
        </w:tc>
        <w:tc>
          <w:tcPr>
            <w:tcW w:w="786" w:type="pct"/>
            <w:tcBorders>
              <w:top w:val="nil"/>
              <w:bottom w:val="nil"/>
            </w:tcBorders>
            <w:shd w:val="clear" w:color="000000" w:fill="auto"/>
          </w:tcPr>
          <w:p w14:paraId="1B3FE326"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87</w:t>
            </w:r>
          </w:p>
        </w:tc>
      </w:tr>
      <w:tr w:rsidR="00BA4F92" w:rsidRPr="003F0303" w14:paraId="6DCDF914" w14:textId="77777777" w:rsidTr="00556714">
        <w:tc>
          <w:tcPr>
            <w:tcW w:w="4214" w:type="pct"/>
            <w:tcBorders>
              <w:bottom w:val="nil"/>
            </w:tcBorders>
            <w:shd w:val="clear" w:color="000000" w:fill="F2F2F2"/>
          </w:tcPr>
          <w:p w14:paraId="188767B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Speech Pathology Australia</w:t>
            </w:r>
          </w:p>
        </w:tc>
        <w:tc>
          <w:tcPr>
            <w:tcW w:w="786" w:type="pct"/>
            <w:tcBorders>
              <w:bottom w:val="nil"/>
            </w:tcBorders>
            <w:shd w:val="clear" w:color="000000" w:fill="F2F2F2"/>
          </w:tcPr>
          <w:p w14:paraId="1DA2136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109. 210</w:t>
            </w:r>
          </w:p>
        </w:tc>
      </w:tr>
      <w:tr w:rsidR="00BA4F92" w:rsidRPr="003F0303" w14:paraId="365482AC" w14:textId="77777777" w:rsidTr="00556714">
        <w:tc>
          <w:tcPr>
            <w:tcW w:w="4214" w:type="pct"/>
            <w:tcBorders>
              <w:top w:val="nil"/>
              <w:bottom w:val="nil"/>
            </w:tcBorders>
            <w:shd w:val="clear" w:color="000000" w:fill="auto"/>
          </w:tcPr>
          <w:p w14:paraId="11D95EBE"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Settlements Services International (SSI)</w:t>
            </w:r>
          </w:p>
        </w:tc>
        <w:tc>
          <w:tcPr>
            <w:tcW w:w="786" w:type="pct"/>
            <w:tcBorders>
              <w:top w:val="nil"/>
              <w:bottom w:val="nil"/>
            </w:tcBorders>
            <w:shd w:val="clear" w:color="000000" w:fill="auto"/>
          </w:tcPr>
          <w:p w14:paraId="5B1456D8"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16, 196</w:t>
            </w:r>
          </w:p>
        </w:tc>
      </w:tr>
      <w:tr w:rsidR="00BA4F92" w:rsidRPr="003F0303" w14:paraId="398DF49A" w14:textId="77777777" w:rsidTr="00556714">
        <w:tc>
          <w:tcPr>
            <w:tcW w:w="4214" w:type="pct"/>
            <w:tcBorders>
              <w:bottom w:val="nil"/>
            </w:tcBorders>
            <w:shd w:val="clear" w:color="000000" w:fill="F2F2F2"/>
          </w:tcPr>
          <w:p w14:paraId="6325D10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Stanley, Fiona</w:t>
            </w:r>
          </w:p>
        </w:tc>
        <w:tc>
          <w:tcPr>
            <w:tcW w:w="786" w:type="pct"/>
            <w:tcBorders>
              <w:bottom w:val="nil"/>
            </w:tcBorders>
            <w:shd w:val="clear" w:color="000000" w:fill="F2F2F2"/>
          </w:tcPr>
          <w:p w14:paraId="3CD103D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34</w:t>
            </w:r>
          </w:p>
        </w:tc>
      </w:tr>
      <w:tr w:rsidR="00BA4F92" w:rsidRPr="003F0303" w14:paraId="599D9F72" w14:textId="77777777" w:rsidTr="00556714">
        <w:tc>
          <w:tcPr>
            <w:tcW w:w="4214" w:type="pct"/>
            <w:tcBorders>
              <w:top w:val="nil"/>
              <w:bottom w:val="nil"/>
            </w:tcBorders>
            <w:shd w:val="clear" w:color="000000" w:fill="auto"/>
          </w:tcPr>
          <w:p w14:paraId="15ED7E15"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Sutherland Shire Preschool Alliance</w:t>
            </w:r>
          </w:p>
        </w:tc>
        <w:tc>
          <w:tcPr>
            <w:tcW w:w="786" w:type="pct"/>
            <w:tcBorders>
              <w:top w:val="nil"/>
              <w:bottom w:val="nil"/>
            </w:tcBorders>
            <w:shd w:val="clear" w:color="000000" w:fill="auto"/>
          </w:tcPr>
          <w:p w14:paraId="530A9FB4"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131</w:t>
            </w:r>
          </w:p>
        </w:tc>
      </w:tr>
      <w:tr w:rsidR="00BA4F92" w:rsidRPr="00270F35" w14:paraId="5FEACBB1" w14:textId="77777777" w:rsidTr="00556714">
        <w:tc>
          <w:tcPr>
            <w:tcW w:w="4214" w:type="pct"/>
            <w:tcBorders>
              <w:bottom w:val="nil"/>
            </w:tcBorders>
            <w:shd w:val="clear" w:color="000000" w:fill="F2F2F2"/>
          </w:tcPr>
          <w:p w14:paraId="0EFAB734"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Swainson, Rebecca</w:t>
            </w:r>
          </w:p>
        </w:tc>
        <w:tc>
          <w:tcPr>
            <w:tcW w:w="786" w:type="pct"/>
            <w:tcBorders>
              <w:bottom w:val="nil"/>
            </w:tcBorders>
            <w:shd w:val="clear" w:color="000000" w:fill="F2F2F2"/>
          </w:tcPr>
          <w:p w14:paraId="4352F0C0"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114</w:t>
            </w:r>
          </w:p>
        </w:tc>
      </w:tr>
      <w:tr w:rsidR="00BA4F92" w:rsidRPr="003F0303" w14:paraId="29E5F702" w14:textId="77777777" w:rsidTr="00556714">
        <w:tc>
          <w:tcPr>
            <w:tcW w:w="4214" w:type="pct"/>
            <w:tcBorders>
              <w:top w:val="nil"/>
              <w:bottom w:val="nil"/>
            </w:tcBorders>
            <w:shd w:val="clear" w:color="000000" w:fill="auto"/>
          </w:tcPr>
          <w:p w14:paraId="4D952C40"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Swallow Street Child Care Association Inc.</w:t>
            </w:r>
          </w:p>
        </w:tc>
        <w:tc>
          <w:tcPr>
            <w:tcW w:w="786" w:type="pct"/>
            <w:tcBorders>
              <w:top w:val="nil"/>
              <w:bottom w:val="nil"/>
            </w:tcBorders>
            <w:shd w:val="clear" w:color="000000" w:fill="auto"/>
          </w:tcPr>
          <w:p w14:paraId="6ECF831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300</w:t>
            </w:r>
          </w:p>
        </w:tc>
      </w:tr>
      <w:tr w:rsidR="00BA4F92" w:rsidRPr="003F0303" w14:paraId="7FA7F61B" w14:textId="77777777" w:rsidTr="00556714">
        <w:trPr>
          <w:tblHeader/>
        </w:trPr>
        <w:tc>
          <w:tcPr>
            <w:tcW w:w="4214" w:type="pct"/>
            <w:tcBorders>
              <w:bottom w:val="nil"/>
            </w:tcBorders>
            <w:shd w:val="clear" w:color="000000" w:fill="F2F2F2"/>
          </w:tcPr>
          <w:p w14:paraId="7641CAC9" w14:textId="77777777" w:rsidR="00BA4F92" w:rsidRPr="00270F35" w:rsidRDefault="00BA4F92" w:rsidP="00882158">
            <w:pPr>
              <w:pStyle w:val="TableHeading"/>
              <w:spacing w:before="45" w:after="45"/>
              <w:ind w:right="108"/>
              <w:rPr>
                <w:rFonts w:ascii="Arial (Body)" w:hAnsi="Arial (Body)"/>
              </w:rPr>
            </w:pPr>
            <w:r w:rsidRPr="00270F35">
              <w:rPr>
                <w:rFonts w:ascii="Arial (Body)" w:hAnsi="Arial (Body)"/>
                <w:b w:val="0"/>
                <w:bCs/>
                <w:color w:val="auto"/>
              </w:rPr>
              <w:t>Tanimu, Ross</w:t>
            </w:r>
          </w:p>
        </w:tc>
        <w:tc>
          <w:tcPr>
            <w:tcW w:w="786" w:type="pct"/>
            <w:tcBorders>
              <w:bottom w:val="nil"/>
            </w:tcBorders>
            <w:shd w:val="clear" w:color="000000" w:fill="F2F2F2"/>
          </w:tcPr>
          <w:p w14:paraId="550D70A9" w14:textId="77777777" w:rsidR="00BA4F92" w:rsidRPr="003F0303" w:rsidRDefault="00BA4F92" w:rsidP="00882158">
            <w:pPr>
              <w:pStyle w:val="TableHeading"/>
              <w:spacing w:before="45" w:after="45"/>
              <w:ind w:right="108"/>
              <w:jc w:val="right"/>
              <w:rPr>
                <w:rFonts w:ascii="Arial (Body)" w:hAnsi="Arial (Body)"/>
                <w:b w:val="0"/>
                <w:color w:val="000000"/>
              </w:rPr>
            </w:pPr>
            <w:r w:rsidRPr="00895F8E">
              <w:rPr>
                <w:rFonts w:ascii="Arial (Body)" w:hAnsi="Arial (Body)"/>
                <w:b w:val="0"/>
                <w:bCs/>
                <w:color w:val="000000"/>
              </w:rPr>
              <w:t>187</w:t>
            </w:r>
          </w:p>
        </w:tc>
      </w:tr>
      <w:tr w:rsidR="00BA4F92" w:rsidRPr="003F0303" w14:paraId="68BD30D4" w14:textId="77777777" w:rsidTr="00556714">
        <w:tc>
          <w:tcPr>
            <w:tcW w:w="4214" w:type="pct"/>
            <w:tcBorders>
              <w:top w:val="nil"/>
              <w:bottom w:val="nil"/>
            </w:tcBorders>
            <w:shd w:val="clear" w:color="000000" w:fill="auto"/>
          </w:tcPr>
          <w:p w14:paraId="69996D8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Tasmanian Government (Department of Education, Children and Young People)</w:t>
            </w:r>
          </w:p>
        </w:tc>
        <w:tc>
          <w:tcPr>
            <w:tcW w:w="786" w:type="pct"/>
            <w:tcBorders>
              <w:top w:val="nil"/>
              <w:bottom w:val="nil"/>
            </w:tcBorders>
            <w:shd w:val="clear" w:color="000000" w:fill="auto"/>
          </w:tcPr>
          <w:p w14:paraId="3E0BE0D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159</w:t>
            </w:r>
          </w:p>
        </w:tc>
      </w:tr>
      <w:tr w:rsidR="00BA4F92" w:rsidRPr="003F0303" w14:paraId="734F451F" w14:textId="77777777" w:rsidTr="00556714">
        <w:tc>
          <w:tcPr>
            <w:tcW w:w="4214" w:type="pct"/>
            <w:tcBorders>
              <w:bottom w:val="nil"/>
            </w:tcBorders>
            <w:shd w:val="clear" w:color="000000" w:fill="F2F2F2"/>
          </w:tcPr>
          <w:p w14:paraId="3D0732F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Teachers in Early Education (TEE) Chief Investigators</w:t>
            </w:r>
          </w:p>
        </w:tc>
        <w:tc>
          <w:tcPr>
            <w:tcW w:w="786" w:type="pct"/>
            <w:tcBorders>
              <w:bottom w:val="nil"/>
            </w:tcBorders>
            <w:shd w:val="clear" w:color="000000" w:fill="F2F2F2"/>
          </w:tcPr>
          <w:p w14:paraId="583B3AE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212</w:t>
            </w:r>
          </w:p>
        </w:tc>
      </w:tr>
      <w:tr w:rsidR="00BA4F92" w:rsidRPr="003F0303" w14:paraId="10374266" w14:textId="77777777" w:rsidTr="00556714">
        <w:tc>
          <w:tcPr>
            <w:tcW w:w="4214" w:type="pct"/>
            <w:tcBorders>
              <w:top w:val="nil"/>
              <w:bottom w:val="nil"/>
            </w:tcBorders>
            <w:shd w:val="clear" w:color="000000" w:fill="auto"/>
          </w:tcPr>
          <w:p w14:paraId="431B9F9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Templeton, Susan</w:t>
            </w:r>
          </w:p>
        </w:tc>
        <w:tc>
          <w:tcPr>
            <w:tcW w:w="786" w:type="pct"/>
            <w:tcBorders>
              <w:top w:val="nil"/>
              <w:bottom w:val="nil"/>
            </w:tcBorders>
            <w:shd w:val="clear" w:color="000000" w:fill="auto"/>
          </w:tcPr>
          <w:p w14:paraId="15C70C8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219</w:t>
            </w:r>
          </w:p>
        </w:tc>
      </w:tr>
      <w:tr w:rsidR="00BA4F92" w:rsidRPr="003F0303" w14:paraId="5F513D72" w14:textId="77777777" w:rsidTr="00556714">
        <w:tc>
          <w:tcPr>
            <w:tcW w:w="4214" w:type="pct"/>
            <w:tcBorders>
              <w:bottom w:val="nil"/>
            </w:tcBorders>
            <w:shd w:val="clear" w:color="000000" w:fill="F2F2F2"/>
          </w:tcPr>
          <w:p w14:paraId="32FB09D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Tessier, Jessica</w:t>
            </w:r>
          </w:p>
        </w:tc>
        <w:tc>
          <w:tcPr>
            <w:tcW w:w="786" w:type="pct"/>
            <w:tcBorders>
              <w:bottom w:val="nil"/>
            </w:tcBorders>
            <w:shd w:val="clear" w:color="000000" w:fill="F2F2F2"/>
          </w:tcPr>
          <w:p w14:paraId="63B62FB6"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w:t>
            </w:r>
          </w:p>
        </w:tc>
      </w:tr>
      <w:tr w:rsidR="00BA4F92" w:rsidRPr="003F0303" w14:paraId="6C3D7EC5" w14:textId="77777777" w:rsidTr="00556714">
        <w:tc>
          <w:tcPr>
            <w:tcW w:w="4214" w:type="pct"/>
            <w:tcBorders>
              <w:top w:val="nil"/>
              <w:bottom w:val="nil"/>
            </w:tcBorders>
            <w:shd w:val="clear" w:color="000000" w:fill="auto"/>
          </w:tcPr>
          <w:p w14:paraId="4AAF2092"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Benevolent Society</w:t>
            </w:r>
          </w:p>
        </w:tc>
        <w:tc>
          <w:tcPr>
            <w:tcW w:w="786" w:type="pct"/>
            <w:tcBorders>
              <w:top w:val="nil"/>
              <w:bottom w:val="nil"/>
            </w:tcBorders>
            <w:shd w:val="clear" w:color="000000" w:fill="auto"/>
          </w:tcPr>
          <w:p w14:paraId="3B8158E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98, 280</w:t>
            </w:r>
          </w:p>
        </w:tc>
      </w:tr>
      <w:tr w:rsidR="00BA4F92" w:rsidRPr="003F0303" w14:paraId="78CD07AA" w14:textId="77777777" w:rsidTr="00556714">
        <w:tc>
          <w:tcPr>
            <w:tcW w:w="4214" w:type="pct"/>
            <w:tcBorders>
              <w:bottom w:val="nil"/>
            </w:tcBorders>
            <w:shd w:val="clear" w:color="000000" w:fill="F2F2F2"/>
          </w:tcPr>
          <w:p w14:paraId="0E35436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Bryan Foundation</w:t>
            </w:r>
          </w:p>
        </w:tc>
        <w:tc>
          <w:tcPr>
            <w:tcW w:w="786" w:type="pct"/>
            <w:tcBorders>
              <w:bottom w:val="nil"/>
            </w:tcBorders>
            <w:shd w:val="clear" w:color="000000" w:fill="F2F2F2"/>
          </w:tcPr>
          <w:p w14:paraId="2C66A4C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123</w:t>
            </w:r>
          </w:p>
        </w:tc>
      </w:tr>
      <w:tr w:rsidR="00BA4F92" w:rsidRPr="003F0303" w14:paraId="0724382E" w14:textId="77777777" w:rsidTr="00556714">
        <w:tc>
          <w:tcPr>
            <w:tcW w:w="4214" w:type="pct"/>
            <w:tcBorders>
              <w:top w:val="nil"/>
              <w:bottom w:val="nil"/>
            </w:tcBorders>
            <w:shd w:val="clear" w:color="000000" w:fill="auto"/>
          </w:tcPr>
          <w:p w14:paraId="6CABF1A0"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br w:type="page"/>
              <w:t>The Child Development Council South Australia</w:t>
            </w:r>
          </w:p>
        </w:tc>
        <w:tc>
          <w:tcPr>
            <w:tcW w:w="786" w:type="pct"/>
            <w:tcBorders>
              <w:top w:val="nil"/>
              <w:bottom w:val="nil"/>
            </w:tcBorders>
            <w:shd w:val="clear" w:color="000000" w:fill="auto"/>
          </w:tcPr>
          <w:p w14:paraId="1B61847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241</w:t>
            </w:r>
          </w:p>
        </w:tc>
      </w:tr>
      <w:tr w:rsidR="00BA4F92" w:rsidRPr="003F0303" w14:paraId="3452EE75" w14:textId="77777777" w:rsidTr="00556714">
        <w:tc>
          <w:tcPr>
            <w:tcW w:w="4214" w:type="pct"/>
            <w:tcBorders>
              <w:bottom w:val="nil"/>
            </w:tcBorders>
            <w:shd w:val="clear" w:color="000000" w:fill="F2F2F2"/>
          </w:tcPr>
          <w:p w14:paraId="138BF9DB"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Child Development, Education and Care Research Group</w:t>
            </w:r>
          </w:p>
        </w:tc>
        <w:tc>
          <w:tcPr>
            <w:tcW w:w="786" w:type="pct"/>
            <w:tcBorders>
              <w:bottom w:val="nil"/>
            </w:tcBorders>
            <w:shd w:val="clear" w:color="000000" w:fill="F2F2F2"/>
          </w:tcPr>
          <w:p w14:paraId="7BFD026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19</w:t>
            </w:r>
          </w:p>
        </w:tc>
      </w:tr>
      <w:tr w:rsidR="00BA4F92" w:rsidRPr="003F0303" w14:paraId="03011C4F" w14:textId="77777777" w:rsidTr="00556714">
        <w:tc>
          <w:tcPr>
            <w:tcW w:w="4214" w:type="pct"/>
            <w:tcBorders>
              <w:top w:val="nil"/>
              <w:bottom w:val="nil"/>
            </w:tcBorders>
            <w:shd w:val="clear" w:color="000000" w:fill="auto"/>
          </w:tcPr>
          <w:p w14:paraId="6C92D6D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Creche &amp; Kindergarten Association Limited (C&amp;K)</w:t>
            </w:r>
          </w:p>
        </w:tc>
        <w:tc>
          <w:tcPr>
            <w:tcW w:w="786" w:type="pct"/>
            <w:tcBorders>
              <w:top w:val="nil"/>
              <w:bottom w:val="nil"/>
            </w:tcBorders>
            <w:shd w:val="clear" w:color="000000" w:fill="auto"/>
          </w:tcPr>
          <w:p w14:paraId="5848FC3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155, 306</w:t>
            </w:r>
          </w:p>
        </w:tc>
      </w:tr>
      <w:tr w:rsidR="00BA4F92" w:rsidRPr="003F0303" w14:paraId="7A9A5BC0" w14:textId="77777777" w:rsidTr="00556714">
        <w:tc>
          <w:tcPr>
            <w:tcW w:w="4214" w:type="pct"/>
            <w:tcBorders>
              <w:bottom w:val="nil"/>
            </w:tcBorders>
            <w:shd w:val="clear" w:color="000000" w:fill="F2F2F2"/>
          </w:tcPr>
          <w:p w14:paraId="5CA7B10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Front Project</w:t>
            </w:r>
          </w:p>
        </w:tc>
        <w:tc>
          <w:tcPr>
            <w:tcW w:w="786" w:type="pct"/>
            <w:tcBorders>
              <w:bottom w:val="nil"/>
            </w:tcBorders>
            <w:shd w:val="clear" w:color="000000" w:fill="F2F2F2"/>
          </w:tcPr>
          <w:p w14:paraId="283E56F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143, 227</w:t>
            </w:r>
          </w:p>
        </w:tc>
      </w:tr>
      <w:tr w:rsidR="00BA4F92" w:rsidRPr="003F0303" w14:paraId="7EF88E1C" w14:textId="77777777" w:rsidTr="00556714">
        <w:tc>
          <w:tcPr>
            <w:tcW w:w="4214" w:type="pct"/>
            <w:tcBorders>
              <w:top w:val="nil"/>
              <w:bottom w:val="nil"/>
            </w:tcBorders>
            <w:shd w:val="clear" w:color="000000" w:fill="auto"/>
          </w:tcPr>
          <w:p w14:paraId="0EBECCCA"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Hive Mount Druitt (United Way Australia)</w:t>
            </w:r>
          </w:p>
        </w:tc>
        <w:tc>
          <w:tcPr>
            <w:tcW w:w="786" w:type="pct"/>
            <w:tcBorders>
              <w:top w:val="nil"/>
              <w:bottom w:val="nil"/>
            </w:tcBorders>
            <w:shd w:val="clear" w:color="000000" w:fill="auto"/>
          </w:tcPr>
          <w:p w14:paraId="48C3148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64, 234</w:t>
            </w:r>
          </w:p>
        </w:tc>
      </w:tr>
      <w:tr w:rsidR="00BA4F92" w:rsidRPr="003F0303" w14:paraId="13FC5CB4" w14:textId="77777777" w:rsidTr="00556714">
        <w:tc>
          <w:tcPr>
            <w:tcW w:w="4214" w:type="pct"/>
            <w:tcBorders>
              <w:bottom w:val="nil"/>
            </w:tcBorders>
            <w:shd w:val="clear" w:color="000000" w:fill="F2F2F2"/>
          </w:tcPr>
          <w:p w14:paraId="2070B20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Hon. Fiona Nash, Regional Education Commissioner</w:t>
            </w:r>
          </w:p>
        </w:tc>
        <w:tc>
          <w:tcPr>
            <w:tcW w:w="786" w:type="pct"/>
            <w:tcBorders>
              <w:bottom w:val="nil"/>
            </w:tcBorders>
            <w:shd w:val="clear" w:color="000000" w:fill="F2F2F2"/>
          </w:tcPr>
          <w:p w14:paraId="1E6B432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102, 188</w:t>
            </w:r>
          </w:p>
        </w:tc>
      </w:tr>
      <w:tr w:rsidR="00BA4F92" w:rsidRPr="003F0303" w14:paraId="09C2EB22" w14:textId="77777777" w:rsidTr="00556714">
        <w:tc>
          <w:tcPr>
            <w:tcW w:w="4214" w:type="pct"/>
            <w:tcBorders>
              <w:top w:val="nil"/>
              <w:bottom w:val="nil"/>
            </w:tcBorders>
            <w:shd w:val="clear" w:color="000000" w:fill="auto"/>
          </w:tcPr>
          <w:p w14:paraId="537D32F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Independent Education Union of Australia (IEUA)</w:t>
            </w:r>
          </w:p>
        </w:tc>
        <w:tc>
          <w:tcPr>
            <w:tcW w:w="786" w:type="pct"/>
            <w:tcBorders>
              <w:top w:val="nil"/>
              <w:bottom w:val="nil"/>
            </w:tcBorders>
            <w:shd w:val="clear" w:color="000000" w:fill="auto"/>
          </w:tcPr>
          <w:p w14:paraId="05182152"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40</w:t>
            </w:r>
          </w:p>
        </w:tc>
      </w:tr>
      <w:tr w:rsidR="00BA4F92" w:rsidRPr="003F0303" w14:paraId="3655F5F8" w14:textId="77777777" w:rsidTr="00556714">
        <w:tc>
          <w:tcPr>
            <w:tcW w:w="4214" w:type="pct"/>
            <w:tcBorders>
              <w:bottom w:val="nil"/>
            </w:tcBorders>
            <w:shd w:val="clear" w:color="000000" w:fill="F2F2F2"/>
          </w:tcPr>
          <w:p w14:paraId="15C32E80"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Parenthood</w:t>
            </w:r>
          </w:p>
        </w:tc>
        <w:tc>
          <w:tcPr>
            <w:tcW w:w="786" w:type="pct"/>
            <w:tcBorders>
              <w:bottom w:val="nil"/>
            </w:tcBorders>
            <w:shd w:val="clear" w:color="000000" w:fill="F2F2F2"/>
          </w:tcPr>
          <w:p w14:paraId="7BDBB25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122, 276</w:t>
            </w:r>
          </w:p>
        </w:tc>
      </w:tr>
      <w:tr w:rsidR="00BA4F92" w:rsidRPr="003F0303" w14:paraId="7EB5ED77" w14:textId="77777777" w:rsidTr="00556714">
        <w:tc>
          <w:tcPr>
            <w:tcW w:w="4214" w:type="pct"/>
            <w:tcBorders>
              <w:top w:val="nil"/>
              <w:bottom w:val="nil"/>
            </w:tcBorders>
            <w:shd w:val="clear" w:color="000000" w:fill="auto"/>
          </w:tcPr>
          <w:p w14:paraId="1ACA0BD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Salvation Army</w:t>
            </w:r>
          </w:p>
        </w:tc>
        <w:tc>
          <w:tcPr>
            <w:tcW w:w="786" w:type="pct"/>
            <w:tcBorders>
              <w:top w:val="nil"/>
              <w:bottom w:val="nil"/>
            </w:tcBorders>
            <w:shd w:val="clear" w:color="000000" w:fill="auto"/>
          </w:tcPr>
          <w:p w14:paraId="54348A9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56, 201</w:t>
            </w:r>
          </w:p>
        </w:tc>
      </w:tr>
      <w:tr w:rsidR="00BA4F92" w:rsidRPr="003F0303" w14:paraId="143415A9" w14:textId="77777777" w:rsidTr="00556714">
        <w:tc>
          <w:tcPr>
            <w:tcW w:w="4214" w:type="pct"/>
            <w:tcBorders>
              <w:bottom w:val="nil"/>
            </w:tcBorders>
            <w:shd w:val="clear" w:color="000000" w:fill="F2F2F2"/>
          </w:tcPr>
          <w:p w14:paraId="2463DEE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Smith Family</w:t>
            </w:r>
          </w:p>
        </w:tc>
        <w:tc>
          <w:tcPr>
            <w:tcW w:w="786" w:type="pct"/>
            <w:tcBorders>
              <w:bottom w:val="nil"/>
            </w:tcBorders>
            <w:shd w:val="clear" w:color="000000" w:fill="F2F2F2"/>
          </w:tcPr>
          <w:p w14:paraId="266BE4C5"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108, 197</w:t>
            </w:r>
          </w:p>
        </w:tc>
      </w:tr>
      <w:tr w:rsidR="00BA4F92" w:rsidRPr="003F0303" w14:paraId="24BB1C23" w14:textId="77777777" w:rsidTr="00556714">
        <w:tc>
          <w:tcPr>
            <w:tcW w:w="4214" w:type="pct"/>
            <w:tcBorders>
              <w:top w:val="nil"/>
              <w:bottom w:val="nil"/>
            </w:tcBorders>
            <w:shd w:val="clear" w:color="000000" w:fill="auto"/>
          </w:tcPr>
          <w:p w14:paraId="2D2FC1CC"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The </w:t>
            </w:r>
            <w:r w:rsidRPr="00270F35">
              <w:rPr>
                <w:rFonts w:ascii="Arial (Body)" w:hAnsi="Arial (Body)"/>
                <w:b w:val="0"/>
                <w:bCs/>
                <w:color w:val="auto"/>
              </w:rPr>
              <w:t>University of South</w:t>
            </w:r>
            <w:r w:rsidRPr="004C6294">
              <w:rPr>
                <w:rFonts w:ascii="Arial (Body)" w:hAnsi="Arial (Body)"/>
                <w:b w:val="0"/>
                <w:bCs/>
                <w:color w:val="auto"/>
              </w:rPr>
              <w:t xml:space="preserve"> Australia</w:t>
            </w:r>
          </w:p>
        </w:tc>
        <w:tc>
          <w:tcPr>
            <w:tcW w:w="786" w:type="pct"/>
            <w:tcBorders>
              <w:top w:val="nil"/>
              <w:bottom w:val="nil"/>
            </w:tcBorders>
            <w:shd w:val="clear" w:color="000000" w:fill="auto"/>
          </w:tcPr>
          <w:p w14:paraId="1C2A7AF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39</w:t>
            </w:r>
          </w:p>
        </w:tc>
      </w:tr>
      <w:tr w:rsidR="00BA4F92" w:rsidRPr="003F0303" w14:paraId="448A9015" w14:textId="77777777" w:rsidTr="00556714">
        <w:tc>
          <w:tcPr>
            <w:tcW w:w="4214" w:type="pct"/>
            <w:tcBorders>
              <w:bottom w:val="nil"/>
            </w:tcBorders>
            <w:shd w:val="clear" w:color="000000" w:fill="F2F2F2"/>
          </w:tcPr>
          <w:p w14:paraId="3933211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The Y Australia</w:t>
            </w:r>
          </w:p>
        </w:tc>
        <w:tc>
          <w:tcPr>
            <w:tcW w:w="786" w:type="pct"/>
            <w:tcBorders>
              <w:bottom w:val="nil"/>
            </w:tcBorders>
            <w:shd w:val="clear" w:color="000000" w:fill="F2F2F2"/>
          </w:tcPr>
          <w:p w14:paraId="798A2A6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127, 253</w:t>
            </w:r>
          </w:p>
        </w:tc>
      </w:tr>
      <w:tr w:rsidR="00BA4F92" w:rsidRPr="003F0303" w14:paraId="59BD15B8" w14:textId="77777777" w:rsidTr="00556714">
        <w:tc>
          <w:tcPr>
            <w:tcW w:w="4214" w:type="pct"/>
            <w:tcBorders>
              <w:top w:val="nil"/>
              <w:bottom w:val="nil"/>
            </w:tcBorders>
            <w:shd w:val="clear" w:color="000000" w:fill="auto"/>
          </w:tcPr>
          <w:p w14:paraId="12C65278"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Thrive By Five – Minderoo</w:t>
            </w:r>
          </w:p>
        </w:tc>
        <w:tc>
          <w:tcPr>
            <w:tcW w:w="786" w:type="pct"/>
            <w:tcBorders>
              <w:top w:val="nil"/>
              <w:bottom w:val="nil"/>
            </w:tcBorders>
            <w:shd w:val="clear" w:color="000000" w:fill="auto"/>
          </w:tcPr>
          <w:p w14:paraId="5D567B1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70, 288</w:t>
            </w:r>
          </w:p>
        </w:tc>
      </w:tr>
      <w:tr w:rsidR="00BA4F92" w:rsidRPr="003F0303" w14:paraId="2CDA1B5C" w14:textId="77777777" w:rsidTr="00556714">
        <w:tc>
          <w:tcPr>
            <w:tcW w:w="4214" w:type="pct"/>
            <w:tcBorders>
              <w:bottom w:val="nil"/>
            </w:tcBorders>
            <w:shd w:val="clear" w:color="000000" w:fill="F2F2F2"/>
          </w:tcPr>
          <w:p w14:paraId="45F7110E"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Thrive Group Tasmania Inc.</w:t>
            </w:r>
          </w:p>
        </w:tc>
        <w:tc>
          <w:tcPr>
            <w:tcW w:w="786" w:type="pct"/>
            <w:tcBorders>
              <w:bottom w:val="nil"/>
            </w:tcBorders>
            <w:shd w:val="clear" w:color="000000" w:fill="F2F2F2"/>
          </w:tcPr>
          <w:p w14:paraId="32561E6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81</w:t>
            </w:r>
          </w:p>
        </w:tc>
      </w:tr>
      <w:tr w:rsidR="00BA4F92" w:rsidRPr="003F0303" w14:paraId="070BE6CF" w14:textId="77777777" w:rsidTr="00556714">
        <w:tc>
          <w:tcPr>
            <w:tcW w:w="4214" w:type="pct"/>
            <w:tcBorders>
              <w:top w:val="nil"/>
              <w:bottom w:val="nil"/>
            </w:tcBorders>
            <w:shd w:val="clear" w:color="000000" w:fill="auto"/>
          </w:tcPr>
          <w:p w14:paraId="4658512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Tregeagle, Dr Susan</w:t>
            </w:r>
          </w:p>
        </w:tc>
        <w:tc>
          <w:tcPr>
            <w:tcW w:w="786" w:type="pct"/>
            <w:tcBorders>
              <w:top w:val="nil"/>
              <w:bottom w:val="nil"/>
            </w:tcBorders>
            <w:shd w:val="clear" w:color="000000" w:fill="auto"/>
          </w:tcPr>
          <w:p w14:paraId="452DBF2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173</w:t>
            </w:r>
          </w:p>
        </w:tc>
      </w:tr>
      <w:tr w:rsidR="00BA4F92" w:rsidRPr="003F0303" w14:paraId="1D216C76" w14:textId="77777777" w:rsidTr="00556714">
        <w:tc>
          <w:tcPr>
            <w:tcW w:w="4214" w:type="pct"/>
            <w:tcBorders>
              <w:bottom w:val="nil"/>
            </w:tcBorders>
            <w:shd w:val="clear" w:color="000000" w:fill="F2F2F2"/>
          </w:tcPr>
          <w:p w14:paraId="6EA25549"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Tyndale Christian School</w:t>
            </w:r>
          </w:p>
        </w:tc>
        <w:tc>
          <w:tcPr>
            <w:tcW w:w="786" w:type="pct"/>
            <w:tcBorders>
              <w:bottom w:val="nil"/>
            </w:tcBorders>
            <w:shd w:val="clear" w:color="000000" w:fill="F2F2F2"/>
          </w:tcPr>
          <w:p w14:paraId="64AEB34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215</w:t>
            </w:r>
          </w:p>
        </w:tc>
      </w:tr>
      <w:tr w:rsidR="00BA4F92" w:rsidRPr="003F0303" w14:paraId="1545B620" w14:textId="77777777" w:rsidTr="00556714">
        <w:tc>
          <w:tcPr>
            <w:tcW w:w="4214" w:type="pct"/>
            <w:tcBorders>
              <w:top w:val="nil"/>
              <w:bottom w:val="nil"/>
            </w:tcBorders>
            <w:shd w:val="clear" w:color="000000" w:fill="auto"/>
          </w:tcPr>
          <w:p w14:paraId="264ABC6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lastRenderedPageBreak/>
              <w:t>UNICEF Australia</w:t>
            </w:r>
          </w:p>
        </w:tc>
        <w:tc>
          <w:tcPr>
            <w:tcW w:w="786" w:type="pct"/>
            <w:tcBorders>
              <w:top w:val="nil"/>
              <w:bottom w:val="nil"/>
            </w:tcBorders>
            <w:shd w:val="clear" w:color="000000" w:fill="auto"/>
          </w:tcPr>
          <w:p w14:paraId="1C2A13C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93</w:t>
            </w:r>
          </w:p>
        </w:tc>
      </w:tr>
      <w:tr w:rsidR="00BA4F92" w:rsidRPr="003F0303" w14:paraId="7CB7F9F4" w14:textId="77777777" w:rsidTr="00556714">
        <w:tc>
          <w:tcPr>
            <w:tcW w:w="4214" w:type="pct"/>
            <w:tcBorders>
              <w:bottom w:val="nil"/>
            </w:tcBorders>
            <w:shd w:val="clear" w:color="000000" w:fill="F2F2F2"/>
          </w:tcPr>
          <w:p w14:paraId="2E68B4A1"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United Workers Union (UWU)</w:t>
            </w:r>
          </w:p>
        </w:tc>
        <w:tc>
          <w:tcPr>
            <w:tcW w:w="786" w:type="pct"/>
            <w:tcBorders>
              <w:bottom w:val="nil"/>
            </w:tcBorders>
            <w:shd w:val="clear" w:color="000000" w:fill="F2F2F2"/>
          </w:tcPr>
          <w:p w14:paraId="01E65783"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147, 222</w:t>
            </w:r>
          </w:p>
        </w:tc>
      </w:tr>
      <w:tr w:rsidR="00BA4F92" w:rsidRPr="003F0303" w14:paraId="5A23E6DD" w14:textId="77777777" w:rsidTr="00556714">
        <w:tc>
          <w:tcPr>
            <w:tcW w:w="4214" w:type="pct"/>
            <w:tcBorders>
              <w:top w:val="nil"/>
              <w:bottom w:val="nil"/>
            </w:tcBorders>
            <w:shd w:val="clear" w:color="000000" w:fill="auto"/>
          </w:tcPr>
          <w:p w14:paraId="38FCFCC8"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Uniting </w:t>
            </w:r>
            <w:r w:rsidRPr="00270F35">
              <w:rPr>
                <w:rFonts w:ascii="Arial (Body)" w:hAnsi="Arial (Body)"/>
                <w:b w:val="0"/>
                <w:bCs/>
                <w:color w:val="auto"/>
              </w:rPr>
              <w:t>Early Learning</w:t>
            </w:r>
          </w:p>
        </w:tc>
        <w:tc>
          <w:tcPr>
            <w:tcW w:w="786" w:type="pct"/>
            <w:tcBorders>
              <w:top w:val="nil"/>
              <w:bottom w:val="nil"/>
            </w:tcBorders>
            <w:shd w:val="clear" w:color="000000" w:fill="auto"/>
          </w:tcPr>
          <w:p w14:paraId="5C7A47DE"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275</w:t>
            </w:r>
          </w:p>
        </w:tc>
      </w:tr>
      <w:tr w:rsidR="00BA4F92" w:rsidRPr="003F0303" w14:paraId="01E27BF3" w14:textId="77777777" w:rsidTr="00556714">
        <w:tc>
          <w:tcPr>
            <w:tcW w:w="4214" w:type="pct"/>
            <w:tcBorders>
              <w:bottom w:val="nil"/>
            </w:tcBorders>
            <w:shd w:val="clear" w:color="000000" w:fill="F2F2F2"/>
          </w:tcPr>
          <w:p w14:paraId="2E5C969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Uniting NSW, ACT</w:t>
            </w:r>
          </w:p>
        </w:tc>
        <w:tc>
          <w:tcPr>
            <w:tcW w:w="786" w:type="pct"/>
            <w:tcBorders>
              <w:bottom w:val="nil"/>
            </w:tcBorders>
            <w:shd w:val="clear" w:color="000000" w:fill="F2F2F2"/>
          </w:tcPr>
          <w:p w14:paraId="310AAED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239</w:t>
            </w:r>
          </w:p>
        </w:tc>
      </w:tr>
      <w:tr w:rsidR="00BA4F92" w:rsidRPr="00270F35" w14:paraId="3D25370D" w14:textId="77777777" w:rsidTr="00556714">
        <w:tc>
          <w:tcPr>
            <w:tcW w:w="4214" w:type="pct"/>
            <w:tcBorders>
              <w:top w:val="nil"/>
              <w:bottom w:val="nil"/>
            </w:tcBorders>
            <w:shd w:val="clear" w:color="000000" w:fill="auto"/>
          </w:tcPr>
          <w:p w14:paraId="68B9C6D5"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University of NSW, Social Policy Research Centre</w:t>
            </w:r>
          </w:p>
        </w:tc>
        <w:tc>
          <w:tcPr>
            <w:tcW w:w="786" w:type="pct"/>
            <w:tcBorders>
              <w:top w:val="nil"/>
              <w:bottom w:val="nil"/>
            </w:tcBorders>
            <w:shd w:val="clear" w:color="000000" w:fill="auto"/>
          </w:tcPr>
          <w:p w14:paraId="3A0DC401"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176</w:t>
            </w:r>
          </w:p>
        </w:tc>
      </w:tr>
      <w:tr w:rsidR="00BA4F92" w:rsidRPr="003F0303" w14:paraId="0CDFC853" w14:textId="77777777" w:rsidTr="00556714">
        <w:tc>
          <w:tcPr>
            <w:tcW w:w="4214" w:type="pct"/>
            <w:tcBorders>
              <w:bottom w:val="nil"/>
            </w:tcBorders>
            <w:shd w:val="clear" w:color="000000" w:fill="F2F2F2"/>
          </w:tcPr>
          <w:p w14:paraId="57BDBBA6"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Victoria University</w:t>
            </w:r>
          </w:p>
        </w:tc>
        <w:tc>
          <w:tcPr>
            <w:tcW w:w="786" w:type="pct"/>
            <w:tcBorders>
              <w:bottom w:val="nil"/>
            </w:tcBorders>
            <w:shd w:val="clear" w:color="000000" w:fill="F2F2F2"/>
          </w:tcPr>
          <w:p w14:paraId="24D4A58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384</w:t>
            </w:r>
          </w:p>
        </w:tc>
      </w:tr>
      <w:tr w:rsidR="00BA4F92" w:rsidRPr="003F0303" w14:paraId="32F7E732" w14:textId="77777777" w:rsidTr="00556714">
        <w:tc>
          <w:tcPr>
            <w:tcW w:w="4214" w:type="pct"/>
            <w:tcBorders>
              <w:top w:val="nil"/>
              <w:bottom w:val="nil"/>
            </w:tcBorders>
            <w:shd w:val="clear" w:color="000000" w:fill="auto"/>
          </w:tcPr>
          <w:p w14:paraId="0014D12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Victorian Association of TESOL (VicTESOL) &amp; QLD Association of TESOL (QATESOL)</w:t>
            </w:r>
          </w:p>
        </w:tc>
        <w:tc>
          <w:tcPr>
            <w:tcW w:w="786" w:type="pct"/>
            <w:tcBorders>
              <w:top w:val="nil"/>
              <w:bottom w:val="nil"/>
            </w:tcBorders>
            <w:shd w:val="clear" w:color="000000" w:fill="auto"/>
          </w:tcPr>
          <w:p w14:paraId="39A9679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224</w:t>
            </w:r>
          </w:p>
        </w:tc>
      </w:tr>
      <w:tr w:rsidR="00BA4F92" w:rsidRPr="003F0303" w14:paraId="5233544F" w14:textId="77777777" w:rsidTr="00556714">
        <w:tc>
          <w:tcPr>
            <w:tcW w:w="4214" w:type="pct"/>
            <w:tcBorders>
              <w:bottom w:val="nil"/>
            </w:tcBorders>
            <w:shd w:val="clear" w:color="000000" w:fill="F2F2F2"/>
          </w:tcPr>
          <w:p w14:paraId="6B6D3A62" w14:textId="77777777" w:rsidR="00BA4F92" w:rsidRPr="004C6294" w:rsidRDefault="00BA4F92" w:rsidP="00882158">
            <w:pPr>
              <w:pStyle w:val="TableHeading"/>
              <w:spacing w:before="45" w:after="45"/>
              <w:ind w:right="108"/>
              <w:rPr>
                <w:rFonts w:ascii="Arial (Body)" w:hAnsi="Arial (Body)"/>
                <w:b w:val="0"/>
                <w:bCs/>
                <w:color w:val="auto"/>
              </w:rPr>
            </w:pPr>
            <w:r w:rsidRPr="004C6294">
              <w:rPr>
                <w:rFonts w:ascii="Arial (Body)" w:hAnsi="Arial (Body)"/>
                <w:b w:val="0"/>
                <w:bCs/>
                <w:color w:val="auto"/>
              </w:rPr>
              <w:t xml:space="preserve">Victorian </w:t>
            </w:r>
            <w:r w:rsidRPr="00270F35">
              <w:rPr>
                <w:rFonts w:ascii="Arial (Body)" w:hAnsi="Arial (Body)"/>
                <w:b w:val="0"/>
                <w:bCs/>
                <w:color w:val="auto"/>
              </w:rPr>
              <w:t>Government (Department of</w:t>
            </w:r>
            <w:r w:rsidRPr="004C6294">
              <w:rPr>
                <w:rFonts w:ascii="Arial (Body)" w:hAnsi="Arial (Body)"/>
                <w:b w:val="0"/>
                <w:bCs/>
                <w:color w:val="auto"/>
              </w:rPr>
              <w:t xml:space="preserve"> Education)</w:t>
            </w:r>
          </w:p>
        </w:tc>
        <w:tc>
          <w:tcPr>
            <w:tcW w:w="786" w:type="pct"/>
            <w:tcBorders>
              <w:bottom w:val="nil"/>
            </w:tcBorders>
            <w:shd w:val="clear" w:color="000000" w:fill="F2F2F2"/>
          </w:tcPr>
          <w:p w14:paraId="5865BDE8"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146, 311</w:t>
            </w:r>
          </w:p>
        </w:tc>
      </w:tr>
      <w:tr w:rsidR="00BA4F92" w:rsidRPr="003F0303" w14:paraId="57C1FAE4" w14:textId="77777777" w:rsidTr="00556714">
        <w:tc>
          <w:tcPr>
            <w:tcW w:w="4214" w:type="pct"/>
            <w:tcBorders>
              <w:top w:val="nil"/>
              <w:bottom w:val="nil"/>
            </w:tcBorders>
            <w:shd w:val="clear" w:color="000000" w:fill="auto"/>
          </w:tcPr>
          <w:p w14:paraId="16362B2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Victorian Peak Aboriginal Body in Education (VAEAI)</w:t>
            </w:r>
          </w:p>
        </w:tc>
        <w:tc>
          <w:tcPr>
            <w:tcW w:w="786" w:type="pct"/>
            <w:tcBorders>
              <w:top w:val="nil"/>
              <w:bottom w:val="nil"/>
            </w:tcBorders>
            <w:shd w:val="clear" w:color="000000" w:fill="auto"/>
          </w:tcPr>
          <w:p w14:paraId="372313F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271</w:t>
            </w:r>
          </w:p>
        </w:tc>
      </w:tr>
      <w:tr w:rsidR="00BA4F92" w:rsidRPr="003F0303" w14:paraId="21FD4576" w14:textId="77777777" w:rsidTr="00556714">
        <w:tc>
          <w:tcPr>
            <w:tcW w:w="4214" w:type="pct"/>
            <w:tcBorders>
              <w:bottom w:val="nil"/>
            </w:tcBorders>
            <w:shd w:val="clear" w:color="000000" w:fill="F2F2F2"/>
          </w:tcPr>
          <w:p w14:paraId="47C2E8F3"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Vision Australia</w:t>
            </w:r>
          </w:p>
        </w:tc>
        <w:tc>
          <w:tcPr>
            <w:tcW w:w="786" w:type="pct"/>
            <w:tcBorders>
              <w:bottom w:val="nil"/>
            </w:tcBorders>
            <w:shd w:val="clear" w:color="000000" w:fill="F2F2F2"/>
          </w:tcPr>
          <w:p w14:paraId="1B6F903D"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119, 191</w:t>
            </w:r>
          </w:p>
        </w:tc>
      </w:tr>
      <w:tr w:rsidR="00BA4F92" w:rsidRPr="003F0303" w14:paraId="37140A7C" w14:textId="77777777" w:rsidTr="00556714">
        <w:tc>
          <w:tcPr>
            <w:tcW w:w="4214" w:type="pct"/>
            <w:tcBorders>
              <w:top w:val="nil"/>
              <w:bottom w:val="nil"/>
            </w:tcBorders>
            <w:shd w:val="clear" w:color="000000" w:fill="auto"/>
          </w:tcPr>
          <w:p w14:paraId="0C5E766B"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WA Government</w:t>
            </w:r>
          </w:p>
        </w:tc>
        <w:tc>
          <w:tcPr>
            <w:tcW w:w="786" w:type="pct"/>
            <w:tcBorders>
              <w:top w:val="nil"/>
              <w:bottom w:val="nil"/>
            </w:tcBorders>
            <w:shd w:val="clear" w:color="000000" w:fill="auto"/>
          </w:tcPr>
          <w:p w14:paraId="1EF1A357"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162</w:t>
            </w:r>
          </w:p>
        </w:tc>
      </w:tr>
      <w:tr w:rsidR="00BA4F92" w:rsidRPr="003F0303" w14:paraId="03B214A4" w14:textId="77777777" w:rsidTr="00556714">
        <w:tc>
          <w:tcPr>
            <w:tcW w:w="4214" w:type="pct"/>
            <w:tcBorders>
              <w:bottom w:val="nil"/>
            </w:tcBorders>
            <w:shd w:val="clear" w:color="000000" w:fill="F2F2F2"/>
          </w:tcPr>
          <w:p w14:paraId="16E314A3"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WA Not for Profit Consortium</w:t>
            </w:r>
          </w:p>
        </w:tc>
        <w:tc>
          <w:tcPr>
            <w:tcW w:w="786" w:type="pct"/>
            <w:tcBorders>
              <w:bottom w:val="nil"/>
            </w:tcBorders>
            <w:shd w:val="clear" w:color="000000" w:fill="F2F2F2"/>
          </w:tcPr>
          <w:p w14:paraId="209B5FAC"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250</w:t>
            </w:r>
          </w:p>
        </w:tc>
      </w:tr>
      <w:tr w:rsidR="00BA4F92" w:rsidRPr="003F0303" w14:paraId="0F3C5C7B" w14:textId="77777777" w:rsidTr="00556714">
        <w:tc>
          <w:tcPr>
            <w:tcW w:w="4214" w:type="pct"/>
            <w:tcBorders>
              <w:top w:val="nil"/>
              <w:bottom w:val="nil"/>
            </w:tcBorders>
            <w:shd w:val="clear" w:color="000000" w:fill="auto"/>
          </w:tcPr>
          <w:p w14:paraId="61CE922C"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Wastell, Selma</w:t>
            </w:r>
          </w:p>
        </w:tc>
        <w:tc>
          <w:tcPr>
            <w:tcW w:w="786" w:type="pct"/>
            <w:tcBorders>
              <w:top w:val="nil"/>
              <w:bottom w:val="nil"/>
            </w:tcBorders>
            <w:shd w:val="clear" w:color="000000" w:fill="auto"/>
          </w:tcPr>
          <w:p w14:paraId="4CCA7D79"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186</w:t>
            </w:r>
          </w:p>
        </w:tc>
      </w:tr>
      <w:tr w:rsidR="00BA4F92" w:rsidRPr="003F0303" w14:paraId="0727CD15" w14:textId="77777777" w:rsidTr="00556714">
        <w:tc>
          <w:tcPr>
            <w:tcW w:w="4214" w:type="pct"/>
            <w:tcBorders>
              <w:bottom w:val="nil"/>
            </w:tcBorders>
            <w:shd w:val="clear" w:color="000000" w:fill="F2F2F2"/>
          </w:tcPr>
          <w:p w14:paraId="19B4A624"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Waverley Council</w:t>
            </w:r>
          </w:p>
        </w:tc>
        <w:tc>
          <w:tcPr>
            <w:tcW w:w="786" w:type="pct"/>
            <w:tcBorders>
              <w:bottom w:val="nil"/>
            </w:tcBorders>
            <w:shd w:val="clear" w:color="000000" w:fill="F2F2F2"/>
          </w:tcPr>
          <w:p w14:paraId="4256632F"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132</w:t>
            </w:r>
          </w:p>
        </w:tc>
      </w:tr>
      <w:tr w:rsidR="00BA4F92" w:rsidRPr="003F0303" w14:paraId="4A9B4F06" w14:textId="77777777" w:rsidTr="00556714">
        <w:tc>
          <w:tcPr>
            <w:tcW w:w="4214" w:type="pct"/>
            <w:tcBorders>
              <w:top w:val="nil"/>
              <w:bottom w:val="nil"/>
            </w:tcBorders>
            <w:shd w:val="clear" w:color="000000" w:fill="auto"/>
          </w:tcPr>
          <w:p w14:paraId="1CF34B4A"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Western Sydney Primary Health Network (WentWest)</w:t>
            </w:r>
          </w:p>
        </w:tc>
        <w:tc>
          <w:tcPr>
            <w:tcW w:w="786" w:type="pct"/>
            <w:tcBorders>
              <w:top w:val="nil"/>
              <w:bottom w:val="nil"/>
            </w:tcBorders>
            <w:shd w:val="clear" w:color="000000" w:fill="auto"/>
          </w:tcPr>
          <w:p w14:paraId="3C9C1340"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57</w:t>
            </w:r>
          </w:p>
        </w:tc>
      </w:tr>
      <w:tr w:rsidR="00BA4F92" w:rsidRPr="003F0303" w14:paraId="47EB0384" w14:textId="77777777" w:rsidTr="00556714">
        <w:tc>
          <w:tcPr>
            <w:tcW w:w="4214" w:type="pct"/>
            <w:tcBorders>
              <w:bottom w:val="nil"/>
            </w:tcBorders>
            <w:shd w:val="clear" w:color="000000" w:fill="F2F2F2"/>
          </w:tcPr>
          <w:p w14:paraId="43336BAD"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Woden Valley Early Learning Centre</w:t>
            </w:r>
          </w:p>
        </w:tc>
        <w:tc>
          <w:tcPr>
            <w:tcW w:w="786" w:type="pct"/>
            <w:tcBorders>
              <w:bottom w:val="nil"/>
            </w:tcBorders>
            <w:shd w:val="clear" w:color="000000" w:fill="F2F2F2"/>
          </w:tcPr>
          <w:p w14:paraId="26B6A52A"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50</w:t>
            </w:r>
          </w:p>
        </w:tc>
      </w:tr>
      <w:tr w:rsidR="00BA4F92" w:rsidRPr="00270F35" w14:paraId="17B57FCE" w14:textId="77777777" w:rsidTr="00556714">
        <w:tc>
          <w:tcPr>
            <w:tcW w:w="4214" w:type="pct"/>
            <w:tcBorders>
              <w:top w:val="nil"/>
              <w:bottom w:val="nil"/>
            </w:tcBorders>
            <w:shd w:val="clear" w:color="000000" w:fill="auto"/>
          </w:tcPr>
          <w:p w14:paraId="1DF2AED4"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Women’s Legal Services Australia (WLSA)</w:t>
            </w:r>
          </w:p>
        </w:tc>
        <w:tc>
          <w:tcPr>
            <w:tcW w:w="786" w:type="pct"/>
            <w:tcBorders>
              <w:top w:val="nil"/>
              <w:bottom w:val="nil"/>
            </w:tcBorders>
            <w:shd w:val="clear" w:color="000000" w:fill="auto"/>
          </w:tcPr>
          <w:p w14:paraId="0229C69F"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272</w:t>
            </w:r>
          </w:p>
        </w:tc>
      </w:tr>
      <w:tr w:rsidR="00BA4F92" w:rsidRPr="003F0303" w14:paraId="6211D2AD" w14:textId="77777777" w:rsidTr="007723F0">
        <w:tc>
          <w:tcPr>
            <w:tcW w:w="4214" w:type="pct"/>
            <w:tcBorders>
              <w:bottom w:val="nil"/>
            </w:tcBorders>
            <w:shd w:val="clear" w:color="000000" w:fill="F2F2F2"/>
          </w:tcPr>
          <w:p w14:paraId="28F4C49A" w14:textId="77777777" w:rsidR="00BA4F92" w:rsidRPr="004C6294"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Wonderschool Early Learning Centres</w:t>
            </w:r>
          </w:p>
        </w:tc>
        <w:tc>
          <w:tcPr>
            <w:tcW w:w="786" w:type="pct"/>
            <w:tcBorders>
              <w:bottom w:val="nil"/>
            </w:tcBorders>
            <w:shd w:val="clear" w:color="000000" w:fill="F2F2F2"/>
          </w:tcPr>
          <w:p w14:paraId="51270C5B" w14:textId="77777777" w:rsidR="00BA4F92" w:rsidRPr="003F0303"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321</w:t>
            </w:r>
          </w:p>
        </w:tc>
      </w:tr>
      <w:tr w:rsidR="00BA4F92" w:rsidRPr="00270F35" w14:paraId="2DCE2744" w14:textId="77777777" w:rsidTr="007723F0">
        <w:tc>
          <w:tcPr>
            <w:tcW w:w="4214" w:type="pct"/>
            <w:tcBorders>
              <w:bottom w:val="single" w:sz="4" w:space="0" w:color="BFBFBF" w:themeColor="background1" w:themeShade="BF"/>
            </w:tcBorders>
            <w:shd w:val="clear" w:color="auto" w:fill="FFFFFF" w:themeFill="background1"/>
          </w:tcPr>
          <w:p w14:paraId="60CC2BF5" w14:textId="77777777" w:rsidR="00BA4F92" w:rsidRPr="00270F35" w:rsidRDefault="00BA4F92" w:rsidP="00882158">
            <w:pPr>
              <w:pStyle w:val="TableHeading"/>
              <w:spacing w:before="45" w:after="45"/>
              <w:ind w:right="108"/>
              <w:rPr>
                <w:rFonts w:ascii="Arial (Body)" w:hAnsi="Arial (Body)"/>
                <w:b w:val="0"/>
                <w:bCs/>
                <w:color w:val="auto"/>
              </w:rPr>
            </w:pPr>
            <w:r w:rsidRPr="00270F35">
              <w:rPr>
                <w:rFonts w:ascii="Arial (Body)" w:hAnsi="Arial (Body)"/>
                <w:b w:val="0"/>
                <w:bCs/>
                <w:color w:val="auto"/>
              </w:rPr>
              <w:t>Work and Family Policy Roundtable (W+FPR)</w:t>
            </w:r>
          </w:p>
        </w:tc>
        <w:tc>
          <w:tcPr>
            <w:tcW w:w="786" w:type="pct"/>
            <w:tcBorders>
              <w:bottom w:val="single" w:sz="4" w:space="0" w:color="BFBFBF" w:themeColor="background1" w:themeShade="BF"/>
            </w:tcBorders>
            <w:shd w:val="clear" w:color="auto" w:fill="FFFFFF" w:themeFill="background1"/>
          </w:tcPr>
          <w:p w14:paraId="13BF528A" w14:textId="77777777" w:rsidR="00BA4F92" w:rsidRPr="00270F35" w:rsidRDefault="00BA4F92" w:rsidP="00882158">
            <w:pPr>
              <w:pStyle w:val="TableBody"/>
              <w:spacing w:before="45" w:after="45"/>
              <w:ind w:right="108"/>
              <w:jc w:val="right"/>
              <w:rPr>
                <w:rFonts w:ascii="Arial (Body)" w:hAnsi="Arial (Body)"/>
                <w:color w:val="000000"/>
              </w:rPr>
            </w:pPr>
            <w:r w:rsidRPr="00270F35">
              <w:rPr>
                <w:rFonts w:ascii="Arial (Body)" w:hAnsi="Arial (Body)"/>
                <w:color w:val="000000"/>
              </w:rPr>
              <w:t>138</w:t>
            </w:r>
          </w:p>
        </w:tc>
      </w:tr>
    </w:tbl>
    <w:p w14:paraId="58C518D8" w14:textId="77777777" w:rsidR="00BA4F92" w:rsidRPr="00975C23" w:rsidRDefault="00BA4F92" w:rsidP="00882158">
      <w:pPr>
        <w:spacing w:before="45" w:after="45" w:line="259" w:lineRule="auto"/>
        <w:ind w:left="57" w:right="108"/>
        <w:rPr>
          <w:rFonts w:asciiTheme="majorHAnsi" w:hAnsiTheme="majorHAnsi"/>
          <w:b/>
          <w:bCs/>
        </w:rPr>
      </w:pPr>
      <w:r w:rsidRPr="00940752">
        <w:br w:type="page"/>
      </w:r>
      <w:r w:rsidRPr="00975C23">
        <w:rPr>
          <w:rFonts w:asciiTheme="majorHAnsi" w:hAnsiTheme="majorHAnsi"/>
          <w:b/>
          <w:bCs/>
        </w:rPr>
        <w:lastRenderedPageBreak/>
        <w:t>Table A.2</w:t>
      </w:r>
      <w:r w:rsidRPr="00975C23">
        <w:rPr>
          <w:rFonts w:asciiTheme="majorHAnsi" w:hAnsiTheme="majorHAnsi"/>
          <w:b/>
          <w:bCs/>
          <w:noProof/>
        </w:rPr>
        <w:t xml:space="preserve"> – </w:t>
      </w:r>
      <w:r w:rsidRPr="00975C23">
        <w:rPr>
          <w:rFonts w:asciiTheme="majorHAnsi" w:hAnsiTheme="majorHAnsi"/>
          <w:b/>
          <w:bCs/>
        </w:rP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A4F92" w:rsidRPr="00975086" w14:paraId="4F8FC9E3" w14:textId="77777777" w:rsidTr="00975086">
        <w:trPr>
          <w:tblHeader/>
        </w:trPr>
        <w:tc>
          <w:tcPr>
            <w:tcW w:w="9638" w:type="dxa"/>
            <w:tcBorders>
              <w:bottom w:val="single" w:sz="4" w:space="0" w:color="B3B3B3"/>
            </w:tcBorders>
            <w:shd w:val="clear" w:color="000000" w:fill="auto"/>
            <w:vAlign w:val="bottom"/>
          </w:tcPr>
          <w:p w14:paraId="1C56F8B4" w14:textId="77777777" w:rsidR="00BA4F92" w:rsidRPr="00975086" w:rsidRDefault="00BA4F92" w:rsidP="00975086">
            <w:pPr>
              <w:pStyle w:val="TableHeading"/>
              <w:spacing w:before="45" w:after="45"/>
              <w:ind w:right="108"/>
              <w:rPr>
                <w:rFonts w:ascii="Arial (Body)" w:hAnsi="Arial (Body)"/>
                <w:color w:val="auto"/>
              </w:rPr>
            </w:pPr>
            <w:r w:rsidRPr="00975086">
              <w:rPr>
                <w:rFonts w:ascii="Arial (Body)" w:hAnsi="Arial (Body)"/>
              </w:rPr>
              <w:t>Participants</w:t>
            </w:r>
          </w:p>
        </w:tc>
      </w:tr>
      <w:tr w:rsidR="00BA4F92" w:rsidRPr="00975086" w14:paraId="061DBBDB" w14:textId="77777777" w:rsidTr="00975086">
        <w:tc>
          <w:tcPr>
            <w:tcW w:w="9638" w:type="dxa"/>
            <w:tcBorders>
              <w:top w:val="single" w:sz="4" w:space="0" w:color="B3B3B3"/>
              <w:bottom w:val="nil"/>
            </w:tcBorders>
            <w:shd w:val="clear" w:color="000000" w:fill="F2F2F2"/>
          </w:tcPr>
          <w:p w14:paraId="5A40E1A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ACT Chief Minister, Treasury and Education Development Directorate</w:t>
            </w:r>
          </w:p>
        </w:tc>
      </w:tr>
      <w:tr w:rsidR="00BA4F92" w:rsidRPr="00975086" w14:paraId="03C1B7AB" w14:textId="77777777" w:rsidTr="00975086">
        <w:tc>
          <w:tcPr>
            <w:tcW w:w="9638" w:type="dxa"/>
            <w:tcBorders>
              <w:top w:val="nil"/>
              <w:bottom w:val="nil"/>
            </w:tcBorders>
            <w:shd w:val="clear" w:color="000000" w:fill="auto"/>
          </w:tcPr>
          <w:p w14:paraId="3DBC818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ACT Children’s Education and Care Assurance</w:t>
            </w:r>
          </w:p>
        </w:tc>
      </w:tr>
      <w:tr w:rsidR="00BA4F92" w:rsidRPr="00975086" w14:paraId="2695EC47" w14:textId="77777777" w:rsidTr="00975086">
        <w:tc>
          <w:tcPr>
            <w:tcW w:w="9638" w:type="dxa"/>
            <w:tcBorders>
              <w:bottom w:val="nil"/>
            </w:tcBorders>
            <w:shd w:val="clear" w:color="000000" w:fill="F2F2F2"/>
          </w:tcPr>
          <w:p w14:paraId="39AFC14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ACT Education Directorate</w:t>
            </w:r>
          </w:p>
        </w:tc>
      </w:tr>
      <w:tr w:rsidR="00BA4F92" w:rsidRPr="00975086" w14:paraId="790F087E" w14:textId="77777777" w:rsidTr="00975086">
        <w:tc>
          <w:tcPr>
            <w:tcW w:w="9638" w:type="dxa"/>
            <w:tcBorders>
              <w:top w:val="nil"/>
              <w:bottom w:val="nil"/>
            </w:tcBorders>
            <w:shd w:val="clear" w:color="000000" w:fill="auto"/>
          </w:tcPr>
          <w:p w14:paraId="6096177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Albury City Council</w:t>
            </w:r>
          </w:p>
        </w:tc>
      </w:tr>
      <w:tr w:rsidR="00BA4F92" w:rsidRPr="00975086" w14:paraId="4EBA0F61" w14:textId="77777777" w:rsidTr="00975086">
        <w:tc>
          <w:tcPr>
            <w:tcW w:w="9638" w:type="dxa"/>
            <w:tcBorders>
              <w:bottom w:val="nil"/>
            </w:tcBorders>
            <w:shd w:val="clear" w:color="000000" w:fill="F2F2F2"/>
          </w:tcPr>
          <w:p w14:paraId="50C5C8E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Albury Occasional Care</w:t>
            </w:r>
          </w:p>
        </w:tc>
      </w:tr>
      <w:tr w:rsidR="00BA4F92" w:rsidRPr="00975086" w14:paraId="60FD8488" w14:textId="77777777" w:rsidTr="00975086">
        <w:tc>
          <w:tcPr>
            <w:tcW w:w="9638" w:type="dxa"/>
            <w:tcBorders>
              <w:top w:val="nil"/>
              <w:bottom w:val="nil"/>
            </w:tcBorders>
            <w:shd w:val="clear" w:color="000000" w:fill="auto"/>
          </w:tcPr>
          <w:p w14:paraId="52ECC99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Albury Public School</w:t>
            </w:r>
          </w:p>
        </w:tc>
      </w:tr>
      <w:tr w:rsidR="00BA4F92" w:rsidRPr="00975086" w14:paraId="37C0B821" w14:textId="77777777" w:rsidTr="00975086">
        <w:tc>
          <w:tcPr>
            <w:tcW w:w="9638" w:type="dxa"/>
            <w:tcBorders>
              <w:bottom w:val="nil"/>
            </w:tcBorders>
            <w:shd w:val="clear" w:color="000000" w:fill="F2F2F2"/>
          </w:tcPr>
          <w:p w14:paraId="78D252D5"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API Childcare</w:t>
            </w:r>
          </w:p>
        </w:tc>
      </w:tr>
      <w:tr w:rsidR="00BA4F92" w:rsidRPr="00975086" w14:paraId="6ABA1003" w14:textId="77777777" w:rsidTr="00975086">
        <w:tc>
          <w:tcPr>
            <w:tcW w:w="9638" w:type="dxa"/>
            <w:tcBorders>
              <w:top w:val="nil"/>
              <w:bottom w:val="nil"/>
            </w:tcBorders>
            <w:shd w:val="clear" w:color="000000" w:fill="auto"/>
          </w:tcPr>
          <w:p w14:paraId="7764A27A"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Bureau of Statistics (ABS)</w:t>
            </w:r>
          </w:p>
        </w:tc>
      </w:tr>
      <w:tr w:rsidR="00BA4F92" w:rsidRPr="00975086" w14:paraId="07806B18" w14:textId="77777777" w:rsidTr="00975086">
        <w:tc>
          <w:tcPr>
            <w:tcW w:w="9638" w:type="dxa"/>
            <w:tcBorders>
              <w:bottom w:val="nil"/>
            </w:tcBorders>
            <w:shd w:val="clear" w:color="000000" w:fill="F2F2F2"/>
          </w:tcPr>
          <w:p w14:paraId="7F05404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Childcare Alliance</w:t>
            </w:r>
          </w:p>
        </w:tc>
      </w:tr>
      <w:tr w:rsidR="00BA4F92" w:rsidRPr="00975086" w14:paraId="64C45BB2" w14:textId="77777777" w:rsidTr="00975086">
        <w:tc>
          <w:tcPr>
            <w:tcW w:w="9638" w:type="dxa"/>
            <w:tcBorders>
              <w:top w:val="nil"/>
              <w:bottom w:val="nil"/>
            </w:tcBorders>
            <w:shd w:val="clear" w:color="000000" w:fill="auto"/>
          </w:tcPr>
          <w:p w14:paraId="6499364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Children’s Education and Care Quality Authority (ACECQA)</w:t>
            </w:r>
          </w:p>
        </w:tc>
      </w:tr>
      <w:tr w:rsidR="00BA4F92" w:rsidRPr="00975086" w14:paraId="513E8196" w14:textId="77777777" w:rsidTr="00975086">
        <w:tc>
          <w:tcPr>
            <w:tcW w:w="9638" w:type="dxa"/>
            <w:tcBorders>
              <w:bottom w:val="nil"/>
            </w:tcBorders>
            <w:shd w:val="clear" w:color="000000" w:fill="F2F2F2"/>
          </w:tcPr>
          <w:p w14:paraId="5BFE98F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Competition and Consumer Commission (ACCC)</w:t>
            </w:r>
          </w:p>
        </w:tc>
      </w:tr>
      <w:tr w:rsidR="00BA4F92" w:rsidRPr="00975086" w14:paraId="63FC5872" w14:textId="77777777" w:rsidTr="00975086">
        <w:tc>
          <w:tcPr>
            <w:tcW w:w="9638" w:type="dxa"/>
            <w:tcBorders>
              <w:top w:val="nil"/>
              <w:bottom w:val="nil"/>
            </w:tcBorders>
            <w:shd w:val="clear" w:color="000000" w:fill="auto"/>
          </w:tcPr>
          <w:p w14:paraId="65FE332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Early Childhood Teacher Education Network (AECTEN)</w:t>
            </w:r>
          </w:p>
        </w:tc>
      </w:tr>
      <w:tr w:rsidR="00BA4F92" w:rsidRPr="00975086" w14:paraId="5EE51F20" w14:textId="77777777" w:rsidTr="00975086">
        <w:tc>
          <w:tcPr>
            <w:tcW w:w="9638" w:type="dxa"/>
            <w:tcBorders>
              <w:bottom w:val="nil"/>
            </w:tcBorders>
            <w:shd w:val="clear" w:color="000000" w:fill="F2F2F2"/>
          </w:tcPr>
          <w:p w14:paraId="62D9F6F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Education Research Organisation (AERO)</w:t>
            </w:r>
          </w:p>
        </w:tc>
      </w:tr>
      <w:tr w:rsidR="00BA4F92" w:rsidRPr="00975086" w14:paraId="5C465273" w14:textId="77777777" w:rsidTr="00975086">
        <w:tc>
          <w:tcPr>
            <w:tcW w:w="9638" w:type="dxa"/>
            <w:tcBorders>
              <w:top w:val="nil"/>
              <w:bottom w:val="nil"/>
            </w:tcBorders>
            <w:shd w:val="clear" w:color="000000" w:fill="auto"/>
          </w:tcPr>
          <w:p w14:paraId="16E7F8F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Education Union (AEU)</w:t>
            </w:r>
          </w:p>
        </w:tc>
      </w:tr>
      <w:tr w:rsidR="00BA4F92" w:rsidRPr="00975086" w14:paraId="79FBAA88" w14:textId="77777777" w:rsidTr="00975086">
        <w:tc>
          <w:tcPr>
            <w:tcW w:w="9638" w:type="dxa"/>
            <w:tcBorders>
              <w:bottom w:val="nil"/>
            </w:tcBorders>
            <w:shd w:val="clear" w:color="000000" w:fill="F2F2F2"/>
          </w:tcPr>
          <w:p w14:paraId="10D5ED4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Institute of Family Studies (AIFS)</w:t>
            </w:r>
          </w:p>
        </w:tc>
      </w:tr>
      <w:tr w:rsidR="00BA4F92" w:rsidRPr="00975086" w14:paraId="50890EAA" w14:textId="77777777" w:rsidTr="00975086">
        <w:tc>
          <w:tcPr>
            <w:tcW w:w="9638" w:type="dxa"/>
            <w:tcBorders>
              <w:top w:val="nil"/>
              <w:bottom w:val="nil"/>
            </w:tcBorders>
            <w:shd w:val="clear" w:color="000000" w:fill="auto"/>
          </w:tcPr>
          <w:p w14:paraId="46CA0E0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Institute of Teaching and School Leadership (AITSL)</w:t>
            </w:r>
          </w:p>
        </w:tc>
      </w:tr>
      <w:tr w:rsidR="00BA4F92" w:rsidRPr="00975086" w14:paraId="05F1FD25" w14:textId="77777777" w:rsidTr="00975086">
        <w:tc>
          <w:tcPr>
            <w:tcW w:w="9638" w:type="dxa"/>
            <w:tcBorders>
              <w:bottom w:val="nil"/>
            </w:tcBorders>
            <w:shd w:val="clear" w:color="000000" w:fill="F2F2F2"/>
          </w:tcPr>
          <w:p w14:paraId="35046DB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Australia’s Leading Home Care Agency</w:t>
            </w:r>
          </w:p>
        </w:tc>
      </w:tr>
      <w:tr w:rsidR="00BA4F92" w:rsidRPr="00975086" w14:paraId="3C430EBE" w14:textId="77777777" w:rsidTr="00975086">
        <w:tc>
          <w:tcPr>
            <w:tcW w:w="9638" w:type="dxa"/>
            <w:tcBorders>
              <w:top w:val="nil"/>
              <w:bottom w:val="nil"/>
            </w:tcBorders>
            <w:shd w:val="clear" w:color="000000" w:fill="auto"/>
          </w:tcPr>
          <w:p w14:paraId="2F892AF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Local Government Association (ALGA)</w:t>
            </w:r>
          </w:p>
        </w:tc>
      </w:tr>
      <w:tr w:rsidR="00BA4F92" w:rsidRPr="00975086" w14:paraId="5CF47381" w14:textId="77777777" w:rsidTr="00975086">
        <w:tc>
          <w:tcPr>
            <w:tcW w:w="9638" w:type="dxa"/>
            <w:tcBorders>
              <w:bottom w:val="nil"/>
            </w:tcBorders>
            <w:shd w:val="clear" w:color="000000" w:fill="F2F2F2"/>
          </w:tcPr>
          <w:p w14:paraId="739958E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Parents Council</w:t>
            </w:r>
          </w:p>
        </w:tc>
      </w:tr>
      <w:tr w:rsidR="00BA4F92" w:rsidRPr="00975086" w14:paraId="7DC41498" w14:textId="77777777" w:rsidTr="00975086">
        <w:tc>
          <w:tcPr>
            <w:tcW w:w="9638" w:type="dxa"/>
            <w:tcBorders>
              <w:top w:val="nil"/>
              <w:bottom w:val="nil"/>
            </w:tcBorders>
            <w:shd w:val="clear" w:color="000000" w:fill="auto"/>
          </w:tcPr>
          <w:p w14:paraId="28FFF0C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Australian Research Alliance for Children and Youth (ARACY)</w:t>
            </w:r>
          </w:p>
        </w:tc>
      </w:tr>
      <w:tr w:rsidR="00BA4F92" w:rsidRPr="00975086" w14:paraId="34D0FACF" w14:textId="77777777" w:rsidTr="00975086">
        <w:tc>
          <w:tcPr>
            <w:tcW w:w="9638" w:type="dxa"/>
            <w:tcBorders>
              <w:bottom w:val="nil"/>
            </w:tcBorders>
            <w:shd w:val="clear" w:color="000000" w:fill="F2F2F2"/>
          </w:tcPr>
          <w:p w14:paraId="66570E6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B4 Early Years Coalition Tasmania</w:t>
            </w:r>
          </w:p>
        </w:tc>
      </w:tr>
      <w:tr w:rsidR="00BA4F92" w:rsidRPr="00975086" w14:paraId="4303C6B6" w14:textId="77777777" w:rsidTr="00975086">
        <w:tc>
          <w:tcPr>
            <w:tcW w:w="9638" w:type="dxa"/>
            <w:tcBorders>
              <w:top w:val="nil"/>
              <w:bottom w:val="nil"/>
            </w:tcBorders>
            <w:shd w:val="clear" w:color="000000" w:fill="auto"/>
          </w:tcPr>
          <w:p w14:paraId="5032AC2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Baptcare</w:t>
            </w:r>
          </w:p>
        </w:tc>
      </w:tr>
      <w:tr w:rsidR="00BA4F92" w:rsidRPr="00975086" w14:paraId="0E58239E" w14:textId="77777777" w:rsidTr="00975086">
        <w:tc>
          <w:tcPr>
            <w:tcW w:w="9638" w:type="dxa"/>
            <w:tcBorders>
              <w:bottom w:val="nil"/>
            </w:tcBorders>
            <w:shd w:val="clear" w:color="000000" w:fill="F2F2F2"/>
          </w:tcPr>
          <w:p w14:paraId="02EB0CD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Barang Regional Alliance</w:t>
            </w:r>
          </w:p>
        </w:tc>
      </w:tr>
      <w:tr w:rsidR="00BA4F92" w:rsidRPr="00975086" w14:paraId="53224D59" w14:textId="77777777" w:rsidTr="00975086">
        <w:tc>
          <w:tcPr>
            <w:tcW w:w="9638" w:type="dxa"/>
            <w:tcBorders>
              <w:top w:val="nil"/>
              <w:bottom w:val="nil"/>
            </w:tcBorders>
            <w:shd w:val="clear" w:color="000000" w:fill="auto"/>
          </w:tcPr>
          <w:p w14:paraId="665B2EE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Beswick Creche</w:t>
            </w:r>
          </w:p>
        </w:tc>
      </w:tr>
      <w:tr w:rsidR="00BA4F92" w:rsidRPr="00975086" w14:paraId="6130DDA8" w14:textId="77777777" w:rsidTr="00975086">
        <w:tc>
          <w:tcPr>
            <w:tcW w:w="9638" w:type="dxa"/>
            <w:tcBorders>
              <w:bottom w:val="nil"/>
            </w:tcBorders>
            <w:shd w:val="clear" w:color="000000" w:fill="F2F2F2"/>
          </w:tcPr>
          <w:p w14:paraId="65FE207A"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BetterStart Health and Development Research</w:t>
            </w:r>
          </w:p>
        </w:tc>
      </w:tr>
      <w:tr w:rsidR="00BA4F92" w:rsidRPr="00975086" w14:paraId="64FE11F0" w14:textId="77777777" w:rsidTr="00975086">
        <w:tc>
          <w:tcPr>
            <w:tcW w:w="9638" w:type="dxa"/>
            <w:tcBorders>
              <w:top w:val="nil"/>
              <w:bottom w:val="nil"/>
            </w:tcBorders>
            <w:shd w:val="clear" w:color="000000" w:fill="auto"/>
          </w:tcPr>
          <w:p w14:paraId="2AB4611B" w14:textId="432BB9D6"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Borland, Prof</w:t>
            </w:r>
            <w:r w:rsidR="002502FE" w:rsidRPr="00975086">
              <w:rPr>
                <w:rFonts w:ascii="Arial (Body)" w:hAnsi="Arial (Body)"/>
                <w:b w:val="0"/>
                <w:bCs/>
                <w:color w:val="auto"/>
              </w:rPr>
              <w:t>.</w:t>
            </w:r>
            <w:r w:rsidRPr="00975086">
              <w:rPr>
                <w:rFonts w:ascii="Arial (Body)" w:hAnsi="Arial (Body)"/>
                <w:b w:val="0"/>
                <w:bCs/>
                <w:color w:val="auto"/>
              </w:rPr>
              <w:t xml:space="preserve"> Jeff</w:t>
            </w:r>
          </w:p>
        </w:tc>
      </w:tr>
      <w:tr w:rsidR="00BA4F92" w:rsidRPr="00975086" w14:paraId="49761197" w14:textId="77777777" w:rsidTr="00975086">
        <w:tc>
          <w:tcPr>
            <w:tcW w:w="9638" w:type="dxa"/>
            <w:tcBorders>
              <w:bottom w:val="nil"/>
            </w:tcBorders>
            <w:shd w:val="clear" w:color="000000" w:fill="F2F2F2"/>
          </w:tcPr>
          <w:p w14:paraId="020308D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Bray, Dr Rob J</w:t>
            </w:r>
          </w:p>
        </w:tc>
      </w:tr>
      <w:tr w:rsidR="00BA4F92" w:rsidRPr="00975086" w14:paraId="4563DDF0" w14:textId="77777777" w:rsidTr="00975086">
        <w:tc>
          <w:tcPr>
            <w:tcW w:w="9638" w:type="dxa"/>
            <w:tcBorders>
              <w:top w:val="nil"/>
              <w:bottom w:val="nil"/>
            </w:tcBorders>
            <w:shd w:val="clear" w:color="000000" w:fill="auto"/>
          </w:tcPr>
          <w:p w14:paraId="518DBBA1" w14:textId="7F85211A"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Breunig, Prof</w:t>
            </w:r>
            <w:r w:rsidR="002502FE" w:rsidRPr="00975086">
              <w:rPr>
                <w:rFonts w:ascii="Arial (Body)" w:hAnsi="Arial (Body)"/>
                <w:b w:val="0"/>
                <w:bCs/>
                <w:color w:val="auto"/>
              </w:rPr>
              <w:t>.</w:t>
            </w:r>
            <w:r w:rsidRPr="00975086">
              <w:rPr>
                <w:rFonts w:ascii="Arial (Body)" w:hAnsi="Arial (Body)"/>
                <w:b w:val="0"/>
                <w:bCs/>
                <w:color w:val="auto"/>
              </w:rPr>
              <w:t xml:space="preserve"> Robert</w:t>
            </w:r>
          </w:p>
        </w:tc>
      </w:tr>
      <w:tr w:rsidR="00BA4F92" w:rsidRPr="00975086" w14:paraId="5466E472" w14:textId="77777777" w:rsidTr="00975086">
        <w:tc>
          <w:tcPr>
            <w:tcW w:w="9638" w:type="dxa"/>
            <w:tcBorders>
              <w:bottom w:val="nil"/>
            </w:tcBorders>
            <w:shd w:val="clear" w:color="000000" w:fill="F2F2F2"/>
          </w:tcPr>
          <w:p w14:paraId="234620D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CAAPS Aboriginal Corporation</w:t>
            </w:r>
          </w:p>
        </w:tc>
      </w:tr>
      <w:tr w:rsidR="00BA4F92" w:rsidRPr="00975086" w14:paraId="3EC6B830" w14:textId="77777777" w:rsidTr="00975086">
        <w:tc>
          <w:tcPr>
            <w:tcW w:w="9638" w:type="dxa"/>
            <w:tcBorders>
              <w:top w:val="nil"/>
              <w:bottom w:val="nil"/>
            </w:tcBorders>
            <w:shd w:val="clear" w:color="000000" w:fill="auto"/>
          </w:tcPr>
          <w:p w14:paraId="0A56CB6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Care for Kids</w:t>
            </w:r>
          </w:p>
        </w:tc>
      </w:tr>
      <w:tr w:rsidR="00BA4F92" w:rsidRPr="00975086" w14:paraId="347AF9F9" w14:textId="77777777" w:rsidTr="00975086">
        <w:tc>
          <w:tcPr>
            <w:tcW w:w="9638" w:type="dxa"/>
            <w:tcBorders>
              <w:bottom w:val="nil"/>
            </w:tcBorders>
            <w:shd w:val="clear" w:color="000000" w:fill="F2F2F2"/>
          </w:tcPr>
          <w:p w14:paraId="6894EDF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Care West </w:t>
            </w:r>
          </w:p>
        </w:tc>
      </w:tr>
      <w:tr w:rsidR="00BA4F92" w:rsidRPr="00975086" w14:paraId="31CAF0FC" w14:textId="77777777" w:rsidTr="00975086">
        <w:tc>
          <w:tcPr>
            <w:tcW w:w="9638" w:type="dxa"/>
            <w:tcBorders>
              <w:top w:val="nil"/>
              <w:bottom w:val="nil"/>
            </w:tcBorders>
            <w:shd w:val="clear" w:color="000000" w:fill="auto"/>
          </w:tcPr>
          <w:p w14:paraId="6CD490FB" w14:textId="3153E4E6"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Cartmel, Associate Prof</w:t>
            </w:r>
            <w:r w:rsidR="002502FE" w:rsidRPr="00975086">
              <w:rPr>
                <w:rFonts w:ascii="Arial (Body)" w:hAnsi="Arial (Body)"/>
                <w:b w:val="0"/>
                <w:bCs/>
                <w:color w:val="auto"/>
              </w:rPr>
              <w:t>.</w:t>
            </w:r>
            <w:r w:rsidRPr="00975086">
              <w:rPr>
                <w:rFonts w:ascii="Arial (Body)" w:hAnsi="Arial (Body)"/>
                <w:b w:val="0"/>
                <w:bCs/>
                <w:color w:val="auto"/>
              </w:rPr>
              <w:t xml:space="preserve"> Jennifer</w:t>
            </w:r>
          </w:p>
        </w:tc>
      </w:tr>
      <w:tr w:rsidR="00BA4F92" w:rsidRPr="00975086" w14:paraId="787EC139" w14:textId="77777777" w:rsidTr="00975086">
        <w:tc>
          <w:tcPr>
            <w:tcW w:w="9638" w:type="dxa"/>
            <w:tcBorders>
              <w:bottom w:val="nil"/>
            </w:tcBorders>
            <w:shd w:val="clear" w:color="000000" w:fill="F2F2F2"/>
          </w:tcPr>
          <w:p w14:paraId="518BBA81" w14:textId="7A81082B"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Castillo, Prof</w:t>
            </w:r>
            <w:r w:rsidR="002502FE" w:rsidRPr="00975086">
              <w:rPr>
                <w:rFonts w:ascii="Arial (Body)" w:hAnsi="Arial (Body)"/>
                <w:b w:val="0"/>
                <w:bCs/>
                <w:color w:val="auto"/>
              </w:rPr>
              <w:t>.</w:t>
            </w:r>
            <w:r w:rsidRPr="00975086">
              <w:rPr>
                <w:rFonts w:ascii="Arial (Body)" w:hAnsi="Arial (Body)"/>
                <w:b w:val="0"/>
                <w:bCs/>
                <w:color w:val="auto"/>
              </w:rPr>
              <w:t xml:space="preserve"> Marco</w:t>
            </w:r>
          </w:p>
        </w:tc>
      </w:tr>
      <w:tr w:rsidR="00BA4F92" w:rsidRPr="00975086" w14:paraId="53D7A383" w14:textId="77777777" w:rsidTr="00975086">
        <w:tc>
          <w:tcPr>
            <w:tcW w:w="9638" w:type="dxa"/>
            <w:tcBorders>
              <w:top w:val="nil"/>
              <w:bottom w:val="nil"/>
            </w:tcBorders>
            <w:shd w:val="clear" w:color="000000" w:fill="auto"/>
          </w:tcPr>
          <w:p w14:paraId="31C7AA2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Catholic Education (SA)</w:t>
            </w:r>
          </w:p>
        </w:tc>
      </w:tr>
      <w:tr w:rsidR="00BA4F92" w:rsidRPr="00975086" w14:paraId="6C845B1F" w14:textId="77777777" w:rsidTr="00975086">
        <w:tc>
          <w:tcPr>
            <w:tcW w:w="9638" w:type="dxa"/>
            <w:tcBorders>
              <w:bottom w:val="nil"/>
            </w:tcBorders>
            <w:shd w:val="clear" w:color="000000" w:fill="F2F2F2"/>
          </w:tcPr>
          <w:p w14:paraId="12A8B06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lastRenderedPageBreak/>
              <w:t>Catholic Education (Tasmania)</w:t>
            </w:r>
          </w:p>
        </w:tc>
      </w:tr>
      <w:tr w:rsidR="00BA4F92" w:rsidRPr="00975086" w14:paraId="5E7C326C" w14:textId="77777777" w:rsidTr="00975086">
        <w:tc>
          <w:tcPr>
            <w:tcW w:w="9638" w:type="dxa"/>
            <w:tcBorders>
              <w:top w:val="nil"/>
              <w:bottom w:val="nil"/>
            </w:tcBorders>
            <w:shd w:val="clear" w:color="000000" w:fill="auto"/>
          </w:tcPr>
          <w:p w14:paraId="2CA8B03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Centre For Policy Development (CPD)</w:t>
            </w:r>
          </w:p>
        </w:tc>
      </w:tr>
      <w:tr w:rsidR="00BA4F92" w:rsidRPr="00975086" w14:paraId="7519B225" w14:textId="77777777" w:rsidTr="00975086">
        <w:tc>
          <w:tcPr>
            <w:tcW w:w="9638" w:type="dxa"/>
            <w:tcBorders>
              <w:bottom w:val="nil"/>
            </w:tcBorders>
            <w:shd w:val="clear" w:color="000000" w:fill="F2F2F2"/>
          </w:tcPr>
          <w:p w14:paraId="5DA7454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Charlton Street Childcare</w:t>
            </w:r>
          </w:p>
        </w:tc>
      </w:tr>
      <w:tr w:rsidR="00BA4F92" w:rsidRPr="00975086" w14:paraId="6871343E" w14:textId="77777777" w:rsidTr="00975086">
        <w:tc>
          <w:tcPr>
            <w:tcW w:w="9638" w:type="dxa"/>
            <w:tcBorders>
              <w:top w:val="nil"/>
              <w:bottom w:val="nil"/>
            </w:tcBorders>
            <w:shd w:val="clear" w:color="000000" w:fill="auto"/>
          </w:tcPr>
          <w:p w14:paraId="75D4313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 Australia</w:t>
            </w:r>
          </w:p>
        </w:tc>
      </w:tr>
      <w:tr w:rsidR="00BA4F92" w:rsidRPr="00975086" w14:paraId="1DA693BC" w14:textId="77777777" w:rsidTr="00975086">
        <w:tc>
          <w:tcPr>
            <w:tcW w:w="9638" w:type="dxa"/>
            <w:tcBorders>
              <w:bottom w:val="nil"/>
            </w:tcBorders>
            <w:shd w:val="clear" w:color="000000" w:fill="F2F2F2"/>
          </w:tcPr>
          <w:p w14:paraId="59EE14F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 Development Council</w:t>
            </w:r>
          </w:p>
        </w:tc>
      </w:tr>
      <w:tr w:rsidR="00BA4F92" w:rsidRPr="00975086" w14:paraId="7917AF7A" w14:textId="77777777" w:rsidTr="00975086">
        <w:tc>
          <w:tcPr>
            <w:tcW w:w="9638" w:type="dxa"/>
            <w:tcBorders>
              <w:top w:val="nil"/>
              <w:bottom w:val="nil"/>
            </w:tcBorders>
            <w:shd w:val="clear" w:color="000000" w:fill="auto"/>
          </w:tcPr>
          <w:p w14:paraId="1A7E448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Childcare and Kindergarten Association (C&amp;K)</w:t>
            </w:r>
          </w:p>
        </w:tc>
      </w:tr>
      <w:tr w:rsidR="00BA4F92" w:rsidRPr="00975086" w14:paraId="3C2FE776" w14:textId="77777777" w:rsidTr="00975086">
        <w:tc>
          <w:tcPr>
            <w:tcW w:w="9638" w:type="dxa"/>
            <w:tcBorders>
              <w:bottom w:val="nil"/>
            </w:tcBorders>
            <w:shd w:val="clear" w:color="000000" w:fill="F2F2F2"/>
          </w:tcPr>
          <w:p w14:paraId="1CB3E39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Children and Young People with Disability Australia</w:t>
            </w:r>
          </w:p>
        </w:tc>
      </w:tr>
      <w:tr w:rsidR="00BA4F92" w:rsidRPr="00975086" w14:paraId="731B7501" w14:textId="77777777" w:rsidTr="00975086">
        <w:tc>
          <w:tcPr>
            <w:tcW w:w="9638" w:type="dxa"/>
            <w:tcBorders>
              <w:top w:val="nil"/>
              <w:bottom w:val="nil"/>
            </w:tcBorders>
            <w:shd w:val="clear" w:color="000000" w:fill="auto"/>
          </w:tcPr>
          <w:p w14:paraId="14CF6326" w14:textId="79781E72"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Children</w:t>
            </w:r>
            <w:r w:rsidR="00B5417E" w:rsidRPr="00975086">
              <w:rPr>
                <w:rFonts w:ascii="Arial (Body)" w:hAnsi="Arial (Body)"/>
                <w:b w:val="0"/>
                <w:bCs/>
                <w:color w:val="auto"/>
              </w:rPr>
              <w:t>’</w:t>
            </w:r>
            <w:r w:rsidRPr="00975086">
              <w:rPr>
                <w:rFonts w:ascii="Arial (Body)" w:hAnsi="Arial (Body)"/>
                <w:b w:val="0"/>
                <w:bCs/>
                <w:color w:val="auto"/>
              </w:rPr>
              <w:t>s Ground</w:t>
            </w:r>
          </w:p>
        </w:tc>
      </w:tr>
      <w:tr w:rsidR="00BA4F92" w:rsidRPr="00975086" w14:paraId="51EDA953" w14:textId="77777777" w:rsidTr="00975086">
        <w:tc>
          <w:tcPr>
            <w:tcW w:w="9638" w:type="dxa"/>
            <w:tcBorders>
              <w:bottom w:val="nil"/>
            </w:tcBorders>
            <w:shd w:val="clear" w:color="000000" w:fill="F2F2F2"/>
          </w:tcPr>
          <w:p w14:paraId="7F649D26" w14:textId="1968BE83"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Clarence Children</w:t>
            </w:r>
            <w:r w:rsidR="00B5417E" w:rsidRPr="00975086">
              <w:rPr>
                <w:rFonts w:ascii="Arial (Body)" w:hAnsi="Arial (Body)"/>
                <w:b w:val="0"/>
                <w:bCs/>
                <w:color w:val="auto"/>
              </w:rPr>
              <w:t>’</w:t>
            </w:r>
            <w:r w:rsidRPr="00975086">
              <w:rPr>
                <w:rFonts w:ascii="Arial (Body)" w:hAnsi="Arial (Body)"/>
                <w:b w:val="0"/>
                <w:bCs/>
                <w:color w:val="auto"/>
              </w:rPr>
              <w:t>s Services</w:t>
            </w:r>
          </w:p>
        </w:tc>
      </w:tr>
      <w:tr w:rsidR="00BA4F92" w:rsidRPr="00975086" w14:paraId="14241D1F" w14:textId="77777777" w:rsidTr="00975086">
        <w:tc>
          <w:tcPr>
            <w:tcW w:w="9638" w:type="dxa"/>
            <w:tcBorders>
              <w:top w:val="nil"/>
              <w:bottom w:val="nil"/>
            </w:tcBorders>
            <w:shd w:val="clear" w:color="000000" w:fill="auto"/>
          </w:tcPr>
          <w:p w14:paraId="2585ABFF" w14:textId="16609EAC"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Cleveland, Associate Prof</w:t>
            </w:r>
            <w:r w:rsidR="002502FE" w:rsidRPr="00975086">
              <w:rPr>
                <w:rFonts w:ascii="Arial (Body)" w:hAnsi="Arial (Body)"/>
                <w:b w:val="0"/>
                <w:bCs/>
                <w:color w:val="auto"/>
              </w:rPr>
              <w:t>.</w:t>
            </w:r>
            <w:r w:rsidRPr="00975086">
              <w:rPr>
                <w:rFonts w:ascii="Arial (Body)" w:hAnsi="Arial (Body)"/>
                <w:b w:val="0"/>
                <w:bCs/>
                <w:color w:val="auto"/>
              </w:rPr>
              <w:t xml:space="preserve"> Emeritus Gordon</w:t>
            </w:r>
          </w:p>
        </w:tc>
      </w:tr>
      <w:tr w:rsidR="00BA4F92" w:rsidRPr="00975086" w14:paraId="21ED8E74" w14:textId="77777777" w:rsidTr="00975086">
        <w:tc>
          <w:tcPr>
            <w:tcW w:w="9638" w:type="dxa"/>
            <w:tcBorders>
              <w:bottom w:val="nil"/>
            </w:tcBorders>
            <w:shd w:val="clear" w:color="000000" w:fill="F2F2F2"/>
          </w:tcPr>
          <w:p w14:paraId="487DECA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Community Child Care Association (CCC)</w:t>
            </w:r>
          </w:p>
        </w:tc>
      </w:tr>
      <w:tr w:rsidR="00BA4F92" w:rsidRPr="00975086" w14:paraId="654B09E5" w14:textId="77777777" w:rsidTr="00975086">
        <w:tc>
          <w:tcPr>
            <w:tcW w:w="9638" w:type="dxa"/>
            <w:tcBorders>
              <w:top w:val="nil"/>
              <w:bottom w:val="nil"/>
            </w:tcBorders>
            <w:shd w:val="clear" w:color="000000" w:fill="auto"/>
          </w:tcPr>
          <w:p w14:paraId="317EB74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Community Early Learning Australia (CELA)</w:t>
            </w:r>
          </w:p>
        </w:tc>
      </w:tr>
      <w:tr w:rsidR="00BA4F92" w:rsidRPr="00975086" w14:paraId="2174E552" w14:textId="77777777" w:rsidTr="00975086">
        <w:tc>
          <w:tcPr>
            <w:tcW w:w="9638" w:type="dxa"/>
            <w:tcBorders>
              <w:bottom w:val="nil"/>
            </w:tcBorders>
            <w:shd w:val="clear" w:color="000000" w:fill="F2F2F2"/>
          </w:tcPr>
          <w:p w14:paraId="0AC778E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Cornish, Ros</w:t>
            </w:r>
          </w:p>
        </w:tc>
      </w:tr>
      <w:tr w:rsidR="00BA4F92" w:rsidRPr="00975086" w14:paraId="175DA3B0" w14:textId="77777777" w:rsidTr="00975086">
        <w:tc>
          <w:tcPr>
            <w:tcW w:w="9638" w:type="dxa"/>
            <w:tcBorders>
              <w:top w:val="nil"/>
              <w:bottom w:val="nil"/>
            </w:tcBorders>
            <w:shd w:val="clear" w:color="000000" w:fill="auto"/>
          </w:tcPr>
          <w:p w14:paraId="1C8E3A41" w14:textId="23C4A8AD"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Craig, Prof</w:t>
            </w:r>
            <w:r w:rsidR="002502FE" w:rsidRPr="00975086">
              <w:rPr>
                <w:rFonts w:ascii="Arial (Body)" w:hAnsi="Arial (Body)"/>
                <w:b w:val="0"/>
                <w:bCs/>
                <w:color w:val="auto"/>
              </w:rPr>
              <w:t>.</w:t>
            </w:r>
            <w:r w:rsidRPr="00975086">
              <w:rPr>
                <w:rFonts w:ascii="Arial (Body)" w:hAnsi="Arial (Body)"/>
                <w:b w:val="0"/>
                <w:bCs/>
                <w:color w:val="auto"/>
              </w:rPr>
              <w:t xml:space="preserve"> Lyn</w:t>
            </w:r>
          </w:p>
        </w:tc>
      </w:tr>
      <w:tr w:rsidR="00BA4F92" w:rsidRPr="00975086" w14:paraId="5AD7635F" w14:textId="77777777" w:rsidTr="00975086">
        <w:tc>
          <w:tcPr>
            <w:tcW w:w="9638" w:type="dxa"/>
            <w:tcBorders>
              <w:bottom w:val="nil"/>
            </w:tcBorders>
            <w:shd w:val="clear" w:color="000000" w:fill="F2F2F2"/>
          </w:tcPr>
          <w:p w14:paraId="7E5D42C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Creche and Kindergarten Association (C&amp;K)</w:t>
            </w:r>
          </w:p>
        </w:tc>
      </w:tr>
      <w:tr w:rsidR="00BA4F92" w:rsidRPr="00975086" w14:paraId="2D188AFD" w14:textId="77777777" w:rsidTr="00975086">
        <w:tc>
          <w:tcPr>
            <w:tcW w:w="9638" w:type="dxa"/>
            <w:tcBorders>
              <w:top w:val="nil"/>
              <w:bottom w:val="nil"/>
            </w:tcBorders>
            <w:shd w:val="clear" w:color="000000" w:fill="auto"/>
          </w:tcPr>
          <w:p w14:paraId="140C0B41" w14:textId="1C60DBD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Dand</w:t>
            </w:r>
            <w:r w:rsidR="00EA0F6C" w:rsidRPr="00975086">
              <w:rPr>
                <w:rFonts w:ascii="Arial (Body)" w:hAnsi="Arial (Body)"/>
                <w:b w:val="0"/>
                <w:bCs/>
                <w:color w:val="auto"/>
              </w:rPr>
              <w:t>o</w:t>
            </w:r>
            <w:r w:rsidRPr="00975086">
              <w:rPr>
                <w:rFonts w:ascii="Arial (Body)" w:hAnsi="Arial (Body)"/>
                <w:b w:val="0"/>
                <w:bCs/>
                <w:color w:val="auto"/>
              </w:rPr>
              <w:t>lo Partners</w:t>
            </w:r>
          </w:p>
        </w:tc>
      </w:tr>
      <w:tr w:rsidR="00BA4F92" w:rsidRPr="00975086" w14:paraId="01AD08AF" w14:textId="77777777" w:rsidTr="00975086">
        <w:tc>
          <w:tcPr>
            <w:tcW w:w="9638" w:type="dxa"/>
            <w:tcBorders>
              <w:bottom w:val="nil"/>
            </w:tcBorders>
            <w:shd w:val="clear" w:color="000000" w:fill="F2F2F2"/>
          </w:tcPr>
          <w:p w14:paraId="2198E59A"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Darrandirra Child and Family Centre</w:t>
            </w:r>
          </w:p>
        </w:tc>
      </w:tr>
      <w:tr w:rsidR="00BA4F92" w:rsidRPr="00975086" w14:paraId="484F17F2" w14:textId="77777777" w:rsidTr="00975086">
        <w:tc>
          <w:tcPr>
            <w:tcW w:w="9638" w:type="dxa"/>
            <w:tcBorders>
              <w:top w:val="nil"/>
              <w:bottom w:val="nil"/>
            </w:tcBorders>
            <w:shd w:val="clear" w:color="000000" w:fill="auto"/>
          </w:tcPr>
          <w:p w14:paraId="6632DCD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for Education, Children and Young People (DECYP) (Tasmania)</w:t>
            </w:r>
          </w:p>
        </w:tc>
      </w:tr>
      <w:tr w:rsidR="00BA4F92" w:rsidRPr="00975086" w14:paraId="1BC79A3E" w14:textId="77777777" w:rsidTr="00975086">
        <w:tc>
          <w:tcPr>
            <w:tcW w:w="9638" w:type="dxa"/>
            <w:tcBorders>
              <w:bottom w:val="nil"/>
            </w:tcBorders>
            <w:shd w:val="clear" w:color="000000" w:fill="F2F2F2"/>
          </w:tcPr>
          <w:p w14:paraId="1D5688B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Children, Equality, Disability, Integration and Youth - An Roinn Leanai, Comhionannais, Michumais, Lanphairtiochta agus Oige (Ireland)</w:t>
            </w:r>
          </w:p>
        </w:tc>
      </w:tr>
      <w:tr w:rsidR="00BA4F92" w:rsidRPr="00975086" w14:paraId="48C61A8F" w14:textId="77777777" w:rsidTr="00975086">
        <w:tc>
          <w:tcPr>
            <w:tcW w:w="9638" w:type="dxa"/>
            <w:tcBorders>
              <w:top w:val="nil"/>
              <w:bottom w:val="nil"/>
            </w:tcBorders>
            <w:shd w:val="clear" w:color="000000" w:fill="auto"/>
          </w:tcPr>
          <w:p w14:paraId="5374F41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Communities (WA)</w:t>
            </w:r>
          </w:p>
        </w:tc>
      </w:tr>
      <w:tr w:rsidR="00BA4F92" w:rsidRPr="00975086" w14:paraId="585B26C0" w14:textId="77777777" w:rsidTr="00975086">
        <w:tc>
          <w:tcPr>
            <w:tcW w:w="9638" w:type="dxa"/>
            <w:tcBorders>
              <w:bottom w:val="nil"/>
            </w:tcBorders>
            <w:shd w:val="clear" w:color="000000" w:fill="F2F2F2"/>
          </w:tcPr>
          <w:p w14:paraId="72F5BCD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Education (DoE)</w:t>
            </w:r>
          </w:p>
        </w:tc>
      </w:tr>
      <w:tr w:rsidR="00BA4F92" w:rsidRPr="00975086" w14:paraId="2ED964BB" w14:textId="77777777" w:rsidTr="00975086">
        <w:tc>
          <w:tcPr>
            <w:tcW w:w="9638" w:type="dxa"/>
            <w:tcBorders>
              <w:top w:val="nil"/>
              <w:bottom w:val="nil"/>
            </w:tcBorders>
            <w:shd w:val="clear" w:color="000000" w:fill="auto"/>
          </w:tcPr>
          <w:p w14:paraId="3BEA841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Education (NT)</w:t>
            </w:r>
          </w:p>
        </w:tc>
      </w:tr>
      <w:tr w:rsidR="00BA4F92" w:rsidRPr="00975086" w14:paraId="6C425460" w14:textId="77777777" w:rsidTr="00975086">
        <w:tc>
          <w:tcPr>
            <w:tcW w:w="9638" w:type="dxa"/>
            <w:tcBorders>
              <w:bottom w:val="nil"/>
            </w:tcBorders>
            <w:shd w:val="clear" w:color="000000" w:fill="F2F2F2"/>
          </w:tcPr>
          <w:p w14:paraId="64FA2AA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Education (UK)</w:t>
            </w:r>
          </w:p>
        </w:tc>
      </w:tr>
      <w:tr w:rsidR="00BA4F92" w:rsidRPr="00975086" w14:paraId="2956B5CE" w14:textId="77777777" w:rsidTr="00975086">
        <w:tc>
          <w:tcPr>
            <w:tcW w:w="9638" w:type="dxa"/>
            <w:tcBorders>
              <w:top w:val="nil"/>
              <w:bottom w:val="nil"/>
            </w:tcBorders>
            <w:shd w:val="clear" w:color="000000" w:fill="auto"/>
          </w:tcPr>
          <w:p w14:paraId="47ABEAA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Education (WA)</w:t>
            </w:r>
          </w:p>
        </w:tc>
      </w:tr>
      <w:tr w:rsidR="00BA4F92" w:rsidRPr="00975086" w14:paraId="7B21D29C" w14:textId="77777777" w:rsidTr="00975086">
        <w:tc>
          <w:tcPr>
            <w:tcW w:w="9638" w:type="dxa"/>
            <w:tcBorders>
              <w:bottom w:val="nil"/>
            </w:tcBorders>
            <w:shd w:val="clear" w:color="000000" w:fill="F2F2F2"/>
          </w:tcPr>
          <w:p w14:paraId="7E897A3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Employment and Workplace Relations</w:t>
            </w:r>
          </w:p>
        </w:tc>
      </w:tr>
      <w:tr w:rsidR="00BA4F92" w:rsidRPr="00975086" w14:paraId="329BD558" w14:textId="77777777" w:rsidTr="00975086">
        <w:tc>
          <w:tcPr>
            <w:tcW w:w="9638" w:type="dxa"/>
            <w:tcBorders>
              <w:top w:val="nil"/>
              <w:bottom w:val="nil"/>
            </w:tcBorders>
            <w:shd w:val="clear" w:color="000000" w:fill="auto"/>
          </w:tcPr>
          <w:p w14:paraId="5B99B40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Department of Prime Minister and Cabinet</w:t>
            </w:r>
          </w:p>
        </w:tc>
      </w:tr>
      <w:tr w:rsidR="00BA4F92" w:rsidRPr="00975086" w14:paraId="04F1349B" w14:textId="77777777" w:rsidTr="00975086">
        <w:tc>
          <w:tcPr>
            <w:tcW w:w="9638" w:type="dxa"/>
            <w:tcBorders>
              <w:bottom w:val="nil"/>
            </w:tcBorders>
            <w:shd w:val="clear" w:color="000000" w:fill="F2F2F2"/>
          </w:tcPr>
          <w:p w14:paraId="1F546D4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Department of Social Services </w:t>
            </w:r>
          </w:p>
        </w:tc>
      </w:tr>
      <w:tr w:rsidR="00BA4F92" w:rsidRPr="00975086" w14:paraId="0FB86056" w14:textId="77777777" w:rsidTr="00975086">
        <w:tc>
          <w:tcPr>
            <w:tcW w:w="9638" w:type="dxa"/>
            <w:tcBorders>
              <w:top w:val="nil"/>
              <w:bottom w:val="nil"/>
            </w:tcBorders>
            <w:shd w:val="clear" w:color="000000" w:fill="auto"/>
          </w:tcPr>
          <w:p w14:paraId="347BE2C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Discovery Early Learning Centres</w:t>
            </w:r>
            <w:r w:rsidRPr="00975086" w:rsidDel="00F010B3">
              <w:rPr>
                <w:rFonts w:ascii="Arial (Body)" w:hAnsi="Arial (Body)"/>
                <w:b w:val="0"/>
                <w:bCs/>
                <w:color w:val="auto"/>
              </w:rPr>
              <w:t xml:space="preserve"> </w:t>
            </w:r>
          </w:p>
        </w:tc>
      </w:tr>
      <w:tr w:rsidR="00BA4F92" w:rsidRPr="00975086" w14:paraId="59D37A8D" w14:textId="77777777" w:rsidTr="00975086">
        <w:tc>
          <w:tcPr>
            <w:tcW w:w="9638" w:type="dxa"/>
            <w:tcBorders>
              <w:bottom w:val="nil"/>
            </w:tcBorders>
            <w:shd w:val="clear" w:color="000000" w:fill="F2F2F2"/>
          </w:tcPr>
          <w:p w14:paraId="2F548DD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Doveton Early Learning Centre</w:t>
            </w:r>
          </w:p>
        </w:tc>
      </w:tr>
      <w:tr w:rsidR="00BA4F92" w:rsidRPr="00975086" w14:paraId="34581BDA" w14:textId="77777777" w:rsidTr="00975086">
        <w:tc>
          <w:tcPr>
            <w:tcW w:w="9638" w:type="dxa"/>
            <w:tcBorders>
              <w:top w:val="nil"/>
              <w:bottom w:val="nil"/>
            </w:tcBorders>
            <w:shd w:val="clear" w:color="000000" w:fill="auto"/>
          </w:tcPr>
          <w:p w14:paraId="21116B8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Aboriginal and Torres Strait Islander Committee</w:t>
            </w:r>
          </w:p>
        </w:tc>
      </w:tr>
      <w:tr w:rsidR="00BA4F92" w:rsidRPr="00975086" w14:paraId="023BBF71" w14:textId="77777777" w:rsidTr="00975086">
        <w:tc>
          <w:tcPr>
            <w:tcW w:w="9638" w:type="dxa"/>
            <w:tcBorders>
              <w:bottom w:val="nil"/>
            </w:tcBorders>
            <w:shd w:val="clear" w:color="000000" w:fill="F2F2F2"/>
          </w:tcPr>
          <w:p w14:paraId="333137F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Australia</w:t>
            </w:r>
          </w:p>
        </w:tc>
      </w:tr>
      <w:tr w:rsidR="00BA4F92" w:rsidRPr="00975086" w14:paraId="3A6C6BBE" w14:textId="77777777" w:rsidTr="00975086">
        <w:tc>
          <w:tcPr>
            <w:tcW w:w="9638" w:type="dxa"/>
            <w:tcBorders>
              <w:top w:val="nil"/>
              <w:bottom w:val="nil"/>
            </w:tcBorders>
            <w:shd w:val="clear" w:color="000000" w:fill="auto"/>
          </w:tcPr>
          <w:p w14:paraId="492C0FF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Australia (NT)</w:t>
            </w:r>
          </w:p>
        </w:tc>
      </w:tr>
      <w:tr w:rsidR="00BA4F92" w:rsidRPr="00975086" w14:paraId="5881D3B8" w14:textId="77777777" w:rsidTr="00975086">
        <w:tc>
          <w:tcPr>
            <w:tcW w:w="9638" w:type="dxa"/>
            <w:tcBorders>
              <w:bottom w:val="nil"/>
            </w:tcBorders>
            <w:shd w:val="clear" w:color="000000" w:fill="F2F2F2"/>
          </w:tcPr>
          <w:p w14:paraId="6C6E24A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Australia (SA)</w:t>
            </w:r>
          </w:p>
        </w:tc>
      </w:tr>
      <w:tr w:rsidR="00BA4F92" w:rsidRPr="00975086" w14:paraId="3BFE78F9" w14:textId="77777777" w:rsidTr="00975086">
        <w:tc>
          <w:tcPr>
            <w:tcW w:w="9638" w:type="dxa"/>
            <w:tcBorders>
              <w:top w:val="nil"/>
              <w:bottom w:val="nil"/>
            </w:tcBorders>
            <w:shd w:val="clear" w:color="000000" w:fill="auto"/>
          </w:tcPr>
          <w:p w14:paraId="07A40FCA"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Australia Regional Group</w:t>
            </w:r>
          </w:p>
        </w:tc>
      </w:tr>
      <w:tr w:rsidR="00BA4F92" w:rsidRPr="00975086" w14:paraId="6D7F0B79" w14:textId="77777777" w:rsidTr="00975086">
        <w:tc>
          <w:tcPr>
            <w:tcW w:w="9638" w:type="dxa"/>
            <w:tcBorders>
              <w:bottom w:val="nil"/>
            </w:tcBorders>
            <w:shd w:val="clear" w:color="000000" w:fill="F2F2F2"/>
          </w:tcPr>
          <w:p w14:paraId="2C73B1F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lastRenderedPageBreak/>
              <w:t>Early Childhood Management Services</w:t>
            </w:r>
          </w:p>
        </w:tc>
      </w:tr>
      <w:tr w:rsidR="00BA4F92" w:rsidRPr="00975086" w14:paraId="09E31AF6" w14:textId="77777777" w:rsidTr="00975086">
        <w:tc>
          <w:tcPr>
            <w:tcW w:w="9638" w:type="dxa"/>
            <w:tcBorders>
              <w:top w:val="nil"/>
              <w:bottom w:val="nil"/>
            </w:tcBorders>
            <w:shd w:val="clear" w:color="000000" w:fill="auto"/>
          </w:tcPr>
          <w:p w14:paraId="3DE80A6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Early Childhood Organisation (EChO) </w:t>
            </w:r>
          </w:p>
        </w:tc>
      </w:tr>
      <w:tr w:rsidR="00BA4F92" w:rsidRPr="00975086" w14:paraId="2A1015A7" w14:textId="77777777" w:rsidTr="00975086">
        <w:tc>
          <w:tcPr>
            <w:tcW w:w="9638" w:type="dxa"/>
            <w:tcBorders>
              <w:bottom w:val="nil"/>
            </w:tcBorders>
            <w:shd w:val="clear" w:color="000000" w:fill="F2F2F2"/>
          </w:tcPr>
          <w:p w14:paraId="688DFC2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Childhood Care and Development Policy Partnership (ECPP)</w:t>
            </w:r>
          </w:p>
        </w:tc>
      </w:tr>
      <w:tr w:rsidR="00BA4F92" w:rsidRPr="00975086" w14:paraId="25AC27C6" w14:textId="77777777" w:rsidTr="00975086">
        <w:tc>
          <w:tcPr>
            <w:tcW w:w="9638" w:type="dxa"/>
            <w:tcBorders>
              <w:top w:val="nil"/>
              <w:bottom w:val="nil"/>
            </w:tcBorders>
            <w:shd w:val="clear" w:color="000000" w:fill="auto"/>
          </w:tcPr>
          <w:p w14:paraId="461B703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Learning and Care Council of Australia (ELACCA)</w:t>
            </w:r>
          </w:p>
        </w:tc>
      </w:tr>
      <w:tr w:rsidR="00BA4F92" w:rsidRPr="00975086" w14:paraId="0E2DF44E" w14:textId="77777777" w:rsidTr="00975086">
        <w:tc>
          <w:tcPr>
            <w:tcW w:w="9638" w:type="dxa"/>
            <w:tcBorders>
              <w:bottom w:val="nil"/>
            </w:tcBorders>
            <w:shd w:val="clear" w:color="000000" w:fill="F2F2F2"/>
          </w:tcPr>
          <w:p w14:paraId="587EA93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Early Learning Association Australia</w:t>
            </w:r>
          </w:p>
        </w:tc>
      </w:tr>
      <w:tr w:rsidR="00BA4F92" w:rsidRPr="00975086" w14:paraId="2C03F2F8" w14:textId="77777777" w:rsidTr="00975086">
        <w:tc>
          <w:tcPr>
            <w:tcW w:w="9638" w:type="dxa"/>
            <w:tcBorders>
              <w:top w:val="nil"/>
              <w:bottom w:val="nil"/>
            </w:tcBorders>
            <w:shd w:val="clear" w:color="000000" w:fill="auto"/>
          </w:tcPr>
          <w:p w14:paraId="1402019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Education and Care Regulatory Unit (WA)</w:t>
            </w:r>
          </w:p>
        </w:tc>
      </w:tr>
      <w:tr w:rsidR="00BA4F92" w:rsidRPr="00975086" w14:paraId="6F03E1D5" w14:textId="77777777" w:rsidTr="00975086">
        <w:tc>
          <w:tcPr>
            <w:tcW w:w="9638" w:type="dxa"/>
            <w:tcBorders>
              <w:bottom w:val="nil"/>
            </w:tcBorders>
            <w:shd w:val="clear" w:color="000000" w:fill="F2F2F2"/>
          </w:tcPr>
          <w:p w14:paraId="2E8CEA4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Education Standards Board</w:t>
            </w:r>
          </w:p>
        </w:tc>
      </w:tr>
      <w:tr w:rsidR="00BA4F92" w:rsidRPr="00975086" w14:paraId="07323F56" w14:textId="77777777" w:rsidTr="00975086">
        <w:tc>
          <w:tcPr>
            <w:tcW w:w="9638" w:type="dxa"/>
            <w:tcBorders>
              <w:top w:val="nil"/>
              <w:bottom w:val="nil"/>
            </w:tcBorders>
            <w:shd w:val="clear" w:color="000000" w:fill="auto"/>
          </w:tcPr>
          <w:p w14:paraId="02FB8BE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Educators SA</w:t>
            </w:r>
          </w:p>
        </w:tc>
      </w:tr>
      <w:tr w:rsidR="00BA4F92" w:rsidRPr="00975086" w14:paraId="006F07D9" w14:textId="77777777" w:rsidTr="00975086">
        <w:tc>
          <w:tcPr>
            <w:tcW w:w="9638" w:type="dxa"/>
            <w:tcBorders>
              <w:bottom w:val="nil"/>
            </w:tcBorders>
            <w:shd w:val="clear" w:color="000000" w:fill="F2F2F2"/>
          </w:tcPr>
          <w:p w14:paraId="2DB47EBE" w14:textId="22A5A3BC"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Edwards, Prof</w:t>
            </w:r>
            <w:r w:rsidR="007C57DB" w:rsidRPr="00975086">
              <w:rPr>
                <w:rFonts w:ascii="Arial (Body)" w:hAnsi="Arial (Body)"/>
                <w:b w:val="0"/>
                <w:bCs/>
                <w:color w:val="auto"/>
              </w:rPr>
              <w:t>.</w:t>
            </w:r>
            <w:r w:rsidRPr="00975086">
              <w:rPr>
                <w:rFonts w:ascii="Arial (Body)" w:hAnsi="Arial (Body)"/>
                <w:b w:val="0"/>
                <w:bCs/>
                <w:color w:val="auto"/>
              </w:rPr>
              <w:t xml:space="preserve"> Ben (ANU)</w:t>
            </w:r>
          </w:p>
        </w:tc>
      </w:tr>
      <w:tr w:rsidR="00BA4F92" w:rsidRPr="00975086" w14:paraId="3A14E4F6" w14:textId="77777777" w:rsidTr="00975086">
        <w:tc>
          <w:tcPr>
            <w:tcW w:w="9638" w:type="dxa"/>
            <w:tcBorders>
              <w:top w:val="nil"/>
              <w:bottom w:val="nil"/>
            </w:tcBorders>
            <w:shd w:val="clear" w:color="000000" w:fill="auto"/>
          </w:tcPr>
          <w:p w14:paraId="3E8CC95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Employment and Social Development Canada</w:t>
            </w:r>
          </w:p>
        </w:tc>
      </w:tr>
      <w:tr w:rsidR="00BA4F92" w:rsidRPr="00975086" w14:paraId="00D8389E" w14:textId="77777777" w:rsidTr="00975086">
        <w:tc>
          <w:tcPr>
            <w:tcW w:w="9638" w:type="dxa"/>
            <w:tcBorders>
              <w:bottom w:val="nil"/>
            </w:tcBorders>
            <w:shd w:val="clear" w:color="000000" w:fill="F2F2F2"/>
          </w:tcPr>
          <w:p w14:paraId="4EA0909A"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Fair Work Commission (FWC)</w:t>
            </w:r>
          </w:p>
        </w:tc>
      </w:tr>
      <w:tr w:rsidR="00BA4F92" w:rsidRPr="00975086" w14:paraId="7236EA3C" w14:textId="77777777" w:rsidTr="00975086">
        <w:tc>
          <w:tcPr>
            <w:tcW w:w="9638" w:type="dxa"/>
            <w:tcBorders>
              <w:top w:val="nil"/>
              <w:bottom w:val="nil"/>
            </w:tcBorders>
            <w:shd w:val="clear" w:color="000000" w:fill="auto"/>
          </w:tcPr>
          <w:p w14:paraId="0200C29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Families Australia</w:t>
            </w:r>
          </w:p>
        </w:tc>
      </w:tr>
      <w:tr w:rsidR="00BA4F92" w:rsidRPr="00975086" w14:paraId="7FB9B784" w14:textId="77777777" w:rsidTr="00975086">
        <w:tc>
          <w:tcPr>
            <w:tcW w:w="9638" w:type="dxa"/>
            <w:tcBorders>
              <w:bottom w:val="nil"/>
            </w:tcBorders>
            <w:shd w:val="clear" w:color="000000" w:fill="F2F2F2"/>
          </w:tcPr>
          <w:p w14:paraId="3FC4E60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Family Day Care Australia</w:t>
            </w:r>
          </w:p>
        </w:tc>
      </w:tr>
      <w:tr w:rsidR="00BA4F92" w:rsidRPr="00975086" w14:paraId="3EEDE601" w14:textId="77777777" w:rsidTr="00975086">
        <w:tc>
          <w:tcPr>
            <w:tcW w:w="9638" w:type="dxa"/>
            <w:tcBorders>
              <w:top w:val="nil"/>
              <w:bottom w:val="nil"/>
            </w:tcBorders>
            <w:shd w:val="clear" w:color="000000" w:fill="auto"/>
          </w:tcPr>
          <w:p w14:paraId="12C2316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Family Day Care (WA)</w:t>
            </w:r>
          </w:p>
        </w:tc>
      </w:tr>
      <w:tr w:rsidR="00BA4F92" w:rsidRPr="00975086" w14:paraId="014E5F1C" w14:textId="77777777" w:rsidTr="00975086">
        <w:tc>
          <w:tcPr>
            <w:tcW w:w="9638" w:type="dxa"/>
            <w:tcBorders>
              <w:bottom w:val="nil"/>
            </w:tcBorders>
            <w:shd w:val="clear" w:color="000000" w:fill="F2F2F2"/>
          </w:tcPr>
          <w:p w14:paraId="479D86E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First People’s Disability Network</w:t>
            </w:r>
          </w:p>
        </w:tc>
      </w:tr>
      <w:tr w:rsidR="00BA4F92" w:rsidRPr="00975086" w14:paraId="384B3EF3" w14:textId="77777777" w:rsidTr="00975086">
        <w:tc>
          <w:tcPr>
            <w:tcW w:w="9638" w:type="dxa"/>
            <w:tcBorders>
              <w:top w:val="nil"/>
              <w:bottom w:val="nil"/>
            </w:tcBorders>
            <w:shd w:val="clear" w:color="000000" w:fill="auto"/>
          </w:tcPr>
          <w:p w14:paraId="36A3784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Good Shepherd Lutheran School </w:t>
            </w:r>
          </w:p>
        </w:tc>
      </w:tr>
      <w:tr w:rsidR="00BA4F92" w:rsidRPr="00975086" w14:paraId="4CF73D6F" w14:textId="77777777" w:rsidTr="00975086">
        <w:tc>
          <w:tcPr>
            <w:tcW w:w="9638" w:type="dxa"/>
            <w:tcBorders>
              <w:bottom w:val="nil"/>
            </w:tcBorders>
            <w:shd w:val="clear" w:color="000000" w:fill="F2F2F2"/>
          </w:tcPr>
          <w:p w14:paraId="39BAC3D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Goodstart Early Learning</w:t>
            </w:r>
          </w:p>
        </w:tc>
      </w:tr>
      <w:tr w:rsidR="00BA4F92" w:rsidRPr="00975086" w14:paraId="4E6A4D27" w14:textId="77777777" w:rsidTr="00975086">
        <w:tc>
          <w:tcPr>
            <w:tcW w:w="9638" w:type="dxa"/>
            <w:tcBorders>
              <w:top w:val="nil"/>
              <w:bottom w:val="nil"/>
            </w:tcBorders>
            <w:shd w:val="clear" w:color="000000" w:fill="auto"/>
          </w:tcPr>
          <w:p w14:paraId="43FCA59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Gowrie SA</w:t>
            </w:r>
          </w:p>
        </w:tc>
      </w:tr>
      <w:tr w:rsidR="00BA4F92" w:rsidRPr="00975086" w14:paraId="388D26A3" w14:textId="77777777" w:rsidTr="00975086">
        <w:tc>
          <w:tcPr>
            <w:tcW w:w="9638" w:type="dxa"/>
            <w:tcBorders>
              <w:bottom w:val="nil"/>
            </w:tcBorders>
            <w:shd w:val="clear" w:color="000000" w:fill="F2F2F2"/>
          </w:tcPr>
          <w:p w14:paraId="5F1EB83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Grattan Institute</w:t>
            </w:r>
          </w:p>
        </w:tc>
      </w:tr>
      <w:tr w:rsidR="00BA4F92" w:rsidRPr="00975086" w14:paraId="767D4653" w14:textId="77777777" w:rsidTr="00975086">
        <w:tc>
          <w:tcPr>
            <w:tcW w:w="9638" w:type="dxa"/>
            <w:tcBorders>
              <w:top w:val="nil"/>
              <w:bottom w:val="nil"/>
            </w:tcBorders>
            <w:shd w:val="clear" w:color="000000" w:fill="auto"/>
          </w:tcPr>
          <w:p w14:paraId="1A101834" w14:textId="02474092"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Gray, Prof</w:t>
            </w:r>
            <w:r w:rsidR="007C57DB" w:rsidRPr="00975086">
              <w:rPr>
                <w:rFonts w:ascii="Arial (Body)" w:hAnsi="Arial (Body)"/>
                <w:b w:val="0"/>
                <w:bCs/>
                <w:color w:val="auto"/>
              </w:rPr>
              <w:t>.</w:t>
            </w:r>
            <w:r w:rsidRPr="00975086">
              <w:rPr>
                <w:rFonts w:ascii="Arial (Body)" w:hAnsi="Arial (Body)"/>
                <w:b w:val="0"/>
                <w:bCs/>
                <w:color w:val="auto"/>
              </w:rPr>
              <w:t xml:space="preserve"> Matthew</w:t>
            </w:r>
          </w:p>
        </w:tc>
      </w:tr>
      <w:tr w:rsidR="00BA4F92" w:rsidRPr="00975086" w14:paraId="75FFBD76" w14:textId="77777777" w:rsidTr="00975086">
        <w:tc>
          <w:tcPr>
            <w:tcW w:w="9638" w:type="dxa"/>
            <w:tcBorders>
              <w:bottom w:val="nil"/>
            </w:tcBorders>
            <w:shd w:val="clear" w:color="000000" w:fill="F2F2F2"/>
          </w:tcPr>
          <w:p w14:paraId="3EFFCA4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Independent Education Union of Australia (IEUA)</w:t>
            </w:r>
          </w:p>
        </w:tc>
      </w:tr>
      <w:tr w:rsidR="00BA4F92" w:rsidRPr="00975086" w14:paraId="7A471F13" w14:textId="77777777" w:rsidTr="00975086">
        <w:tc>
          <w:tcPr>
            <w:tcW w:w="9638" w:type="dxa"/>
            <w:tcBorders>
              <w:top w:val="nil"/>
              <w:bottom w:val="nil"/>
            </w:tcBorders>
            <w:shd w:val="clear" w:color="000000" w:fill="auto"/>
          </w:tcPr>
          <w:p w14:paraId="6F14567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Independent Regulatory and Pricing Tribunal (IPART)</w:t>
            </w:r>
          </w:p>
        </w:tc>
      </w:tr>
      <w:tr w:rsidR="00BA4F92" w:rsidRPr="00975086" w14:paraId="6C84236B" w14:textId="77777777" w:rsidTr="00975086">
        <w:tc>
          <w:tcPr>
            <w:tcW w:w="9638" w:type="dxa"/>
            <w:tcBorders>
              <w:bottom w:val="nil"/>
            </w:tcBorders>
            <w:shd w:val="clear" w:color="000000" w:fill="F2F2F2"/>
          </w:tcPr>
          <w:p w14:paraId="15800D1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Indigenous Education Consultative Meeting</w:t>
            </w:r>
          </w:p>
        </w:tc>
      </w:tr>
      <w:tr w:rsidR="00BA4F92" w:rsidRPr="00975086" w14:paraId="208BA19E" w14:textId="77777777" w:rsidTr="00975086">
        <w:tc>
          <w:tcPr>
            <w:tcW w:w="9638" w:type="dxa"/>
            <w:tcBorders>
              <w:top w:val="nil"/>
              <w:bottom w:val="nil"/>
            </w:tcBorders>
            <w:shd w:val="clear" w:color="000000" w:fill="auto"/>
          </w:tcPr>
          <w:p w14:paraId="244FB2D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Institute for Urban Indigenous Health (IUIH)</w:t>
            </w:r>
          </w:p>
        </w:tc>
      </w:tr>
      <w:tr w:rsidR="00BA4F92" w:rsidRPr="00975086" w14:paraId="223D33DD" w14:textId="77777777" w:rsidTr="00975086">
        <w:tc>
          <w:tcPr>
            <w:tcW w:w="9638" w:type="dxa"/>
            <w:tcBorders>
              <w:bottom w:val="nil"/>
            </w:tcBorders>
            <w:shd w:val="clear" w:color="000000" w:fill="F2F2F2"/>
          </w:tcPr>
          <w:p w14:paraId="27C3EBE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Isolated Children's Parents Association (ICPA)</w:t>
            </w:r>
          </w:p>
        </w:tc>
      </w:tr>
      <w:tr w:rsidR="00BA4F92" w:rsidRPr="00975086" w14:paraId="6AB626E4" w14:textId="77777777" w:rsidTr="00975086">
        <w:tc>
          <w:tcPr>
            <w:tcW w:w="9638" w:type="dxa"/>
            <w:tcBorders>
              <w:top w:val="nil"/>
              <w:bottom w:val="nil"/>
            </w:tcBorders>
            <w:shd w:val="clear" w:color="000000" w:fill="auto"/>
          </w:tcPr>
          <w:p w14:paraId="20FB7B4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Jobs and Skills Australia</w:t>
            </w:r>
          </w:p>
        </w:tc>
      </w:tr>
      <w:tr w:rsidR="00BA4F92" w:rsidRPr="00975086" w14:paraId="1593BCE3" w14:textId="77777777" w:rsidTr="00975086">
        <w:tc>
          <w:tcPr>
            <w:tcW w:w="9638" w:type="dxa"/>
            <w:tcBorders>
              <w:bottom w:val="nil"/>
            </w:tcBorders>
            <w:shd w:val="clear" w:color="000000" w:fill="F2F2F2"/>
          </w:tcPr>
          <w:p w14:paraId="68FEE49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Kalano Community Association</w:t>
            </w:r>
          </w:p>
        </w:tc>
      </w:tr>
      <w:tr w:rsidR="00BA4F92" w:rsidRPr="00975086" w14:paraId="32ECD167" w14:textId="77777777" w:rsidTr="00975086">
        <w:tc>
          <w:tcPr>
            <w:tcW w:w="9638" w:type="dxa"/>
            <w:tcBorders>
              <w:top w:val="nil"/>
              <w:bottom w:val="nil"/>
            </w:tcBorders>
            <w:shd w:val="clear" w:color="000000" w:fill="auto"/>
          </w:tcPr>
          <w:p w14:paraId="5FC21001" w14:textId="221212E2"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Kalb, Prof</w:t>
            </w:r>
            <w:r w:rsidR="002502FE" w:rsidRPr="00975086">
              <w:rPr>
                <w:rFonts w:ascii="Arial (Body)" w:hAnsi="Arial (Body)"/>
                <w:b w:val="0"/>
                <w:bCs/>
                <w:color w:val="auto"/>
              </w:rPr>
              <w:t>.</w:t>
            </w:r>
            <w:r w:rsidRPr="00975086">
              <w:rPr>
                <w:rFonts w:ascii="Arial (Body)" w:hAnsi="Arial (Body)"/>
                <w:b w:val="0"/>
                <w:bCs/>
                <w:color w:val="auto"/>
              </w:rPr>
              <w:t xml:space="preserve"> Guyonne </w:t>
            </w:r>
          </w:p>
        </w:tc>
      </w:tr>
      <w:tr w:rsidR="00BA4F92" w:rsidRPr="00975086" w14:paraId="66AD07F3" w14:textId="77777777" w:rsidTr="00975086">
        <w:tc>
          <w:tcPr>
            <w:tcW w:w="9638" w:type="dxa"/>
            <w:tcBorders>
              <w:bottom w:val="nil"/>
            </w:tcBorders>
            <w:shd w:val="clear" w:color="000000" w:fill="F2F2F2"/>
          </w:tcPr>
          <w:p w14:paraId="422A2A7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Karlstad University</w:t>
            </w:r>
          </w:p>
        </w:tc>
      </w:tr>
      <w:tr w:rsidR="00BA4F92" w:rsidRPr="00975086" w14:paraId="65FCAB0E" w14:textId="77777777" w:rsidTr="00975086">
        <w:tc>
          <w:tcPr>
            <w:tcW w:w="9638" w:type="dxa"/>
            <w:tcBorders>
              <w:top w:val="nil"/>
              <w:bottom w:val="nil"/>
            </w:tcBorders>
            <w:shd w:val="clear" w:color="000000" w:fill="auto"/>
          </w:tcPr>
          <w:p w14:paraId="1716EFD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Kentish Lifelong Learning &amp; Care Inc</w:t>
            </w:r>
          </w:p>
        </w:tc>
      </w:tr>
      <w:tr w:rsidR="00BA4F92" w:rsidRPr="00975086" w14:paraId="5A6D9FCB" w14:textId="77777777" w:rsidTr="00975086">
        <w:tc>
          <w:tcPr>
            <w:tcW w:w="9638" w:type="dxa"/>
            <w:tcBorders>
              <w:bottom w:val="nil"/>
            </w:tcBorders>
            <w:shd w:val="clear" w:color="000000" w:fill="F2F2F2"/>
          </w:tcPr>
          <w:p w14:paraId="293B13A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KU Children's Services</w:t>
            </w:r>
          </w:p>
        </w:tc>
      </w:tr>
      <w:tr w:rsidR="00BA4F92" w:rsidRPr="00975086" w14:paraId="7887F1E4" w14:textId="77777777" w:rsidTr="00975086">
        <w:tc>
          <w:tcPr>
            <w:tcW w:w="9638" w:type="dxa"/>
            <w:tcBorders>
              <w:top w:val="nil"/>
              <w:bottom w:val="nil"/>
            </w:tcBorders>
            <w:shd w:val="clear" w:color="000000" w:fill="auto"/>
          </w:tcPr>
          <w:p w14:paraId="3A981C7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Lady Gowrie Tasmania</w:t>
            </w:r>
          </w:p>
        </w:tc>
      </w:tr>
      <w:tr w:rsidR="00BA4F92" w:rsidRPr="00975086" w14:paraId="477B9C6A" w14:textId="77777777" w:rsidTr="00975086">
        <w:tc>
          <w:tcPr>
            <w:tcW w:w="9638" w:type="dxa"/>
            <w:tcBorders>
              <w:bottom w:val="nil"/>
            </w:tcBorders>
            <w:shd w:val="clear" w:color="000000" w:fill="F2F2F2"/>
          </w:tcPr>
          <w:p w14:paraId="1257A5A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Lady Huntingfield </w:t>
            </w:r>
          </w:p>
        </w:tc>
      </w:tr>
      <w:tr w:rsidR="00BA4F92" w:rsidRPr="00975086" w14:paraId="7CC625DB" w14:textId="77777777" w:rsidTr="00975086">
        <w:tc>
          <w:tcPr>
            <w:tcW w:w="9638" w:type="dxa"/>
            <w:tcBorders>
              <w:top w:val="nil"/>
              <w:bottom w:val="nil"/>
            </w:tcBorders>
            <w:shd w:val="clear" w:color="000000" w:fill="auto"/>
          </w:tcPr>
          <w:p w14:paraId="6C2C5BA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LEAP Centre</w:t>
            </w:r>
          </w:p>
        </w:tc>
      </w:tr>
      <w:tr w:rsidR="00BA4F92" w:rsidRPr="00975086" w14:paraId="248DBB05" w14:textId="77777777" w:rsidTr="00975086">
        <w:tc>
          <w:tcPr>
            <w:tcW w:w="9638" w:type="dxa"/>
            <w:tcBorders>
              <w:bottom w:val="nil"/>
            </w:tcBorders>
            <w:shd w:val="clear" w:color="000000" w:fill="F2F2F2"/>
          </w:tcPr>
          <w:p w14:paraId="58A7484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Leederville Early Childhood Education Centre</w:t>
            </w:r>
          </w:p>
        </w:tc>
      </w:tr>
      <w:tr w:rsidR="00BA4F92" w:rsidRPr="00975086" w14:paraId="4AA87A4E" w14:textId="77777777" w:rsidTr="00975086">
        <w:tc>
          <w:tcPr>
            <w:tcW w:w="9638" w:type="dxa"/>
            <w:tcBorders>
              <w:top w:val="nil"/>
              <w:bottom w:val="nil"/>
            </w:tcBorders>
            <w:shd w:val="clear" w:color="000000" w:fill="auto"/>
          </w:tcPr>
          <w:p w14:paraId="6C4C6AC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lastRenderedPageBreak/>
              <w:t>Little Scientists Australia</w:t>
            </w:r>
          </w:p>
        </w:tc>
      </w:tr>
      <w:tr w:rsidR="00BA4F92" w:rsidRPr="00975086" w14:paraId="1CF905DA" w14:textId="77777777" w:rsidTr="00975086">
        <w:tc>
          <w:tcPr>
            <w:tcW w:w="9638" w:type="dxa"/>
            <w:tcBorders>
              <w:bottom w:val="nil"/>
            </w:tcBorders>
            <w:shd w:val="clear" w:color="000000" w:fill="F2F2F2"/>
          </w:tcPr>
          <w:p w14:paraId="3C68D67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Minderoo Foundation</w:t>
            </w:r>
          </w:p>
        </w:tc>
      </w:tr>
      <w:tr w:rsidR="00BA4F92" w:rsidRPr="00975086" w14:paraId="0AABE113" w14:textId="77777777" w:rsidTr="00975086">
        <w:tc>
          <w:tcPr>
            <w:tcW w:w="9638" w:type="dxa"/>
            <w:tcBorders>
              <w:top w:val="nil"/>
              <w:bottom w:val="nil"/>
            </w:tcBorders>
            <w:shd w:val="clear" w:color="000000" w:fill="auto"/>
          </w:tcPr>
          <w:p w14:paraId="18623585"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Ministry of Education - Te Tahuhu o te Matauranga (NZ)</w:t>
            </w:r>
          </w:p>
        </w:tc>
      </w:tr>
      <w:tr w:rsidR="00BA4F92" w:rsidRPr="00975086" w14:paraId="615AF9C6" w14:textId="77777777" w:rsidTr="00975086">
        <w:tc>
          <w:tcPr>
            <w:tcW w:w="9638" w:type="dxa"/>
            <w:tcBorders>
              <w:bottom w:val="nil"/>
            </w:tcBorders>
            <w:shd w:val="clear" w:color="000000" w:fill="F2F2F2"/>
          </w:tcPr>
          <w:p w14:paraId="7EE63A6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Ministry of Education and Research (Sweden)</w:t>
            </w:r>
          </w:p>
        </w:tc>
      </w:tr>
      <w:tr w:rsidR="00BA4F92" w:rsidRPr="00975086" w14:paraId="2D5A89AF" w14:textId="77777777" w:rsidTr="00975086">
        <w:tc>
          <w:tcPr>
            <w:tcW w:w="9638" w:type="dxa"/>
            <w:tcBorders>
              <w:top w:val="nil"/>
              <w:bottom w:val="nil"/>
            </w:tcBorders>
            <w:shd w:val="clear" w:color="000000" w:fill="auto"/>
          </w:tcPr>
          <w:p w14:paraId="7A2D0D0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Ministry of Social Affairs and Employment (Netherlands)</w:t>
            </w:r>
          </w:p>
        </w:tc>
      </w:tr>
      <w:tr w:rsidR="00BA4F92" w:rsidRPr="00975086" w14:paraId="6E193AA9" w14:textId="77777777" w:rsidTr="00975086">
        <w:trPr>
          <w:trHeight w:val="60"/>
        </w:trPr>
        <w:tc>
          <w:tcPr>
            <w:tcW w:w="9638" w:type="dxa"/>
            <w:tcBorders>
              <w:bottom w:val="nil"/>
            </w:tcBorders>
            <w:shd w:val="clear" w:color="000000" w:fill="F2F2F2"/>
          </w:tcPr>
          <w:p w14:paraId="0560D00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Municipal Association of Victoria (MAV)</w:t>
            </w:r>
          </w:p>
        </w:tc>
      </w:tr>
      <w:tr w:rsidR="00BA4F92" w:rsidRPr="00975086" w14:paraId="001F2F0A" w14:textId="77777777" w:rsidTr="00975086">
        <w:tc>
          <w:tcPr>
            <w:tcW w:w="9638" w:type="dxa"/>
            <w:tcBorders>
              <w:top w:val="nil"/>
              <w:bottom w:val="nil"/>
            </w:tcBorders>
            <w:shd w:val="clear" w:color="000000" w:fill="auto"/>
          </w:tcPr>
          <w:p w14:paraId="58EC665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Murdoch Children's Research Institute</w:t>
            </w:r>
          </w:p>
        </w:tc>
      </w:tr>
      <w:tr w:rsidR="00BA4F92" w:rsidRPr="00975086" w14:paraId="3A874B82" w14:textId="77777777" w:rsidTr="00975086">
        <w:tc>
          <w:tcPr>
            <w:tcW w:w="9638" w:type="dxa"/>
            <w:tcBorders>
              <w:bottom w:val="nil"/>
            </w:tcBorders>
            <w:shd w:val="clear" w:color="000000" w:fill="F2F2F2"/>
          </w:tcPr>
          <w:p w14:paraId="475C49C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National Children's Commissioner (Australian Human Rights Commission)</w:t>
            </w:r>
          </w:p>
        </w:tc>
      </w:tr>
      <w:tr w:rsidR="00BA4F92" w:rsidRPr="00975086" w14:paraId="0E97BB41" w14:textId="77777777" w:rsidTr="00975086">
        <w:tc>
          <w:tcPr>
            <w:tcW w:w="9638" w:type="dxa"/>
            <w:tcBorders>
              <w:top w:val="nil"/>
              <w:bottom w:val="nil"/>
            </w:tcBorders>
            <w:shd w:val="clear" w:color="000000" w:fill="auto"/>
          </w:tcPr>
          <w:p w14:paraId="736897E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National Outside School Hours Service Services Alliance (NOSHSA)</w:t>
            </w:r>
          </w:p>
        </w:tc>
      </w:tr>
      <w:tr w:rsidR="00BA4F92" w:rsidRPr="00975086" w14:paraId="491F4225" w14:textId="77777777" w:rsidTr="00975086">
        <w:tc>
          <w:tcPr>
            <w:tcW w:w="9638" w:type="dxa"/>
            <w:tcBorders>
              <w:bottom w:val="nil"/>
            </w:tcBorders>
            <w:shd w:val="clear" w:color="000000" w:fill="F2F2F2"/>
          </w:tcPr>
          <w:p w14:paraId="6DF773B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National School Reforms Agreement Expert Panel</w:t>
            </w:r>
          </w:p>
        </w:tc>
      </w:tr>
      <w:tr w:rsidR="00BA4F92" w:rsidRPr="00975086" w14:paraId="6623292C" w14:textId="77777777" w:rsidTr="00975086">
        <w:tc>
          <w:tcPr>
            <w:tcW w:w="9638" w:type="dxa"/>
            <w:tcBorders>
              <w:top w:val="nil"/>
              <w:bottom w:val="nil"/>
            </w:tcBorders>
            <w:shd w:val="clear" w:color="000000" w:fill="auto"/>
          </w:tcPr>
          <w:p w14:paraId="4F39594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NDIS Review Secretariat</w:t>
            </w:r>
          </w:p>
        </w:tc>
      </w:tr>
      <w:tr w:rsidR="00BA4F92" w:rsidRPr="00975086" w14:paraId="153B47CA" w14:textId="77777777" w:rsidTr="00975086">
        <w:tc>
          <w:tcPr>
            <w:tcW w:w="9638" w:type="dxa"/>
            <w:tcBorders>
              <w:bottom w:val="nil"/>
            </w:tcBorders>
            <w:shd w:val="clear" w:color="000000" w:fill="F2F2F2"/>
          </w:tcPr>
          <w:p w14:paraId="6DEF6D2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Neylon, Dr. Gerardine</w:t>
            </w:r>
          </w:p>
        </w:tc>
      </w:tr>
      <w:tr w:rsidR="00BA4F92" w:rsidRPr="00975086" w14:paraId="426D2225" w14:textId="77777777" w:rsidTr="00975086">
        <w:tc>
          <w:tcPr>
            <w:tcW w:w="9638" w:type="dxa"/>
            <w:tcBorders>
              <w:top w:val="nil"/>
              <w:bottom w:val="nil"/>
            </w:tcBorders>
            <w:shd w:val="clear" w:color="000000" w:fill="auto"/>
          </w:tcPr>
          <w:p w14:paraId="1E3DC2F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Nido Early School</w:t>
            </w:r>
          </w:p>
        </w:tc>
      </w:tr>
      <w:tr w:rsidR="00BA4F92" w:rsidRPr="00975086" w14:paraId="45262C77" w14:textId="77777777" w:rsidTr="00975086">
        <w:tc>
          <w:tcPr>
            <w:tcW w:w="9638" w:type="dxa"/>
            <w:tcBorders>
              <w:bottom w:val="nil"/>
            </w:tcBorders>
            <w:shd w:val="clear" w:color="000000" w:fill="F2F2F2"/>
          </w:tcPr>
          <w:p w14:paraId="6FC3C9E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Northern Territory Department of Treasury and Finance</w:t>
            </w:r>
          </w:p>
        </w:tc>
      </w:tr>
      <w:tr w:rsidR="00BA4F92" w:rsidRPr="00975086" w14:paraId="4F1CB4CC" w14:textId="77777777" w:rsidTr="00975086">
        <w:tc>
          <w:tcPr>
            <w:tcW w:w="9638" w:type="dxa"/>
            <w:tcBorders>
              <w:top w:val="nil"/>
              <w:bottom w:val="nil"/>
            </w:tcBorders>
            <w:shd w:val="clear" w:color="000000" w:fill="auto"/>
          </w:tcPr>
          <w:p w14:paraId="6484A0E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Northern Territory Department of Education</w:t>
            </w:r>
          </w:p>
        </w:tc>
      </w:tr>
      <w:tr w:rsidR="00BA4F92" w:rsidRPr="00975086" w14:paraId="09B60761" w14:textId="77777777" w:rsidTr="00975086">
        <w:tc>
          <w:tcPr>
            <w:tcW w:w="9638" w:type="dxa"/>
            <w:tcBorders>
              <w:bottom w:val="nil"/>
            </w:tcBorders>
            <w:shd w:val="clear" w:color="000000" w:fill="F2F2F2"/>
          </w:tcPr>
          <w:p w14:paraId="1B50E6E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NSW Early Childhood Aboriginal and Torres Strait Islander Committee</w:t>
            </w:r>
          </w:p>
        </w:tc>
      </w:tr>
      <w:tr w:rsidR="00BA4F92" w:rsidRPr="00975086" w14:paraId="3BB80165" w14:textId="77777777" w:rsidTr="00975086">
        <w:tc>
          <w:tcPr>
            <w:tcW w:w="9638" w:type="dxa"/>
            <w:tcBorders>
              <w:top w:val="nil"/>
              <w:bottom w:val="nil"/>
            </w:tcBorders>
            <w:shd w:val="clear" w:color="000000" w:fill="auto"/>
          </w:tcPr>
          <w:p w14:paraId="2745CC3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NSW Cabinet Office</w:t>
            </w:r>
          </w:p>
        </w:tc>
      </w:tr>
      <w:tr w:rsidR="00BA4F92" w:rsidRPr="00975086" w14:paraId="1448E658" w14:textId="77777777" w:rsidTr="00975086">
        <w:tc>
          <w:tcPr>
            <w:tcW w:w="9638" w:type="dxa"/>
            <w:tcBorders>
              <w:bottom w:val="nil"/>
            </w:tcBorders>
            <w:shd w:val="clear" w:color="000000" w:fill="F2F2F2"/>
          </w:tcPr>
          <w:p w14:paraId="1D1A480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NSW Department of Education</w:t>
            </w:r>
          </w:p>
        </w:tc>
      </w:tr>
      <w:tr w:rsidR="00BA4F92" w:rsidRPr="00975086" w14:paraId="24F9EBD0" w14:textId="77777777" w:rsidTr="00975086">
        <w:tc>
          <w:tcPr>
            <w:tcW w:w="9638" w:type="dxa"/>
            <w:tcBorders>
              <w:top w:val="nil"/>
              <w:bottom w:val="nil"/>
            </w:tcBorders>
            <w:shd w:val="clear" w:color="000000" w:fill="auto"/>
          </w:tcPr>
          <w:p w14:paraId="4BB9763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NSW Productivity Commission</w:t>
            </w:r>
            <w:r w:rsidRPr="00975086" w:rsidDel="00E455D2">
              <w:rPr>
                <w:rFonts w:ascii="Arial (Body)" w:hAnsi="Arial (Body)"/>
                <w:b w:val="0"/>
                <w:bCs/>
                <w:color w:val="auto"/>
              </w:rPr>
              <w:t xml:space="preserve"> </w:t>
            </w:r>
          </w:p>
        </w:tc>
      </w:tr>
      <w:tr w:rsidR="00BA4F92" w:rsidRPr="00975086" w14:paraId="5D778FCD" w14:textId="77777777" w:rsidTr="00975086">
        <w:tc>
          <w:tcPr>
            <w:tcW w:w="9638" w:type="dxa"/>
            <w:tcBorders>
              <w:bottom w:val="nil"/>
            </w:tcBorders>
            <w:shd w:val="clear" w:color="000000" w:fill="F2F2F2"/>
          </w:tcPr>
          <w:p w14:paraId="22D8426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NSW Treasury </w:t>
            </w:r>
          </w:p>
        </w:tc>
      </w:tr>
      <w:tr w:rsidR="00BA4F92" w:rsidRPr="00975086" w14:paraId="4E666D8E" w14:textId="77777777" w:rsidTr="00975086">
        <w:tc>
          <w:tcPr>
            <w:tcW w:w="9638" w:type="dxa"/>
            <w:tcBorders>
              <w:top w:val="nil"/>
              <w:bottom w:val="nil"/>
            </w:tcBorders>
            <w:shd w:val="clear" w:color="000000" w:fill="auto"/>
          </w:tcPr>
          <w:p w14:paraId="4ED4A26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Office for Women, Department of the Prime Minister and Cabinet</w:t>
            </w:r>
          </w:p>
        </w:tc>
      </w:tr>
      <w:tr w:rsidR="00BA4F92" w:rsidRPr="00975086" w14:paraId="0913E4D7" w14:textId="77777777" w:rsidTr="00975086">
        <w:tc>
          <w:tcPr>
            <w:tcW w:w="9638" w:type="dxa"/>
            <w:tcBorders>
              <w:bottom w:val="nil"/>
            </w:tcBorders>
            <w:shd w:val="clear" w:color="000000" w:fill="F2F2F2"/>
          </w:tcPr>
          <w:p w14:paraId="4A85C64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One Tree Community Services</w:t>
            </w:r>
          </w:p>
        </w:tc>
      </w:tr>
      <w:tr w:rsidR="00BA4F92" w:rsidRPr="00975086" w14:paraId="115F87C5" w14:textId="77777777" w:rsidTr="00975086">
        <w:tc>
          <w:tcPr>
            <w:tcW w:w="9638" w:type="dxa"/>
            <w:tcBorders>
              <w:top w:val="nil"/>
              <w:bottom w:val="nil"/>
            </w:tcBorders>
            <w:shd w:val="clear" w:color="000000" w:fill="auto"/>
          </w:tcPr>
          <w:p w14:paraId="5B3EC02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Out of School Hours Council of Australia (OSHCA)</w:t>
            </w:r>
          </w:p>
        </w:tc>
      </w:tr>
      <w:tr w:rsidR="00BA4F92" w:rsidRPr="00975086" w14:paraId="2244E322" w14:textId="77777777" w:rsidTr="00975086">
        <w:tc>
          <w:tcPr>
            <w:tcW w:w="9638" w:type="dxa"/>
            <w:tcBorders>
              <w:bottom w:val="nil"/>
            </w:tcBorders>
            <w:shd w:val="clear" w:color="000000" w:fill="F2F2F2"/>
          </w:tcPr>
          <w:p w14:paraId="18E848F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Parkville Institute</w:t>
            </w:r>
          </w:p>
        </w:tc>
      </w:tr>
      <w:tr w:rsidR="00BA4F92" w:rsidRPr="00975086" w14:paraId="3A9CD533" w14:textId="77777777" w:rsidTr="00975086">
        <w:tc>
          <w:tcPr>
            <w:tcW w:w="9638" w:type="dxa"/>
            <w:tcBorders>
              <w:top w:val="nil"/>
              <w:bottom w:val="nil"/>
            </w:tcBorders>
            <w:shd w:val="clear" w:color="000000" w:fill="auto"/>
          </w:tcPr>
          <w:p w14:paraId="47CA654B" w14:textId="392ED6C9"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Petrie, Prof</w:t>
            </w:r>
            <w:r w:rsidR="002502FE" w:rsidRPr="00975086">
              <w:rPr>
                <w:rFonts w:ascii="Arial (Body)" w:hAnsi="Arial (Body)"/>
                <w:b w:val="0"/>
                <w:bCs/>
                <w:color w:val="auto"/>
              </w:rPr>
              <w:t>.</w:t>
            </w:r>
            <w:r w:rsidRPr="00975086">
              <w:rPr>
                <w:rFonts w:ascii="Arial (Body)" w:hAnsi="Arial (Body)"/>
                <w:b w:val="0"/>
                <w:bCs/>
                <w:color w:val="auto"/>
              </w:rPr>
              <w:t xml:space="preserve"> Ragan </w:t>
            </w:r>
          </w:p>
        </w:tc>
      </w:tr>
      <w:tr w:rsidR="00BA4F92" w:rsidRPr="00975086" w14:paraId="33324704" w14:textId="77777777" w:rsidTr="00975086">
        <w:tc>
          <w:tcPr>
            <w:tcW w:w="9638" w:type="dxa"/>
            <w:tcBorders>
              <w:bottom w:val="nil"/>
            </w:tcBorders>
            <w:shd w:val="clear" w:color="000000" w:fill="F2F2F2"/>
          </w:tcPr>
          <w:p w14:paraId="2DABCF0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Playgroup Australia</w:t>
            </w:r>
            <w:r w:rsidRPr="00975086" w:rsidDel="000219C6">
              <w:rPr>
                <w:rFonts w:ascii="Arial (Body)" w:hAnsi="Arial (Body)"/>
                <w:b w:val="0"/>
                <w:bCs/>
                <w:color w:val="auto"/>
              </w:rPr>
              <w:t xml:space="preserve"> </w:t>
            </w:r>
          </w:p>
        </w:tc>
      </w:tr>
      <w:tr w:rsidR="00BA4F92" w:rsidRPr="00975086" w14:paraId="3487BC3C" w14:textId="77777777" w:rsidTr="00975086">
        <w:tc>
          <w:tcPr>
            <w:tcW w:w="9638" w:type="dxa"/>
            <w:tcBorders>
              <w:top w:val="nil"/>
              <w:bottom w:val="nil"/>
            </w:tcBorders>
            <w:shd w:val="clear" w:color="000000" w:fill="auto"/>
          </w:tcPr>
          <w:p w14:paraId="2ADB278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Plumtree Children's Services</w:t>
            </w:r>
            <w:r w:rsidRPr="00975086" w:rsidDel="000219C6">
              <w:rPr>
                <w:rFonts w:ascii="Arial (Body)" w:hAnsi="Arial (Body)"/>
                <w:b w:val="0"/>
                <w:bCs/>
                <w:color w:val="auto"/>
              </w:rPr>
              <w:t xml:space="preserve"> </w:t>
            </w:r>
          </w:p>
        </w:tc>
      </w:tr>
      <w:tr w:rsidR="00975086" w:rsidRPr="00975086" w14:paraId="6AB60DF2" w14:textId="77777777" w:rsidTr="00975086">
        <w:tc>
          <w:tcPr>
            <w:tcW w:w="9638" w:type="dxa"/>
            <w:tcBorders>
              <w:bottom w:val="nil"/>
            </w:tcBorders>
            <w:shd w:val="clear" w:color="000000" w:fill="F2F2F2"/>
          </w:tcPr>
          <w:p w14:paraId="6DB8EF02" w14:textId="60430688" w:rsidR="00975086" w:rsidRPr="00975086" w:rsidRDefault="00975086"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Prom Coast Centres for Children</w:t>
            </w:r>
          </w:p>
        </w:tc>
      </w:tr>
      <w:tr w:rsidR="00BA4F92" w:rsidRPr="00975086" w14:paraId="6651CD6C" w14:textId="77777777" w:rsidTr="00975086">
        <w:tc>
          <w:tcPr>
            <w:tcW w:w="9638" w:type="dxa"/>
            <w:tcBorders>
              <w:top w:val="nil"/>
              <w:bottom w:val="nil"/>
            </w:tcBorders>
            <w:shd w:val="clear" w:color="000000" w:fill="auto"/>
          </w:tcPr>
          <w:p w14:paraId="564D15F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Preschool Directors Association of South Australia  </w:t>
            </w:r>
          </w:p>
        </w:tc>
      </w:tr>
      <w:tr w:rsidR="00BA4F92" w:rsidRPr="00975086" w14:paraId="749E40E1" w14:textId="77777777" w:rsidTr="00975086">
        <w:tc>
          <w:tcPr>
            <w:tcW w:w="9638" w:type="dxa"/>
            <w:tcBorders>
              <w:bottom w:val="nil"/>
            </w:tcBorders>
            <w:shd w:val="clear" w:color="000000" w:fill="F2F2F2"/>
          </w:tcPr>
          <w:p w14:paraId="6B4296C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Queensland Children's Activity Network (QCAN)</w:t>
            </w:r>
          </w:p>
        </w:tc>
      </w:tr>
      <w:tr w:rsidR="00BA4F92" w:rsidRPr="00975086" w14:paraId="0C0DD5C1" w14:textId="77777777" w:rsidTr="00975086">
        <w:tc>
          <w:tcPr>
            <w:tcW w:w="9638" w:type="dxa"/>
            <w:tcBorders>
              <w:top w:val="nil"/>
              <w:bottom w:val="nil"/>
            </w:tcBorders>
            <w:shd w:val="clear" w:color="000000" w:fill="auto"/>
          </w:tcPr>
          <w:p w14:paraId="762BDEC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Queensland Department of Education</w:t>
            </w:r>
          </w:p>
        </w:tc>
      </w:tr>
      <w:tr w:rsidR="00BA4F92" w:rsidRPr="00975086" w14:paraId="408060F0" w14:textId="77777777" w:rsidTr="00975086">
        <w:tc>
          <w:tcPr>
            <w:tcW w:w="9638" w:type="dxa"/>
            <w:tcBorders>
              <w:bottom w:val="nil"/>
            </w:tcBorders>
            <w:shd w:val="clear" w:color="000000" w:fill="F2F2F2"/>
          </w:tcPr>
          <w:p w14:paraId="09CE0AC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Questacon </w:t>
            </w:r>
          </w:p>
        </w:tc>
      </w:tr>
      <w:tr w:rsidR="00BA4F92" w:rsidRPr="00975086" w14:paraId="48A8D220" w14:textId="77777777" w:rsidTr="00975086">
        <w:tc>
          <w:tcPr>
            <w:tcW w:w="9638" w:type="dxa"/>
            <w:tcBorders>
              <w:top w:val="nil"/>
              <w:bottom w:val="nil"/>
            </w:tcBorders>
            <w:shd w:val="clear" w:color="000000" w:fill="auto"/>
          </w:tcPr>
          <w:p w14:paraId="1813BF9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Reform Management Office (NT)</w:t>
            </w:r>
          </w:p>
        </w:tc>
      </w:tr>
      <w:tr w:rsidR="00BA4F92" w:rsidRPr="00975086" w14:paraId="6D76F012" w14:textId="77777777" w:rsidTr="00975086">
        <w:tc>
          <w:tcPr>
            <w:tcW w:w="9638" w:type="dxa"/>
            <w:tcBorders>
              <w:bottom w:val="nil"/>
            </w:tcBorders>
            <w:shd w:val="clear" w:color="000000" w:fill="F2F2F2"/>
          </w:tcPr>
          <w:p w14:paraId="0F91F52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Regional Education Commissioner</w:t>
            </w:r>
          </w:p>
        </w:tc>
      </w:tr>
      <w:tr w:rsidR="00BA4F92" w:rsidRPr="00975086" w14:paraId="14D8B06A" w14:textId="77777777" w:rsidTr="00975086">
        <w:tc>
          <w:tcPr>
            <w:tcW w:w="9638" w:type="dxa"/>
            <w:tcBorders>
              <w:top w:val="nil"/>
              <w:bottom w:val="nil"/>
            </w:tcBorders>
            <w:shd w:val="clear" w:color="000000" w:fill="auto"/>
          </w:tcPr>
          <w:p w14:paraId="06E4DC0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Remote and Isolated Children’s Exercise (RICE)</w:t>
            </w:r>
          </w:p>
        </w:tc>
      </w:tr>
      <w:tr w:rsidR="00BA4F92" w:rsidRPr="00975086" w14:paraId="59D650F4" w14:textId="77777777" w:rsidTr="00975086">
        <w:tc>
          <w:tcPr>
            <w:tcW w:w="9638" w:type="dxa"/>
            <w:tcBorders>
              <w:bottom w:val="nil"/>
            </w:tcBorders>
            <w:shd w:val="clear" w:color="000000" w:fill="F2F2F2"/>
          </w:tcPr>
          <w:p w14:paraId="57F47FC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lastRenderedPageBreak/>
              <w:t>Roper Gulf Shire Council</w:t>
            </w:r>
          </w:p>
        </w:tc>
      </w:tr>
      <w:tr w:rsidR="00BA4F92" w:rsidRPr="00975086" w14:paraId="4396B8B1" w14:textId="77777777" w:rsidTr="00975086">
        <w:tc>
          <w:tcPr>
            <w:tcW w:w="9638" w:type="dxa"/>
            <w:tcBorders>
              <w:top w:val="nil"/>
              <w:bottom w:val="nil"/>
            </w:tcBorders>
            <w:shd w:val="clear" w:color="000000" w:fill="auto"/>
          </w:tcPr>
          <w:p w14:paraId="0DEC76D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SA Department for Education - Office for the Early Years </w:t>
            </w:r>
          </w:p>
        </w:tc>
      </w:tr>
      <w:tr w:rsidR="00BA4F92" w:rsidRPr="00975086" w14:paraId="71415E10" w14:textId="77777777" w:rsidTr="00975086">
        <w:tc>
          <w:tcPr>
            <w:tcW w:w="9638" w:type="dxa"/>
            <w:tcBorders>
              <w:bottom w:val="nil"/>
            </w:tcBorders>
            <w:shd w:val="clear" w:color="000000" w:fill="F2F2F2"/>
          </w:tcPr>
          <w:p w14:paraId="083841C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SA Department of Treasury and Finance</w:t>
            </w:r>
          </w:p>
        </w:tc>
      </w:tr>
      <w:tr w:rsidR="00BA4F92" w:rsidRPr="00975086" w14:paraId="0A42DE9D" w14:textId="77777777" w:rsidTr="00975086">
        <w:tc>
          <w:tcPr>
            <w:tcW w:w="9638" w:type="dxa"/>
            <w:tcBorders>
              <w:top w:val="nil"/>
              <w:bottom w:val="nil"/>
            </w:tcBorders>
            <w:shd w:val="clear" w:color="000000" w:fill="auto"/>
          </w:tcPr>
          <w:p w14:paraId="73C2910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SA Office of Early Childhood Development</w:t>
            </w:r>
          </w:p>
        </w:tc>
      </w:tr>
      <w:tr w:rsidR="00BA4F92" w:rsidRPr="00975086" w14:paraId="6731C8EA" w14:textId="77777777" w:rsidTr="00975086">
        <w:tc>
          <w:tcPr>
            <w:tcW w:w="9638" w:type="dxa"/>
            <w:tcBorders>
              <w:bottom w:val="nil"/>
            </w:tcBorders>
            <w:shd w:val="clear" w:color="000000" w:fill="F2F2F2"/>
          </w:tcPr>
          <w:p w14:paraId="4262E68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SA Royal Commission into Early Childhood Education and Care</w:t>
            </w:r>
          </w:p>
        </w:tc>
      </w:tr>
      <w:tr w:rsidR="00BA4F92" w:rsidRPr="00975086" w14:paraId="19540662" w14:textId="77777777" w:rsidTr="00975086">
        <w:tc>
          <w:tcPr>
            <w:tcW w:w="9638" w:type="dxa"/>
            <w:tcBorders>
              <w:top w:val="nil"/>
              <w:bottom w:val="nil"/>
            </w:tcBorders>
            <w:shd w:val="clear" w:color="000000" w:fill="auto"/>
          </w:tcPr>
          <w:p w14:paraId="7BF5A1FB"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Seaton Community Children’s Centre and Clarendon Children’s Centre</w:t>
            </w:r>
          </w:p>
        </w:tc>
      </w:tr>
      <w:tr w:rsidR="00BA4F92" w:rsidRPr="00975086" w14:paraId="6BC4EACB" w14:textId="77777777" w:rsidTr="00975086">
        <w:tc>
          <w:tcPr>
            <w:tcW w:w="9638" w:type="dxa"/>
            <w:tcBorders>
              <w:bottom w:val="nil"/>
            </w:tcBorders>
            <w:shd w:val="clear" w:color="000000" w:fill="F2F2F2"/>
          </w:tcPr>
          <w:p w14:paraId="47859C2B" w14:textId="1D45CBF9"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Secretariat of National Aboriginal and Islander Child</w:t>
            </w:r>
            <w:r w:rsidR="00153DDA" w:rsidRPr="00975086">
              <w:rPr>
                <w:rFonts w:ascii="Arial (Body)" w:hAnsi="Arial (Body)"/>
                <w:b w:val="0"/>
                <w:bCs/>
                <w:color w:val="auto"/>
              </w:rPr>
              <w:t xml:space="preserve"> C</w:t>
            </w:r>
            <w:r w:rsidRPr="00975086">
              <w:rPr>
                <w:rFonts w:ascii="Arial (Body)" w:hAnsi="Arial (Body)"/>
                <w:b w:val="0"/>
                <w:bCs/>
                <w:color w:val="auto"/>
              </w:rPr>
              <w:t>are (SNAICC)</w:t>
            </w:r>
          </w:p>
        </w:tc>
      </w:tr>
      <w:tr w:rsidR="00BA4F92" w:rsidRPr="00975086" w14:paraId="00BB0F14" w14:textId="77777777" w:rsidTr="00975086">
        <w:tc>
          <w:tcPr>
            <w:tcW w:w="9638" w:type="dxa"/>
            <w:tcBorders>
              <w:top w:val="nil"/>
              <w:bottom w:val="nil"/>
            </w:tcBorders>
            <w:shd w:val="clear" w:color="000000" w:fill="auto"/>
          </w:tcPr>
          <w:p w14:paraId="7C70716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Services Australia</w:t>
            </w:r>
          </w:p>
        </w:tc>
      </w:tr>
      <w:tr w:rsidR="00BA4F92" w:rsidRPr="00975086" w14:paraId="238DEC70" w14:textId="77777777" w:rsidTr="00975086">
        <w:tc>
          <w:tcPr>
            <w:tcW w:w="9638" w:type="dxa"/>
            <w:tcBorders>
              <w:bottom w:val="nil"/>
            </w:tcBorders>
            <w:shd w:val="clear" w:color="000000" w:fill="F2F2F2"/>
          </w:tcPr>
          <w:p w14:paraId="233E2E9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St Virgil's College</w:t>
            </w:r>
          </w:p>
        </w:tc>
      </w:tr>
      <w:tr w:rsidR="00BA4F92" w:rsidRPr="00975086" w14:paraId="1E609C63" w14:textId="77777777" w:rsidTr="00975086">
        <w:tc>
          <w:tcPr>
            <w:tcW w:w="9638" w:type="dxa"/>
            <w:tcBorders>
              <w:top w:val="nil"/>
              <w:bottom w:val="nil"/>
            </w:tcBorders>
            <w:shd w:val="clear" w:color="000000" w:fill="auto"/>
          </w:tcPr>
          <w:p w14:paraId="16B44FA8" w14:textId="018FC1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Stanley, Prof</w:t>
            </w:r>
            <w:r w:rsidR="002502FE" w:rsidRPr="00975086">
              <w:rPr>
                <w:rFonts w:ascii="Arial (Body)" w:hAnsi="Arial (Body)"/>
                <w:b w:val="0"/>
                <w:bCs/>
                <w:color w:val="auto"/>
              </w:rPr>
              <w:t>.</w:t>
            </w:r>
            <w:r w:rsidRPr="00975086">
              <w:rPr>
                <w:rFonts w:ascii="Arial (Body)" w:hAnsi="Arial (Body)"/>
                <w:b w:val="0"/>
                <w:bCs/>
                <w:color w:val="auto"/>
              </w:rPr>
              <w:t xml:space="preserve"> Fiona</w:t>
            </w:r>
          </w:p>
        </w:tc>
      </w:tr>
      <w:tr w:rsidR="00BA4F92" w:rsidRPr="00975086" w14:paraId="20255BFD" w14:textId="77777777" w:rsidTr="00975086">
        <w:tc>
          <w:tcPr>
            <w:tcW w:w="9638" w:type="dxa"/>
            <w:tcBorders>
              <w:bottom w:val="nil"/>
            </w:tcBorders>
            <w:shd w:val="clear" w:color="000000" w:fill="F2F2F2"/>
          </w:tcPr>
          <w:p w14:paraId="7B5C549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Tagari Lia Aboriginal Child and Family Learning Centre</w:t>
            </w:r>
          </w:p>
        </w:tc>
      </w:tr>
      <w:tr w:rsidR="00BA4F92" w:rsidRPr="00975086" w14:paraId="3B3B2AFE" w14:textId="77777777" w:rsidTr="00975086">
        <w:tc>
          <w:tcPr>
            <w:tcW w:w="9638" w:type="dxa"/>
            <w:tcBorders>
              <w:top w:val="nil"/>
              <w:bottom w:val="nil"/>
            </w:tcBorders>
            <w:shd w:val="clear" w:color="000000" w:fill="auto"/>
          </w:tcPr>
          <w:p w14:paraId="5446CD3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Tasmanian Department for Education, Children and Young People</w:t>
            </w:r>
          </w:p>
        </w:tc>
      </w:tr>
      <w:tr w:rsidR="00BA4F92" w:rsidRPr="00975086" w14:paraId="10662A59" w14:textId="77777777" w:rsidTr="00975086">
        <w:tc>
          <w:tcPr>
            <w:tcW w:w="9638" w:type="dxa"/>
            <w:tcBorders>
              <w:bottom w:val="nil"/>
            </w:tcBorders>
            <w:shd w:val="clear" w:color="000000" w:fill="F2F2F2"/>
          </w:tcPr>
          <w:p w14:paraId="67ED29B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Tasmanian Department of Treasury and Finance</w:t>
            </w:r>
          </w:p>
        </w:tc>
      </w:tr>
      <w:tr w:rsidR="00BA4F92" w:rsidRPr="00975086" w14:paraId="76A2B9AD" w14:textId="77777777" w:rsidTr="00975086">
        <w:tc>
          <w:tcPr>
            <w:tcW w:w="9638" w:type="dxa"/>
            <w:tcBorders>
              <w:top w:val="nil"/>
              <w:bottom w:val="nil"/>
            </w:tcBorders>
            <w:shd w:val="clear" w:color="000000" w:fill="auto"/>
          </w:tcPr>
          <w:p w14:paraId="3A735C25"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Tasmanian Education and Care Unit’s Stakeholder Reference Group</w:t>
            </w:r>
          </w:p>
        </w:tc>
      </w:tr>
      <w:tr w:rsidR="00BA4F92" w:rsidRPr="00975086" w14:paraId="0C40BAED" w14:textId="77777777" w:rsidTr="00975086">
        <w:tc>
          <w:tcPr>
            <w:tcW w:w="9638" w:type="dxa"/>
            <w:tcBorders>
              <w:bottom w:val="nil"/>
            </w:tcBorders>
            <w:shd w:val="clear" w:color="000000" w:fill="F2F2F2"/>
          </w:tcPr>
          <w:p w14:paraId="5BBA119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Telethon Kids</w:t>
            </w:r>
          </w:p>
        </w:tc>
      </w:tr>
      <w:tr w:rsidR="00BA4F92" w:rsidRPr="00975086" w14:paraId="50D28B23" w14:textId="77777777" w:rsidTr="00975086">
        <w:tc>
          <w:tcPr>
            <w:tcW w:w="9638" w:type="dxa"/>
            <w:tcBorders>
              <w:top w:val="nil"/>
              <w:bottom w:val="nil"/>
            </w:tcBorders>
            <w:shd w:val="clear" w:color="000000" w:fill="auto"/>
          </w:tcPr>
          <w:p w14:paraId="2A4FC202"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The Front Project</w:t>
            </w:r>
          </w:p>
        </w:tc>
      </w:tr>
      <w:tr w:rsidR="00BA4F92" w:rsidRPr="00975086" w14:paraId="3A445EFE" w14:textId="77777777" w:rsidTr="00975086">
        <w:tc>
          <w:tcPr>
            <w:tcW w:w="9638" w:type="dxa"/>
            <w:tcBorders>
              <w:bottom w:val="nil"/>
            </w:tcBorders>
            <w:shd w:val="clear" w:color="000000" w:fill="F2F2F2"/>
          </w:tcPr>
          <w:p w14:paraId="3830915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The Nous Group</w:t>
            </w:r>
          </w:p>
        </w:tc>
      </w:tr>
      <w:tr w:rsidR="00BA4F92" w:rsidRPr="00975086" w14:paraId="65D3208B" w14:textId="77777777" w:rsidTr="00975086">
        <w:tc>
          <w:tcPr>
            <w:tcW w:w="9638" w:type="dxa"/>
            <w:tcBorders>
              <w:top w:val="nil"/>
              <w:bottom w:val="nil"/>
            </w:tcBorders>
            <w:shd w:val="clear" w:color="000000" w:fill="auto"/>
          </w:tcPr>
          <w:p w14:paraId="6BFD0C7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The Parenthood</w:t>
            </w:r>
          </w:p>
        </w:tc>
      </w:tr>
      <w:tr w:rsidR="00BA4F92" w:rsidRPr="00975086" w14:paraId="2903BA1A" w14:textId="77777777" w:rsidTr="00975086">
        <w:tc>
          <w:tcPr>
            <w:tcW w:w="9638" w:type="dxa"/>
            <w:tcBorders>
              <w:bottom w:val="nil"/>
            </w:tcBorders>
            <w:shd w:val="clear" w:color="000000" w:fill="F2F2F2"/>
          </w:tcPr>
          <w:p w14:paraId="6F94581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The Parkville Institute</w:t>
            </w:r>
          </w:p>
        </w:tc>
      </w:tr>
      <w:tr w:rsidR="00BA4F92" w:rsidRPr="00975086" w14:paraId="26E8ADA4" w14:textId="77777777" w:rsidTr="00975086">
        <w:tc>
          <w:tcPr>
            <w:tcW w:w="9638" w:type="dxa"/>
            <w:tcBorders>
              <w:top w:val="nil"/>
              <w:bottom w:val="nil"/>
            </w:tcBorders>
            <w:shd w:val="clear" w:color="000000" w:fill="auto"/>
          </w:tcPr>
          <w:p w14:paraId="0F07523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The Smith Family</w:t>
            </w:r>
          </w:p>
        </w:tc>
      </w:tr>
      <w:tr w:rsidR="00BA4F92" w:rsidRPr="00975086" w14:paraId="6B919C75" w14:textId="77777777" w:rsidTr="00975086">
        <w:tc>
          <w:tcPr>
            <w:tcW w:w="9638" w:type="dxa"/>
            <w:tcBorders>
              <w:bottom w:val="nil"/>
            </w:tcBorders>
            <w:shd w:val="clear" w:color="000000" w:fill="F2F2F2"/>
          </w:tcPr>
          <w:p w14:paraId="475A3AE1"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The Y Australia</w:t>
            </w:r>
          </w:p>
        </w:tc>
      </w:tr>
      <w:tr w:rsidR="00BA4F92" w:rsidRPr="00975086" w14:paraId="543CF48A" w14:textId="77777777" w:rsidTr="00975086">
        <w:tc>
          <w:tcPr>
            <w:tcW w:w="9638" w:type="dxa"/>
            <w:tcBorders>
              <w:top w:val="nil"/>
              <w:bottom w:val="nil"/>
            </w:tcBorders>
            <w:shd w:val="clear" w:color="000000" w:fill="auto"/>
          </w:tcPr>
          <w:p w14:paraId="4C2C22B9"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The Y NSW</w:t>
            </w:r>
          </w:p>
        </w:tc>
      </w:tr>
      <w:tr w:rsidR="00BA4F92" w:rsidRPr="00975086" w14:paraId="2021E45D" w14:textId="77777777" w:rsidTr="00975086">
        <w:tc>
          <w:tcPr>
            <w:tcW w:w="9638" w:type="dxa"/>
            <w:tcBorders>
              <w:bottom w:val="nil"/>
            </w:tcBorders>
            <w:shd w:val="clear" w:color="000000" w:fill="F2F2F2"/>
          </w:tcPr>
          <w:p w14:paraId="417E2A19" w14:textId="1DCAA103"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Thorpe, Prof</w:t>
            </w:r>
            <w:r w:rsidR="002502FE" w:rsidRPr="00975086">
              <w:rPr>
                <w:rFonts w:ascii="Arial (Body)" w:hAnsi="Arial (Body)"/>
                <w:b w:val="0"/>
                <w:bCs/>
                <w:color w:val="auto"/>
              </w:rPr>
              <w:t>.</w:t>
            </w:r>
            <w:r w:rsidRPr="00975086">
              <w:rPr>
                <w:rFonts w:ascii="Arial (Body)" w:hAnsi="Arial (Body)"/>
                <w:b w:val="0"/>
                <w:bCs/>
                <w:color w:val="auto"/>
              </w:rPr>
              <w:t xml:space="preserve"> Karen</w:t>
            </w:r>
          </w:p>
        </w:tc>
      </w:tr>
      <w:tr w:rsidR="00BA4F92" w:rsidRPr="00975086" w14:paraId="47C5CA65" w14:textId="77777777" w:rsidTr="00975086">
        <w:tc>
          <w:tcPr>
            <w:tcW w:w="9638" w:type="dxa"/>
            <w:tcBorders>
              <w:top w:val="nil"/>
              <w:bottom w:val="nil"/>
            </w:tcBorders>
            <w:shd w:val="clear" w:color="000000" w:fill="auto"/>
          </w:tcPr>
          <w:p w14:paraId="4F42911C"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Treasury</w:t>
            </w:r>
          </w:p>
        </w:tc>
      </w:tr>
      <w:tr w:rsidR="00BA4F92" w:rsidRPr="00975086" w14:paraId="31B6FDDD" w14:textId="77777777" w:rsidTr="00975086">
        <w:tc>
          <w:tcPr>
            <w:tcW w:w="9638" w:type="dxa"/>
            <w:tcBorders>
              <w:bottom w:val="nil"/>
            </w:tcBorders>
            <w:shd w:val="clear" w:color="000000" w:fill="F2F2F2"/>
          </w:tcPr>
          <w:p w14:paraId="09F25BC3" w14:textId="3994D560"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Tseng, Associate Prof</w:t>
            </w:r>
            <w:r w:rsidR="002502FE" w:rsidRPr="00975086">
              <w:rPr>
                <w:rFonts w:ascii="Arial (Body)" w:hAnsi="Arial (Body)"/>
                <w:b w:val="0"/>
                <w:bCs/>
                <w:color w:val="auto"/>
              </w:rPr>
              <w:t>.</w:t>
            </w:r>
            <w:r w:rsidRPr="00975086">
              <w:rPr>
                <w:rFonts w:ascii="Arial (Body)" w:hAnsi="Arial (Body)"/>
                <w:b w:val="0"/>
                <w:bCs/>
                <w:color w:val="auto"/>
              </w:rPr>
              <w:t xml:space="preserve"> Yi-Peng</w:t>
            </w:r>
          </w:p>
        </w:tc>
      </w:tr>
      <w:tr w:rsidR="00BA4F92" w:rsidRPr="00975086" w14:paraId="31D3BCC1" w14:textId="77777777" w:rsidTr="00975086">
        <w:tc>
          <w:tcPr>
            <w:tcW w:w="9638" w:type="dxa"/>
            <w:tcBorders>
              <w:top w:val="nil"/>
              <w:bottom w:val="nil"/>
            </w:tcBorders>
            <w:shd w:val="clear" w:color="000000" w:fill="auto"/>
          </w:tcPr>
          <w:p w14:paraId="5435DFB3"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US Department of Health and Human Services</w:t>
            </w:r>
          </w:p>
        </w:tc>
      </w:tr>
      <w:tr w:rsidR="00BA4F92" w:rsidRPr="00975086" w14:paraId="61D1AD5F" w14:textId="77777777" w:rsidTr="00975086">
        <w:tc>
          <w:tcPr>
            <w:tcW w:w="9638" w:type="dxa"/>
            <w:tcBorders>
              <w:bottom w:val="nil"/>
            </w:tcBorders>
            <w:shd w:val="clear" w:color="000000" w:fill="F2F2F2"/>
          </w:tcPr>
          <w:p w14:paraId="22FD131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United Workers Union (UWU)</w:t>
            </w:r>
          </w:p>
        </w:tc>
      </w:tr>
      <w:tr w:rsidR="00BA4F92" w:rsidRPr="00975086" w14:paraId="28B9E869" w14:textId="77777777" w:rsidTr="00975086">
        <w:tc>
          <w:tcPr>
            <w:tcW w:w="9638" w:type="dxa"/>
            <w:tcBorders>
              <w:top w:val="nil"/>
              <w:bottom w:val="nil"/>
            </w:tcBorders>
            <w:shd w:val="clear" w:color="000000" w:fill="auto"/>
          </w:tcPr>
          <w:p w14:paraId="43F4FDD0"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University of Canberra (NATSEM)</w:t>
            </w:r>
          </w:p>
        </w:tc>
      </w:tr>
      <w:tr w:rsidR="00BA4F92" w:rsidRPr="00975086" w14:paraId="00AAAF7F" w14:textId="77777777" w:rsidTr="00975086">
        <w:tc>
          <w:tcPr>
            <w:tcW w:w="9638" w:type="dxa"/>
            <w:tcBorders>
              <w:bottom w:val="nil"/>
            </w:tcBorders>
            <w:shd w:val="clear" w:color="000000" w:fill="F2F2F2"/>
          </w:tcPr>
          <w:p w14:paraId="7F15C16F"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Victorian Aboriginal Education Association Inc</w:t>
            </w:r>
          </w:p>
        </w:tc>
      </w:tr>
      <w:tr w:rsidR="00BA4F92" w:rsidRPr="00975086" w14:paraId="452AF424" w14:textId="77777777" w:rsidTr="00975086">
        <w:tc>
          <w:tcPr>
            <w:tcW w:w="9638" w:type="dxa"/>
            <w:tcBorders>
              <w:top w:val="nil"/>
              <w:bottom w:val="nil"/>
            </w:tcBorders>
            <w:shd w:val="clear" w:color="000000" w:fill="auto"/>
          </w:tcPr>
          <w:p w14:paraId="2F1B4B78"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Victorian Department of Education</w:t>
            </w:r>
          </w:p>
        </w:tc>
      </w:tr>
      <w:tr w:rsidR="00BA4F92" w:rsidRPr="00975086" w14:paraId="35BB8056" w14:textId="77777777" w:rsidTr="00975086">
        <w:tc>
          <w:tcPr>
            <w:tcW w:w="9638" w:type="dxa"/>
            <w:tcBorders>
              <w:bottom w:val="nil"/>
            </w:tcBorders>
            <w:shd w:val="clear" w:color="000000" w:fill="F2F2F2"/>
          </w:tcPr>
          <w:p w14:paraId="1BE4DB3D"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Whitehouse, Andrew (Telethon Kids)</w:t>
            </w:r>
          </w:p>
        </w:tc>
      </w:tr>
      <w:tr w:rsidR="00BA4F92" w:rsidRPr="00975086" w14:paraId="63B35A5A" w14:textId="77777777" w:rsidTr="00975086">
        <w:tc>
          <w:tcPr>
            <w:tcW w:w="9638" w:type="dxa"/>
            <w:tcBorders>
              <w:top w:val="nil"/>
              <w:bottom w:val="nil"/>
            </w:tcBorders>
            <w:shd w:val="clear" w:color="000000" w:fill="auto"/>
          </w:tcPr>
          <w:p w14:paraId="75374086"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WA Commissioner for Children and Young People</w:t>
            </w:r>
          </w:p>
        </w:tc>
      </w:tr>
      <w:tr w:rsidR="00BA4F92" w:rsidRPr="00975086" w14:paraId="33FF3E57" w14:textId="77777777" w:rsidTr="00975086">
        <w:tc>
          <w:tcPr>
            <w:tcW w:w="9638" w:type="dxa"/>
            <w:tcBorders>
              <w:bottom w:val="nil"/>
            </w:tcBorders>
            <w:shd w:val="clear" w:color="000000" w:fill="F2F2F2"/>
          </w:tcPr>
          <w:p w14:paraId="729E0A54"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WA Treasury</w:t>
            </w:r>
          </w:p>
        </w:tc>
      </w:tr>
      <w:tr w:rsidR="00BA4F92" w:rsidRPr="00975086" w14:paraId="4E06B2E2" w14:textId="77777777" w:rsidTr="00975086">
        <w:tc>
          <w:tcPr>
            <w:tcW w:w="9638" w:type="dxa"/>
            <w:tcBorders>
              <w:top w:val="nil"/>
              <w:bottom w:val="nil"/>
            </w:tcBorders>
            <w:shd w:val="clear" w:color="000000" w:fill="auto"/>
          </w:tcPr>
          <w:p w14:paraId="620752F7"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 xml:space="preserve">Wodonga Council </w:t>
            </w:r>
          </w:p>
        </w:tc>
      </w:tr>
      <w:tr w:rsidR="00BA4F92" w:rsidRPr="00975086" w14:paraId="6E3B5DFF" w14:textId="77777777" w:rsidTr="00975086">
        <w:tc>
          <w:tcPr>
            <w:tcW w:w="9638" w:type="dxa"/>
            <w:tcBorders>
              <w:bottom w:val="single" w:sz="4" w:space="0" w:color="B3B3B3"/>
            </w:tcBorders>
            <w:shd w:val="clear" w:color="000000" w:fill="F2F2F2"/>
          </w:tcPr>
          <w:p w14:paraId="72096A2E" w14:textId="77777777" w:rsidR="00BA4F92" w:rsidRPr="00975086" w:rsidRDefault="00BA4F92" w:rsidP="00975086">
            <w:pPr>
              <w:pStyle w:val="TableHeading"/>
              <w:spacing w:before="45" w:after="45"/>
              <w:ind w:right="108"/>
              <w:rPr>
                <w:rFonts w:ascii="Arial (Body)" w:hAnsi="Arial (Body)"/>
                <w:b w:val="0"/>
                <w:bCs/>
                <w:color w:val="auto"/>
              </w:rPr>
            </w:pPr>
            <w:r w:rsidRPr="00975086">
              <w:rPr>
                <w:rFonts w:ascii="Arial (Body)" w:hAnsi="Arial (Body)"/>
                <w:b w:val="0"/>
                <w:bCs/>
                <w:color w:val="auto"/>
              </w:rPr>
              <w:t>Zubrick, Honorary Emeritus Research Fellow Steve</w:t>
            </w:r>
          </w:p>
        </w:tc>
      </w:tr>
    </w:tbl>
    <w:p w14:paraId="554DE3AF" w14:textId="6DEBBB64" w:rsidR="00BA4F92" w:rsidRPr="006B1B41" w:rsidRDefault="00BA4F92" w:rsidP="00882158">
      <w:pPr>
        <w:spacing w:before="0" w:after="160" w:line="259" w:lineRule="auto"/>
        <w:rPr>
          <w:rFonts w:asciiTheme="majorHAnsi" w:hAnsiTheme="majorHAnsi"/>
        </w:rPr>
      </w:pPr>
      <w:r w:rsidRPr="006B1B41">
        <w:rPr>
          <w:rFonts w:asciiTheme="majorHAnsi" w:hAnsiTheme="majorHAnsi"/>
        </w:rPr>
        <w:lastRenderedPageBreak/>
        <w:t xml:space="preserve">Table </w:t>
      </w:r>
      <w:r w:rsidRPr="006B1B41">
        <w:rPr>
          <w:rFonts w:asciiTheme="majorHAnsi" w:hAnsiTheme="majorHAnsi"/>
        </w:rPr>
        <w:fldChar w:fldCharType="begin"/>
      </w:r>
      <w:r w:rsidRPr="006B1B41">
        <w:rPr>
          <w:rFonts w:asciiTheme="majorHAnsi" w:hAnsiTheme="majorHAnsi"/>
        </w:rPr>
        <w:instrText xml:space="preserve"> STYLEREF  \s Heading-Appendix </w:instrText>
      </w:r>
      <w:r w:rsidRPr="006B1B41">
        <w:rPr>
          <w:rFonts w:asciiTheme="majorHAnsi" w:hAnsiTheme="majorHAnsi"/>
        </w:rPr>
        <w:fldChar w:fldCharType="separate"/>
      </w:r>
      <w:r w:rsidR="00BA5CB1">
        <w:rPr>
          <w:rFonts w:asciiTheme="majorHAnsi" w:hAnsiTheme="majorHAnsi"/>
          <w:noProof/>
        </w:rPr>
        <w:t>A</w:t>
      </w:r>
      <w:r w:rsidRPr="006B1B41">
        <w:rPr>
          <w:rFonts w:asciiTheme="majorHAnsi" w:hAnsiTheme="majorHAnsi"/>
          <w:noProof/>
        </w:rPr>
        <w:fldChar w:fldCharType="end"/>
      </w:r>
      <w:r w:rsidRPr="006B1B41">
        <w:rPr>
          <w:rFonts w:asciiTheme="majorHAnsi" w:hAnsiTheme="majorHAnsi"/>
        </w:rPr>
        <w:t>.3</w:t>
      </w:r>
      <w:r w:rsidRPr="006B1B41">
        <w:rPr>
          <w:rFonts w:asciiTheme="majorHAnsi" w:hAnsiTheme="majorHAnsi"/>
          <w:noProof/>
        </w:rPr>
        <w:t xml:space="preserve"> – </w:t>
      </w:r>
      <w:r w:rsidRPr="006B1B41">
        <w:rPr>
          <w:rFonts w:asciiTheme="majorHAnsi" w:hAnsiTheme="majorHAnsi"/>
        </w:rPr>
        <w:t>Roundtables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A4F92" w:rsidRPr="00FB6FBB" w14:paraId="76180A49" w14:textId="77777777" w:rsidTr="00882158">
        <w:trPr>
          <w:tblHeader/>
        </w:trPr>
        <w:tc>
          <w:tcPr>
            <w:tcW w:w="3212" w:type="dxa"/>
            <w:tcBorders>
              <w:bottom w:val="single" w:sz="4" w:space="0" w:color="B3B3B3"/>
            </w:tcBorders>
            <w:shd w:val="clear" w:color="000000" w:fill="auto"/>
            <w:vAlign w:val="bottom"/>
          </w:tcPr>
          <w:p w14:paraId="2824A5FD" w14:textId="77777777" w:rsidR="00BA4F92" w:rsidRPr="00FB6FBB" w:rsidRDefault="00BA4F92" w:rsidP="00882158">
            <w:pPr>
              <w:spacing w:before="45" w:after="45"/>
              <w:ind w:left="57" w:right="108"/>
              <w:rPr>
                <w:rFonts w:ascii="Arial (Body)" w:hAnsi="Arial (Body)"/>
                <w:b/>
                <w:color w:val="265A9A"/>
                <w:sz w:val="18"/>
              </w:rPr>
            </w:pPr>
            <w:r w:rsidRPr="00FB6FBB">
              <w:rPr>
                <w:rFonts w:ascii="Arial (Body)" w:hAnsi="Arial (Body)"/>
                <w:b/>
                <w:color w:val="265A9A"/>
                <w:sz w:val="18"/>
              </w:rPr>
              <w:t>Participants</w:t>
            </w:r>
          </w:p>
        </w:tc>
        <w:tc>
          <w:tcPr>
            <w:tcW w:w="3213" w:type="dxa"/>
            <w:tcBorders>
              <w:bottom w:val="single" w:sz="4" w:space="0" w:color="B3B3B3"/>
            </w:tcBorders>
            <w:shd w:val="clear" w:color="000000" w:fill="auto"/>
            <w:vAlign w:val="bottom"/>
          </w:tcPr>
          <w:p w14:paraId="2100A697" w14:textId="77777777" w:rsidR="00BA4F92" w:rsidRPr="00FB6FBB" w:rsidRDefault="00BA4F92" w:rsidP="00882158">
            <w:pPr>
              <w:pStyle w:val="TableHeading"/>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3103B3DE" w14:textId="77777777" w:rsidR="00BA4F92" w:rsidRPr="00FB6FBB" w:rsidRDefault="00BA4F92" w:rsidP="00882158">
            <w:pPr>
              <w:pStyle w:val="TableHeading"/>
              <w:spacing w:before="45" w:after="45"/>
              <w:ind w:right="108"/>
              <w:rPr>
                <w:rFonts w:ascii="Arial (Body)" w:hAnsi="Arial (Body)"/>
                <w:color w:val="265A9A"/>
              </w:rPr>
            </w:pPr>
          </w:p>
        </w:tc>
      </w:tr>
      <w:tr w:rsidR="00BA4F92" w:rsidRPr="00FB6FBB" w14:paraId="6DE21EC8" w14:textId="77777777" w:rsidTr="00882158">
        <w:tc>
          <w:tcPr>
            <w:tcW w:w="9638" w:type="dxa"/>
            <w:gridSpan w:val="3"/>
            <w:tcBorders>
              <w:top w:val="single" w:sz="4" w:space="0" w:color="B3B3B3"/>
              <w:bottom w:val="nil"/>
            </w:tcBorders>
            <w:shd w:val="clear" w:color="000000" w:fill="F2F2F2"/>
          </w:tcPr>
          <w:p w14:paraId="134F8D08" w14:textId="77777777" w:rsidR="00BA4F92" w:rsidRPr="00FB6FBB" w:rsidRDefault="00BA4F92" w:rsidP="00882158">
            <w:pPr>
              <w:pStyle w:val="TableHeading"/>
              <w:spacing w:before="45" w:after="45"/>
              <w:ind w:right="108"/>
              <w:rPr>
                <w:rFonts w:ascii="Arial (Body)" w:hAnsi="Arial (Body)"/>
                <w:color w:val="265A9A"/>
              </w:rPr>
            </w:pPr>
            <w:r w:rsidRPr="009A59F2">
              <w:rPr>
                <w:rFonts w:ascii="Arial (Body)" w:hAnsi="Arial (Body)"/>
                <w:color w:val="265A9A"/>
              </w:rPr>
              <w:t xml:space="preserve">15 August 2023 – Children’s Outcomes Roundtable </w:t>
            </w:r>
          </w:p>
        </w:tc>
      </w:tr>
      <w:tr w:rsidR="00BA4F92" w:rsidRPr="00FB6FBB" w14:paraId="0832B205" w14:textId="77777777" w:rsidTr="00882158">
        <w:tc>
          <w:tcPr>
            <w:tcW w:w="9638" w:type="dxa"/>
            <w:gridSpan w:val="3"/>
            <w:tcBorders>
              <w:top w:val="nil"/>
              <w:bottom w:val="nil"/>
            </w:tcBorders>
            <w:shd w:val="clear" w:color="000000" w:fill="auto"/>
          </w:tcPr>
          <w:tbl>
            <w:tblPr>
              <w:tblStyle w:val="ProductivityCommissionTable2"/>
              <w:tblW w:w="0" w:type="auto"/>
              <w:tblBorders>
                <w:top w:val="none" w:sz="0" w:space="0" w:color="auto"/>
                <w:bottom w:val="single" w:sz="4" w:space="0" w:color="B3B3B3"/>
              </w:tblBorders>
              <w:shd w:val="clear" w:color="000000" w:fill="auto"/>
              <w:tblLayout w:type="fixed"/>
              <w:tblCellMar>
                <w:top w:w="0" w:type="dxa"/>
                <w:left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6"/>
            </w:tblGrid>
            <w:tr w:rsidR="00BA4F92" w:rsidRPr="00A91CFF" w14:paraId="7F85A6A1" w14:textId="77777777" w:rsidTr="00B42D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shd w:val="clear" w:color="000000" w:fill="auto"/>
                  <w:vAlign w:val="bottom"/>
                  <w:hideMark/>
                </w:tcPr>
                <w:p w14:paraId="16C3C550" w14:textId="77777777"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Dr Anne Kennedy</w:t>
                  </w:r>
                </w:p>
              </w:tc>
              <w:tc>
                <w:tcPr>
                  <w:tcW w:w="6236" w:type="dxa"/>
                  <w:tcBorders>
                    <w:bottom w:val="nil"/>
                  </w:tcBorders>
                  <w:shd w:val="clear" w:color="000000" w:fill="auto"/>
                  <w:vAlign w:val="bottom"/>
                  <w:hideMark/>
                </w:tcPr>
                <w:p w14:paraId="6F753BD7" w14:textId="77777777" w:rsidR="00BA4F92" w:rsidRPr="009677EA" w:rsidRDefault="00BA4F92" w:rsidP="00882158">
                  <w:pPr>
                    <w:pStyle w:val="TableHeading"/>
                    <w:spacing w:before="45" w:after="45"/>
                    <w:ind w:right="108"/>
                    <w:cnfStyle w:val="100000000000" w:firstRow="1" w:lastRow="0" w:firstColumn="0" w:lastColumn="0" w:oddVBand="0" w:evenVBand="0" w:oddHBand="0" w:evenHBand="0" w:firstRowFirstColumn="0" w:firstRowLastColumn="0" w:lastRowFirstColumn="0" w:lastRowLastColumn="0"/>
                    <w:rPr>
                      <w:rFonts w:ascii="Arial (Body)" w:hAnsi="Arial (Body)"/>
                      <w:b/>
                      <w:color w:val="265A9A"/>
                    </w:rPr>
                  </w:pPr>
                  <w:r w:rsidRPr="009A59F2">
                    <w:rPr>
                      <w:rFonts w:ascii="Arial (Body)" w:hAnsi="Arial (Body)"/>
                      <w:color w:val="auto"/>
                    </w:rPr>
                    <w:t>Co-Director of Research and Practice, Parkville Institute</w:t>
                  </w:r>
                </w:p>
              </w:tc>
            </w:tr>
            <w:tr w:rsidR="00BA4F92" w:rsidRPr="00A91CFF" w14:paraId="177D19F9" w14:textId="77777777" w:rsidTr="00B42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000000" w:fill="F2F2F2"/>
                  <w:hideMark/>
                </w:tcPr>
                <w:p w14:paraId="455674AF" w14:textId="77777777"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 xml:space="preserve">Assoc. </w:t>
                  </w:r>
                  <w:r w:rsidRPr="009677EA">
                    <w:rPr>
                      <w:rFonts w:ascii="Arial (Body)" w:hAnsi="Arial (Body)"/>
                      <w:color w:val="auto"/>
                    </w:rPr>
                    <w:t>Prof. Catherine Neilsen</w:t>
                  </w:r>
                  <w:r w:rsidRPr="009677EA">
                    <w:rPr>
                      <w:rFonts w:ascii="Arial (Body)" w:hAnsi="Arial (Body)"/>
                      <w:color w:val="auto"/>
                    </w:rPr>
                    <w:noBreakHyphen/>
                    <w:t>Hewett</w:t>
                  </w:r>
                </w:p>
              </w:tc>
              <w:tc>
                <w:tcPr>
                  <w:tcW w:w="0" w:type="dxa"/>
                  <w:tcBorders>
                    <w:top w:val="nil"/>
                    <w:bottom w:val="nil"/>
                  </w:tcBorders>
                  <w:shd w:val="clear" w:color="000000" w:fill="F2F2F2"/>
                  <w:hideMark/>
                </w:tcPr>
                <w:p w14:paraId="20C743B4" w14:textId="77777777" w:rsidR="00BA4F92" w:rsidRPr="00A91CFF" w:rsidRDefault="00BA4F92" w:rsidP="00882158">
                  <w:pPr>
                    <w:pStyle w:val="TableHeading"/>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bCs/>
                      <w:color w:val="000000"/>
                    </w:rPr>
                  </w:pPr>
                  <w:r w:rsidRPr="00D01C74">
                    <w:rPr>
                      <w:rFonts w:ascii="Arial (Body)" w:hAnsi="Arial (Body)"/>
                      <w:b w:val="0"/>
                      <w:color w:val="auto"/>
                    </w:rPr>
                    <w:t>Academic Director of The Early Years, School of Education, University of Wollongong</w:t>
                  </w:r>
                </w:p>
              </w:tc>
            </w:tr>
            <w:tr w:rsidR="00BA4F92" w:rsidRPr="00A91CFF" w14:paraId="5B8E2AC0" w14:textId="77777777" w:rsidTr="00882158">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000000" w:fill="auto"/>
                  <w:hideMark/>
                </w:tcPr>
                <w:p w14:paraId="355A272C" w14:textId="77777777"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Dr Dan Cloney</w:t>
                  </w:r>
                </w:p>
              </w:tc>
              <w:tc>
                <w:tcPr>
                  <w:tcW w:w="6236" w:type="dxa"/>
                  <w:tcBorders>
                    <w:top w:val="nil"/>
                    <w:bottom w:val="nil"/>
                  </w:tcBorders>
                  <w:shd w:val="clear" w:color="000000" w:fill="auto"/>
                  <w:hideMark/>
                </w:tcPr>
                <w:p w14:paraId="5E9D81EC" w14:textId="77777777" w:rsidR="00BA4F92" w:rsidRPr="00AF7FDF" w:rsidRDefault="00BA4F92" w:rsidP="00882158">
                  <w:pPr>
                    <w:pStyle w:val="TableHeading"/>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Senior Research Fellow, Australian Council for Educational Research</w:t>
                  </w:r>
                </w:p>
              </w:tc>
            </w:tr>
            <w:tr w:rsidR="00BA4F92" w:rsidRPr="00A91CFF" w14:paraId="496C3691" w14:textId="77777777" w:rsidTr="0088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shd w:val="clear" w:color="000000" w:fill="F2F2F2"/>
                  <w:hideMark/>
                </w:tcPr>
                <w:p w14:paraId="780AF6CA" w14:textId="42B4DD9E"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Prof</w:t>
                  </w:r>
                  <w:r w:rsidR="002502FE">
                    <w:rPr>
                      <w:rFonts w:ascii="Arial (Body)" w:hAnsi="Arial (Body)"/>
                      <w:color w:val="auto"/>
                    </w:rPr>
                    <w:t>.</w:t>
                  </w:r>
                  <w:r w:rsidRPr="00772D6B">
                    <w:rPr>
                      <w:rFonts w:ascii="Arial (Body)" w:hAnsi="Arial (Body)"/>
                      <w:color w:val="auto"/>
                    </w:rPr>
                    <w:t xml:space="preserve"> Karen Thorpe</w:t>
                  </w:r>
                </w:p>
              </w:tc>
              <w:tc>
                <w:tcPr>
                  <w:tcW w:w="6236" w:type="dxa"/>
                  <w:tcBorders>
                    <w:bottom w:val="nil"/>
                  </w:tcBorders>
                  <w:shd w:val="clear" w:color="000000" w:fill="F2F2F2"/>
                  <w:hideMark/>
                </w:tcPr>
                <w:p w14:paraId="57AAAAED" w14:textId="77777777" w:rsidR="00BA4F92" w:rsidRPr="00AF7FDF" w:rsidRDefault="00BA4F92" w:rsidP="00882158">
                  <w:pPr>
                    <w:pStyle w:val="TableHeading"/>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 xml:space="preserve">Queensland Brain </w:t>
                  </w:r>
                  <w:r w:rsidRPr="00AF7FDF">
                    <w:rPr>
                      <w:rFonts w:ascii="Arial (Body)" w:hAnsi="Arial (Body)"/>
                      <w:b w:val="0"/>
                      <w:color w:val="000000"/>
                    </w:rPr>
                    <w:t>Institute, University of Queensland</w:t>
                  </w:r>
                </w:p>
              </w:tc>
            </w:tr>
            <w:tr w:rsidR="00BA4F92" w:rsidRPr="00A91CFF" w14:paraId="3513F886" w14:textId="77777777" w:rsidTr="00882158">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000000" w:fill="auto"/>
                  <w:hideMark/>
                </w:tcPr>
                <w:p w14:paraId="577624CD" w14:textId="500FBA5D"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Prof</w:t>
                  </w:r>
                  <w:r w:rsidR="002502FE">
                    <w:rPr>
                      <w:rFonts w:ascii="Arial (Body)" w:hAnsi="Arial (Body)"/>
                      <w:color w:val="auto"/>
                    </w:rPr>
                    <w:t>.</w:t>
                  </w:r>
                  <w:r w:rsidRPr="00772D6B">
                    <w:rPr>
                      <w:rFonts w:ascii="Arial (Body)" w:hAnsi="Arial (Body)"/>
                      <w:color w:val="auto"/>
                    </w:rPr>
                    <w:t xml:space="preserve"> Linda Harrison</w:t>
                  </w:r>
                </w:p>
              </w:tc>
              <w:tc>
                <w:tcPr>
                  <w:tcW w:w="6236" w:type="dxa"/>
                  <w:tcBorders>
                    <w:top w:val="nil"/>
                    <w:bottom w:val="nil"/>
                  </w:tcBorders>
                  <w:shd w:val="clear" w:color="000000" w:fill="auto"/>
                  <w:hideMark/>
                </w:tcPr>
                <w:p w14:paraId="6A6EBB4A" w14:textId="77777777" w:rsidR="00BA4F92" w:rsidRPr="00AF7FDF" w:rsidRDefault="00BA4F92" w:rsidP="00882158">
                  <w:pPr>
                    <w:pStyle w:val="TableHeading"/>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Macquarie School of Education</w:t>
                  </w:r>
                </w:p>
              </w:tc>
            </w:tr>
            <w:tr w:rsidR="00BA4F92" w:rsidRPr="00A91CFF" w14:paraId="3B7FD554" w14:textId="77777777" w:rsidTr="0088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shd w:val="clear" w:color="000000" w:fill="F2F2F2"/>
                  <w:hideMark/>
                </w:tcPr>
                <w:p w14:paraId="5A320312" w14:textId="77777777"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Myra Geddes</w:t>
                  </w:r>
                </w:p>
              </w:tc>
              <w:tc>
                <w:tcPr>
                  <w:tcW w:w="6236" w:type="dxa"/>
                  <w:tcBorders>
                    <w:bottom w:val="nil"/>
                  </w:tcBorders>
                  <w:shd w:val="clear" w:color="000000" w:fill="F2F2F2"/>
                  <w:hideMark/>
                </w:tcPr>
                <w:p w14:paraId="4BACB3F0" w14:textId="77777777" w:rsidR="00BA4F92" w:rsidRPr="00AF7FDF" w:rsidRDefault="00BA4F92" w:rsidP="00882158">
                  <w:pPr>
                    <w:pStyle w:val="TableHeading"/>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General Manager – Social Impact, Goodstart Early Learning</w:t>
                  </w:r>
                </w:p>
              </w:tc>
            </w:tr>
            <w:tr w:rsidR="00BA4F92" w:rsidRPr="00A91CFF" w14:paraId="4B7BA470" w14:textId="77777777" w:rsidTr="00882158">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shd w:val="clear" w:color="000000" w:fill="auto"/>
                  <w:hideMark/>
                </w:tcPr>
                <w:p w14:paraId="3227DADF" w14:textId="6D86AE61"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Prof</w:t>
                  </w:r>
                  <w:r w:rsidR="002502FE">
                    <w:rPr>
                      <w:rFonts w:ascii="Arial (Body)" w:hAnsi="Arial (Body)"/>
                      <w:color w:val="auto"/>
                    </w:rPr>
                    <w:t>.</w:t>
                  </w:r>
                  <w:r w:rsidRPr="00772D6B">
                    <w:rPr>
                      <w:rFonts w:ascii="Arial (Body)" w:hAnsi="Arial (Body)"/>
                      <w:color w:val="auto"/>
                    </w:rPr>
                    <w:t xml:space="preserve"> Sally Brinkman</w:t>
                  </w:r>
                </w:p>
              </w:tc>
              <w:tc>
                <w:tcPr>
                  <w:tcW w:w="6236" w:type="dxa"/>
                  <w:tcBorders>
                    <w:top w:val="nil"/>
                    <w:bottom w:val="nil"/>
                  </w:tcBorders>
                  <w:shd w:val="clear" w:color="000000" w:fill="auto"/>
                  <w:hideMark/>
                </w:tcPr>
                <w:p w14:paraId="3E04714E" w14:textId="77777777" w:rsidR="00BA4F92" w:rsidRPr="00AF7FDF" w:rsidRDefault="00BA4F92" w:rsidP="00882158">
                  <w:pPr>
                    <w:pStyle w:val="TableHeading"/>
                    <w:spacing w:before="45" w:after="45"/>
                    <w:ind w:right="108"/>
                    <w:cnfStyle w:val="000000000000" w:firstRow="0" w:lastRow="0" w:firstColumn="0" w:lastColumn="0" w:oddVBand="0" w:evenVBand="0" w:oddHBand="0"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UniSA, Education Futures</w:t>
                  </w:r>
                </w:p>
              </w:tc>
            </w:tr>
            <w:tr w:rsidR="00BA4F92" w:rsidRPr="00A91CFF" w14:paraId="5B8CCB5E" w14:textId="77777777" w:rsidTr="0088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shd w:val="clear" w:color="000000" w:fill="F2F2F2"/>
                  <w:hideMark/>
                </w:tcPr>
                <w:p w14:paraId="61603421" w14:textId="4E685ABC" w:rsidR="00BA4F92" w:rsidRPr="009677EA" w:rsidRDefault="00BA4F92" w:rsidP="00882158">
                  <w:pPr>
                    <w:pStyle w:val="TableHeading"/>
                    <w:spacing w:before="45" w:after="45"/>
                    <w:ind w:right="108"/>
                    <w:rPr>
                      <w:rFonts w:ascii="Arial (Body)" w:hAnsi="Arial (Body)"/>
                      <w:b/>
                      <w:color w:val="auto"/>
                    </w:rPr>
                  </w:pPr>
                  <w:r w:rsidRPr="00772D6B">
                    <w:rPr>
                      <w:rFonts w:ascii="Arial (Body)" w:hAnsi="Arial (Body)"/>
                      <w:color w:val="auto"/>
                    </w:rPr>
                    <w:t>Prof</w:t>
                  </w:r>
                  <w:r w:rsidR="002502FE">
                    <w:rPr>
                      <w:rFonts w:ascii="Arial (Body)" w:hAnsi="Arial (Body)"/>
                      <w:color w:val="auto"/>
                    </w:rPr>
                    <w:t>.</w:t>
                  </w:r>
                  <w:r w:rsidRPr="00772D6B">
                    <w:rPr>
                      <w:rFonts w:ascii="Arial (Body)" w:hAnsi="Arial (Body)"/>
                      <w:color w:val="auto"/>
                    </w:rPr>
                    <w:t xml:space="preserve"> Sharon Goldfeld</w:t>
                  </w:r>
                </w:p>
              </w:tc>
              <w:tc>
                <w:tcPr>
                  <w:tcW w:w="6236" w:type="dxa"/>
                  <w:tcBorders>
                    <w:bottom w:val="nil"/>
                  </w:tcBorders>
                  <w:shd w:val="clear" w:color="000000" w:fill="F2F2F2"/>
                  <w:hideMark/>
                </w:tcPr>
                <w:p w14:paraId="42BCAEDA" w14:textId="77777777" w:rsidR="00BA4F92" w:rsidRPr="00AF7FDF" w:rsidRDefault="00BA4F92" w:rsidP="00882158">
                  <w:pPr>
                    <w:pStyle w:val="TableHeading"/>
                    <w:spacing w:before="45" w:after="45"/>
                    <w:ind w:right="108"/>
                    <w:cnfStyle w:val="000000100000" w:firstRow="0" w:lastRow="0" w:firstColumn="0" w:lastColumn="0" w:oddVBand="0" w:evenVBand="0" w:oddHBand="1" w:evenHBand="0" w:firstRowFirstColumn="0" w:firstRowLastColumn="0" w:lastRowFirstColumn="0" w:lastRowLastColumn="0"/>
                    <w:rPr>
                      <w:rFonts w:ascii="Arial (Body)" w:hAnsi="Arial (Body)"/>
                      <w:b w:val="0"/>
                      <w:color w:val="000000"/>
                    </w:rPr>
                  </w:pPr>
                  <w:r w:rsidRPr="00AF7FDF">
                    <w:rPr>
                      <w:rFonts w:ascii="Arial (Body)" w:hAnsi="Arial (Body)"/>
                      <w:b w:val="0"/>
                      <w:color w:val="auto"/>
                    </w:rPr>
                    <w:t xml:space="preserve">Director, Centre for </w:t>
                  </w:r>
                  <w:r w:rsidRPr="00AF7FDF">
                    <w:rPr>
                      <w:rFonts w:ascii="Arial (Body)" w:hAnsi="Arial (Body)"/>
                      <w:b w:val="0"/>
                      <w:color w:val="000000"/>
                    </w:rPr>
                    <w:t>Community Child Health and Theme Director, Population Health at the Murdoch Children’s Research Institute</w:t>
                  </w:r>
                </w:p>
              </w:tc>
            </w:tr>
            <w:tr w:rsidR="00BA4F92" w:rsidRPr="00A91CFF" w14:paraId="757336FA" w14:textId="77777777" w:rsidTr="00882158">
              <w:tc>
                <w:tcPr>
                  <w:cnfStyle w:val="001000000000" w:firstRow="0" w:lastRow="0" w:firstColumn="1" w:lastColumn="0" w:oddVBand="0" w:evenVBand="0" w:oddHBand="0" w:evenHBand="0" w:firstRowFirstColumn="0" w:firstRowLastColumn="0" w:lastRowFirstColumn="0" w:lastRowLastColumn="0"/>
                  <w:tcW w:w="3402" w:type="dxa"/>
                  <w:tcBorders>
                    <w:top w:val="nil"/>
                  </w:tcBorders>
                  <w:shd w:val="clear" w:color="000000" w:fill="auto"/>
                </w:tcPr>
                <w:p w14:paraId="4362BDC0" w14:textId="77777777" w:rsidR="00BA4F92" w:rsidRPr="00A91CFF" w:rsidRDefault="00BA4F92" w:rsidP="00882158">
                  <w:pPr>
                    <w:pStyle w:val="Heading2"/>
                    <w:numPr>
                      <w:ilvl w:val="0"/>
                      <w:numId w:val="0"/>
                    </w:numPr>
                    <w:spacing w:before="45" w:after="45"/>
                    <w:ind w:left="57" w:right="108"/>
                    <w:rPr>
                      <w:rFonts w:ascii="Arial (Body)" w:hAnsi="Arial (Body)" w:hint="eastAsia"/>
                      <w:bCs/>
                      <w:color w:val="265A9A"/>
                      <w:sz w:val="18"/>
                    </w:rPr>
                  </w:pPr>
                </w:p>
              </w:tc>
              <w:tc>
                <w:tcPr>
                  <w:tcW w:w="6236" w:type="dxa"/>
                  <w:tcBorders>
                    <w:top w:val="nil"/>
                  </w:tcBorders>
                  <w:shd w:val="clear" w:color="000000" w:fill="auto"/>
                </w:tcPr>
                <w:p w14:paraId="3E16381B" w14:textId="77777777" w:rsidR="00BA4F92" w:rsidRPr="00D01C74" w:rsidRDefault="00BA4F92" w:rsidP="00882158">
                  <w:pPr>
                    <w:pStyle w:val="Heading2"/>
                    <w:numPr>
                      <w:ilvl w:val="0"/>
                      <w:numId w:val="0"/>
                    </w:numPr>
                    <w:tabs>
                      <w:tab w:val="left" w:pos="1296"/>
                    </w:tabs>
                    <w:spacing w:before="45" w:after="45"/>
                    <w:ind w:left="57" w:right="108"/>
                    <w:cnfStyle w:val="000000000000" w:firstRow="0" w:lastRow="0" w:firstColumn="0" w:lastColumn="0" w:oddVBand="0" w:evenVBand="0" w:oddHBand="0" w:evenHBand="0" w:firstRowFirstColumn="0" w:firstRowLastColumn="0" w:lastRowFirstColumn="0" w:lastRowLastColumn="0"/>
                    <w:rPr>
                      <w:rFonts w:ascii="Arial (Body)" w:hAnsi="Arial (Body)" w:hint="eastAsia"/>
                      <w:b/>
                      <w:color w:val="265A9A"/>
                      <w:sz w:val="18"/>
                    </w:rPr>
                  </w:pPr>
                </w:p>
              </w:tc>
            </w:tr>
          </w:tbl>
          <w:p w14:paraId="6011067C" w14:textId="77777777" w:rsidR="00BA4F92" w:rsidRPr="00FB6FBB" w:rsidRDefault="00BA4F92" w:rsidP="00882158">
            <w:pPr>
              <w:pStyle w:val="TableBody"/>
              <w:spacing w:before="45" w:after="45"/>
              <w:ind w:right="108"/>
              <w:rPr>
                <w:rFonts w:ascii="Arial (Body)" w:hAnsi="Arial (Body)"/>
                <w:b/>
                <w:color w:val="265A9A"/>
              </w:rPr>
            </w:pPr>
          </w:p>
        </w:tc>
      </w:tr>
      <w:tr w:rsidR="00BA4F92" w:rsidRPr="00325426" w14:paraId="1952F746" w14:textId="77777777" w:rsidTr="00882158">
        <w:tc>
          <w:tcPr>
            <w:tcW w:w="9638" w:type="dxa"/>
            <w:gridSpan w:val="3"/>
            <w:tcBorders>
              <w:bottom w:val="nil"/>
            </w:tcBorders>
            <w:shd w:val="clear" w:color="000000" w:fill="F2F2F2"/>
          </w:tcPr>
          <w:p w14:paraId="1BE41DAB" w14:textId="3651525B" w:rsidR="00BA4F92" w:rsidRPr="00325426" w:rsidRDefault="00BA4F92" w:rsidP="00882158">
            <w:pPr>
              <w:pStyle w:val="TableHeading"/>
              <w:spacing w:before="45" w:after="45"/>
              <w:ind w:right="108"/>
              <w:rPr>
                <w:rFonts w:ascii="Arial (Body)" w:hAnsi="Arial (Body)"/>
                <w:color w:val="265A9A"/>
              </w:rPr>
            </w:pPr>
            <w:r w:rsidRPr="00325426">
              <w:rPr>
                <w:rFonts w:ascii="Arial (Body)" w:hAnsi="Arial (Body)"/>
                <w:color w:val="265A9A"/>
              </w:rPr>
              <w:t>3 October 2023</w:t>
            </w:r>
            <w:r w:rsidRPr="009A59F2">
              <w:rPr>
                <w:rFonts w:ascii="Arial (Body)" w:hAnsi="Arial (Body)"/>
                <w:color w:val="265A9A"/>
              </w:rPr>
              <w:t xml:space="preserve"> – Modelling Workshop</w:t>
            </w:r>
          </w:p>
        </w:tc>
      </w:tr>
      <w:tr w:rsidR="00BA4F92" w:rsidRPr="00325426" w14:paraId="51D2F714" w14:textId="77777777" w:rsidTr="00882158">
        <w:tc>
          <w:tcPr>
            <w:tcW w:w="9638" w:type="dxa"/>
            <w:gridSpan w:val="3"/>
            <w:tcBorders>
              <w:top w:val="nil"/>
              <w:bottom w:val="nil"/>
            </w:tcBorders>
            <w:shd w:val="clear" w:color="000000" w:fill="auto"/>
          </w:tcPr>
          <w:p w14:paraId="1EE4FD37"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Australian Bureau of Statistics (ABS)</w:t>
            </w:r>
          </w:p>
        </w:tc>
      </w:tr>
      <w:tr w:rsidR="00BA4F92" w:rsidRPr="00325426" w14:paraId="130775F9" w14:textId="77777777" w:rsidTr="00882158">
        <w:tc>
          <w:tcPr>
            <w:tcW w:w="9638" w:type="dxa"/>
            <w:gridSpan w:val="3"/>
            <w:tcBorders>
              <w:bottom w:val="nil"/>
            </w:tcBorders>
            <w:shd w:val="clear" w:color="000000" w:fill="F2F2F2"/>
          </w:tcPr>
          <w:p w14:paraId="255D9AC6"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Australian Competition and Consumer Commission (ACCC)</w:t>
            </w:r>
          </w:p>
        </w:tc>
      </w:tr>
      <w:tr w:rsidR="00BA4F92" w:rsidRPr="00325426" w14:paraId="287F1A2D" w14:textId="77777777" w:rsidTr="00882158">
        <w:tc>
          <w:tcPr>
            <w:tcW w:w="9638" w:type="dxa"/>
            <w:gridSpan w:val="3"/>
            <w:tcBorders>
              <w:top w:val="nil"/>
              <w:bottom w:val="nil"/>
            </w:tcBorders>
            <w:shd w:val="clear" w:color="000000" w:fill="auto"/>
          </w:tcPr>
          <w:p w14:paraId="20459558" w14:textId="1C73EFC2" w:rsidR="00BA4F92" w:rsidRPr="00325426" w:rsidRDefault="00170B4D" w:rsidP="00882158">
            <w:pPr>
              <w:pStyle w:val="TableHeading"/>
              <w:spacing w:before="45" w:after="45"/>
              <w:ind w:right="108"/>
              <w:rPr>
                <w:rFonts w:ascii="Arial (Body)" w:hAnsi="Arial (Body)"/>
                <w:bCs/>
              </w:rPr>
            </w:pPr>
            <w:r>
              <w:rPr>
                <w:rFonts w:ascii="Arial (Body)" w:hAnsi="Arial (Body)"/>
                <w:b w:val="0"/>
                <w:color w:val="auto"/>
              </w:rPr>
              <w:t>Assoc. Prof. Ben Phillips (</w:t>
            </w:r>
            <w:r w:rsidR="00BA4F92" w:rsidRPr="009A59F2">
              <w:rPr>
                <w:rFonts w:ascii="Arial (Body)" w:hAnsi="Arial (Body)"/>
                <w:b w:val="0"/>
                <w:color w:val="auto"/>
              </w:rPr>
              <w:t>Centre for Social Research and Methods</w:t>
            </w:r>
            <w:r w:rsidR="00161D80">
              <w:rPr>
                <w:rFonts w:ascii="Arial (Body)" w:hAnsi="Arial (Body)"/>
                <w:b w:val="0"/>
                <w:color w:val="auto"/>
              </w:rPr>
              <w:t xml:space="preserve"> (</w:t>
            </w:r>
            <w:r w:rsidR="00BA4F92" w:rsidRPr="009A59F2">
              <w:rPr>
                <w:rFonts w:ascii="Arial (Body)" w:hAnsi="Arial (Body)"/>
                <w:b w:val="0"/>
                <w:color w:val="auto"/>
              </w:rPr>
              <w:t>ANU</w:t>
            </w:r>
            <w:r w:rsidR="00161D80">
              <w:rPr>
                <w:rFonts w:ascii="Arial (Body)" w:hAnsi="Arial (Body)"/>
                <w:b w:val="0"/>
                <w:color w:val="auto"/>
              </w:rPr>
              <w:t>)</w:t>
            </w:r>
            <w:r>
              <w:rPr>
                <w:rFonts w:ascii="Arial (Body)" w:hAnsi="Arial (Body)"/>
                <w:b w:val="0"/>
                <w:color w:val="auto"/>
              </w:rPr>
              <w:t>)</w:t>
            </w:r>
          </w:p>
        </w:tc>
      </w:tr>
      <w:tr w:rsidR="00BA4F92" w:rsidRPr="00325426" w14:paraId="5EA928AC" w14:textId="77777777" w:rsidTr="00882158">
        <w:tc>
          <w:tcPr>
            <w:tcW w:w="9638" w:type="dxa"/>
            <w:gridSpan w:val="3"/>
            <w:tcBorders>
              <w:bottom w:val="nil"/>
            </w:tcBorders>
            <w:shd w:val="clear" w:color="000000" w:fill="F2F2F2"/>
          </w:tcPr>
          <w:p w14:paraId="2F1BF595" w14:textId="134D1054" w:rsidR="00BA4F92" w:rsidRPr="00325426" w:rsidRDefault="00910986" w:rsidP="00882158">
            <w:pPr>
              <w:pStyle w:val="TableHeading"/>
              <w:spacing w:before="45" w:after="45"/>
              <w:ind w:right="108"/>
              <w:rPr>
                <w:rFonts w:ascii="Arial (Body)" w:hAnsi="Arial (Body)"/>
                <w:bCs/>
              </w:rPr>
            </w:pPr>
            <w:r>
              <w:rPr>
                <w:rFonts w:ascii="Arial (Body)" w:hAnsi="Arial (Body)"/>
                <w:b w:val="0"/>
                <w:color w:val="auto"/>
              </w:rPr>
              <w:t>Emer</w:t>
            </w:r>
            <w:r w:rsidR="00170B4D">
              <w:rPr>
                <w:rFonts w:ascii="Arial (Body)" w:hAnsi="Arial (Body)"/>
                <w:b w:val="0"/>
                <w:color w:val="auto"/>
              </w:rPr>
              <w:t>itus Prof. Siobhan Austen (</w:t>
            </w:r>
            <w:r w:rsidR="00BA4F92" w:rsidRPr="009A59F2">
              <w:rPr>
                <w:rFonts w:ascii="Arial (Body)" w:hAnsi="Arial (Body)"/>
                <w:b w:val="0"/>
                <w:color w:val="auto"/>
              </w:rPr>
              <w:t>Curtin Business School</w:t>
            </w:r>
            <w:r w:rsidR="00170B4D">
              <w:rPr>
                <w:rFonts w:ascii="Arial (Body)" w:hAnsi="Arial (Body)"/>
                <w:b w:val="0"/>
                <w:color w:val="auto"/>
              </w:rPr>
              <w:t>)</w:t>
            </w:r>
          </w:p>
        </w:tc>
      </w:tr>
      <w:tr w:rsidR="00BA4F92" w:rsidRPr="00325426" w14:paraId="4444C6C7" w14:textId="77777777" w:rsidTr="00882158">
        <w:tc>
          <w:tcPr>
            <w:tcW w:w="9638" w:type="dxa"/>
            <w:gridSpan w:val="3"/>
            <w:tcBorders>
              <w:top w:val="nil"/>
              <w:bottom w:val="nil"/>
            </w:tcBorders>
            <w:shd w:val="clear" w:color="000000" w:fill="auto"/>
          </w:tcPr>
          <w:p w14:paraId="1A8A3CA2" w14:textId="3EED62F7" w:rsidR="00BA4F92" w:rsidRPr="00325426" w:rsidRDefault="00A46016" w:rsidP="00882158">
            <w:pPr>
              <w:pStyle w:val="TableHeading"/>
              <w:spacing w:before="45" w:after="45"/>
              <w:ind w:right="108"/>
              <w:rPr>
                <w:rFonts w:ascii="Arial (Body)" w:hAnsi="Arial (Body)"/>
                <w:bCs/>
              </w:rPr>
            </w:pPr>
            <w:r>
              <w:rPr>
                <w:rFonts w:ascii="Arial (Body)" w:hAnsi="Arial (Body)"/>
                <w:b w:val="0"/>
                <w:color w:val="auto"/>
              </w:rPr>
              <w:t xml:space="preserve">Australian Government </w:t>
            </w:r>
            <w:r w:rsidR="00BA4F92" w:rsidRPr="009A59F2">
              <w:rPr>
                <w:rFonts w:ascii="Arial (Body)" w:hAnsi="Arial (Body)"/>
                <w:b w:val="0"/>
                <w:color w:val="auto"/>
              </w:rPr>
              <w:t>Department of Education</w:t>
            </w:r>
          </w:p>
        </w:tc>
      </w:tr>
      <w:tr w:rsidR="00BA4F92" w:rsidRPr="009A59F2" w14:paraId="6892C42B" w14:textId="77777777" w:rsidTr="00882158">
        <w:tc>
          <w:tcPr>
            <w:tcW w:w="9638" w:type="dxa"/>
            <w:gridSpan w:val="3"/>
            <w:tcBorders>
              <w:bottom w:val="nil"/>
            </w:tcBorders>
            <w:shd w:val="clear" w:color="000000" w:fill="F2F2F2"/>
          </w:tcPr>
          <w:p w14:paraId="1D8A956A" w14:textId="77777777" w:rsidR="00BA4F92" w:rsidRPr="009A59F2" w:rsidRDefault="00BA4F92" w:rsidP="00882158">
            <w:pPr>
              <w:pStyle w:val="TableHeading"/>
              <w:spacing w:before="45" w:after="45"/>
              <w:ind w:right="108"/>
              <w:rPr>
                <w:rFonts w:ascii="Arial (Body)" w:hAnsi="Arial (Body)"/>
                <w:bCs/>
              </w:rPr>
            </w:pPr>
            <w:r w:rsidRPr="009A59F2">
              <w:rPr>
                <w:rFonts w:ascii="Arial (Body)" w:hAnsi="Arial (Body)"/>
                <w:b w:val="0"/>
                <w:bCs/>
                <w:color w:val="auto"/>
              </w:rPr>
              <w:t>Department of Employment and Workplace Relations (DEWR)</w:t>
            </w:r>
          </w:p>
        </w:tc>
      </w:tr>
      <w:tr w:rsidR="00BA4F92" w:rsidRPr="00325426" w14:paraId="048B117E" w14:textId="77777777" w:rsidTr="00882158">
        <w:tc>
          <w:tcPr>
            <w:tcW w:w="9638" w:type="dxa"/>
            <w:gridSpan w:val="3"/>
            <w:tcBorders>
              <w:top w:val="nil"/>
              <w:bottom w:val="nil"/>
            </w:tcBorders>
            <w:shd w:val="clear" w:color="000000" w:fill="auto"/>
          </w:tcPr>
          <w:p w14:paraId="617C9C75" w14:textId="62442D62" w:rsidR="00BA4F92" w:rsidRPr="00325426" w:rsidRDefault="00C85A43" w:rsidP="00882158">
            <w:pPr>
              <w:pStyle w:val="TableHeading"/>
              <w:spacing w:before="45" w:after="45"/>
              <w:ind w:right="108"/>
              <w:rPr>
                <w:rFonts w:ascii="Arial (Body)" w:hAnsi="Arial (Body)"/>
                <w:bCs/>
              </w:rPr>
            </w:pPr>
            <w:r>
              <w:rPr>
                <w:rFonts w:ascii="Arial (Body)" w:hAnsi="Arial (Body)"/>
                <w:b w:val="0"/>
                <w:color w:val="auto"/>
              </w:rPr>
              <w:t>Dr Angela Jackson (</w:t>
            </w:r>
            <w:r w:rsidR="00BA4F92" w:rsidRPr="009A59F2">
              <w:rPr>
                <w:rFonts w:ascii="Arial (Body)" w:hAnsi="Arial (Body)"/>
                <w:b w:val="0"/>
                <w:color w:val="auto"/>
              </w:rPr>
              <w:t>Impact Economics and Policy</w:t>
            </w:r>
            <w:r>
              <w:rPr>
                <w:rFonts w:ascii="Arial (Body)" w:hAnsi="Arial (Body)"/>
                <w:b w:val="0"/>
                <w:color w:val="auto"/>
              </w:rPr>
              <w:t>)</w:t>
            </w:r>
          </w:p>
        </w:tc>
      </w:tr>
      <w:tr w:rsidR="00BA4F92" w:rsidRPr="00325426" w14:paraId="13CF2761" w14:textId="77777777" w:rsidTr="00882158">
        <w:tc>
          <w:tcPr>
            <w:tcW w:w="9638" w:type="dxa"/>
            <w:gridSpan w:val="3"/>
            <w:tcBorders>
              <w:bottom w:val="nil"/>
            </w:tcBorders>
            <w:shd w:val="clear" w:color="000000" w:fill="F2F2F2"/>
          </w:tcPr>
          <w:p w14:paraId="662AD235"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NSW Productivity Commission</w:t>
            </w:r>
          </w:p>
        </w:tc>
      </w:tr>
      <w:tr w:rsidR="00BA4F92" w:rsidRPr="00325426" w14:paraId="1603C20B" w14:textId="77777777" w:rsidTr="00882158">
        <w:tc>
          <w:tcPr>
            <w:tcW w:w="9638" w:type="dxa"/>
            <w:gridSpan w:val="3"/>
            <w:tcBorders>
              <w:top w:val="nil"/>
              <w:bottom w:val="nil"/>
            </w:tcBorders>
            <w:shd w:val="clear" w:color="000000" w:fill="auto"/>
          </w:tcPr>
          <w:p w14:paraId="0D266BD7"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Owain Emslie</w:t>
            </w:r>
          </w:p>
        </w:tc>
      </w:tr>
      <w:tr w:rsidR="00BA4F92" w:rsidRPr="00325426" w14:paraId="5E2E7553" w14:textId="77777777" w:rsidTr="00882158">
        <w:tc>
          <w:tcPr>
            <w:tcW w:w="9638" w:type="dxa"/>
            <w:gridSpan w:val="3"/>
            <w:tcBorders>
              <w:bottom w:val="nil"/>
            </w:tcBorders>
            <w:shd w:val="clear" w:color="000000" w:fill="F2F2F2"/>
          </w:tcPr>
          <w:p w14:paraId="2937D68C" w14:textId="6334575E" w:rsidR="00BA4F92" w:rsidRPr="00325426" w:rsidRDefault="00821C11" w:rsidP="00882158">
            <w:pPr>
              <w:pStyle w:val="TableHeading"/>
              <w:spacing w:before="45" w:after="45"/>
              <w:ind w:right="108"/>
              <w:rPr>
                <w:rFonts w:ascii="Arial (Body)" w:hAnsi="Arial (Body)"/>
                <w:bCs/>
              </w:rPr>
            </w:pPr>
            <w:r>
              <w:rPr>
                <w:rFonts w:ascii="Arial (Body)" w:hAnsi="Arial (Body)"/>
                <w:b w:val="0"/>
                <w:color w:val="auto"/>
              </w:rPr>
              <w:t>Tim Murray (</w:t>
            </w:r>
            <w:r w:rsidR="00BA4F92" w:rsidRPr="009A59F2">
              <w:rPr>
                <w:rFonts w:ascii="Arial (Body)" w:hAnsi="Arial (Body)"/>
                <w:b w:val="0"/>
                <w:color w:val="auto"/>
              </w:rPr>
              <w:t>Precision Economics</w:t>
            </w:r>
            <w:r>
              <w:rPr>
                <w:rFonts w:ascii="Arial (Body)" w:hAnsi="Arial (Body)"/>
                <w:b w:val="0"/>
                <w:color w:val="auto"/>
              </w:rPr>
              <w:t>)</w:t>
            </w:r>
          </w:p>
        </w:tc>
      </w:tr>
      <w:tr w:rsidR="00BA4F92" w:rsidRPr="00325426" w14:paraId="416EBD47" w14:textId="77777777" w:rsidTr="00882158">
        <w:tc>
          <w:tcPr>
            <w:tcW w:w="9638" w:type="dxa"/>
            <w:gridSpan w:val="3"/>
            <w:tcBorders>
              <w:top w:val="nil"/>
              <w:bottom w:val="nil"/>
            </w:tcBorders>
            <w:shd w:val="clear" w:color="000000" w:fill="auto"/>
          </w:tcPr>
          <w:p w14:paraId="3757E165" w14:textId="5B8D6382" w:rsidR="00BA4F92" w:rsidRPr="00325426" w:rsidRDefault="00C85A43" w:rsidP="00882158">
            <w:pPr>
              <w:pStyle w:val="TableHeading"/>
              <w:spacing w:before="45" w:after="45"/>
              <w:ind w:right="108"/>
              <w:rPr>
                <w:rFonts w:ascii="Arial (Body)" w:hAnsi="Arial (Body)"/>
                <w:bCs/>
              </w:rPr>
            </w:pPr>
            <w:r>
              <w:rPr>
                <w:rFonts w:ascii="Arial (Body)" w:hAnsi="Arial (Body)"/>
                <w:b w:val="0"/>
                <w:color w:val="auto"/>
              </w:rPr>
              <w:t>Prof. Robert Breunig (</w:t>
            </w:r>
            <w:r w:rsidR="00BA4F92" w:rsidRPr="009A59F2">
              <w:rPr>
                <w:rFonts w:ascii="Arial (Body)" w:hAnsi="Arial (Body)"/>
                <w:b w:val="0"/>
                <w:color w:val="auto"/>
              </w:rPr>
              <w:t>Tax and Transfer Policy Institute (ANU)</w:t>
            </w:r>
            <w:r>
              <w:rPr>
                <w:rFonts w:ascii="Arial (Body)" w:hAnsi="Arial (Body)"/>
                <w:b w:val="0"/>
                <w:color w:val="auto"/>
              </w:rPr>
              <w:t>)</w:t>
            </w:r>
          </w:p>
        </w:tc>
      </w:tr>
      <w:tr w:rsidR="00BA4F92" w:rsidRPr="00325426" w14:paraId="12F64F31" w14:textId="77777777" w:rsidTr="00882158">
        <w:tc>
          <w:tcPr>
            <w:tcW w:w="9638" w:type="dxa"/>
            <w:gridSpan w:val="3"/>
            <w:tcBorders>
              <w:bottom w:val="nil"/>
            </w:tcBorders>
            <w:shd w:val="clear" w:color="000000" w:fill="F2F2F2"/>
          </w:tcPr>
          <w:p w14:paraId="5060219C" w14:textId="77777777" w:rsidR="00BA4F92" w:rsidRPr="00325426" w:rsidRDefault="00BA4F92" w:rsidP="00882158">
            <w:pPr>
              <w:pStyle w:val="TableHeading"/>
              <w:spacing w:before="45" w:after="45"/>
              <w:ind w:right="108"/>
              <w:rPr>
                <w:rFonts w:ascii="Arial (Body)" w:hAnsi="Arial (Body)"/>
                <w:bCs/>
              </w:rPr>
            </w:pPr>
            <w:r w:rsidRPr="009A59F2">
              <w:rPr>
                <w:rFonts w:ascii="Arial (Body)" w:hAnsi="Arial (Body)"/>
                <w:b w:val="0"/>
                <w:color w:val="auto"/>
              </w:rPr>
              <w:t>Treasury</w:t>
            </w:r>
          </w:p>
        </w:tc>
      </w:tr>
      <w:tr w:rsidR="00BA4F92" w:rsidRPr="00325426" w14:paraId="18C98F2E" w14:textId="77777777" w:rsidTr="00882158">
        <w:tc>
          <w:tcPr>
            <w:tcW w:w="9638" w:type="dxa"/>
            <w:gridSpan w:val="3"/>
            <w:tcBorders>
              <w:top w:val="nil"/>
              <w:bottom w:val="nil"/>
            </w:tcBorders>
            <w:shd w:val="clear" w:color="000000" w:fill="auto"/>
          </w:tcPr>
          <w:p w14:paraId="0E48C566" w14:textId="0D9374AE" w:rsidR="00BA4F92" w:rsidRPr="00325426" w:rsidRDefault="00170B4D" w:rsidP="00882158">
            <w:pPr>
              <w:pStyle w:val="TableHeading"/>
              <w:spacing w:before="45" w:after="45"/>
              <w:ind w:right="108"/>
              <w:rPr>
                <w:rFonts w:ascii="Arial (Body)" w:hAnsi="Arial (Body)"/>
                <w:bCs/>
              </w:rPr>
            </w:pPr>
            <w:r>
              <w:rPr>
                <w:rFonts w:ascii="Arial (Body)" w:hAnsi="Arial (Body)"/>
                <w:b w:val="0"/>
                <w:color w:val="auto"/>
              </w:rPr>
              <w:t>Prof. Patricia Apps (</w:t>
            </w:r>
            <w:r w:rsidR="00BA4F92" w:rsidRPr="009A59F2">
              <w:rPr>
                <w:rFonts w:ascii="Arial (Body)" w:hAnsi="Arial (Body)"/>
                <w:b w:val="0"/>
                <w:color w:val="auto"/>
              </w:rPr>
              <w:t>University of Sydney</w:t>
            </w:r>
            <w:r>
              <w:rPr>
                <w:rFonts w:ascii="Arial (Body)" w:hAnsi="Arial (Body)"/>
                <w:b w:val="0"/>
                <w:color w:val="auto"/>
              </w:rPr>
              <w:t>)</w:t>
            </w:r>
          </w:p>
        </w:tc>
      </w:tr>
    </w:tbl>
    <w:p w14:paraId="185623B8" w14:textId="77777777" w:rsidR="00BA4F92" w:rsidRDefault="00BA4F92" w:rsidP="00882158">
      <w:pPr>
        <w:pStyle w:val="Source"/>
      </w:pPr>
    </w:p>
    <w:p w14:paraId="3BA514D9" w14:textId="77777777" w:rsidR="00BA4F92" w:rsidRPr="00EB637B" w:rsidRDefault="00BA4F92" w:rsidP="00882158">
      <w:pPr>
        <w:pStyle w:val="BodyText"/>
      </w:pPr>
    </w:p>
    <w:p w14:paraId="471D9BDA" w14:textId="77777777" w:rsidR="00BA4F92" w:rsidRDefault="00BA4F92" w:rsidP="00882158">
      <w:pPr>
        <w:pStyle w:val="BodyText"/>
      </w:pPr>
      <w:r>
        <w:br w:type="page"/>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A4F92" w:rsidRPr="00C8177A" w14:paraId="0C4CC28B" w14:textId="77777777" w:rsidTr="00882158">
        <w:trPr>
          <w:tblHeader/>
        </w:trPr>
        <w:tc>
          <w:tcPr>
            <w:tcW w:w="3212" w:type="dxa"/>
            <w:tcBorders>
              <w:bottom w:val="single" w:sz="4" w:space="0" w:color="B3B3B3"/>
            </w:tcBorders>
            <w:shd w:val="clear" w:color="000000" w:fill="auto"/>
            <w:vAlign w:val="bottom"/>
          </w:tcPr>
          <w:p w14:paraId="55F0DDED" w14:textId="77777777" w:rsidR="00BA4F92" w:rsidRPr="00C8177A" w:rsidRDefault="00BA4F92" w:rsidP="00882158">
            <w:pPr>
              <w:spacing w:before="45" w:after="45"/>
              <w:ind w:left="57" w:right="108"/>
              <w:rPr>
                <w:rFonts w:ascii="Arial (Body)" w:hAnsi="Arial (Body)"/>
                <w:b/>
                <w:color w:val="265A9A"/>
                <w:sz w:val="18"/>
              </w:rPr>
            </w:pPr>
            <w:r w:rsidRPr="00C8177A">
              <w:rPr>
                <w:rFonts w:ascii="Arial (Body)" w:hAnsi="Arial (Body)"/>
                <w:b/>
                <w:color w:val="265A9A"/>
                <w:sz w:val="18"/>
              </w:rPr>
              <w:lastRenderedPageBreak/>
              <w:t>Participants</w:t>
            </w:r>
          </w:p>
        </w:tc>
        <w:tc>
          <w:tcPr>
            <w:tcW w:w="3213" w:type="dxa"/>
            <w:tcBorders>
              <w:bottom w:val="single" w:sz="4" w:space="0" w:color="B3B3B3"/>
            </w:tcBorders>
            <w:shd w:val="clear" w:color="000000" w:fill="auto"/>
            <w:vAlign w:val="bottom"/>
          </w:tcPr>
          <w:p w14:paraId="147E9DE0" w14:textId="77777777" w:rsidR="00BA4F92" w:rsidRPr="00C8177A" w:rsidRDefault="00BA4F92" w:rsidP="00882158">
            <w:pPr>
              <w:pStyle w:val="TableHeading"/>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587B4682" w14:textId="77777777" w:rsidR="00BA4F92" w:rsidRPr="00C8177A" w:rsidRDefault="00BA4F92" w:rsidP="00882158">
            <w:pPr>
              <w:pStyle w:val="TableHeading"/>
              <w:spacing w:before="45" w:after="45"/>
              <w:ind w:right="108"/>
              <w:rPr>
                <w:rFonts w:ascii="Arial (Body)" w:hAnsi="Arial (Body)"/>
                <w:color w:val="265A9A"/>
              </w:rPr>
            </w:pPr>
          </w:p>
        </w:tc>
      </w:tr>
      <w:tr w:rsidR="00BA4F92" w:rsidRPr="00C8177A" w14:paraId="04DF5CFE" w14:textId="77777777" w:rsidTr="00882158">
        <w:tc>
          <w:tcPr>
            <w:tcW w:w="9638" w:type="dxa"/>
            <w:gridSpan w:val="3"/>
            <w:tcBorders>
              <w:top w:val="single" w:sz="4" w:space="0" w:color="B3B3B3"/>
              <w:bottom w:val="nil"/>
            </w:tcBorders>
            <w:shd w:val="clear" w:color="000000" w:fill="F2F2F2"/>
          </w:tcPr>
          <w:p w14:paraId="77D015C0" w14:textId="77777777" w:rsidR="00BA4F92" w:rsidRPr="00C8177A" w:rsidRDefault="00BA4F92" w:rsidP="00882158">
            <w:pPr>
              <w:pStyle w:val="TableHeading"/>
              <w:spacing w:before="45" w:after="45"/>
              <w:ind w:right="108"/>
              <w:rPr>
                <w:rFonts w:ascii="Arial (Body)" w:hAnsi="Arial (Body)"/>
                <w:color w:val="265A9A"/>
              </w:rPr>
            </w:pPr>
            <w:r w:rsidRPr="00C8177A">
              <w:rPr>
                <w:rFonts w:ascii="Arial (Body)" w:hAnsi="Arial (Body)"/>
                <w:color w:val="265A9A"/>
              </w:rPr>
              <w:t>April 2024 Joint Roundtable with Academy of Social Sciences</w:t>
            </w:r>
          </w:p>
        </w:tc>
      </w:tr>
      <w:tr w:rsidR="00BA4F92" w:rsidRPr="00C8177A" w14:paraId="61BB42BC" w14:textId="77777777" w:rsidTr="00882158">
        <w:tc>
          <w:tcPr>
            <w:tcW w:w="9638" w:type="dxa"/>
            <w:gridSpan w:val="3"/>
            <w:tcBorders>
              <w:top w:val="nil"/>
              <w:bottom w:val="nil"/>
            </w:tcBorders>
            <w:shd w:val="clear" w:color="000000" w:fill="auto"/>
          </w:tcPr>
          <w:p w14:paraId="07FF21AB"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Megan Blaxland</w:t>
            </w:r>
          </w:p>
        </w:tc>
      </w:tr>
      <w:tr w:rsidR="00BA4F92" w:rsidRPr="00C8177A" w14:paraId="4AAC443B" w14:textId="77777777" w:rsidTr="00882158">
        <w:tc>
          <w:tcPr>
            <w:tcW w:w="9638" w:type="dxa"/>
            <w:gridSpan w:val="3"/>
            <w:tcBorders>
              <w:bottom w:val="nil"/>
            </w:tcBorders>
            <w:shd w:val="clear" w:color="000000" w:fill="F2F2F2"/>
          </w:tcPr>
          <w:p w14:paraId="67FC072D"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Jeff Borland (FASSA)</w:t>
            </w:r>
          </w:p>
        </w:tc>
      </w:tr>
      <w:tr w:rsidR="00BA4F92" w:rsidRPr="00C8177A" w14:paraId="35130758" w14:textId="77777777" w:rsidTr="00882158">
        <w:tc>
          <w:tcPr>
            <w:tcW w:w="9638" w:type="dxa"/>
            <w:gridSpan w:val="3"/>
            <w:tcBorders>
              <w:top w:val="nil"/>
              <w:bottom w:val="nil"/>
            </w:tcBorders>
            <w:shd w:val="clear" w:color="000000" w:fill="auto"/>
          </w:tcPr>
          <w:p w14:paraId="4DC26113"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Rob Bray</w:t>
            </w:r>
          </w:p>
        </w:tc>
      </w:tr>
      <w:tr w:rsidR="00BA4F92" w:rsidRPr="00C8177A" w14:paraId="42185A9D" w14:textId="77777777" w:rsidTr="00882158">
        <w:tc>
          <w:tcPr>
            <w:tcW w:w="9638" w:type="dxa"/>
            <w:gridSpan w:val="3"/>
            <w:tcBorders>
              <w:bottom w:val="nil"/>
            </w:tcBorders>
            <w:shd w:val="clear" w:color="000000" w:fill="F2F2F2"/>
          </w:tcPr>
          <w:p w14:paraId="360D94F5"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Mr John Burton</w:t>
            </w:r>
          </w:p>
        </w:tc>
      </w:tr>
      <w:tr w:rsidR="00BA4F92" w:rsidRPr="00C8177A" w14:paraId="61E87C0C" w14:textId="77777777" w:rsidTr="00882158">
        <w:tc>
          <w:tcPr>
            <w:tcW w:w="9638" w:type="dxa"/>
            <w:gridSpan w:val="3"/>
            <w:tcBorders>
              <w:top w:val="nil"/>
              <w:bottom w:val="nil"/>
            </w:tcBorders>
            <w:shd w:val="clear" w:color="000000" w:fill="auto"/>
          </w:tcPr>
          <w:p w14:paraId="3B590A2F"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Mark Considine (AM FASSA)</w:t>
            </w:r>
          </w:p>
        </w:tc>
      </w:tr>
      <w:tr w:rsidR="00BA4F92" w:rsidRPr="00C8177A" w14:paraId="25B54275" w14:textId="77777777" w:rsidTr="00882158">
        <w:tc>
          <w:tcPr>
            <w:tcW w:w="9638" w:type="dxa"/>
            <w:gridSpan w:val="3"/>
            <w:tcBorders>
              <w:bottom w:val="nil"/>
            </w:tcBorders>
            <w:shd w:val="clear" w:color="000000" w:fill="F2F2F2"/>
          </w:tcPr>
          <w:p w14:paraId="2EEBC36F"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Kim Cornish (AM FASSA)</w:t>
            </w:r>
          </w:p>
        </w:tc>
      </w:tr>
      <w:tr w:rsidR="00BA4F92" w:rsidRPr="00C8177A" w14:paraId="1E989D3C" w14:textId="77777777" w:rsidTr="00882158">
        <w:tc>
          <w:tcPr>
            <w:tcW w:w="9638" w:type="dxa"/>
            <w:gridSpan w:val="3"/>
            <w:tcBorders>
              <w:top w:val="nil"/>
              <w:bottom w:val="nil"/>
            </w:tcBorders>
            <w:shd w:val="clear" w:color="000000" w:fill="auto"/>
          </w:tcPr>
          <w:p w14:paraId="35C340C5"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Susan Danby (FASSA)</w:t>
            </w:r>
          </w:p>
        </w:tc>
      </w:tr>
      <w:tr w:rsidR="00BA4F92" w:rsidRPr="00C8177A" w14:paraId="01F77EB4" w14:textId="77777777" w:rsidTr="00882158">
        <w:tc>
          <w:tcPr>
            <w:tcW w:w="9638" w:type="dxa"/>
            <w:gridSpan w:val="3"/>
            <w:tcBorders>
              <w:bottom w:val="nil"/>
            </w:tcBorders>
            <w:shd w:val="clear" w:color="000000" w:fill="F2F2F2"/>
          </w:tcPr>
          <w:p w14:paraId="5FD4CE34"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Bob Davidson</w:t>
            </w:r>
          </w:p>
        </w:tc>
      </w:tr>
      <w:tr w:rsidR="00BA4F92" w:rsidRPr="00C8177A" w14:paraId="23D8E4E8" w14:textId="77777777" w:rsidTr="00882158">
        <w:tc>
          <w:tcPr>
            <w:tcW w:w="9638" w:type="dxa"/>
            <w:gridSpan w:val="3"/>
            <w:tcBorders>
              <w:top w:val="nil"/>
              <w:bottom w:val="nil"/>
            </w:tcBorders>
            <w:shd w:val="clear" w:color="000000" w:fill="auto"/>
          </w:tcPr>
          <w:p w14:paraId="0EC482C1"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Ms Jane Delaney</w:t>
            </w:r>
          </w:p>
        </w:tc>
      </w:tr>
      <w:tr w:rsidR="00BA4F92" w:rsidRPr="00C8177A" w14:paraId="6D5FCD38" w14:textId="77777777" w:rsidTr="00882158">
        <w:tc>
          <w:tcPr>
            <w:tcW w:w="9638" w:type="dxa"/>
            <w:gridSpan w:val="3"/>
            <w:tcBorders>
              <w:bottom w:val="nil"/>
            </w:tcBorders>
            <w:shd w:val="clear" w:color="000000" w:fill="F2F2F2"/>
          </w:tcPr>
          <w:p w14:paraId="52D26B00"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Cheryl Dissanayake (AM FASSA)</w:t>
            </w:r>
          </w:p>
        </w:tc>
      </w:tr>
      <w:tr w:rsidR="00BA4F92" w:rsidRPr="00C8177A" w14:paraId="27ACEB18" w14:textId="77777777" w:rsidTr="00882158">
        <w:tc>
          <w:tcPr>
            <w:tcW w:w="9638" w:type="dxa"/>
            <w:gridSpan w:val="3"/>
            <w:tcBorders>
              <w:top w:val="nil"/>
              <w:bottom w:val="nil"/>
            </w:tcBorders>
            <w:shd w:val="clear" w:color="000000" w:fill="auto"/>
          </w:tcPr>
          <w:p w14:paraId="0F50BE9B"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Jenny Downs</w:t>
            </w:r>
          </w:p>
        </w:tc>
      </w:tr>
      <w:tr w:rsidR="00BA4F92" w:rsidRPr="00C8177A" w14:paraId="04AA5F61" w14:textId="77777777" w:rsidTr="00882158">
        <w:tc>
          <w:tcPr>
            <w:tcW w:w="9638" w:type="dxa"/>
            <w:gridSpan w:val="3"/>
            <w:tcBorders>
              <w:bottom w:val="nil"/>
            </w:tcBorders>
            <w:shd w:val="clear" w:color="000000" w:fill="F2F2F2"/>
          </w:tcPr>
          <w:p w14:paraId="2FC3C6B2"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Susan Edwards</w:t>
            </w:r>
          </w:p>
        </w:tc>
      </w:tr>
      <w:tr w:rsidR="00BA4F92" w:rsidRPr="00C8177A" w14:paraId="4F5B9DFE" w14:textId="77777777" w:rsidTr="00882158">
        <w:tc>
          <w:tcPr>
            <w:tcW w:w="9638" w:type="dxa"/>
            <w:gridSpan w:val="3"/>
            <w:tcBorders>
              <w:top w:val="nil"/>
              <w:bottom w:val="nil"/>
            </w:tcBorders>
            <w:shd w:val="clear" w:color="000000" w:fill="auto"/>
          </w:tcPr>
          <w:p w14:paraId="1719AF02" w14:textId="168C4D58" w:rsidR="00BA4F92" w:rsidRPr="0015051B" w:rsidRDefault="00BA4F92" w:rsidP="00882158">
            <w:pPr>
              <w:pStyle w:val="TableBody"/>
              <w:spacing w:before="45" w:after="45"/>
              <w:ind w:right="108"/>
              <w:rPr>
                <w:rFonts w:ascii="Arial (Body)" w:hAnsi="Arial (Body)"/>
              </w:rPr>
            </w:pPr>
            <w:r w:rsidRPr="0015051B">
              <w:rPr>
                <w:rFonts w:ascii="Arial (Body)" w:hAnsi="Arial (Body)"/>
              </w:rPr>
              <w:t>Emeritus Prof.</w:t>
            </w:r>
            <w:r w:rsidR="008B689A">
              <w:rPr>
                <w:rFonts w:ascii="Arial (Body)" w:hAnsi="Arial (Body)"/>
              </w:rPr>
              <w:t xml:space="preserve"> </w:t>
            </w:r>
            <w:r w:rsidRPr="0015051B">
              <w:rPr>
                <w:rFonts w:ascii="Arial (Body)" w:hAnsi="Arial (Body)"/>
              </w:rPr>
              <w:t>Marilyn Fleer (FASSA)</w:t>
            </w:r>
          </w:p>
        </w:tc>
      </w:tr>
      <w:tr w:rsidR="00BA4F92" w:rsidRPr="00C8177A" w14:paraId="1FD014F6" w14:textId="77777777" w:rsidTr="00882158">
        <w:tc>
          <w:tcPr>
            <w:tcW w:w="9638" w:type="dxa"/>
            <w:gridSpan w:val="3"/>
            <w:tcBorders>
              <w:bottom w:val="nil"/>
            </w:tcBorders>
            <w:shd w:val="clear" w:color="000000" w:fill="F2F2F2"/>
          </w:tcPr>
          <w:p w14:paraId="08C8F0F1" w14:textId="6B6115BF" w:rsidR="00BA4F92" w:rsidRPr="0015051B" w:rsidRDefault="00BA4F92" w:rsidP="00882158">
            <w:pPr>
              <w:pStyle w:val="TableBody"/>
              <w:spacing w:before="45" w:after="45"/>
              <w:ind w:right="108"/>
              <w:rPr>
                <w:rFonts w:ascii="Arial (Body)" w:hAnsi="Arial (Body)"/>
              </w:rPr>
            </w:pPr>
            <w:r w:rsidRPr="0015051B">
              <w:rPr>
                <w:rFonts w:ascii="Arial (Body)" w:hAnsi="Arial (Body)"/>
              </w:rPr>
              <w:t>Prof</w:t>
            </w:r>
            <w:r w:rsidR="002502FE">
              <w:rPr>
                <w:rFonts w:ascii="Arial (Body)" w:hAnsi="Arial (Body)"/>
              </w:rPr>
              <w:t>.</w:t>
            </w:r>
            <w:r w:rsidRPr="0015051B">
              <w:rPr>
                <w:rFonts w:ascii="Arial (Body)" w:hAnsi="Arial (Body)"/>
              </w:rPr>
              <w:t xml:space="preserve"> Richard Holden (FASSA)</w:t>
            </w:r>
          </w:p>
        </w:tc>
      </w:tr>
      <w:tr w:rsidR="00BA4F92" w:rsidRPr="00C8177A" w14:paraId="5D4A8D49" w14:textId="77777777" w:rsidTr="00882158">
        <w:tc>
          <w:tcPr>
            <w:tcW w:w="9638" w:type="dxa"/>
            <w:gridSpan w:val="3"/>
            <w:tcBorders>
              <w:top w:val="nil"/>
              <w:bottom w:val="nil"/>
            </w:tcBorders>
            <w:shd w:val="clear" w:color="000000" w:fill="auto"/>
          </w:tcPr>
          <w:p w14:paraId="0CC0D8D1"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Guyonne Kalb (FASSA)</w:t>
            </w:r>
          </w:p>
        </w:tc>
      </w:tr>
      <w:tr w:rsidR="00BA4F92" w:rsidRPr="00C8177A" w14:paraId="790EBE90" w14:textId="77777777" w:rsidTr="00882158">
        <w:tc>
          <w:tcPr>
            <w:tcW w:w="9638" w:type="dxa"/>
            <w:gridSpan w:val="3"/>
            <w:tcBorders>
              <w:bottom w:val="nil"/>
            </w:tcBorders>
            <w:shd w:val="clear" w:color="000000" w:fill="F2F2F2"/>
          </w:tcPr>
          <w:p w14:paraId="101B0EAD"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Ilan Katz</w:t>
            </w:r>
          </w:p>
        </w:tc>
      </w:tr>
      <w:tr w:rsidR="00BA4F92" w:rsidRPr="00C8177A" w14:paraId="482B7B04" w14:textId="77777777" w:rsidTr="00882158">
        <w:tc>
          <w:tcPr>
            <w:tcW w:w="9638" w:type="dxa"/>
            <w:gridSpan w:val="3"/>
            <w:tcBorders>
              <w:top w:val="nil"/>
              <w:bottom w:val="nil"/>
            </w:tcBorders>
            <w:shd w:val="clear" w:color="000000" w:fill="auto"/>
          </w:tcPr>
          <w:p w14:paraId="45B19199"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Gabrielle Meagher</w:t>
            </w:r>
          </w:p>
        </w:tc>
      </w:tr>
      <w:tr w:rsidR="00BA4F92" w:rsidRPr="00C8177A" w14:paraId="75AF180C" w14:textId="77777777" w:rsidTr="00882158">
        <w:tc>
          <w:tcPr>
            <w:tcW w:w="9638" w:type="dxa"/>
            <w:gridSpan w:val="3"/>
            <w:tcBorders>
              <w:bottom w:val="nil"/>
            </w:tcBorders>
            <w:shd w:val="clear" w:color="000000" w:fill="F2F2F2"/>
          </w:tcPr>
          <w:p w14:paraId="471B1987"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Allysa Milton</w:t>
            </w:r>
          </w:p>
        </w:tc>
      </w:tr>
      <w:tr w:rsidR="00BA4F92" w:rsidRPr="00C8177A" w14:paraId="326FD758" w14:textId="77777777" w:rsidTr="00882158">
        <w:tc>
          <w:tcPr>
            <w:tcW w:w="9638" w:type="dxa"/>
            <w:gridSpan w:val="3"/>
            <w:tcBorders>
              <w:top w:val="nil"/>
              <w:bottom w:val="nil"/>
            </w:tcBorders>
            <w:shd w:val="clear" w:color="000000" w:fill="auto"/>
          </w:tcPr>
          <w:p w14:paraId="593A738D"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Tim Moore</w:t>
            </w:r>
          </w:p>
        </w:tc>
      </w:tr>
      <w:tr w:rsidR="00BA4F92" w:rsidRPr="00C8177A" w14:paraId="61E73462" w14:textId="77777777" w:rsidTr="00882158">
        <w:tc>
          <w:tcPr>
            <w:tcW w:w="9638" w:type="dxa"/>
            <w:gridSpan w:val="3"/>
            <w:tcBorders>
              <w:bottom w:val="nil"/>
            </w:tcBorders>
            <w:shd w:val="clear" w:color="000000" w:fill="F2F2F2"/>
          </w:tcPr>
          <w:p w14:paraId="07A50CC2"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Mr Rob Ryan</w:t>
            </w:r>
          </w:p>
        </w:tc>
      </w:tr>
      <w:tr w:rsidR="00BA4F92" w:rsidRPr="00C8177A" w14:paraId="69151A8E" w14:textId="77777777" w:rsidTr="00882158">
        <w:tc>
          <w:tcPr>
            <w:tcW w:w="9638" w:type="dxa"/>
            <w:gridSpan w:val="3"/>
            <w:tcBorders>
              <w:top w:val="nil"/>
              <w:bottom w:val="nil"/>
            </w:tcBorders>
            <w:shd w:val="clear" w:color="000000" w:fill="auto"/>
          </w:tcPr>
          <w:p w14:paraId="7DD17F7F"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Monique Seymour</w:t>
            </w:r>
          </w:p>
        </w:tc>
      </w:tr>
      <w:tr w:rsidR="00BA4F92" w:rsidRPr="00C8177A" w14:paraId="03C2078C" w14:textId="77777777" w:rsidTr="00882158">
        <w:tc>
          <w:tcPr>
            <w:tcW w:w="9638" w:type="dxa"/>
            <w:gridSpan w:val="3"/>
            <w:tcBorders>
              <w:bottom w:val="nil"/>
            </w:tcBorders>
            <w:shd w:val="clear" w:color="000000" w:fill="F2F2F2"/>
          </w:tcPr>
          <w:p w14:paraId="69A89752"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Prof. Peter Shergold (AC)</w:t>
            </w:r>
          </w:p>
        </w:tc>
      </w:tr>
      <w:tr w:rsidR="00BA4F92" w:rsidRPr="00C8177A" w14:paraId="63FC8F45" w14:textId="77777777" w:rsidTr="00882158">
        <w:tc>
          <w:tcPr>
            <w:tcW w:w="9638" w:type="dxa"/>
            <w:gridSpan w:val="3"/>
            <w:tcBorders>
              <w:top w:val="nil"/>
              <w:bottom w:val="nil"/>
            </w:tcBorders>
            <w:shd w:val="clear" w:color="000000" w:fill="auto"/>
          </w:tcPr>
          <w:p w14:paraId="45A848C5" w14:textId="068C2D09" w:rsidR="00BA4F92" w:rsidRPr="0015051B" w:rsidRDefault="00BA4F92" w:rsidP="00882158">
            <w:pPr>
              <w:pStyle w:val="TableBody"/>
              <w:spacing w:before="45" w:after="45"/>
              <w:ind w:right="108"/>
              <w:rPr>
                <w:rFonts w:ascii="Arial (Body)" w:hAnsi="Arial (Body)"/>
              </w:rPr>
            </w:pPr>
            <w:r w:rsidRPr="0015051B">
              <w:rPr>
                <w:rFonts w:ascii="Arial (Body)" w:hAnsi="Arial (Body)"/>
              </w:rPr>
              <w:t>Prof</w:t>
            </w:r>
            <w:r w:rsidR="002502FE">
              <w:rPr>
                <w:rFonts w:ascii="Arial (Body)" w:hAnsi="Arial (Body)"/>
              </w:rPr>
              <w:t>.</w:t>
            </w:r>
            <w:r w:rsidRPr="0015051B">
              <w:rPr>
                <w:rFonts w:ascii="Arial (Body)" w:hAnsi="Arial (Body)"/>
              </w:rPr>
              <w:t xml:space="preserve"> Helen Skouteris (FASSA)</w:t>
            </w:r>
          </w:p>
        </w:tc>
      </w:tr>
      <w:tr w:rsidR="00BA4F92" w:rsidRPr="00C8177A" w14:paraId="108C140E" w14:textId="77777777" w:rsidTr="00AC348A">
        <w:tc>
          <w:tcPr>
            <w:tcW w:w="9638" w:type="dxa"/>
            <w:gridSpan w:val="3"/>
            <w:tcBorders>
              <w:bottom w:val="nil"/>
            </w:tcBorders>
            <w:shd w:val="clear" w:color="000000" w:fill="F2F2F2"/>
          </w:tcPr>
          <w:p w14:paraId="6B1144DF" w14:textId="77777777" w:rsidR="00BA4F92" w:rsidRPr="0015051B" w:rsidRDefault="00BA4F92" w:rsidP="00882158">
            <w:pPr>
              <w:pStyle w:val="TableBody"/>
              <w:spacing w:before="45" w:after="45"/>
              <w:ind w:right="108"/>
              <w:rPr>
                <w:rFonts w:ascii="Arial (Body)" w:hAnsi="Arial (Body)"/>
              </w:rPr>
            </w:pPr>
            <w:r w:rsidRPr="0015051B">
              <w:rPr>
                <w:rFonts w:ascii="Arial (Body)" w:hAnsi="Arial (Body)"/>
              </w:rPr>
              <w:t>Dr Catherine Smith</w:t>
            </w:r>
          </w:p>
        </w:tc>
      </w:tr>
      <w:tr w:rsidR="00BA4F92" w:rsidRPr="00C8177A" w14:paraId="74F7C816" w14:textId="77777777" w:rsidTr="00AC348A">
        <w:tc>
          <w:tcPr>
            <w:tcW w:w="9638" w:type="dxa"/>
            <w:gridSpan w:val="3"/>
            <w:tcBorders>
              <w:top w:val="nil"/>
              <w:bottom w:val="single" w:sz="4" w:space="0" w:color="BFBFBF" w:themeColor="background1" w:themeShade="BF"/>
            </w:tcBorders>
            <w:shd w:val="clear" w:color="000000" w:fill="auto"/>
          </w:tcPr>
          <w:p w14:paraId="68EA0612" w14:textId="4AA8746E" w:rsidR="00BA4F92" w:rsidRPr="0015051B" w:rsidRDefault="00BA4F92" w:rsidP="00882158">
            <w:pPr>
              <w:pStyle w:val="TableBody"/>
              <w:spacing w:before="45" w:after="45"/>
              <w:ind w:right="108"/>
              <w:rPr>
                <w:rFonts w:ascii="Arial (Body)" w:hAnsi="Arial (Body)"/>
              </w:rPr>
            </w:pPr>
            <w:r w:rsidRPr="0015051B">
              <w:rPr>
                <w:rFonts w:ascii="Arial (Body)" w:hAnsi="Arial (Body)"/>
              </w:rPr>
              <w:t>Prof</w:t>
            </w:r>
            <w:r w:rsidR="002502FE">
              <w:rPr>
                <w:rFonts w:ascii="Arial (Body)" w:hAnsi="Arial (Body)"/>
              </w:rPr>
              <w:t>.</w:t>
            </w:r>
            <w:r w:rsidRPr="0015051B">
              <w:rPr>
                <w:rFonts w:ascii="Arial (Body)" w:hAnsi="Arial (Body)"/>
              </w:rPr>
              <w:t xml:space="preserve"> Sandie Wong</w:t>
            </w:r>
          </w:p>
        </w:tc>
      </w:tr>
    </w:tbl>
    <w:p w14:paraId="60C3F53E" w14:textId="77777777" w:rsidR="00BA4F92" w:rsidRDefault="00BA4F92" w:rsidP="00E572FD">
      <w:pPr>
        <w:pStyle w:val="BodyText"/>
      </w:pPr>
    </w:p>
    <w:p w14:paraId="58A43219" w14:textId="77777777" w:rsidR="00BA4F92" w:rsidRPr="00E572FD" w:rsidRDefault="00BA4F92" w:rsidP="00E572FD">
      <w:pPr>
        <w:pStyle w:val="BodyText"/>
      </w:pPr>
      <w:r>
        <w:br w:type="page"/>
      </w:r>
    </w:p>
    <w:p w14:paraId="2E22DC79" w14:textId="74AB16AD" w:rsidR="00BA4F92" w:rsidRDefault="00BA4F92" w:rsidP="00882158">
      <w:pPr>
        <w:pStyle w:val="FigureTableHeading"/>
      </w:pPr>
      <w:r>
        <w:lastRenderedPageBreak/>
        <w:t xml:space="preserve">Table </w:t>
      </w:r>
      <w:r>
        <w:fldChar w:fldCharType="begin"/>
      </w:r>
      <w:r>
        <w:instrText xml:space="preserve"> STYLEREF  \s Heading-Appendix </w:instrText>
      </w:r>
      <w:r>
        <w:fldChar w:fldCharType="separate"/>
      </w:r>
      <w:r w:rsidR="00BA5CB1">
        <w:rPr>
          <w:noProof/>
        </w:rPr>
        <w:t>A</w:t>
      </w:r>
      <w:r>
        <w:rPr>
          <w:noProof/>
        </w:rPr>
        <w:fldChar w:fldCharType="end"/>
      </w:r>
      <w:r>
        <w:t>.4</w:t>
      </w:r>
      <w:r>
        <w:rPr>
          <w:noProof/>
        </w:rPr>
        <w:t xml:space="preserve"> – </w:t>
      </w:r>
      <w:r>
        <w:t xml:space="preserve">Public </w:t>
      </w:r>
      <w:r w:rsidR="00E572FD">
        <w:t>h</w:t>
      </w:r>
      <w:r>
        <w:t>earings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BA4F92" w:rsidRPr="00DD6332" w14:paraId="024E3F5B" w14:textId="77777777" w:rsidTr="00882158">
        <w:trPr>
          <w:tblHeader/>
        </w:trPr>
        <w:tc>
          <w:tcPr>
            <w:tcW w:w="4819" w:type="dxa"/>
            <w:tcBorders>
              <w:bottom w:val="single" w:sz="4" w:space="0" w:color="B3B3B3"/>
            </w:tcBorders>
            <w:shd w:val="clear" w:color="000000" w:fill="auto"/>
            <w:vAlign w:val="bottom"/>
          </w:tcPr>
          <w:p w14:paraId="0A70DD4F" w14:textId="77777777" w:rsidR="00BA4F92" w:rsidRPr="00DD6332" w:rsidRDefault="00BA4F92" w:rsidP="00882158">
            <w:pPr>
              <w:pStyle w:val="FigureTableSubheading"/>
              <w:spacing w:before="45" w:after="45"/>
              <w:ind w:left="57" w:right="108"/>
              <w:rPr>
                <w:rFonts w:ascii="Arial (Body)" w:hAnsi="Arial (Body)"/>
                <w:b/>
                <w:color w:val="265A9A"/>
                <w:sz w:val="18"/>
              </w:rPr>
            </w:pPr>
            <w:r w:rsidRPr="00DD6332">
              <w:rPr>
                <w:rFonts w:ascii="Arial (Body)" w:hAnsi="Arial (Body)"/>
                <w:b/>
                <w:color w:val="265A9A"/>
                <w:sz w:val="18"/>
              </w:rPr>
              <w:t>Participants</w:t>
            </w:r>
          </w:p>
        </w:tc>
        <w:tc>
          <w:tcPr>
            <w:tcW w:w="4819" w:type="dxa"/>
            <w:tcBorders>
              <w:bottom w:val="single" w:sz="4" w:space="0" w:color="B3B3B3"/>
            </w:tcBorders>
            <w:shd w:val="clear" w:color="000000" w:fill="auto"/>
            <w:vAlign w:val="bottom"/>
          </w:tcPr>
          <w:p w14:paraId="26E6E0E4" w14:textId="77777777" w:rsidR="00BA4F92" w:rsidRPr="00DD6332" w:rsidRDefault="00BA4F92" w:rsidP="00882158">
            <w:pPr>
              <w:pStyle w:val="FigureTableSubheading"/>
              <w:spacing w:before="45" w:after="45"/>
              <w:ind w:left="57" w:right="108"/>
              <w:rPr>
                <w:rFonts w:ascii="Arial (Body)" w:hAnsi="Arial (Body)"/>
                <w:b/>
                <w:color w:val="265A9A"/>
                <w:sz w:val="18"/>
              </w:rPr>
            </w:pPr>
          </w:p>
        </w:tc>
      </w:tr>
      <w:tr w:rsidR="00BA4F92" w:rsidRPr="00DD6332" w14:paraId="32D7DCF7" w14:textId="77777777" w:rsidTr="00882158">
        <w:tc>
          <w:tcPr>
            <w:tcW w:w="4819" w:type="dxa"/>
            <w:tcBorders>
              <w:top w:val="single" w:sz="4" w:space="0" w:color="B3B3B3"/>
              <w:bottom w:val="nil"/>
            </w:tcBorders>
            <w:shd w:val="clear" w:color="000000" w:fill="F2F2F2"/>
          </w:tcPr>
          <w:p w14:paraId="0EE14633" w14:textId="77777777" w:rsidR="00BA4F92" w:rsidRPr="00DD6332" w:rsidRDefault="00BA4F92" w:rsidP="00882158">
            <w:pPr>
              <w:pStyle w:val="FigureTableSubheading"/>
              <w:spacing w:before="45" w:after="45"/>
              <w:ind w:left="57" w:right="108"/>
              <w:rPr>
                <w:rFonts w:ascii="Arial (Body)" w:hAnsi="Arial (Body)"/>
                <w:b/>
                <w:color w:val="265A9A"/>
                <w:sz w:val="18"/>
              </w:rPr>
            </w:pPr>
            <w:r w:rsidRPr="00DD6332">
              <w:rPr>
                <w:rFonts w:ascii="Arial (Body)" w:hAnsi="Arial (Body)"/>
                <w:b/>
                <w:color w:val="265A9A"/>
                <w:sz w:val="18"/>
              </w:rPr>
              <w:t>In-person 19 February 2024</w:t>
            </w:r>
          </w:p>
        </w:tc>
        <w:tc>
          <w:tcPr>
            <w:tcW w:w="4819" w:type="dxa"/>
            <w:tcBorders>
              <w:top w:val="single" w:sz="4" w:space="0" w:color="B3B3B3"/>
              <w:bottom w:val="nil"/>
            </w:tcBorders>
            <w:shd w:val="clear" w:color="000000" w:fill="F2F2F2"/>
          </w:tcPr>
          <w:p w14:paraId="734ED896" w14:textId="77777777" w:rsidR="00BA4F92" w:rsidRPr="00DD6332" w:rsidRDefault="00BA4F92" w:rsidP="00882158">
            <w:pPr>
              <w:pStyle w:val="FigureTableSubheading"/>
              <w:spacing w:before="45" w:after="45"/>
              <w:ind w:left="57" w:right="108"/>
              <w:rPr>
                <w:rFonts w:ascii="Arial (Body)" w:hAnsi="Arial (Body)"/>
                <w:b/>
                <w:color w:val="265A9A"/>
                <w:sz w:val="18"/>
              </w:rPr>
            </w:pPr>
          </w:p>
        </w:tc>
      </w:tr>
      <w:tr w:rsidR="00BA4F92" w:rsidRPr="00DD6332" w14:paraId="509C7036" w14:textId="77777777" w:rsidTr="00882158">
        <w:tc>
          <w:tcPr>
            <w:tcW w:w="9638" w:type="dxa"/>
            <w:gridSpan w:val="2"/>
            <w:tcBorders>
              <w:top w:val="nil"/>
              <w:bottom w:val="nil"/>
            </w:tcBorders>
            <w:shd w:val="clear" w:color="000000" w:fill="auto"/>
          </w:tcPr>
          <w:p w14:paraId="1E44CDEB"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G8 Education</w:t>
            </w:r>
          </w:p>
        </w:tc>
      </w:tr>
      <w:tr w:rsidR="00BA4F92" w:rsidRPr="00DD6332" w14:paraId="659F6736" w14:textId="77777777" w:rsidTr="00882158">
        <w:tc>
          <w:tcPr>
            <w:tcW w:w="9638" w:type="dxa"/>
            <w:gridSpan w:val="2"/>
            <w:tcBorders>
              <w:bottom w:val="nil"/>
            </w:tcBorders>
            <w:shd w:val="clear" w:color="000000" w:fill="F2F2F2"/>
          </w:tcPr>
          <w:p w14:paraId="1C89982B"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Thriving Queensland Kids Partnership</w:t>
            </w:r>
          </w:p>
        </w:tc>
      </w:tr>
      <w:tr w:rsidR="00BA4F92" w:rsidRPr="00DD6332" w14:paraId="6178F1BE" w14:textId="77777777" w:rsidTr="00882158">
        <w:tc>
          <w:tcPr>
            <w:tcW w:w="9638" w:type="dxa"/>
            <w:gridSpan w:val="2"/>
            <w:tcBorders>
              <w:top w:val="nil"/>
              <w:bottom w:val="nil"/>
            </w:tcBorders>
            <w:shd w:val="clear" w:color="000000" w:fill="auto"/>
          </w:tcPr>
          <w:p w14:paraId="2F47684C"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Queensland Brain Institute at the University of Queensland</w:t>
            </w:r>
          </w:p>
        </w:tc>
      </w:tr>
      <w:tr w:rsidR="00BA4F92" w:rsidRPr="00DD6332" w14:paraId="3C55F1EC" w14:textId="77777777" w:rsidTr="00882158">
        <w:tc>
          <w:tcPr>
            <w:tcW w:w="9638" w:type="dxa"/>
            <w:gridSpan w:val="2"/>
            <w:tcBorders>
              <w:bottom w:val="nil"/>
            </w:tcBorders>
            <w:shd w:val="clear" w:color="000000" w:fill="F2F2F2"/>
          </w:tcPr>
          <w:p w14:paraId="77DEE075"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Junior Adventures Group</w:t>
            </w:r>
          </w:p>
        </w:tc>
      </w:tr>
      <w:tr w:rsidR="00BA4F92" w:rsidRPr="00DD6332" w14:paraId="45FB8448" w14:textId="77777777" w:rsidTr="00882158">
        <w:tc>
          <w:tcPr>
            <w:tcW w:w="9638" w:type="dxa"/>
            <w:gridSpan w:val="2"/>
            <w:tcBorders>
              <w:top w:val="nil"/>
              <w:bottom w:val="nil"/>
            </w:tcBorders>
            <w:shd w:val="clear" w:color="000000" w:fill="auto"/>
          </w:tcPr>
          <w:p w14:paraId="482EC9AB"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The Creche and Kindergarten Association (C&amp;K)</w:t>
            </w:r>
          </w:p>
        </w:tc>
      </w:tr>
      <w:tr w:rsidR="00BA4F92" w:rsidRPr="00DD6332" w14:paraId="12183843" w14:textId="77777777" w:rsidTr="00882158">
        <w:tc>
          <w:tcPr>
            <w:tcW w:w="9638" w:type="dxa"/>
            <w:gridSpan w:val="2"/>
            <w:tcBorders>
              <w:bottom w:val="nil"/>
            </w:tcBorders>
            <w:shd w:val="clear" w:color="000000" w:fill="F2F2F2"/>
          </w:tcPr>
          <w:p w14:paraId="5D0E8BDB"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National Outside School Hours Services Alliance</w:t>
            </w:r>
          </w:p>
        </w:tc>
      </w:tr>
      <w:tr w:rsidR="00BA4F92" w:rsidRPr="00DD6332" w14:paraId="3317AABC" w14:textId="77777777" w:rsidTr="00882158">
        <w:tc>
          <w:tcPr>
            <w:tcW w:w="9638" w:type="dxa"/>
            <w:gridSpan w:val="2"/>
            <w:tcBorders>
              <w:top w:val="nil"/>
              <w:bottom w:val="nil"/>
            </w:tcBorders>
            <w:shd w:val="clear" w:color="000000" w:fill="auto"/>
          </w:tcPr>
          <w:p w14:paraId="463324CD" w14:textId="77777777" w:rsidR="00BA4F92" w:rsidRPr="00DD6332" w:rsidRDefault="00BA4F92" w:rsidP="00882158">
            <w:pPr>
              <w:pStyle w:val="FigureTableSubheading"/>
              <w:spacing w:before="45" w:after="45"/>
              <w:ind w:left="57" w:right="108"/>
              <w:rPr>
                <w:rFonts w:ascii="Arial (Body)" w:hAnsi="Arial (Body)"/>
                <w:bCs/>
                <w:color w:val="auto"/>
                <w:sz w:val="18"/>
              </w:rPr>
            </w:pPr>
            <w:r w:rsidRPr="00DD6332">
              <w:rPr>
                <w:rFonts w:ascii="Arial (Body)" w:hAnsi="Arial (Body)"/>
                <w:bCs/>
                <w:color w:val="auto"/>
                <w:sz w:val="18"/>
              </w:rPr>
              <w:t>Family Day Care Queensland (FDCQ)</w:t>
            </w:r>
          </w:p>
        </w:tc>
      </w:tr>
      <w:tr w:rsidR="00BA4F92" w:rsidRPr="00DD6332" w14:paraId="7919993B" w14:textId="77777777" w:rsidTr="00882158">
        <w:tc>
          <w:tcPr>
            <w:tcW w:w="9638" w:type="dxa"/>
            <w:gridSpan w:val="2"/>
            <w:tcBorders>
              <w:bottom w:val="nil"/>
            </w:tcBorders>
            <w:shd w:val="clear" w:color="000000" w:fill="F2F2F2"/>
          </w:tcPr>
          <w:p w14:paraId="2DFDB51B" w14:textId="77777777" w:rsidR="00BA4F92" w:rsidRPr="00DD6332" w:rsidRDefault="00BA4F92" w:rsidP="00882158">
            <w:pPr>
              <w:pStyle w:val="TableBody"/>
              <w:spacing w:before="45" w:after="45"/>
              <w:ind w:right="108"/>
              <w:rPr>
                <w:rFonts w:ascii="Arial (Body)" w:hAnsi="Arial (Body)"/>
                <w:b/>
                <w:color w:val="265A9A"/>
              </w:rPr>
            </w:pPr>
            <w:r w:rsidRPr="00DD6332">
              <w:rPr>
                <w:rFonts w:ascii="Arial (Body)" w:hAnsi="Arial (Body)"/>
                <w:b/>
                <w:color w:val="265A9A"/>
              </w:rPr>
              <w:t>Online 21 February</w:t>
            </w:r>
            <w:r>
              <w:rPr>
                <w:rFonts w:ascii="Arial (Body)" w:hAnsi="Arial (Body)"/>
                <w:b/>
                <w:color w:val="265A9A"/>
              </w:rPr>
              <w:t xml:space="preserve"> 2024</w:t>
            </w:r>
          </w:p>
        </w:tc>
      </w:tr>
      <w:tr w:rsidR="00BA4F92" w:rsidRPr="00DD6332" w14:paraId="539EE8DB" w14:textId="77777777" w:rsidTr="00882158">
        <w:tc>
          <w:tcPr>
            <w:tcW w:w="9638" w:type="dxa"/>
            <w:gridSpan w:val="2"/>
            <w:tcBorders>
              <w:top w:val="nil"/>
              <w:bottom w:val="nil"/>
            </w:tcBorders>
            <w:shd w:val="clear" w:color="000000" w:fill="auto"/>
          </w:tcPr>
          <w:p w14:paraId="66187720"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Sanctuary E</w:t>
            </w:r>
            <w:r>
              <w:rPr>
                <w:rFonts w:ascii="Arial (Body)" w:hAnsi="Arial (Body)"/>
              </w:rPr>
              <w:t>arly Childhood Centre</w:t>
            </w:r>
          </w:p>
        </w:tc>
      </w:tr>
      <w:tr w:rsidR="00BA4F92" w:rsidRPr="00DD6332" w14:paraId="53E1F910" w14:textId="77777777" w:rsidTr="00882158">
        <w:tc>
          <w:tcPr>
            <w:tcW w:w="9638" w:type="dxa"/>
            <w:gridSpan w:val="2"/>
            <w:tcBorders>
              <w:bottom w:val="nil"/>
            </w:tcBorders>
            <w:shd w:val="clear" w:color="000000" w:fill="F2F2F2"/>
          </w:tcPr>
          <w:p w14:paraId="1257F86C"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Australian Education Research Organisation (AERO)</w:t>
            </w:r>
          </w:p>
        </w:tc>
      </w:tr>
      <w:tr w:rsidR="00BA4F92" w:rsidRPr="00DD6332" w14:paraId="2A17AA2E" w14:textId="77777777" w:rsidTr="00882158">
        <w:tc>
          <w:tcPr>
            <w:tcW w:w="9638" w:type="dxa"/>
            <w:gridSpan w:val="2"/>
            <w:tcBorders>
              <w:top w:val="nil"/>
              <w:bottom w:val="nil"/>
            </w:tcBorders>
            <w:shd w:val="clear" w:color="000000" w:fill="auto"/>
          </w:tcPr>
          <w:p w14:paraId="1F1CACA3"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Brian Byrne</w:t>
            </w:r>
          </w:p>
        </w:tc>
      </w:tr>
      <w:tr w:rsidR="00BA4F92" w:rsidRPr="00DD6332" w14:paraId="379EB52B" w14:textId="77777777" w:rsidTr="00882158">
        <w:tc>
          <w:tcPr>
            <w:tcW w:w="9638" w:type="dxa"/>
            <w:gridSpan w:val="2"/>
            <w:tcBorders>
              <w:bottom w:val="nil"/>
            </w:tcBorders>
            <w:shd w:val="clear" w:color="000000" w:fill="F2F2F2"/>
          </w:tcPr>
          <w:p w14:paraId="68E86CB1"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Women’s Economic Equality Taskforce (WEET)</w:t>
            </w:r>
          </w:p>
        </w:tc>
      </w:tr>
      <w:tr w:rsidR="00BA4F92" w:rsidRPr="00DD6332" w14:paraId="2D5DE09F" w14:textId="77777777" w:rsidTr="00882158">
        <w:tc>
          <w:tcPr>
            <w:tcW w:w="9638" w:type="dxa"/>
            <w:gridSpan w:val="2"/>
            <w:tcBorders>
              <w:top w:val="nil"/>
              <w:bottom w:val="nil"/>
            </w:tcBorders>
            <w:shd w:val="clear" w:color="000000" w:fill="auto"/>
          </w:tcPr>
          <w:p w14:paraId="5E98F78E"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KU Children’s Services</w:t>
            </w:r>
          </w:p>
        </w:tc>
      </w:tr>
      <w:tr w:rsidR="00BA4F92" w:rsidRPr="00DD6332" w14:paraId="75FD4154" w14:textId="77777777" w:rsidTr="00882158">
        <w:tc>
          <w:tcPr>
            <w:tcW w:w="9638" w:type="dxa"/>
            <w:gridSpan w:val="2"/>
            <w:tcBorders>
              <w:bottom w:val="nil"/>
            </w:tcBorders>
            <w:shd w:val="clear" w:color="000000" w:fill="F2F2F2"/>
          </w:tcPr>
          <w:p w14:paraId="057F0C08"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WentWest</w:t>
            </w:r>
          </w:p>
        </w:tc>
      </w:tr>
      <w:tr w:rsidR="00BA4F92" w:rsidRPr="00DD6332" w14:paraId="5CF43B59" w14:textId="77777777" w:rsidTr="00882158">
        <w:tc>
          <w:tcPr>
            <w:tcW w:w="9638" w:type="dxa"/>
            <w:gridSpan w:val="2"/>
            <w:tcBorders>
              <w:top w:val="nil"/>
              <w:bottom w:val="nil"/>
            </w:tcBorders>
            <w:shd w:val="clear" w:color="000000" w:fill="auto"/>
          </w:tcPr>
          <w:p w14:paraId="0FC03D1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Isolated Children’s Parents’ Association (ICPA)</w:t>
            </w:r>
          </w:p>
        </w:tc>
      </w:tr>
      <w:tr w:rsidR="00BA4F92" w:rsidRPr="00DD6332" w14:paraId="2A41278B" w14:textId="77777777" w:rsidTr="00882158">
        <w:tc>
          <w:tcPr>
            <w:tcW w:w="9638" w:type="dxa"/>
            <w:gridSpan w:val="2"/>
            <w:tcBorders>
              <w:bottom w:val="nil"/>
            </w:tcBorders>
            <w:shd w:val="clear" w:color="000000" w:fill="F2F2F2"/>
          </w:tcPr>
          <w:p w14:paraId="2095B4AD"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Diversity Council Australia</w:t>
            </w:r>
          </w:p>
        </w:tc>
      </w:tr>
      <w:tr w:rsidR="00BA4F92" w:rsidRPr="00DD6332" w14:paraId="5145A1A7" w14:textId="77777777" w:rsidTr="00882158">
        <w:tc>
          <w:tcPr>
            <w:tcW w:w="9638" w:type="dxa"/>
            <w:gridSpan w:val="2"/>
            <w:tcBorders>
              <w:top w:val="nil"/>
              <w:bottom w:val="nil"/>
            </w:tcBorders>
            <w:shd w:val="clear" w:color="000000" w:fill="auto"/>
          </w:tcPr>
          <w:p w14:paraId="2096B90B" w14:textId="77777777" w:rsidR="00BA4F92" w:rsidRPr="00DD6332" w:rsidRDefault="00BA4F92" w:rsidP="00882158">
            <w:pPr>
              <w:pStyle w:val="TableBody"/>
              <w:spacing w:before="45" w:after="45"/>
              <w:ind w:right="108"/>
              <w:rPr>
                <w:rFonts w:ascii="Arial (Body)" w:hAnsi="Arial (Body)"/>
                <w:b/>
                <w:bCs/>
                <w:color w:val="265A9A"/>
              </w:rPr>
            </w:pPr>
            <w:r w:rsidRPr="00DD6332">
              <w:rPr>
                <w:rFonts w:ascii="Arial (Body)" w:hAnsi="Arial (Body)"/>
                <w:b/>
                <w:bCs/>
                <w:color w:val="265A9A"/>
              </w:rPr>
              <w:t>Online 22 February</w:t>
            </w:r>
            <w:r>
              <w:rPr>
                <w:rFonts w:ascii="Arial (Body)" w:hAnsi="Arial (Body)"/>
                <w:b/>
                <w:bCs/>
                <w:color w:val="265A9A"/>
              </w:rPr>
              <w:t xml:space="preserve"> 2024</w:t>
            </w:r>
          </w:p>
        </w:tc>
      </w:tr>
      <w:tr w:rsidR="00BA4F92" w:rsidRPr="00DD6332" w14:paraId="6F51A2E3" w14:textId="77777777" w:rsidTr="00882158">
        <w:tc>
          <w:tcPr>
            <w:tcW w:w="9638" w:type="dxa"/>
            <w:gridSpan w:val="2"/>
            <w:tcBorders>
              <w:bottom w:val="nil"/>
            </w:tcBorders>
            <w:shd w:val="clear" w:color="000000" w:fill="F2F2F2"/>
          </w:tcPr>
          <w:p w14:paraId="77576885"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GrainGrowers</w:t>
            </w:r>
          </w:p>
        </w:tc>
      </w:tr>
      <w:tr w:rsidR="00BA4F92" w:rsidRPr="00DD6332" w14:paraId="7AEA8CE3" w14:textId="77777777" w:rsidTr="00882158">
        <w:tc>
          <w:tcPr>
            <w:tcW w:w="9638" w:type="dxa"/>
            <w:gridSpan w:val="2"/>
            <w:tcBorders>
              <w:top w:val="nil"/>
              <w:bottom w:val="nil"/>
            </w:tcBorders>
            <w:shd w:val="clear" w:color="000000" w:fill="auto"/>
          </w:tcPr>
          <w:p w14:paraId="29E2BFF3"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Social Ventures Australia</w:t>
            </w:r>
          </w:p>
        </w:tc>
      </w:tr>
      <w:tr w:rsidR="00BA4F92" w:rsidRPr="00DD6332" w14:paraId="169023B3" w14:textId="77777777" w:rsidTr="00882158">
        <w:tc>
          <w:tcPr>
            <w:tcW w:w="9638" w:type="dxa"/>
            <w:gridSpan w:val="2"/>
            <w:tcBorders>
              <w:bottom w:val="nil"/>
            </w:tcBorders>
            <w:shd w:val="clear" w:color="000000" w:fill="F2F2F2"/>
          </w:tcPr>
          <w:p w14:paraId="132BE8D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Early Childhood Australia (SA)</w:t>
            </w:r>
          </w:p>
        </w:tc>
      </w:tr>
      <w:tr w:rsidR="00BA4F92" w:rsidRPr="00DD6332" w14:paraId="15FD5D0B" w14:textId="77777777" w:rsidTr="00882158">
        <w:tc>
          <w:tcPr>
            <w:tcW w:w="9638" w:type="dxa"/>
            <w:gridSpan w:val="2"/>
            <w:tcBorders>
              <w:top w:val="nil"/>
              <w:bottom w:val="nil"/>
            </w:tcBorders>
            <w:shd w:val="clear" w:color="000000" w:fill="auto"/>
          </w:tcPr>
          <w:p w14:paraId="32B64838"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Child Development Council (SA)</w:t>
            </w:r>
          </w:p>
        </w:tc>
      </w:tr>
      <w:tr w:rsidR="00BA4F92" w:rsidRPr="00DD6332" w14:paraId="48BD041D" w14:textId="77777777" w:rsidTr="00882158">
        <w:tc>
          <w:tcPr>
            <w:tcW w:w="9638" w:type="dxa"/>
            <w:gridSpan w:val="2"/>
            <w:tcBorders>
              <w:bottom w:val="nil"/>
            </w:tcBorders>
            <w:shd w:val="clear" w:color="000000" w:fill="F2F2F2"/>
          </w:tcPr>
          <w:p w14:paraId="33E73A8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NSW Family Day Care Association</w:t>
            </w:r>
          </w:p>
        </w:tc>
      </w:tr>
      <w:tr w:rsidR="00BA4F92" w:rsidRPr="00DD6332" w14:paraId="250B010E" w14:textId="77777777" w:rsidTr="00882158">
        <w:tc>
          <w:tcPr>
            <w:tcW w:w="9638" w:type="dxa"/>
            <w:gridSpan w:val="2"/>
            <w:tcBorders>
              <w:top w:val="nil"/>
              <w:bottom w:val="nil"/>
            </w:tcBorders>
            <w:shd w:val="clear" w:color="000000" w:fill="auto"/>
          </w:tcPr>
          <w:p w14:paraId="1653B9C9" w14:textId="77777777" w:rsidR="00BA4F92" w:rsidRPr="00DD6332" w:rsidRDefault="00BA4F92" w:rsidP="00882158">
            <w:pPr>
              <w:pStyle w:val="TableBody"/>
              <w:spacing w:before="45" w:after="45"/>
              <w:ind w:right="108"/>
              <w:rPr>
                <w:rFonts w:ascii="Arial (Body)" w:hAnsi="Arial (Body)"/>
              </w:rPr>
            </w:pPr>
            <w:r>
              <w:rPr>
                <w:rFonts w:ascii="Arial (Body)" w:hAnsi="Arial (Body)"/>
              </w:rPr>
              <w:t>Lisa Bryant</w:t>
            </w:r>
          </w:p>
        </w:tc>
      </w:tr>
      <w:tr w:rsidR="00BA4F92" w:rsidRPr="00DD6332" w14:paraId="171F9FFF" w14:textId="77777777" w:rsidTr="00882158">
        <w:tc>
          <w:tcPr>
            <w:tcW w:w="9638" w:type="dxa"/>
            <w:gridSpan w:val="2"/>
            <w:tcBorders>
              <w:bottom w:val="nil"/>
            </w:tcBorders>
            <w:shd w:val="clear" w:color="000000" w:fill="F2F2F2"/>
          </w:tcPr>
          <w:p w14:paraId="32342FEF"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 xml:space="preserve">Child Australia </w:t>
            </w:r>
          </w:p>
        </w:tc>
      </w:tr>
      <w:tr w:rsidR="00BA4F92" w:rsidRPr="00DD6332" w14:paraId="2BB12CA6" w14:textId="77777777" w:rsidTr="00882158">
        <w:tc>
          <w:tcPr>
            <w:tcW w:w="9638" w:type="dxa"/>
            <w:gridSpan w:val="2"/>
            <w:tcBorders>
              <w:top w:val="nil"/>
              <w:bottom w:val="nil"/>
            </w:tcBorders>
            <w:shd w:val="clear" w:color="000000" w:fill="auto"/>
          </w:tcPr>
          <w:p w14:paraId="3349A7A5" w14:textId="77777777" w:rsidR="00BA4F92" w:rsidRPr="00DD6332" w:rsidRDefault="00BA4F92" w:rsidP="00882158">
            <w:pPr>
              <w:pStyle w:val="TableBody"/>
              <w:spacing w:before="45" w:after="45"/>
              <w:ind w:right="108"/>
              <w:rPr>
                <w:rFonts w:ascii="Arial (Body)" w:hAnsi="Arial (Body)"/>
                <w:b/>
                <w:color w:val="265A9A"/>
              </w:rPr>
            </w:pPr>
            <w:r w:rsidRPr="00DD6332">
              <w:rPr>
                <w:rFonts w:ascii="Arial (Body)" w:hAnsi="Arial (Body)"/>
                <w:b/>
                <w:color w:val="265A9A"/>
              </w:rPr>
              <w:t>In-person 26 February 2024</w:t>
            </w:r>
          </w:p>
        </w:tc>
      </w:tr>
      <w:tr w:rsidR="00BA4F92" w:rsidRPr="00DD6332" w14:paraId="0000665E" w14:textId="77777777" w:rsidTr="00882158">
        <w:tc>
          <w:tcPr>
            <w:tcW w:w="9638" w:type="dxa"/>
            <w:gridSpan w:val="2"/>
            <w:tcBorders>
              <w:bottom w:val="nil"/>
            </w:tcBorders>
            <w:shd w:val="clear" w:color="000000" w:fill="F2F2F2"/>
          </w:tcPr>
          <w:p w14:paraId="470AAFA0"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Royal Far West</w:t>
            </w:r>
          </w:p>
        </w:tc>
      </w:tr>
      <w:tr w:rsidR="00BA4F92" w:rsidRPr="00DD6332" w14:paraId="553F70AF" w14:textId="77777777" w:rsidTr="00882158">
        <w:tc>
          <w:tcPr>
            <w:tcW w:w="9638" w:type="dxa"/>
            <w:gridSpan w:val="2"/>
            <w:tcBorders>
              <w:top w:val="nil"/>
              <w:bottom w:val="nil"/>
            </w:tcBorders>
            <w:shd w:val="clear" w:color="000000" w:fill="auto"/>
          </w:tcPr>
          <w:p w14:paraId="2A63E470"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Municipal Association of Victoria</w:t>
            </w:r>
          </w:p>
        </w:tc>
      </w:tr>
      <w:tr w:rsidR="00BA4F92" w:rsidRPr="00DD6332" w14:paraId="197FEC9B" w14:textId="77777777" w:rsidTr="00882158">
        <w:tc>
          <w:tcPr>
            <w:tcW w:w="9638" w:type="dxa"/>
            <w:gridSpan w:val="2"/>
            <w:tcBorders>
              <w:bottom w:val="nil"/>
            </w:tcBorders>
            <w:shd w:val="clear" w:color="000000" w:fill="F2F2F2"/>
          </w:tcPr>
          <w:p w14:paraId="7DD2C29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The Parenthood</w:t>
            </w:r>
          </w:p>
        </w:tc>
      </w:tr>
      <w:tr w:rsidR="00BA4F92" w:rsidRPr="00DD6332" w14:paraId="580F4A4F" w14:textId="77777777" w:rsidTr="00882158">
        <w:tc>
          <w:tcPr>
            <w:tcW w:w="9638" w:type="dxa"/>
            <w:gridSpan w:val="2"/>
            <w:tcBorders>
              <w:top w:val="nil"/>
              <w:bottom w:val="nil"/>
            </w:tcBorders>
            <w:shd w:val="clear" w:color="000000" w:fill="auto"/>
          </w:tcPr>
          <w:p w14:paraId="5BA4B060"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AGJ Businesses Pty Ltd</w:t>
            </w:r>
          </w:p>
        </w:tc>
      </w:tr>
      <w:tr w:rsidR="00BA4F92" w:rsidRPr="00DD6332" w14:paraId="43F0265F" w14:textId="77777777" w:rsidTr="00882158">
        <w:tc>
          <w:tcPr>
            <w:tcW w:w="9638" w:type="dxa"/>
            <w:gridSpan w:val="2"/>
            <w:tcBorders>
              <w:bottom w:val="nil"/>
            </w:tcBorders>
            <w:shd w:val="clear" w:color="000000" w:fill="F2F2F2"/>
          </w:tcPr>
          <w:p w14:paraId="5DA2A711" w14:textId="77777777" w:rsidR="00BA4F92" w:rsidRPr="00DD6332" w:rsidRDefault="00BA4F92" w:rsidP="00882158">
            <w:pPr>
              <w:pStyle w:val="TableBody"/>
              <w:spacing w:before="45" w:after="45"/>
              <w:ind w:right="108"/>
              <w:rPr>
                <w:rFonts w:ascii="Arial (Body)" w:hAnsi="Arial (Body)"/>
              </w:rPr>
            </w:pPr>
            <w:r>
              <w:rPr>
                <w:rFonts w:ascii="Arial (Body)" w:hAnsi="Arial (Body)"/>
              </w:rPr>
              <w:t>Australian Human Rights Commission (National Children’s Commissioner)</w:t>
            </w:r>
          </w:p>
        </w:tc>
      </w:tr>
      <w:tr w:rsidR="00BA4F92" w:rsidRPr="00DD6332" w14:paraId="7441BFDA" w14:textId="77777777" w:rsidTr="00882158">
        <w:tc>
          <w:tcPr>
            <w:tcW w:w="9638" w:type="dxa"/>
            <w:gridSpan w:val="2"/>
            <w:tcBorders>
              <w:top w:val="nil"/>
              <w:bottom w:val="nil"/>
            </w:tcBorders>
            <w:shd w:val="clear" w:color="000000" w:fill="auto"/>
          </w:tcPr>
          <w:p w14:paraId="6EFCD344" w14:textId="77777777" w:rsidR="00BA4F92" w:rsidRPr="00DD6332" w:rsidRDefault="00BA4F92" w:rsidP="00882158">
            <w:pPr>
              <w:pStyle w:val="TableBody"/>
              <w:spacing w:before="45" w:after="45"/>
              <w:ind w:right="108"/>
              <w:rPr>
                <w:rFonts w:ascii="Arial (Body)" w:hAnsi="Arial (Body)"/>
                <w:b/>
                <w:color w:val="265A9A"/>
              </w:rPr>
            </w:pPr>
            <w:r w:rsidRPr="00CE729D">
              <w:rPr>
                <w:rFonts w:ascii="Arial (Body)" w:hAnsi="Arial (Body)"/>
              </w:rPr>
              <w:t>Early Childhood Education Services and Training (ECTARC)</w:t>
            </w:r>
          </w:p>
        </w:tc>
      </w:tr>
      <w:tr w:rsidR="00BA4F92" w:rsidRPr="00DD6332" w14:paraId="11C052F2" w14:textId="77777777" w:rsidTr="00882158">
        <w:tc>
          <w:tcPr>
            <w:tcW w:w="9638" w:type="dxa"/>
            <w:gridSpan w:val="2"/>
            <w:tcBorders>
              <w:top w:val="nil"/>
              <w:bottom w:val="nil"/>
            </w:tcBorders>
            <w:shd w:val="clear" w:color="000000" w:fill="auto"/>
          </w:tcPr>
          <w:p w14:paraId="1969FA9F" w14:textId="77777777" w:rsidR="00BA4F92" w:rsidRPr="00DD6332" w:rsidRDefault="00BA4F92" w:rsidP="00882158">
            <w:pPr>
              <w:pStyle w:val="TableBody"/>
              <w:spacing w:before="45" w:after="45"/>
              <w:ind w:right="108"/>
              <w:rPr>
                <w:rFonts w:ascii="Arial (Body)" w:hAnsi="Arial (Body)"/>
                <w:b/>
                <w:color w:val="265A9A"/>
              </w:rPr>
            </w:pPr>
          </w:p>
        </w:tc>
      </w:tr>
      <w:tr w:rsidR="00BA4F92" w:rsidRPr="00DD6332" w14:paraId="5E24E7F3" w14:textId="77777777" w:rsidTr="00882158">
        <w:tc>
          <w:tcPr>
            <w:tcW w:w="9638" w:type="dxa"/>
            <w:gridSpan w:val="2"/>
            <w:tcBorders>
              <w:top w:val="nil"/>
              <w:bottom w:val="nil"/>
            </w:tcBorders>
            <w:shd w:val="clear" w:color="000000" w:fill="auto"/>
          </w:tcPr>
          <w:p w14:paraId="1A3AD5B3" w14:textId="77777777" w:rsidR="00BA4F92" w:rsidRPr="00DD6332" w:rsidRDefault="00BA4F92" w:rsidP="00882158">
            <w:pPr>
              <w:pStyle w:val="TableBody"/>
              <w:spacing w:before="45" w:after="45"/>
              <w:ind w:right="108"/>
              <w:rPr>
                <w:rFonts w:ascii="Arial (Body)" w:hAnsi="Arial (Body)"/>
                <w:b/>
                <w:color w:val="265A9A"/>
              </w:rPr>
            </w:pPr>
          </w:p>
        </w:tc>
      </w:tr>
      <w:tr w:rsidR="00BA4F92" w:rsidRPr="00DD6332" w14:paraId="539E0981" w14:textId="77777777" w:rsidTr="00882158">
        <w:tc>
          <w:tcPr>
            <w:tcW w:w="9638" w:type="dxa"/>
            <w:gridSpan w:val="2"/>
            <w:tcBorders>
              <w:bottom w:val="nil"/>
            </w:tcBorders>
            <w:shd w:val="clear" w:color="000000" w:fill="F2F2F2"/>
          </w:tcPr>
          <w:p w14:paraId="48E350C2" w14:textId="77777777" w:rsidR="00BA4F92" w:rsidRPr="00DD6332" w:rsidRDefault="00BA4F92" w:rsidP="00882158">
            <w:pPr>
              <w:pStyle w:val="TableBody"/>
              <w:spacing w:before="45" w:after="45"/>
              <w:ind w:right="108"/>
              <w:rPr>
                <w:rFonts w:ascii="Arial (Body)" w:hAnsi="Arial (Body)"/>
                <w:b/>
                <w:color w:val="265A9A"/>
              </w:rPr>
            </w:pPr>
            <w:r w:rsidRPr="00DD6332">
              <w:rPr>
                <w:rFonts w:ascii="Arial (Body)" w:hAnsi="Arial (Body)"/>
                <w:b/>
                <w:color w:val="265A9A"/>
              </w:rPr>
              <w:lastRenderedPageBreak/>
              <w:t>In-person 27 February 2024</w:t>
            </w:r>
          </w:p>
        </w:tc>
      </w:tr>
      <w:tr w:rsidR="00BA4F92" w:rsidRPr="00DD6332" w14:paraId="45FF423A" w14:textId="77777777" w:rsidTr="00882158">
        <w:tc>
          <w:tcPr>
            <w:tcW w:w="9638" w:type="dxa"/>
            <w:gridSpan w:val="2"/>
            <w:tcBorders>
              <w:top w:val="nil"/>
              <w:bottom w:val="nil"/>
            </w:tcBorders>
            <w:shd w:val="clear" w:color="000000" w:fill="auto"/>
          </w:tcPr>
          <w:p w14:paraId="70DF6A55"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PlayGroup Australia</w:t>
            </w:r>
          </w:p>
        </w:tc>
      </w:tr>
      <w:tr w:rsidR="00BA4F92" w:rsidRPr="00DD6332" w14:paraId="4E0AD4A4" w14:textId="77777777" w:rsidTr="00882158">
        <w:tc>
          <w:tcPr>
            <w:tcW w:w="9638" w:type="dxa"/>
            <w:gridSpan w:val="2"/>
            <w:tcBorders>
              <w:bottom w:val="nil"/>
            </w:tcBorders>
            <w:shd w:val="clear" w:color="000000" w:fill="F2F2F2"/>
          </w:tcPr>
          <w:p w14:paraId="6C9C94F1"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The Ben</w:t>
            </w:r>
            <w:r>
              <w:rPr>
                <w:rFonts w:ascii="Arial (Body)" w:hAnsi="Arial (Body)"/>
              </w:rPr>
              <w:t>e</w:t>
            </w:r>
            <w:r w:rsidRPr="00DD6332">
              <w:rPr>
                <w:rFonts w:ascii="Arial (Body)" w:hAnsi="Arial (Body)"/>
              </w:rPr>
              <w:t>volent Society</w:t>
            </w:r>
          </w:p>
        </w:tc>
      </w:tr>
      <w:tr w:rsidR="00BA4F92" w:rsidRPr="00DD6332" w14:paraId="76E7E78A" w14:textId="77777777" w:rsidTr="00882158">
        <w:tc>
          <w:tcPr>
            <w:tcW w:w="9638" w:type="dxa"/>
            <w:gridSpan w:val="2"/>
            <w:tcBorders>
              <w:top w:val="nil"/>
              <w:bottom w:val="nil"/>
            </w:tcBorders>
            <w:shd w:val="clear" w:color="000000" w:fill="auto"/>
          </w:tcPr>
          <w:p w14:paraId="108C716C"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Goodstart</w:t>
            </w:r>
            <w:r>
              <w:rPr>
                <w:rFonts w:ascii="Arial (Body)" w:hAnsi="Arial (Body)"/>
              </w:rPr>
              <w:t xml:space="preserve"> Early Learning</w:t>
            </w:r>
          </w:p>
        </w:tc>
      </w:tr>
      <w:tr w:rsidR="00BA4F92" w:rsidRPr="00DD6332" w14:paraId="60B80AC3" w14:textId="77777777" w:rsidTr="00882158">
        <w:tc>
          <w:tcPr>
            <w:tcW w:w="9638" w:type="dxa"/>
            <w:gridSpan w:val="2"/>
            <w:tcBorders>
              <w:bottom w:val="nil"/>
            </w:tcBorders>
            <w:shd w:val="clear" w:color="000000" w:fill="F2F2F2"/>
          </w:tcPr>
          <w:p w14:paraId="39AA98E3"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Cheyenne Carter</w:t>
            </w:r>
          </w:p>
        </w:tc>
      </w:tr>
      <w:tr w:rsidR="00BA4F92" w:rsidRPr="00DD6332" w14:paraId="02ABF2F5" w14:textId="77777777" w:rsidTr="00882158">
        <w:tc>
          <w:tcPr>
            <w:tcW w:w="9638" w:type="dxa"/>
            <w:gridSpan w:val="2"/>
            <w:tcBorders>
              <w:top w:val="nil"/>
              <w:bottom w:val="nil"/>
            </w:tcBorders>
            <w:shd w:val="clear" w:color="000000" w:fill="auto"/>
          </w:tcPr>
          <w:p w14:paraId="0F81D3ED"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Community Early Learning Australia (CELA)</w:t>
            </w:r>
          </w:p>
        </w:tc>
      </w:tr>
      <w:tr w:rsidR="00BA4F92" w:rsidRPr="00DD6332" w14:paraId="6B96578D" w14:textId="77777777" w:rsidTr="00882158">
        <w:tc>
          <w:tcPr>
            <w:tcW w:w="9638" w:type="dxa"/>
            <w:gridSpan w:val="2"/>
            <w:tcBorders>
              <w:bottom w:val="nil"/>
            </w:tcBorders>
            <w:shd w:val="clear" w:color="000000" w:fill="F2F2F2"/>
          </w:tcPr>
          <w:p w14:paraId="19945BE6"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Early Years Intercultural Association</w:t>
            </w:r>
          </w:p>
        </w:tc>
      </w:tr>
      <w:tr w:rsidR="00BA4F92" w:rsidRPr="00DD6332" w14:paraId="67697672" w14:textId="77777777" w:rsidTr="00882158">
        <w:tc>
          <w:tcPr>
            <w:tcW w:w="9638" w:type="dxa"/>
            <w:gridSpan w:val="2"/>
            <w:tcBorders>
              <w:top w:val="nil"/>
              <w:bottom w:val="nil"/>
            </w:tcBorders>
            <w:shd w:val="clear" w:color="000000" w:fill="auto"/>
          </w:tcPr>
          <w:p w14:paraId="01A9BAA1"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Family Day Care Australia (FDCA)</w:t>
            </w:r>
          </w:p>
        </w:tc>
      </w:tr>
      <w:tr w:rsidR="00BA4F92" w:rsidRPr="00DD6332" w14:paraId="02A90239" w14:textId="77777777" w:rsidTr="00882158">
        <w:tc>
          <w:tcPr>
            <w:tcW w:w="9638" w:type="dxa"/>
            <w:gridSpan w:val="2"/>
            <w:tcBorders>
              <w:bottom w:val="nil"/>
            </w:tcBorders>
            <w:shd w:val="clear" w:color="000000" w:fill="F2F2F2"/>
          </w:tcPr>
          <w:p w14:paraId="53F1E9F3" w14:textId="77777777" w:rsidR="00BA4F92" w:rsidRPr="00DD6332" w:rsidRDefault="00BA4F92" w:rsidP="00882158">
            <w:pPr>
              <w:pStyle w:val="TableBody"/>
              <w:spacing w:before="45" w:after="45"/>
              <w:ind w:right="108"/>
              <w:rPr>
                <w:rFonts w:ascii="Arial (Body)" w:hAnsi="Arial (Body)"/>
              </w:rPr>
            </w:pPr>
            <w:r w:rsidRPr="00DD6332">
              <w:rPr>
                <w:rFonts w:ascii="Arial (Body)" w:hAnsi="Arial (Body)"/>
              </w:rPr>
              <w:t>Eva Cox</w:t>
            </w:r>
          </w:p>
        </w:tc>
      </w:tr>
      <w:tr w:rsidR="00BA4F92" w:rsidRPr="00DD6332" w14:paraId="72154CCD" w14:textId="77777777" w:rsidTr="00882158">
        <w:tc>
          <w:tcPr>
            <w:tcW w:w="9638" w:type="dxa"/>
            <w:gridSpan w:val="2"/>
            <w:tcBorders>
              <w:top w:val="nil"/>
              <w:bottom w:val="nil"/>
            </w:tcBorders>
            <w:shd w:val="clear" w:color="000000" w:fill="auto"/>
          </w:tcPr>
          <w:p w14:paraId="28C6EA3F" w14:textId="77777777" w:rsidR="00BA4F92" w:rsidRPr="00DD6332" w:rsidRDefault="00BA4F92" w:rsidP="00882158">
            <w:pPr>
              <w:pStyle w:val="TableBody"/>
              <w:spacing w:before="45" w:after="45"/>
              <w:ind w:right="108"/>
              <w:rPr>
                <w:rFonts w:ascii="Arial (Body)" w:hAnsi="Arial (Body)"/>
                <w:b/>
                <w:color w:val="265A9A"/>
              </w:rPr>
            </w:pPr>
            <w:r w:rsidRPr="00DD6332">
              <w:rPr>
                <w:rFonts w:ascii="Arial (Body)" w:hAnsi="Arial (Body)"/>
                <w:b/>
                <w:color w:val="265A9A"/>
              </w:rPr>
              <w:t>Online 4 March 2024</w:t>
            </w:r>
          </w:p>
        </w:tc>
      </w:tr>
      <w:tr w:rsidR="00BA4F92" w:rsidRPr="00DD6332" w14:paraId="74B1FF3F" w14:textId="77777777" w:rsidTr="00882158">
        <w:tc>
          <w:tcPr>
            <w:tcW w:w="9638" w:type="dxa"/>
            <w:gridSpan w:val="2"/>
            <w:tcBorders>
              <w:bottom w:val="nil"/>
            </w:tcBorders>
            <w:shd w:val="clear" w:color="000000" w:fill="F2F2F2"/>
          </w:tcPr>
          <w:p w14:paraId="3630441E"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Outside School Hours Council of Australia</w:t>
            </w:r>
          </w:p>
        </w:tc>
      </w:tr>
      <w:tr w:rsidR="00BA4F92" w:rsidRPr="00DD6332" w14:paraId="1188A21A" w14:textId="77777777" w:rsidTr="00882158">
        <w:tc>
          <w:tcPr>
            <w:tcW w:w="9638" w:type="dxa"/>
            <w:gridSpan w:val="2"/>
            <w:tcBorders>
              <w:top w:val="nil"/>
              <w:bottom w:val="nil"/>
            </w:tcBorders>
            <w:shd w:val="clear" w:color="000000" w:fill="auto"/>
          </w:tcPr>
          <w:p w14:paraId="6B9A179C"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Brotherhood of St Laurence</w:t>
            </w:r>
          </w:p>
        </w:tc>
      </w:tr>
      <w:tr w:rsidR="00BA4F92" w:rsidRPr="00DD6332" w14:paraId="6A69053B" w14:textId="77777777" w:rsidTr="00882158">
        <w:tc>
          <w:tcPr>
            <w:tcW w:w="9638" w:type="dxa"/>
            <w:gridSpan w:val="2"/>
            <w:tcBorders>
              <w:bottom w:val="nil"/>
            </w:tcBorders>
            <w:shd w:val="clear" w:color="000000" w:fill="F2F2F2"/>
          </w:tcPr>
          <w:p w14:paraId="41BF7E9C"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Australian Childcare Alliance</w:t>
            </w:r>
          </w:p>
        </w:tc>
      </w:tr>
      <w:tr w:rsidR="00BA4F92" w:rsidRPr="00DD6332" w14:paraId="7BB7B9D6" w14:textId="77777777" w:rsidTr="00882158">
        <w:tc>
          <w:tcPr>
            <w:tcW w:w="9638" w:type="dxa"/>
            <w:gridSpan w:val="2"/>
            <w:tcBorders>
              <w:top w:val="nil"/>
              <w:bottom w:val="nil"/>
            </w:tcBorders>
            <w:shd w:val="clear" w:color="000000" w:fill="auto"/>
          </w:tcPr>
          <w:p w14:paraId="59FA8B1D"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TheirCare</w:t>
            </w:r>
          </w:p>
        </w:tc>
      </w:tr>
      <w:tr w:rsidR="00BA4F92" w:rsidRPr="00DD6332" w14:paraId="7AB76EF7" w14:textId="77777777" w:rsidTr="00882158">
        <w:tc>
          <w:tcPr>
            <w:tcW w:w="9638" w:type="dxa"/>
            <w:gridSpan w:val="2"/>
            <w:tcBorders>
              <w:bottom w:val="nil"/>
            </w:tcBorders>
            <w:shd w:val="clear" w:color="000000" w:fill="F2F2F2"/>
          </w:tcPr>
          <w:p w14:paraId="526152EF"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Parents Work Collective</w:t>
            </w:r>
          </w:p>
        </w:tc>
      </w:tr>
      <w:tr w:rsidR="00BA4F92" w:rsidRPr="00DD6332" w14:paraId="40EF38CF" w14:textId="77777777" w:rsidTr="00882158">
        <w:tc>
          <w:tcPr>
            <w:tcW w:w="9638" w:type="dxa"/>
            <w:gridSpan w:val="2"/>
            <w:tcBorders>
              <w:top w:val="nil"/>
              <w:bottom w:val="nil"/>
            </w:tcBorders>
            <w:shd w:val="clear" w:color="000000" w:fill="auto"/>
          </w:tcPr>
          <w:p w14:paraId="6A28F942"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Monash University Early Childhood Academics</w:t>
            </w:r>
          </w:p>
        </w:tc>
      </w:tr>
      <w:tr w:rsidR="00BA4F92" w:rsidRPr="00DD6332" w14:paraId="5F17D739" w14:textId="77777777" w:rsidTr="00882158">
        <w:tc>
          <w:tcPr>
            <w:tcW w:w="9638" w:type="dxa"/>
            <w:gridSpan w:val="2"/>
            <w:tcBorders>
              <w:bottom w:val="nil"/>
            </w:tcBorders>
            <w:shd w:val="clear" w:color="000000" w:fill="F2F2F2"/>
          </w:tcPr>
          <w:p w14:paraId="34634341"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Centre for Community Child Health</w:t>
            </w:r>
          </w:p>
        </w:tc>
      </w:tr>
      <w:tr w:rsidR="00BA4F92" w:rsidRPr="00DD6332" w14:paraId="4DF22FD9" w14:textId="77777777" w:rsidTr="00882158">
        <w:tc>
          <w:tcPr>
            <w:tcW w:w="9638" w:type="dxa"/>
            <w:gridSpan w:val="2"/>
            <w:tcBorders>
              <w:top w:val="nil"/>
              <w:bottom w:val="nil"/>
            </w:tcBorders>
            <w:shd w:val="clear" w:color="000000" w:fill="auto"/>
          </w:tcPr>
          <w:p w14:paraId="30A891E8" w14:textId="77777777" w:rsidR="00BA4F92" w:rsidRPr="00DD6332" w:rsidRDefault="00BA4F92" w:rsidP="00882158">
            <w:pPr>
              <w:pStyle w:val="TableBody"/>
              <w:spacing w:before="45" w:after="45"/>
              <w:ind w:right="108"/>
              <w:rPr>
                <w:rFonts w:ascii="Arial (Body)" w:hAnsi="Arial (Body)"/>
                <w:bCs/>
              </w:rPr>
            </w:pPr>
            <w:r w:rsidRPr="00DD6332">
              <w:rPr>
                <w:rFonts w:ascii="Arial (Body)" w:hAnsi="Arial (Body)"/>
                <w:bCs/>
              </w:rPr>
              <w:t>Council of Single Mothers and their Children</w:t>
            </w:r>
          </w:p>
        </w:tc>
      </w:tr>
      <w:tr w:rsidR="00BA4F92" w:rsidRPr="00DD6332" w14:paraId="4589DB03" w14:textId="77777777" w:rsidTr="00882158">
        <w:tc>
          <w:tcPr>
            <w:tcW w:w="9638" w:type="dxa"/>
            <w:gridSpan w:val="2"/>
            <w:tcBorders>
              <w:bottom w:val="nil"/>
            </w:tcBorders>
            <w:shd w:val="clear" w:color="000000" w:fill="F2F2F2"/>
          </w:tcPr>
          <w:p w14:paraId="5F226502" w14:textId="77777777" w:rsidR="00BA4F92" w:rsidRPr="00DD6332" w:rsidRDefault="00BA4F92" w:rsidP="00882158">
            <w:pPr>
              <w:pStyle w:val="TableBody"/>
              <w:spacing w:before="45" w:after="45"/>
              <w:ind w:right="108"/>
              <w:rPr>
                <w:rFonts w:ascii="Arial (Body)" w:hAnsi="Arial (Body)"/>
                <w:b/>
                <w:bCs/>
                <w:color w:val="265A9A"/>
              </w:rPr>
            </w:pPr>
            <w:r w:rsidRPr="00DD6332">
              <w:rPr>
                <w:rFonts w:ascii="Arial (Body)" w:hAnsi="Arial (Body)"/>
                <w:b/>
                <w:bCs/>
                <w:color w:val="265A9A"/>
              </w:rPr>
              <w:t>In</w:t>
            </w:r>
            <w:r>
              <w:rPr>
                <w:rFonts w:ascii="Arial (Body)" w:hAnsi="Arial (Body)"/>
                <w:b/>
                <w:bCs/>
                <w:color w:val="265A9A"/>
              </w:rPr>
              <w:t>-</w:t>
            </w:r>
            <w:r w:rsidRPr="00DD6332">
              <w:rPr>
                <w:rFonts w:ascii="Arial (Body)" w:hAnsi="Arial (Body)"/>
                <w:b/>
                <w:bCs/>
                <w:color w:val="265A9A"/>
              </w:rPr>
              <w:t>person 5 March 2024</w:t>
            </w:r>
          </w:p>
        </w:tc>
      </w:tr>
      <w:tr w:rsidR="00BA4F92" w:rsidRPr="00DD6332" w14:paraId="2E0AE1B2" w14:textId="77777777" w:rsidTr="00882158">
        <w:tc>
          <w:tcPr>
            <w:tcW w:w="9638" w:type="dxa"/>
            <w:gridSpan w:val="2"/>
            <w:tcBorders>
              <w:top w:val="nil"/>
              <w:bottom w:val="nil"/>
            </w:tcBorders>
            <w:shd w:val="clear" w:color="000000" w:fill="auto"/>
          </w:tcPr>
          <w:p w14:paraId="54A3E166"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The Front Project</w:t>
            </w:r>
          </w:p>
        </w:tc>
      </w:tr>
      <w:tr w:rsidR="00BA4F92" w:rsidRPr="00DD6332" w14:paraId="5F1F560D" w14:textId="77777777" w:rsidTr="00882158">
        <w:tc>
          <w:tcPr>
            <w:tcW w:w="9638" w:type="dxa"/>
            <w:gridSpan w:val="2"/>
            <w:tcBorders>
              <w:bottom w:val="nil"/>
            </w:tcBorders>
            <w:shd w:val="clear" w:color="000000" w:fill="F2F2F2"/>
          </w:tcPr>
          <w:p w14:paraId="728122C2"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Victorian Association of Teachers of English to Speakers of Other Languages (VicTESOL)</w:t>
            </w:r>
          </w:p>
        </w:tc>
      </w:tr>
      <w:tr w:rsidR="00BA4F92" w:rsidRPr="00DD6332" w14:paraId="1D814C62" w14:textId="77777777" w:rsidTr="00882158">
        <w:tc>
          <w:tcPr>
            <w:tcW w:w="9638" w:type="dxa"/>
            <w:gridSpan w:val="2"/>
            <w:tcBorders>
              <w:top w:val="nil"/>
              <w:bottom w:val="nil"/>
            </w:tcBorders>
            <w:shd w:val="clear" w:color="000000" w:fill="auto"/>
          </w:tcPr>
          <w:p w14:paraId="50350803" w14:textId="77777777" w:rsidR="00BA4F92" w:rsidRPr="0048644E" w:rsidRDefault="00BA4F92" w:rsidP="00882158">
            <w:pPr>
              <w:pStyle w:val="TableBody"/>
              <w:spacing w:before="45" w:after="45"/>
              <w:ind w:right="108"/>
              <w:rPr>
                <w:rFonts w:ascii="Arial (Body)" w:hAnsi="Arial (Body)"/>
                <w:caps/>
              </w:rPr>
            </w:pPr>
            <w:r>
              <w:rPr>
                <w:rFonts w:ascii="Arial (Body)" w:hAnsi="Arial (Body)"/>
                <w:bCs/>
              </w:rPr>
              <w:t>Early Learning Association of Australia</w:t>
            </w:r>
            <w:r>
              <w:rPr>
                <w:rFonts w:ascii="Arial (Body)" w:hAnsi="Arial (Body)"/>
                <w:bCs/>
                <w:caps/>
              </w:rPr>
              <w:t xml:space="preserve"> (elaa)</w:t>
            </w:r>
          </w:p>
        </w:tc>
      </w:tr>
      <w:tr w:rsidR="00BA4F92" w:rsidRPr="00DD6332" w14:paraId="5C044984" w14:textId="77777777" w:rsidTr="00882158">
        <w:tc>
          <w:tcPr>
            <w:tcW w:w="9638" w:type="dxa"/>
            <w:gridSpan w:val="2"/>
            <w:tcBorders>
              <w:bottom w:val="nil"/>
            </w:tcBorders>
            <w:shd w:val="clear" w:color="000000" w:fill="F2F2F2"/>
          </w:tcPr>
          <w:p w14:paraId="045C17A8" w14:textId="6C309EAA" w:rsidR="00BA4F92" w:rsidRPr="0049243D" w:rsidRDefault="00BA4F92" w:rsidP="00882158">
            <w:pPr>
              <w:pStyle w:val="TableBody"/>
              <w:spacing w:before="45" w:after="45"/>
              <w:ind w:right="108"/>
              <w:rPr>
                <w:rFonts w:ascii="Arial (Body)" w:hAnsi="Arial (Body)"/>
                <w:bCs/>
              </w:rPr>
            </w:pPr>
            <w:r>
              <w:rPr>
                <w:rFonts w:ascii="Arial (Body)" w:hAnsi="Arial (Body)"/>
                <w:bCs/>
              </w:rPr>
              <w:t>Secretariat of National Aboriginal and Islander Child</w:t>
            </w:r>
            <w:r w:rsidR="00153DDA">
              <w:rPr>
                <w:rFonts w:ascii="Arial (Body)" w:hAnsi="Arial (Body)"/>
                <w:bCs/>
              </w:rPr>
              <w:t xml:space="preserve"> C</w:t>
            </w:r>
            <w:r>
              <w:rPr>
                <w:rFonts w:ascii="Arial (Body)" w:hAnsi="Arial (Body)"/>
                <w:bCs/>
              </w:rPr>
              <w:t>are (SNAICC)</w:t>
            </w:r>
          </w:p>
        </w:tc>
      </w:tr>
      <w:tr w:rsidR="00BA4F92" w:rsidRPr="00DD6332" w14:paraId="32839980" w14:textId="77777777" w:rsidTr="00882158">
        <w:tc>
          <w:tcPr>
            <w:tcW w:w="9638" w:type="dxa"/>
            <w:gridSpan w:val="2"/>
            <w:tcBorders>
              <w:top w:val="nil"/>
              <w:bottom w:val="nil"/>
            </w:tcBorders>
            <w:shd w:val="clear" w:color="000000" w:fill="auto"/>
          </w:tcPr>
          <w:p w14:paraId="2B8543B7"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Community Child Care Association (CCCA)</w:t>
            </w:r>
          </w:p>
        </w:tc>
      </w:tr>
      <w:tr w:rsidR="00BA4F92" w:rsidRPr="00DD6332" w14:paraId="2C7783D6" w14:textId="77777777" w:rsidTr="00882158">
        <w:tc>
          <w:tcPr>
            <w:tcW w:w="9638" w:type="dxa"/>
            <w:gridSpan w:val="2"/>
            <w:tcBorders>
              <w:bottom w:val="nil"/>
            </w:tcBorders>
            <w:shd w:val="clear" w:color="000000" w:fill="F2F2F2"/>
          </w:tcPr>
          <w:p w14:paraId="7DA48B0E"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Parkville Institute</w:t>
            </w:r>
          </w:p>
        </w:tc>
      </w:tr>
      <w:tr w:rsidR="00BA4F92" w:rsidRPr="00DD6332" w14:paraId="034E9492" w14:textId="77777777" w:rsidTr="00882158">
        <w:tc>
          <w:tcPr>
            <w:tcW w:w="9638" w:type="dxa"/>
            <w:gridSpan w:val="2"/>
            <w:tcBorders>
              <w:top w:val="nil"/>
              <w:bottom w:val="nil"/>
            </w:tcBorders>
            <w:shd w:val="clear" w:color="000000" w:fill="auto"/>
          </w:tcPr>
          <w:p w14:paraId="00096404"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Children and Young People with Disability (CYDA)</w:t>
            </w:r>
          </w:p>
        </w:tc>
      </w:tr>
      <w:tr w:rsidR="00BA4F92" w:rsidRPr="00DD6332" w14:paraId="1F906B71" w14:textId="77777777" w:rsidTr="00882158">
        <w:tc>
          <w:tcPr>
            <w:tcW w:w="9638" w:type="dxa"/>
            <w:gridSpan w:val="2"/>
            <w:tcBorders>
              <w:bottom w:val="nil"/>
            </w:tcBorders>
            <w:shd w:val="clear" w:color="000000" w:fill="F2F2F2"/>
          </w:tcPr>
          <w:p w14:paraId="78A65178" w14:textId="77777777" w:rsidR="00BA4F92" w:rsidRPr="0049243D" w:rsidRDefault="00BA4F92" w:rsidP="00882158">
            <w:pPr>
              <w:pStyle w:val="TableBody"/>
              <w:spacing w:before="45" w:after="45"/>
              <w:ind w:right="108"/>
              <w:rPr>
                <w:rFonts w:ascii="Arial (Body)" w:hAnsi="Arial (Body)"/>
                <w:bCs/>
              </w:rPr>
            </w:pPr>
            <w:r>
              <w:rPr>
                <w:rFonts w:ascii="Arial (Body)" w:hAnsi="Arial (Body)"/>
                <w:bCs/>
              </w:rPr>
              <w:t>Australian Institute for Teaching and School Leadership Limited (AITSL)</w:t>
            </w:r>
          </w:p>
        </w:tc>
      </w:tr>
      <w:tr w:rsidR="00BA4F92" w:rsidRPr="00DD6332" w14:paraId="16FDAD99" w14:textId="77777777" w:rsidTr="00882158">
        <w:tc>
          <w:tcPr>
            <w:tcW w:w="9638" w:type="dxa"/>
            <w:gridSpan w:val="2"/>
            <w:tcBorders>
              <w:top w:val="nil"/>
            </w:tcBorders>
            <w:shd w:val="clear" w:color="000000" w:fill="auto"/>
          </w:tcPr>
          <w:p w14:paraId="02767F48" w14:textId="77777777" w:rsidR="00BA4F92" w:rsidRPr="0049243D" w:rsidRDefault="00BA4F92" w:rsidP="00882158">
            <w:pPr>
              <w:pStyle w:val="TableBody"/>
              <w:spacing w:before="45" w:after="45"/>
              <w:ind w:right="108"/>
              <w:rPr>
                <w:rFonts w:ascii="Arial (Body)" w:hAnsi="Arial (Body)"/>
                <w:bCs/>
              </w:rPr>
            </w:pPr>
          </w:p>
        </w:tc>
      </w:tr>
    </w:tbl>
    <w:p w14:paraId="1CF98228" w14:textId="77777777" w:rsidR="00BA4F92" w:rsidRDefault="00BA4F92">
      <w:pPr>
        <w:spacing w:before="0" w:after="160" w:line="259" w:lineRule="auto"/>
        <w:rPr>
          <w:sz w:val="18"/>
        </w:rPr>
      </w:pPr>
      <w:r>
        <w:br w:type="page"/>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BA4F92" w:rsidRPr="0012793A" w14:paraId="3F68283A" w14:textId="77777777" w:rsidTr="00882158">
        <w:trPr>
          <w:trHeight w:val="306"/>
          <w:tblHeader/>
        </w:trPr>
        <w:tc>
          <w:tcPr>
            <w:tcW w:w="4819" w:type="dxa"/>
            <w:tcBorders>
              <w:bottom w:val="single" w:sz="4" w:space="0" w:color="B3B3B3"/>
            </w:tcBorders>
            <w:shd w:val="clear" w:color="000000" w:fill="auto"/>
            <w:vAlign w:val="bottom"/>
          </w:tcPr>
          <w:p w14:paraId="2B02EC29" w14:textId="77777777" w:rsidR="00BA4F92" w:rsidRPr="0012793A" w:rsidRDefault="00BA4F92" w:rsidP="00882158">
            <w:pPr>
              <w:pStyle w:val="TableBody"/>
              <w:spacing w:before="45" w:after="45"/>
              <w:ind w:right="108"/>
              <w:rPr>
                <w:rFonts w:ascii="Arial (Body)" w:hAnsi="Arial (Body)"/>
                <w:b/>
                <w:color w:val="265A9A"/>
              </w:rPr>
            </w:pPr>
            <w:r w:rsidRPr="0012793A">
              <w:rPr>
                <w:rFonts w:ascii="Arial (Body)" w:hAnsi="Arial (Body)"/>
                <w:b/>
                <w:color w:val="265A9A"/>
              </w:rPr>
              <w:lastRenderedPageBreak/>
              <w:t>Participants</w:t>
            </w:r>
          </w:p>
        </w:tc>
        <w:tc>
          <w:tcPr>
            <w:tcW w:w="4819" w:type="dxa"/>
            <w:tcBorders>
              <w:bottom w:val="single" w:sz="4" w:space="0" w:color="B3B3B3"/>
            </w:tcBorders>
            <w:shd w:val="clear" w:color="000000" w:fill="auto"/>
            <w:vAlign w:val="bottom"/>
          </w:tcPr>
          <w:p w14:paraId="2A2A9A24" w14:textId="77777777" w:rsidR="00BA4F92" w:rsidRPr="0012793A" w:rsidRDefault="00BA4F92" w:rsidP="00882158">
            <w:pPr>
              <w:pStyle w:val="Source"/>
              <w:spacing w:before="45" w:after="45"/>
              <w:ind w:left="57" w:right="108"/>
              <w:rPr>
                <w:rFonts w:ascii="Arial (Body)" w:hAnsi="Arial (Body)"/>
                <w:b/>
                <w:color w:val="265A9A"/>
              </w:rPr>
            </w:pPr>
          </w:p>
        </w:tc>
      </w:tr>
      <w:tr w:rsidR="00BA4F92" w:rsidRPr="0012793A" w14:paraId="292D7912" w14:textId="77777777" w:rsidTr="00882158">
        <w:trPr>
          <w:trHeight w:val="306"/>
        </w:trPr>
        <w:tc>
          <w:tcPr>
            <w:tcW w:w="9638" w:type="dxa"/>
            <w:gridSpan w:val="2"/>
            <w:tcBorders>
              <w:top w:val="single" w:sz="4" w:space="0" w:color="B3B3B3"/>
              <w:bottom w:val="nil"/>
            </w:tcBorders>
            <w:shd w:val="clear" w:color="000000" w:fill="F2F2F2"/>
          </w:tcPr>
          <w:p w14:paraId="19DC080C" w14:textId="77777777" w:rsidR="00BA4F92" w:rsidRPr="0012793A" w:rsidRDefault="00BA4F92" w:rsidP="00882158">
            <w:pPr>
              <w:pStyle w:val="TableBody"/>
              <w:spacing w:before="45" w:after="45"/>
              <w:ind w:right="108"/>
              <w:rPr>
                <w:rFonts w:ascii="Arial (Body)" w:hAnsi="Arial (Body)"/>
                <w:b/>
                <w:color w:val="265A9A"/>
              </w:rPr>
            </w:pPr>
            <w:r w:rsidRPr="0012793A">
              <w:rPr>
                <w:rFonts w:ascii="Arial (Body)" w:hAnsi="Arial (Body)"/>
                <w:b/>
                <w:color w:val="265A9A"/>
              </w:rPr>
              <w:t>Online 7 March 2024</w:t>
            </w:r>
          </w:p>
        </w:tc>
      </w:tr>
      <w:tr w:rsidR="00BA4F92" w:rsidRPr="0012793A" w14:paraId="6A1134BF" w14:textId="77777777" w:rsidTr="00882158">
        <w:trPr>
          <w:trHeight w:val="306"/>
        </w:trPr>
        <w:tc>
          <w:tcPr>
            <w:tcW w:w="9638" w:type="dxa"/>
            <w:gridSpan w:val="2"/>
            <w:tcBorders>
              <w:top w:val="nil"/>
              <w:bottom w:val="nil"/>
            </w:tcBorders>
            <w:shd w:val="clear" w:color="000000" w:fill="auto"/>
          </w:tcPr>
          <w:p w14:paraId="508A70AB"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Interim Disability Commissioner, Department of Premier and Cabinet (TAS)</w:t>
            </w:r>
          </w:p>
        </w:tc>
      </w:tr>
      <w:tr w:rsidR="00BA4F92" w:rsidRPr="0012793A" w14:paraId="6D6EAD46" w14:textId="77777777" w:rsidTr="00882158">
        <w:trPr>
          <w:trHeight w:val="306"/>
        </w:trPr>
        <w:tc>
          <w:tcPr>
            <w:tcW w:w="9638" w:type="dxa"/>
            <w:gridSpan w:val="2"/>
            <w:tcBorders>
              <w:bottom w:val="nil"/>
            </w:tcBorders>
            <w:shd w:val="clear" w:color="000000" w:fill="F2F2F2"/>
          </w:tcPr>
          <w:p w14:paraId="3121816B"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Australian Council of State School Organisations</w:t>
            </w:r>
          </w:p>
        </w:tc>
      </w:tr>
      <w:tr w:rsidR="00BA4F92" w:rsidRPr="0012793A" w14:paraId="2472AFAC" w14:textId="77777777" w:rsidTr="00882158">
        <w:trPr>
          <w:trHeight w:val="306"/>
        </w:trPr>
        <w:tc>
          <w:tcPr>
            <w:tcW w:w="9638" w:type="dxa"/>
            <w:gridSpan w:val="2"/>
            <w:tcBorders>
              <w:top w:val="nil"/>
              <w:bottom w:val="nil"/>
            </w:tcBorders>
            <w:shd w:val="clear" w:color="000000" w:fill="auto"/>
          </w:tcPr>
          <w:p w14:paraId="49FA5A9A"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Centre for Policy Development</w:t>
            </w:r>
          </w:p>
        </w:tc>
      </w:tr>
      <w:tr w:rsidR="00BA4F92" w:rsidRPr="0012793A" w14:paraId="0A121784" w14:textId="77777777" w:rsidTr="00882158">
        <w:trPr>
          <w:trHeight w:val="306"/>
        </w:trPr>
        <w:tc>
          <w:tcPr>
            <w:tcW w:w="9638" w:type="dxa"/>
            <w:gridSpan w:val="2"/>
            <w:tcBorders>
              <w:bottom w:val="nil"/>
            </w:tcBorders>
            <w:shd w:val="clear" w:color="000000" w:fill="F2F2F2"/>
          </w:tcPr>
          <w:p w14:paraId="5ECA1846"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Australian Education Union (AEU)</w:t>
            </w:r>
          </w:p>
        </w:tc>
      </w:tr>
      <w:tr w:rsidR="00BA4F92" w:rsidRPr="0012793A" w14:paraId="3304FB06" w14:textId="77777777" w:rsidTr="00882158">
        <w:trPr>
          <w:trHeight w:val="306"/>
        </w:trPr>
        <w:tc>
          <w:tcPr>
            <w:tcW w:w="9638" w:type="dxa"/>
            <w:gridSpan w:val="2"/>
            <w:tcBorders>
              <w:top w:val="nil"/>
              <w:bottom w:val="nil"/>
            </w:tcBorders>
            <w:shd w:val="clear" w:color="000000" w:fill="auto"/>
          </w:tcPr>
          <w:p w14:paraId="731CCD82"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Frances Press</w:t>
            </w:r>
          </w:p>
        </w:tc>
      </w:tr>
      <w:tr w:rsidR="00BA4F92" w:rsidRPr="0012793A" w14:paraId="7976F37D" w14:textId="77777777" w:rsidTr="00882158">
        <w:trPr>
          <w:trHeight w:val="306"/>
        </w:trPr>
        <w:tc>
          <w:tcPr>
            <w:tcW w:w="9638" w:type="dxa"/>
            <w:gridSpan w:val="2"/>
            <w:tcBorders>
              <w:bottom w:val="nil"/>
            </w:tcBorders>
            <w:shd w:val="clear" w:color="000000" w:fill="F2F2F2"/>
          </w:tcPr>
          <w:p w14:paraId="611EE653"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Gordon Cleveland</w:t>
            </w:r>
          </w:p>
        </w:tc>
      </w:tr>
      <w:tr w:rsidR="00BA4F92" w:rsidRPr="0012793A" w14:paraId="250E7741" w14:textId="77777777" w:rsidTr="00882158">
        <w:trPr>
          <w:trHeight w:val="306"/>
        </w:trPr>
        <w:tc>
          <w:tcPr>
            <w:tcW w:w="9638" w:type="dxa"/>
            <w:gridSpan w:val="2"/>
            <w:tcBorders>
              <w:top w:val="nil"/>
              <w:bottom w:val="nil"/>
            </w:tcBorders>
            <w:shd w:val="clear" w:color="000000" w:fill="auto"/>
          </w:tcPr>
          <w:p w14:paraId="6367ED7B" w14:textId="77777777" w:rsidR="00BA4F92" w:rsidRPr="00A97468" w:rsidRDefault="00BA4F92" w:rsidP="00882158">
            <w:pPr>
              <w:pStyle w:val="TableBody"/>
              <w:spacing w:before="45" w:after="45"/>
              <w:ind w:right="108"/>
              <w:rPr>
                <w:rFonts w:ascii="Arial (Body)" w:hAnsi="Arial (Body)"/>
                <w:bCs/>
              </w:rPr>
            </w:pPr>
            <w:r w:rsidRPr="00A97468">
              <w:rPr>
                <w:rFonts w:ascii="Arial (Body)" w:hAnsi="Arial (Body)"/>
                <w:bCs/>
              </w:rPr>
              <w:t>Camp Australia</w:t>
            </w:r>
          </w:p>
        </w:tc>
      </w:tr>
      <w:tr w:rsidR="00BA4F92" w:rsidRPr="0012793A" w14:paraId="58DD0160" w14:textId="77777777" w:rsidTr="00882158">
        <w:trPr>
          <w:trHeight w:val="306"/>
        </w:trPr>
        <w:tc>
          <w:tcPr>
            <w:tcW w:w="9638" w:type="dxa"/>
            <w:gridSpan w:val="2"/>
            <w:tcBorders>
              <w:bottom w:val="nil"/>
            </w:tcBorders>
            <w:shd w:val="clear" w:color="000000" w:fill="F2F2F2"/>
          </w:tcPr>
          <w:p w14:paraId="3701BDD9" w14:textId="77777777" w:rsidR="00BA4F92" w:rsidRPr="0012793A" w:rsidRDefault="00BA4F92" w:rsidP="00882158">
            <w:pPr>
              <w:pStyle w:val="TableBody"/>
              <w:spacing w:before="45" w:after="45"/>
              <w:ind w:right="108"/>
              <w:rPr>
                <w:rFonts w:ascii="Arial (Body)" w:hAnsi="Arial (Body)"/>
                <w:b/>
                <w:color w:val="265A9A"/>
              </w:rPr>
            </w:pPr>
            <w:r>
              <w:rPr>
                <w:rFonts w:ascii="Arial (Body)" w:hAnsi="Arial (Body)"/>
                <w:b/>
                <w:color w:val="265A9A"/>
              </w:rPr>
              <w:t>In-person 13 March 2024</w:t>
            </w:r>
          </w:p>
        </w:tc>
      </w:tr>
      <w:tr w:rsidR="00BA4F92" w:rsidRPr="00243386" w14:paraId="3042D01B" w14:textId="77777777" w:rsidTr="00882158">
        <w:trPr>
          <w:trHeight w:val="306"/>
        </w:trPr>
        <w:tc>
          <w:tcPr>
            <w:tcW w:w="9638" w:type="dxa"/>
            <w:gridSpan w:val="2"/>
            <w:tcBorders>
              <w:top w:val="nil"/>
              <w:bottom w:val="nil"/>
            </w:tcBorders>
            <w:shd w:val="clear" w:color="000000" w:fill="auto"/>
          </w:tcPr>
          <w:p w14:paraId="318AAE05"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South Australia Royal Commission into Early Childhood Education and Care</w:t>
            </w:r>
          </w:p>
        </w:tc>
      </w:tr>
      <w:tr w:rsidR="00BA4F92" w:rsidRPr="00243386" w14:paraId="59971B1F" w14:textId="77777777" w:rsidTr="00882158">
        <w:trPr>
          <w:trHeight w:val="306"/>
        </w:trPr>
        <w:tc>
          <w:tcPr>
            <w:tcW w:w="9638" w:type="dxa"/>
            <w:gridSpan w:val="2"/>
            <w:tcBorders>
              <w:bottom w:val="nil"/>
            </w:tcBorders>
            <w:shd w:val="clear" w:color="000000" w:fill="F2F2F2"/>
          </w:tcPr>
          <w:p w14:paraId="0E3670EE"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Minderoo</w:t>
            </w:r>
          </w:p>
        </w:tc>
      </w:tr>
      <w:tr w:rsidR="00BA4F92" w:rsidRPr="00243386" w14:paraId="19317B12" w14:textId="77777777" w:rsidTr="00882158">
        <w:trPr>
          <w:trHeight w:val="306"/>
        </w:trPr>
        <w:tc>
          <w:tcPr>
            <w:tcW w:w="9638" w:type="dxa"/>
            <w:gridSpan w:val="2"/>
            <w:tcBorders>
              <w:top w:val="nil"/>
              <w:bottom w:val="nil"/>
            </w:tcBorders>
            <w:shd w:val="clear" w:color="000000" w:fill="auto"/>
          </w:tcPr>
          <w:p w14:paraId="14F86B1A"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RDA Kimberley</w:t>
            </w:r>
          </w:p>
        </w:tc>
      </w:tr>
      <w:tr w:rsidR="00BA4F92" w:rsidRPr="00243386" w14:paraId="4FD65094" w14:textId="77777777" w:rsidTr="00882158">
        <w:trPr>
          <w:trHeight w:val="306"/>
        </w:trPr>
        <w:tc>
          <w:tcPr>
            <w:tcW w:w="9638" w:type="dxa"/>
            <w:gridSpan w:val="2"/>
            <w:tcBorders>
              <w:bottom w:val="nil"/>
            </w:tcBorders>
            <w:shd w:val="clear" w:color="000000" w:fill="F2F2F2"/>
          </w:tcPr>
          <w:p w14:paraId="1A4B24FA"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Dr Ros Sambell</w:t>
            </w:r>
          </w:p>
        </w:tc>
      </w:tr>
      <w:tr w:rsidR="00BA4F92" w:rsidRPr="00243386" w14:paraId="42DA7FDE" w14:textId="77777777" w:rsidTr="00882158">
        <w:trPr>
          <w:trHeight w:val="306"/>
        </w:trPr>
        <w:tc>
          <w:tcPr>
            <w:tcW w:w="9638" w:type="dxa"/>
            <w:gridSpan w:val="2"/>
            <w:tcBorders>
              <w:top w:val="nil"/>
              <w:bottom w:val="nil"/>
            </w:tcBorders>
            <w:shd w:val="clear" w:color="000000" w:fill="auto"/>
          </w:tcPr>
          <w:p w14:paraId="6BDE1BB9" w14:textId="77777777" w:rsidR="00BA4F92" w:rsidRPr="00243386" w:rsidRDefault="00BA4F92" w:rsidP="00882158">
            <w:pPr>
              <w:pStyle w:val="TableBody"/>
              <w:spacing w:before="45" w:after="45"/>
              <w:ind w:right="108"/>
              <w:rPr>
                <w:rFonts w:ascii="Arial (Body)" w:hAnsi="Arial (Body)"/>
                <w:bCs/>
              </w:rPr>
            </w:pPr>
            <w:r>
              <w:rPr>
                <w:rFonts w:ascii="Arial (Body)" w:hAnsi="Arial (Body)"/>
                <w:b/>
                <w:color w:val="265A9A"/>
              </w:rPr>
              <w:t>Online 19 March 2024</w:t>
            </w:r>
          </w:p>
        </w:tc>
      </w:tr>
      <w:tr w:rsidR="00BA4F92" w:rsidRPr="00243386" w14:paraId="621DE4A6" w14:textId="77777777" w:rsidTr="00882158">
        <w:trPr>
          <w:trHeight w:val="306"/>
        </w:trPr>
        <w:tc>
          <w:tcPr>
            <w:tcW w:w="9638" w:type="dxa"/>
            <w:gridSpan w:val="2"/>
            <w:tcBorders>
              <w:bottom w:val="nil"/>
            </w:tcBorders>
            <w:shd w:val="clear" w:color="000000" w:fill="F2F2F2"/>
          </w:tcPr>
          <w:p w14:paraId="536844A2"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Plumtree Children’s Services</w:t>
            </w:r>
          </w:p>
        </w:tc>
      </w:tr>
      <w:tr w:rsidR="00BA4F92" w:rsidRPr="00243386" w14:paraId="4AEC538F" w14:textId="77777777" w:rsidTr="00882158">
        <w:trPr>
          <w:trHeight w:val="306"/>
        </w:trPr>
        <w:tc>
          <w:tcPr>
            <w:tcW w:w="9638" w:type="dxa"/>
            <w:gridSpan w:val="2"/>
            <w:tcBorders>
              <w:top w:val="nil"/>
              <w:bottom w:val="nil"/>
            </w:tcBorders>
            <w:shd w:val="clear" w:color="000000" w:fill="auto"/>
          </w:tcPr>
          <w:p w14:paraId="2FD9A06D"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Early Learning and Care Council of Australia</w:t>
            </w:r>
          </w:p>
        </w:tc>
      </w:tr>
      <w:tr w:rsidR="00BA4F92" w:rsidRPr="00243386" w14:paraId="45B55BCC" w14:textId="77777777" w:rsidTr="00882158">
        <w:trPr>
          <w:trHeight w:val="306"/>
        </w:trPr>
        <w:tc>
          <w:tcPr>
            <w:tcW w:w="9638" w:type="dxa"/>
            <w:gridSpan w:val="2"/>
            <w:tcBorders>
              <w:bottom w:val="nil"/>
            </w:tcBorders>
            <w:shd w:val="clear" w:color="000000" w:fill="F2F2F2"/>
          </w:tcPr>
          <w:p w14:paraId="674E663F"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Several Wimmera Southern Mallee, Mallee, Loddon Campaspe and surrounding regions participants</w:t>
            </w:r>
          </w:p>
        </w:tc>
      </w:tr>
      <w:tr w:rsidR="00BA4F92" w:rsidRPr="00243386" w14:paraId="71C57E6D" w14:textId="77777777" w:rsidTr="00882158">
        <w:trPr>
          <w:trHeight w:val="306"/>
        </w:trPr>
        <w:tc>
          <w:tcPr>
            <w:tcW w:w="9638" w:type="dxa"/>
            <w:gridSpan w:val="2"/>
            <w:tcBorders>
              <w:top w:val="nil"/>
              <w:bottom w:val="nil"/>
            </w:tcBorders>
            <w:shd w:val="clear" w:color="000000" w:fill="auto"/>
          </w:tcPr>
          <w:p w14:paraId="598F83F0"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National Farmers’ Federation</w:t>
            </w:r>
          </w:p>
        </w:tc>
      </w:tr>
      <w:tr w:rsidR="00BA4F92" w:rsidRPr="00243386" w14:paraId="741712C0" w14:textId="77777777" w:rsidTr="00882158">
        <w:trPr>
          <w:trHeight w:val="306"/>
        </w:trPr>
        <w:tc>
          <w:tcPr>
            <w:tcW w:w="9638" w:type="dxa"/>
            <w:gridSpan w:val="2"/>
            <w:tcBorders>
              <w:bottom w:val="nil"/>
            </w:tcBorders>
            <w:shd w:val="clear" w:color="000000" w:fill="F2F2F2"/>
          </w:tcPr>
          <w:p w14:paraId="40901F8C"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Network of Community Activities</w:t>
            </w:r>
          </w:p>
        </w:tc>
      </w:tr>
      <w:tr w:rsidR="00BA4F92" w:rsidRPr="00243386" w14:paraId="47DB02A2" w14:textId="77777777" w:rsidTr="00882158">
        <w:trPr>
          <w:trHeight w:val="306"/>
        </w:trPr>
        <w:tc>
          <w:tcPr>
            <w:tcW w:w="9638" w:type="dxa"/>
            <w:gridSpan w:val="2"/>
            <w:tcBorders>
              <w:top w:val="nil"/>
              <w:bottom w:val="nil"/>
            </w:tcBorders>
            <w:shd w:val="clear" w:color="000000" w:fill="auto"/>
          </w:tcPr>
          <w:p w14:paraId="3437483C" w14:textId="77777777" w:rsidR="00BA4F92" w:rsidRPr="00243386" w:rsidRDefault="00BA4F92" w:rsidP="00882158">
            <w:pPr>
              <w:pStyle w:val="TableBody"/>
              <w:spacing w:before="45" w:after="45"/>
              <w:ind w:right="108"/>
              <w:rPr>
                <w:rFonts w:ascii="Arial (Body)" w:hAnsi="Arial (Body)"/>
                <w:bCs/>
              </w:rPr>
            </w:pPr>
            <w:r>
              <w:rPr>
                <w:rFonts w:ascii="Arial (Body)" w:hAnsi="Arial (Body)"/>
                <w:b/>
                <w:color w:val="265A9A"/>
              </w:rPr>
              <w:t>In-person 20 March 2024</w:t>
            </w:r>
          </w:p>
        </w:tc>
      </w:tr>
      <w:tr w:rsidR="00BA4F92" w:rsidRPr="00243386" w14:paraId="1420267C" w14:textId="77777777" w:rsidTr="00882158">
        <w:trPr>
          <w:trHeight w:val="306"/>
        </w:trPr>
        <w:tc>
          <w:tcPr>
            <w:tcW w:w="9638" w:type="dxa"/>
            <w:gridSpan w:val="2"/>
            <w:tcBorders>
              <w:bottom w:val="nil"/>
            </w:tcBorders>
            <w:shd w:val="clear" w:color="000000" w:fill="F2F2F2"/>
          </w:tcPr>
          <w:p w14:paraId="3800DCB7"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Australian Research Alliance for Children and Youth</w:t>
            </w:r>
          </w:p>
        </w:tc>
      </w:tr>
      <w:tr w:rsidR="00BA4F92" w:rsidRPr="00243386" w14:paraId="7DFB3E87" w14:textId="77777777" w:rsidTr="00882158">
        <w:trPr>
          <w:trHeight w:val="306"/>
        </w:trPr>
        <w:tc>
          <w:tcPr>
            <w:tcW w:w="9638" w:type="dxa"/>
            <w:gridSpan w:val="2"/>
            <w:tcBorders>
              <w:top w:val="nil"/>
              <w:bottom w:val="nil"/>
            </w:tcBorders>
            <w:shd w:val="clear" w:color="000000" w:fill="auto"/>
          </w:tcPr>
          <w:p w14:paraId="307119E5"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National Foundation for Australian Women</w:t>
            </w:r>
          </w:p>
        </w:tc>
      </w:tr>
      <w:tr w:rsidR="00BA4F92" w:rsidRPr="00243386" w14:paraId="0ED7757F" w14:textId="77777777" w:rsidTr="00882158">
        <w:trPr>
          <w:trHeight w:val="306"/>
        </w:trPr>
        <w:tc>
          <w:tcPr>
            <w:tcW w:w="9638" w:type="dxa"/>
            <w:gridSpan w:val="2"/>
            <w:tcBorders>
              <w:bottom w:val="nil"/>
            </w:tcBorders>
            <w:shd w:val="clear" w:color="000000" w:fill="F2F2F2"/>
          </w:tcPr>
          <w:p w14:paraId="2A9AC72B"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Early Childhood Australia</w:t>
            </w:r>
          </w:p>
        </w:tc>
      </w:tr>
      <w:tr w:rsidR="00BA4F92" w:rsidRPr="00243386" w14:paraId="2E32CDA2" w14:textId="77777777" w:rsidTr="00882158">
        <w:trPr>
          <w:trHeight w:val="306"/>
        </w:trPr>
        <w:tc>
          <w:tcPr>
            <w:tcW w:w="9638" w:type="dxa"/>
            <w:gridSpan w:val="2"/>
            <w:tcBorders>
              <w:top w:val="nil"/>
              <w:bottom w:val="nil"/>
            </w:tcBorders>
            <w:shd w:val="clear" w:color="000000" w:fill="auto"/>
          </w:tcPr>
          <w:p w14:paraId="7AC33770"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Australian Multiple Birth Association</w:t>
            </w:r>
          </w:p>
        </w:tc>
      </w:tr>
      <w:tr w:rsidR="00BA4F92" w:rsidRPr="00243386" w14:paraId="3130548C" w14:textId="77777777" w:rsidTr="00882158">
        <w:trPr>
          <w:trHeight w:val="306"/>
        </w:trPr>
        <w:tc>
          <w:tcPr>
            <w:tcW w:w="9638" w:type="dxa"/>
            <w:gridSpan w:val="2"/>
            <w:tcBorders>
              <w:bottom w:val="nil"/>
            </w:tcBorders>
            <w:shd w:val="clear" w:color="000000" w:fill="F2F2F2"/>
          </w:tcPr>
          <w:p w14:paraId="6E0782C3" w14:textId="3F42CB1E" w:rsidR="00BA4F92" w:rsidRPr="00243386" w:rsidRDefault="00BA4F92" w:rsidP="00882158">
            <w:pPr>
              <w:pStyle w:val="TableBody"/>
              <w:spacing w:before="45" w:after="45"/>
              <w:ind w:right="108"/>
              <w:rPr>
                <w:rFonts w:ascii="Arial (Body)" w:hAnsi="Arial (Body)"/>
                <w:bCs/>
              </w:rPr>
            </w:pPr>
            <w:r>
              <w:rPr>
                <w:rFonts w:ascii="Arial (Body)" w:hAnsi="Arial (Body)"/>
                <w:bCs/>
              </w:rPr>
              <w:t>Dr J Rob Bray and Prof</w:t>
            </w:r>
            <w:r w:rsidR="002502FE">
              <w:rPr>
                <w:rFonts w:ascii="Arial (Body)" w:hAnsi="Arial (Body)"/>
                <w:bCs/>
              </w:rPr>
              <w:t>.</w:t>
            </w:r>
            <w:r>
              <w:rPr>
                <w:rFonts w:ascii="Arial (Body)" w:hAnsi="Arial (Body)"/>
                <w:bCs/>
              </w:rPr>
              <w:t xml:space="preserve"> Matthew Gray</w:t>
            </w:r>
          </w:p>
        </w:tc>
      </w:tr>
      <w:tr w:rsidR="00BA4F92" w:rsidRPr="00243386" w14:paraId="7410A602" w14:textId="77777777" w:rsidTr="00882158">
        <w:trPr>
          <w:trHeight w:val="306"/>
        </w:trPr>
        <w:tc>
          <w:tcPr>
            <w:tcW w:w="9638" w:type="dxa"/>
            <w:gridSpan w:val="2"/>
            <w:tcBorders>
              <w:top w:val="nil"/>
              <w:bottom w:val="nil"/>
            </w:tcBorders>
            <w:shd w:val="clear" w:color="000000" w:fill="auto"/>
          </w:tcPr>
          <w:p w14:paraId="2628534E"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Participants from the Wimmera Southern Mallee, Mallee, Loddon Campaspe and surrounding regions</w:t>
            </w:r>
          </w:p>
        </w:tc>
      </w:tr>
      <w:tr w:rsidR="00BA4F92" w:rsidRPr="00243386" w14:paraId="2C554093" w14:textId="77777777" w:rsidTr="00882158">
        <w:trPr>
          <w:trHeight w:val="306"/>
        </w:trPr>
        <w:tc>
          <w:tcPr>
            <w:tcW w:w="9638" w:type="dxa"/>
            <w:gridSpan w:val="2"/>
            <w:tcBorders>
              <w:bottom w:val="nil"/>
            </w:tcBorders>
            <w:shd w:val="clear" w:color="000000" w:fill="F2F2F2"/>
          </w:tcPr>
          <w:p w14:paraId="3DBD904A"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Independent Schools Australia</w:t>
            </w:r>
          </w:p>
        </w:tc>
      </w:tr>
      <w:tr w:rsidR="00BA4F92" w:rsidRPr="00243386" w14:paraId="20071F59" w14:textId="77777777" w:rsidTr="00882158">
        <w:trPr>
          <w:trHeight w:val="306"/>
        </w:trPr>
        <w:tc>
          <w:tcPr>
            <w:tcW w:w="9638" w:type="dxa"/>
            <w:gridSpan w:val="2"/>
            <w:tcBorders>
              <w:top w:val="nil"/>
              <w:bottom w:val="nil"/>
            </w:tcBorders>
            <w:shd w:val="clear" w:color="000000" w:fill="auto"/>
          </w:tcPr>
          <w:p w14:paraId="5D9B0B23" w14:textId="77777777" w:rsidR="00BA4F92" w:rsidRPr="00243386" w:rsidRDefault="00BA4F92" w:rsidP="00882158">
            <w:pPr>
              <w:pStyle w:val="TableBody"/>
              <w:spacing w:before="45" w:after="45"/>
              <w:ind w:right="108"/>
              <w:rPr>
                <w:rFonts w:ascii="Arial (Body)" w:hAnsi="Arial (Body)"/>
                <w:bCs/>
              </w:rPr>
            </w:pPr>
            <w:r>
              <w:rPr>
                <w:rFonts w:ascii="Arial (Body)" w:hAnsi="Arial (Body)"/>
                <w:bCs/>
              </w:rPr>
              <w:t>Speech Pathology Australia</w:t>
            </w:r>
          </w:p>
        </w:tc>
      </w:tr>
      <w:tr w:rsidR="00BA4F92" w:rsidRPr="0012793A" w14:paraId="5AB02A00" w14:textId="77777777" w:rsidTr="006265EE">
        <w:trPr>
          <w:trHeight w:val="387"/>
        </w:trPr>
        <w:tc>
          <w:tcPr>
            <w:tcW w:w="9638" w:type="dxa"/>
            <w:gridSpan w:val="2"/>
            <w:tcBorders>
              <w:top w:val="nil"/>
            </w:tcBorders>
            <w:shd w:val="clear" w:color="auto" w:fill="F2F2F2" w:themeFill="background1" w:themeFillShade="F2"/>
          </w:tcPr>
          <w:p w14:paraId="69C23676" w14:textId="7EDA4A39" w:rsidR="00BA4F92" w:rsidRPr="0012793A" w:rsidRDefault="006265EE" w:rsidP="00882158">
            <w:pPr>
              <w:pStyle w:val="Source"/>
              <w:spacing w:before="45" w:after="45"/>
              <w:ind w:left="57" w:right="108"/>
              <w:rPr>
                <w:rFonts w:ascii="Arial (Body)" w:hAnsi="Arial (Body)"/>
                <w:b/>
                <w:color w:val="265A9A"/>
              </w:rPr>
            </w:pPr>
            <w:r>
              <w:rPr>
                <w:rFonts w:ascii="Arial (Body)" w:hAnsi="Arial (Body)"/>
                <w:bCs/>
              </w:rPr>
              <w:t>Chief Executive Women</w:t>
            </w:r>
          </w:p>
        </w:tc>
      </w:tr>
    </w:tbl>
    <w:p w14:paraId="334839BD" w14:textId="77777777" w:rsidR="00BA4F92" w:rsidRPr="00BB5C22" w:rsidRDefault="00BA4F92" w:rsidP="00882158">
      <w:pPr>
        <w:pStyle w:val="Source"/>
      </w:pPr>
    </w:p>
    <w:p w14:paraId="7CE838FF" w14:textId="77777777" w:rsidR="00EC5BB1" w:rsidRDefault="00EC5BB1" w:rsidP="00882158">
      <w:pPr>
        <w:pStyle w:val="BodyText"/>
        <w:sectPr w:rsidR="00EC5BB1" w:rsidSect="001B7B00">
          <w:headerReference w:type="even" r:id="rId26"/>
          <w:headerReference w:type="default" r:id="rId27"/>
          <w:footnotePr>
            <w:numRestart w:val="eachSect"/>
          </w:footnotePr>
          <w:type w:val="oddPage"/>
          <w:pgSz w:w="11906" w:h="16838" w:code="9"/>
          <w:pgMar w:top="1134" w:right="1134" w:bottom="1134" w:left="1134" w:header="794" w:footer="510" w:gutter="0"/>
          <w:cols w:space="708"/>
          <w:docGrid w:linePitch="360"/>
        </w:sectPr>
      </w:pPr>
    </w:p>
    <w:p w14:paraId="70E96FD9" w14:textId="77777777" w:rsidR="00EC5BB1" w:rsidRPr="00F4314F" w:rsidRDefault="00EC5BB1" w:rsidP="00F4314F">
      <w:pPr>
        <w:pStyle w:val="Heading-Appendix"/>
      </w:pPr>
      <w:bookmarkStart w:id="5" w:name="_Toc172213567"/>
      <w:r w:rsidRPr="00F4314F">
        <w:lastRenderedPageBreak/>
        <w:t>International models</w:t>
      </w:r>
      <w:bookmarkEnd w:id="5"/>
    </w:p>
    <w:p w14:paraId="4674CB99" w14:textId="77777777" w:rsidR="00EC5BB1" w:rsidRDefault="00EC5BB1" w:rsidP="00882158">
      <w:pPr>
        <w:pStyle w:val="BodyText"/>
      </w:pPr>
      <w:r>
        <w:t>The provision of early childhood education and care (ECEC) varies widely internationally – some countries frame ECEC as a legal right for all children and support the sector with high levels of public funding, and others place a higher value on parental and informal care, with less support</w:t>
      </w:r>
      <w:r w:rsidDel="00133090">
        <w:t xml:space="preserve"> </w:t>
      </w:r>
      <w:r>
        <w:t>for formal services. One common trend, however, is that many countries are undertaking reforms to their ECEC sector as additional research comes to light, and as views change on the function of ECEC and the role of government in supporting the sector.</w:t>
      </w:r>
    </w:p>
    <w:p w14:paraId="09B3787D" w14:textId="77777777" w:rsidR="00EC5BB1" w:rsidRDefault="00EC5BB1" w:rsidP="00882158">
      <w:pPr>
        <w:pStyle w:val="BodyText"/>
      </w:pPr>
      <w:r>
        <w:t>The primary aim of the appendix is to describe some of the key characteristics of ECEC systems in different countries and illustrate the variety of approaches taken. While the data</w:t>
      </w:r>
      <w:r w:rsidRPr="00A065ED">
        <w:t xml:space="preserve"> used </w:t>
      </w:r>
      <w:r>
        <w:t>in the appendix is</w:t>
      </w:r>
      <w:r w:rsidRPr="00A065ED">
        <w:t xml:space="preserve"> useful for broad comparisons</w:t>
      </w:r>
      <w:r>
        <w:t>, selected indicators should not be relied upon alone to make judgments about the relative performance of ECEC systems of different countries.</w:t>
      </w:r>
    </w:p>
    <w:p w14:paraId="452206F6" w14:textId="77777777" w:rsidR="00EC5BB1" w:rsidRDefault="00EC5BB1" w:rsidP="00882158">
      <w:pPr>
        <w:pStyle w:val="BodyText"/>
      </w:pPr>
      <w:r>
        <w:t>Moreover, the ways in which governments design and manage their ECEC systems</w:t>
      </w:r>
      <w:r w:rsidDel="004D7E70">
        <w:t xml:space="preserve"> </w:t>
      </w:r>
      <w:r>
        <w:t>are a product of their social contexts and policy settings, such as those around taxation or industrial relations. These factors can have significant impacts on how governments approach ECEC but are beyond the scope of this appendix.</w:t>
      </w:r>
    </w:p>
    <w:p w14:paraId="4571E402" w14:textId="77777777" w:rsidR="00EC5BB1" w:rsidRDefault="00EC5BB1">
      <w:pPr>
        <w:pStyle w:val="BodyText"/>
      </w:pPr>
      <w:r>
        <w:t>Finally, this appendix focuses primarily on the structural elements of ECEC. While it briefly looks at how governments influence quality through ratios and qualification requirements, it does not seek to compare the quality outcomes of different systems, or the extent to which countries improve child development outcomes through ECEC.</w:t>
      </w:r>
    </w:p>
    <w:p w14:paraId="3D44F5FF" w14:textId="77777777" w:rsidR="00EC5BB1" w:rsidRDefault="00EC5BB1" w:rsidP="00882158">
      <w:pPr>
        <w:pStyle w:val="BodyText"/>
      </w:pPr>
      <w:r>
        <w:t>The paper first examines ECEC systems in OECD countries across some key indicators, then examines how several other small, advanced economies approach ECEC in more detail.</w:t>
      </w:r>
    </w:p>
    <w:p w14:paraId="199E063D" w14:textId="77777777" w:rsidR="00EC5BB1" w:rsidRDefault="00EC5BB1" w:rsidP="00FB6640">
      <w:pPr>
        <w:pStyle w:val="Heading2-Appendix"/>
      </w:pPr>
      <w:bookmarkStart w:id="6" w:name="_Toc172213568"/>
      <w:r w:rsidRPr="00A13B2D">
        <w:t>An</w:t>
      </w:r>
      <w:r>
        <w:t xml:space="preserve"> o</w:t>
      </w:r>
      <w:r w:rsidRPr="00A13B2D">
        <w:t xml:space="preserve">verview </w:t>
      </w:r>
      <w:r>
        <w:t>of international ECEC use and delivery</w:t>
      </w:r>
      <w:bookmarkEnd w:id="6"/>
    </w:p>
    <w:p w14:paraId="5E621A64" w14:textId="77777777" w:rsidR="00EC5BB1" w:rsidRDefault="00EC5BB1" w:rsidP="00882158">
      <w:pPr>
        <w:pStyle w:val="Heading3"/>
        <w:spacing w:before="120"/>
      </w:pPr>
      <w:r>
        <w:t>ECEC participation</w:t>
      </w:r>
    </w:p>
    <w:p w14:paraId="749B4C0F" w14:textId="77777777" w:rsidR="00EC5BB1" w:rsidRDefault="00EC5BB1" w:rsidP="00882158">
      <w:pPr>
        <w:pStyle w:val="BodyText"/>
      </w:pPr>
      <w:r>
        <w:t>Families’ decisions and preferences about the type of ECEC they use are often rooted in complex social norms and cultural values which can lead to significant variation in ECEC participation.</w:t>
      </w:r>
    </w:p>
    <w:p w14:paraId="04C1E492" w14:textId="77777777" w:rsidR="00EC5BB1" w:rsidRPr="00AC348A" w:rsidRDefault="00EC5BB1" w:rsidP="00882158">
      <w:pPr>
        <w:pStyle w:val="BodyText"/>
        <w:rPr>
          <w:spacing w:val="-4"/>
        </w:rPr>
      </w:pPr>
      <w:r w:rsidRPr="00AC348A">
        <w:rPr>
          <w:spacing w:val="-4"/>
        </w:rPr>
        <w:t>Rates of ECEC participation for younger children (0</w:t>
      </w:r>
      <w:r w:rsidRPr="00AC348A">
        <w:rPr>
          <w:spacing w:val="-4"/>
        </w:rPr>
        <w:noBreakHyphen/>
        <w:t xml:space="preserve">2 years old) in OECD countries vary from almost zero in </w:t>
      </w:r>
      <w:r w:rsidRPr="00AC348A">
        <w:rPr>
          <w:b/>
          <w:bCs/>
          <w:i/>
          <w:iCs/>
          <w:spacing w:val="-4"/>
        </w:rPr>
        <w:t>Türkiye</w:t>
      </w:r>
      <w:r w:rsidRPr="00AC348A">
        <w:rPr>
          <w:spacing w:val="-4"/>
        </w:rPr>
        <w:t xml:space="preserve"> to almost 70% in the </w:t>
      </w:r>
      <w:r w:rsidRPr="00AC348A">
        <w:rPr>
          <w:b/>
          <w:bCs/>
          <w:i/>
          <w:iCs/>
          <w:spacing w:val="-4"/>
        </w:rPr>
        <w:t>Netherlands</w:t>
      </w:r>
      <w:r w:rsidRPr="00AC348A">
        <w:rPr>
          <w:b/>
          <w:bCs/>
          <w:spacing w:val="-4"/>
        </w:rPr>
        <w:t xml:space="preserve">, </w:t>
      </w:r>
      <w:r w:rsidRPr="00AC348A">
        <w:rPr>
          <w:spacing w:val="-4"/>
        </w:rPr>
        <w:t>with Australia also featuring relatively high use</w:t>
      </w:r>
      <w:r w:rsidRPr="00AC348A">
        <w:rPr>
          <w:i/>
          <w:iCs/>
          <w:spacing w:val="-4"/>
        </w:rPr>
        <w:t xml:space="preserve"> </w:t>
      </w:r>
      <w:r w:rsidRPr="00AC348A">
        <w:rPr>
          <w:spacing w:val="-4"/>
        </w:rPr>
        <w:t>(figure B.1). Participation then increases markedly as children approach school age, with participation rates for children in the year before full</w:t>
      </w:r>
      <w:r w:rsidRPr="00AC348A">
        <w:rPr>
          <w:spacing w:val="-4"/>
        </w:rPr>
        <w:noBreakHyphen/>
        <w:t xml:space="preserve">time schooling ranging from about 80% in </w:t>
      </w:r>
      <w:r w:rsidRPr="00AC348A">
        <w:rPr>
          <w:b/>
          <w:bCs/>
          <w:i/>
          <w:iCs/>
          <w:spacing w:val="-4"/>
        </w:rPr>
        <w:t>Türkiye</w:t>
      </w:r>
      <w:r w:rsidRPr="00AC348A">
        <w:rPr>
          <w:rStyle w:val="CommentReference"/>
          <w:spacing w:val="-4"/>
        </w:rPr>
        <w:t xml:space="preserve"> </w:t>
      </w:r>
      <w:r w:rsidRPr="00AC348A">
        <w:rPr>
          <w:spacing w:val="-4"/>
        </w:rPr>
        <w:t xml:space="preserve">to almost 100% in many other countries, including the </w:t>
      </w:r>
      <w:r w:rsidRPr="00AC348A">
        <w:rPr>
          <w:b/>
          <w:bCs/>
          <w:i/>
          <w:iCs/>
          <w:spacing w:val="-4"/>
        </w:rPr>
        <w:t>United Kingdom</w:t>
      </w:r>
      <w:r w:rsidRPr="00AC348A">
        <w:rPr>
          <w:spacing w:val="-4"/>
        </w:rPr>
        <w:t xml:space="preserve">, </w:t>
      </w:r>
      <w:r w:rsidRPr="00AC348A">
        <w:rPr>
          <w:b/>
          <w:bCs/>
          <w:i/>
          <w:iCs/>
          <w:spacing w:val="-4"/>
        </w:rPr>
        <w:t>Mexico,</w:t>
      </w:r>
      <w:r w:rsidRPr="00AC348A">
        <w:rPr>
          <w:b/>
          <w:bCs/>
          <w:spacing w:val="-4"/>
        </w:rPr>
        <w:t xml:space="preserve"> </w:t>
      </w:r>
      <w:r w:rsidRPr="00AC348A">
        <w:rPr>
          <w:b/>
          <w:bCs/>
          <w:i/>
          <w:iCs/>
          <w:spacing w:val="-4"/>
        </w:rPr>
        <w:t>Portugal</w:t>
      </w:r>
      <w:r w:rsidRPr="00AC348A">
        <w:rPr>
          <w:spacing w:val="-4"/>
        </w:rPr>
        <w:t>, and</w:t>
      </w:r>
      <w:r w:rsidRPr="00AC348A">
        <w:rPr>
          <w:b/>
          <w:bCs/>
          <w:spacing w:val="-4"/>
        </w:rPr>
        <w:t xml:space="preserve"> </w:t>
      </w:r>
      <w:r w:rsidRPr="00AC348A">
        <w:rPr>
          <w:b/>
          <w:bCs/>
          <w:i/>
          <w:iCs/>
          <w:spacing w:val="-4"/>
        </w:rPr>
        <w:t>Switzerland</w:t>
      </w:r>
      <w:r w:rsidRPr="00AC348A">
        <w:rPr>
          <w:b/>
          <w:bCs/>
          <w:spacing w:val="-4"/>
        </w:rPr>
        <w:t xml:space="preserve"> </w:t>
      </w:r>
      <w:r w:rsidRPr="00AC348A">
        <w:rPr>
          <w:spacing w:val="-4"/>
        </w:rPr>
        <w:t>(figure B.2).</w:t>
      </w:r>
      <w:r w:rsidRPr="00AC348A">
        <w:rPr>
          <w:b/>
          <w:i/>
          <w:spacing w:val="-4"/>
        </w:rPr>
        <w:t xml:space="preserve"> </w:t>
      </w:r>
      <w:r w:rsidRPr="00AC348A">
        <w:rPr>
          <w:spacing w:val="-4"/>
        </w:rPr>
        <w:t>Australia ranks behind</w:t>
      </w:r>
      <w:r w:rsidRPr="00AC348A">
        <w:rPr>
          <w:bCs/>
          <w:iCs/>
          <w:spacing w:val="-4"/>
        </w:rPr>
        <w:t xml:space="preserve"> these countries, with the OECD reporting that 82% of children in the year before full</w:t>
      </w:r>
      <w:r w:rsidRPr="00AC348A">
        <w:rPr>
          <w:bCs/>
          <w:iCs/>
          <w:spacing w:val="-4"/>
        </w:rPr>
        <w:noBreakHyphen/>
        <w:t>time schooling participate in ECEC. It is important to note, however, that this is a lower figure than is used elsewhere in this report – domestic sources estimate that the share of four</w:t>
      </w:r>
      <w:r w:rsidRPr="00AC348A">
        <w:rPr>
          <w:bCs/>
          <w:iCs/>
          <w:spacing w:val="-4"/>
        </w:rPr>
        <w:noBreakHyphen/>
        <w:t>year</w:t>
      </w:r>
      <w:r w:rsidRPr="00AC348A">
        <w:rPr>
          <w:bCs/>
          <w:iCs/>
          <w:spacing w:val="-4"/>
        </w:rPr>
        <w:noBreakHyphen/>
        <w:t>olds enrolled in ECEC is about 90% (paper 2). This difference is likely due to methodological decisions made by the OECD for more effective cross</w:t>
      </w:r>
      <w:r w:rsidRPr="00AC348A">
        <w:rPr>
          <w:bCs/>
          <w:iCs/>
          <w:spacing w:val="-4"/>
        </w:rPr>
        <w:noBreakHyphen/>
        <w:t>country comparison.</w:t>
      </w:r>
    </w:p>
    <w:p w14:paraId="1D6A781A" w14:textId="77777777" w:rsidR="00EC5BB1" w:rsidRDefault="00EC5BB1" w:rsidP="00882158">
      <w:pPr>
        <w:pStyle w:val="BodyText"/>
      </w:pPr>
      <w:r>
        <w:lastRenderedPageBreak/>
        <w:t xml:space="preserve">Many countries are working to increase their ECEC participation rates. In 2022, European Union member states adopted the Barcelona Targets for 2030, which feature a set of goals around ECEC access and participation </w:t>
      </w:r>
      <w:r w:rsidRPr="00A13ED1">
        <w:rPr>
          <w:rFonts w:ascii="Arial" w:hAnsi="Arial" w:cs="Arial"/>
          <w:szCs w:val="24"/>
        </w:rPr>
        <w:t>(Council of the European Union 2022, pp. 21–23)</w:t>
      </w:r>
      <w:r>
        <w:t xml:space="preserve">. The Targets designate that at least 45% of children below the age of three and at least 96% of children between the age of three and the country’s school starting age should participate in ECEC, and that at least 25 hours per week should be available to each child. </w:t>
      </w:r>
      <w:r w:rsidRPr="00A42CCC">
        <w:t xml:space="preserve">Many countries </w:t>
      </w:r>
      <w:r>
        <w:t>also provide entitlements to</w:t>
      </w:r>
      <w:r w:rsidRPr="00A42CCC">
        <w:t xml:space="preserve"> ECEC</w:t>
      </w:r>
      <w:r>
        <w:t xml:space="preserve"> at certain ages</w:t>
      </w:r>
      <w:r w:rsidRPr="00A42CCC">
        <w:t xml:space="preserve">, meaning that </w:t>
      </w:r>
      <w:r>
        <w:t>governments</w:t>
      </w:r>
      <w:r w:rsidRPr="00A42CCC">
        <w:t xml:space="preserve"> guarantee that a place will be available for any family that requests one. </w:t>
      </w:r>
      <w:r>
        <w:t xml:space="preserve">For example, a study of ECEC in European countries found that </w:t>
      </w:r>
      <w:r w:rsidRPr="00A42CCC">
        <w:t xml:space="preserve">seven </w:t>
      </w:r>
      <w:r>
        <w:t>countries –</w:t>
      </w:r>
      <w:r w:rsidRPr="00A42CCC">
        <w:t xml:space="preserve"> </w:t>
      </w:r>
      <w:r>
        <w:t>including</w:t>
      </w:r>
      <w:r w:rsidRPr="00A42CCC">
        <w:t xml:space="preserve"> </w:t>
      </w:r>
      <w:r w:rsidRPr="00D30FD5">
        <w:rPr>
          <w:b/>
          <w:i/>
        </w:rPr>
        <w:t>Germany</w:t>
      </w:r>
      <w:r w:rsidRPr="00A42CCC">
        <w:t xml:space="preserve">, </w:t>
      </w:r>
      <w:r w:rsidRPr="00D30FD5">
        <w:rPr>
          <w:b/>
          <w:i/>
        </w:rPr>
        <w:t>Latvia</w:t>
      </w:r>
      <w:r w:rsidRPr="00A42CCC">
        <w:t xml:space="preserve"> and </w:t>
      </w:r>
      <w:r>
        <w:rPr>
          <w:b/>
          <w:i/>
        </w:rPr>
        <w:t>Denmark</w:t>
      </w:r>
      <w:r>
        <w:t xml:space="preserve"> – offer</w:t>
      </w:r>
      <w:r w:rsidRPr="00A42CCC">
        <w:t xml:space="preserve"> guarantee</w:t>
      </w:r>
      <w:r>
        <w:t>d places for</w:t>
      </w:r>
      <w:r w:rsidRPr="00A42CCC">
        <w:t xml:space="preserve"> children at very young ages (</w:t>
      </w:r>
      <w:r>
        <w:t>starting at six months</w:t>
      </w:r>
      <w:r w:rsidRPr="00A42CCC">
        <w:t xml:space="preserve"> old), and almost half </w:t>
      </w:r>
      <w:r>
        <w:t>guarantee</w:t>
      </w:r>
      <w:r w:rsidRPr="00A42CCC">
        <w:t xml:space="preserve"> a place </w:t>
      </w:r>
      <w:r>
        <w:t>for</w:t>
      </w:r>
      <w:r w:rsidRPr="00A42CCC">
        <w:t xml:space="preserve"> children from the age of three</w:t>
      </w:r>
      <w:r>
        <w:t xml:space="preserve"> </w:t>
      </w:r>
      <w:r w:rsidRPr="006F104E">
        <w:rPr>
          <w:rFonts w:ascii="Arial" w:hAnsi="Arial" w:cs="Arial"/>
          <w:szCs w:val="24"/>
        </w:rPr>
        <w:t>(European Commission 2019, pp. 10–11)</w:t>
      </w:r>
      <w:r w:rsidRPr="00A42CCC">
        <w:t xml:space="preserve">. </w:t>
      </w:r>
      <w:r>
        <w:t>Compulsory ECEC in the year before full</w:t>
      </w:r>
      <w:r>
        <w:noBreakHyphen/>
        <w:t xml:space="preserve">time schooling is also becoming more common, with at least one year of ECEC now compulsory in over a third </w:t>
      </w:r>
      <w:r w:rsidRPr="00A42CCC">
        <w:t>of European countrie</w:t>
      </w:r>
      <w:r>
        <w:t xml:space="preserve">s, and some countries (such as </w:t>
      </w:r>
      <w:r w:rsidRPr="00A07180">
        <w:rPr>
          <w:b/>
          <w:bCs/>
          <w:i/>
          <w:iCs/>
        </w:rPr>
        <w:t>Greece</w:t>
      </w:r>
      <w:r>
        <w:t xml:space="preserve"> and </w:t>
      </w:r>
      <w:r w:rsidRPr="00A07180">
        <w:rPr>
          <w:b/>
          <w:bCs/>
          <w:i/>
          <w:iCs/>
        </w:rPr>
        <w:t>Hungary</w:t>
      </w:r>
      <w:r w:rsidRPr="00F820CC">
        <w:t>)</w:t>
      </w:r>
      <w:r>
        <w:t xml:space="preserve"> mandating that children attend multiple years of ECEC</w:t>
      </w:r>
      <w:r w:rsidRPr="00A42CCC">
        <w:t>.</w:t>
      </w:r>
    </w:p>
    <w:p w14:paraId="188E46BA" w14:textId="77777777" w:rsidR="00EC5BB1" w:rsidRDefault="00EC5BB1" w:rsidP="00882158">
      <w:pPr>
        <w:pStyle w:val="FigureTableHeading"/>
        <w:keepLines/>
      </w:pPr>
      <w:r>
        <w:t xml:space="preserve">Figure </w:t>
      </w:r>
      <w:r>
        <w:rPr>
          <w:noProof/>
        </w:rPr>
        <w:t>B</w:t>
      </w:r>
      <w:r>
        <w:t>.</w:t>
      </w:r>
      <w:r>
        <w:rPr>
          <w:noProof/>
        </w:rPr>
        <w:t xml:space="preserve">1 </w:t>
      </w:r>
      <w:r>
        <w:t>– ECEC enrolment in Australia is relatively high among children aged 0–2</w:t>
      </w:r>
      <w:r w:rsidRPr="00066CF5">
        <w:rPr>
          <w:vertAlign w:val="superscript"/>
        </w:rPr>
        <w:t>a,b</w:t>
      </w:r>
      <w:r>
        <w:t xml:space="preserve"> …</w:t>
      </w:r>
    </w:p>
    <w:p w14:paraId="253C19C6" w14:textId="77777777" w:rsidR="00EC5BB1" w:rsidRDefault="00EC5BB1" w:rsidP="00882158">
      <w:pPr>
        <w:pStyle w:val="FigureTableSubheading"/>
        <w:keepLines/>
      </w:pPr>
      <w:r w:rsidRPr="00834321">
        <w:t>Enrolment rate of children under three years of age in early childhood education and care</w:t>
      </w:r>
      <w:r>
        <w:t xml:space="preserve"> services</w:t>
      </w:r>
      <w:r w:rsidRPr="00834321">
        <w:t>, 2020</w:t>
      </w:r>
    </w:p>
    <w:p w14:paraId="0DB5905B" w14:textId="77777777" w:rsidR="00EC5BB1" w:rsidRDefault="00EC5BB1" w:rsidP="00882158">
      <w:pPr>
        <w:pStyle w:val="Note"/>
        <w:keepLines/>
      </w:pPr>
      <w:r w:rsidRPr="00672AAC">
        <w:rPr>
          <w:noProof/>
        </w:rPr>
        <w:drawing>
          <wp:inline distT="0" distB="0" distL="0" distR="0" wp14:anchorId="296038DE" wp14:editId="6B72651A">
            <wp:extent cx="6120130" cy="2870835"/>
            <wp:effectExtent l="0" t="0" r="0" b="0"/>
            <wp:docPr id="1633711199" name="Picture 4" descr="Figure B.1 – This is a bar chart that shows the proportion of children age 0 to 2 that attend ECEC in about 30 OECD countries. Participation rates range from zero to 70%, and the participation rate for Australia is higher than the OECD average, at abou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11199" name="Picture 4" descr="Figure B.1 – This is a bar chart that shows the proportion of children age 0 to 2 that attend ECEC in about 30 OECD countries. Participation rates range from zero to 70%, and the participation rate for Australia is higher than the OECD average, at about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096FBB38" w14:textId="77777777" w:rsidR="00EC5BB1" w:rsidRPr="00AC348A" w:rsidRDefault="00EC5BB1" w:rsidP="00882158">
      <w:pPr>
        <w:pStyle w:val="Note"/>
        <w:keepLines/>
        <w:rPr>
          <w:spacing w:val="-4"/>
        </w:rPr>
      </w:pPr>
      <w:r w:rsidRPr="00AC348A">
        <w:rPr>
          <w:b/>
          <w:bCs/>
          <w:spacing w:val="-4"/>
        </w:rPr>
        <w:t>a.</w:t>
      </w:r>
      <w:r w:rsidRPr="00AC348A">
        <w:rPr>
          <w:spacing w:val="-4"/>
        </w:rPr>
        <w:t xml:space="preserve"> Data generally includes services within the scope of International Standard Classification of Education (ISCED) 2011 level 0 (formal ECEC services) and other registered ECEC services outside the scope of ISCED 0. Potential mismatches between enrolment data and population data (for example, due to different reference years or geographic coverage) may affect estimated enrolment rates. </w:t>
      </w:r>
      <w:r w:rsidRPr="00AC348A">
        <w:rPr>
          <w:b/>
          <w:bCs/>
          <w:spacing w:val="-4"/>
        </w:rPr>
        <w:t xml:space="preserve">b. </w:t>
      </w:r>
      <w:r w:rsidRPr="00AC348A">
        <w:rPr>
          <w:spacing w:val="-4"/>
        </w:rPr>
        <w:t>Data for Costa Rica, Iceland and United Kingdom is from 2018. Data for Japan is from 2019.</w:t>
      </w:r>
    </w:p>
    <w:p w14:paraId="1E6E03C0" w14:textId="77777777" w:rsidR="00EC5BB1" w:rsidRDefault="00EC5BB1" w:rsidP="00882158">
      <w:pPr>
        <w:pStyle w:val="Source"/>
        <w:keepLines/>
      </w:pPr>
      <w:r w:rsidRPr="00696447">
        <w:t>Source:</w:t>
      </w:r>
      <w:r>
        <w:t xml:space="preserve"> OECD </w:t>
      </w:r>
      <w:r w:rsidRPr="00DE4AAD">
        <w:rPr>
          <w:rFonts w:ascii="Arial" w:hAnsi="Arial" w:cs="Arial"/>
        </w:rPr>
        <w:t>(2023e)</w:t>
      </w:r>
      <w:r w:rsidRPr="00696447">
        <w:t>.</w:t>
      </w:r>
    </w:p>
    <w:p w14:paraId="7D929D43" w14:textId="77777777" w:rsidR="00EC5BB1" w:rsidRPr="00146382" w:rsidRDefault="00EC5BB1" w:rsidP="00882158">
      <w:pPr>
        <w:pStyle w:val="FigureTableHeading"/>
        <w:keepLines/>
      </w:pPr>
      <w:r>
        <w:lastRenderedPageBreak/>
        <w:t xml:space="preserve">Figure </w:t>
      </w:r>
      <w:r>
        <w:rPr>
          <w:noProof/>
        </w:rPr>
        <w:t>B</w:t>
      </w:r>
      <w:r>
        <w:t>.</w:t>
      </w:r>
      <w:r>
        <w:rPr>
          <w:noProof/>
        </w:rPr>
        <w:t xml:space="preserve">2 </w:t>
      </w:r>
      <w:r>
        <w:t xml:space="preserve">– </w:t>
      </w:r>
      <w:r w:rsidRPr="004453A1">
        <w:t xml:space="preserve">… but preschool participation in Australia is lower than the </w:t>
      </w:r>
      <w:r w:rsidRPr="00E172F5">
        <w:t>OECD</w:t>
      </w:r>
      <w:r w:rsidRPr="004453A1">
        <w:t xml:space="preserve"> average</w:t>
      </w:r>
      <w:r w:rsidRPr="00066CF5">
        <w:rPr>
          <w:vertAlign w:val="superscript"/>
        </w:rPr>
        <w:t>a</w:t>
      </w:r>
    </w:p>
    <w:p w14:paraId="7CA7FC3C" w14:textId="77777777" w:rsidR="00EC5BB1" w:rsidRDefault="00EC5BB1" w:rsidP="00882158">
      <w:pPr>
        <w:pStyle w:val="FigureTableSubheading"/>
        <w:keepLines/>
      </w:pPr>
      <w:r w:rsidRPr="00E52BAB">
        <w:t>Participation rate in organised learning one year before primary school entry, 2020</w:t>
      </w:r>
    </w:p>
    <w:p w14:paraId="53849563" w14:textId="77777777" w:rsidR="00EC5BB1" w:rsidRDefault="00EC5BB1" w:rsidP="00882158">
      <w:pPr>
        <w:pStyle w:val="Note"/>
        <w:keepLines/>
        <w:rPr>
          <w:noProof/>
        </w:rPr>
      </w:pPr>
      <w:r w:rsidRPr="00133EEF">
        <w:rPr>
          <w:noProof/>
        </w:rPr>
        <w:drawing>
          <wp:inline distT="0" distB="0" distL="0" distR="0" wp14:anchorId="1E9D8917" wp14:editId="1CA0E789">
            <wp:extent cx="6120130" cy="2870835"/>
            <wp:effectExtent l="0" t="0" r="0" b="0"/>
            <wp:docPr id="813534208" name="Picture 5" descr="Figure B.2 – This is a bar chart that shows the proportion of children in the year before primary school that attend ECEC in about 30 OECD countries. Participation rates range from 80% to 100%, and the majority of countries report rates above 95%. The OECD average 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34208" name="Picture 5" descr="Figure B.2 – This is a bar chart that shows the proportion of children in the year before primary school that attend ECEC in about 30 OECD countries. Participation rates range from 80% to 100%, and the majority of countries report rates above 95%. The OECD average is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2063E017" w14:textId="77777777" w:rsidR="00EC5BB1" w:rsidRDefault="00EC5BB1" w:rsidP="00882158">
      <w:pPr>
        <w:pStyle w:val="Note"/>
        <w:keepLines/>
      </w:pPr>
      <w:r w:rsidRPr="00180E66">
        <w:rPr>
          <w:b/>
          <w:bCs/>
        </w:rPr>
        <w:t>a.</w:t>
      </w:r>
      <w:r>
        <w:t xml:space="preserve"> The official primary school </w:t>
      </w:r>
      <w:r w:rsidRPr="005E4FEB">
        <w:t>entry age differs</w:t>
      </w:r>
      <w:r>
        <w:t xml:space="preserve"> between countries.</w:t>
      </w:r>
    </w:p>
    <w:p w14:paraId="3298A620" w14:textId="77777777" w:rsidR="00EC5BB1" w:rsidRDefault="00EC5BB1" w:rsidP="00882158">
      <w:pPr>
        <w:pStyle w:val="Source"/>
        <w:keepLines/>
      </w:pPr>
      <w:r w:rsidRPr="00696447">
        <w:t xml:space="preserve">Source: </w:t>
      </w:r>
      <w:r w:rsidRPr="004453A1">
        <w:t>OECD</w:t>
      </w:r>
      <w:r>
        <w:t xml:space="preserve"> </w:t>
      </w:r>
      <w:r w:rsidRPr="003631AF">
        <w:rPr>
          <w:rFonts w:ascii="Arial" w:hAnsi="Arial" w:cs="Arial"/>
        </w:rPr>
        <w:t>(2022)</w:t>
      </w:r>
      <w:r w:rsidRPr="00696447">
        <w:t>.</w:t>
      </w:r>
    </w:p>
    <w:p w14:paraId="2529F650" w14:textId="77777777" w:rsidR="00EC5BB1" w:rsidRDefault="00EC5BB1" w:rsidP="00882158">
      <w:pPr>
        <w:pStyle w:val="Heading3"/>
      </w:pPr>
      <w:r>
        <w:t>Paid parental leave</w:t>
      </w:r>
    </w:p>
    <w:p w14:paraId="55DB28FD" w14:textId="77777777" w:rsidR="00EC5BB1" w:rsidRDefault="00EC5BB1" w:rsidP="00882158">
      <w:pPr>
        <w:pStyle w:val="BodyText"/>
      </w:pPr>
      <w:r>
        <w:t>Publicly funded paid parental leave entitlements vary widely between countries (table B.1). The</w:t>
      </w:r>
      <w:r w:rsidDel="0073482D">
        <w:t xml:space="preserve"> </w:t>
      </w:r>
      <w:r>
        <w:t xml:space="preserve">length of, and level of, income provided by paid parental leave schemes affect parents’ decisions about when to return to work after the birth of a child, and whether they use ECEC services in a child’s early </w:t>
      </w:r>
      <w:r w:rsidRPr="00DF72A6">
        <w:t>years</w:t>
      </w:r>
      <w:r>
        <w:t>.</w:t>
      </w:r>
    </w:p>
    <w:p w14:paraId="53C04827" w14:textId="77777777" w:rsidR="00EC5BB1" w:rsidRDefault="00EC5BB1" w:rsidP="00882158">
      <w:pPr>
        <w:pStyle w:val="BodyText"/>
      </w:pPr>
      <w:r>
        <w:t xml:space="preserve">Figure B.3 provides an overview of the length of different countries’ </w:t>
      </w:r>
      <w:r w:rsidRPr="00CE1207">
        <w:t>publicly funded</w:t>
      </w:r>
      <w:r>
        <w:t xml:space="preserve"> paid parental leave schemes. However, in many countries, it is common for these allowances to be supplemented by additional leave </w:t>
      </w:r>
      <w:r w:rsidRPr="00E472BA">
        <w:t>funded privately</w:t>
      </w:r>
      <w:r>
        <w:t xml:space="preserve"> by employers, and as such, the entitlements set out in the figure generally represent the minimum available to new parents.</w:t>
      </w:r>
    </w:p>
    <w:p w14:paraId="129CDCA2" w14:textId="77777777" w:rsidR="00EC5BB1" w:rsidRDefault="00EC5BB1" w:rsidP="00882158">
      <w:pPr>
        <w:pStyle w:val="BodyText"/>
      </w:pPr>
      <w:r>
        <w:t>Some countries also continue to provide payments to parents after they have used their paid parental leave entitlements if they decide to care for their children at home rather than enrolling them in an ECEC service. For example, in</w:t>
      </w:r>
      <w:r w:rsidRPr="00160A39">
        <w:t xml:space="preserve"> </w:t>
      </w:r>
      <w:r w:rsidRPr="00F820CC">
        <w:rPr>
          <w:b/>
          <w:i/>
        </w:rPr>
        <w:t>Norway</w:t>
      </w:r>
      <w:r w:rsidRPr="00160A39">
        <w:t xml:space="preserve"> and </w:t>
      </w:r>
      <w:r w:rsidRPr="00F820CC">
        <w:rPr>
          <w:b/>
          <w:i/>
        </w:rPr>
        <w:t>Finland</w:t>
      </w:r>
      <w:r>
        <w:t>,</w:t>
      </w:r>
      <w:r w:rsidRPr="00160A39">
        <w:t xml:space="preserve"> parents receive ‘cash</w:t>
      </w:r>
      <w:r>
        <w:noBreakHyphen/>
      </w:r>
      <w:r w:rsidRPr="00160A39">
        <w:t>for</w:t>
      </w:r>
      <w:r>
        <w:noBreakHyphen/>
      </w:r>
      <w:r w:rsidRPr="00160A39">
        <w:t xml:space="preserve">care’ benefits for young children if they do not attend an ECEC service or if they attend only part time. This provides families with financial support whether they choose informal or formal care for their child </w:t>
      </w:r>
      <w:r w:rsidRPr="007179EF">
        <w:rPr>
          <w:rFonts w:ascii="Arial" w:hAnsi="Arial" w:cs="Arial"/>
          <w:szCs w:val="24"/>
        </w:rPr>
        <w:t>(Kela 2023; Norwegian Labour and Welfare Administration 2023)</w:t>
      </w:r>
      <w:r w:rsidRPr="00160A39">
        <w:t>.</w:t>
      </w:r>
      <w:r>
        <w:t xml:space="preserve"> However,</w:t>
      </w:r>
      <w:r w:rsidRPr="00160A39">
        <w:t xml:space="preserve"> </w:t>
      </w:r>
      <w:r>
        <w:t>such</w:t>
      </w:r>
      <w:r w:rsidRPr="00160A39">
        <w:t xml:space="preserve"> model</w:t>
      </w:r>
      <w:r>
        <w:t>s</w:t>
      </w:r>
      <w:r w:rsidRPr="00160A39">
        <w:t xml:space="preserve"> </w:t>
      </w:r>
      <w:r>
        <w:t>have been criticised</w:t>
      </w:r>
      <w:r w:rsidRPr="00160A39">
        <w:t xml:space="preserve"> as contradicting other policies aimed at promoting gender equality and female employment</w:t>
      </w:r>
      <w:r>
        <w:t xml:space="preserve">. Some countries have sought to unwind similar policies – for example, </w:t>
      </w:r>
      <w:r w:rsidRPr="00F820CC">
        <w:rPr>
          <w:b/>
          <w:i/>
        </w:rPr>
        <w:t>Sweden</w:t>
      </w:r>
      <w:r w:rsidRPr="00160A39">
        <w:t xml:space="preserve"> abolished their cash</w:t>
      </w:r>
      <w:r>
        <w:noBreakHyphen/>
      </w:r>
      <w:r w:rsidRPr="00160A39">
        <w:t>for</w:t>
      </w:r>
      <w:r>
        <w:noBreakHyphen/>
      </w:r>
      <w:r w:rsidRPr="00160A39">
        <w:t>care benefit</w:t>
      </w:r>
      <w:r>
        <w:t xml:space="preserve"> in 2016 (which, at the time, was used by only about 5% of eligible families) </w:t>
      </w:r>
      <w:r w:rsidRPr="00EA67E0">
        <w:rPr>
          <w:rFonts w:ascii="Arial" w:hAnsi="Arial" w:cs="Arial"/>
          <w:szCs w:val="24"/>
        </w:rPr>
        <w:t>(Ellingsæter 2012, p. 3; Giuliani and Duvander 2016, pp. 2–7)</w:t>
      </w:r>
      <w:r w:rsidRPr="00160A39">
        <w:t>.</w:t>
      </w:r>
    </w:p>
    <w:p w14:paraId="26C8EBE0" w14:textId="77777777" w:rsidR="00EC5BB1" w:rsidRPr="005867DC" w:rsidRDefault="00EC5BB1" w:rsidP="00882158">
      <w:pPr>
        <w:pStyle w:val="BodyText"/>
      </w:pPr>
    </w:p>
    <w:p w14:paraId="050DAC9F" w14:textId="77777777" w:rsidR="00EC5BB1" w:rsidRPr="00146382" w:rsidRDefault="00EC5BB1" w:rsidP="00882158">
      <w:pPr>
        <w:pStyle w:val="FigureTableHeading"/>
        <w:keepLines/>
      </w:pPr>
      <w:r>
        <w:lastRenderedPageBreak/>
        <w:t xml:space="preserve">Figure </w:t>
      </w:r>
      <w:r>
        <w:rPr>
          <w:noProof/>
        </w:rPr>
        <w:t>B</w:t>
      </w:r>
      <w:r>
        <w:t>.</w:t>
      </w:r>
      <w:r>
        <w:rPr>
          <w:noProof/>
        </w:rPr>
        <w:t xml:space="preserve">3 </w:t>
      </w:r>
      <w:r>
        <w:t>– Publicly funded paid leave for mothers is lower in Australia than in many other OECD countries</w:t>
      </w:r>
      <w:r w:rsidRPr="00066CF5">
        <w:rPr>
          <w:vertAlign w:val="superscript"/>
        </w:rPr>
        <w:t>a,b</w:t>
      </w:r>
      <w:r>
        <w:rPr>
          <w:vertAlign w:val="superscript"/>
        </w:rPr>
        <w:t>,c</w:t>
      </w:r>
    </w:p>
    <w:p w14:paraId="78A404BC" w14:textId="77777777" w:rsidR="00EC5BB1" w:rsidRPr="00570EC7" w:rsidRDefault="00EC5BB1" w:rsidP="00882158">
      <w:pPr>
        <w:pStyle w:val="FigureTableSubheading"/>
        <w:keepLines/>
        <w:rPr>
          <w:rStyle w:val="BodyTextChar"/>
        </w:rPr>
      </w:pPr>
      <w:r>
        <w:t>Total paid leave available to mothers, 2023</w:t>
      </w:r>
      <w:r w:rsidRPr="00133EEF">
        <w:rPr>
          <w:b/>
          <w:bCs/>
        </w:rPr>
        <w:t xml:space="preserve"> </w:t>
      </w:r>
      <w:r w:rsidRPr="00570EC7">
        <w:rPr>
          <w:rStyle w:val="BodyTextChar"/>
          <w:noProof/>
        </w:rPr>
        <w:drawing>
          <wp:inline distT="0" distB="0" distL="0" distR="0" wp14:anchorId="63DF44BD" wp14:editId="075CFBED">
            <wp:extent cx="6120130" cy="2870835"/>
            <wp:effectExtent l="0" t="0" r="0" b="0"/>
            <wp:docPr id="439071942" name="Picture 6" descr="Figure B.3 – This is a bar chart that shows the length of paid parental leave schemes in about 30 OECD countries, as well as the full rate equivalent pay rates of those schemes. The shortest length of paid parental leave is zero weeks in the United States, and the highest is 160 weeks in the Slovak Republic, Finland and Hungary. The OECD average is about 50 weeks and Australia offers 1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71942" name="Picture 6" descr="Figure B.3 – This is a bar chart that shows the length of paid parental leave schemes in about 30 OECD countries, as well as the full rate equivalent pay rates of those schemes. The shortest length of paid parental leave is zero weeks in the United States, and the highest is 160 weeks in the Slovak Republic, Finland and Hungary. The OECD average is about 50 weeks and Australia offers 18 wee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47568A3F" w14:textId="77777777" w:rsidR="00EC5BB1" w:rsidRPr="00AC348A" w:rsidRDefault="00EC5BB1" w:rsidP="00882158">
      <w:pPr>
        <w:pStyle w:val="Note"/>
        <w:keepLines/>
        <w:rPr>
          <w:spacing w:val="-2"/>
        </w:rPr>
      </w:pPr>
      <w:r w:rsidRPr="00AC348A">
        <w:rPr>
          <w:b/>
          <w:bCs/>
          <w:spacing w:val="-2"/>
        </w:rPr>
        <w:t>a.</w:t>
      </w:r>
      <w:r w:rsidRPr="00AC348A">
        <w:rPr>
          <w:spacing w:val="-2"/>
        </w:rPr>
        <w:t xml:space="preserve"> Paid leave includes maternity leave, parental leave and home care leave. Home care leave is offered in some countries as an additional period of leave following parental leave that allows parents to stay at home to care for children until about the age of two or three. </w:t>
      </w:r>
      <w:r w:rsidRPr="00AC348A">
        <w:rPr>
          <w:b/>
          <w:bCs/>
          <w:spacing w:val="-2"/>
        </w:rPr>
        <w:t>b.</w:t>
      </w:r>
      <w:r w:rsidRPr="00AC348A">
        <w:rPr>
          <w:spacing w:val="-2"/>
        </w:rPr>
        <w:t xml:space="preserve"> Data only reflects entitlements at the national level. </w:t>
      </w:r>
      <w:r w:rsidRPr="00AC348A">
        <w:rPr>
          <w:b/>
          <w:bCs/>
          <w:spacing w:val="-2"/>
        </w:rPr>
        <w:t>c.</w:t>
      </w:r>
      <w:r w:rsidRPr="00AC348A">
        <w:rPr>
          <w:spacing w:val="-2"/>
        </w:rPr>
        <w:t xml:space="preserve"> The full rate equivalent is the entitlement length multiplied by the average payment rate of the entitlement. The average payment rate refers to the proportion of previous earnings replaced by the leave benefit for a person earning 100% of average national full</w:t>
      </w:r>
      <w:r w:rsidRPr="00AC348A">
        <w:rPr>
          <w:spacing w:val="-2"/>
        </w:rPr>
        <w:noBreakHyphen/>
        <w:t>time earnings.</w:t>
      </w:r>
    </w:p>
    <w:p w14:paraId="5E0266BB" w14:textId="77777777" w:rsidR="00EC5BB1" w:rsidRDefault="00EC5BB1" w:rsidP="00882158">
      <w:pPr>
        <w:pStyle w:val="Source"/>
        <w:keepLines/>
      </w:pPr>
      <w:r w:rsidRPr="00696447">
        <w:t xml:space="preserve">Source: </w:t>
      </w:r>
      <w:r w:rsidRPr="00C062AF">
        <w:t>OECD</w:t>
      </w:r>
      <w:r>
        <w:t xml:space="preserve"> </w:t>
      </w:r>
      <w:r w:rsidRPr="00D57696">
        <w:rPr>
          <w:rFonts w:ascii="Arial" w:hAnsi="Arial" w:cs="Arial"/>
        </w:rPr>
        <w:t>(2023c)</w:t>
      </w:r>
      <w:r w:rsidRPr="00696447">
        <w:t>.</w:t>
      </w:r>
    </w:p>
    <w:p w14:paraId="1D2BF797" w14:textId="24E3A364" w:rsidR="00EC5BB1" w:rsidRDefault="00EC5BB1" w:rsidP="002E1451">
      <w:pPr>
        <w:pStyle w:val="BodyText"/>
      </w:pPr>
      <w:r w:rsidRPr="00B252EF">
        <w:t xml:space="preserve">Some countries also offer additional forms of parental leave that extend further into a child’s life – in some countries parental leave can be used until a child turns </w:t>
      </w:r>
      <w:r w:rsidR="00F7527C" w:rsidRPr="00B252EF">
        <w:t>12</w:t>
      </w:r>
      <w:r w:rsidRPr="00B252EF">
        <w:t xml:space="preserve"> (table B.1).</w:t>
      </w:r>
    </w:p>
    <w:p w14:paraId="3AC625A9" w14:textId="77777777" w:rsidR="00EC5BB1" w:rsidRDefault="00EC5BB1">
      <w:pPr>
        <w:pStyle w:val="FigureTableHeading"/>
      </w:pPr>
      <w:r>
        <w:t xml:space="preserve">Table </w:t>
      </w:r>
      <w:r>
        <w:rPr>
          <w:noProof/>
        </w:rPr>
        <w:t>B</w:t>
      </w:r>
      <w:r>
        <w:t>.</w:t>
      </w:r>
      <w:r>
        <w:rPr>
          <w:noProof/>
        </w:rPr>
        <w:t xml:space="preserve">1 – </w:t>
      </w:r>
      <w:r w:rsidRPr="008B4948">
        <w:t>Paid parental</w:t>
      </w:r>
      <w:r w:rsidRPr="008D5163">
        <w:t xml:space="preserve"> leave entitlements vary between countries</w:t>
      </w:r>
    </w:p>
    <w:p w14:paraId="5E9F9B03" w14:textId="77777777" w:rsidR="00EC5BB1" w:rsidRDefault="00EC5BB1">
      <w:pPr>
        <w:pStyle w:val="FigureTableSubheading"/>
      </w:pPr>
      <w:r>
        <w:t>Characteristics of parental leave entitlements in selected countries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49"/>
        <w:gridCol w:w="1702"/>
        <w:gridCol w:w="2492"/>
        <w:gridCol w:w="39"/>
        <w:gridCol w:w="2059"/>
        <w:gridCol w:w="50"/>
        <w:gridCol w:w="2047"/>
      </w:tblGrid>
      <w:tr w:rsidR="00EC5BB1" w:rsidRPr="00030C67" w14:paraId="72A9F576" w14:textId="77777777" w:rsidTr="00882158">
        <w:trPr>
          <w:tblHeader/>
        </w:trPr>
        <w:tc>
          <w:tcPr>
            <w:tcW w:w="648" w:type="pct"/>
            <w:tcBorders>
              <w:bottom w:val="single" w:sz="4" w:space="0" w:color="B3B3B3"/>
            </w:tcBorders>
            <w:shd w:val="clear" w:color="000000" w:fill="auto"/>
            <w:vAlign w:val="bottom"/>
          </w:tcPr>
          <w:p w14:paraId="2C0A9B08" w14:textId="77777777" w:rsidR="00EC5BB1" w:rsidRPr="00030C67" w:rsidRDefault="00EC5BB1">
            <w:pPr>
              <w:spacing w:before="45" w:after="45"/>
              <w:ind w:right="108"/>
              <w:rPr>
                <w:rFonts w:ascii="Arial (Body)" w:hAnsi="Arial (Body)"/>
                <w:color w:val="265A9A"/>
              </w:rPr>
            </w:pPr>
          </w:p>
        </w:tc>
        <w:tc>
          <w:tcPr>
            <w:tcW w:w="883" w:type="pct"/>
            <w:tcBorders>
              <w:bottom w:val="single" w:sz="4" w:space="0" w:color="B3B3B3"/>
            </w:tcBorders>
            <w:shd w:val="clear" w:color="000000" w:fill="auto"/>
            <w:vAlign w:val="center"/>
          </w:tcPr>
          <w:p w14:paraId="2DEA4CB0" w14:textId="77777777" w:rsidR="00EC5BB1" w:rsidRPr="00030C67" w:rsidRDefault="00EC5BB1" w:rsidP="00570EC7">
            <w:pPr>
              <w:pStyle w:val="TableHeading"/>
            </w:pPr>
            <w:r>
              <w:t>Maternity leave</w:t>
            </w:r>
          </w:p>
        </w:tc>
        <w:tc>
          <w:tcPr>
            <w:tcW w:w="1293" w:type="pct"/>
            <w:tcBorders>
              <w:bottom w:val="single" w:sz="4" w:space="0" w:color="B3B3B3"/>
            </w:tcBorders>
            <w:shd w:val="clear" w:color="000000" w:fill="auto"/>
            <w:vAlign w:val="center"/>
          </w:tcPr>
          <w:p w14:paraId="108CBA0E" w14:textId="77777777" w:rsidR="00EC5BB1" w:rsidRPr="00030C67" w:rsidRDefault="00EC5BB1" w:rsidP="00570EC7">
            <w:pPr>
              <w:pStyle w:val="TableHeading"/>
            </w:pPr>
            <w:r>
              <w:t>Paid component</w:t>
            </w:r>
          </w:p>
        </w:tc>
        <w:tc>
          <w:tcPr>
            <w:tcW w:w="1088" w:type="pct"/>
            <w:gridSpan w:val="2"/>
            <w:tcBorders>
              <w:bottom w:val="single" w:sz="4" w:space="0" w:color="B3B3B3"/>
            </w:tcBorders>
            <w:shd w:val="clear" w:color="000000" w:fill="auto"/>
            <w:vAlign w:val="center"/>
          </w:tcPr>
          <w:p w14:paraId="01CA74D2" w14:textId="77777777" w:rsidR="00EC5BB1" w:rsidRPr="00030C67" w:rsidRDefault="00EC5BB1" w:rsidP="00570EC7">
            <w:pPr>
              <w:pStyle w:val="TableHeading"/>
            </w:pPr>
            <w:r>
              <w:t>Leave for partners</w:t>
            </w:r>
          </w:p>
        </w:tc>
        <w:tc>
          <w:tcPr>
            <w:tcW w:w="1088" w:type="pct"/>
            <w:gridSpan w:val="2"/>
            <w:tcBorders>
              <w:bottom w:val="single" w:sz="4" w:space="0" w:color="B3B3B3"/>
            </w:tcBorders>
            <w:shd w:val="clear" w:color="000000" w:fill="auto"/>
            <w:vAlign w:val="center"/>
          </w:tcPr>
          <w:p w14:paraId="4EF04593" w14:textId="77777777" w:rsidR="00EC5BB1" w:rsidRPr="005370DA" w:rsidRDefault="00EC5BB1" w:rsidP="00570EC7">
            <w:pPr>
              <w:pStyle w:val="TableHeading"/>
              <w:rPr>
                <w:vertAlign w:val="superscript"/>
              </w:rPr>
            </w:pPr>
            <w:r>
              <w:t>Parental leave</w:t>
            </w:r>
            <w:r>
              <w:rPr>
                <w:vertAlign w:val="superscript"/>
              </w:rPr>
              <w:t>a</w:t>
            </w:r>
          </w:p>
        </w:tc>
      </w:tr>
      <w:tr w:rsidR="00EC5BB1" w:rsidRPr="00030C67" w14:paraId="37DEE36C" w14:textId="77777777" w:rsidTr="00882158">
        <w:tc>
          <w:tcPr>
            <w:tcW w:w="648" w:type="pct"/>
            <w:tcBorders>
              <w:top w:val="single" w:sz="4" w:space="0" w:color="B3B3B3"/>
              <w:bottom w:val="nil"/>
            </w:tcBorders>
            <w:shd w:val="clear" w:color="000000" w:fill="F2F2F2"/>
          </w:tcPr>
          <w:p w14:paraId="7D3AB7A2" w14:textId="77777777" w:rsidR="00EC5BB1" w:rsidRPr="00030C67" w:rsidRDefault="00EC5BB1">
            <w:pPr>
              <w:pStyle w:val="TableHeading"/>
            </w:pPr>
            <w:r>
              <w:t>Canada</w:t>
            </w:r>
          </w:p>
        </w:tc>
        <w:tc>
          <w:tcPr>
            <w:tcW w:w="883" w:type="pct"/>
            <w:tcBorders>
              <w:top w:val="single" w:sz="4" w:space="0" w:color="B3B3B3"/>
              <w:bottom w:val="nil"/>
            </w:tcBorders>
            <w:shd w:val="clear" w:color="000000" w:fill="F2F2F2"/>
          </w:tcPr>
          <w:p w14:paraId="50A3C726" w14:textId="77777777" w:rsidR="00EC5BB1" w:rsidRPr="00030C67" w:rsidRDefault="00EC5BB1" w:rsidP="00570EC7">
            <w:pPr>
              <w:pStyle w:val="TableBody"/>
              <w:spacing w:before="45" w:after="45"/>
              <w:ind w:right="108"/>
              <w:rPr>
                <w:rFonts w:ascii="Arial (Body)" w:hAnsi="Arial (Body)"/>
                <w:color w:val="000000"/>
              </w:rPr>
            </w:pPr>
            <w:r>
              <w:rPr>
                <w:rFonts w:ascii="Arial (Body)" w:hAnsi="Arial (Body)"/>
                <w:color w:val="000000"/>
              </w:rPr>
              <w:t xml:space="preserve">Parents </w:t>
            </w:r>
            <w:r w:rsidRPr="008D5163">
              <w:rPr>
                <w:rFonts w:ascii="Arial (Body)" w:hAnsi="Arial (Body)"/>
                <w:color w:val="000000"/>
              </w:rPr>
              <w:t xml:space="preserve">can choose between </w:t>
            </w:r>
            <w:r>
              <w:rPr>
                <w:rFonts w:ascii="Arial (Body)" w:hAnsi="Arial (Body)"/>
                <w:b/>
                <w:bCs/>
                <w:color w:val="000000"/>
              </w:rPr>
              <w:t>(</w:t>
            </w:r>
            <w:r w:rsidRPr="008B4948">
              <w:rPr>
                <w:rFonts w:ascii="Arial (Body)" w:hAnsi="Arial (Body)"/>
                <w:b/>
                <w:bCs/>
                <w:color w:val="000000"/>
              </w:rPr>
              <w:t>a)</w:t>
            </w:r>
            <w:r w:rsidRPr="008D5163">
              <w:rPr>
                <w:rFonts w:ascii="Arial (Body)" w:hAnsi="Arial (Body)"/>
                <w:color w:val="000000"/>
              </w:rPr>
              <w:t xml:space="preserve"> 35 weeks of leave over a 12 month period</w:t>
            </w:r>
            <w:r>
              <w:rPr>
                <w:rFonts w:ascii="Arial (Body)" w:hAnsi="Arial (Body)"/>
                <w:color w:val="000000"/>
              </w:rPr>
              <w:t xml:space="preserve"> </w:t>
            </w:r>
            <w:r w:rsidRPr="008B4948">
              <w:rPr>
                <w:rFonts w:ascii="Arial (Body)" w:hAnsi="Arial (Body)"/>
                <w:b/>
                <w:color w:val="000000"/>
              </w:rPr>
              <w:t>or</w:t>
            </w:r>
            <w:r w:rsidRPr="008D5163">
              <w:rPr>
                <w:rFonts w:ascii="Arial (Body)" w:hAnsi="Arial (Body)"/>
                <w:color w:val="000000"/>
              </w:rPr>
              <w:t xml:space="preserve"> </w:t>
            </w:r>
            <w:r>
              <w:rPr>
                <w:rFonts w:ascii="Arial (Body)" w:hAnsi="Arial (Body)"/>
                <w:b/>
                <w:bCs/>
                <w:color w:val="000000"/>
              </w:rPr>
              <w:t xml:space="preserve">(b) </w:t>
            </w:r>
            <w:r w:rsidRPr="008D5163">
              <w:rPr>
                <w:rFonts w:ascii="Arial (Body)" w:hAnsi="Arial (Body)"/>
                <w:color w:val="000000"/>
              </w:rPr>
              <w:t>61 weeks</w:t>
            </w:r>
            <w:r>
              <w:rPr>
                <w:rFonts w:ascii="Arial (Body)" w:hAnsi="Arial (Body)"/>
                <w:color w:val="000000"/>
              </w:rPr>
              <w:t xml:space="preserve"> </w:t>
            </w:r>
            <w:r w:rsidRPr="008D5163">
              <w:rPr>
                <w:rFonts w:ascii="Arial (Body)" w:hAnsi="Arial (Body)"/>
                <w:color w:val="000000"/>
              </w:rPr>
              <w:t>over an 18 month period</w:t>
            </w:r>
          </w:p>
        </w:tc>
        <w:tc>
          <w:tcPr>
            <w:tcW w:w="1293" w:type="pct"/>
            <w:tcBorders>
              <w:top w:val="single" w:sz="4" w:space="0" w:color="B3B3B3"/>
              <w:bottom w:val="nil"/>
            </w:tcBorders>
            <w:shd w:val="clear" w:color="000000" w:fill="F2F2F2"/>
          </w:tcPr>
          <w:p w14:paraId="361BDC0A" w14:textId="6A6371A4" w:rsidR="00EC5BB1" w:rsidRPr="00030C67" w:rsidRDefault="00EC5BB1" w:rsidP="00570EC7">
            <w:pPr>
              <w:pStyle w:val="TableBody"/>
              <w:spacing w:before="45" w:after="45"/>
              <w:ind w:right="108"/>
              <w:rPr>
                <w:rFonts w:ascii="Arial (Body)" w:hAnsi="Arial (Body)"/>
                <w:color w:val="000000"/>
              </w:rPr>
            </w:pPr>
            <w:r>
              <w:rPr>
                <w:rFonts w:ascii="Arial (Body)" w:hAnsi="Arial (Body)"/>
                <w:color w:val="000000"/>
              </w:rPr>
              <w:t xml:space="preserve">Payment depends on length of leave. Parents who use option </w:t>
            </w:r>
            <w:r w:rsidRPr="008B4948">
              <w:rPr>
                <w:rFonts w:ascii="Arial (Body)" w:hAnsi="Arial (Body)"/>
                <w:b/>
                <w:bCs/>
                <w:color w:val="000000"/>
              </w:rPr>
              <w:t>(a)</w:t>
            </w:r>
            <w:r>
              <w:rPr>
                <w:rFonts w:ascii="Arial (Body)" w:hAnsi="Arial (Body)"/>
                <w:color w:val="000000"/>
              </w:rPr>
              <w:t xml:space="preserve"> are paid </w:t>
            </w:r>
            <w:r w:rsidRPr="008D5163">
              <w:rPr>
                <w:rFonts w:ascii="Arial (Body)" w:hAnsi="Arial (Body)"/>
                <w:color w:val="000000"/>
              </w:rPr>
              <w:t>55% of their weekly earnings (up to C</w:t>
            </w:r>
            <w:r w:rsidR="00B25070">
              <w:rPr>
                <w:rFonts w:ascii="Arial (Body)" w:hAnsi="Arial (Body)"/>
                <w:color w:val="000000"/>
              </w:rPr>
              <w:t>$</w:t>
            </w:r>
            <w:r w:rsidRPr="008D5163">
              <w:rPr>
                <w:rFonts w:ascii="Arial (Body)" w:hAnsi="Arial (Body)"/>
                <w:color w:val="000000"/>
              </w:rPr>
              <w:t>638 (A</w:t>
            </w:r>
            <w:r w:rsidR="00B25070">
              <w:rPr>
                <w:rFonts w:ascii="Arial (Body)" w:hAnsi="Arial (Body)"/>
                <w:color w:val="000000"/>
              </w:rPr>
              <w:t>$</w:t>
            </w:r>
            <w:r w:rsidRPr="008D5163">
              <w:rPr>
                <w:rFonts w:ascii="Arial (Body)" w:hAnsi="Arial (Body)"/>
                <w:color w:val="000000"/>
              </w:rPr>
              <w:t>7</w:t>
            </w:r>
            <w:r>
              <w:rPr>
                <w:rFonts w:ascii="Arial (Body)" w:hAnsi="Arial (Body)"/>
                <w:color w:val="000000"/>
              </w:rPr>
              <w:t>10</w:t>
            </w:r>
            <w:r w:rsidRPr="008D5163">
              <w:rPr>
                <w:rFonts w:ascii="Arial (Body)" w:hAnsi="Arial (Body)"/>
                <w:color w:val="000000"/>
              </w:rPr>
              <w:t>) per week)</w:t>
            </w:r>
            <w:r>
              <w:rPr>
                <w:rFonts w:ascii="Arial (Body)" w:hAnsi="Arial (Body)"/>
                <w:color w:val="000000"/>
              </w:rPr>
              <w:t xml:space="preserve"> and parents who use option </w:t>
            </w:r>
            <w:r w:rsidRPr="008B4948">
              <w:rPr>
                <w:rFonts w:ascii="Arial (Body)" w:hAnsi="Arial (Body)"/>
                <w:b/>
                <w:bCs/>
                <w:color w:val="000000"/>
              </w:rPr>
              <w:t>(b)</w:t>
            </w:r>
            <w:r>
              <w:rPr>
                <w:rFonts w:ascii="Arial (Body)" w:hAnsi="Arial (Body)"/>
                <w:color w:val="000000"/>
              </w:rPr>
              <w:t xml:space="preserve"> are paid</w:t>
            </w:r>
            <w:r w:rsidRPr="008D5163">
              <w:rPr>
                <w:rFonts w:ascii="Arial (Body)" w:hAnsi="Arial (Body)"/>
                <w:color w:val="000000"/>
              </w:rPr>
              <w:t xml:space="preserve"> 33% of their average weekly earnings (up to </w:t>
            </w:r>
            <w:r>
              <w:rPr>
                <w:rFonts w:ascii="Arial (Body)" w:hAnsi="Arial (Body)"/>
                <w:color w:val="000000"/>
              </w:rPr>
              <w:t>C</w:t>
            </w:r>
            <w:r w:rsidR="00E826B0">
              <w:rPr>
                <w:rFonts w:ascii="Arial (Body)" w:hAnsi="Arial (Body)"/>
                <w:color w:val="000000"/>
              </w:rPr>
              <w:t>$</w:t>
            </w:r>
            <w:r w:rsidRPr="008D5163">
              <w:rPr>
                <w:rFonts w:ascii="Arial (Body)" w:hAnsi="Arial (Body)"/>
                <w:color w:val="000000"/>
              </w:rPr>
              <w:t>383 (A</w:t>
            </w:r>
            <w:r w:rsidR="00B533E8">
              <w:rPr>
                <w:rFonts w:ascii="Arial (Body)" w:hAnsi="Arial (Body)"/>
                <w:color w:val="000000"/>
              </w:rPr>
              <w:t>$</w:t>
            </w:r>
            <w:r w:rsidRPr="008D5163">
              <w:rPr>
                <w:rFonts w:ascii="Arial (Body)" w:hAnsi="Arial (Body)"/>
                <w:color w:val="000000"/>
              </w:rPr>
              <w:t>42</w:t>
            </w:r>
            <w:r>
              <w:rPr>
                <w:rFonts w:ascii="Arial (Body)" w:hAnsi="Arial (Body)"/>
                <w:color w:val="000000"/>
              </w:rPr>
              <w:t>5</w:t>
            </w:r>
            <w:r w:rsidRPr="008D5163">
              <w:rPr>
                <w:rFonts w:ascii="Arial (Body)" w:hAnsi="Arial (Body)"/>
                <w:color w:val="000000"/>
              </w:rPr>
              <w:t>) per week)</w:t>
            </w:r>
          </w:p>
        </w:tc>
        <w:tc>
          <w:tcPr>
            <w:tcW w:w="1088" w:type="pct"/>
            <w:gridSpan w:val="2"/>
            <w:tcBorders>
              <w:top w:val="single" w:sz="4" w:space="0" w:color="B3B3B3"/>
              <w:bottom w:val="nil"/>
            </w:tcBorders>
            <w:shd w:val="clear" w:color="000000" w:fill="F2F2F2"/>
          </w:tcPr>
          <w:p w14:paraId="65D5404D" w14:textId="77777777" w:rsidR="00EC5BB1" w:rsidRPr="00B91476" w:rsidRDefault="00EC5BB1" w:rsidP="00570EC7">
            <w:pPr>
              <w:pStyle w:val="TableBody"/>
              <w:spacing w:before="45" w:after="45"/>
              <w:ind w:right="108"/>
              <w:rPr>
                <w:rFonts w:ascii="Arial (Body)" w:hAnsi="Arial (Body)"/>
                <w:color w:val="000000"/>
              </w:rPr>
            </w:pPr>
            <w:r>
              <w:rPr>
                <w:rFonts w:ascii="Arial (Body)" w:hAnsi="Arial (Body)"/>
                <w:color w:val="000000"/>
              </w:rPr>
              <w:t xml:space="preserve">If parents choose to share leave, they can access an additional 5 weeks under option </w:t>
            </w:r>
            <w:r>
              <w:rPr>
                <w:rFonts w:ascii="Arial (Body)" w:hAnsi="Arial (Body)"/>
                <w:b/>
                <w:bCs/>
                <w:color w:val="000000"/>
              </w:rPr>
              <w:t>(a)</w:t>
            </w:r>
            <w:r>
              <w:rPr>
                <w:rFonts w:ascii="Arial (Body)" w:hAnsi="Arial (Body)"/>
                <w:color w:val="000000"/>
              </w:rPr>
              <w:t xml:space="preserve"> or 8 weeks under option </w:t>
            </w:r>
            <w:r>
              <w:rPr>
                <w:rFonts w:ascii="Arial (Body)" w:hAnsi="Arial (Body)"/>
                <w:b/>
                <w:bCs/>
                <w:color w:val="000000"/>
              </w:rPr>
              <w:t xml:space="preserve">(b) </w:t>
            </w:r>
          </w:p>
        </w:tc>
        <w:tc>
          <w:tcPr>
            <w:tcW w:w="1088" w:type="pct"/>
            <w:gridSpan w:val="2"/>
            <w:tcBorders>
              <w:top w:val="single" w:sz="4" w:space="0" w:color="B3B3B3"/>
              <w:bottom w:val="nil"/>
            </w:tcBorders>
            <w:shd w:val="clear" w:color="000000" w:fill="F2F2F2"/>
          </w:tcPr>
          <w:p w14:paraId="4110AD8D" w14:textId="77777777" w:rsidR="00EC5BB1" w:rsidRDefault="00EC5BB1" w:rsidP="00570EC7">
            <w:pPr>
              <w:pStyle w:val="TableBody"/>
              <w:spacing w:before="45" w:after="45"/>
              <w:ind w:right="108"/>
              <w:rPr>
                <w:rFonts w:ascii="Arial (Body)" w:hAnsi="Arial (Body)"/>
                <w:color w:val="000000"/>
              </w:rPr>
            </w:pPr>
          </w:p>
        </w:tc>
      </w:tr>
      <w:tr w:rsidR="00EC5BB1" w:rsidRPr="00030C67" w14:paraId="2F693DE1" w14:textId="77777777" w:rsidTr="00882158">
        <w:tc>
          <w:tcPr>
            <w:tcW w:w="648" w:type="pct"/>
            <w:tcBorders>
              <w:top w:val="nil"/>
              <w:bottom w:val="nil"/>
            </w:tcBorders>
            <w:shd w:val="clear" w:color="000000" w:fill="auto"/>
          </w:tcPr>
          <w:p w14:paraId="7CC780F8" w14:textId="77777777" w:rsidR="00EC5BB1" w:rsidRPr="00030C67" w:rsidRDefault="00EC5BB1">
            <w:pPr>
              <w:pStyle w:val="TableHeading"/>
            </w:pPr>
            <w:r>
              <w:t>Ireland</w:t>
            </w:r>
          </w:p>
        </w:tc>
        <w:tc>
          <w:tcPr>
            <w:tcW w:w="883" w:type="pct"/>
            <w:tcBorders>
              <w:top w:val="nil"/>
              <w:bottom w:val="nil"/>
            </w:tcBorders>
            <w:shd w:val="clear" w:color="000000" w:fill="auto"/>
          </w:tcPr>
          <w:p w14:paraId="0CABA907" w14:textId="77777777" w:rsidR="00EC5BB1" w:rsidRPr="00030C67" w:rsidRDefault="00EC5BB1" w:rsidP="00570EC7">
            <w:pPr>
              <w:pStyle w:val="TableBody"/>
              <w:spacing w:before="45" w:after="45"/>
              <w:ind w:right="108"/>
              <w:rPr>
                <w:rFonts w:ascii="Arial (Body)" w:hAnsi="Arial (Body)"/>
                <w:color w:val="000000"/>
              </w:rPr>
            </w:pPr>
            <w:r w:rsidRPr="008D5163">
              <w:rPr>
                <w:rFonts w:ascii="Arial (Body)" w:hAnsi="Arial (Body)"/>
                <w:color w:val="000000"/>
              </w:rPr>
              <w:t>42 weeks</w:t>
            </w:r>
          </w:p>
        </w:tc>
        <w:tc>
          <w:tcPr>
            <w:tcW w:w="1313" w:type="pct"/>
            <w:gridSpan w:val="2"/>
            <w:tcBorders>
              <w:top w:val="nil"/>
              <w:bottom w:val="nil"/>
            </w:tcBorders>
            <w:shd w:val="clear" w:color="000000" w:fill="auto"/>
          </w:tcPr>
          <w:p w14:paraId="308019A2" w14:textId="250566B1" w:rsidR="00EC5BB1" w:rsidRPr="00030C67" w:rsidRDefault="00EC5BB1" w:rsidP="00570EC7">
            <w:pPr>
              <w:pStyle w:val="TableBody"/>
              <w:spacing w:before="45" w:after="45"/>
              <w:ind w:right="108"/>
              <w:rPr>
                <w:rFonts w:ascii="Arial (Body)" w:hAnsi="Arial (Body)"/>
                <w:color w:val="000000"/>
              </w:rPr>
            </w:pPr>
            <w:r w:rsidRPr="008D5163">
              <w:rPr>
                <w:rFonts w:ascii="Arial (Body)" w:hAnsi="Arial (Body)"/>
                <w:color w:val="000000"/>
              </w:rPr>
              <w:t>26 weeks are paid at 262</w:t>
            </w:r>
            <w:r w:rsidR="00B25070">
              <w:rPr>
                <w:rFonts w:ascii="Arial (Body)" w:hAnsi="Arial (Body)"/>
                <w:color w:val="000000"/>
              </w:rPr>
              <w:t xml:space="preserve"> euro</w:t>
            </w:r>
            <w:r w:rsidRPr="008D5163">
              <w:rPr>
                <w:rFonts w:ascii="Arial (Body)" w:hAnsi="Arial (Body)"/>
                <w:color w:val="000000"/>
              </w:rPr>
              <w:t xml:space="preserve"> (A</w:t>
            </w:r>
            <w:r w:rsidR="00B25070">
              <w:rPr>
                <w:rFonts w:ascii="Arial (Body)" w:hAnsi="Arial (Body)"/>
                <w:color w:val="000000"/>
              </w:rPr>
              <w:t>$</w:t>
            </w:r>
            <w:r w:rsidRPr="008D5163">
              <w:rPr>
                <w:rFonts w:ascii="Arial (Body)" w:hAnsi="Arial (Body)"/>
                <w:color w:val="000000"/>
              </w:rPr>
              <w:t>43</w:t>
            </w:r>
            <w:r>
              <w:rPr>
                <w:rFonts w:ascii="Arial (Body)" w:hAnsi="Arial (Body)"/>
                <w:color w:val="000000"/>
              </w:rPr>
              <w:t>5</w:t>
            </w:r>
            <w:r w:rsidRPr="008D5163">
              <w:rPr>
                <w:rFonts w:ascii="Arial (Body)" w:hAnsi="Arial (Body)"/>
                <w:color w:val="000000"/>
              </w:rPr>
              <w:t>) per week</w:t>
            </w:r>
          </w:p>
        </w:tc>
        <w:tc>
          <w:tcPr>
            <w:tcW w:w="1094" w:type="pct"/>
            <w:gridSpan w:val="2"/>
            <w:tcBorders>
              <w:top w:val="nil"/>
              <w:bottom w:val="nil"/>
            </w:tcBorders>
            <w:shd w:val="clear" w:color="000000" w:fill="auto"/>
          </w:tcPr>
          <w:p w14:paraId="3D641625"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2</w:t>
            </w:r>
            <w:r w:rsidRPr="008D5163">
              <w:rPr>
                <w:rFonts w:ascii="Arial (Body)" w:hAnsi="Arial (Body)"/>
                <w:color w:val="000000"/>
              </w:rPr>
              <w:t xml:space="preserve"> </w:t>
            </w:r>
            <w:r>
              <w:rPr>
                <w:rFonts w:ascii="Arial (Body)" w:hAnsi="Arial (Body)"/>
                <w:color w:val="000000"/>
              </w:rPr>
              <w:t>additional</w:t>
            </w:r>
            <w:r w:rsidRPr="008D5163">
              <w:rPr>
                <w:rFonts w:ascii="Arial (Body)" w:hAnsi="Arial (Body)"/>
                <w:color w:val="000000"/>
              </w:rPr>
              <w:t xml:space="preserve"> weeks</w:t>
            </w:r>
            <w:r>
              <w:rPr>
                <w:rFonts w:ascii="Arial (Body)" w:hAnsi="Arial (Body)"/>
                <w:color w:val="000000"/>
              </w:rPr>
              <w:t>,</w:t>
            </w:r>
            <w:r w:rsidRPr="008D5163">
              <w:rPr>
                <w:rFonts w:ascii="Arial (Body)" w:hAnsi="Arial (Body)"/>
                <w:color w:val="000000"/>
              </w:rPr>
              <w:t xml:space="preserve"> paid at the same rate</w:t>
            </w:r>
          </w:p>
        </w:tc>
        <w:tc>
          <w:tcPr>
            <w:tcW w:w="1062" w:type="pct"/>
            <w:tcBorders>
              <w:top w:val="nil"/>
              <w:bottom w:val="nil"/>
            </w:tcBorders>
            <w:shd w:val="clear" w:color="000000" w:fill="auto"/>
          </w:tcPr>
          <w:p w14:paraId="43B26F6B" w14:textId="1E351A6E" w:rsidR="00EC5BB1" w:rsidRDefault="00EC5BB1" w:rsidP="00570EC7">
            <w:pPr>
              <w:pStyle w:val="TableBody"/>
              <w:spacing w:before="45" w:after="45"/>
              <w:ind w:right="108"/>
              <w:rPr>
                <w:rFonts w:ascii="Arial (Body)" w:hAnsi="Arial (Body)"/>
                <w:color w:val="000000"/>
              </w:rPr>
            </w:pPr>
            <w:r>
              <w:rPr>
                <w:rFonts w:ascii="Arial (Body)" w:hAnsi="Arial (Body)"/>
                <w:color w:val="000000"/>
              </w:rPr>
              <w:t>Parents receive both: 7</w:t>
            </w:r>
            <w:r w:rsidRPr="008D5163">
              <w:rPr>
                <w:rFonts w:ascii="Arial (Body)" w:hAnsi="Arial (Body)"/>
                <w:color w:val="000000"/>
              </w:rPr>
              <w:t xml:space="preserve"> </w:t>
            </w:r>
            <w:r>
              <w:rPr>
                <w:rFonts w:ascii="Arial (Body)" w:hAnsi="Arial (Body)"/>
                <w:color w:val="000000"/>
              </w:rPr>
              <w:t>additional weeks of parent’s leave</w:t>
            </w:r>
            <w:r w:rsidRPr="008D5163">
              <w:rPr>
                <w:rFonts w:ascii="Arial (Body)" w:hAnsi="Arial (Body)"/>
                <w:color w:val="000000"/>
              </w:rPr>
              <w:t xml:space="preserve"> </w:t>
            </w:r>
            <w:r>
              <w:rPr>
                <w:rFonts w:ascii="Arial (Body)" w:hAnsi="Arial (Body)"/>
                <w:color w:val="000000"/>
              </w:rPr>
              <w:t xml:space="preserve">paid </w:t>
            </w:r>
            <w:r w:rsidRPr="008D5163">
              <w:rPr>
                <w:rFonts w:ascii="Arial (Body)" w:hAnsi="Arial (Body)"/>
                <w:color w:val="000000"/>
              </w:rPr>
              <w:t>at 262</w:t>
            </w:r>
            <w:r w:rsidR="00B25070">
              <w:rPr>
                <w:rFonts w:ascii="Arial (Body)" w:hAnsi="Arial (Body)"/>
                <w:color w:val="000000"/>
              </w:rPr>
              <w:t xml:space="preserve"> euro</w:t>
            </w:r>
            <w:r w:rsidRPr="008D5163">
              <w:rPr>
                <w:rFonts w:ascii="Arial (Body)" w:hAnsi="Arial (Body)"/>
                <w:color w:val="000000"/>
              </w:rPr>
              <w:t xml:space="preserve"> (A</w:t>
            </w:r>
            <w:r w:rsidR="00B25070">
              <w:rPr>
                <w:rFonts w:ascii="Arial (Body)" w:hAnsi="Arial (Body)"/>
                <w:color w:val="000000"/>
              </w:rPr>
              <w:t>$</w:t>
            </w:r>
            <w:r w:rsidRPr="008D5163">
              <w:rPr>
                <w:rFonts w:ascii="Arial (Body)" w:hAnsi="Arial (Body)"/>
                <w:color w:val="000000"/>
              </w:rPr>
              <w:t>43</w:t>
            </w:r>
            <w:r>
              <w:rPr>
                <w:rFonts w:ascii="Arial (Body)" w:hAnsi="Arial (Body)"/>
                <w:color w:val="000000"/>
              </w:rPr>
              <w:t>5</w:t>
            </w:r>
            <w:r w:rsidRPr="008D5163">
              <w:rPr>
                <w:rFonts w:ascii="Arial (Body)" w:hAnsi="Arial (Body)"/>
                <w:color w:val="000000"/>
              </w:rPr>
              <w:t xml:space="preserve">) per week </w:t>
            </w:r>
            <w:r>
              <w:rPr>
                <w:rFonts w:ascii="Arial (Body)" w:hAnsi="Arial (Body)"/>
                <w:color w:val="000000"/>
              </w:rPr>
              <w:t>(which must</w:t>
            </w:r>
            <w:r w:rsidRPr="008D5163">
              <w:rPr>
                <w:rFonts w:ascii="Arial (Body)" w:hAnsi="Arial (Body)"/>
                <w:color w:val="000000"/>
              </w:rPr>
              <w:t xml:space="preserve"> be used before a child </w:t>
            </w:r>
            <w:r w:rsidRPr="008D5163">
              <w:rPr>
                <w:rFonts w:ascii="Arial (Body)" w:hAnsi="Arial (Body)"/>
                <w:color w:val="000000"/>
              </w:rPr>
              <w:lastRenderedPageBreak/>
              <w:t>turns two</w:t>
            </w:r>
            <w:r>
              <w:rPr>
                <w:rFonts w:ascii="Arial (Body)" w:hAnsi="Arial (Body)"/>
                <w:color w:val="000000"/>
              </w:rPr>
              <w:t xml:space="preserve">); and </w:t>
            </w:r>
            <w:r w:rsidRPr="000002C0">
              <w:rPr>
                <w:rFonts w:ascii="Arial (Body)" w:hAnsi="Arial (Body)"/>
                <w:color w:val="000000"/>
              </w:rPr>
              <w:t xml:space="preserve">26 weeks </w:t>
            </w:r>
            <w:r>
              <w:rPr>
                <w:rFonts w:ascii="Arial (Body)" w:hAnsi="Arial (Body)"/>
                <w:color w:val="000000"/>
              </w:rPr>
              <w:t xml:space="preserve">of unpaid parental leave </w:t>
            </w:r>
            <w:r w:rsidRPr="000002C0">
              <w:rPr>
                <w:rFonts w:ascii="Arial (Body)" w:hAnsi="Arial (Body)"/>
                <w:color w:val="000000"/>
              </w:rPr>
              <w:t>which can be used until a child turns twelve</w:t>
            </w:r>
          </w:p>
        </w:tc>
      </w:tr>
      <w:tr w:rsidR="00EC5BB1" w:rsidRPr="00030C67" w14:paraId="26B99843" w14:textId="77777777" w:rsidTr="00882158">
        <w:tc>
          <w:tcPr>
            <w:tcW w:w="648" w:type="pct"/>
            <w:shd w:val="clear" w:color="000000" w:fill="F2F2F2"/>
          </w:tcPr>
          <w:p w14:paraId="7377AAB1" w14:textId="77777777" w:rsidR="00EC5BB1" w:rsidRPr="00030C67" w:rsidRDefault="00EC5BB1">
            <w:pPr>
              <w:pStyle w:val="TableHeading"/>
            </w:pPr>
            <w:r>
              <w:lastRenderedPageBreak/>
              <w:t>Netherlands</w:t>
            </w:r>
          </w:p>
        </w:tc>
        <w:tc>
          <w:tcPr>
            <w:tcW w:w="883" w:type="pct"/>
            <w:shd w:val="clear" w:color="000000" w:fill="F2F2F2"/>
          </w:tcPr>
          <w:p w14:paraId="50DC2CDB" w14:textId="77777777" w:rsidR="00EC5BB1" w:rsidRPr="00030C67" w:rsidRDefault="00EC5BB1" w:rsidP="00570EC7">
            <w:pPr>
              <w:pStyle w:val="TableBody"/>
              <w:spacing w:before="45" w:after="45"/>
              <w:ind w:right="108"/>
              <w:rPr>
                <w:rFonts w:ascii="Arial (Body)" w:hAnsi="Arial (Body)"/>
                <w:color w:val="000000"/>
              </w:rPr>
            </w:pPr>
            <w:r>
              <w:rPr>
                <w:rFonts w:ascii="Arial (Body)" w:hAnsi="Arial (Body)"/>
                <w:color w:val="000000"/>
              </w:rPr>
              <w:t>6</w:t>
            </w:r>
            <w:r w:rsidRPr="008D5163">
              <w:rPr>
                <w:rFonts w:ascii="Arial (Body)" w:hAnsi="Arial (Body)"/>
                <w:color w:val="000000"/>
              </w:rPr>
              <w:t xml:space="preserve"> weeks pregnancy leave (before childbirth) and </w:t>
            </w:r>
            <w:r>
              <w:rPr>
                <w:rFonts w:ascii="Arial (Body)" w:hAnsi="Arial (Body)"/>
                <w:color w:val="000000"/>
              </w:rPr>
              <w:t>10</w:t>
            </w:r>
            <w:r w:rsidRPr="008D5163">
              <w:rPr>
                <w:rFonts w:ascii="Arial (Body)" w:hAnsi="Arial (Body)"/>
                <w:color w:val="000000"/>
              </w:rPr>
              <w:t xml:space="preserve"> weeks maternity leave (after childbirth)</w:t>
            </w:r>
          </w:p>
        </w:tc>
        <w:tc>
          <w:tcPr>
            <w:tcW w:w="1313" w:type="pct"/>
            <w:gridSpan w:val="2"/>
            <w:shd w:val="clear" w:color="000000" w:fill="F2F2F2"/>
          </w:tcPr>
          <w:p w14:paraId="29B19E68" w14:textId="101EE877" w:rsidR="00EC5BB1" w:rsidRPr="00030C67" w:rsidRDefault="00EC5BB1" w:rsidP="00570EC7">
            <w:pPr>
              <w:pStyle w:val="TableBody"/>
              <w:spacing w:before="45" w:after="45"/>
              <w:ind w:right="108"/>
              <w:rPr>
                <w:rFonts w:ascii="Arial (Body)" w:hAnsi="Arial (Body)"/>
                <w:color w:val="000000"/>
              </w:rPr>
            </w:pPr>
            <w:r>
              <w:rPr>
                <w:rFonts w:ascii="Arial (Body)" w:hAnsi="Arial (Body)"/>
                <w:color w:val="000000"/>
              </w:rPr>
              <w:t>All weeks p</w:t>
            </w:r>
            <w:r w:rsidRPr="008D5163">
              <w:rPr>
                <w:rFonts w:ascii="Arial (Body)" w:hAnsi="Arial (Body)"/>
                <w:color w:val="000000"/>
              </w:rPr>
              <w:t xml:space="preserve">aid at 100% of </w:t>
            </w:r>
            <w:r>
              <w:rPr>
                <w:rFonts w:ascii="Arial (Body)" w:hAnsi="Arial (Body)"/>
                <w:color w:val="000000"/>
              </w:rPr>
              <w:t>usual income</w:t>
            </w:r>
            <w:r w:rsidRPr="008D5163">
              <w:rPr>
                <w:rFonts w:ascii="Arial (Body)" w:hAnsi="Arial (Body)"/>
                <w:color w:val="000000"/>
              </w:rPr>
              <w:t>, up to a maximum of 256</w:t>
            </w:r>
            <w:r w:rsidR="00B25070">
              <w:rPr>
                <w:rFonts w:ascii="Arial (Body)" w:hAnsi="Arial (Body)"/>
                <w:color w:val="000000"/>
              </w:rPr>
              <w:t xml:space="preserve"> euro</w:t>
            </w:r>
            <w:r w:rsidRPr="008D5163">
              <w:rPr>
                <w:rFonts w:ascii="Arial (Body)" w:hAnsi="Arial (Body)"/>
                <w:color w:val="000000"/>
              </w:rPr>
              <w:t xml:space="preserve"> (A</w:t>
            </w:r>
            <w:r w:rsidR="00B25070">
              <w:rPr>
                <w:rFonts w:ascii="Arial (Body)" w:hAnsi="Arial (Body)"/>
                <w:color w:val="000000"/>
              </w:rPr>
              <w:t>$</w:t>
            </w:r>
            <w:r w:rsidRPr="008D5163">
              <w:rPr>
                <w:rFonts w:ascii="Arial (Body)" w:hAnsi="Arial (Body)"/>
                <w:color w:val="000000"/>
              </w:rPr>
              <w:t>430) per day</w:t>
            </w:r>
          </w:p>
        </w:tc>
        <w:tc>
          <w:tcPr>
            <w:tcW w:w="1094" w:type="pct"/>
            <w:gridSpan w:val="2"/>
            <w:shd w:val="clear" w:color="000000" w:fill="F2F2F2"/>
          </w:tcPr>
          <w:p w14:paraId="1E16D53F"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6</w:t>
            </w:r>
            <w:r w:rsidRPr="008D5163">
              <w:rPr>
                <w:rFonts w:ascii="Arial (Body)" w:hAnsi="Arial (Body)"/>
                <w:color w:val="000000"/>
              </w:rPr>
              <w:t xml:space="preserve"> </w:t>
            </w:r>
            <w:r>
              <w:rPr>
                <w:rFonts w:ascii="Arial (Body)" w:hAnsi="Arial (Body)"/>
                <w:color w:val="000000"/>
              </w:rPr>
              <w:t>additional</w:t>
            </w:r>
            <w:r w:rsidRPr="008D5163">
              <w:rPr>
                <w:rFonts w:ascii="Arial (Body)" w:hAnsi="Arial (Body)"/>
                <w:color w:val="000000"/>
              </w:rPr>
              <w:t xml:space="preserve"> weeks – one </w:t>
            </w:r>
            <w:r>
              <w:rPr>
                <w:rFonts w:ascii="Arial (Body)" w:hAnsi="Arial (Body)"/>
                <w:color w:val="000000"/>
              </w:rPr>
              <w:t>paid</w:t>
            </w:r>
            <w:r w:rsidRPr="008D5163">
              <w:rPr>
                <w:rFonts w:ascii="Arial (Body)" w:hAnsi="Arial (Body)"/>
                <w:color w:val="000000"/>
              </w:rPr>
              <w:t xml:space="preserve"> at full pay, and the other five paid at up to 70% of </w:t>
            </w:r>
            <w:r>
              <w:rPr>
                <w:rFonts w:ascii="Arial (Body)" w:hAnsi="Arial (Body)"/>
                <w:color w:val="000000"/>
              </w:rPr>
              <w:t xml:space="preserve">their </w:t>
            </w:r>
            <w:r w:rsidRPr="008D5163">
              <w:rPr>
                <w:rFonts w:ascii="Arial (Body)" w:hAnsi="Arial (Body)"/>
                <w:color w:val="000000"/>
              </w:rPr>
              <w:t>usual salary</w:t>
            </w:r>
          </w:p>
        </w:tc>
        <w:tc>
          <w:tcPr>
            <w:tcW w:w="1062" w:type="pct"/>
            <w:shd w:val="clear" w:color="000000" w:fill="F2F2F2"/>
          </w:tcPr>
          <w:p w14:paraId="6CFFA714" w14:textId="77777777"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 xml:space="preserve">26 </w:t>
            </w:r>
            <w:r>
              <w:rPr>
                <w:rFonts w:ascii="Arial (Body)" w:hAnsi="Arial (Body)"/>
                <w:color w:val="000000"/>
              </w:rPr>
              <w:t xml:space="preserve">additional </w:t>
            </w:r>
            <w:r w:rsidRPr="008D5163">
              <w:rPr>
                <w:rFonts w:ascii="Arial (Body)" w:hAnsi="Arial (Body)"/>
                <w:color w:val="000000"/>
              </w:rPr>
              <w:t xml:space="preserve">weeks </w:t>
            </w:r>
            <w:r>
              <w:rPr>
                <w:rFonts w:ascii="Arial (Body)" w:hAnsi="Arial (Body)"/>
                <w:color w:val="000000"/>
              </w:rPr>
              <w:t>which</w:t>
            </w:r>
            <w:r w:rsidRPr="008D5163">
              <w:rPr>
                <w:rFonts w:ascii="Arial (Body)" w:hAnsi="Arial (Body)"/>
                <w:color w:val="000000"/>
              </w:rPr>
              <w:t xml:space="preserve"> can be used until a child turns eight years old, </w:t>
            </w:r>
            <w:r>
              <w:rPr>
                <w:rFonts w:ascii="Arial (Body)" w:hAnsi="Arial (Body)"/>
                <w:color w:val="000000"/>
              </w:rPr>
              <w:t xml:space="preserve">of which </w:t>
            </w:r>
            <w:r w:rsidRPr="008D5163">
              <w:rPr>
                <w:rFonts w:ascii="Arial (Body)" w:hAnsi="Arial (Body)"/>
                <w:color w:val="000000"/>
              </w:rPr>
              <w:t xml:space="preserve">9 weeks </w:t>
            </w:r>
            <w:r>
              <w:rPr>
                <w:rFonts w:ascii="Arial (Body)" w:hAnsi="Arial (Body)"/>
                <w:color w:val="000000"/>
              </w:rPr>
              <w:t>are</w:t>
            </w:r>
            <w:r w:rsidRPr="008D5163">
              <w:rPr>
                <w:rFonts w:ascii="Arial (Body)" w:hAnsi="Arial (Body)"/>
                <w:color w:val="000000"/>
              </w:rPr>
              <w:t xml:space="preserve"> paid at 70% of the parent’s salary and must be used in the </w:t>
            </w:r>
            <w:r>
              <w:rPr>
                <w:rFonts w:ascii="Arial (Body)" w:hAnsi="Arial (Body)"/>
                <w:color w:val="000000"/>
              </w:rPr>
              <w:t xml:space="preserve">child’s </w:t>
            </w:r>
            <w:r w:rsidRPr="008D5163">
              <w:rPr>
                <w:rFonts w:ascii="Arial (Body)" w:hAnsi="Arial (Body)"/>
                <w:color w:val="000000"/>
              </w:rPr>
              <w:t>first year</w:t>
            </w:r>
          </w:p>
        </w:tc>
      </w:tr>
      <w:tr w:rsidR="00EC5BB1" w:rsidRPr="00030C67" w14:paraId="2A1BC882" w14:textId="77777777" w:rsidTr="00882158">
        <w:tc>
          <w:tcPr>
            <w:tcW w:w="648" w:type="pct"/>
            <w:shd w:val="clear" w:color="auto" w:fill="auto"/>
          </w:tcPr>
          <w:p w14:paraId="39130EB1" w14:textId="77777777" w:rsidR="00EC5BB1" w:rsidRDefault="00EC5BB1">
            <w:pPr>
              <w:pStyle w:val="TableHeading"/>
            </w:pPr>
            <w:r>
              <w:t>New Zealand</w:t>
            </w:r>
          </w:p>
        </w:tc>
        <w:tc>
          <w:tcPr>
            <w:tcW w:w="883" w:type="pct"/>
            <w:shd w:val="clear" w:color="auto" w:fill="auto"/>
          </w:tcPr>
          <w:p w14:paraId="2B2779AA" w14:textId="77777777"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52 weeks</w:t>
            </w:r>
          </w:p>
        </w:tc>
        <w:tc>
          <w:tcPr>
            <w:tcW w:w="1313" w:type="pct"/>
            <w:gridSpan w:val="2"/>
            <w:shd w:val="clear" w:color="auto" w:fill="auto"/>
          </w:tcPr>
          <w:p w14:paraId="24732EAC" w14:textId="51564C39"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 xml:space="preserve">26 </w:t>
            </w:r>
            <w:r>
              <w:rPr>
                <w:rFonts w:ascii="Arial (Body)" w:hAnsi="Arial (Body)"/>
                <w:color w:val="000000"/>
              </w:rPr>
              <w:t xml:space="preserve">weeks </w:t>
            </w:r>
            <w:r w:rsidRPr="008D5163">
              <w:rPr>
                <w:rFonts w:ascii="Arial (Body)" w:hAnsi="Arial (Body)"/>
                <w:color w:val="000000"/>
              </w:rPr>
              <w:t xml:space="preserve">are paid at the individual’s average weekly wage, </w:t>
            </w:r>
            <w:r>
              <w:rPr>
                <w:rFonts w:ascii="Arial (Body)" w:hAnsi="Arial (Body)"/>
                <w:color w:val="000000"/>
              </w:rPr>
              <w:t xml:space="preserve">up </w:t>
            </w:r>
            <w:r w:rsidRPr="008D5163">
              <w:rPr>
                <w:rFonts w:ascii="Arial (Body)" w:hAnsi="Arial (Body)"/>
                <w:color w:val="000000"/>
              </w:rPr>
              <w:t>to a maximum of NZ</w:t>
            </w:r>
            <w:r w:rsidR="00B25070">
              <w:rPr>
                <w:rFonts w:ascii="Arial (Body)" w:hAnsi="Arial (Body)"/>
                <w:color w:val="000000"/>
              </w:rPr>
              <w:t>$</w:t>
            </w:r>
            <w:r w:rsidRPr="008D5163">
              <w:rPr>
                <w:rFonts w:ascii="Arial (Body)" w:hAnsi="Arial (Body)"/>
                <w:color w:val="000000"/>
              </w:rPr>
              <w:t>712 (A</w:t>
            </w:r>
            <w:r w:rsidR="00B25070">
              <w:rPr>
                <w:rFonts w:ascii="Arial (Body)" w:hAnsi="Arial (Body)"/>
                <w:color w:val="000000"/>
              </w:rPr>
              <w:t>$</w:t>
            </w:r>
            <w:r w:rsidRPr="008D5163">
              <w:rPr>
                <w:rFonts w:ascii="Arial (Body)" w:hAnsi="Arial (Body)"/>
                <w:color w:val="000000"/>
              </w:rPr>
              <w:t>6</w:t>
            </w:r>
            <w:r>
              <w:rPr>
                <w:rFonts w:ascii="Arial (Body)" w:hAnsi="Arial (Body)"/>
                <w:color w:val="000000"/>
              </w:rPr>
              <w:t>60</w:t>
            </w:r>
            <w:r w:rsidRPr="008D5163">
              <w:rPr>
                <w:rFonts w:ascii="Arial (Body)" w:hAnsi="Arial (Body)"/>
                <w:color w:val="000000"/>
              </w:rPr>
              <w:t xml:space="preserve">) </w:t>
            </w:r>
            <w:r>
              <w:rPr>
                <w:rFonts w:ascii="Arial (Body)" w:hAnsi="Arial (Body)"/>
                <w:color w:val="000000"/>
              </w:rPr>
              <w:t>per</w:t>
            </w:r>
            <w:r w:rsidRPr="008D5163">
              <w:rPr>
                <w:rFonts w:ascii="Arial (Body)" w:hAnsi="Arial (Body)"/>
                <w:color w:val="000000"/>
              </w:rPr>
              <w:t xml:space="preserve"> week</w:t>
            </w:r>
          </w:p>
        </w:tc>
        <w:tc>
          <w:tcPr>
            <w:tcW w:w="1094" w:type="pct"/>
            <w:gridSpan w:val="2"/>
            <w:shd w:val="clear" w:color="auto" w:fill="auto"/>
          </w:tcPr>
          <w:p w14:paraId="71D253FF"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 xml:space="preserve">The 52 weeks </w:t>
            </w:r>
            <w:r w:rsidRPr="008D5163">
              <w:rPr>
                <w:rFonts w:ascii="Arial (Body)" w:hAnsi="Arial (Body)"/>
                <w:color w:val="000000"/>
              </w:rPr>
              <w:t xml:space="preserve">can be shared between both parents, and partners are also entitled to an additional </w:t>
            </w:r>
            <w:r>
              <w:rPr>
                <w:rFonts w:ascii="Arial (Body)" w:hAnsi="Arial (Body)"/>
                <w:color w:val="000000"/>
              </w:rPr>
              <w:t>2</w:t>
            </w:r>
            <w:r w:rsidRPr="008D5163">
              <w:rPr>
                <w:rFonts w:ascii="Arial (Body)" w:hAnsi="Arial (Body)"/>
                <w:color w:val="000000"/>
              </w:rPr>
              <w:t xml:space="preserve"> weeks of unpaid leav</w:t>
            </w:r>
            <w:r>
              <w:rPr>
                <w:rFonts w:ascii="Arial (Body)" w:hAnsi="Arial (Body)"/>
                <w:color w:val="000000"/>
              </w:rPr>
              <w:t>e</w:t>
            </w:r>
          </w:p>
        </w:tc>
        <w:tc>
          <w:tcPr>
            <w:tcW w:w="1062" w:type="pct"/>
            <w:shd w:val="clear" w:color="auto" w:fill="auto"/>
          </w:tcPr>
          <w:p w14:paraId="2CED63D6" w14:textId="77777777" w:rsidR="00EC5BB1" w:rsidRDefault="00EC5BB1" w:rsidP="00570EC7">
            <w:pPr>
              <w:pStyle w:val="TableBody"/>
              <w:spacing w:before="45" w:after="45"/>
              <w:ind w:right="108"/>
              <w:rPr>
                <w:rFonts w:ascii="Arial (Body)" w:hAnsi="Arial (Body)"/>
                <w:color w:val="000000"/>
              </w:rPr>
            </w:pPr>
          </w:p>
        </w:tc>
      </w:tr>
      <w:tr w:rsidR="00EC5BB1" w:rsidRPr="00030C67" w14:paraId="0756AD64" w14:textId="77777777" w:rsidTr="00882158">
        <w:tc>
          <w:tcPr>
            <w:tcW w:w="648" w:type="pct"/>
            <w:shd w:val="clear" w:color="000000" w:fill="F2F2F2"/>
          </w:tcPr>
          <w:p w14:paraId="06E7ECCF" w14:textId="77777777" w:rsidR="00EC5BB1" w:rsidRDefault="00EC5BB1">
            <w:pPr>
              <w:pStyle w:val="TableHeading"/>
            </w:pPr>
            <w:r>
              <w:t>Sweden</w:t>
            </w:r>
          </w:p>
        </w:tc>
        <w:tc>
          <w:tcPr>
            <w:tcW w:w="883" w:type="pct"/>
            <w:shd w:val="clear" w:color="000000" w:fill="F2F2F2"/>
          </w:tcPr>
          <w:p w14:paraId="32CF09F3" w14:textId="37BCD350" w:rsidR="00EC5BB1" w:rsidRDefault="00EC5BB1" w:rsidP="009210B8">
            <w:pPr>
              <w:pStyle w:val="TableBody"/>
              <w:spacing w:before="45" w:after="45"/>
              <w:ind w:right="108"/>
              <w:rPr>
                <w:rFonts w:ascii="Arial (Body)" w:hAnsi="Arial (Body)"/>
                <w:color w:val="000000"/>
              </w:rPr>
            </w:pPr>
            <w:r>
              <w:rPr>
                <w:rFonts w:ascii="Arial (Body)" w:hAnsi="Arial (Body)"/>
                <w:color w:val="000000"/>
              </w:rPr>
              <w:t>68 weeks</w:t>
            </w:r>
          </w:p>
        </w:tc>
        <w:tc>
          <w:tcPr>
            <w:tcW w:w="1313" w:type="pct"/>
            <w:gridSpan w:val="2"/>
            <w:shd w:val="clear" w:color="000000" w:fill="F2F2F2"/>
          </w:tcPr>
          <w:p w14:paraId="4BBD78EE" w14:textId="661B46D7"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 xml:space="preserve">55 weeks </w:t>
            </w:r>
            <w:r>
              <w:rPr>
                <w:rFonts w:ascii="Arial (Body)" w:hAnsi="Arial (Body)"/>
                <w:color w:val="000000"/>
              </w:rPr>
              <w:t xml:space="preserve">are </w:t>
            </w:r>
            <w:r w:rsidRPr="008D5163">
              <w:rPr>
                <w:rFonts w:ascii="Arial (Body)" w:hAnsi="Arial (Body)"/>
                <w:color w:val="000000"/>
              </w:rPr>
              <w:t xml:space="preserve">paid at 80% of </w:t>
            </w:r>
            <w:r>
              <w:rPr>
                <w:rFonts w:ascii="Arial (Body)" w:hAnsi="Arial (Body)"/>
                <w:color w:val="000000"/>
              </w:rPr>
              <w:t xml:space="preserve">usual </w:t>
            </w:r>
            <w:r w:rsidRPr="008D5163">
              <w:rPr>
                <w:rFonts w:ascii="Arial (Body)" w:hAnsi="Arial (Body)"/>
                <w:color w:val="000000"/>
              </w:rPr>
              <w:t>income</w:t>
            </w:r>
            <w:r>
              <w:rPr>
                <w:rFonts w:ascii="Arial (Body)" w:hAnsi="Arial (Body)"/>
                <w:color w:val="000000"/>
              </w:rPr>
              <w:t xml:space="preserve"> and the remaining 13 weeks are paid at SEK180 (about A</w:t>
            </w:r>
            <w:r w:rsidR="00B25070">
              <w:rPr>
                <w:rFonts w:ascii="Arial (Body)" w:hAnsi="Arial (Body)"/>
                <w:color w:val="000000"/>
              </w:rPr>
              <w:t>$</w:t>
            </w:r>
            <w:r>
              <w:rPr>
                <w:rFonts w:ascii="Arial (Body)" w:hAnsi="Arial (Body)"/>
                <w:color w:val="000000"/>
              </w:rPr>
              <w:t>25) per day</w:t>
            </w:r>
          </w:p>
        </w:tc>
        <w:tc>
          <w:tcPr>
            <w:tcW w:w="1094" w:type="pct"/>
            <w:gridSpan w:val="2"/>
            <w:shd w:val="clear" w:color="000000" w:fill="F2F2F2"/>
          </w:tcPr>
          <w:p w14:paraId="3ED53181"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In couple families, the 68 weeks can be shared between both parents, however a minimum of 13 weeks is reserved for each parent</w:t>
            </w:r>
          </w:p>
        </w:tc>
        <w:tc>
          <w:tcPr>
            <w:tcW w:w="1062" w:type="pct"/>
            <w:shd w:val="clear" w:color="000000" w:fill="F2F2F2"/>
          </w:tcPr>
          <w:p w14:paraId="13D9030C" w14:textId="77777777" w:rsidR="00EC5BB1" w:rsidRDefault="00EC5BB1" w:rsidP="00570EC7">
            <w:pPr>
              <w:pStyle w:val="TableBody"/>
              <w:spacing w:before="45" w:after="45"/>
              <w:ind w:right="108"/>
              <w:rPr>
                <w:rFonts w:ascii="Arial (Body)" w:hAnsi="Arial (Body)"/>
                <w:color w:val="000000"/>
              </w:rPr>
            </w:pPr>
            <w:r w:rsidRPr="008D5163">
              <w:rPr>
                <w:rFonts w:ascii="Arial (Body)" w:hAnsi="Arial (Body)"/>
                <w:color w:val="000000"/>
              </w:rPr>
              <w:t xml:space="preserve">About </w:t>
            </w:r>
            <w:r>
              <w:rPr>
                <w:rFonts w:ascii="Arial (Body)" w:hAnsi="Arial (Body)"/>
                <w:color w:val="000000"/>
              </w:rPr>
              <w:t>54</w:t>
            </w:r>
            <w:r w:rsidRPr="008D5163">
              <w:rPr>
                <w:rFonts w:ascii="Arial (Body)" w:hAnsi="Arial (Body)"/>
                <w:color w:val="000000"/>
              </w:rPr>
              <w:t xml:space="preserve"> of the </w:t>
            </w:r>
            <w:r>
              <w:rPr>
                <w:rFonts w:ascii="Arial (Body)" w:hAnsi="Arial (Body)"/>
                <w:color w:val="000000"/>
              </w:rPr>
              <w:t>68 weeks</w:t>
            </w:r>
            <w:r w:rsidRPr="008D5163">
              <w:rPr>
                <w:rFonts w:ascii="Arial (Body)" w:hAnsi="Arial (Body)"/>
                <w:color w:val="000000"/>
              </w:rPr>
              <w:t xml:space="preserve"> </w:t>
            </w:r>
            <w:r>
              <w:rPr>
                <w:rFonts w:ascii="Arial (Body)" w:hAnsi="Arial (Body)"/>
                <w:color w:val="000000"/>
              </w:rPr>
              <w:t>must</w:t>
            </w:r>
            <w:r w:rsidRPr="008D5163">
              <w:rPr>
                <w:rFonts w:ascii="Arial (Body)" w:hAnsi="Arial (Body)"/>
                <w:color w:val="000000"/>
              </w:rPr>
              <w:t xml:space="preserve"> be used before a child turns four, and the remaining </w:t>
            </w:r>
            <w:r>
              <w:rPr>
                <w:rFonts w:ascii="Arial (Body)" w:hAnsi="Arial (Body)"/>
                <w:color w:val="000000"/>
              </w:rPr>
              <w:t>14 weeks</w:t>
            </w:r>
            <w:r w:rsidRPr="008D5163">
              <w:rPr>
                <w:rFonts w:ascii="Arial (Body)" w:hAnsi="Arial (Body)"/>
                <w:color w:val="000000"/>
              </w:rPr>
              <w:t xml:space="preserve"> can be </w:t>
            </w:r>
            <w:r>
              <w:rPr>
                <w:rFonts w:ascii="Arial (Body)" w:hAnsi="Arial (Body)"/>
                <w:color w:val="000000"/>
              </w:rPr>
              <w:t>used</w:t>
            </w:r>
            <w:r w:rsidRPr="008D5163">
              <w:rPr>
                <w:rFonts w:ascii="Arial (Body)" w:hAnsi="Arial (Body)"/>
                <w:color w:val="000000"/>
              </w:rPr>
              <w:t xml:space="preserve"> up until a child turns twelve</w:t>
            </w:r>
          </w:p>
        </w:tc>
      </w:tr>
      <w:tr w:rsidR="00EC5BB1" w:rsidRPr="00030C67" w14:paraId="5A6991A2" w14:textId="77777777" w:rsidTr="00882158">
        <w:tc>
          <w:tcPr>
            <w:tcW w:w="648" w:type="pct"/>
            <w:tcBorders>
              <w:bottom w:val="single" w:sz="4" w:space="0" w:color="B3B3B3"/>
            </w:tcBorders>
            <w:shd w:val="clear" w:color="auto" w:fill="auto"/>
          </w:tcPr>
          <w:p w14:paraId="23469A7D" w14:textId="77777777" w:rsidR="00EC5BB1" w:rsidRDefault="00EC5BB1">
            <w:pPr>
              <w:pStyle w:val="TableHeading"/>
            </w:pPr>
            <w:r>
              <w:t>Australia</w:t>
            </w:r>
          </w:p>
        </w:tc>
        <w:tc>
          <w:tcPr>
            <w:tcW w:w="883" w:type="pct"/>
            <w:tcBorders>
              <w:bottom w:val="single" w:sz="4" w:space="0" w:color="B3B3B3"/>
            </w:tcBorders>
            <w:shd w:val="clear" w:color="auto" w:fill="auto"/>
          </w:tcPr>
          <w:p w14:paraId="66A179FC" w14:textId="77777777" w:rsidR="00EC5BB1" w:rsidRDefault="00EC5BB1" w:rsidP="00570EC7">
            <w:pPr>
              <w:pStyle w:val="TableBody"/>
              <w:spacing w:before="45" w:after="45"/>
              <w:ind w:right="108"/>
              <w:rPr>
                <w:rFonts w:ascii="Arial (Body)" w:hAnsi="Arial (Body)"/>
                <w:color w:val="000000"/>
              </w:rPr>
            </w:pPr>
            <w:r>
              <w:rPr>
                <w:rFonts w:ascii="Arial (Body)" w:hAnsi="Arial (Body)"/>
                <w:color w:val="000000"/>
              </w:rPr>
              <w:t>52 weeks</w:t>
            </w:r>
          </w:p>
        </w:tc>
        <w:tc>
          <w:tcPr>
            <w:tcW w:w="1313" w:type="pct"/>
            <w:gridSpan w:val="2"/>
            <w:tcBorders>
              <w:bottom w:val="single" w:sz="4" w:space="0" w:color="B3B3B3"/>
            </w:tcBorders>
            <w:shd w:val="clear" w:color="auto" w:fill="auto"/>
          </w:tcPr>
          <w:p w14:paraId="5BD1AAD0" w14:textId="34B52700" w:rsidR="00EC5BB1" w:rsidRPr="008D5163" w:rsidRDefault="00EC5BB1" w:rsidP="00570EC7">
            <w:pPr>
              <w:pStyle w:val="TableBody"/>
              <w:spacing w:before="45" w:after="45"/>
              <w:ind w:right="108"/>
              <w:rPr>
                <w:rFonts w:ascii="Arial (Body)" w:hAnsi="Arial (Body)"/>
                <w:color w:val="000000"/>
              </w:rPr>
            </w:pPr>
            <w:r>
              <w:rPr>
                <w:rFonts w:ascii="Arial (Body)" w:hAnsi="Arial (Body)"/>
                <w:color w:val="000000"/>
              </w:rPr>
              <w:t>20 weeks paid at about A</w:t>
            </w:r>
            <w:r w:rsidR="00B25070">
              <w:rPr>
                <w:rFonts w:ascii="Arial (Body)" w:hAnsi="Arial (Body)"/>
                <w:color w:val="000000"/>
              </w:rPr>
              <w:t>$</w:t>
            </w:r>
            <w:r>
              <w:rPr>
                <w:rFonts w:ascii="Arial (Body)" w:hAnsi="Arial (Body)"/>
                <w:color w:val="000000"/>
              </w:rPr>
              <w:t>880 per week</w:t>
            </w:r>
          </w:p>
        </w:tc>
        <w:tc>
          <w:tcPr>
            <w:tcW w:w="1094" w:type="pct"/>
            <w:gridSpan w:val="2"/>
            <w:tcBorders>
              <w:bottom w:val="single" w:sz="4" w:space="0" w:color="B3B3B3"/>
            </w:tcBorders>
            <w:shd w:val="clear" w:color="auto" w:fill="auto"/>
          </w:tcPr>
          <w:p w14:paraId="1592C77B" w14:textId="77777777" w:rsidR="00EC5BB1" w:rsidRPr="009210B8" w:rsidRDefault="00EC5BB1" w:rsidP="00570EC7">
            <w:pPr>
              <w:pStyle w:val="TableBody"/>
              <w:spacing w:before="45" w:after="45"/>
              <w:ind w:right="108"/>
              <w:rPr>
                <w:rFonts w:ascii="Arial (Body)" w:hAnsi="Arial (Body)"/>
                <w:color w:val="000000"/>
                <w:spacing w:val="-2"/>
              </w:rPr>
            </w:pPr>
            <w:r w:rsidRPr="009210B8">
              <w:rPr>
                <w:rFonts w:ascii="Arial (Body)" w:hAnsi="Arial (Body)"/>
                <w:color w:val="000000"/>
                <w:spacing w:val="-2"/>
              </w:rPr>
              <w:t>In couple families, leave can be shared between both parents, however a minimum of 2 weeks of the paid component is reserved for each parent</w:t>
            </w:r>
          </w:p>
        </w:tc>
        <w:tc>
          <w:tcPr>
            <w:tcW w:w="1062" w:type="pct"/>
            <w:tcBorders>
              <w:bottom w:val="single" w:sz="4" w:space="0" w:color="B3B3B3"/>
            </w:tcBorders>
            <w:shd w:val="clear" w:color="auto" w:fill="auto"/>
          </w:tcPr>
          <w:p w14:paraId="3AFB6BF6" w14:textId="77777777" w:rsidR="00EC5BB1" w:rsidRPr="008D5163" w:rsidRDefault="00EC5BB1" w:rsidP="00570EC7">
            <w:pPr>
              <w:pStyle w:val="TableBody"/>
              <w:spacing w:before="45" w:after="45"/>
              <w:ind w:right="108"/>
              <w:rPr>
                <w:rFonts w:ascii="Arial (Body)" w:hAnsi="Arial (Body)"/>
                <w:color w:val="000000"/>
              </w:rPr>
            </w:pPr>
          </w:p>
        </w:tc>
      </w:tr>
    </w:tbl>
    <w:p w14:paraId="1F04E8D1" w14:textId="77777777" w:rsidR="00EC5BB1" w:rsidRDefault="00EC5BB1" w:rsidP="00882158">
      <w:pPr>
        <w:pStyle w:val="Note"/>
        <w:keepLines/>
      </w:pPr>
      <w:r w:rsidRPr="00C36914">
        <w:rPr>
          <w:b/>
          <w:bCs/>
        </w:rPr>
        <w:t>a.</w:t>
      </w:r>
      <w:r w:rsidRPr="00C36914">
        <w:t xml:space="preserve"> </w:t>
      </w:r>
      <w:r>
        <w:t>Many countries offer ‘parental leave’ in addition to maternity and paternity leave, which can often be used later in a child’s life. This is different to the definition of ‘parental leave’ in Australian national legislation, which is used as an overarching, gender</w:t>
      </w:r>
      <w:r>
        <w:noBreakHyphen/>
        <w:t>neutral term for leave entitlements in association with the birth or adoption of a child (otherwise known as maternity or paternity leave)</w:t>
      </w:r>
      <w:r w:rsidRPr="00C36914">
        <w:t>.</w:t>
      </w:r>
    </w:p>
    <w:p w14:paraId="1A646229" w14:textId="4A268DD8" w:rsidR="00EC5BB1" w:rsidRPr="009210B8" w:rsidRDefault="0089277F" w:rsidP="00882158">
      <w:pPr>
        <w:pStyle w:val="Source"/>
        <w:keepLines/>
        <w:rPr>
          <w:spacing w:val="-4"/>
        </w:rPr>
      </w:pPr>
      <w:r w:rsidRPr="009210B8">
        <w:rPr>
          <w:spacing w:val="-4"/>
        </w:rPr>
        <w:t>Source</w:t>
      </w:r>
      <w:r w:rsidR="00EC5BB1" w:rsidRPr="009210B8">
        <w:rPr>
          <w:spacing w:val="-4"/>
        </w:rPr>
        <w:t xml:space="preserve">: Beach et al. </w:t>
      </w:r>
      <w:r w:rsidR="00EC5BB1" w:rsidRPr="009210B8">
        <w:rPr>
          <w:rFonts w:cs="Arial"/>
          <w:spacing w:val="-4"/>
          <w:szCs w:val="24"/>
        </w:rPr>
        <w:t>(2023, p. xxxii)</w:t>
      </w:r>
      <w:r w:rsidR="00EC5BB1" w:rsidRPr="009210B8">
        <w:rPr>
          <w:spacing w:val="-4"/>
        </w:rPr>
        <w:t xml:space="preserve">; Irish Government Citizens Information Board </w:t>
      </w:r>
      <w:r w:rsidR="00EC5BB1" w:rsidRPr="009210B8">
        <w:rPr>
          <w:rFonts w:cs="Arial"/>
          <w:spacing w:val="-4"/>
        </w:rPr>
        <w:t>(2023b)</w:t>
      </w:r>
      <w:r w:rsidR="00EC5BB1" w:rsidRPr="009210B8">
        <w:rPr>
          <w:spacing w:val="-4"/>
        </w:rPr>
        <w:t xml:space="preserve">; Netherlands Government </w:t>
      </w:r>
      <w:r w:rsidR="00EC5BB1" w:rsidRPr="009210B8">
        <w:rPr>
          <w:rFonts w:cs="Arial"/>
          <w:spacing w:val="-4"/>
        </w:rPr>
        <w:t>(2022)</w:t>
      </w:r>
      <w:r w:rsidR="00EC5BB1" w:rsidRPr="009210B8">
        <w:rPr>
          <w:spacing w:val="-4"/>
        </w:rPr>
        <w:t xml:space="preserve">; New Zealand Ministry of Business, Innovation and Employment (Hīkina Whakatutuki) </w:t>
      </w:r>
      <w:r w:rsidR="00EC5BB1" w:rsidRPr="009210B8">
        <w:rPr>
          <w:rFonts w:cs="Arial"/>
          <w:spacing w:val="-4"/>
        </w:rPr>
        <w:t>(2022b)</w:t>
      </w:r>
      <w:r w:rsidR="00EC5BB1" w:rsidRPr="009210B8">
        <w:rPr>
          <w:spacing w:val="-4"/>
        </w:rPr>
        <w:t xml:space="preserve">; European Commission </w:t>
      </w:r>
      <w:r w:rsidR="00EC5BB1" w:rsidRPr="009210B8">
        <w:rPr>
          <w:rFonts w:cs="Arial"/>
          <w:spacing w:val="-4"/>
          <w:szCs w:val="24"/>
        </w:rPr>
        <w:t>(2019, p. 52, 2023c)</w:t>
      </w:r>
      <w:r w:rsidR="00EC5BB1" w:rsidRPr="009210B8">
        <w:rPr>
          <w:spacing w:val="-4"/>
        </w:rPr>
        <w:t xml:space="preserve">; Koslowski et al. </w:t>
      </w:r>
      <w:r w:rsidR="00EC5BB1" w:rsidRPr="009210B8">
        <w:rPr>
          <w:rFonts w:cs="Arial"/>
          <w:spacing w:val="-4"/>
          <w:szCs w:val="24"/>
        </w:rPr>
        <w:t>(2022, p. 82)</w:t>
      </w:r>
      <w:r w:rsidR="00EC5BB1" w:rsidRPr="009210B8">
        <w:rPr>
          <w:spacing w:val="-4"/>
        </w:rPr>
        <w:t xml:space="preserve">; Services Australia </w:t>
      </w:r>
      <w:r w:rsidR="00EC5BB1" w:rsidRPr="009210B8">
        <w:rPr>
          <w:rFonts w:cs="Arial"/>
          <w:spacing w:val="-4"/>
        </w:rPr>
        <w:t>(2023)</w:t>
      </w:r>
      <w:r w:rsidR="00EC5BB1" w:rsidRPr="009210B8">
        <w:rPr>
          <w:spacing w:val="-4"/>
        </w:rPr>
        <w:t xml:space="preserve">; Fair Work Ombudsman </w:t>
      </w:r>
      <w:r w:rsidR="00EC5BB1" w:rsidRPr="009210B8">
        <w:rPr>
          <w:rFonts w:cs="Arial"/>
          <w:spacing w:val="-4"/>
          <w:szCs w:val="24"/>
        </w:rPr>
        <w:t>(2022, p. 1)</w:t>
      </w:r>
      <w:r w:rsidR="00EC5BB1" w:rsidRPr="009210B8">
        <w:rPr>
          <w:spacing w:val="-4"/>
        </w:rPr>
        <w:t>.</w:t>
      </w:r>
    </w:p>
    <w:p w14:paraId="18167645" w14:textId="77777777" w:rsidR="00EC5BB1" w:rsidRDefault="00EC5BB1" w:rsidP="009210B8">
      <w:pPr>
        <w:pStyle w:val="Heading3"/>
      </w:pPr>
      <w:r>
        <w:lastRenderedPageBreak/>
        <w:t>The split between private and public ECEC provision</w:t>
      </w:r>
    </w:p>
    <w:p w14:paraId="30C3F176" w14:textId="24E3C5E1" w:rsidR="00EC5BB1" w:rsidRDefault="00EC5BB1" w:rsidP="009210B8">
      <w:pPr>
        <w:pStyle w:val="BodyText"/>
        <w:keepNext/>
        <w:keepLines/>
      </w:pPr>
      <w:r>
        <w:t>There is wide variation in the share of ECEC that is provided privately (including by both for</w:t>
      </w:r>
      <w:r>
        <w:noBreakHyphen/>
        <w:t>profit and not</w:t>
      </w:r>
      <w:r>
        <w:noBreakHyphen/>
        <w:t>for</w:t>
      </w:r>
      <w:r>
        <w:noBreakHyphen/>
        <w:t>profit organisations) across OECD countries (figure B.4). Many</w:t>
      </w:r>
      <w:r w:rsidDel="00EB5453">
        <w:t xml:space="preserve"> </w:t>
      </w:r>
      <w:r>
        <w:t xml:space="preserve">European countries feature very low rates of private ECEC provision, while in other countries, such as </w:t>
      </w:r>
      <w:r w:rsidRPr="00F820CC">
        <w:rPr>
          <w:b/>
          <w:i/>
        </w:rPr>
        <w:t>New Zealand</w:t>
      </w:r>
      <w:r>
        <w:t xml:space="preserve"> and </w:t>
      </w:r>
      <w:r w:rsidRPr="00F820CC">
        <w:rPr>
          <w:b/>
          <w:i/>
        </w:rPr>
        <w:t>Ireland</w:t>
      </w:r>
      <w:r>
        <w:t xml:space="preserve">, private providers dominate the market. While there is no directly comparable data for Australia, data from other sources suggests private providers make up 89% of all services, suggesting that Australia has a higher share of private service provision than most other OECD </w:t>
      </w:r>
      <w:r w:rsidRPr="00A41A13">
        <w:t>countries</w:t>
      </w:r>
      <w:r>
        <w:t xml:space="preserve"> </w:t>
      </w:r>
      <w:r w:rsidRPr="0030249E">
        <w:t>(paper 5).</w:t>
      </w:r>
      <w:r>
        <w:rPr>
          <w:rStyle w:val="FootnoteReference"/>
        </w:rPr>
        <w:footnoteReference w:id="2"/>
      </w:r>
    </w:p>
    <w:p w14:paraId="6812FEC7" w14:textId="77777777" w:rsidR="00EC5BB1" w:rsidRPr="001E0852" w:rsidRDefault="00EC5BB1" w:rsidP="00882158">
      <w:pPr>
        <w:pStyle w:val="FigureTableHeading"/>
        <w:keepLines/>
        <w:rPr>
          <w:vertAlign w:val="superscript"/>
        </w:rPr>
      </w:pPr>
      <w:r>
        <w:t xml:space="preserve">Figure </w:t>
      </w:r>
      <w:r>
        <w:rPr>
          <w:noProof/>
        </w:rPr>
        <w:t>B</w:t>
      </w:r>
      <w:r>
        <w:t>.</w:t>
      </w:r>
      <w:r>
        <w:rPr>
          <w:noProof/>
        </w:rPr>
        <w:t xml:space="preserve">4 </w:t>
      </w:r>
      <w:r>
        <w:t>– The proportion of ECEC services delivered through private providers varies widely between countries</w:t>
      </w:r>
      <w:r>
        <w:rPr>
          <w:vertAlign w:val="superscript"/>
        </w:rPr>
        <w:t>a,b,c</w:t>
      </w:r>
    </w:p>
    <w:p w14:paraId="3BC4FA00" w14:textId="77777777" w:rsidR="00EC5BB1" w:rsidRDefault="00EC5BB1" w:rsidP="00882158">
      <w:pPr>
        <w:pStyle w:val="FigureTableSubheading"/>
        <w:keepLines/>
      </w:pPr>
      <w:r>
        <w:t>Percentage of children enrolled in private ECEC institutions, 2020</w:t>
      </w:r>
    </w:p>
    <w:p w14:paraId="0EB7A673" w14:textId="77777777" w:rsidR="00EC5BB1" w:rsidRPr="00F820CC" w:rsidRDefault="00EC5BB1" w:rsidP="00882158">
      <w:pPr>
        <w:pStyle w:val="Note"/>
        <w:keepLines/>
        <w:rPr>
          <w:sz w:val="20"/>
        </w:rPr>
      </w:pPr>
      <w:r w:rsidRPr="0013567E">
        <w:rPr>
          <w:noProof/>
        </w:rPr>
        <w:drawing>
          <wp:inline distT="0" distB="0" distL="0" distR="0" wp14:anchorId="153970D7" wp14:editId="57AAB55B">
            <wp:extent cx="6114415" cy="2872740"/>
            <wp:effectExtent l="0" t="0" r="0" b="0"/>
            <wp:docPr id="910941149" name="Picture 7" descr="Figure B.4 – This is a bar chart that shows the percentage of children enrolled in private ECEC institutions in about 30 OECD countries. Proportions range from about 5% in Estonia to 100% in New Zealand and Ireland, with the OECD average at abou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41149" name="Picture 7" descr="Figure B.4 – This is a bar chart that shows the percentage of children enrolled in private ECEC institutions in about 30 OECD countries. Proportions range from about 5% in Estonia to 100% in New Zealand and Ireland, with the OECD average at about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4415" cy="2872740"/>
                    </a:xfrm>
                    <a:prstGeom prst="rect">
                      <a:avLst/>
                    </a:prstGeom>
                    <a:noFill/>
                    <a:ln>
                      <a:noFill/>
                    </a:ln>
                  </pic:spPr>
                </pic:pic>
              </a:graphicData>
            </a:graphic>
          </wp:inline>
        </w:drawing>
      </w:r>
    </w:p>
    <w:p w14:paraId="36793217" w14:textId="77777777" w:rsidR="00EC5BB1" w:rsidRDefault="00EC5BB1" w:rsidP="00882158">
      <w:pPr>
        <w:pStyle w:val="Note"/>
        <w:rPr>
          <w:b/>
          <w:bCs/>
        </w:rPr>
      </w:pPr>
      <w:r>
        <w:rPr>
          <w:b/>
          <w:bCs/>
        </w:rPr>
        <w:t xml:space="preserve">a. </w:t>
      </w:r>
      <w:r w:rsidRPr="00E83944">
        <w:t>Data includes</w:t>
      </w:r>
      <w:r>
        <w:t xml:space="preserve"> services within the scope of</w:t>
      </w:r>
      <w:r w:rsidRPr="00E83944">
        <w:t xml:space="preserve"> ISCED 0</w:t>
      </w:r>
      <w:r>
        <w:t xml:space="preserve"> (formal ECEC</w:t>
      </w:r>
      <w:r w:rsidRPr="00A44F74">
        <w:t xml:space="preserve"> services</w:t>
      </w:r>
      <w:r>
        <w:t xml:space="preserve">). </w:t>
      </w:r>
      <w:r w:rsidRPr="00531DC3">
        <w:rPr>
          <w:b/>
          <w:bCs/>
        </w:rPr>
        <w:t xml:space="preserve">b. </w:t>
      </w:r>
      <w:r>
        <w:t>Private institutions include both government</w:t>
      </w:r>
      <w:r>
        <w:noBreakHyphen/>
        <w:t xml:space="preserve">dependent private institutions (which receive more than 50% of their core funding from government sources) and independent private institutions (which receive less than 50% of their core funding from government sources) </w:t>
      </w:r>
      <w:r>
        <w:rPr>
          <w:b/>
          <w:bCs/>
        </w:rPr>
        <w:t xml:space="preserve">c. </w:t>
      </w:r>
      <w:r w:rsidRPr="001E0852">
        <w:t>Data for Costa Rica is from 2021 and data for Greece is from 2019</w:t>
      </w:r>
      <w:r>
        <w:t>.</w:t>
      </w:r>
    </w:p>
    <w:p w14:paraId="62836B8E" w14:textId="77777777" w:rsidR="00EC5BB1" w:rsidRPr="007632D8" w:rsidRDefault="00EC5BB1" w:rsidP="00882158">
      <w:pPr>
        <w:pStyle w:val="Source"/>
      </w:pPr>
      <w:r w:rsidRPr="007632D8">
        <w:t xml:space="preserve">Source: OECD </w:t>
      </w:r>
      <w:r w:rsidRPr="001E0852">
        <w:t>(2023a, p. 189)</w:t>
      </w:r>
    </w:p>
    <w:p w14:paraId="66C20033" w14:textId="77777777" w:rsidR="00EC5BB1" w:rsidRDefault="00EC5BB1" w:rsidP="00882158">
      <w:pPr>
        <w:pStyle w:val="Heading3"/>
      </w:pPr>
      <w:r>
        <w:t>ECEC expenditure</w:t>
      </w:r>
    </w:p>
    <w:p w14:paraId="3B8E87A8" w14:textId="77777777" w:rsidR="00EC5BB1" w:rsidRDefault="00EC5BB1" w:rsidP="00882158">
      <w:pPr>
        <w:pStyle w:val="BodyText"/>
      </w:pPr>
      <w:r>
        <w:t>OECD data suggests n</w:t>
      </w:r>
      <w:r w:rsidRPr="008E0B2F">
        <w:t xml:space="preserve">et </w:t>
      </w:r>
      <w:r>
        <w:t>out</w:t>
      </w:r>
      <w:r>
        <w:noBreakHyphen/>
        <w:t>of</w:t>
      </w:r>
      <w:r>
        <w:noBreakHyphen/>
        <w:t>pocket expenses</w:t>
      </w:r>
      <w:r w:rsidRPr="008E0B2F">
        <w:t xml:space="preserve"> for ECEC in Australia are relatively high compared to other countries</w:t>
      </w:r>
      <w:r>
        <w:t xml:space="preserve">, with ECEC costs (for a couple family with two children) </w:t>
      </w:r>
      <w:r w:rsidRPr="0088448D">
        <w:t xml:space="preserve">representing </w:t>
      </w:r>
      <w:r w:rsidRPr="001E0852">
        <w:t>about 15%</w:t>
      </w:r>
      <w:r>
        <w:t xml:space="preserve"> of a family’s net income – higher than the OECD average of 10% </w:t>
      </w:r>
      <w:r w:rsidRPr="008E0B2F">
        <w:t xml:space="preserve">(figure </w:t>
      </w:r>
      <w:r>
        <w:t>B</w:t>
      </w:r>
      <w:r w:rsidRPr="008E0B2F">
        <w:t>.</w:t>
      </w:r>
      <w:r>
        <w:t>5</w:t>
      </w:r>
      <w:r w:rsidRPr="008E0B2F">
        <w:t>).</w:t>
      </w:r>
      <w:r>
        <w:t xml:space="preserve"> Public spending on ECEC also represents a lower percentage of Australia’s GDP compared to many other OECD countries (figure B.6), though this percentage is likely to have increased following the 2023 Cheaper Child Care reforms (appendix C).</w:t>
      </w:r>
    </w:p>
    <w:p w14:paraId="65F71DC8" w14:textId="77777777" w:rsidR="00EC5BB1" w:rsidRDefault="00EC5BB1" w:rsidP="00882158">
      <w:pPr>
        <w:pStyle w:val="BodyText"/>
      </w:pPr>
      <w:r>
        <w:t>Of note, many of the countries whose governments spend a relatively high proportion of GDP on ECEC report relatively low average out</w:t>
      </w:r>
      <w:r>
        <w:noBreakHyphen/>
        <w:t>of</w:t>
      </w:r>
      <w:r>
        <w:noBreakHyphen/>
        <w:t>pocket expenses for families, and, similarly, many countries that have lower public expenditure report higher out</w:t>
      </w:r>
      <w:r>
        <w:noBreakHyphen/>
        <w:t>of</w:t>
      </w:r>
      <w:r>
        <w:noBreakHyphen/>
        <w:t>pocket expenses.</w:t>
      </w:r>
    </w:p>
    <w:p w14:paraId="543E751F" w14:textId="77777777" w:rsidR="00EC5BB1" w:rsidRPr="00146382" w:rsidRDefault="00EC5BB1" w:rsidP="00882158">
      <w:pPr>
        <w:pStyle w:val="FigureTableHeading"/>
        <w:keepLines/>
      </w:pPr>
      <w:r>
        <w:lastRenderedPageBreak/>
        <w:t xml:space="preserve">Figure </w:t>
      </w:r>
      <w:r>
        <w:rPr>
          <w:noProof/>
        </w:rPr>
        <w:t>B</w:t>
      </w:r>
      <w:r>
        <w:t>.</w:t>
      </w:r>
      <w:r>
        <w:rPr>
          <w:noProof/>
        </w:rPr>
        <w:t xml:space="preserve">5 </w:t>
      </w:r>
      <w:r>
        <w:t>– Out</w:t>
      </w:r>
      <w:r>
        <w:noBreakHyphen/>
        <w:t>of</w:t>
      </w:r>
      <w:r>
        <w:noBreakHyphen/>
        <w:t>pocket ECEC expenses</w:t>
      </w:r>
      <w:r w:rsidRPr="004453A1">
        <w:t xml:space="preserve"> in Australia </w:t>
      </w:r>
      <w:r w:rsidRPr="004453A1" w:rsidDel="006C1A11">
        <w:t xml:space="preserve">are </w:t>
      </w:r>
      <w:r>
        <w:t>above the OECD average</w:t>
      </w:r>
      <w:r w:rsidRPr="00F820CC">
        <w:rPr>
          <w:b/>
          <w:vertAlign w:val="superscript"/>
        </w:rPr>
        <w:t>a,</w:t>
      </w:r>
      <w:r>
        <w:rPr>
          <w:vertAlign w:val="superscript"/>
        </w:rPr>
        <w:t>b,c</w:t>
      </w:r>
    </w:p>
    <w:p w14:paraId="7B1FFC93" w14:textId="77777777" w:rsidR="00EC5BB1" w:rsidRDefault="00EC5BB1" w:rsidP="00882158">
      <w:pPr>
        <w:pStyle w:val="BodyText"/>
        <w:keepNext/>
        <w:keepLines/>
      </w:pPr>
      <w:r w:rsidRPr="004453A1">
        <w:rPr>
          <w:rFonts w:asciiTheme="majorHAnsi" w:hAnsiTheme="majorHAnsi"/>
          <w:iCs/>
          <w:color w:val="58585B"/>
          <w:szCs w:val="18"/>
        </w:rPr>
        <w:t xml:space="preserve">Net </w:t>
      </w:r>
      <w:r>
        <w:rPr>
          <w:rFonts w:asciiTheme="majorHAnsi" w:hAnsiTheme="majorHAnsi"/>
          <w:iCs/>
          <w:color w:val="58585B"/>
          <w:szCs w:val="18"/>
        </w:rPr>
        <w:t>ECEC</w:t>
      </w:r>
      <w:r w:rsidRPr="004453A1">
        <w:rPr>
          <w:rFonts w:asciiTheme="majorHAnsi" w:hAnsiTheme="majorHAnsi"/>
          <w:iCs/>
          <w:color w:val="58585B"/>
          <w:szCs w:val="18"/>
        </w:rPr>
        <w:t xml:space="preserve"> costs as a percentage of</w:t>
      </w:r>
      <w:r>
        <w:rPr>
          <w:rFonts w:asciiTheme="majorHAnsi" w:hAnsiTheme="majorHAnsi"/>
          <w:iCs/>
          <w:color w:val="58585B"/>
          <w:szCs w:val="18"/>
        </w:rPr>
        <w:t xml:space="preserve"> net household</w:t>
      </w:r>
      <w:r w:rsidRPr="004453A1">
        <w:rPr>
          <w:rFonts w:asciiTheme="majorHAnsi" w:hAnsiTheme="majorHAnsi"/>
          <w:iCs/>
          <w:color w:val="58585B"/>
          <w:szCs w:val="18"/>
        </w:rPr>
        <w:t xml:space="preserve"> income, for a couple </w:t>
      </w:r>
      <w:r>
        <w:rPr>
          <w:rFonts w:asciiTheme="majorHAnsi" w:hAnsiTheme="majorHAnsi"/>
          <w:iCs/>
          <w:color w:val="58585B"/>
          <w:szCs w:val="18"/>
        </w:rPr>
        <w:t xml:space="preserve">and a single parent </w:t>
      </w:r>
      <w:r w:rsidRPr="004453A1">
        <w:rPr>
          <w:rFonts w:asciiTheme="majorHAnsi" w:hAnsiTheme="majorHAnsi"/>
          <w:iCs/>
          <w:color w:val="58585B"/>
          <w:szCs w:val="18"/>
        </w:rPr>
        <w:t xml:space="preserve">earning 67% of </w:t>
      </w:r>
      <w:r>
        <w:rPr>
          <w:rFonts w:asciiTheme="majorHAnsi" w:hAnsiTheme="majorHAnsi"/>
          <w:iCs/>
          <w:color w:val="58585B"/>
          <w:szCs w:val="18"/>
        </w:rPr>
        <w:t xml:space="preserve">the </w:t>
      </w:r>
      <w:r w:rsidRPr="004453A1">
        <w:rPr>
          <w:rFonts w:asciiTheme="majorHAnsi" w:hAnsiTheme="majorHAnsi"/>
          <w:iCs/>
          <w:color w:val="58585B"/>
          <w:szCs w:val="18"/>
        </w:rPr>
        <w:t>average wage, 202</w:t>
      </w:r>
      <w:r>
        <w:rPr>
          <w:rFonts w:asciiTheme="majorHAnsi" w:hAnsiTheme="majorHAnsi"/>
          <w:iCs/>
          <w:color w:val="58585B"/>
          <w:szCs w:val="18"/>
        </w:rPr>
        <w:t>2</w:t>
      </w:r>
      <w:r w:rsidRPr="004453A1">
        <w:rPr>
          <w:rFonts w:asciiTheme="majorHAnsi" w:hAnsiTheme="majorHAnsi"/>
          <w:iCs/>
          <w:color w:val="58585B"/>
          <w:szCs w:val="18"/>
        </w:rPr>
        <w:t xml:space="preserve"> or latest available data</w:t>
      </w:r>
    </w:p>
    <w:p w14:paraId="15299D33" w14:textId="77777777" w:rsidR="00EC5BB1" w:rsidRDefault="00EC5BB1" w:rsidP="00882158">
      <w:pPr>
        <w:pStyle w:val="Note"/>
        <w:keepLines/>
        <w:rPr>
          <w:b/>
        </w:rPr>
      </w:pPr>
      <w:r w:rsidRPr="0062133D">
        <w:rPr>
          <w:noProof/>
        </w:rPr>
        <w:drawing>
          <wp:inline distT="0" distB="0" distL="0" distR="0" wp14:anchorId="4AFC4850" wp14:editId="4B6F0040">
            <wp:extent cx="6120130" cy="2870835"/>
            <wp:effectExtent l="0" t="0" r="0" b="0"/>
            <wp:docPr id="418633770" name="Picture 8" descr="Figure B.5 – This is a bar chart that shows ECEC costs as a proportion of income in about 30 OECD countries. This is shown for two example families: one with a single parent who is earning 67% of the average wage, and a couple where both partners are earning 67% of the average wage. Proportion of income spent on ECEC ranges from zero in Latvia, Italy and Estonia to 50% of income for single parents in the United States. The OECD average for both scenarios is abou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33770" name="Picture 8" descr="Figure B.5 – This is a bar chart that shows ECEC costs as a proportion of income in about 30 OECD countries. This is shown for two example families: one with a single parent who is earning 67% of the average wage, and a couple where both partners are earning 67% of the average wage. Proportion of income spent on ECEC ranges from zero in Latvia, Italy and Estonia to 50% of income for single parents in the United States. The OECD average for both scenarios is about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78806280" w14:textId="77777777" w:rsidR="00EC5BB1" w:rsidRDefault="00EC5BB1" w:rsidP="00882158">
      <w:pPr>
        <w:pStyle w:val="Note"/>
        <w:keepLines/>
      </w:pPr>
      <w:r w:rsidRPr="00F820CC">
        <w:rPr>
          <w:b/>
        </w:rPr>
        <w:t>a.</w:t>
      </w:r>
      <w:r w:rsidRPr="000A2BA4">
        <w:t xml:space="preserve"> Costs are for full</w:t>
      </w:r>
      <w:r>
        <w:noBreakHyphen/>
      </w:r>
      <w:r w:rsidRPr="000A2BA4">
        <w:t xml:space="preserve">time use of </w:t>
      </w:r>
      <w:r>
        <w:t>centre</w:t>
      </w:r>
      <w:r>
        <w:noBreakHyphen/>
        <w:t xml:space="preserve">based day care. </w:t>
      </w:r>
      <w:r w:rsidRPr="005A6AF0">
        <w:t xml:space="preserve">Net </w:t>
      </w:r>
      <w:r>
        <w:t>ECEC</w:t>
      </w:r>
      <w:r w:rsidRPr="005A6AF0">
        <w:t xml:space="preserve"> costs are equal to gross </w:t>
      </w:r>
      <w:r>
        <w:t xml:space="preserve">ECEC </w:t>
      </w:r>
      <w:r w:rsidRPr="005A6AF0">
        <w:t xml:space="preserve">costs less </w:t>
      </w:r>
      <w:r>
        <w:t>ECEC</w:t>
      </w:r>
      <w:r w:rsidRPr="005A6AF0">
        <w:t xml:space="preserve"> benefits</w:t>
      </w:r>
      <w:r>
        <w:t xml:space="preserve"> and </w:t>
      </w:r>
      <w:r w:rsidRPr="00AC7583">
        <w:t xml:space="preserve">any resulting impact in taxes and other benefits following the use of </w:t>
      </w:r>
      <w:r>
        <w:t>ECEC. Net income includes social assistance benefits and family benefits, and is calculated after tax and social security contributions.</w:t>
      </w:r>
      <w:r w:rsidRPr="005A6AF0">
        <w:t xml:space="preserve"> </w:t>
      </w:r>
      <w:r w:rsidRPr="00F820CC">
        <w:rPr>
          <w:b/>
        </w:rPr>
        <w:t>b.</w:t>
      </w:r>
      <w:r w:rsidRPr="000A2BA4">
        <w:t xml:space="preserve"> Data assumes that families have two children aged two and three and that parents are aged 40 and work full time. </w:t>
      </w:r>
      <w:r w:rsidRPr="00F820CC">
        <w:rPr>
          <w:b/>
        </w:rPr>
        <w:t>c.</w:t>
      </w:r>
      <w:r>
        <w:t> </w:t>
      </w:r>
      <w:r w:rsidRPr="000A2BA4">
        <w:t>Information on fees and benefits is based on national rules. Where fees are determined at the local level, in most cases the local authority of a country’s capital is considered.</w:t>
      </w:r>
    </w:p>
    <w:p w14:paraId="704FB272" w14:textId="77777777" w:rsidR="00EC5BB1" w:rsidRDefault="00EC5BB1" w:rsidP="00882158">
      <w:pPr>
        <w:pStyle w:val="Note"/>
        <w:keepLines/>
      </w:pPr>
      <w:r>
        <w:t>S</w:t>
      </w:r>
      <w:r w:rsidRPr="004453A1">
        <w:t xml:space="preserve">ource: OECD </w:t>
      </w:r>
      <w:r w:rsidRPr="00D57696">
        <w:rPr>
          <w:rFonts w:ascii="Arial" w:hAnsi="Arial" w:cs="Arial"/>
        </w:rPr>
        <w:t>(2023b)</w:t>
      </w:r>
    </w:p>
    <w:p w14:paraId="3C7DB99F" w14:textId="77777777" w:rsidR="00EC5BB1" w:rsidRPr="00146382" w:rsidRDefault="00EC5BB1" w:rsidP="00882158">
      <w:pPr>
        <w:pStyle w:val="FigureTableHeading"/>
        <w:keepLines/>
      </w:pPr>
      <w:r>
        <w:t xml:space="preserve">Figure </w:t>
      </w:r>
      <w:r>
        <w:rPr>
          <w:noProof/>
        </w:rPr>
        <w:t>B</w:t>
      </w:r>
      <w:r>
        <w:t>.</w:t>
      </w:r>
      <w:r>
        <w:rPr>
          <w:noProof/>
        </w:rPr>
        <w:t xml:space="preserve">6 </w:t>
      </w:r>
      <w:r>
        <w:t xml:space="preserve">– </w:t>
      </w:r>
      <w:r w:rsidRPr="001E1E7B">
        <w:t xml:space="preserve">The </w:t>
      </w:r>
      <w:r>
        <w:t>share</w:t>
      </w:r>
      <w:r w:rsidRPr="001E1E7B">
        <w:t xml:space="preserve"> of GDP spent on </w:t>
      </w:r>
      <w:r>
        <w:t>ECEC</w:t>
      </w:r>
      <w:r w:rsidRPr="001E1E7B">
        <w:t xml:space="preserve"> </w:t>
      </w:r>
      <w:r>
        <w:t xml:space="preserve">in Australia </w:t>
      </w:r>
      <w:r w:rsidRPr="001E1E7B">
        <w:t xml:space="preserve">is </w:t>
      </w:r>
      <w:r>
        <w:t>below</w:t>
      </w:r>
      <w:r w:rsidRPr="001E1E7B">
        <w:t xml:space="preserve"> the OECD average</w:t>
      </w:r>
      <w:r w:rsidRPr="00066CF5">
        <w:rPr>
          <w:vertAlign w:val="superscript"/>
        </w:rPr>
        <w:t>a</w:t>
      </w:r>
    </w:p>
    <w:p w14:paraId="3E46EC7E" w14:textId="77777777" w:rsidR="00EC5BB1" w:rsidRDefault="00EC5BB1" w:rsidP="00882158">
      <w:pPr>
        <w:pStyle w:val="FigureTableSubheading"/>
        <w:keepLines/>
      </w:pPr>
      <w:r>
        <w:t>Public</w:t>
      </w:r>
      <w:r w:rsidRPr="001E1E7B">
        <w:t xml:space="preserve"> spending on </w:t>
      </w:r>
      <w:r>
        <w:t>ECEC</w:t>
      </w:r>
      <w:r w:rsidRPr="001E1E7B">
        <w:t xml:space="preserve">, </w:t>
      </w:r>
      <w:r>
        <w:t>percentage</w:t>
      </w:r>
      <w:r w:rsidRPr="001E1E7B">
        <w:t xml:space="preserve"> of GDP, 2019</w:t>
      </w:r>
    </w:p>
    <w:p w14:paraId="41EB6E8C" w14:textId="77777777" w:rsidR="00EC5BB1" w:rsidRDefault="00EC5BB1" w:rsidP="00882158">
      <w:pPr>
        <w:pStyle w:val="Note"/>
        <w:keepNext/>
        <w:keepLines/>
        <w:rPr>
          <w:noProof/>
        </w:rPr>
      </w:pPr>
      <w:r w:rsidRPr="0062133D">
        <w:rPr>
          <w:noProof/>
        </w:rPr>
        <w:drawing>
          <wp:inline distT="0" distB="0" distL="0" distR="0" wp14:anchorId="7C697342" wp14:editId="7477AD46">
            <wp:extent cx="6120130" cy="2870835"/>
            <wp:effectExtent l="0" t="0" r="0" b="0"/>
            <wp:docPr id="1685185904" name="Picture 9" descr="Figure B.6 – This is a bar chart that shows the proportion of GDP spent on ECEC by about 30 OECD countries. This ranges from about 0.3% in Türkiye and the United States to about 1.6% in Sweden and Iceland. The OECD average is 0.8% and Australia spends 0.6% of GDP on E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85904" name="Picture 9" descr="Figure B.6 – This is a bar chart that shows the proportion of GDP spent on ECEC by about 30 OECD countries. This ranges from about 0.3% in Türkiye and the United States to about 1.6% in Sweden and Iceland. The OECD average is 0.8% and Australia spends 0.6% of GDP on ECE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7FFCC35A" w14:textId="77777777" w:rsidR="00EC5BB1" w:rsidRDefault="00EC5BB1" w:rsidP="00882158">
      <w:pPr>
        <w:pStyle w:val="Note"/>
        <w:keepNext/>
        <w:keepLines/>
      </w:pPr>
      <w:r w:rsidRPr="00180E66">
        <w:rPr>
          <w:b/>
          <w:bCs/>
        </w:rPr>
        <w:t>a.</w:t>
      </w:r>
      <w:r>
        <w:t xml:space="preserve"> Local government spending on ECEC may not be fully captured in the data.</w:t>
      </w:r>
    </w:p>
    <w:p w14:paraId="1EDF5360" w14:textId="77777777" w:rsidR="00EC5BB1" w:rsidRDefault="00EC5BB1" w:rsidP="00882158">
      <w:pPr>
        <w:pStyle w:val="Source"/>
        <w:keepLines/>
        <w:rPr>
          <w:noProof/>
        </w:rPr>
      </w:pPr>
      <w:r w:rsidRPr="00696447">
        <w:t xml:space="preserve">Source: </w:t>
      </w:r>
      <w:r w:rsidRPr="001E1E7B">
        <w:t xml:space="preserve">OECD </w:t>
      </w:r>
      <w:r w:rsidRPr="00D57696">
        <w:rPr>
          <w:rFonts w:ascii="Arial" w:hAnsi="Arial" w:cs="Arial"/>
        </w:rPr>
        <w:t>(2023d)</w:t>
      </w:r>
      <w:r>
        <w:t>.</w:t>
      </w:r>
    </w:p>
    <w:p w14:paraId="788E5121" w14:textId="77777777" w:rsidR="00EC5BB1" w:rsidRDefault="00EC5BB1" w:rsidP="00FB6640">
      <w:pPr>
        <w:pStyle w:val="Heading2-Appendix"/>
      </w:pPr>
      <w:bookmarkStart w:id="7" w:name="_Toc172213569"/>
      <w:r>
        <w:lastRenderedPageBreak/>
        <w:t>A closer examination of international examples</w:t>
      </w:r>
      <w:bookmarkEnd w:id="7"/>
    </w:p>
    <w:p w14:paraId="06CB553B" w14:textId="77777777" w:rsidR="00EC5BB1" w:rsidRDefault="00EC5BB1" w:rsidP="00882158">
      <w:pPr>
        <w:pStyle w:val="BodyText"/>
      </w:pPr>
      <w:r>
        <w:t>This section provides a more detailed analysis of the</w:t>
      </w:r>
      <w:r w:rsidRPr="00B67E62">
        <w:t xml:space="preserve"> </w:t>
      </w:r>
      <w:r>
        <w:t>ECEC programs and funding models used in Canada, Ireland, the Netherlands, New Zealand and Sweden. These countries were selected to cover a range of contexts, including public and private provision, use of different service types, delivery by one or multiple levels of government, and different funding models. Many of these countries are experiencing similar challenges to Australia, and some are also undertaking reforms to their ECEC sectors to improve access, affordability and quality.</w:t>
      </w:r>
    </w:p>
    <w:p w14:paraId="41915DD3" w14:textId="77777777" w:rsidR="00EC5BB1" w:rsidRDefault="00EC5BB1" w:rsidP="00882158">
      <w:pPr>
        <w:pStyle w:val="BodyText"/>
      </w:pPr>
      <w:r>
        <w:t>A ranking of international models by UNICEF provides a brief overview of the different characteristics of these systems (table B.2). However, it is important to note that while such rankings can provide helpful indications of the strengths of different systems, they also have limitations. Not all aspects of an ECEC system’s access, quality and affordability can be consistently measured and assessed – for example, the quality measure in the table below only considers the ratios and minimum qualification standards set in each country, while in reality, quality is impacted by many other factors, such as the curriculum taught, quality assessment processes and the nature of child</w:t>
      </w:r>
      <w:r>
        <w:noBreakHyphen/>
        <w:t>to</w:t>
      </w:r>
      <w:r>
        <w:noBreakHyphen/>
        <w:t>educator interactions.</w:t>
      </w:r>
    </w:p>
    <w:p w14:paraId="00C933A2" w14:textId="77777777" w:rsidR="00EC5BB1" w:rsidRPr="009210B8" w:rsidRDefault="00EC5BB1" w:rsidP="00882158">
      <w:pPr>
        <w:pStyle w:val="FigureTableHeading"/>
        <w:keepLines/>
        <w:rPr>
          <w:spacing w:val="-4"/>
        </w:rPr>
      </w:pPr>
      <w:r w:rsidRPr="009210B8">
        <w:rPr>
          <w:spacing w:val="-4"/>
        </w:rPr>
        <w:t xml:space="preserve">Table </w:t>
      </w:r>
      <w:r w:rsidRPr="009210B8">
        <w:rPr>
          <w:noProof/>
          <w:spacing w:val="-4"/>
        </w:rPr>
        <w:t>B</w:t>
      </w:r>
      <w:r w:rsidRPr="009210B8">
        <w:rPr>
          <w:spacing w:val="-4"/>
        </w:rPr>
        <w:t>.</w:t>
      </w:r>
      <w:r w:rsidRPr="009210B8">
        <w:rPr>
          <w:noProof/>
          <w:spacing w:val="-4"/>
        </w:rPr>
        <w:t>2 – UNICEF rankings highlight different characteristics of international models</w:t>
      </w:r>
      <w:r w:rsidRPr="009210B8">
        <w:rPr>
          <w:b/>
          <w:bCs/>
          <w:spacing w:val="-4"/>
          <w:vertAlign w:val="superscript"/>
        </w:rPr>
        <w:t>a,b</w:t>
      </w:r>
    </w:p>
    <w:p w14:paraId="41CE885F" w14:textId="77777777" w:rsidR="00EC5BB1" w:rsidRDefault="00EC5BB1" w:rsidP="00882158">
      <w:pPr>
        <w:pStyle w:val="FigureTableSubheading"/>
        <w:keepLines/>
      </w:pPr>
      <w:r w:rsidRPr="009554C8">
        <w:t>Country rankings out of 41 advanced economies</w:t>
      </w:r>
    </w:p>
    <w:p w14:paraId="2B527909" w14:textId="77777777" w:rsidR="00EC5BB1" w:rsidRDefault="00EC5BB1" w:rsidP="00882158">
      <w:pPr>
        <w:pStyle w:val="Note"/>
        <w:keepLines/>
        <w:rPr>
          <w:b/>
          <w:bCs/>
        </w:rPr>
      </w:pPr>
      <w:r w:rsidRPr="003D40E2">
        <w:rPr>
          <w:noProof/>
        </w:rPr>
        <w:drawing>
          <wp:inline distT="0" distB="0" distL="0" distR="0" wp14:anchorId="2E3F51D7" wp14:editId="4E335EE0">
            <wp:extent cx="5994400" cy="1773555"/>
            <wp:effectExtent l="0" t="0" r="6350" b="0"/>
            <wp:docPr id="1685641637" name="Picture 10" descr="Table B.2 – This is a table that shows how the countries examined in this appendix rank internationally on measures of paid parental leave and ECEC access, quality and affordability. Sweden ranks very highly, followed by Canada and the Netherlands in the middle third of countries, and New Zealand, Ireland and Australia rank in the bottom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41637" name="Picture 10" descr="Table B.2 – This is a table that shows how the countries examined in this appendix rank internationally on measures of paid parental leave and ECEC access, quality and affordability. Sweden ranks very highly, followed by Canada and the Netherlands in the middle third of countries, and New Zealand, Ireland and Australia rank in the bottom thir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4400" cy="1773555"/>
                    </a:xfrm>
                    <a:prstGeom prst="rect">
                      <a:avLst/>
                    </a:prstGeom>
                    <a:noFill/>
                    <a:ln>
                      <a:noFill/>
                    </a:ln>
                  </pic:spPr>
                </pic:pic>
              </a:graphicData>
            </a:graphic>
          </wp:inline>
        </w:drawing>
      </w:r>
    </w:p>
    <w:p w14:paraId="15FA0904" w14:textId="77777777" w:rsidR="00EC5BB1" w:rsidRPr="009210B8" w:rsidRDefault="00EC5BB1" w:rsidP="00882158">
      <w:pPr>
        <w:pStyle w:val="Note"/>
        <w:keepLines/>
        <w:rPr>
          <w:spacing w:val="-2"/>
        </w:rPr>
      </w:pPr>
      <w:r w:rsidRPr="009210B8">
        <w:rPr>
          <w:b/>
          <w:bCs/>
          <w:spacing w:val="-2"/>
        </w:rPr>
        <w:t>a.</w:t>
      </w:r>
      <w:r w:rsidRPr="009210B8">
        <w:rPr>
          <w:spacing w:val="-2"/>
        </w:rPr>
        <w:t xml:space="preserve"> A green background indicates a place in the top third of the ranking, yellow denotes the middle third, and red the bottom third. The blank cells indicate that no up</w:t>
      </w:r>
      <w:r w:rsidRPr="009210B8">
        <w:rPr>
          <w:spacing w:val="-2"/>
        </w:rPr>
        <w:noBreakHyphen/>
        <w:t>to</w:t>
      </w:r>
      <w:r w:rsidRPr="009210B8">
        <w:rPr>
          <w:spacing w:val="-2"/>
        </w:rPr>
        <w:noBreakHyphen/>
        <w:t>date comparable data is available.</w:t>
      </w:r>
      <w:r w:rsidRPr="009210B8">
        <w:rPr>
          <w:b/>
          <w:bCs/>
          <w:spacing w:val="-2"/>
        </w:rPr>
        <w:t xml:space="preserve"> b.</w:t>
      </w:r>
      <w:r w:rsidRPr="009210B8">
        <w:rPr>
          <w:spacing w:val="-2"/>
        </w:rPr>
        <w:t xml:space="preserve"> The paid parental leave ranking measures full</w:t>
      </w:r>
      <w:r w:rsidRPr="009210B8">
        <w:rPr>
          <w:spacing w:val="-2"/>
        </w:rPr>
        <w:noBreakHyphen/>
        <w:t>pay equivalent leave available to both parents. The access ranking measures access to ECEC for children under three for at least an hour a week and proportion of children in services in the year before full</w:t>
      </w:r>
      <w:r w:rsidRPr="009210B8">
        <w:rPr>
          <w:spacing w:val="-2"/>
        </w:rPr>
        <w:noBreakHyphen/>
        <w:t>time schooling. The quality ranking measures educator</w:t>
      </w:r>
      <w:r w:rsidRPr="009210B8">
        <w:rPr>
          <w:spacing w:val="-2"/>
        </w:rPr>
        <w:noBreakHyphen/>
        <w:t>to</w:t>
      </w:r>
      <w:r w:rsidRPr="009210B8">
        <w:rPr>
          <w:spacing w:val="-2"/>
        </w:rPr>
        <w:noBreakHyphen/>
        <w:t>child ratios and minimum qualification requirements for staff. The affordability ranking measures the cost for either two working parents or a single working parent to place two children in ECEC after subsidies.</w:t>
      </w:r>
    </w:p>
    <w:p w14:paraId="3438A184" w14:textId="77777777" w:rsidR="00EC5BB1" w:rsidRPr="008011F7" w:rsidRDefault="00EC5BB1" w:rsidP="00882158">
      <w:pPr>
        <w:pStyle w:val="Source"/>
        <w:keepLines/>
      </w:pPr>
      <w:r w:rsidRPr="00696447">
        <w:t>Source:</w:t>
      </w:r>
      <w:r w:rsidRPr="00B91C89">
        <w:t xml:space="preserve"> Gromada and Richardson</w:t>
      </w:r>
      <w:r w:rsidRPr="00696447">
        <w:t xml:space="preserve"> </w:t>
      </w:r>
      <w:r w:rsidRPr="00DE5A6D">
        <w:rPr>
          <w:rFonts w:ascii="Arial" w:hAnsi="Arial" w:cs="Arial"/>
        </w:rPr>
        <w:t>(2021)</w:t>
      </w:r>
      <w:r>
        <w:t>.</w:t>
      </w:r>
    </w:p>
    <w:p w14:paraId="7B990E3B" w14:textId="77777777" w:rsidR="00EC5BB1" w:rsidRDefault="00EC5BB1" w:rsidP="00882158">
      <w:pPr>
        <w:pStyle w:val="Heading3"/>
      </w:pPr>
      <w:r>
        <w:t>Policy contexts</w:t>
      </w:r>
    </w:p>
    <w:p w14:paraId="39C3E000" w14:textId="47B43AB9" w:rsidR="00EC5BB1" w:rsidRDefault="00EC5BB1" w:rsidP="00882158">
      <w:pPr>
        <w:pStyle w:val="BodyText"/>
      </w:pPr>
      <w:r w:rsidRPr="00846049">
        <w:rPr>
          <w:b/>
          <w:bCs/>
          <w:i/>
          <w:iCs/>
        </w:rPr>
        <w:t>Canada’s</w:t>
      </w:r>
      <w:r>
        <w:t xml:space="preserve"> ECEC sector is governed at the province and territory level, with each province employing its own set of schemes and programs. One province, Quebec, has often been cited as an example of affordable ECEC since a capped price of C</w:t>
      </w:r>
      <w:r w:rsidR="00B25070">
        <w:t>$</w:t>
      </w:r>
      <w:r>
        <w:t>5 (A</w:t>
      </w:r>
      <w:r w:rsidR="0026618F">
        <w:t>$</w:t>
      </w:r>
      <w:r>
        <w:t>5.60) per day was introduced in 1997. This price has since risen to C</w:t>
      </w:r>
      <w:r w:rsidR="0026618F">
        <w:t>$</w:t>
      </w:r>
      <w:r>
        <w:t>8.85 (A</w:t>
      </w:r>
      <w:r w:rsidR="0026618F">
        <w:t>$</w:t>
      </w:r>
      <w:r>
        <w:t>10) but is still far lower than the Canadian national average price per day of C</w:t>
      </w:r>
      <w:r w:rsidR="0026618F">
        <w:t>$</w:t>
      </w:r>
      <w:r>
        <w:t>31 (A</w:t>
      </w:r>
      <w:r w:rsidR="0026618F">
        <w:t>$</w:t>
      </w:r>
      <w:r>
        <w:t xml:space="preserve">35) </w:t>
      </w:r>
      <w:r w:rsidRPr="00F56A41">
        <w:rPr>
          <w:rFonts w:ascii="Arial" w:hAnsi="Arial" w:cs="Arial"/>
        </w:rPr>
        <w:t>(Beach et al. 2023, p. 97; Statistics Canada 2023a)</w:t>
      </w:r>
      <w:r>
        <w:t>. It is likely that these lower fees have contributed to Quebec’s relatively high rate of participation in ECEC – 71% of children aged 0</w:t>
      </w:r>
      <w:r>
        <w:noBreakHyphen/>
        <w:t xml:space="preserve">5 are enrolled in ECEC, compared to the national average of 52% </w:t>
      </w:r>
      <w:r w:rsidRPr="00F56A41">
        <w:rPr>
          <w:rFonts w:ascii="Arial" w:hAnsi="Arial" w:cs="Arial"/>
        </w:rPr>
        <w:t>(Statistics Canada 2023b)</w:t>
      </w:r>
      <w:r>
        <w:t>.</w:t>
      </w:r>
    </w:p>
    <w:p w14:paraId="2A752F80" w14:textId="754A7597" w:rsidR="00EC5BB1" w:rsidRDefault="00EC5BB1" w:rsidP="00882158">
      <w:pPr>
        <w:pStyle w:val="BodyText"/>
      </w:pPr>
      <w:r>
        <w:t>In 2021 the Canadian Federal Government introduced the Canada</w:t>
      </w:r>
      <w:r>
        <w:noBreakHyphen/>
        <w:t xml:space="preserve">Wide Early Learning and Child Care plan, which aims to improve affordability and access to ECEC and bring all provinces in line with Quebec. As part of this plan, each province has signed an agreement with the Federal Government that unlocks new federal </w:t>
      </w:r>
      <w:r>
        <w:lastRenderedPageBreak/>
        <w:t>funding for ECEC. In return, provinces were required to halve families’ out</w:t>
      </w:r>
      <w:r>
        <w:noBreakHyphen/>
        <w:t>of</w:t>
      </w:r>
      <w:r>
        <w:noBreakHyphen/>
        <w:t>pocket expenses for ECEC by the end of 2022, and are now required to further lower fees to an average of C</w:t>
      </w:r>
      <w:r w:rsidR="00E826B0">
        <w:t>$</w:t>
      </w:r>
      <w:r>
        <w:t xml:space="preserve">10 per day by 2026 </w:t>
      </w:r>
      <w:r w:rsidRPr="0086720D">
        <w:rPr>
          <w:rFonts w:ascii="Arial" w:hAnsi="Arial" w:cs="Arial"/>
          <w:szCs w:val="24"/>
        </w:rPr>
        <w:t>(Beach et al. 2023, pp. xxi–xxii)</w:t>
      </w:r>
      <w:r>
        <w:t>.</w:t>
      </w:r>
    </w:p>
    <w:p w14:paraId="6CAC109F" w14:textId="77777777" w:rsidR="00EC5BB1" w:rsidRDefault="00EC5BB1" w:rsidP="00882158">
      <w:pPr>
        <w:pStyle w:val="BodyText"/>
      </w:pPr>
      <w:r>
        <w:t xml:space="preserve">The Canadian province of </w:t>
      </w:r>
      <w:r w:rsidRPr="00401CFB">
        <w:rPr>
          <w:b/>
          <w:i/>
        </w:rPr>
        <w:t>British Columbia</w:t>
      </w:r>
      <w:r>
        <w:rPr>
          <w:b/>
          <w:i/>
        </w:rPr>
        <w:t xml:space="preserve"> </w:t>
      </w:r>
      <w:r>
        <w:t>is undertaking this process from a starting point that is relatively similar to Australia’s current ECEC landscape – including similar proportions of for</w:t>
      </w:r>
      <w:r>
        <w:noBreakHyphen/>
        <w:t>profit and not</w:t>
      </w:r>
      <w:r>
        <w:noBreakHyphen/>
        <w:t>for</w:t>
      </w:r>
      <w:r>
        <w:noBreakHyphen/>
        <w:t xml:space="preserve">profit service provision, and similar rates of ECEC participation, with 53% of children aged 0–5 and 83% of children aged 3–5 attending ECEC </w:t>
      </w:r>
      <w:r w:rsidRPr="00F56A41">
        <w:rPr>
          <w:rFonts w:ascii="Arial" w:hAnsi="Arial" w:cs="Arial"/>
        </w:rPr>
        <w:t>(Statistics Canada 2022, 2023b)</w:t>
      </w:r>
      <w:r>
        <w:t xml:space="preserve">. British Columbia will therefore be </w:t>
      </w:r>
      <w:r w:rsidRPr="007572B7">
        <w:t xml:space="preserve">the </w:t>
      </w:r>
      <w:r>
        <w:t xml:space="preserve">primary </w:t>
      </w:r>
      <w:r w:rsidRPr="007572B7">
        <w:t xml:space="preserve">province discussed in this </w:t>
      </w:r>
      <w:r>
        <w:t>appendix, with a focus on the levers it is using to achieve the objectives set out in its agreement with the Canadian Government under the Canada</w:t>
      </w:r>
      <w:r>
        <w:noBreakHyphen/>
        <w:t>wide plan</w:t>
      </w:r>
      <w:r w:rsidRPr="007572B7">
        <w:t>.</w:t>
      </w:r>
    </w:p>
    <w:p w14:paraId="20069CC6" w14:textId="77777777" w:rsidR="00EC5BB1" w:rsidRDefault="00EC5BB1" w:rsidP="00882158">
      <w:pPr>
        <w:pStyle w:val="BodyText"/>
      </w:pPr>
      <w:r w:rsidRPr="00CC1F1C">
        <w:t xml:space="preserve">ECEC </w:t>
      </w:r>
      <w:r>
        <w:t>in British Columbia</w:t>
      </w:r>
      <w:r w:rsidRPr="00CC1F1C">
        <w:t xml:space="preserve"> is offered in a range of service types, including </w:t>
      </w:r>
      <w:r>
        <w:t xml:space="preserve">kindergarten (the equivalent of preschool in Australia), </w:t>
      </w:r>
      <w:r w:rsidRPr="00CC1F1C">
        <w:t>centre</w:t>
      </w:r>
      <w:r>
        <w:noBreakHyphen/>
      </w:r>
      <w:r w:rsidRPr="00CC1F1C">
        <w:t xml:space="preserve">based services, family day care (regulated </w:t>
      </w:r>
      <w:r>
        <w:t>and</w:t>
      </w:r>
      <w:r w:rsidRPr="00CC1F1C">
        <w:t xml:space="preserve"> unregulated), </w:t>
      </w:r>
      <w:r>
        <w:t>outside school hours care (</w:t>
      </w:r>
      <w:r w:rsidRPr="00CC1F1C">
        <w:t>OSHC</w:t>
      </w:r>
      <w:r>
        <w:t>)</w:t>
      </w:r>
      <w:r w:rsidRPr="00CC1F1C">
        <w:t xml:space="preserve"> and preschoo</w:t>
      </w:r>
      <w:r>
        <w:t>l (a part</w:t>
      </w:r>
      <w:r>
        <w:noBreakHyphen/>
      </w:r>
      <w:r w:rsidRPr="00CC1F1C">
        <w:t>day</w:t>
      </w:r>
      <w:r>
        <w:t xml:space="preserve"> </w:t>
      </w:r>
      <w:r w:rsidRPr="000D201D">
        <w:t>learning</w:t>
      </w:r>
      <w:r>
        <w:noBreakHyphen/>
      </w:r>
      <w:r w:rsidRPr="000D201D">
        <w:t>based service</w:t>
      </w:r>
      <w:r w:rsidRPr="00F33C6F">
        <w:t xml:space="preserve"> for children over two and a half years old</w:t>
      </w:r>
      <w:r w:rsidRPr="00CC1F1C">
        <w:t>)</w:t>
      </w:r>
      <w:r>
        <w:t xml:space="preserve"> </w:t>
      </w:r>
      <w:r w:rsidRPr="004D43D3">
        <w:rPr>
          <w:rFonts w:ascii="Arial" w:hAnsi="Arial" w:cs="Arial"/>
          <w:szCs w:val="24"/>
        </w:rPr>
        <w:t>(Beach et al. 2023)</w:t>
      </w:r>
      <w:r>
        <w:t>.</w:t>
      </w:r>
    </w:p>
    <w:p w14:paraId="38B918E5" w14:textId="77777777" w:rsidR="00EC5BB1" w:rsidRDefault="00EC5BB1" w:rsidP="00882158">
      <w:pPr>
        <w:pStyle w:val="BodyText"/>
      </w:pPr>
      <w:r w:rsidRPr="00487DEB">
        <w:rPr>
          <w:b/>
          <w:bCs/>
          <w:i/>
          <w:iCs/>
        </w:rPr>
        <w:t>Ireland</w:t>
      </w:r>
      <w:r>
        <w:t xml:space="preserve"> is also undertaking significant reforms to their ECEC arrangements, with the Irish Government launching the First 5 program – a ten</w:t>
      </w:r>
      <w:r>
        <w:noBreakHyphen/>
        <w:t>year whole</w:t>
      </w:r>
      <w:r>
        <w:noBreakHyphen/>
        <w:t>of</w:t>
      </w:r>
      <w:r>
        <w:noBreakHyphen/>
        <w:t>government strategy aimed at improving the lives of babies, young children and their families – in 2019. This includes the introduction of the Core Funding scheme, which represents a significant shift from demand</w:t>
      </w:r>
      <w:r>
        <w:noBreakHyphen/>
        <w:t xml:space="preserve"> to supply</w:t>
      </w:r>
      <w:r>
        <w:noBreakHyphen/>
        <w:t xml:space="preserve">side government funding </w:t>
      </w:r>
      <w:r w:rsidRPr="00A72727">
        <w:rPr>
          <w:rFonts w:ascii="Arial" w:hAnsi="Arial" w:cs="Arial"/>
          <w:szCs w:val="24"/>
        </w:rPr>
        <w:t>(Government of Ireland 2018)</w:t>
      </w:r>
      <w:r>
        <w:t>.</w:t>
      </w:r>
    </w:p>
    <w:p w14:paraId="2FFCCF2D" w14:textId="77777777" w:rsidR="00EC5BB1" w:rsidRDefault="00EC5BB1" w:rsidP="00882158">
      <w:pPr>
        <w:pStyle w:val="BodyText"/>
      </w:pPr>
      <w:r w:rsidRPr="00A34B99">
        <w:t>About 40% of Irish children under</w:t>
      </w:r>
      <w:r>
        <w:t xml:space="preserve"> age</w:t>
      </w:r>
      <w:r w:rsidRPr="00A34B99">
        <w:t xml:space="preserve"> three are enrolled in ECEC, and in the year before primary school almost all Irish children participate in </w:t>
      </w:r>
      <w:r>
        <w:t>ECEC (figures B.1 and B.2)</w:t>
      </w:r>
      <w:r w:rsidRPr="00A34B99">
        <w:t>.</w:t>
      </w:r>
      <w:r>
        <w:t xml:space="preserve"> </w:t>
      </w:r>
      <w:r w:rsidRPr="00F22564">
        <w:t xml:space="preserve">A large number of service types are </w:t>
      </w:r>
      <w:r>
        <w:t>available</w:t>
      </w:r>
      <w:r w:rsidRPr="00F22564">
        <w:t>, including playgroups, playschools, day nurseries, crèches, Montessori groups, Naíonraí (Irish</w:t>
      </w:r>
      <w:r>
        <w:t xml:space="preserve"> </w:t>
      </w:r>
      <w:r w:rsidRPr="00F22564">
        <w:t>language services), drop</w:t>
      </w:r>
      <w:r>
        <w:noBreakHyphen/>
      </w:r>
      <w:r w:rsidRPr="00F22564">
        <w:t xml:space="preserve">in centres </w:t>
      </w:r>
      <w:r>
        <w:t xml:space="preserve">and OSHC </w:t>
      </w:r>
      <w:r w:rsidRPr="00684933">
        <w:rPr>
          <w:rFonts w:ascii="Arial" w:hAnsi="Arial" w:cs="Arial"/>
          <w:szCs w:val="24"/>
        </w:rPr>
        <w:t>(Irish Government Citizens Information Board 2023c)</w:t>
      </w:r>
      <w:r>
        <w:t>.</w:t>
      </w:r>
    </w:p>
    <w:p w14:paraId="10A4BDDA" w14:textId="77777777" w:rsidR="00EC5BB1" w:rsidRPr="00F82BD9" w:rsidRDefault="00EC5BB1" w:rsidP="00882158">
      <w:pPr>
        <w:pStyle w:val="BodyText"/>
      </w:pPr>
      <w:r w:rsidRPr="005A5B43">
        <w:t xml:space="preserve">Ireland </w:t>
      </w:r>
      <w:r>
        <w:t xml:space="preserve">also </w:t>
      </w:r>
      <w:r w:rsidRPr="005A5B43">
        <w:t xml:space="preserve">has a large childminding sector that was </w:t>
      </w:r>
      <w:r>
        <w:t>–</w:t>
      </w:r>
      <w:r w:rsidRPr="005A5B43">
        <w:t xml:space="preserve"> until recently </w:t>
      </w:r>
      <w:r>
        <w:t>–</w:t>
      </w:r>
      <w:r w:rsidRPr="005A5B43">
        <w:t xml:space="preserve"> almost entirely unregulated.</w:t>
      </w:r>
      <w:r>
        <w:t xml:space="preserve"> Alongside their First 5 reforms, the Irish government set </w:t>
      </w:r>
      <w:r w:rsidRPr="005A5B43">
        <w:t>out an 8</w:t>
      </w:r>
      <w:r>
        <w:noBreakHyphen/>
      </w:r>
      <w:r w:rsidRPr="005A5B43">
        <w:t xml:space="preserve">year reform plan </w:t>
      </w:r>
      <w:r>
        <w:t>to bring</w:t>
      </w:r>
      <w:r w:rsidRPr="005A5B43">
        <w:t xml:space="preserve"> Ireland’s paid</w:t>
      </w:r>
      <w:r>
        <w:t xml:space="preserve"> </w:t>
      </w:r>
      <w:r w:rsidRPr="005A5B43">
        <w:t>childminders</w:t>
      </w:r>
      <w:r>
        <w:t xml:space="preserve"> into their ECEC regulatory framework </w:t>
      </w:r>
      <w:r w:rsidRPr="00F22564">
        <w:t>and</w:t>
      </w:r>
      <w:r>
        <w:t xml:space="preserve"> allow families using these services to receive public subsidies </w:t>
      </w:r>
      <w:r w:rsidRPr="00684933">
        <w:rPr>
          <w:rFonts w:ascii="Arial" w:hAnsi="Arial" w:cs="Arial"/>
          <w:szCs w:val="24"/>
        </w:rPr>
        <w:t>(Irish Government Department of Children, Equality, Disability, Integration and Youth 2021)</w:t>
      </w:r>
      <w:r>
        <w:t>.</w:t>
      </w:r>
    </w:p>
    <w:p w14:paraId="1B141922" w14:textId="77777777" w:rsidR="00EC5BB1" w:rsidRDefault="00EC5BB1" w:rsidP="00882158">
      <w:pPr>
        <w:pStyle w:val="BodyText"/>
      </w:pPr>
      <w:r>
        <w:t xml:space="preserve">The </w:t>
      </w:r>
      <w:r w:rsidRPr="00283B9C">
        <w:rPr>
          <w:b/>
          <w:bCs/>
          <w:i/>
          <w:iCs/>
        </w:rPr>
        <w:t>Netherlands</w:t>
      </w:r>
      <w:r>
        <w:t xml:space="preserve"> is also planning to undertake significant reform to their ECEC policy and funding settings, and they are set to</w:t>
      </w:r>
      <w:r w:rsidRPr="00283B9C">
        <w:t xml:space="preserve"> transition to a universal 96% subsidy </w:t>
      </w:r>
      <w:r>
        <w:t xml:space="preserve">by 2027 </w:t>
      </w:r>
      <w:r w:rsidRPr="00AF7FC6">
        <w:rPr>
          <w:rFonts w:ascii="Arial" w:hAnsi="Arial" w:cs="Arial"/>
          <w:szCs w:val="24"/>
        </w:rPr>
        <w:t>(NL Times 2023)</w:t>
      </w:r>
      <w:r>
        <w:t>. C</w:t>
      </w:r>
      <w:r w:rsidRPr="005E3E8E">
        <w:t xml:space="preserve">hildren aged under </w:t>
      </w:r>
      <w:r>
        <w:t>three</w:t>
      </w:r>
      <w:r w:rsidRPr="005E3E8E">
        <w:t xml:space="preserve"> </w:t>
      </w:r>
      <w:r>
        <w:t xml:space="preserve">in the </w:t>
      </w:r>
      <w:r w:rsidRPr="00283B9C">
        <w:t>Netherlands</w:t>
      </w:r>
      <w:r>
        <w:t xml:space="preserve"> </w:t>
      </w:r>
      <w:r w:rsidRPr="005E3E8E">
        <w:t>are enrolled in ECEC services at a higher rate than any other OECD country</w:t>
      </w:r>
      <w:r>
        <w:t xml:space="preserve"> (figure B.1), and these children primarily attend</w:t>
      </w:r>
      <w:r w:rsidRPr="000B0055">
        <w:t xml:space="preserve"> centre</w:t>
      </w:r>
      <w:r>
        <w:noBreakHyphen/>
      </w:r>
      <w:r w:rsidRPr="000B0055">
        <w:t xml:space="preserve">based day care services </w:t>
      </w:r>
      <w:r>
        <w:t>or</w:t>
      </w:r>
      <w:r w:rsidRPr="000B0055">
        <w:t xml:space="preserve"> registered childminders</w:t>
      </w:r>
      <w:r>
        <w:t xml:space="preserve">. From age four, children have a legal entitlement to free ECEC </w:t>
      </w:r>
      <w:r w:rsidRPr="001C2705">
        <w:t>in primary school settings</w:t>
      </w:r>
      <w:r>
        <w:t xml:space="preserve"> – which most children attend – before primary school attendance becomes compulsory at age five. OSHC services are also available to children aged between four and twelve </w:t>
      </w:r>
      <w:r w:rsidRPr="00515AAD">
        <w:rPr>
          <w:rFonts w:ascii="Arial" w:hAnsi="Arial" w:cs="Arial"/>
          <w:szCs w:val="24"/>
        </w:rPr>
        <w:t>(European Commission 2023b)</w:t>
      </w:r>
      <w:r>
        <w:t>.</w:t>
      </w:r>
    </w:p>
    <w:p w14:paraId="6D14E505" w14:textId="77777777" w:rsidR="00EC5BB1" w:rsidRDefault="00EC5BB1" w:rsidP="00882158">
      <w:pPr>
        <w:pStyle w:val="BodyText"/>
      </w:pPr>
      <w:r>
        <w:t xml:space="preserve">Children in </w:t>
      </w:r>
      <w:r w:rsidRPr="00CF7048">
        <w:rPr>
          <w:b/>
          <w:bCs/>
          <w:i/>
          <w:iCs/>
        </w:rPr>
        <w:t>New Zealand</w:t>
      </w:r>
      <w:r>
        <w:t xml:space="preserve"> also participate in ECEC at relatively high rates, with 81% of 3</w:t>
      </w:r>
      <w:r>
        <w:noBreakHyphen/>
        <w:t>year</w:t>
      </w:r>
      <w:r>
        <w:noBreakHyphen/>
        <w:t>olds, 87% of 4</w:t>
      </w:r>
      <w:r>
        <w:noBreakHyphen/>
        <w:t>year</w:t>
      </w:r>
      <w:r>
        <w:noBreakHyphen/>
        <w:t>olds and 98% of 5</w:t>
      </w:r>
      <w:r>
        <w:noBreakHyphen/>
        <w:t>year</w:t>
      </w:r>
      <w:r>
        <w:noBreakHyphen/>
        <w:t xml:space="preserve">olds attending services </w:t>
      </w:r>
      <w:r w:rsidRPr="00244B59">
        <w:rPr>
          <w:rFonts w:ascii="Arial" w:hAnsi="Arial" w:cs="Arial"/>
          <w:szCs w:val="24"/>
        </w:rPr>
        <w:t>(Paull and Wilson 2020, p. 61)</w:t>
      </w:r>
      <w:r>
        <w:rPr>
          <w:i/>
          <w:iCs/>
        </w:rPr>
        <w:t xml:space="preserve">. </w:t>
      </w:r>
      <w:r w:rsidRPr="0088448D">
        <w:t>An unusual feature of the New Zealand system is that the types of services</w:t>
      </w:r>
      <w:r w:rsidRPr="0088448D" w:rsidDel="0088448D">
        <w:t xml:space="preserve"> </w:t>
      </w:r>
      <w:r>
        <w:t xml:space="preserve">that children attend typically do not change as children approach school age, </w:t>
      </w:r>
      <w:r w:rsidRPr="0088051D">
        <w:t xml:space="preserve">and there is no specific service type </w:t>
      </w:r>
      <w:r>
        <w:t>(such as preschool services) that caters</w:t>
      </w:r>
      <w:r w:rsidRPr="0088051D">
        <w:t xml:space="preserve"> to children in the year before primary school</w:t>
      </w:r>
      <w:r>
        <w:t xml:space="preserve"> – as is the case in many other countries </w:t>
      </w:r>
      <w:r w:rsidRPr="000576FE">
        <w:rPr>
          <w:rFonts w:ascii="Arial" w:hAnsi="Arial" w:cs="Arial"/>
          <w:szCs w:val="24"/>
        </w:rPr>
        <w:t>(New Zealand Ministry of Education (Te Tāhuhu o te Mātauranga) 2022a)</w:t>
      </w:r>
      <w:r>
        <w:t>.</w:t>
      </w:r>
    </w:p>
    <w:p w14:paraId="55A2EF72" w14:textId="77777777" w:rsidR="00EC5BB1" w:rsidRDefault="00EC5BB1" w:rsidP="00882158">
      <w:pPr>
        <w:pStyle w:val="BodyText"/>
      </w:pPr>
      <w:r>
        <w:t>ECEC service types in New Zealand include centre</w:t>
      </w:r>
      <w:r>
        <w:noBreakHyphen/>
        <w:t>based services (such as education and care services and Kindergarten Association services), home</w:t>
      </w:r>
      <w:r>
        <w:noBreakHyphen/>
        <w:t>based services (such as family day care and in home care), and parent</w:t>
      </w:r>
      <w:r>
        <w:noBreakHyphen/>
        <w:t>led services (box B.1).</w:t>
      </w:r>
    </w:p>
    <w:p w14:paraId="66C8C15A" w14:textId="77777777" w:rsidR="00EC5BB1" w:rsidRDefault="00EC5BB1" w:rsidP="00882158">
      <w:r w:rsidRPr="00332F1E">
        <w:lastRenderedPageBreak/>
        <w:t>Children in</w:t>
      </w:r>
      <w:r w:rsidRPr="00332F1E">
        <w:rPr>
          <w:b/>
          <w:i/>
        </w:rPr>
        <w:t xml:space="preserve"> Sweden</w:t>
      </w:r>
      <w:r w:rsidRPr="00332F1E">
        <w:t xml:space="preserve"> have a legal entitlement to ECEC</w:t>
      </w:r>
      <w:r>
        <w:t xml:space="preserve"> </w:t>
      </w:r>
      <w:r w:rsidRPr="00D461B3">
        <w:t>from the age of one, and all children must attend a year of compulsory pre</w:t>
      </w:r>
      <w:r>
        <w:noBreakHyphen/>
      </w:r>
      <w:r w:rsidRPr="00D461B3">
        <w:t>primary classes at age six (European Commission 2022a).</w:t>
      </w:r>
      <w:r>
        <w:rPr>
          <w:rStyle w:val="FootnoteReference"/>
        </w:rPr>
        <w:footnoteReference w:id="3"/>
      </w:r>
      <w:r w:rsidRPr="00D461B3">
        <w:t xml:space="preserve"> </w:t>
      </w:r>
      <w:r>
        <w:t xml:space="preserve">As </w:t>
      </w:r>
      <w:r w:rsidRPr="00EA3CE8">
        <w:t xml:space="preserve">such, participation in Sweden is relatively high – 48% of children </w:t>
      </w:r>
      <w:r>
        <w:t>below age three</w:t>
      </w:r>
      <w:r w:rsidRPr="00EA3CE8">
        <w:t xml:space="preserve"> and 99% of children in the year before full</w:t>
      </w:r>
      <w:r w:rsidRPr="00EA3CE8">
        <w:noBreakHyphen/>
        <w:t>time</w:t>
      </w:r>
      <w:r w:rsidRPr="00A32528">
        <w:t xml:space="preserve"> schooling attend an ECEC service (figure B.2).</w:t>
      </w:r>
      <w:r w:rsidRPr="00332F1E">
        <w:t xml:space="preserve"> ECEC systems are managed at the municipality (local government) level</w:t>
      </w:r>
      <w:r>
        <w:t>, and t</w:t>
      </w:r>
      <w:r w:rsidRPr="00332F1E">
        <w:t xml:space="preserve">he majority (approximately 70%) of services are provided directly by municipalities </w:t>
      </w:r>
      <w:r w:rsidRPr="00332F1E">
        <w:rPr>
          <w:rFonts w:ascii="Arial" w:hAnsi="Arial" w:cs="Arial"/>
          <w:szCs w:val="24"/>
        </w:rPr>
        <w:t>(Garvis 2018, p. 3)</w:t>
      </w:r>
      <w:r w:rsidRPr="00332F1E">
        <w:t>.</w:t>
      </w:r>
    </w:p>
    <w:p w14:paraId="3EAE8AD6" w14:textId="77777777" w:rsidR="00EC5BB1" w:rsidRDefault="00EC5BB1" w:rsidP="00882158">
      <w:r w:rsidRPr="001154DD">
        <w:t>Other subsidised forms of ECEC available to families in Sweden include</w:t>
      </w:r>
      <w:r>
        <w:t xml:space="preserve"> family day care – which makes up a very small proportion of the sector – and OSHC ‘leisure centres’, which are attended by almost all primary school aged children </w:t>
      </w:r>
      <w:r w:rsidRPr="00A72727">
        <w:rPr>
          <w:rFonts w:ascii="Arial" w:hAnsi="Arial" w:cs="Arial"/>
          <w:szCs w:val="24"/>
        </w:rPr>
        <w:t>(European Commission 2022d; Nilsson et al. 2020)</w:t>
      </w:r>
      <w:r>
        <w:t xml:space="preserve">. Families can also access publicly provided ECEC services on </w:t>
      </w:r>
      <w:r w:rsidRPr="0022329C">
        <w:t xml:space="preserve">weekends and </w:t>
      </w:r>
      <w:r>
        <w:t>at night where</w:t>
      </w:r>
      <w:r w:rsidRPr="0022329C">
        <w:t xml:space="preserve"> </w:t>
      </w:r>
      <w:r>
        <w:t>this is</w:t>
      </w:r>
      <w:r w:rsidRPr="0022329C">
        <w:t xml:space="preserve"> </w:t>
      </w:r>
      <w:r>
        <w:t>necessary</w:t>
      </w:r>
      <w:r w:rsidRPr="0022329C">
        <w:t xml:space="preserve"> for </w:t>
      </w:r>
      <w:r w:rsidRPr="008358FC">
        <w:rPr>
          <w:color w:val="000000" w:themeColor="text1"/>
        </w:rPr>
        <w:t xml:space="preserve">parents </w:t>
      </w:r>
      <w:r w:rsidRPr="0022329C">
        <w:t>to</w:t>
      </w:r>
      <w:r>
        <w:t xml:space="preserve"> be able to</w:t>
      </w:r>
      <w:r w:rsidRPr="0022329C">
        <w:t xml:space="preserve"> work</w:t>
      </w:r>
      <w:r>
        <w:t>.</w:t>
      </w:r>
    </w:p>
    <w:p w14:paraId="49111839" w14:textId="77777777" w:rsidR="00EC5BB1" w:rsidRDefault="00EC5BB1" w:rsidP="00882158">
      <w:r>
        <w:t>Many of the countries the Commission has examined also offer publicly funded parent</w:t>
      </w:r>
      <w:r>
        <w:noBreakHyphen/>
        <w:t>led ECEC services (box B.1).</w:t>
      </w:r>
    </w:p>
    <w:p w14:paraId="2FDB0C70" w14:textId="77777777" w:rsidR="00EC5BB1" w:rsidRPr="00F82BD9" w:rsidRDefault="00EC5BB1">
      <w:pPr>
        <w:pStyle w:val="NoSpacing"/>
      </w:pPr>
    </w:p>
    <w:tbl>
      <w:tblPr>
        <w:tblStyle w:val="Boxtable"/>
        <w:tblW w:w="5000" w:type="pct"/>
        <w:tblLook w:val="04A0" w:firstRow="1" w:lastRow="0" w:firstColumn="1" w:lastColumn="0" w:noHBand="0" w:noVBand="1"/>
      </w:tblPr>
      <w:tblGrid>
        <w:gridCol w:w="9638"/>
      </w:tblGrid>
      <w:tr w:rsidR="00EC5BB1" w14:paraId="1842644E" w14:textId="77777777">
        <w:trPr>
          <w:tblHeader/>
        </w:trPr>
        <w:tc>
          <w:tcPr>
            <w:tcW w:w="9638" w:type="dxa"/>
            <w:shd w:val="clear" w:color="auto" w:fill="EBEBEB"/>
            <w:tcMar>
              <w:top w:w="170" w:type="dxa"/>
              <w:left w:w="170" w:type="dxa"/>
              <w:bottom w:w="113" w:type="dxa"/>
              <w:right w:w="170" w:type="dxa"/>
            </w:tcMar>
            <w:hideMark/>
          </w:tcPr>
          <w:p w14:paraId="0178F457" w14:textId="77777777" w:rsidR="00EC5BB1" w:rsidRDefault="00EC5BB1">
            <w:pPr>
              <w:pStyle w:val="BoxHeading1"/>
            </w:pPr>
            <w:r>
              <w:t xml:space="preserve">Box </w:t>
            </w:r>
            <w:r>
              <w:rPr>
                <w:noProof/>
              </w:rPr>
              <w:t>B</w:t>
            </w:r>
            <w:r>
              <w:t>.</w:t>
            </w:r>
            <w:r>
              <w:rPr>
                <w:noProof/>
              </w:rPr>
              <w:t>1</w:t>
            </w:r>
            <w:r>
              <w:t xml:space="preserve"> – </w:t>
            </w:r>
            <w:r w:rsidRPr="00360EBD">
              <w:t>Many countries publicly fund and regulate parent</w:t>
            </w:r>
            <w:r>
              <w:noBreakHyphen/>
            </w:r>
            <w:r w:rsidRPr="00360EBD">
              <w:t>led ECEC</w:t>
            </w:r>
          </w:p>
        </w:tc>
      </w:tr>
      <w:tr w:rsidR="00EC5BB1" w14:paraId="04F03EFF" w14:textId="77777777">
        <w:tc>
          <w:tcPr>
            <w:tcW w:w="9638" w:type="dxa"/>
            <w:shd w:val="clear" w:color="auto" w:fill="EBEBEB"/>
            <w:tcMar>
              <w:top w:w="28" w:type="dxa"/>
              <w:left w:w="170" w:type="dxa"/>
              <w:bottom w:w="170" w:type="dxa"/>
              <w:right w:w="170" w:type="dxa"/>
            </w:tcMar>
            <w:hideMark/>
          </w:tcPr>
          <w:p w14:paraId="460ECEBE" w14:textId="77777777" w:rsidR="00EC5BB1" w:rsidRDefault="00EC5BB1" w:rsidP="00882158">
            <w:pPr>
              <w:pStyle w:val="BodyText"/>
            </w:pPr>
            <w:r>
              <w:t>Many countries provide publicly funded drop</w:t>
            </w:r>
            <w:r>
              <w:noBreakHyphen/>
              <w:t>in ECEC services that are parent</w:t>
            </w:r>
            <w:r>
              <w:noBreakHyphen/>
              <w:t>led and free for families to attend – similar to playgroups in Australia. These</w:t>
            </w:r>
            <w:r w:rsidRPr="00372884">
              <w:t xml:space="preserve"> sessions are often supported by qualified ECEC educator</w:t>
            </w:r>
            <w:r>
              <w:t xml:space="preserve">s, and provide children with opportunities </w:t>
            </w:r>
            <w:r w:rsidRPr="00DF0F5C">
              <w:t>to socialise</w:t>
            </w:r>
            <w:r>
              <w:t xml:space="preserve">, while giving </w:t>
            </w:r>
            <w:r w:rsidRPr="00DF0F5C">
              <w:t xml:space="preserve">parents access </w:t>
            </w:r>
            <w:r>
              <w:t xml:space="preserve">to </w:t>
            </w:r>
            <w:r w:rsidRPr="00DF0F5C">
              <w:t>information and support</w:t>
            </w:r>
            <w:r>
              <w:t>.</w:t>
            </w:r>
          </w:p>
          <w:p w14:paraId="411E1C2A" w14:textId="77777777" w:rsidR="00EC5BB1" w:rsidRDefault="00EC5BB1" w:rsidP="00882158">
            <w:pPr>
              <w:pStyle w:val="BodyText"/>
            </w:pPr>
            <w:r w:rsidRPr="00217F7A">
              <w:rPr>
                <w:b/>
                <w:bCs/>
                <w:i/>
                <w:iCs/>
              </w:rPr>
              <w:t xml:space="preserve">British Columbia’s </w:t>
            </w:r>
            <w:r>
              <w:t xml:space="preserve">StrongStart BC services, </w:t>
            </w:r>
            <w:r w:rsidRPr="00217F7A">
              <w:rPr>
                <w:b/>
                <w:bCs/>
                <w:i/>
                <w:iCs/>
              </w:rPr>
              <w:t>Ireland’s</w:t>
            </w:r>
            <w:r>
              <w:t xml:space="preserve"> playgroups, playschools and </w:t>
            </w:r>
            <w:r w:rsidRPr="00F03302">
              <w:t>naíonra</w:t>
            </w:r>
            <w:r>
              <w:t xml:space="preserve"> (Irish language playgroups), </w:t>
            </w:r>
            <w:r w:rsidRPr="00217F7A">
              <w:rPr>
                <w:b/>
                <w:bCs/>
                <w:i/>
                <w:iCs/>
              </w:rPr>
              <w:t>New Zealand’s</w:t>
            </w:r>
            <w:r>
              <w:t xml:space="preserve"> playcentres and K</w:t>
            </w:r>
            <w:r w:rsidRPr="000563FF">
              <w:t xml:space="preserve">ōhanga </w:t>
            </w:r>
            <w:r>
              <w:t>R</w:t>
            </w:r>
            <w:r w:rsidRPr="000563FF">
              <w:t>eo</w:t>
            </w:r>
            <w:r>
              <w:t xml:space="preserve"> </w:t>
            </w:r>
            <w:r w:rsidRPr="00123924">
              <w:t xml:space="preserve">Māori </w:t>
            </w:r>
            <w:r>
              <w:t xml:space="preserve">services, the </w:t>
            </w:r>
            <w:r w:rsidRPr="005662B8">
              <w:rPr>
                <w:b/>
                <w:bCs/>
                <w:i/>
                <w:iCs/>
              </w:rPr>
              <w:t>Netherlands</w:t>
            </w:r>
            <w:r>
              <w:rPr>
                <w:b/>
                <w:bCs/>
                <w:i/>
                <w:iCs/>
              </w:rPr>
              <w:t>’</w:t>
            </w:r>
            <w:r>
              <w:t xml:space="preserve"> parent</w:t>
            </w:r>
            <w:r>
              <w:noBreakHyphen/>
              <w:t>run cr</w:t>
            </w:r>
            <w:r w:rsidRPr="007B7456">
              <w:t>è</w:t>
            </w:r>
            <w:r>
              <w:t>ches</w:t>
            </w:r>
            <w:r w:rsidRPr="000563FF">
              <w:t xml:space="preserve"> </w:t>
            </w:r>
            <w:r>
              <w:t xml:space="preserve">and </w:t>
            </w:r>
            <w:r w:rsidRPr="00217F7A">
              <w:rPr>
                <w:b/>
                <w:bCs/>
                <w:i/>
                <w:iCs/>
              </w:rPr>
              <w:t>Sweden’s</w:t>
            </w:r>
            <w:r>
              <w:t xml:space="preserve"> ‘open preschools’ all offer these services to families </w:t>
            </w:r>
            <w:r w:rsidRPr="00A72727">
              <w:rPr>
                <w:rFonts w:ascii="Arial" w:hAnsi="Arial" w:cs="Arial"/>
                <w:szCs w:val="24"/>
              </w:rPr>
              <w:t>(Beach et al. 2023, p. 200; Donegal Childcare 2022; European Commission 2022d; Expatica 2023; Irish Government Citizens Information Board 2023c; New Zealand Ministry of Business, Innovation and Employment (Hīkina Whakatutuki) 2022a)</w:t>
            </w:r>
            <w:r>
              <w:t>.</w:t>
            </w:r>
          </w:p>
          <w:p w14:paraId="3B2B3DD7" w14:textId="77777777" w:rsidR="00EC5BB1" w:rsidRDefault="00EC5BB1" w:rsidP="00882158">
            <w:pPr>
              <w:pStyle w:val="BodyText"/>
            </w:pPr>
            <w:r w:rsidRPr="00912D96">
              <w:rPr>
                <w:b/>
                <w:bCs/>
                <w:i/>
                <w:iCs/>
              </w:rPr>
              <w:t>New Zealand</w:t>
            </w:r>
            <w:r>
              <w:rPr>
                <w:b/>
                <w:bCs/>
                <w:i/>
                <w:iCs/>
              </w:rPr>
              <w:t xml:space="preserve"> </w:t>
            </w:r>
            <w:r>
              <w:t>has</w:t>
            </w:r>
            <w:r w:rsidRPr="0080285E">
              <w:t xml:space="preserve"> a </w:t>
            </w:r>
            <w:r>
              <w:t>particularly</w:t>
            </w:r>
            <w:r w:rsidRPr="0080285E">
              <w:t xml:space="preserve"> </w:t>
            </w:r>
            <w:r>
              <w:t>high</w:t>
            </w:r>
            <w:r w:rsidRPr="0080285E">
              <w:t xml:space="preserve"> rate of </w:t>
            </w:r>
            <w:r>
              <w:t>participation in</w:t>
            </w:r>
            <w:r w:rsidRPr="0080285E">
              <w:t xml:space="preserve"> parent</w:t>
            </w:r>
            <w:r>
              <w:noBreakHyphen/>
            </w:r>
            <w:r w:rsidRPr="0080285E">
              <w:t xml:space="preserve">led </w:t>
            </w:r>
            <w:r>
              <w:t>ECEC compared to most other countries</w:t>
            </w:r>
            <w:r w:rsidRPr="0080285E">
              <w:t xml:space="preserve">, </w:t>
            </w:r>
            <w:r>
              <w:t>with 9% and 10% of children in formal care attending parent</w:t>
            </w:r>
            <w:r>
              <w:noBreakHyphen/>
              <w:t xml:space="preserve">led </w:t>
            </w:r>
            <w:r w:rsidRPr="0080285E">
              <w:t xml:space="preserve">playcentres and </w:t>
            </w:r>
            <w:r>
              <w:t>K</w:t>
            </w:r>
            <w:r w:rsidRPr="0080285E">
              <w:t xml:space="preserve">ōhanga </w:t>
            </w:r>
            <w:r>
              <w:t>R</w:t>
            </w:r>
            <w:r w:rsidRPr="0080285E">
              <w:t>eo</w:t>
            </w:r>
            <w:r>
              <w:t xml:space="preserve"> </w:t>
            </w:r>
            <w:r w:rsidRPr="00217F7A">
              <w:t xml:space="preserve">Māori </w:t>
            </w:r>
            <w:r>
              <w:t xml:space="preserve">services respectively </w:t>
            </w:r>
            <w:r w:rsidRPr="005F7239">
              <w:rPr>
                <w:rFonts w:ascii="Arial" w:hAnsi="Arial" w:cs="Arial"/>
                <w:szCs w:val="24"/>
              </w:rPr>
              <w:t>(Paull and Wilson 2020, p. 60)</w:t>
            </w:r>
            <w:r>
              <w:t>.</w:t>
            </w:r>
          </w:p>
        </w:tc>
      </w:tr>
      <w:tr w:rsidR="00EC5BB1" w14:paraId="095FD4FB" w14:textId="77777777">
        <w:trPr>
          <w:hidden/>
        </w:trPr>
        <w:tc>
          <w:tcPr>
            <w:tcW w:w="9638" w:type="dxa"/>
            <w:shd w:val="clear" w:color="auto" w:fill="auto"/>
            <w:tcMar>
              <w:top w:w="0" w:type="dxa"/>
              <w:left w:w="170" w:type="dxa"/>
              <w:bottom w:w="0" w:type="dxa"/>
              <w:right w:w="170" w:type="dxa"/>
            </w:tcMar>
          </w:tcPr>
          <w:p w14:paraId="0FAD609B" w14:textId="77777777" w:rsidR="00EC5BB1" w:rsidRPr="00465191" w:rsidRDefault="00EC5BB1">
            <w:pPr>
              <w:pStyle w:val="BodyText"/>
              <w:spacing w:before="0" w:after="0" w:line="80" w:lineRule="atLeast"/>
              <w:rPr>
                <w:smallCaps/>
                <w:vanish/>
              </w:rPr>
            </w:pPr>
          </w:p>
        </w:tc>
      </w:tr>
    </w:tbl>
    <w:p w14:paraId="3C7A5D47" w14:textId="77777777" w:rsidR="00EC5BB1" w:rsidRDefault="00EC5BB1" w:rsidP="00882158">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A13508">
        <w:rPr>
          <w:rFonts w:asciiTheme="majorHAnsi" w:eastAsiaTheme="majorEastAsia" w:hAnsiTheme="majorHAnsi" w:cstheme="majorBidi"/>
          <w:color w:val="2D9AC2" w:themeColor="text2" w:themeShade="BF"/>
          <w:sz w:val="26"/>
          <w:szCs w:val="37"/>
        </w:rPr>
        <w:t>Funding</w:t>
      </w:r>
      <w:r>
        <w:rPr>
          <w:rFonts w:asciiTheme="majorHAnsi" w:eastAsiaTheme="majorEastAsia" w:hAnsiTheme="majorHAnsi" w:cstheme="majorBidi"/>
          <w:color w:val="2D9AC2" w:themeColor="text2" w:themeShade="BF"/>
          <w:sz w:val="26"/>
          <w:szCs w:val="37"/>
        </w:rPr>
        <w:t xml:space="preserve"> models</w:t>
      </w:r>
    </w:p>
    <w:p w14:paraId="3D593A32" w14:textId="77777777" w:rsidR="00EC5BB1" w:rsidRDefault="00EC5BB1" w:rsidP="00882158">
      <w:pPr>
        <w:pStyle w:val="BodyText"/>
      </w:pPr>
      <w:r w:rsidRPr="00F1172E">
        <w:t xml:space="preserve">Jurisdictions use a range of </w:t>
      </w:r>
      <w:r>
        <w:t>mechanisms</w:t>
      </w:r>
      <w:r w:rsidRPr="00F1172E">
        <w:t xml:space="preserve"> to fund ECEC, </w:t>
      </w:r>
      <w:r>
        <w:t>although there are often similarities in approaches between countries.</w:t>
      </w:r>
    </w:p>
    <w:p w14:paraId="231A5BFE" w14:textId="77777777" w:rsidR="00EC5BB1" w:rsidRDefault="00EC5BB1" w:rsidP="00882158">
      <w:pPr>
        <w:pStyle w:val="Heading4"/>
      </w:pPr>
      <w:r>
        <w:t>Most countries offer free hours of ECEC as children approach school age</w:t>
      </w:r>
    </w:p>
    <w:p w14:paraId="4547F238" w14:textId="77777777" w:rsidR="00EC5BB1" w:rsidRDefault="00EC5BB1">
      <w:pPr>
        <w:pStyle w:val="BodyText"/>
      </w:pPr>
      <w:r>
        <w:t xml:space="preserve">All five countries examined offer </w:t>
      </w:r>
      <w:r w:rsidRPr="0009541D">
        <w:t xml:space="preserve">free hours </w:t>
      </w:r>
      <w:r>
        <w:t xml:space="preserve">of ECEC </w:t>
      </w:r>
      <w:r w:rsidRPr="0009541D">
        <w:t xml:space="preserve">to children </w:t>
      </w:r>
      <w:r>
        <w:t>at particular ages, typically covering the year or two before children start primary school (t</w:t>
      </w:r>
      <w:r w:rsidRPr="00BB373D">
        <w:t>able</w:t>
      </w:r>
      <w:r w:rsidRPr="0009541D">
        <w:t xml:space="preserve"> </w:t>
      </w:r>
      <w:r>
        <w:t>B</w:t>
      </w:r>
      <w:r w:rsidRPr="00F820CC">
        <w:t>.</w:t>
      </w:r>
      <w:r>
        <w:t>3).</w:t>
      </w:r>
    </w:p>
    <w:p w14:paraId="74242B1A" w14:textId="77777777" w:rsidR="00EC5BB1" w:rsidRPr="00FE364D" w:rsidRDefault="00EC5BB1">
      <w:pPr>
        <w:pStyle w:val="BodyText"/>
        <w:rPr>
          <w:b/>
          <w:i/>
        </w:rPr>
      </w:pPr>
      <w:r>
        <w:t xml:space="preserve">The types of services that can offer these free hours vary between countries – in </w:t>
      </w:r>
      <w:r w:rsidRPr="009241F3">
        <w:rPr>
          <w:b/>
          <w:bCs/>
          <w:i/>
          <w:iCs/>
        </w:rPr>
        <w:t>British Columbia</w:t>
      </w:r>
      <w:r>
        <w:t xml:space="preserve"> and the </w:t>
      </w:r>
      <w:r w:rsidRPr="009241F3">
        <w:rPr>
          <w:b/>
          <w:bCs/>
          <w:i/>
          <w:iCs/>
        </w:rPr>
        <w:t>Netherlands</w:t>
      </w:r>
      <w:r>
        <w:t xml:space="preserve">, free hours are delivered in primary school settings, while in </w:t>
      </w:r>
      <w:r w:rsidRPr="00CE74FA">
        <w:rPr>
          <w:b/>
          <w:bCs/>
          <w:i/>
          <w:iCs/>
        </w:rPr>
        <w:t>Ireland</w:t>
      </w:r>
      <w:r>
        <w:rPr>
          <w:b/>
          <w:bCs/>
          <w:i/>
          <w:iCs/>
        </w:rPr>
        <w:t xml:space="preserve"> </w:t>
      </w:r>
      <w:r>
        <w:t xml:space="preserve">and </w:t>
      </w:r>
      <w:r w:rsidRPr="00CE74FA">
        <w:rPr>
          <w:b/>
          <w:bCs/>
          <w:i/>
          <w:iCs/>
        </w:rPr>
        <w:t>New Zealand</w:t>
      </w:r>
      <w:r>
        <w:rPr>
          <w:b/>
          <w:bCs/>
          <w:i/>
          <w:iCs/>
        </w:rPr>
        <w:t>,</w:t>
      </w:r>
      <w:r>
        <w:t xml:space="preserve"> free hours can be accessed in settings that also deliver other paid services (such as long day care or services for </w:t>
      </w:r>
      <w:r>
        <w:lastRenderedPageBreak/>
        <w:t xml:space="preserve">younger children). </w:t>
      </w:r>
      <w:r>
        <w:rPr>
          <w:b/>
          <w:bCs/>
          <w:i/>
          <w:iCs/>
        </w:rPr>
        <w:t xml:space="preserve">Sweden </w:t>
      </w:r>
      <w:r w:rsidRPr="00E36145">
        <w:t>uses a mix of these approaches</w:t>
      </w:r>
      <w:r>
        <w:t>, as free hours can be used in long day care services until age five, before children move to special ‘six</w:t>
      </w:r>
      <w:r>
        <w:noBreakHyphen/>
        <w:t>year</w:t>
      </w:r>
      <w:r>
        <w:noBreakHyphen/>
        <w:t>old preschool’ classes, located in primary school settings, to help them transition from preschool to primary school.</w:t>
      </w:r>
    </w:p>
    <w:p w14:paraId="2A967FB4" w14:textId="77777777" w:rsidR="00EC5BB1" w:rsidRDefault="00EC5BB1" w:rsidP="00882158">
      <w:pPr>
        <w:pStyle w:val="FigureTableHeading"/>
        <w:keepLines/>
      </w:pPr>
      <w:r>
        <w:t xml:space="preserve">Table </w:t>
      </w:r>
      <w:r>
        <w:rPr>
          <w:noProof/>
        </w:rPr>
        <w:t>B</w:t>
      </w:r>
      <w:r>
        <w:t>.</w:t>
      </w:r>
      <w:r>
        <w:rPr>
          <w:noProof/>
        </w:rPr>
        <w:t>3 – Many countries offer free hours of ECEC to children of certain ages</w:t>
      </w:r>
    </w:p>
    <w:p w14:paraId="6AADEE96" w14:textId="77777777" w:rsidR="00EC5BB1" w:rsidRDefault="00EC5BB1" w:rsidP="00882158">
      <w:pPr>
        <w:pStyle w:val="FigureTableSubheading"/>
        <w:keepLines/>
      </w:pPr>
      <w:r w:rsidRPr="00251033">
        <w:t>Universal free hours</w:t>
      </w:r>
      <w:r>
        <w:t xml:space="preserve"> offered</w:t>
      </w:r>
      <w:r w:rsidRPr="00251033">
        <w:t xml:space="preserve"> in international ECEC systems</w:t>
      </w:r>
    </w:p>
    <w:tbl>
      <w:tblPr>
        <w:tblW w:w="972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20"/>
        <w:gridCol w:w="1800"/>
        <w:gridCol w:w="1980"/>
        <w:gridCol w:w="2295"/>
        <w:gridCol w:w="2025"/>
      </w:tblGrid>
      <w:tr w:rsidR="00EC5BB1" w:rsidRPr="00360EBD" w14:paraId="31CF482F" w14:textId="77777777" w:rsidTr="00882158">
        <w:trPr>
          <w:tblHeader/>
        </w:trPr>
        <w:tc>
          <w:tcPr>
            <w:tcW w:w="1620" w:type="dxa"/>
            <w:tcBorders>
              <w:bottom w:val="single" w:sz="4" w:space="0" w:color="B3B3B3"/>
            </w:tcBorders>
            <w:shd w:val="clear" w:color="000000" w:fill="auto"/>
            <w:vAlign w:val="bottom"/>
          </w:tcPr>
          <w:p w14:paraId="2DA6D44C" w14:textId="77777777" w:rsidR="00EC5BB1" w:rsidRPr="00360EBD" w:rsidRDefault="00EC5BB1" w:rsidP="00882158">
            <w:pPr>
              <w:keepLines/>
              <w:spacing w:before="45" w:after="45"/>
              <w:ind w:left="57" w:right="108"/>
              <w:rPr>
                <w:rFonts w:ascii="Arial (Body)" w:hAnsi="Arial (Body)"/>
                <w:b/>
                <w:color w:val="265A9A"/>
                <w:sz w:val="18"/>
              </w:rPr>
            </w:pPr>
          </w:p>
        </w:tc>
        <w:tc>
          <w:tcPr>
            <w:tcW w:w="1800" w:type="dxa"/>
            <w:tcBorders>
              <w:bottom w:val="single" w:sz="4" w:space="0" w:color="B3B3B3"/>
            </w:tcBorders>
            <w:shd w:val="clear" w:color="000000" w:fill="auto"/>
            <w:vAlign w:val="bottom"/>
          </w:tcPr>
          <w:p w14:paraId="742B3F59"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Program name</w:t>
            </w:r>
          </w:p>
        </w:tc>
        <w:tc>
          <w:tcPr>
            <w:tcW w:w="1980" w:type="dxa"/>
            <w:tcBorders>
              <w:bottom w:val="single" w:sz="4" w:space="0" w:color="B3B3B3"/>
            </w:tcBorders>
            <w:shd w:val="clear" w:color="000000" w:fill="auto"/>
            <w:vAlign w:val="bottom"/>
          </w:tcPr>
          <w:p w14:paraId="3A2A2E12"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Service types</w:t>
            </w:r>
          </w:p>
        </w:tc>
        <w:tc>
          <w:tcPr>
            <w:tcW w:w="2295" w:type="dxa"/>
            <w:tcBorders>
              <w:bottom w:val="single" w:sz="4" w:space="0" w:color="B3B3B3"/>
            </w:tcBorders>
            <w:shd w:val="clear" w:color="000000" w:fill="auto"/>
            <w:vAlign w:val="bottom"/>
          </w:tcPr>
          <w:p w14:paraId="7F364260"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Ages</w:t>
            </w:r>
          </w:p>
        </w:tc>
        <w:tc>
          <w:tcPr>
            <w:tcW w:w="2025" w:type="dxa"/>
            <w:tcBorders>
              <w:bottom w:val="single" w:sz="4" w:space="0" w:color="B3B3B3"/>
            </w:tcBorders>
            <w:shd w:val="clear" w:color="000000" w:fill="auto"/>
            <w:vAlign w:val="bottom"/>
          </w:tcPr>
          <w:p w14:paraId="5F9D54E9"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Amount</w:t>
            </w:r>
          </w:p>
        </w:tc>
      </w:tr>
      <w:tr w:rsidR="00EC5BB1" w:rsidRPr="00360EBD" w14:paraId="5BB18741" w14:textId="77777777" w:rsidTr="00882158">
        <w:tc>
          <w:tcPr>
            <w:tcW w:w="1620" w:type="dxa"/>
            <w:tcBorders>
              <w:top w:val="single" w:sz="4" w:space="0" w:color="B3B3B3"/>
              <w:bottom w:val="nil"/>
            </w:tcBorders>
            <w:shd w:val="clear" w:color="000000" w:fill="F2F2F2"/>
          </w:tcPr>
          <w:p w14:paraId="78110F3C" w14:textId="77777777" w:rsidR="00EC5BB1" w:rsidRPr="00360EBD" w:rsidRDefault="00EC5BB1" w:rsidP="00882158">
            <w:pPr>
              <w:keepLines/>
              <w:spacing w:before="45" w:after="45"/>
              <w:ind w:left="57" w:right="108"/>
              <w:rPr>
                <w:rFonts w:ascii="Arial (Body)" w:hAnsi="Arial (Body)"/>
                <w:b/>
                <w:color w:val="265A9A"/>
                <w:sz w:val="18"/>
              </w:rPr>
            </w:pPr>
            <w:r w:rsidRPr="00360EBD">
              <w:rPr>
                <w:b/>
                <w:color w:val="265A9A" w:themeColor="background2"/>
                <w:sz w:val="18"/>
              </w:rPr>
              <w:t>British Columbia</w:t>
            </w:r>
          </w:p>
        </w:tc>
        <w:tc>
          <w:tcPr>
            <w:tcW w:w="1800" w:type="dxa"/>
            <w:tcBorders>
              <w:top w:val="single" w:sz="4" w:space="0" w:color="B3B3B3"/>
              <w:bottom w:val="nil"/>
            </w:tcBorders>
            <w:shd w:val="clear" w:color="000000" w:fill="F2F2F2"/>
          </w:tcPr>
          <w:p w14:paraId="41825AAC"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Kindergarten</w:t>
            </w:r>
          </w:p>
        </w:tc>
        <w:tc>
          <w:tcPr>
            <w:tcW w:w="1980" w:type="dxa"/>
            <w:tcBorders>
              <w:top w:val="single" w:sz="4" w:space="0" w:color="B3B3B3"/>
              <w:bottom w:val="nil"/>
            </w:tcBorders>
            <w:shd w:val="clear" w:color="000000" w:fill="F2F2F2"/>
          </w:tcPr>
          <w:p w14:paraId="40DD4549"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Preschool in a primary school setting</w:t>
            </w:r>
          </w:p>
        </w:tc>
        <w:tc>
          <w:tcPr>
            <w:tcW w:w="2295" w:type="dxa"/>
            <w:tcBorders>
              <w:top w:val="single" w:sz="4" w:space="0" w:color="B3B3B3"/>
              <w:bottom w:val="nil"/>
            </w:tcBorders>
            <w:shd w:val="clear" w:color="000000" w:fill="F2F2F2"/>
          </w:tcPr>
          <w:p w14:paraId="03B7E255"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Age five</w:t>
            </w:r>
          </w:p>
          <w:p w14:paraId="40727E11"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six)</w:t>
            </w:r>
          </w:p>
        </w:tc>
        <w:tc>
          <w:tcPr>
            <w:tcW w:w="2025" w:type="dxa"/>
            <w:tcBorders>
              <w:top w:val="single" w:sz="4" w:space="0" w:color="B3B3B3"/>
              <w:bottom w:val="nil"/>
            </w:tcBorders>
            <w:shd w:val="clear" w:color="000000" w:fill="F2F2F2"/>
          </w:tcPr>
          <w:p w14:paraId="035B2BF2" w14:textId="77777777" w:rsidR="00EC5BB1" w:rsidRPr="00360EBD" w:rsidRDefault="00EC5BB1" w:rsidP="00882158">
            <w:pPr>
              <w:keepLines/>
              <w:spacing w:before="0" w:after="20"/>
              <w:contextualSpacing/>
              <w:rPr>
                <w:szCs w:val="18"/>
              </w:rPr>
            </w:pPr>
            <w:r w:rsidRPr="00360EBD">
              <w:rPr>
                <w:sz w:val="18"/>
                <w:szCs w:val="18"/>
              </w:rPr>
              <w:t>School hours</w:t>
            </w:r>
          </w:p>
        </w:tc>
      </w:tr>
      <w:tr w:rsidR="00EC5BB1" w:rsidRPr="00360EBD" w14:paraId="288BED25" w14:textId="77777777" w:rsidTr="00882158">
        <w:tc>
          <w:tcPr>
            <w:tcW w:w="1620" w:type="dxa"/>
            <w:tcBorders>
              <w:top w:val="nil"/>
              <w:bottom w:val="nil"/>
            </w:tcBorders>
            <w:shd w:val="clear" w:color="000000" w:fill="auto"/>
          </w:tcPr>
          <w:p w14:paraId="449EA620" w14:textId="77777777" w:rsidR="00EC5BB1" w:rsidRPr="00360EBD" w:rsidRDefault="00EC5BB1" w:rsidP="00882158">
            <w:pPr>
              <w:spacing w:before="45" w:after="45"/>
              <w:ind w:left="57" w:right="108"/>
              <w:rPr>
                <w:rFonts w:ascii="Arial (Body)" w:hAnsi="Arial (Body)"/>
                <w:b/>
                <w:color w:val="265A9A"/>
                <w:sz w:val="18"/>
              </w:rPr>
            </w:pPr>
            <w:r w:rsidRPr="00360EBD">
              <w:rPr>
                <w:b/>
                <w:color w:val="265A9A" w:themeColor="background2"/>
                <w:sz w:val="18"/>
              </w:rPr>
              <w:t>Ireland</w:t>
            </w:r>
          </w:p>
        </w:tc>
        <w:tc>
          <w:tcPr>
            <w:tcW w:w="1800" w:type="dxa"/>
            <w:tcBorders>
              <w:top w:val="nil"/>
              <w:bottom w:val="nil"/>
            </w:tcBorders>
            <w:shd w:val="clear" w:color="000000" w:fill="auto"/>
          </w:tcPr>
          <w:p w14:paraId="1557E77A"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Early Childhood Care and Education</w:t>
            </w:r>
          </w:p>
        </w:tc>
        <w:tc>
          <w:tcPr>
            <w:tcW w:w="1980" w:type="dxa"/>
            <w:tcBorders>
              <w:top w:val="nil"/>
              <w:bottom w:val="nil"/>
            </w:tcBorders>
            <w:shd w:val="clear" w:color="000000" w:fill="auto"/>
          </w:tcPr>
          <w:p w14:paraId="68580298" w14:textId="77777777" w:rsidR="00EC5BB1" w:rsidRPr="00360EBD" w:rsidRDefault="00EC5BB1" w:rsidP="00882158">
            <w:pPr>
              <w:spacing w:before="45" w:after="45"/>
              <w:ind w:left="57" w:right="108"/>
              <w:rPr>
                <w:rFonts w:ascii="Arial (Body)" w:hAnsi="Arial (Body)"/>
                <w:color w:val="000000"/>
                <w:sz w:val="18"/>
                <w:vertAlign w:val="superscript"/>
              </w:rPr>
            </w:pPr>
            <w:r w:rsidRPr="00360EBD">
              <w:rPr>
                <w:rFonts w:ascii="Arial (Body)" w:hAnsi="Arial (Body)"/>
                <w:color w:val="000000"/>
                <w:sz w:val="18"/>
              </w:rPr>
              <w:t>Registered ECEC services (including family day care)</w:t>
            </w:r>
          </w:p>
        </w:tc>
        <w:tc>
          <w:tcPr>
            <w:tcW w:w="2295" w:type="dxa"/>
            <w:tcBorders>
              <w:top w:val="nil"/>
              <w:bottom w:val="nil"/>
            </w:tcBorders>
            <w:shd w:val="clear" w:color="000000" w:fill="auto"/>
          </w:tcPr>
          <w:p w14:paraId="136861CE" w14:textId="77777777" w:rsidR="00EC5BB1"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Age three onwards</w:t>
            </w:r>
          </w:p>
          <w:p w14:paraId="267CD47C"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five)</w:t>
            </w:r>
          </w:p>
        </w:tc>
        <w:tc>
          <w:tcPr>
            <w:tcW w:w="2025" w:type="dxa"/>
            <w:tcBorders>
              <w:top w:val="nil"/>
              <w:bottom w:val="nil"/>
            </w:tcBorders>
            <w:shd w:val="clear" w:color="000000" w:fill="auto"/>
          </w:tcPr>
          <w:p w14:paraId="1DF058D0" w14:textId="77777777" w:rsidR="00EC5BB1" w:rsidRPr="00360EBD" w:rsidRDefault="00EC5BB1" w:rsidP="00882158">
            <w:pPr>
              <w:spacing w:before="0" w:after="20"/>
              <w:contextualSpacing/>
              <w:rPr>
                <w:szCs w:val="18"/>
              </w:rPr>
            </w:pPr>
            <w:r w:rsidRPr="00360EBD">
              <w:rPr>
                <w:sz w:val="18"/>
                <w:szCs w:val="18"/>
              </w:rPr>
              <w:t>Three hours per day</w:t>
            </w:r>
            <w:r>
              <w:rPr>
                <w:sz w:val="18"/>
                <w:szCs w:val="18"/>
              </w:rPr>
              <w:t>, 5 days</w:t>
            </w:r>
            <w:r w:rsidRPr="00360EBD">
              <w:rPr>
                <w:sz w:val="18"/>
                <w:szCs w:val="18"/>
              </w:rPr>
              <w:t xml:space="preserve"> per week</w:t>
            </w:r>
            <w:r>
              <w:rPr>
                <w:sz w:val="18"/>
                <w:szCs w:val="18"/>
              </w:rPr>
              <w:t xml:space="preserve">, </w:t>
            </w:r>
            <w:r w:rsidRPr="00360EBD">
              <w:rPr>
                <w:sz w:val="18"/>
                <w:szCs w:val="16"/>
              </w:rPr>
              <w:t>38 weeks per year</w:t>
            </w:r>
          </w:p>
        </w:tc>
      </w:tr>
      <w:tr w:rsidR="00EC5BB1" w:rsidRPr="00360EBD" w14:paraId="72D80B69" w14:textId="77777777" w:rsidTr="00882158">
        <w:tc>
          <w:tcPr>
            <w:tcW w:w="1620" w:type="dxa"/>
            <w:tcBorders>
              <w:top w:val="nil"/>
              <w:bottom w:val="nil"/>
            </w:tcBorders>
            <w:shd w:val="clear" w:color="auto" w:fill="F2F2F2" w:themeFill="background1" w:themeFillShade="F2"/>
          </w:tcPr>
          <w:p w14:paraId="1B156628" w14:textId="77777777" w:rsidR="00EC5BB1" w:rsidRPr="00360EBD" w:rsidRDefault="00EC5BB1" w:rsidP="00882158">
            <w:pPr>
              <w:spacing w:before="45" w:after="45"/>
              <w:ind w:left="57" w:right="108"/>
              <w:rPr>
                <w:rFonts w:ascii="Arial (Body)" w:hAnsi="Arial (Body)"/>
                <w:b/>
                <w:color w:val="265A9A"/>
                <w:sz w:val="18"/>
                <w:vertAlign w:val="superscript"/>
              </w:rPr>
            </w:pPr>
            <w:r w:rsidRPr="00360EBD">
              <w:rPr>
                <w:b/>
                <w:color w:val="265A9A" w:themeColor="background2"/>
                <w:sz w:val="18"/>
              </w:rPr>
              <w:t>Netherlands</w:t>
            </w:r>
          </w:p>
        </w:tc>
        <w:tc>
          <w:tcPr>
            <w:tcW w:w="1800" w:type="dxa"/>
            <w:tcBorders>
              <w:top w:val="nil"/>
              <w:bottom w:val="nil"/>
            </w:tcBorders>
            <w:shd w:val="clear" w:color="auto" w:fill="F2F2F2" w:themeFill="background1" w:themeFillShade="F2"/>
          </w:tcPr>
          <w:p w14:paraId="1EFCCB79" w14:textId="77777777" w:rsidR="00EC5BB1" w:rsidRPr="00360EBD" w:rsidRDefault="00EC5BB1" w:rsidP="00882158">
            <w:pPr>
              <w:spacing w:before="45" w:after="45"/>
              <w:ind w:left="57" w:right="108"/>
              <w:rPr>
                <w:rFonts w:ascii="Arial (Body)" w:hAnsi="Arial (Body)"/>
                <w:color w:val="000000"/>
                <w:sz w:val="18"/>
              </w:rPr>
            </w:pPr>
          </w:p>
        </w:tc>
        <w:tc>
          <w:tcPr>
            <w:tcW w:w="1980" w:type="dxa"/>
            <w:tcBorders>
              <w:top w:val="nil"/>
              <w:bottom w:val="nil"/>
            </w:tcBorders>
            <w:shd w:val="clear" w:color="auto" w:fill="F2F2F2" w:themeFill="background1" w:themeFillShade="F2"/>
          </w:tcPr>
          <w:p w14:paraId="6316AA9C"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Preschool in a primary school setting</w:t>
            </w:r>
          </w:p>
        </w:tc>
        <w:tc>
          <w:tcPr>
            <w:tcW w:w="2295" w:type="dxa"/>
            <w:tcBorders>
              <w:top w:val="nil"/>
              <w:bottom w:val="nil"/>
            </w:tcBorders>
            <w:shd w:val="clear" w:color="auto" w:fill="F2F2F2" w:themeFill="background1" w:themeFillShade="F2"/>
          </w:tcPr>
          <w:p w14:paraId="779C11B6"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Age four</w:t>
            </w:r>
          </w:p>
          <w:p w14:paraId="39607AAA"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w:t>
            </w:r>
            <w:r w:rsidRPr="00330DA6">
              <w:rPr>
                <w:rFonts w:ascii="Arial (Body)" w:hAnsi="Arial (Body)"/>
                <w:color w:val="000000"/>
                <w:sz w:val="18"/>
              </w:rPr>
              <w:t>five</w:t>
            </w:r>
            <w:r w:rsidRPr="00360EBD">
              <w:rPr>
                <w:rFonts w:ascii="Arial (Body)" w:hAnsi="Arial (Body)"/>
                <w:color w:val="000000"/>
                <w:sz w:val="18"/>
              </w:rPr>
              <w:t>)</w:t>
            </w:r>
          </w:p>
        </w:tc>
        <w:tc>
          <w:tcPr>
            <w:tcW w:w="2025" w:type="dxa"/>
            <w:tcBorders>
              <w:top w:val="nil"/>
              <w:bottom w:val="nil"/>
            </w:tcBorders>
            <w:shd w:val="clear" w:color="auto" w:fill="F2F2F2" w:themeFill="background1" w:themeFillShade="F2"/>
          </w:tcPr>
          <w:p w14:paraId="454E95DD" w14:textId="77777777" w:rsidR="00EC5BB1" w:rsidRPr="00360EBD" w:rsidRDefault="00EC5BB1" w:rsidP="00882158">
            <w:pPr>
              <w:spacing w:before="0" w:after="20"/>
              <w:contextualSpacing/>
              <w:rPr>
                <w:szCs w:val="18"/>
              </w:rPr>
            </w:pPr>
            <w:r w:rsidRPr="00360EBD">
              <w:rPr>
                <w:sz w:val="18"/>
                <w:szCs w:val="18"/>
              </w:rPr>
              <w:t>School hours</w:t>
            </w:r>
          </w:p>
        </w:tc>
      </w:tr>
      <w:tr w:rsidR="00EC5BB1" w:rsidRPr="00360EBD" w14:paraId="0FC2F77A" w14:textId="77777777" w:rsidTr="00882158">
        <w:tc>
          <w:tcPr>
            <w:tcW w:w="1620" w:type="dxa"/>
            <w:tcBorders>
              <w:top w:val="nil"/>
              <w:bottom w:val="nil"/>
            </w:tcBorders>
            <w:shd w:val="clear" w:color="000000" w:fill="auto"/>
          </w:tcPr>
          <w:p w14:paraId="653AA9F6" w14:textId="77777777" w:rsidR="00EC5BB1" w:rsidRPr="00360EBD" w:rsidRDefault="00EC5BB1" w:rsidP="00882158">
            <w:pPr>
              <w:spacing w:before="45" w:after="45"/>
              <w:ind w:left="57" w:right="108"/>
              <w:rPr>
                <w:rFonts w:ascii="Arial (Body)" w:hAnsi="Arial (Body)"/>
                <w:b/>
                <w:color w:val="265A9A"/>
                <w:sz w:val="18"/>
              </w:rPr>
            </w:pPr>
            <w:r w:rsidRPr="00360EBD">
              <w:rPr>
                <w:b/>
                <w:color w:val="265A9A" w:themeColor="background2"/>
                <w:sz w:val="18"/>
              </w:rPr>
              <w:t>New Zealand</w:t>
            </w:r>
          </w:p>
        </w:tc>
        <w:tc>
          <w:tcPr>
            <w:tcW w:w="1800" w:type="dxa"/>
            <w:tcBorders>
              <w:top w:val="nil"/>
              <w:bottom w:val="nil"/>
            </w:tcBorders>
            <w:shd w:val="clear" w:color="000000" w:fill="auto"/>
          </w:tcPr>
          <w:p w14:paraId="16973516"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 xml:space="preserve">20 Hours </w:t>
            </w:r>
            <w:r>
              <w:rPr>
                <w:rFonts w:ascii="Arial (Body)" w:hAnsi="Arial (Body)"/>
                <w:color w:val="000000"/>
                <w:sz w:val="18"/>
              </w:rPr>
              <w:t>Early Childhood Education (</w:t>
            </w:r>
            <w:r w:rsidRPr="00360EBD">
              <w:rPr>
                <w:rFonts w:ascii="Arial (Body)" w:hAnsi="Arial (Body)"/>
                <w:color w:val="000000"/>
                <w:sz w:val="18"/>
              </w:rPr>
              <w:t>ECE</w:t>
            </w:r>
            <w:r>
              <w:rPr>
                <w:rFonts w:ascii="Arial (Body)" w:hAnsi="Arial (Body)"/>
                <w:color w:val="000000"/>
                <w:sz w:val="18"/>
              </w:rPr>
              <w:t>)</w:t>
            </w:r>
          </w:p>
        </w:tc>
        <w:tc>
          <w:tcPr>
            <w:tcW w:w="1980" w:type="dxa"/>
            <w:tcBorders>
              <w:top w:val="nil"/>
              <w:bottom w:val="nil"/>
            </w:tcBorders>
            <w:shd w:val="clear" w:color="000000" w:fill="auto"/>
          </w:tcPr>
          <w:p w14:paraId="41DC43FD" w14:textId="77777777" w:rsidR="00EC5BB1" w:rsidRPr="00360EBD" w:rsidRDefault="00EC5BB1" w:rsidP="00882158">
            <w:pPr>
              <w:spacing w:before="45" w:after="45"/>
              <w:ind w:left="57" w:right="108"/>
              <w:rPr>
                <w:rFonts w:ascii="Arial (Body)" w:hAnsi="Arial (Body)"/>
                <w:color w:val="000000"/>
                <w:sz w:val="18"/>
                <w:vertAlign w:val="superscript"/>
              </w:rPr>
            </w:pPr>
            <w:r w:rsidRPr="00360EBD">
              <w:rPr>
                <w:rFonts w:ascii="Arial (Body)" w:hAnsi="Arial (Body)"/>
                <w:color w:val="000000"/>
                <w:sz w:val="18"/>
              </w:rPr>
              <w:t>ECT</w:t>
            </w:r>
            <w:r w:rsidRPr="00360EBD">
              <w:rPr>
                <w:rFonts w:ascii="Arial (Body)" w:hAnsi="Arial (Body)"/>
                <w:color w:val="000000"/>
                <w:sz w:val="18"/>
              </w:rPr>
              <w:noBreakHyphen/>
              <w:t>led services (including home</w:t>
            </w:r>
            <w:r w:rsidRPr="00360EBD">
              <w:rPr>
                <w:rFonts w:ascii="Arial (Body)" w:hAnsi="Arial (Body)"/>
                <w:color w:val="000000"/>
                <w:sz w:val="18"/>
              </w:rPr>
              <w:noBreakHyphen/>
              <w:t>based services with a qualified coordinator)</w:t>
            </w:r>
            <w:r>
              <w:rPr>
                <w:rFonts w:ascii="Arial (Body)" w:hAnsi="Arial (Body)"/>
                <w:color w:val="000000"/>
                <w:sz w:val="18"/>
                <w:vertAlign w:val="superscript"/>
              </w:rPr>
              <w:t>a</w:t>
            </w:r>
          </w:p>
        </w:tc>
        <w:tc>
          <w:tcPr>
            <w:tcW w:w="2295" w:type="dxa"/>
            <w:tcBorders>
              <w:top w:val="nil"/>
              <w:bottom w:val="nil"/>
            </w:tcBorders>
            <w:shd w:val="clear" w:color="000000" w:fill="auto"/>
          </w:tcPr>
          <w:p w14:paraId="3A292730" w14:textId="77777777" w:rsidR="00EC5BB1" w:rsidRPr="00360EBD" w:rsidRDefault="00EC5BB1" w:rsidP="00882158">
            <w:pPr>
              <w:spacing w:before="45" w:after="45"/>
              <w:ind w:left="57" w:right="108"/>
              <w:rPr>
                <w:rFonts w:ascii="Arial (Body)" w:hAnsi="Arial (Body)"/>
                <w:color w:val="000000"/>
                <w:sz w:val="18"/>
              </w:rPr>
            </w:pPr>
            <w:r w:rsidRPr="00360EBD">
              <w:rPr>
                <w:rFonts w:ascii="Arial (Body)" w:hAnsi="Arial (Body)"/>
                <w:color w:val="000000"/>
                <w:sz w:val="18"/>
              </w:rPr>
              <w:t>Age three onwards</w:t>
            </w:r>
            <w:r>
              <w:rPr>
                <w:rFonts w:ascii="Arial (Body)" w:hAnsi="Arial (Body)"/>
                <w:color w:val="000000"/>
                <w:sz w:val="18"/>
              </w:rPr>
              <w:t xml:space="preserve"> </w:t>
            </w: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five)</w:t>
            </w:r>
          </w:p>
        </w:tc>
        <w:tc>
          <w:tcPr>
            <w:tcW w:w="2025" w:type="dxa"/>
            <w:tcBorders>
              <w:top w:val="nil"/>
              <w:bottom w:val="nil"/>
            </w:tcBorders>
            <w:shd w:val="clear" w:color="000000" w:fill="auto"/>
          </w:tcPr>
          <w:p w14:paraId="57D133F4" w14:textId="77777777" w:rsidR="00EC5BB1" w:rsidRPr="00360EBD" w:rsidRDefault="00EC5BB1" w:rsidP="00882158">
            <w:pPr>
              <w:spacing w:before="0" w:after="20"/>
              <w:contextualSpacing/>
              <w:rPr>
                <w:szCs w:val="18"/>
              </w:rPr>
            </w:pPr>
            <w:r w:rsidRPr="00360EBD">
              <w:rPr>
                <w:sz w:val="18"/>
                <w:szCs w:val="18"/>
              </w:rPr>
              <w:t>Up to six hours per day</w:t>
            </w:r>
            <w:r>
              <w:rPr>
                <w:sz w:val="18"/>
                <w:szCs w:val="18"/>
              </w:rPr>
              <w:t>, u</w:t>
            </w:r>
            <w:r w:rsidRPr="00360EBD">
              <w:rPr>
                <w:sz w:val="18"/>
                <w:szCs w:val="18"/>
              </w:rPr>
              <w:t>p to 20 hours per week</w:t>
            </w:r>
            <w:r>
              <w:rPr>
                <w:sz w:val="18"/>
                <w:szCs w:val="18"/>
              </w:rPr>
              <w:t xml:space="preserve">, </w:t>
            </w:r>
            <w:r w:rsidRPr="00360EBD">
              <w:rPr>
                <w:sz w:val="18"/>
                <w:szCs w:val="16"/>
              </w:rPr>
              <w:t>52 weeks per year</w:t>
            </w:r>
          </w:p>
        </w:tc>
      </w:tr>
      <w:tr w:rsidR="00EC5BB1" w:rsidRPr="00360EBD" w14:paraId="25BC0E64" w14:textId="77777777">
        <w:tc>
          <w:tcPr>
            <w:tcW w:w="1620" w:type="dxa"/>
            <w:shd w:val="clear" w:color="000000" w:fill="F2F2F2"/>
          </w:tcPr>
          <w:p w14:paraId="459CC302" w14:textId="77777777" w:rsidR="00EC5BB1" w:rsidRPr="00360EBD" w:rsidRDefault="00EC5BB1" w:rsidP="00882158">
            <w:pPr>
              <w:keepLines/>
              <w:spacing w:before="45" w:after="45"/>
              <w:ind w:left="57" w:right="108"/>
              <w:rPr>
                <w:rFonts w:ascii="Arial (Body)" w:hAnsi="Arial (Body)"/>
                <w:b/>
                <w:color w:val="265A9A"/>
                <w:sz w:val="18"/>
                <w:vertAlign w:val="superscript"/>
              </w:rPr>
            </w:pPr>
            <w:r w:rsidRPr="00360EBD">
              <w:rPr>
                <w:b/>
                <w:color w:val="265A9A" w:themeColor="background2"/>
                <w:sz w:val="18"/>
              </w:rPr>
              <w:t>Sweden</w:t>
            </w:r>
          </w:p>
        </w:tc>
        <w:tc>
          <w:tcPr>
            <w:tcW w:w="1800" w:type="dxa"/>
            <w:shd w:val="clear" w:color="000000" w:fill="F2F2F2"/>
          </w:tcPr>
          <w:p w14:paraId="29F20CB4" w14:textId="77777777" w:rsidR="00EC5BB1" w:rsidRPr="00360EBD" w:rsidRDefault="00EC5BB1" w:rsidP="00882158">
            <w:pPr>
              <w:keepLines/>
              <w:spacing w:before="45" w:after="45"/>
              <w:ind w:left="57" w:right="108"/>
              <w:rPr>
                <w:rFonts w:ascii="Arial (Body)" w:hAnsi="Arial (Body)"/>
                <w:color w:val="000000"/>
                <w:sz w:val="18"/>
              </w:rPr>
            </w:pPr>
          </w:p>
        </w:tc>
        <w:tc>
          <w:tcPr>
            <w:tcW w:w="1980" w:type="dxa"/>
            <w:shd w:val="clear" w:color="000000" w:fill="F2F2F2"/>
          </w:tcPr>
          <w:p w14:paraId="45DE1B39" w14:textId="77777777" w:rsidR="00EC5BB1" w:rsidRDefault="00EC5BB1" w:rsidP="00882158">
            <w:pPr>
              <w:keepLines/>
              <w:spacing w:before="45" w:after="45"/>
              <w:ind w:left="57" w:right="108"/>
              <w:rPr>
                <w:rFonts w:ascii="Arial (Body)" w:hAnsi="Arial (Body)"/>
                <w:color w:val="000000"/>
                <w:sz w:val="18"/>
              </w:rPr>
            </w:pPr>
            <w:r>
              <w:rPr>
                <w:rFonts w:ascii="Arial (Body)" w:hAnsi="Arial (Body)"/>
                <w:color w:val="000000"/>
                <w:sz w:val="18"/>
              </w:rPr>
              <w:t>Long day care</w:t>
            </w:r>
            <w:r w:rsidRPr="00360EBD">
              <w:rPr>
                <w:rFonts w:ascii="Arial (Body)" w:hAnsi="Arial (Body)"/>
                <w:color w:val="000000"/>
                <w:sz w:val="18"/>
              </w:rPr>
              <w:t xml:space="preserve"> services</w:t>
            </w:r>
            <w:r>
              <w:rPr>
                <w:rFonts w:ascii="Arial (Body)" w:hAnsi="Arial (Body)"/>
                <w:color w:val="000000"/>
                <w:sz w:val="18"/>
              </w:rPr>
              <w:t xml:space="preserve"> or</w:t>
            </w:r>
          </w:p>
          <w:p w14:paraId="74C73EA2" w14:textId="77777777" w:rsidR="00EC5BB1" w:rsidRPr="00360EBD" w:rsidRDefault="00EC5BB1" w:rsidP="00882158">
            <w:pPr>
              <w:keepLines/>
              <w:spacing w:before="45" w:after="45"/>
              <w:ind w:left="57" w:right="108"/>
              <w:rPr>
                <w:rFonts w:ascii="Arial (Body)" w:hAnsi="Arial (Body)"/>
                <w:color w:val="000000"/>
                <w:sz w:val="18"/>
              </w:rPr>
            </w:pPr>
            <w:r>
              <w:rPr>
                <w:rFonts w:ascii="Arial (Body)" w:hAnsi="Arial (Body)"/>
                <w:color w:val="000000"/>
                <w:sz w:val="18"/>
              </w:rPr>
              <w:t>‘six</w:t>
            </w:r>
            <w:r>
              <w:rPr>
                <w:rFonts w:ascii="Arial (Body)" w:hAnsi="Arial (Body)"/>
                <w:color w:val="000000"/>
                <w:sz w:val="18"/>
              </w:rPr>
              <w:noBreakHyphen/>
              <w:t>year</w:t>
            </w:r>
            <w:r>
              <w:rPr>
                <w:rFonts w:ascii="Arial (Body)" w:hAnsi="Arial (Body)"/>
                <w:color w:val="000000"/>
                <w:sz w:val="18"/>
              </w:rPr>
              <w:noBreakHyphen/>
              <w:t>old preschool’ classes in primary school setting</w:t>
            </w:r>
          </w:p>
        </w:tc>
        <w:tc>
          <w:tcPr>
            <w:tcW w:w="2295" w:type="dxa"/>
            <w:shd w:val="clear" w:color="000000" w:fill="F2F2F2"/>
          </w:tcPr>
          <w:p w14:paraId="1ABAC065"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Age three onwards, compulsory from age six</w:t>
            </w:r>
          </w:p>
          <w:p w14:paraId="097399C4" w14:textId="77777777" w:rsidR="00EC5BB1" w:rsidRPr="00360EBD" w:rsidRDefault="00EC5BB1" w:rsidP="00882158">
            <w:pPr>
              <w:keepLines/>
              <w:spacing w:before="45" w:after="45"/>
              <w:ind w:left="57" w:right="108"/>
              <w:rPr>
                <w:rFonts w:ascii="Arial (Body)" w:hAnsi="Arial (Body)"/>
                <w:color w:val="000000"/>
                <w:sz w:val="18"/>
              </w:rPr>
            </w:pPr>
            <w:r w:rsidRPr="00360EBD">
              <w:rPr>
                <w:rFonts w:ascii="Arial (Body)" w:hAnsi="Arial (Body)"/>
                <w:color w:val="000000"/>
                <w:sz w:val="18"/>
              </w:rPr>
              <w:t>(</w:t>
            </w:r>
            <w:r>
              <w:rPr>
                <w:rFonts w:ascii="Arial (Body)" w:hAnsi="Arial (Body)"/>
                <w:color w:val="000000"/>
                <w:sz w:val="18"/>
              </w:rPr>
              <w:t>school starts at</w:t>
            </w:r>
            <w:r w:rsidRPr="00360EBD">
              <w:rPr>
                <w:rFonts w:ascii="Arial (Body)" w:hAnsi="Arial (Body)"/>
                <w:color w:val="000000"/>
                <w:sz w:val="18"/>
              </w:rPr>
              <w:t xml:space="preserve"> age seven)</w:t>
            </w:r>
          </w:p>
        </w:tc>
        <w:tc>
          <w:tcPr>
            <w:tcW w:w="2025" w:type="dxa"/>
            <w:shd w:val="clear" w:color="000000" w:fill="F2F2F2"/>
          </w:tcPr>
          <w:p w14:paraId="32DEBB16" w14:textId="77777777" w:rsidR="00EC5BB1" w:rsidRPr="00360EBD" w:rsidRDefault="00EC5BB1" w:rsidP="00882158">
            <w:pPr>
              <w:keepLines/>
              <w:spacing w:before="0" w:after="20"/>
              <w:contextualSpacing/>
              <w:rPr>
                <w:szCs w:val="18"/>
              </w:rPr>
            </w:pPr>
            <w:r w:rsidRPr="00360EBD">
              <w:rPr>
                <w:sz w:val="18"/>
                <w:szCs w:val="18"/>
              </w:rPr>
              <w:t>525 hours per year</w:t>
            </w:r>
            <w:r>
              <w:rPr>
                <w:szCs w:val="18"/>
              </w:rPr>
              <w:t xml:space="preserve">, </w:t>
            </w:r>
            <w:r>
              <w:rPr>
                <w:sz w:val="18"/>
                <w:szCs w:val="18"/>
              </w:rPr>
              <w:t>o</w:t>
            </w:r>
            <w:r w:rsidRPr="00360EBD">
              <w:rPr>
                <w:sz w:val="18"/>
                <w:szCs w:val="18"/>
              </w:rPr>
              <w:t>ften 15 hours per week over 35 weeks</w:t>
            </w:r>
            <w:r>
              <w:rPr>
                <w:sz w:val="18"/>
                <w:szCs w:val="18"/>
                <w:vertAlign w:val="superscript"/>
              </w:rPr>
              <w:t>b</w:t>
            </w:r>
          </w:p>
        </w:tc>
      </w:tr>
    </w:tbl>
    <w:p w14:paraId="3A80CC2C" w14:textId="77777777" w:rsidR="00EC5BB1" w:rsidRPr="00F820CC" w:rsidRDefault="00EC5BB1" w:rsidP="00882158">
      <w:pPr>
        <w:pStyle w:val="Note"/>
        <w:keepLines/>
      </w:pPr>
      <w:r>
        <w:rPr>
          <w:b/>
          <w:bCs/>
        </w:rPr>
        <w:t>a</w:t>
      </w:r>
      <w:r>
        <w:rPr>
          <w:b/>
        </w:rPr>
        <w:t xml:space="preserve">. </w:t>
      </w:r>
      <w:r>
        <w:t>Home</w:t>
      </w:r>
      <w:r>
        <w:noBreakHyphen/>
        <w:t xml:space="preserve">based services include what would be referred to in Australia as family day care and In Home Care services, as well as services provided in any other home nominated by the families attending the service. </w:t>
      </w:r>
      <w:r>
        <w:rPr>
          <w:b/>
        </w:rPr>
        <w:t xml:space="preserve">b. </w:t>
      </w:r>
      <w:r w:rsidRPr="00F820CC">
        <w:t>Municipal</w:t>
      </w:r>
      <w:r>
        <w:t>ities</w:t>
      </w:r>
      <w:r w:rsidRPr="00F820CC">
        <w:t xml:space="preserve"> in Sweden have some agency in how they deliver free preschool.</w:t>
      </w:r>
    </w:p>
    <w:p w14:paraId="7A259683" w14:textId="11D4D9A4" w:rsidR="00EC5BB1" w:rsidRDefault="0089277F" w:rsidP="00882158">
      <w:pPr>
        <w:pStyle w:val="Note"/>
        <w:keepLines/>
      </w:pPr>
      <w:r>
        <w:t>Source</w:t>
      </w:r>
      <w:r w:rsidR="00EC5BB1" w:rsidRPr="0009541D">
        <w:t xml:space="preserve">: Beach et al. </w:t>
      </w:r>
      <w:r w:rsidR="00EC5BB1" w:rsidRPr="00694F0B">
        <w:rPr>
          <w:rFonts w:ascii="Arial" w:hAnsi="Arial" w:cs="Arial"/>
          <w:szCs w:val="24"/>
        </w:rPr>
        <w:t>(2023, p. 199)</w:t>
      </w:r>
      <w:r w:rsidR="00EC5BB1" w:rsidRPr="0009541D">
        <w:t xml:space="preserve">; European Commission </w:t>
      </w:r>
      <w:r w:rsidR="00EC5BB1" w:rsidRPr="00A72727">
        <w:rPr>
          <w:rFonts w:ascii="Arial" w:hAnsi="Arial" w:cs="Arial"/>
        </w:rPr>
        <w:t>(2022d)</w:t>
      </w:r>
      <w:r w:rsidR="00EC5BB1" w:rsidRPr="0009541D">
        <w:t xml:space="preserve">; European Commission </w:t>
      </w:r>
      <w:r w:rsidR="00EC5BB1" w:rsidRPr="00BA0533">
        <w:rPr>
          <w:rFonts w:ascii="Arial" w:hAnsi="Arial" w:cs="Arial"/>
        </w:rPr>
        <w:t>(2023b)</w:t>
      </w:r>
      <w:r w:rsidR="00EC5BB1" w:rsidRPr="0009541D">
        <w:t xml:space="preserve">; </w:t>
      </w:r>
      <w:r w:rsidR="00EC5BB1" w:rsidRPr="00FE511F">
        <w:t>Irish Government Department of Children, Equality, Disability, Integration and Youth</w:t>
      </w:r>
      <w:r w:rsidR="00EC5BB1">
        <w:t xml:space="preserve"> </w:t>
      </w:r>
      <w:r w:rsidR="00EC5BB1" w:rsidRPr="004C5B88">
        <w:rPr>
          <w:rFonts w:ascii="Arial" w:hAnsi="Arial" w:cs="Arial"/>
          <w:szCs w:val="24"/>
        </w:rPr>
        <w:t>(2022, pp. 16, 29)</w:t>
      </w:r>
      <w:r w:rsidR="00EC5BB1">
        <w:t xml:space="preserve">; </w:t>
      </w:r>
      <w:r w:rsidR="00EC5BB1" w:rsidRPr="0009541D">
        <w:t xml:space="preserve">New Zealand Government </w:t>
      </w:r>
      <w:r w:rsidR="00EC5BB1" w:rsidRPr="00FF7165">
        <w:t>Ministry of Education (Te Tāhuhu o te Mātauranga)</w:t>
      </w:r>
      <w:r w:rsidR="00EC5BB1" w:rsidRPr="00FF7165" w:rsidDel="00FF7165">
        <w:t xml:space="preserve"> </w:t>
      </w:r>
      <w:r w:rsidR="00EC5BB1" w:rsidRPr="000B262B">
        <w:rPr>
          <w:rFonts w:ascii="Arial" w:hAnsi="Arial" w:cs="Arial"/>
        </w:rPr>
        <w:t>(2023a)</w:t>
      </w:r>
      <w:r w:rsidR="00EC5BB1" w:rsidRPr="0009541D">
        <w:t>.</w:t>
      </w:r>
    </w:p>
    <w:p w14:paraId="0F0C1A53" w14:textId="77777777" w:rsidR="00EC5BB1" w:rsidRDefault="00EC5BB1" w:rsidP="00882158">
      <w:pPr>
        <w:pStyle w:val="Heading4"/>
      </w:pPr>
      <w:r w:rsidRPr="00213AE4">
        <w:t xml:space="preserve">Subsidies are a common mechanism for improving affordability </w:t>
      </w:r>
      <w:r>
        <w:t>of</w:t>
      </w:r>
      <w:r w:rsidRPr="00213AE4">
        <w:t xml:space="preserve"> </w:t>
      </w:r>
      <w:r>
        <w:t>additional</w:t>
      </w:r>
      <w:r w:rsidRPr="00213AE4">
        <w:t xml:space="preserve"> </w:t>
      </w:r>
      <w:r>
        <w:t>hours of</w:t>
      </w:r>
      <w:r w:rsidRPr="00213AE4">
        <w:t xml:space="preserve"> ECEC</w:t>
      </w:r>
    </w:p>
    <w:p w14:paraId="5E5AAA02" w14:textId="77777777" w:rsidR="00EC5BB1" w:rsidRDefault="00EC5BB1" w:rsidP="00882158">
      <w:pPr>
        <w:pStyle w:val="BodyText"/>
        <w:rPr>
          <w:rStyle w:val="CommentReference"/>
        </w:rPr>
      </w:pPr>
      <w:r w:rsidRPr="00713214">
        <w:t xml:space="preserve">In addition to funding </w:t>
      </w:r>
      <w:r>
        <w:t>a level</w:t>
      </w:r>
      <w:r w:rsidRPr="00713214">
        <w:t xml:space="preserve"> of free ECEC for children </w:t>
      </w:r>
      <w:r>
        <w:t>in the years before school, many countries provide subsidies to support families to access other types of ECEC. This covers services such as ECEC for</w:t>
      </w:r>
      <w:r w:rsidRPr="001A0551">
        <w:t xml:space="preserve"> younger children who are</w:t>
      </w:r>
      <w:r>
        <w:t xml:space="preserve"> not</w:t>
      </w:r>
      <w:r w:rsidRPr="001A0551">
        <w:t xml:space="preserve"> </w:t>
      </w:r>
      <w:r>
        <w:t xml:space="preserve">yet </w:t>
      </w:r>
      <w:r w:rsidRPr="001A0551">
        <w:t xml:space="preserve">eligible for free hours, or </w:t>
      </w:r>
      <w:r w:rsidRPr="00B8034E">
        <w:t>for care outside of preschool and primary school operating hours</w:t>
      </w:r>
      <w:r w:rsidRPr="001A0551">
        <w:t xml:space="preserve">. </w:t>
      </w:r>
      <w:r w:rsidRPr="000076C8">
        <w:t>The rationale for subsidising ECEC in these circumstances tends to focus less on educational benefits and more on facilitating</w:t>
      </w:r>
      <w:r>
        <w:t xml:space="preserve"> parents’</w:t>
      </w:r>
      <w:r w:rsidRPr="000076C8">
        <w:t xml:space="preserve"> workforce participation. As a result, </w:t>
      </w:r>
      <w:r>
        <w:t>funding for these services</w:t>
      </w:r>
      <w:r w:rsidRPr="000076C8">
        <w:t xml:space="preserve"> tend</w:t>
      </w:r>
      <w:r>
        <w:t>s</w:t>
      </w:r>
      <w:r w:rsidRPr="000076C8">
        <w:t xml:space="preserve"> </w:t>
      </w:r>
      <w:r>
        <w:t>to be delivered through</w:t>
      </w:r>
      <w:r w:rsidRPr="000076C8">
        <w:t xml:space="preserve"> </w:t>
      </w:r>
      <w:r>
        <w:t xml:space="preserve">more targeted, </w:t>
      </w:r>
      <w:r w:rsidRPr="000076C8">
        <w:t>activity</w:t>
      </w:r>
      <w:r>
        <w:noBreakHyphen/>
      </w:r>
      <w:r w:rsidRPr="000076C8">
        <w:t xml:space="preserve"> and means</w:t>
      </w:r>
      <w:r>
        <w:noBreakHyphen/>
      </w:r>
      <w:r w:rsidRPr="000076C8">
        <w:t xml:space="preserve">tested </w:t>
      </w:r>
      <w:r>
        <w:t>subsidies.</w:t>
      </w:r>
    </w:p>
    <w:p w14:paraId="5738EFFB" w14:textId="754A6AF5" w:rsidR="00EC5BB1" w:rsidRDefault="00EC5BB1" w:rsidP="00882158">
      <w:pPr>
        <w:pStyle w:val="BodyText"/>
      </w:pPr>
      <w:r>
        <w:rPr>
          <w:b/>
          <w:bCs/>
          <w:i/>
          <w:iCs/>
        </w:rPr>
        <w:t>British Columbia</w:t>
      </w:r>
      <w:r>
        <w:t xml:space="preserve"> and </w:t>
      </w:r>
      <w:r w:rsidRPr="00CE3BFE">
        <w:rPr>
          <w:b/>
          <w:bCs/>
          <w:i/>
          <w:iCs/>
        </w:rPr>
        <w:t>New Zealand</w:t>
      </w:r>
      <w:r>
        <w:rPr>
          <w:b/>
          <w:bCs/>
          <w:i/>
          <w:iCs/>
        </w:rPr>
        <w:t xml:space="preserve"> </w:t>
      </w:r>
      <w:r>
        <w:t>offer subsidies that are activity</w:t>
      </w:r>
      <w:r>
        <w:noBreakHyphen/>
        <w:t xml:space="preserve"> and income</w:t>
      </w:r>
      <w:r>
        <w:noBreakHyphen/>
        <w:t>tested, and are provided as a set subsidy amount that varies according to household characteristics. In British Columbia, subsidies vary with family income, child age and service type, and they may or may not fully cover the ECEC fees families face. The maximum subsidy available – which would apply to a low</w:t>
      </w:r>
      <w:r>
        <w:noBreakHyphen/>
        <w:t>income household using a high</w:t>
      </w:r>
      <w:r>
        <w:noBreakHyphen/>
        <w:t>cost care type, such as care for a very young child – is C</w:t>
      </w:r>
      <w:r w:rsidR="0026618F">
        <w:t>$</w:t>
      </w:r>
      <w:r>
        <w:t>1250 (A</w:t>
      </w:r>
      <w:r w:rsidR="0026618F">
        <w:t>$</w:t>
      </w:r>
      <w:r>
        <w:t xml:space="preserve">1400) per month, and parents must be working, studying or have a medical exemption to be eligible for the subsidy </w:t>
      </w:r>
      <w:r w:rsidRPr="00663095">
        <w:rPr>
          <w:rFonts w:ascii="Arial" w:hAnsi="Arial" w:cs="Arial"/>
          <w:szCs w:val="24"/>
        </w:rPr>
        <w:t>(Beach et al. 2023, p. 212)</w:t>
      </w:r>
      <w:r w:rsidRPr="00663095">
        <w:t xml:space="preserve">. </w:t>
      </w:r>
      <w:r>
        <w:lastRenderedPageBreak/>
        <w:t xml:space="preserve">Similarly, </w:t>
      </w:r>
      <w:r w:rsidRPr="00663095">
        <w:t xml:space="preserve">New Zealand’s Childcare Subsidy offsets fees </w:t>
      </w:r>
      <w:r>
        <w:t>for low</w:t>
      </w:r>
      <w:r>
        <w:noBreakHyphen/>
        <w:t xml:space="preserve"> and middle</w:t>
      </w:r>
      <w:r>
        <w:noBreakHyphen/>
        <w:t xml:space="preserve">income families </w:t>
      </w:r>
      <w:r w:rsidRPr="00663095">
        <w:t>by up t</w:t>
      </w:r>
      <w:r>
        <w:t>o NZ</w:t>
      </w:r>
      <w:r w:rsidR="0026618F">
        <w:t>$</w:t>
      </w:r>
      <w:r>
        <w:t>6.10 (A</w:t>
      </w:r>
      <w:r w:rsidR="0026618F">
        <w:t>$</w:t>
      </w:r>
      <w:r>
        <w:t>5.60) per hour, and families</w:t>
      </w:r>
      <w:r w:rsidRPr="00CC1834">
        <w:t xml:space="preserve"> </w:t>
      </w:r>
      <w:r>
        <w:t>can</w:t>
      </w:r>
      <w:r w:rsidRPr="00CC1834">
        <w:t xml:space="preserve"> access </w:t>
      </w:r>
      <w:r>
        <w:t>nine</w:t>
      </w:r>
      <w:r w:rsidRPr="00CC1834">
        <w:t xml:space="preserve"> hours of this subsidy </w:t>
      </w:r>
      <w:r>
        <w:t>per week</w:t>
      </w:r>
      <w:r w:rsidRPr="00CC1834">
        <w:t xml:space="preserve"> if they</w:t>
      </w:r>
      <w:r>
        <w:t xml:space="preserve"> a</w:t>
      </w:r>
      <w:r w:rsidRPr="00CC1834">
        <w:t>re not working</w:t>
      </w:r>
      <w:r>
        <w:t>,</w:t>
      </w:r>
      <w:r w:rsidRPr="00CC1834">
        <w:t xml:space="preserve"> </w:t>
      </w:r>
      <w:r>
        <w:t>or</w:t>
      </w:r>
      <w:r w:rsidRPr="00CC1834">
        <w:t xml:space="preserve"> 50 hours if they pass an activity test.</w:t>
      </w:r>
      <w:r>
        <w:t xml:space="preserve"> Like in Australia, the subsidy rate varies with the number of children attending an ECEC service from the same family, with the income test becoming more generous as the number of children using ECEC increases </w:t>
      </w:r>
      <w:r w:rsidRPr="000576FE">
        <w:rPr>
          <w:rFonts w:ascii="Arial" w:hAnsi="Arial" w:cs="Arial"/>
          <w:szCs w:val="24"/>
        </w:rPr>
        <w:t>(New Zealand Ministry of Social Development (Te Manatū Whakahiato Ora) 2023b, 2023a)</w:t>
      </w:r>
      <w:r>
        <w:t>.</w:t>
      </w:r>
    </w:p>
    <w:p w14:paraId="3E5B678B" w14:textId="2F50386E" w:rsidR="00EC5BB1" w:rsidRPr="009533CF" w:rsidRDefault="00EC5BB1" w:rsidP="00882158">
      <w:pPr>
        <w:pStyle w:val="BodyText"/>
        <w:rPr>
          <w:spacing w:val="-4"/>
        </w:rPr>
      </w:pPr>
      <w:r w:rsidRPr="009533CF">
        <w:rPr>
          <w:b/>
          <w:bCs/>
          <w:i/>
          <w:iCs/>
          <w:spacing w:val="-4"/>
        </w:rPr>
        <w:t>Ireland</w:t>
      </w:r>
      <w:r w:rsidRPr="009533CF">
        <w:rPr>
          <w:spacing w:val="-4"/>
        </w:rPr>
        <w:t xml:space="preserve"> uses a mix of two different subsidy schemes – a universal subsidy of 2.14</w:t>
      </w:r>
      <w:r w:rsidR="0026618F" w:rsidRPr="009533CF">
        <w:rPr>
          <w:spacing w:val="-4"/>
        </w:rPr>
        <w:t xml:space="preserve"> euro </w:t>
      </w:r>
      <w:r w:rsidRPr="009533CF">
        <w:rPr>
          <w:spacing w:val="-4"/>
        </w:rPr>
        <w:t>(A</w:t>
      </w:r>
      <w:r w:rsidR="0026618F" w:rsidRPr="009533CF">
        <w:rPr>
          <w:spacing w:val="-4"/>
        </w:rPr>
        <w:t>$</w:t>
      </w:r>
      <w:r w:rsidRPr="009533CF">
        <w:rPr>
          <w:spacing w:val="-4"/>
        </w:rPr>
        <w:t>3.60) per hour (that is activity tested but does not vary with income) and a subsidy available to low</w:t>
      </w:r>
      <w:r w:rsidRPr="009533CF">
        <w:rPr>
          <w:spacing w:val="-4"/>
        </w:rPr>
        <w:noBreakHyphen/>
        <w:t>income families that is both income</w:t>
      </w:r>
      <w:r w:rsidRPr="009533CF">
        <w:rPr>
          <w:spacing w:val="-4"/>
        </w:rPr>
        <w:noBreakHyphen/>
        <w:t xml:space="preserve"> and activity</w:t>
      </w:r>
      <w:r w:rsidRPr="009533CF">
        <w:rPr>
          <w:spacing w:val="-4"/>
        </w:rPr>
        <w:noBreakHyphen/>
        <w:t xml:space="preserve">tested. Families cannot receive both at once and must choose the one that will benefit them most. Parents participating in work or study are eligible for 45 hours of subsidised care per week, and those who are not are eligible for 20 hours per week </w:t>
      </w:r>
      <w:r w:rsidRPr="009533CF">
        <w:rPr>
          <w:rFonts w:cs="Arial"/>
          <w:spacing w:val="-4"/>
          <w:szCs w:val="24"/>
        </w:rPr>
        <w:t>(Irish Government Citizens Information Board 2023a)</w:t>
      </w:r>
      <w:r w:rsidRPr="009533CF">
        <w:rPr>
          <w:spacing w:val="-4"/>
        </w:rPr>
        <w:t>.</w:t>
      </w:r>
    </w:p>
    <w:p w14:paraId="53A026E5" w14:textId="77777777" w:rsidR="00EC5BB1" w:rsidRDefault="00EC5BB1" w:rsidP="00882158">
      <w:pPr>
        <w:pStyle w:val="BodyText"/>
      </w:pPr>
      <w:r>
        <w:t xml:space="preserve">The </w:t>
      </w:r>
      <w:r w:rsidRPr="00BB3DA4">
        <w:rPr>
          <w:b/>
          <w:bCs/>
          <w:i/>
          <w:iCs/>
        </w:rPr>
        <w:t>Netherlands</w:t>
      </w:r>
      <w:r>
        <w:t xml:space="preserve"> currently has a means and activity tested ECEC</w:t>
      </w:r>
      <w:r w:rsidRPr="00663095">
        <w:t xml:space="preserve"> benefit, with</w:t>
      </w:r>
      <w:r>
        <w:t xml:space="preserve"> the broad aim being that </w:t>
      </w:r>
      <w:r w:rsidRPr="00351CC3">
        <w:t xml:space="preserve">families, government, and employers each </w:t>
      </w:r>
      <w:r w:rsidRPr="006C3452">
        <w:t>contribute to a family’s ECEC costs – employers must reimburse one</w:t>
      </w:r>
      <w:r>
        <w:noBreakHyphen/>
      </w:r>
      <w:r w:rsidRPr="006C3452">
        <w:t xml:space="preserve">third of </w:t>
      </w:r>
      <w:r>
        <w:t xml:space="preserve">the </w:t>
      </w:r>
      <w:r w:rsidRPr="006C3452">
        <w:t xml:space="preserve">ECEC </w:t>
      </w:r>
      <w:r>
        <w:t>fees that their employees incur</w:t>
      </w:r>
      <w:r w:rsidRPr="006C3452">
        <w:t xml:space="preserve"> and</w:t>
      </w:r>
      <w:r>
        <w:t>,</w:t>
      </w:r>
      <w:r w:rsidRPr="006C3452">
        <w:t xml:space="preserve"> </w:t>
      </w:r>
      <w:r>
        <w:t>depending on family income,</w:t>
      </w:r>
      <w:r w:rsidRPr="006C3452">
        <w:t xml:space="preserve"> government </w:t>
      </w:r>
      <w:r>
        <w:t>also reimburses</w:t>
      </w:r>
      <w:r w:rsidRPr="006C3452">
        <w:t xml:space="preserve"> </w:t>
      </w:r>
      <w:r>
        <w:t>between</w:t>
      </w:r>
      <w:r w:rsidRPr="006C3452">
        <w:t xml:space="preserve"> 0% </w:t>
      </w:r>
      <w:r>
        <w:t>and</w:t>
      </w:r>
      <w:r w:rsidRPr="006C3452">
        <w:t xml:space="preserve"> 63%</w:t>
      </w:r>
      <w:r>
        <w:t xml:space="preserve"> of fees through refundable tax credits </w:t>
      </w:r>
      <w:r w:rsidRPr="0015701A">
        <w:rPr>
          <w:rFonts w:ascii="Arial" w:hAnsi="Arial" w:cs="Arial"/>
          <w:szCs w:val="24"/>
        </w:rPr>
        <w:t>(Paull and Wilson 2020, p. 32)</w:t>
      </w:r>
      <w:r>
        <w:t>. In cases where parents are not working, t</w:t>
      </w:r>
      <w:r w:rsidRPr="006C3452">
        <w:t xml:space="preserve">he government will </w:t>
      </w:r>
      <w:r>
        <w:t xml:space="preserve">also </w:t>
      </w:r>
      <w:r w:rsidRPr="006C3452">
        <w:t xml:space="preserve">cover the employer’s contribution </w:t>
      </w:r>
      <w:r>
        <w:t>as long as parents</w:t>
      </w:r>
      <w:r w:rsidRPr="006C3452">
        <w:t xml:space="preserve"> are undertaking other approved activit</w:t>
      </w:r>
      <w:r>
        <w:t>ies</w:t>
      </w:r>
      <w:r w:rsidRPr="006C3452">
        <w:t xml:space="preserve"> </w:t>
      </w:r>
      <w:r w:rsidRPr="00A3531D">
        <w:rPr>
          <w:rFonts w:ascii="Arial" w:hAnsi="Arial" w:cs="Arial"/>
          <w:szCs w:val="24"/>
        </w:rPr>
        <w:t>(Statistics Netherlands 2023)</w:t>
      </w:r>
      <w:r w:rsidRPr="006C3452">
        <w:t>.</w:t>
      </w:r>
    </w:p>
    <w:p w14:paraId="42011282" w14:textId="77777777" w:rsidR="00EC5BB1" w:rsidRDefault="00EC5BB1" w:rsidP="00882158">
      <w:pPr>
        <w:pStyle w:val="BodyText"/>
      </w:pPr>
      <w:r>
        <w:t>As noted above</w:t>
      </w:r>
      <w:r w:rsidRPr="006C3452">
        <w:t xml:space="preserve">, </w:t>
      </w:r>
      <w:r>
        <w:t>however</w:t>
      </w:r>
      <w:r w:rsidRPr="006C3452">
        <w:t>,</w:t>
      </w:r>
      <w:r>
        <w:t xml:space="preserve"> these subsidy arrangements are expected to change substantially by 2027 – government funding to</w:t>
      </w:r>
      <w:r w:rsidRPr="006C3452">
        <w:t xml:space="preserve"> </w:t>
      </w:r>
      <w:r>
        <w:t>ECEC is set to double as</w:t>
      </w:r>
      <w:r w:rsidRPr="006C3452">
        <w:t xml:space="preserve"> the </w:t>
      </w:r>
      <w:r w:rsidRPr="006A5D1E">
        <w:t xml:space="preserve">Netherlands </w:t>
      </w:r>
      <w:r>
        <w:t>transitions to</w:t>
      </w:r>
      <w:r w:rsidRPr="006C3452">
        <w:t xml:space="preserve"> a</w:t>
      </w:r>
      <w:r>
        <w:t xml:space="preserve"> universal</w:t>
      </w:r>
      <w:r w:rsidRPr="006C3452">
        <w:t xml:space="preserve"> 96% subsidy</w:t>
      </w:r>
      <w:r>
        <w:t xml:space="preserve"> that will not vary with</w:t>
      </w:r>
      <w:r w:rsidRPr="006C3452">
        <w:t xml:space="preserve"> household income </w:t>
      </w:r>
      <w:r>
        <w:t>or</w:t>
      </w:r>
      <w:r w:rsidRPr="006C3452">
        <w:t xml:space="preserve"> activity</w:t>
      </w:r>
      <w:r>
        <w:t xml:space="preserve"> levels</w:t>
      </w:r>
      <w:r w:rsidRPr="006C3452">
        <w:t xml:space="preserve"> </w:t>
      </w:r>
      <w:r w:rsidRPr="005C6625">
        <w:rPr>
          <w:rFonts w:ascii="Arial" w:hAnsi="Arial" w:cs="Arial"/>
          <w:szCs w:val="24"/>
        </w:rPr>
        <w:t>(NL Times 2023; Ottens 2022; Utrecht University 2022)</w:t>
      </w:r>
      <w:r w:rsidRPr="006C3452">
        <w:t>.</w:t>
      </w:r>
    </w:p>
    <w:p w14:paraId="3E2FCD9C" w14:textId="32E0DC31" w:rsidR="00EC5BB1" w:rsidRDefault="00EC5BB1" w:rsidP="00882158">
      <w:pPr>
        <w:pStyle w:val="BodyText"/>
      </w:pPr>
      <w:r>
        <w:t>F</w:t>
      </w:r>
      <w:r w:rsidRPr="00F03157">
        <w:t>ees for ECEC</w:t>
      </w:r>
      <w:r>
        <w:t xml:space="preserve"> in </w:t>
      </w:r>
      <w:r w:rsidRPr="00945329">
        <w:rPr>
          <w:b/>
          <w:bCs/>
          <w:i/>
          <w:iCs/>
        </w:rPr>
        <w:t>Sweden</w:t>
      </w:r>
      <w:r>
        <w:t xml:space="preserve"> – beyond the free hours – </w:t>
      </w:r>
      <w:r w:rsidRPr="00F03157">
        <w:t xml:space="preserve">are </w:t>
      </w:r>
      <w:r w:rsidRPr="005D17AC">
        <w:t>proportional to parental income</w:t>
      </w:r>
      <w:r>
        <w:t xml:space="preserve"> and</w:t>
      </w:r>
      <w:r w:rsidRPr="00F03157">
        <w:t xml:space="preserve"> </w:t>
      </w:r>
      <w:r>
        <w:t xml:space="preserve">set </w:t>
      </w:r>
      <w:r w:rsidRPr="00F03157">
        <w:t>at 3% of gross parental income for the first child</w:t>
      </w:r>
      <w:r>
        <w:t xml:space="preserve"> (up to a </w:t>
      </w:r>
      <w:r w:rsidRPr="006673FA">
        <w:t>cap</w:t>
      </w:r>
      <w:r>
        <w:t xml:space="preserve"> of SEK1,572 (A</w:t>
      </w:r>
      <w:r w:rsidR="0026618F">
        <w:t>$</w:t>
      </w:r>
      <w:r>
        <w:t>225) per month),</w:t>
      </w:r>
      <w:r w:rsidRPr="00F03157">
        <w:t xml:space="preserve"> 2% for </w:t>
      </w:r>
      <w:r w:rsidRPr="005D17AC">
        <w:t>the second</w:t>
      </w:r>
      <w:r>
        <w:t xml:space="preserve"> child</w:t>
      </w:r>
      <w:r w:rsidRPr="00F03157">
        <w:t>, 1% for the third</w:t>
      </w:r>
      <w:r>
        <w:t xml:space="preserve"> child,</w:t>
      </w:r>
      <w:r w:rsidRPr="00F03157">
        <w:t xml:space="preserve"> and </w:t>
      </w:r>
      <w:r>
        <w:t xml:space="preserve">there is </w:t>
      </w:r>
      <w:r w:rsidRPr="00F03157">
        <w:t xml:space="preserve">no fee for any subsequent children. </w:t>
      </w:r>
      <w:r w:rsidRPr="00DD6AC6">
        <w:t>Low</w:t>
      </w:r>
      <w:r>
        <w:noBreakHyphen/>
      </w:r>
      <w:r w:rsidRPr="00DD6AC6">
        <w:t>income families</w:t>
      </w:r>
      <w:r>
        <w:t xml:space="preserve"> do not pay any out</w:t>
      </w:r>
      <w:r>
        <w:noBreakHyphen/>
        <w:t>of</w:t>
      </w:r>
      <w:r>
        <w:noBreakHyphen/>
        <w:t xml:space="preserve">pocket fees </w:t>
      </w:r>
      <w:r w:rsidRPr="00A72727">
        <w:rPr>
          <w:rFonts w:ascii="Arial" w:hAnsi="Arial" w:cs="Arial"/>
          <w:szCs w:val="24"/>
        </w:rPr>
        <w:t>(European Commission 2022c)</w:t>
      </w:r>
      <w:r w:rsidRPr="00236F07">
        <w:rPr>
          <w:b/>
          <w:bCs/>
        </w:rPr>
        <w:t>.</w:t>
      </w:r>
    </w:p>
    <w:p w14:paraId="4AEF9EFB" w14:textId="53F0D49A" w:rsidR="00EC5BB1" w:rsidRPr="00323571" w:rsidRDefault="00EC5BB1" w:rsidP="00882158">
      <w:pPr>
        <w:pStyle w:val="Heading4"/>
      </w:pPr>
      <w:r w:rsidRPr="00323571">
        <w:t>Many countries also use supply</w:t>
      </w:r>
      <w:r w:rsidR="002761A5">
        <w:t>-</w:t>
      </w:r>
      <w:r w:rsidRPr="00323571">
        <w:t xml:space="preserve">side </w:t>
      </w:r>
      <w:r w:rsidRPr="000523A8">
        <w:t xml:space="preserve">funding </w:t>
      </w:r>
      <w:r w:rsidRPr="00F820CC">
        <w:rPr>
          <w:rStyle w:val="Heading5Char"/>
        </w:rPr>
        <w:t>mechanisms</w:t>
      </w:r>
    </w:p>
    <w:p w14:paraId="65B2DDB2" w14:textId="77777777" w:rsidR="00EC5BB1" w:rsidRDefault="00EC5BB1" w:rsidP="00882158">
      <w:pPr>
        <w:pStyle w:val="BodyText"/>
      </w:pPr>
      <w:r>
        <w:t>Operational funding is commonly used overseas in addition to demand</w:t>
      </w:r>
      <w:r>
        <w:noBreakHyphen/>
        <w:t>side subsidies to improve affordability for families, though governments can also use this type of funding to steer the behaviour of services and influence their fees and quality</w:t>
      </w:r>
      <w:r w:rsidDel="002B20C2">
        <w:t xml:space="preserve">. </w:t>
      </w:r>
      <w:r>
        <w:t>Supply</w:t>
      </w:r>
      <w:r>
        <w:noBreakHyphen/>
        <w:t>side funding has also proven to be a preferred mechanism for governments undertaking reforms, with many countries introducing or strengthening existing operational funding mechanisms to improve affordability and access for families.</w:t>
      </w:r>
      <w:r>
        <w:rPr>
          <w:rStyle w:val="FootnoteReference"/>
        </w:rPr>
        <w:footnoteReference w:id="4"/>
      </w:r>
    </w:p>
    <w:p w14:paraId="19EFDFB1" w14:textId="39F4D454" w:rsidR="00EC5BB1" w:rsidRDefault="00EC5BB1" w:rsidP="00882158">
      <w:pPr>
        <w:pStyle w:val="BodyText"/>
      </w:pPr>
      <w:r>
        <w:t>As part of its plan to first halve ECEC fees and then transition to a universal $10</w:t>
      </w:r>
      <w:r>
        <w:noBreakHyphen/>
        <w:t>a</w:t>
      </w:r>
      <w:r>
        <w:noBreakHyphen/>
        <w:t xml:space="preserve">day ECEC system, </w:t>
      </w:r>
      <w:r w:rsidRPr="00B34502">
        <w:rPr>
          <w:b/>
          <w:bCs/>
          <w:i/>
          <w:iCs/>
        </w:rPr>
        <w:t>British Columbia</w:t>
      </w:r>
      <w:r>
        <w:rPr>
          <w:b/>
          <w:bCs/>
          <w:i/>
          <w:iCs/>
        </w:rPr>
        <w:t xml:space="preserve"> </w:t>
      </w:r>
      <w:r>
        <w:t xml:space="preserve">has expanded its use of operational funding. In 2018, The </w:t>
      </w:r>
      <w:r w:rsidRPr="001E5E50">
        <w:t>Child Care Fee Reduction Initiative</w:t>
      </w:r>
      <w:r>
        <w:t xml:space="preserve"> was introduced, which provides supply</w:t>
      </w:r>
      <w:r>
        <w:noBreakHyphen/>
        <w:t xml:space="preserve">side funding to services on top of the funding that services already received under the </w:t>
      </w:r>
      <w:r w:rsidRPr="00B60D6F">
        <w:t xml:space="preserve">Child Care Operating Funding </w:t>
      </w:r>
      <w:r>
        <w:t>program. The</w:t>
      </w:r>
      <w:r w:rsidRPr="00B07867">
        <w:t xml:space="preserve"> </w:t>
      </w:r>
      <w:r>
        <w:t xml:space="preserve">initiative </w:t>
      </w:r>
      <w:r w:rsidRPr="00B07867">
        <w:t xml:space="preserve">provides </w:t>
      </w:r>
      <w:r>
        <w:t>C</w:t>
      </w:r>
      <w:r w:rsidR="0026618F">
        <w:t>$</w:t>
      </w:r>
      <w:r w:rsidRPr="00B07867">
        <w:t>260</w:t>
      </w:r>
      <w:r>
        <w:noBreakHyphen/>
      </w:r>
      <w:r w:rsidRPr="00B07867">
        <w:t>550</w:t>
      </w:r>
      <w:r>
        <w:t xml:space="preserve"> (A</w:t>
      </w:r>
      <w:r w:rsidR="0026618F">
        <w:t>$</w:t>
      </w:r>
      <w:r>
        <w:t>290</w:t>
      </w:r>
      <w:r>
        <w:noBreakHyphen/>
        <w:t xml:space="preserve">620) per </w:t>
      </w:r>
      <w:r w:rsidRPr="00B07867">
        <w:t xml:space="preserve">month per child </w:t>
      </w:r>
      <w:r>
        <w:t>attending full</w:t>
      </w:r>
      <w:r>
        <w:noBreakHyphen/>
        <w:t>time services – varying by</w:t>
      </w:r>
      <w:r w:rsidDel="00824152">
        <w:t xml:space="preserve"> </w:t>
      </w:r>
      <w:r>
        <w:t xml:space="preserve">child age and service type – </w:t>
      </w:r>
      <w:r w:rsidRPr="00496963">
        <w:t>to eligible licensed providers to reduce and stabilise fees for families</w:t>
      </w:r>
      <w:r>
        <w:t>. Participating p</w:t>
      </w:r>
      <w:r w:rsidRPr="00B07867">
        <w:t xml:space="preserve">roviders must agree not to increase fees beyond </w:t>
      </w:r>
      <w:r>
        <w:t>an</w:t>
      </w:r>
      <w:r w:rsidRPr="00B07867">
        <w:t xml:space="preserve"> amount approved by the province, and any new facilities must set fees at or below the 70th percentile for fees in their </w:t>
      </w:r>
      <w:r w:rsidRPr="0009541D">
        <w:t>region for the same type of care</w:t>
      </w:r>
      <w:r>
        <w:t xml:space="preserve"> </w:t>
      </w:r>
      <w:r w:rsidRPr="00B64177">
        <w:rPr>
          <w:rFonts w:ascii="Arial" w:hAnsi="Arial" w:cs="Arial"/>
          <w:szCs w:val="24"/>
        </w:rPr>
        <w:t>(Beach et al. 2023, pp. 213–214)</w:t>
      </w:r>
      <w:r w:rsidRPr="0009541D">
        <w:t>. The government also funds more than 12,000 spaces at Universal Child Care Prototype Sites</w:t>
      </w:r>
      <w:r>
        <w:t>,</w:t>
      </w:r>
      <w:r w:rsidRPr="0009541D">
        <w:t xml:space="preserve"> </w:t>
      </w:r>
      <w:r>
        <w:t>which</w:t>
      </w:r>
      <w:r w:rsidRPr="0009541D">
        <w:t xml:space="preserve"> provide </w:t>
      </w:r>
      <w:r w:rsidRPr="0009541D">
        <w:lastRenderedPageBreak/>
        <w:t>ECEC services for $10 per day</w:t>
      </w:r>
      <w:r w:rsidRPr="00F820CC">
        <w:t xml:space="preserve"> </w:t>
      </w:r>
      <w:r w:rsidRPr="0009541D" w:rsidDel="00806CC3">
        <w:t xml:space="preserve">to </w:t>
      </w:r>
      <w:r w:rsidRPr="0009541D">
        <w:t xml:space="preserve">test funding models </w:t>
      </w:r>
      <w:r>
        <w:t>and</w:t>
      </w:r>
      <w:r w:rsidRPr="0009541D">
        <w:t xml:space="preserve"> support a transition to a universal $10</w:t>
      </w:r>
      <w:r>
        <w:noBreakHyphen/>
      </w:r>
      <w:r w:rsidRPr="0009541D">
        <w:t>a</w:t>
      </w:r>
      <w:r>
        <w:noBreakHyphen/>
      </w:r>
      <w:r w:rsidRPr="0009541D">
        <w:t xml:space="preserve">day system by 2026 </w:t>
      </w:r>
      <w:r w:rsidRPr="0009541D">
        <w:rPr>
          <w:rFonts w:ascii="Arial" w:hAnsi="Arial" w:cs="Arial"/>
          <w:szCs w:val="24"/>
        </w:rPr>
        <w:t>(Beach et al. 2023, p. 207)</w:t>
      </w:r>
      <w:r w:rsidRPr="0009541D">
        <w:t>. There</w:t>
      </w:r>
      <w:r>
        <w:t xml:space="preserve"> are also a range of other grant funding opportunities that encourage new services to open and existing services to renovate their spaces – these are typically designed to expand public and not</w:t>
      </w:r>
      <w:r>
        <w:noBreakHyphen/>
        <w:t>for</w:t>
      </w:r>
      <w:r>
        <w:noBreakHyphen/>
        <w:t xml:space="preserve">profit provision, particularly in </w:t>
      </w:r>
      <w:r w:rsidRPr="0057685A">
        <w:t>communities</w:t>
      </w:r>
      <w:r>
        <w:t xml:space="preserve"> that face additional barriers to access </w:t>
      </w:r>
      <w:r w:rsidRPr="00FD4138">
        <w:rPr>
          <w:rFonts w:ascii="Arial" w:hAnsi="Arial" w:cs="Arial"/>
          <w:szCs w:val="24"/>
        </w:rPr>
        <w:t>(Beach et al. 2023, pp. 213–216)</w:t>
      </w:r>
      <w:r>
        <w:t>.</w:t>
      </w:r>
    </w:p>
    <w:p w14:paraId="22653D9A" w14:textId="77777777" w:rsidR="00EC5BB1" w:rsidRPr="009533CF" w:rsidRDefault="00EC5BB1" w:rsidP="00882158">
      <w:pPr>
        <w:pStyle w:val="BodyText"/>
        <w:rPr>
          <w:spacing w:val="-4"/>
        </w:rPr>
      </w:pPr>
      <w:r w:rsidRPr="009533CF">
        <w:rPr>
          <w:b/>
          <w:bCs/>
          <w:i/>
          <w:iCs/>
          <w:spacing w:val="-4"/>
        </w:rPr>
        <w:t>Ireland</w:t>
      </w:r>
      <w:r w:rsidRPr="009533CF">
        <w:rPr>
          <w:spacing w:val="-4"/>
        </w:rPr>
        <w:t xml:space="preserve"> is similarly relying on its recently introduced supply</w:t>
      </w:r>
      <w:r w:rsidRPr="009533CF">
        <w:rPr>
          <w:spacing w:val="-4"/>
        </w:rPr>
        <w:noBreakHyphen/>
        <w:t xml:space="preserve">side Core Funding mechanism to deliver policy reforms as part of the government’s plan to introduce a greater degree of public management to the ECEC sector. This program provides funding to services that varies according to service operating hours, number of places offered, age of children enrolled, type of service, and qualification levels of staff. In return for the increased funding and stability that Core Funding delivers, providers must meet conditions relating to fees – including a fee freeze until August 2024 – and service quality, among other things </w:t>
      </w:r>
      <w:r w:rsidRPr="009533CF">
        <w:rPr>
          <w:rFonts w:cs="Arial"/>
          <w:spacing w:val="-4"/>
          <w:szCs w:val="24"/>
        </w:rPr>
        <w:t>(Government of Ireland 2023b)</w:t>
      </w:r>
      <w:r w:rsidRPr="009533CF">
        <w:rPr>
          <w:spacing w:val="-4"/>
        </w:rPr>
        <w:t>.</w:t>
      </w:r>
    </w:p>
    <w:p w14:paraId="20F90E8B" w14:textId="77777777" w:rsidR="00EC5BB1" w:rsidRDefault="00EC5BB1" w:rsidP="00882158">
      <w:pPr>
        <w:pStyle w:val="BodyText"/>
      </w:pPr>
      <w:r w:rsidRPr="00D730DB">
        <w:t xml:space="preserve">The </w:t>
      </w:r>
      <w:r w:rsidRPr="00F820CC">
        <w:rPr>
          <w:b/>
          <w:i/>
        </w:rPr>
        <w:t>New Zealand</w:t>
      </w:r>
      <w:r w:rsidRPr="00D730DB">
        <w:t xml:space="preserve"> government</w:t>
      </w:r>
      <w:r>
        <w:t xml:space="preserve"> uses supply</w:t>
      </w:r>
      <w:r>
        <w:noBreakHyphen/>
        <w:t>side funding instruments to</w:t>
      </w:r>
      <w:r w:rsidRPr="00D730DB">
        <w:t xml:space="preserve"> subsidise up to 30 hours of ECEC per child each week. This includes the 20 Hours ECE program </w:t>
      </w:r>
      <w:r>
        <w:t>(mentioned above)</w:t>
      </w:r>
      <w:r w:rsidRPr="00D730DB">
        <w:t xml:space="preserve"> and an additional ten hours</w:t>
      </w:r>
      <w:r>
        <w:t xml:space="preserve"> that are partially subsidised</w:t>
      </w:r>
      <w:r w:rsidRPr="00D730DB">
        <w:t xml:space="preserve"> through the ECE Funding Subsidy</w:t>
      </w:r>
      <w:r>
        <w:t xml:space="preserve">. </w:t>
      </w:r>
      <w:r w:rsidRPr="007A0E56">
        <w:t>New Zealand</w:t>
      </w:r>
      <w:r>
        <w:t xml:space="preserve"> also uses this supply</w:t>
      </w:r>
      <w:r>
        <w:noBreakHyphen/>
        <w:t xml:space="preserve">side funding to incentivise </w:t>
      </w:r>
      <w:r w:rsidRPr="00BF10FC">
        <w:t>services to operate</w:t>
      </w:r>
      <w:r>
        <w:t xml:space="preserve"> at a higher quality level – supply</w:t>
      </w:r>
      <w:r>
        <w:noBreakHyphen/>
        <w:t xml:space="preserve">side funding rates are </w:t>
      </w:r>
      <w:r w:rsidRPr="00400490">
        <w:t>based on an Operating Cost Survey,</w:t>
      </w:r>
      <w:r>
        <w:t xml:space="preserve"> and</w:t>
      </w:r>
      <w:r w:rsidRPr="00400490" w:rsidDel="000E1C5D">
        <w:t xml:space="preserve"> </w:t>
      </w:r>
      <w:r>
        <w:t>a</w:t>
      </w:r>
      <w:r w:rsidRPr="00400490">
        <w:t xml:space="preserve">dditional funding </w:t>
      </w:r>
      <w:r>
        <w:t xml:space="preserve">is provided to services that employ a certain proportion of certificated teachers, and to services that pay educators according to a salary scale </w:t>
      </w:r>
      <w:r w:rsidRPr="000576FE">
        <w:rPr>
          <w:rFonts w:ascii="Arial" w:hAnsi="Arial" w:cs="Arial"/>
          <w:szCs w:val="24"/>
        </w:rPr>
        <w:t>(New Zealand Ministry of Education (Te Tāhuhu o te Mātauranga) 2023c; Paull and Wilson 2020, p. 60)</w:t>
      </w:r>
      <w:r>
        <w:t>.</w:t>
      </w:r>
      <w:r>
        <w:rPr>
          <w:rStyle w:val="FootnoteReference"/>
        </w:rPr>
        <w:footnoteReference w:id="5"/>
      </w:r>
    </w:p>
    <w:p w14:paraId="0DAFBCEC" w14:textId="77777777" w:rsidR="00EC5BB1" w:rsidRPr="000B6D7B" w:rsidRDefault="00EC5BB1" w:rsidP="00882158">
      <w:pPr>
        <w:pStyle w:val="BodyText"/>
      </w:pPr>
      <w:r>
        <w:t>T</w:t>
      </w:r>
      <w:r w:rsidRPr="008A0002">
        <w:t xml:space="preserve">he </w:t>
      </w:r>
      <w:r w:rsidRPr="001C533B">
        <w:rPr>
          <w:b/>
          <w:bCs/>
          <w:i/>
          <w:iCs/>
        </w:rPr>
        <w:t>Netherlands</w:t>
      </w:r>
      <w:r>
        <w:t xml:space="preserve"> is the only one of these five countries to transition in the opposite direction, moving from a</w:t>
      </w:r>
      <w:r w:rsidRPr="008A0002">
        <w:t xml:space="preserve"> system</w:t>
      </w:r>
      <w:r>
        <w:t xml:space="preserve"> that provided funding through both the demand and supply sides,</w:t>
      </w:r>
      <w:r w:rsidRPr="008A0002">
        <w:t xml:space="preserve"> to</w:t>
      </w:r>
      <w:r>
        <w:t xml:space="preserve"> relying only on</w:t>
      </w:r>
      <w:r w:rsidRPr="008A0002">
        <w:t xml:space="preserve"> demand</w:t>
      </w:r>
      <w:r>
        <w:noBreakHyphen/>
      </w:r>
      <w:r w:rsidRPr="008A0002">
        <w:t xml:space="preserve">side </w:t>
      </w:r>
      <w:r>
        <w:t xml:space="preserve">funding since 2005 </w:t>
      </w:r>
      <w:r w:rsidRPr="00BA0533">
        <w:rPr>
          <w:rFonts w:ascii="Arial" w:hAnsi="Arial" w:cs="Arial"/>
          <w:szCs w:val="24"/>
        </w:rPr>
        <w:t>(Akgunduz and Plantenga 2014)</w:t>
      </w:r>
      <w:r>
        <w:t>.</w:t>
      </w:r>
    </w:p>
    <w:p w14:paraId="29EF55B8" w14:textId="77777777" w:rsidR="00EC5BB1" w:rsidRPr="00590098" w:rsidRDefault="00EC5BB1" w:rsidP="00882158">
      <w:pPr>
        <w:pStyle w:val="Heading4"/>
      </w:pPr>
      <w:r w:rsidRPr="00590098">
        <w:t xml:space="preserve">The mix of provider management types influences how </w:t>
      </w:r>
      <w:r w:rsidRPr="00590098" w:rsidDel="00042712">
        <w:t>government</w:t>
      </w:r>
      <w:r w:rsidRPr="00590098">
        <w:t>s manage affordability and access</w:t>
      </w:r>
    </w:p>
    <w:p w14:paraId="5DB83F38" w14:textId="77777777" w:rsidR="00EC5BB1" w:rsidRPr="00590098" w:rsidRDefault="00EC5BB1" w:rsidP="00882158">
      <w:r w:rsidRPr="00590098">
        <w:t>While most countries use a mix of public and private provision of ECEC, the proportion of services that are private for</w:t>
      </w:r>
      <w:r w:rsidRPr="00590098">
        <w:noBreakHyphen/>
        <w:t>profit, private not</w:t>
      </w:r>
      <w:r w:rsidRPr="00590098">
        <w:noBreakHyphen/>
        <w:t>for</w:t>
      </w:r>
      <w:r w:rsidRPr="00590098">
        <w:noBreakHyphen/>
        <w:t>profit and publicly provided affects the affordability and accessibility of services for families.</w:t>
      </w:r>
    </w:p>
    <w:p w14:paraId="005E3D36" w14:textId="77777777" w:rsidR="00EC5BB1" w:rsidRPr="00590098" w:rsidRDefault="00EC5BB1" w:rsidP="00882158">
      <w:r w:rsidRPr="00590098">
        <w:t xml:space="preserve">In countries where ECEC is established as a legal right of all children, such as in </w:t>
      </w:r>
      <w:r w:rsidRPr="00590098">
        <w:rPr>
          <w:b/>
          <w:bCs/>
          <w:i/>
          <w:iCs/>
        </w:rPr>
        <w:t>Sweden</w:t>
      </w:r>
      <w:r w:rsidRPr="00590098">
        <w:t>, there tend</w:t>
      </w:r>
      <w:r>
        <w:t>s</w:t>
      </w:r>
      <w:r w:rsidRPr="00590098">
        <w:t xml:space="preserve"> to be higher rates of public provision because governments (often local governments) are required to </w:t>
      </w:r>
      <w:r>
        <w:t>act as</w:t>
      </w:r>
      <w:r w:rsidRPr="00590098">
        <w:t xml:space="preserve"> a provider of last resort to ensure all children have access to a service</w:t>
      </w:r>
      <w:r>
        <w:t xml:space="preserve"> </w:t>
      </w:r>
      <w:r w:rsidRPr="00A72727">
        <w:rPr>
          <w:rFonts w:ascii="Arial" w:hAnsi="Arial" w:cs="Arial"/>
          <w:szCs w:val="24"/>
        </w:rPr>
        <w:t>(European Commission 2022c)</w:t>
      </w:r>
      <w:r w:rsidRPr="00590098">
        <w:t xml:space="preserve">. </w:t>
      </w:r>
      <w:r>
        <w:t>As noted above, the majority of</w:t>
      </w:r>
      <w:r w:rsidRPr="00590098">
        <w:t xml:space="preserve"> Swedish ECEC services </w:t>
      </w:r>
      <w:r>
        <w:t xml:space="preserve">are delivered publicly, with </w:t>
      </w:r>
      <w:r w:rsidRPr="00332F1E">
        <w:t xml:space="preserve">approximately 70% of services </w:t>
      </w:r>
      <w:r>
        <w:t>operated by</w:t>
      </w:r>
      <w:r w:rsidRPr="00332F1E">
        <w:t xml:space="preserve"> </w:t>
      </w:r>
      <w:r>
        <w:t>local governments</w:t>
      </w:r>
      <w:r w:rsidRPr="00332F1E">
        <w:t xml:space="preserve"> </w:t>
      </w:r>
      <w:r w:rsidRPr="00332F1E">
        <w:rPr>
          <w:rFonts w:ascii="Arial" w:hAnsi="Arial" w:cs="Arial"/>
          <w:szCs w:val="24"/>
        </w:rPr>
        <w:t>(Garvis 2018, p. 3)</w:t>
      </w:r>
      <w:r>
        <w:t>.</w:t>
      </w:r>
    </w:p>
    <w:p w14:paraId="3A5EE961" w14:textId="77777777" w:rsidR="00EC5BB1" w:rsidRDefault="00EC5BB1" w:rsidP="00882158">
      <w:r w:rsidRPr="00590098">
        <w:t xml:space="preserve">However, in other </w:t>
      </w:r>
      <w:r w:rsidRPr="00B26412">
        <w:t>countries, it is more common for the ECEC sector to be made up of private (for</w:t>
      </w:r>
      <w:r w:rsidRPr="00B26412">
        <w:noBreakHyphen/>
        <w:t>profit and not</w:t>
      </w:r>
      <w:r w:rsidRPr="00B26412">
        <w:noBreakHyphen/>
        <w:t>for</w:t>
      </w:r>
      <w:r w:rsidRPr="00B26412">
        <w:noBreakHyphen/>
        <w:t>profit) providers</w:t>
      </w:r>
      <w:r w:rsidRPr="00217CC0">
        <w:t xml:space="preserve">. While preschool services in </w:t>
      </w:r>
      <w:r w:rsidRPr="008C0A20">
        <w:rPr>
          <w:b/>
          <w:i/>
        </w:rPr>
        <w:t>British Columbia</w:t>
      </w:r>
      <w:r w:rsidRPr="00217CC0">
        <w:rPr>
          <w:b/>
          <w:bCs/>
          <w:i/>
          <w:iCs/>
        </w:rPr>
        <w:t xml:space="preserve"> </w:t>
      </w:r>
      <w:r w:rsidRPr="008C0A20">
        <w:t>and the</w:t>
      </w:r>
      <w:r w:rsidRPr="00217CC0">
        <w:rPr>
          <w:b/>
          <w:bCs/>
          <w:i/>
          <w:iCs/>
        </w:rPr>
        <w:t xml:space="preserve"> Netherlands</w:t>
      </w:r>
      <w:r w:rsidRPr="00217CC0">
        <w:t xml:space="preserve"> are largely delivered publicly </w:t>
      </w:r>
      <w:r>
        <w:t>within</w:t>
      </w:r>
      <w:r w:rsidRPr="00217CC0">
        <w:t xml:space="preserve"> schools, there is little public provision</w:t>
      </w:r>
      <w:r w:rsidRPr="008C0A20">
        <w:t xml:space="preserve"> </w:t>
      </w:r>
      <w:r>
        <w:t>for</w:t>
      </w:r>
      <w:r w:rsidRPr="008C0A20">
        <w:t xml:space="preserve"> other </w:t>
      </w:r>
      <w:r>
        <w:t>types</w:t>
      </w:r>
      <w:r w:rsidRPr="008C0A20">
        <w:t xml:space="preserve"> of ECEC</w:t>
      </w:r>
      <w:r>
        <w:t xml:space="preserve"> –</w:t>
      </w:r>
      <w:r w:rsidRPr="008C0A20">
        <w:t xml:space="preserve"> such as services </w:t>
      </w:r>
      <w:r>
        <w:t>for</w:t>
      </w:r>
      <w:r w:rsidRPr="008C0A20">
        <w:t xml:space="preserve"> younger children</w:t>
      </w:r>
      <w:r>
        <w:t xml:space="preserve"> – and private for</w:t>
      </w:r>
      <w:r>
        <w:noBreakHyphen/>
        <w:t xml:space="preserve">profit services make up the majority of the rest of the sector </w:t>
      </w:r>
      <w:r w:rsidRPr="00B41664">
        <w:rPr>
          <w:rFonts w:ascii="Arial" w:hAnsi="Arial" w:cs="Arial"/>
          <w:szCs w:val="24"/>
        </w:rPr>
        <w:t>(Beach et al. 2023, pp. 200, 205; European Commission 2023b; Friendly et al. 2021, p. 135)</w:t>
      </w:r>
      <w:r w:rsidRPr="00217CC0">
        <w:t xml:space="preserve">. </w:t>
      </w:r>
      <w:r>
        <w:t xml:space="preserve">In </w:t>
      </w:r>
      <w:r w:rsidRPr="00590098">
        <w:rPr>
          <w:b/>
          <w:bCs/>
          <w:i/>
          <w:iCs/>
        </w:rPr>
        <w:t xml:space="preserve">Ireland </w:t>
      </w:r>
      <w:r>
        <w:t>and</w:t>
      </w:r>
      <w:r w:rsidRPr="00590098">
        <w:rPr>
          <w:b/>
          <w:bCs/>
          <w:i/>
          <w:iCs/>
        </w:rPr>
        <w:t xml:space="preserve"> New Zealand</w:t>
      </w:r>
      <w:r>
        <w:rPr>
          <w:b/>
          <w:bCs/>
          <w:i/>
          <w:iCs/>
        </w:rPr>
        <w:t xml:space="preserve"> </w:t>
      </w:r>
      <w:r>
        <w:t xml:space="preserve">there </w:t>
      </w:r>
      <w:r w:rsidRPr="00590098">
        <w:t>is</w:t>
      </w:r>
      <w:r w:rsidRPr="00590098" w:rsidDel="00CB6F01">
        <w:t xml:space="preserve"> </w:t>
      </w:r>
      <w:r w:rsidRPr="00590098">
        <w:t xml:space="preserve">minimal public provision </w:t>
      </w:r>
      <w:r>
        <w:t>of any type of</w:t>
      </w:r>
      <w:r w:rsidRPr="00590098">
        <w:t xml:space="preserve"> ECEC</w:t>
      </w:r>
      <w:r w:rsidRPr="00904E33">
        <w:rPr>
          <w:i/>
        </w:rPr>
        <w:t>,</w:t>
      </w:r>
      <w:r w:rsidRPr="00590098">
        <w:t xml:space="preserve"> and for</w:t>
      </w:r>
      <w:r w:rsidRPr="00590098">
        <w:noBreakHyphen/>
        <w:t>profit providers make up a substantial proportion of the sector in both countries – representing 74</w:t>
      </w:r>
      <w:r w:rsidRPr="00590098" w:rsidDel="0037728F">
        <w:t xml:space="preserve">% </w:t>
      </w:r>
      <w:r w:rsidRPr="00590098">
        <w:t xml:space="preserve">and 41% of services respectively </w:t>
      </w:r>
      <w:r w:rsidRPr="00590098">
        <w:rPr>
          <w:rFonts w:ascii="Arial" w:hAnsi="Arial" w:cs="Arial"/>
          <w:szCs w:val="24"/>
        </w:rPr>
        <w:t>(Early Childhood Ireland 2022; Neuwelt-Kearns and Ritchie 2020, p. 6)</w:t>
      </w:r>
      <w:r w:rsidRPr="00590098">
        <w:t>.</w:t>
      </w:r>
    </w:p>
    <w:p w14:paraId="662C00E2" w14:textId="77777777" w:rsidR="00EC5BB1" w:rsidRDefault="00EC5BB1" w:rsidP="00882158">
      <w:r w:rsidRPr="00590098">
        <w:lastRenderedPageBreak/>
        <w:t>The</w:t>
      </w:r>
      <w:r>
        <w:t xml:space="preserve"> prevalence of different</w:t>
      </w:r>
      <w:r w:rsidRPr="00590098">
        <w:t xml:space="preserve"> provider management types in a country’s ECEC sector influences </w:t>
      </w:r>
      <w:r>
        <w:t>which</w:t>
      </w:r>
      <w:r w:rsidRPr="00590098">
        <w:t xml:space="preserve"> policy levers </w:t>
      </w:r>
      <w:r>
        <w:t xml:space="preserve">are available to </w:t>
      </w:r>
      <w:r w:rsidRPr="00590098">
        <w:t xml:space="preserve">government to steer the sector towards desired outcomes. </w:t>
      </w:r>
      <w:r>
        <w:t>The p</w:t>
      </w:r>
      <w:r w:rsidRPr="00590098">
        <w:t xml:space="preserve">ublic provision of services </w:t>
      </w:r>
      <w:r>
        <w:t>in</w:t>
      </w:r>
      <w:r w:rsidRPr="00590098">
        <w:t xml:space="preserve"> </w:t>
      </w:r>
      <w:r w:rsidRPr="00590098">
        <w:rPr>
          <w:b/>
          <w:bCs/>
          <w:i/>
          <w:iCs/>
        </w:rPr>
        <w:t>Swed</w:t>
      </w:r>
      <w:r>
        <w:rPr>
          <w:b/>
          <w:bCs/>
          <w:i/>
          <w:iCs/>
        </w:rPr>
        <w:t xml:space="preserve">en </w:t>
      </w:r>
      <w:r>
        <w:t>gives</w:t>
      </w:r>
      <w:r w:rsidRPr="00590098">
        <w:t xml:space="preserve"> </w:t>
      </w:r>
      <w:r>
        <w:t xml:space="preserve">local </w:t>
      </w:r>
      <w:r w:rsidRPr="00590098">
        <w:t>government</w:t>
      </w:r>
      <w:r>
        <w:t>s</w:t>
      </w:r>
      <w:r w:rsidRPr="00590098">
        <w:t xml:space="preserve"> direct control over</w:t>
      </w:r>
      <w:r>
        <w:t xml:space="preserve"> the</w:t>
      </w:r>
      <w:r w:rsidRPr="00590098">
        <w:t xml:space="preserve"> fees charged to families </w:t>
      </w:r>
      <w:r>
        <w:t xml:space="preserve">and the </w:t>
      </w:r>
      <w:r w:rsidRPr="00590098">
        <w:t>accessibility and quality</w:t>
      </w:r>
      <w:r>
        <w:t xml:space="preserve"> of services</w:t>
      </w:r>
      <w:r w:rsidRPr="00590098">
        <w:t>. Where for</w:t>
      </w:r>
      <w:r w:rsidRPr="00590098">
        <w:noBreakHyphen/>
        <w:t>profit providers are common, governments often closely manage</w:t>
      </w:r>
      <w:r w:rsidRPr="00590098" w:rsidDel="001E5114">
        <w:t xml:space="preserve"> </w:t>
      </w:r>
      <w:r w:rsidRPr="00590098">
        <w:t xml:space="preserve">funding mechanisms and quality standards to be confident that increases in public funds are not flowing directly into higher profits for businesses. For example, </w:t>
      </w:r>
      <w:r w:rsidRPr="00590098">
        <w:rPr>
          <w:b/>
          <w:bCs/>
          <w:i/>
          <w:iCs/>
        </w:rPr>
        <w:t>Ireland</w:t>
      </w:r>
      <w:r w:rsidRPr="00590098">
        <w:t xml:space="preserve"> has introduced a fee freeze as a condition for services </w:t>
      </w:r>
      <w:r>
        <w:t xml:space="preserve">receiving </w:t>
      </w:r>
      <w:r w:rsidRPr="00590098">
        <w:t>new operational funding, and</w:t>
      </w:r>
      <w:r>
        <w:t xml:space="preserve"> services participating in a new supply</w:t>
      </w:r>
      <w:r>
        <w:noBreakHyphen/>
        <w:t xml:space="preserve">side funding scheme </w:t>
      </w:r>
      <w:r w:rsidRPr="00590098">
        <w:t xml:space="preserve">in </w:t>
      </w:r>
      <w:r w:rsidRPr="00590098">
        <w:rPr>
          <w:b/>
          <w:bCs/>
          <w:i/>
          <w:iCs/>
        </w:rPr>
        <w:t>British Columbia</w:t>
      </w:r>
      <w:r w:rsidRPr="00590098">
        <w:t xml:space="preserve"> </w:t>
      </w:r>
      <w:r>
        <w:t>are not allowed to increase fees above a rate set by the government</w:t>
      </w:r>
      <w:r w:rsidRPr="00590098">
        <w:t xml:space="preserve"> </w:t>
      </w:r>
      <w:r w:rsidRPr="00A72727">
        <w:rPr>
          <w:rFonts w:ascii="Arial" w:hAnsi="Arial" w:cs="Arial"/>
          <w:szCs w:val="24"/>
        </w:rPr>
        <w:t>(Beach et al. 2023, p. 213; Government of Ireland 2023b)</w:t>
      </w:r>
      <w:r>
        <w:t>.</w:t>
      </w:r>
    </w:p>
    <w:p w14:paraId="412AD3BD" w14:textId="77777777" w:rsidR="00EC5BB1" w:rsidRDefault="00EC5BB1" w:rsidP="00882158">
      <w:r w:rsidRPr="005662B8">
        <w:t>As noted above,</w:t>
      </w:r>
      <w:r>
        <w:rPr>
          <w:b/>
          <w:bCs/>
          <w:i/>
          <w:iCs/>
        </w:rPr>
        <w:t xml:space="preserve"> </w:t>
      </w:r>
      <w:r w:rsidRPr="005662B8">
        <w:rPr>
          <w:b/>
          <w:bCs/>
          <w:i/>
          <w:iCs/>
        </w:rPr>
        <w:t>British Columbia</w:t>
      </w:r>
      <w:r>
        <w:t xml:space="preserve"> is also using its new funding mechanisms to influence the mix of provider management types that are most prevalent in the sector, in</w:t>
      </w:r>
      <w:r w:rsidRPr="005F50DC">
        <w:t xml:space="preserve"> accordance with </w:t>
      </w:r>
      <w:r>
        <w:t>the specification of the</w:t>
      </w:r>
      <w:r w:rsidRPr="005F50DC">
        <w:t xml:space="preserve"> Canada</w:t>
      </w:r>
      <w:r>
        <w:noBreakHyphen/>
      </w:r>
      <w:r w:rsidRPr="005F50DC">
        <w:t>wide plan</w:t>
      </w:r>
      <w:r>
        <w:t xml:space="preserve"> </w:t>
      </w:r>
      <w:r w:rsidRPr="005F50DC">
        <w:t>that service growth should primarily be in the not</w:t>
      </w:r>
      <w:r>
        <w:noBreakHyphen/>
      </w:r>
      <w:r w:rsidRPr="005F50DC">
        <w:t>for</w:t>
      </w:r>
      <w:r>
        <w:noBreakHyphen/>
      </w:r>
      <w:r w:rsidRPr="005F50DC">
        <w:t>profit and public sectors</w:t>
      </w:r>
      <w:r>
        <w:t>.</w:t>
      </w:r>
      <w:r w:rsidRPr="005F50DC">
        <w:t xml:space="preserve"> </w:t>
      </w:r>
      <w:r>
        <w:t>All Canadian provinces, including British Columbia, are seeking to expand their respective ECEC sectors either exclusively or predominantly through not</w:t>
      </w:r>
      <w:r>
        <w:noBreakHyphen/>
        <w:t>for</w:t>
      </w:r>
      <w:r>
        <w:noBreakHyphen/>
        <w:t xml:space="preserve">profit and public provision </w:t>
      </w:r>
      <w:r w:rsidRPr="003D217F">
        <w:rPr>
          <w:rFonts w:ascii="Arial" w:hAnsi="Arial" w:cs="Arial"/>
          <w:szCs w:val="24"/>
        </w:rPr>
        <w:t>(Beach et al. 2023, p. xxiii)</w:t>
      </w:r>
      <w:r>
        <w:t>.</w:t>
      </w:r>
    </w:p>
    <w:p w14:paraId="2309DA3F" w14:textId="77777777" w:rsidR="00EC5BB1" w:rsidRDefault="00EC5BB1" w:rsidP="00882158">
      <w:pPr>
        <w:pStyle w:val="Heading3"/>
      </w:pPr>
      <w:r>
        <w:t>Supporting children with additional needs and those experiencing disadvantage</w:t>
      </w:r>
    </w:p>
    <w:p w14:paraId="4C065B88" w14:textId="77777777" w:rsidR="00EC5BB1" w:rsidRDefault="00EC5BB1" w:rsidP="00882158">
      <w:pPr>
        <w:pStyle w:val="BodyText"/>
      </w:pPr>
      <w:r>
        <w:t>Most countries have additional programs that aim to help children and families experiencing disadvantage or who face barriers to accessing ECEC.</w:t>
      </w:r>
    </w:p>
    <w:p w14:paraId="2AF25689" w14:textId="77777777" w:rsidR="00EC5BB1" w:rsidRPr="009533CF" w:rsidRDefault="00EC5BB1" w:rsidP="00882158">
      <w:pPr>
        <w:pStyle w:val="BodyText"/>
        <w:rPr>
          <w:spacing w:val="-2"/>
        </w:rPr>
      </w:pPr>
      <w:r w:rsidRPr="009533CF">
        <w:rPr>
          <w:b/>
          <w:bCs/>
          <w:i/>
          <w:iCs/>
          <w:spacing w:val="-2"/>
        </w:rPr>
        <w:t>British Columbia</w:t>
      </w:r>
      <w:r w:rsidRPr="009533CF">
        <w:rPr>
          <w:spacing w:val="-2"/>
        </w:rPr>
        <w:t xml:space="preserve">, </w:t>
      </w:r>
      <w:r w:rsidRPr="009533CF">
        <w:rPr>
          <w:b/>
          <w:bCs/>
          <w:i/>
          <w:iCs/>
          <w:spacing w:val="-2"/>
        </w:rPr>
        <w:t>Ireland</w:t>
      </w:r>
      <w:r w:rsidRPr="009533CF">
        <w:rPr>
          <w:spacing w:val="-2"/>
        </w:rPr>
        <w:t xml:space="preserve"> and </w:t>
      </w:r>
      <w:r w:rsidRPr="009533CF">
        <w:rPr>
          <w:b/>
          <w:bCs/>
          <w:i/>
          <w:iCs/>
          <w:spacing w:val="-2"/>
        </w:rPr>
        <w:t>New Zealand</w:t>
      </w:r>
      <w:r w:rsidRPr="009533CF">
        <w:rPr>
          <w:spacing w:val="-2"/>
        </w:rPr>
        <w:t xml:space="preserve"> have programs to support children with disabilities or developmental delay, and typically provide additional support to services to fund extra staff, train existing staff or buy equipment. These programs can support individual children (such as Ireland’s Access and Inclusion Model) or be provided to services with a high proportion of children experiencing disadvantage more generally (such as New Zealand’s Targeted Funding for Disadvantage) </w:t>
      </w:r>
      <w:r w:rsidRPr="009533CF">
        <w:rPr>
          <w:rFonts w:cs="Arial"/>
          <w:spacing w:val="-2"/>
          <w:szCs w:val="24"/>
        </w:rPr>
        <w:t>(Beach et al. 2023, p. 203; Government of Ireland 2023a; New Zealand Ministry of Education (Te Tāhuhu o te Mātauranga) 2023b)</w:t>
      </w:r>
      <w:r w:rsidRPr="009533CF">
        <w:rPr>
          <w:spacing w:val="-2"/>
        </w:rPr>
        <w:t xml:space="preserve">. The </w:t>
      </w:r>
      <w:r w:rsidRPr="009533CF">
        <w:rPr>
          <w:b/>
          <w:bCs/>
          <w:i/>
          <w:iCs/>
          <w:spacing w:val="-2"/>
        </w:rPr>
        <w:t>Netherlands</w:t>
      </w:r>
      <w:r w:rsidRPr="009533CF">
        <w:rPr>
          <w:spacing w:val="-2"/>
        </w:rPr>
        <w:t xml:space="preserve"> also offers a supplementary play</w:t>
      </w:r>
      <w:r w:rsidRPr="009533CF">
        <w:rPr>
          <w:spacing w:val="-2"/>
        </w:rPr>
        <w:noBreakHyphen/>
        <w:t>based early education program for children at risk of developmental delay, hosted within mainstream centre</w:t>
      </w:r>
      <w:r w:rsidRPr="009533CF">
        <w:rPr>
          <w:spacing w:val="-2"/>
        </w:rPr>
        <w:noBreakHyphen/>
        <w:t xml:space="preserve">based services and primary schools </w:t>
      </w:r>
      <w:r w:rsidRPr="009533CF">
        <w:rPr>
          <w:rFonts w:cs="Arial"/>
          <w:spacing w:val="-2"/>
          <w:szCs w:val="24"/>
        </w:rPr>
        <w:t>(European Commission 2023a)</w:t>
      </w:r>
      <w:r w:rsidRPr="009533CF">
        <w:rPr>
          <w:spacing w:val="-2"/>
        </w:rPr>
        <w:t>.</w:t>
      </w:r>
    </w:p>
    <w:p w14:paraId="2DEE8F5A" w14:textId="77777777" w:rsidR="00EC5BB1" w:rsidRDefault="00EC5BB1" w:rsidP="00882158">
      <w:pPr>
        <w:pStyle w:val="BodyText"/>
      </w:pPr>
      <w:r>
        <w:t>Services in isolated or low socio</w:t>
      </w:r>
      <w:r>
        <w:noBreakHyphen/>
        <w:t xml:space="preserve">economic areas in </w:t>
      </w:r>
      <w:r w:rsidRPr="00A40890">
        <w:rPr>
          <w:b/>
          <w:bCs/>
          <w:i/>
          <w:iCs/>
        </w:rPr>
        <w:t>New Zealand</w:t>
      </w:r>
      <w:r>
        <w:t xml:space="preserve"> are provided with additional funding through initiatives such as Equity Funding or the </w:t>
      </w:r>
      <w:r w:rsidRPr="00A40890">
        <w:t>Annual Top</w:t>
      </w:r>
      <w:r>
        <w:noBreakHyphen/>
      </w:r>
      <w:r w:rsidRPr="00A40890">
        <w:t>Up for Isolated Services</w:t>
      </w:r>
      <w:r>
        <w:t xml:space="preserve"> </w:t>
      </w:r>
      <w:r w:rsidRPr="000576FE">
        <w:rPr>
          <w:rFonts w:ascii="Arial" w:hAnsi="Arial" w:cs="Arial"/>
          <w:szCs w:val="24"/>
        </w:rPr>
        <w:t>(New Zealand Ministry of Education (Te Tāhuhu o te Mātauranga) 2023b, 2023a)</w:t>
      </w:r>
      <w:r>
        <w:t xml:space="preserve">. As mentioned above, in </w:t>
      </w:r>
      <w:r>
        <w:rPr>
          <w:b/>
          <w:bCs/>
          <w:i/>
          <w:iCs/>
        </w:rPr>
        <w:t>Canada</w:t>
      </w:r>
      <w:r>
        <w:t xml:space="preserve">, providers can also access additional funding to renovate or build new services in </w:t>
      </w:r>
      <w:r w:rsidRPr="00C67B34">
        <w:t>communities</w:t>
      </w:r>
      <w:r>
        <w:t xml:space="preserve"> that face barriers to access</w:t>
      </w:r>
      <w:r w:rsidRPr="00C67B34">
        <w:t>, including in rural</w:t>
      </w:r>
      <w:r>
        <w:t xml:space="preserve">, </w:t>
      </w:r>
      <w:r w:rsidRPr="00C67B34">
        <w:t xml:space="preserve">remote, </w:t>
      </w:r>
      <w:r>
        <w:t xml:space="preserve">and </w:t>
      </w:r>
      <w:r w:rsidRPr="00C67B34">
        <w:t>low</w:t>
      </w:r>
      <w:r>
        <w:noBreakHyphen/>
      </w:r>
      <w:r w:rsidRPr="00C67B34">
        <w:t xml:space="preserve">income </w:t>
      </w:r>
      <w:r>
        <w:t xml:space="preserve">areas </w:t>
      </w:r>
      <w:r w:rsidRPr="001520AE">
        <w:rPr>
          <w:rFonts w:ascii="Arial" w:hAnsi="Arial" w:cs="Arial"/>
          <w:szCs w:val="24"/>
        </w:rPr>
        <w:t>(Government of Canada 2023)</w:t>
      </w:r>
      <w:r>
        <w:t>.</w:t>
      </w:r>
    </w:p>
    <w:p w14:paraId="33FE3169" w14:textId="77777777" w:rsidR="00EC5BB1" w:rsidRDefault="00EC5BB1" w:rsidP="00882158">
      <w:pPr>
        <w:pStyle w:val="BodyText"/>
      </w:pPr>
      <w:r>
        <w:t>For culturally and linguistically diverse families, many countries offer language</w:t>
      </w:r>
      <w:r>
        <w:noBreakHyphen/>
        <w:t xml:space="preserve">specific services, such as </w:t>
      </w:r>
      <w:r w:rsidRPr="00402B3C">
        <w:t xml:space="preserve">Naíonraí </w:t>
      </w:r>
      <w:r>
        <w:t>(part</w:t>
      </w:r>
      <w:r>
        <w:noBreakHyphen/>
        <w:t xml:space="preserve">time) and </w:t>
      </w:r>
      <w:r w:rsidRPr="00F362EC">
        <w:t xml:space="preserve">Naíolann </w:t>
      </w:r>
      <w:r>
        <w:t>(full</w:t>
      </w:r>
      <w:r>
        <w:noBreakHyphen/>
        <w:t xml:space="preserve">time) Irish language services in </w:t>
      </w:r>
      <w:r>
        <w:rPr>
          <w:b/>
          <w:bCs/>
          <w:i/>
          <w:iCs/>
        </w:rPr>
        <w:t>Ireland</w:t>
      </w:r>
      <w:r>
        <w:rPr>
          <w:b/>
          <w:bCs/>
        </w:rPr>
        <w:t xml:space="preserve">, </w:t>
      </w:r>
      <w:r>
        <w:t xml:space="preserve">bilingual services in the </w:t>
      </w:r>
      <w:r w:rsidRPr="009C57DC">
        <w:rPr>
          <w:b/>
          <w:bCs/>
          <w:i/>
          <w:iCs/>
        </w:rPr>
        <w:t>Netherlands</w:t>
      </w:r>
      <w:r>
        <w:rPr>
          <w:b/>
          <w:bCs/>
          <w:i/>
          <w:iCs/>
        </w:rPr>
        <w:t xml:space="preserve"> </w:t>
      </w:r>
      <w:r>
        <w:t>and</w:t>
      </w:r>
      <w:r>
        <w:rPr>
          <w:b/>
          <w:bCs/>
          <w:i/>
          <w:iCs/>
        </w:rPr>
        <w:t xml:space="preserve"> </w:t>
      </w:r>
      <w:r w:rsidRPr="00725A40">
        <w:t>Māori</w:t>
      </w:r>
      <w:r>
        <w:t xml:space="preserve"> </w:t>
      </w:r>
      <w:r w:rsidRPr="00E81D0C">
        <w:t>Kōhanga Reo</w:t>
      </w:r>
      <w:r w:rsidRPr="00725A40">
        <w:t xml:space="preserve"> in</w:t>
      </w:r>
      <w:r>
        <w:rPr>
          <w:b/>
          <w:bCs/>
          <w:i/>
          <w:iCs/>
        </w:rPr>
        <w:t xml:space="preserve"> New Zealand </w:t>
      </w:r>
      <w:r w:rsidRPr="00A72727">
        <w:rPr>
          <w:rFonts w:ascii="Arial" w:hAnsi="Arial" w:cs="Arial"/>
          <w:szCs w:val="24"/>
        </w:rPr>
        <w:t>(Donegal Childcare 2022; European Commission 2022a)</w:t>
      </w:r>
      <w:r>
        <w:rPr>
          <w:b/>
          <w:bCs/>
          <w:i/>
          <w:iCs/>
        </w:rPr>
        <w:t xml:space="preserve">. </w:t>
      </w:r>
      <w:r w:rsidRPr="002F4E26">
        <w:rPr>
          <w:b/>
          <w:bCs/>
          <w:i/>
          <w:iCs/>
        </w:rPr>
        <w:t>Canada’s</w:t>
      </w:r>
      <w:r>
        <w:t xml:space="preserve"> </w:t>
      </w:r>
      <w:r w:rsidRPr="002F4E26">
        <w:t>Aboriginal Head Start program</w:t>
      </w:r>
      <w:r>
        <w:t xml:space="preserve"> also provides free culturally</w:t>
      </w:r>
      <w:r>
        <w:noBreakHyphen/>
        <w:t>based ECEC services while connecting families to other wrap</w:t>
      </w:r>
      <w:r>
        <w:noBreakHyphen/>
        <w:t xml:space="preserve">around services </w:t>
      </w:r>
      <w:r w:rsidRPr="00614F6A">
        <w:rPr>
          <w:rFonts w:ascii="Arial" w:hAnsi="Arial" w:cs="Arial"/>
          <w:szCs w:val="24"/>
        </w:rPr>
        <w:t>(Beach et al. 2023, p. 217)</w:t>
      </w:r>
      <w:r>
        <w:t>.</w:t>
      </w:r>
    </w:p>
    <w:p w14:paraId="39BA4816" w14:textId="77777777" w:rsidR="00EC5BB1" w:rsidRDefault="00EC5BB1" w:rsidP="00882158">
      <w:pPr>
        <w:pStyle w:val="BodyText"/>
      </w:pPr>
      <w:r w:rsidRPr="008E0C3A">
        <w:t xml:space="preserve">As services in </w:t>
      </w:r>
      <w:r w:rsidRPr="008E0C3A">
        <w:rPr>
          <w:b/>
          <w:bCs/>
          <w:i/>
          <w:iCs/>
        </w:rPr>
        <w:t>Sweden</w:t>
      </w:r>
      <w:r w:rsidRPr="008E0C3A">
        <w:t xml:space="preserve"> are largely publicly provided, funding to support children with additional needs is delivered as part of </w:t>
      </w:r>
      <w:r>
        <w:t xml:space="preserve">each service’s </w:t>
      </w:r>
      <w:r w:rsidRPr="008E0C3A">
        <w:t>general operational funding, rather than through particular programs.</w:t>
      </w:r>
    </w:p>
    <w:p w14:paraId="3A6C3DA6" w14:textId="77777777" w:rsidR="00EC5BB1" w:rsidRDefault="00EC5BB1" w:rsidP="00882158">
      <w:pPr>
        <w:pStyle w:val="Heading3"/>
      </w:pPr>
      <w:r w:rsidRPr="00BF10FC">
        <w:t>Quality assessment</w:t>
      </w:r>
    </w:p>
    <w:p w14:paraId="6585D1FC" w14:textId="77777777" w:rsidR="00EC5BB1" w:rsidRDefault="00EC5BB1" w:rsidP="00882158">
      <w:pPr>
        <w:pStyle w:val="BodyText"/>
      </w:pPr>
      <w:r>
        <w:t xml:space="preserve">Many countries require services to be regularly inspected so that their quality can be monitored and assessed. </w:t>
      </w:r>
      <w:r w:rsidRPr="004579D7">
        <w:t xml:space="preserve">The </w:t>
      </w:r>
      <w:r w:rsidRPr="004579D7">
        <w:rPr>
          <w:b/>
          <w:bCs/>
          <w:i/>
          <w:iCs/>
        </w:rPr>
        <w:t>Netherlands</w:t>
      </w:r>
      <w:r w:rsidRPr="004579D7">
        <w:t xml:space="preserve"> conducts inspections annually, and in </w:t>
      </w:r>
      <w:r w:rsidRPr="004579D7">
        <w:rPr>
          <w:b/>
          <w:bCs/>
          <w:i/>
          <w:iCs/>
        </w:rPr>
        <w:t>Ireland</w:t>
      </w:r>
      <w:r w:rsidRPr="004579D7">
        <w:t xml:space="preserve"> they</w:t>
      </w:r>
      <w:r>
        <w:t xml:space="preserve"> are</w:t>
      </w:r>
      <w:r w:rsidRPr="004579D7">
        <w:t xml:space="preserve"> </w:t>
      </w:r>
      <w:r>
        <w:t xml:space="preserve">required every three years and </w:t>
      </w:r>
      <w:r w:rsidRPr="004579D7">
        <w:t xml:space="preserve">are almost always conducted without forewarning </w:t>
      </w:r>
      <w:r w:rsidRPr="002366E0">
        <w:rPr>
          <w:rFonts w:ascii="Arial" w:hAnsi="Arial" w:cs="Arial"/>
          <w:szCs w:val="24"/>
        </w:rPr>
        <w:t xml:space="preserve">(Government of the Netherlands 2023a; </w:t>
      </w:r>
      <w:r w:rsidRPr="002366E0">
        <w:rPr>
          <w:rFonts w:ascii="Arial" w:hAnsi="Arial" w:cs="Arial"/>
          <w:szCs w:val="24"/>
        </w:rPr>
        <w:lastRenderedPageBreak/>
        <w:t>Tusla 2023b)</w:t>
      </w:r>
      <w:r w:rsidRPr="004579D7">
        <w:t xml:space="preserve">. </w:t>
      </w:r>
      <w:r>
        <w:t xml:space="preserve">In the </w:t>
      </w:r>
      <w:r w:rsidRPr="00F820CC">
        <w:rPr>
          <w:b/>
          <w:i/>
        </w:rPr>
        <w:t>Netherlands</w:t>
      </w:r>
      <w:r>
        <w:t xml:space="preserve">, quality assessments also involve consultation with parents, and in </w:t>
      </w:r>
      <w:r w:rsidRPr="00F820CC">
        <w:rPr>
          <w:b/>
          <w:i/>
        </w:rPr>
        <w:t>Sweden</w:t>
      </w:r>
      <w:r>
        <w:t xml:space="preserve"> inspectors must meaningfully consult with both parents and the children attending the services </w:t>
      </w:r>
      <w:r w:rsidRPr="006F5CB4">
        <w:rPr>
          <w:rFonts w:ascii="Arial" w:hAnsi="Arial" w:cs="Arial"/>
          <w:szCs w:val="24"/>
        </w:rPr>
        <w:t>(European Commission 2019, pp. 130–132)</w:t>
      </w:r>
      <w:r>
        <w:t>.</w:t>
      </w:r>
    </w:p>
    <w:p w14:paraId="59D591BA" w14:textId="77777777" w:rsidR="00EC5BB1" w:rsidRDefault="00EC5BB1" w:rsidP="00882158">
      <w:pPr>
        <w:pStyle w:val="BodyText"/>
      </w:pPr>
      <w:r w:rsidRPr="004579D7">
        <w:t>Inspection reports are</w:t>
      </w:r>
      <w:r w:rsidRPr="004579D7" w:rsidDel="00D91FFC">
        <w:t xml:space="preserve"> </w:t>
      </w:r>
      <w:r w:rsidRPr="004579D7">
        <w:t xml:space="preserve">available online for parents to access in the </w:t>
      </w:r>
      <w:r w:rsidRPr="004579D7">
        <w:rPr>
          <w:b/>
          <w:bCs/>
          <w:i/>
          <w:iCs/>
        </w:rPr>
        <w:t>Netherlands</w:t>
      </w:r>
      <w:r w:rsidRPr="004579D7">
        <w:t xml:space="preserve">, </w:t>
      </w:r>
      <w:r w:rsidRPr="004579D7">
        <w:rPr>
          <w:b/>
          <w:bCs/>
          <w:i/>
          <w:iCs/>
        </w:rPr>
        <w:t>New Zealand</w:t>
      </w:r>
      <w:r w:rsidRPr="004579D7">
        <w:t xml:space="preserve"> and </w:t>
      </w:r>
      <w:r w:rsidRPr="004579D7">
        <w:rPr>
          <w:b/>
          <w:bCs/>
          <w:i/>
          <w:iCs/>
        </w:rPr>
        <w:t>Ireland</w:t>
      </w:r>
      <w:r w:rsidRPr="004579D7">
        <w:t xml:space="preserve">, and the Irish government also provides a guide for parents on how to read the reports </w:t>
      </w:r>
      <w:r w:rsidRPr="002366E0">
        <w:rPr>
          <w:rFonts w:ascii="Arial" w:hAnsi="Arial" w:cs="Arial"/>
          <w:szCs w:val="24"/>
        </w:rPr>
        <w:t>(Government of the Netherlands 2023a; Irish Government Department of Education 2022; New Zealand Ministry of Education (Te Tāhuhu o te Mātauranga) 2022b)</w:t>
      </w:r>
      <w:r w:rsidRPr="004579D7">
        <w:t>.</w:t>
      </w:r>
      <w:r>
        <w:t xml:space="preserve"> Some countries also use assessment results to monitor and evaluate their ECEC systems overall. For example, in the </w:t>
      </w:r>
      <w:r w:rsidRPr="00F820CC">
        <w:rPr>
          <w:b/>
          <w:i/>
        </w:rPr>
        <w:t>Netherlands</w:t>
      </w:r>
      <w:r>
        <w:rPr>
          <w:b/>
          <w:bCs/>
        </w:rPr>
        <w:t>,</w:t>
      </w:r>
      <w:r>
        <w:t xml:space="preserve"> the local government bodies that are responsible for conducting assessments are required to report on their overall findings to provide a wider view of the strengths and weaknesses of the system as a whole </w:t>
      </w:r>
      <w:r w:rsidRPr="00FE44CF">
        <w:rPr>
          <w:rFonts w:ascii="Arial" w:hAnsi="Arial" w:cs="Arial"/>
          <w:szCs w:val="24"/>
        </w:rPr>
        <w:t>(European Commission 2019, p. 133)</w:t>
      </w:r>
      <w:r>
        <w:t>.</w:t>
      </w:r>
    </w:p>
    <w:p w14:paraId="71447CF6" w14:textId="77777777" w:rsidR="00EC5BB1" w:rsidRDefault="00EC5BB1" w:rsidP="00882158">
      <w:pPr>
        <w:pStyle w:val="Heading3"/>
      </w:pPr>
      <w:r>
        <w:t>Workforce</w:t>
      </w:r>
    </w:p>
    <w:p w14:paraId="6B7AD4E3" w14:textId="77777777" w:rsidR="00EC5BB1" w:rsidRDefault="00EC5BB1" w:rsidP="00882158">
      <w:pPr>
        <w:pStyle w:val="Heading4"/>
        <w:spacing w:before="120"/>
      </w:pPr>
      <w:r>
        <w:t>Ratios</w:t>
      </w:r>
    </w:p>
    <w:p w14:paraId="6245FB7A" w14:textId="77777777" w:rsidR="00EC5BB1" w:rsidRPr="00F4545A" w:rsidRDefault="00EC5BB1" w:rsidP="00882158">
      <w:pPr>
        <w:pStyle w:val="BodyText"/>
      </w:pPr>
      <w:r>
        <w:t>Educator</w:t>
      </w:r>
      <w:r>
        <w:noBreakHyphen/>
        <w:t>to</w:t>
      </w:r>
      <w:r>
        <w:noBreakHyphen/>
        <w:t xml:space="preserve">child ratios are fairly consistent between the countries examined, with ratios stricter at younger ages before loosening at about ages three to four (table B.4). </w:t>
      </w:r>
      <w:r w:rsidRPr="00374D72">
        <w:t xml:space="preserve">While there are no regulations on the number of children per </w:t>
      </w:r>
      <w:r>
        <w:t>educator</w:t>
      </w:r>
      <w:r w:rsidRPr="00374D72">
        <w:t xml:space="preserve"> in </w:t>
      </w:r>
      <w:r w:rsidRPr="002A0360">
        <w:rPr>
          <w:b/>
          <w:i/>
        </w:rPr>
        <w:t>Sweden</w:t>
      </w:r>
      <w:r w:rsidRPr="00374D72">
        <w:t xml:space="preserve">, the average ratio </w:t>
      </w:r>
      <w:r>
        <w:t xml:space="preserve">in </w:t>
      </w:r>
      <w:r w:rsidRPr="00374D72">
        <w:t>preschool</w:t>
      </w:r>
      <w:r>
        <w:t>s</w:t>
      </w:r>
      <w:r w:rsidRPr="00374D72">
        <w:t xml:space="preserve"> (</w:t>
      </w:r>
      <w:r>
        <w:t>children age</w:t>
      </w:r>
      <w:r w:rsidRPr="00374D72">
        <w:t xml:space="preserve"> </w:t>
      </w:r>
      <w:r>
        <w:t>one to five)</w:t>
      </w:r>
      <w:r w:rsidRPr="00374D72">
        <w:t xml:space="preserve"> is relatively low </w:t>
      </w:r>
      <w:r>
        <w:t>–</w:t>
      </w:r>
      <w:r w:rsidRPr="00374D72">
        <w:t xml:space="preserve"> at about five children per staff member</w:t>
      </w:r>
      <w:r>
        <w:t xml:space="preserve"> – and is roughly consistent with formal ratios in other countries </w:t>
      </w:r>
      <w:r w:rsidRPr="00A72727">
        <w:rPr>
          <w:rFonts w:ascii="Arial" w:hAnsi="Arial" w:cs="Arial"/>
          <w:szCs w:val="24"/>
        </w:rPr>
        <w:t>(European Commission 2022e)</w:t>
      </w:r>
      <w:r w:rsidRPr="00374D72">
        <w:t>.</w:t>
      </w:r>
    </w:p>
    <w:p w14:paraId="31CD70A1" w14:textId="77777777" w:rsidR="00EC5BB1" w:rsidRDefault="00EC5BB1" w:rsidP="00882158">
      <w:pPr>
        <w:pStyle w:val="FigureTableHeading"/>
        <w:keepLines/>
      </w:pPr>
      <w:r>
        <w:t xml:space="preserve">Table </w:t>
      </w:r>
      <w:r>
        <w:rPr>
          <w:noProof/>
        </w:rPr>
        <w:t>B</w:t>
      </w:r>
      <w:r>
        <w:t>.</w:t>
      </w:r>
      <w:r>
        <w:rPr>
          <w:noProof/>
        </w:rPr>
        <w:t xml:space="preserve">4 – </w:t>
      </w:r>
      <w:r w:rsidRPr="00360EBD">
        <w:t>Educator to child ratios are fairly consistent across the five countries</w:t>
      </w:r>
    </w:p>
    <w:p w14:paraId="3166AD40" w14:textId="77777777" w:rsidR="00EC5BB1" w:rsidRDefault="00EC5BB1" w:rsidP="00882158">
      <w:pPr>
        <w:pStyle w:val="FigureTableSubheading"/>
        <w:keepLines/>
      </w:pPr>
      <w:r w:rsidRPr="00360EBD">
        <w:t>Educator to child ratios in centre</w:t>
      </w:r>
      <w:r>
        <w:noBreakHyphen/>
      </w:r>
      <w:r w:rsidRPr="00360EBD">
        <w:t>based settings</w:t>
      </w:r>
    </w:p>
    <w:tbl>
      <w:tblPr>
        <w:tblW w:w="972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440"/>
        <w:gridCol w:w="1800"/>
        <w:gridCol w:w="1620"/>
        <w:gridCol w:w="1620"/>
        <w:gridCol w:w="1620"/>
        <w:gridCol w:w="1620"/>
      </w:tblGrid>
      <w:tr w:rsidR="00EC5BB1" w:rsidRPr="00D126B3" w14:paraId="269BBA81" w14:textId="77777777" w:rsidTr="00882158">
        <w:trPr>
          <w:cantSplit/>
          <w:tblHeader/>
        </w:trPr>
        <w:tc>
          <w:tcPr>
            <w:tcW w:w="1440" w:type="dxa"/>
            <w:tcBorders>
              <w:bottom w:val="single" w:sz="4" w:space="0" w:color="B3B3B3"/>
            </w:tcBorders>
            <w:shd w:val="clear" w:color="000000" w:fill="auto"/>
          </w:tcPr>
          <w:p w14:paraId="4B114525" w14:textId="77777777" w:rsidR="00EC5BB1" w:rsidRPr="000C25CD" w:rsidRDefault="00EC5BB1" w:rsidP="00882158">
            <w:pPr>
              <w:keepNext/>
              <w:keepLines/>
              <w:spacing w:before="45" w:after="45"/>
              <w:ind w:left="57" w:right="108"/>
              <w:rPr>
                <w:rFonts w:ascii="Arial (Body)" w:hAnsi="Arial (Body)"/>
                <w:b/>
                <w:bCs/>
                <w:color w:val="265A9A"/>
                <w:sz w:val="18"/>
                <w:szCs w:val="18"/>
              </w:rPr>
            </w:pPr>
          </w:p>
        </w:tc>
        <w:tc>
          <w:tcPr>
            <w:tcW w:w="1800" w:type="dxa"/>
            <w:tcBorders>
              <w:bottom w:val="single" w:sz="4" w:space="0" w:color="B3B3B3"/>
            </w:tcBorders>
            <w:shd w:val="clear" w:color="000000" w:fill="auto"/>
          </w:tcPr>
          <w:p w14:paraId="70966E8F" w14:textId="77777777" w:rsidR="00EC5BB1" w:rsidRPr="000C25CD" w:rsidRDefault="00EC5BB1" w:rsidP="009533CF">
            <w:pPr>
              <w:pStyle w:val="TableHeading"/>
              <w:keepNext/>
              <w:keepLines/>
              <w:spacing w:before="45" w:after="45"/>
              <w:ind w:right="108"/>
              <w:jc w:val="right"/>
              <w:rPr>
                <w:rFonts w:ascii="Arial (Body)" w:hAnsi="Arial (Body)"/>
                <w:bCs/>
                <w:color w:val="265A9A"/>
              </w:rPr>
            </w:pPr>
            <w:r w:rsidRPr="006B77BC">
              <w:rPr>
                <w:bCs/>
              </w:rPr>
              <w:t>British Columbia</w:t>
            </w:r>
          </w:p>
        </w:tc>
        <w:tc>
          <w:tcPr>
            <w:tcW w:w="1620" w:type="dxa"/>
            <w:tcBorders>
              <w:bottom w:val="single" w:sz="4" w:space="0" w:color="B3B3B3"/>
            </w:tcBorders>
            <w:shd w:val="clear" w:color="000000" w:fill="auto"/>
          </w:tcPr>
          <w:p w14:paraId="561C6726" w14:textId="77777777" w:rsidR="00EC5BB1" w:rsidRPr="000D5404" w:rsidRDefault="00EC5BB1" w:rsidP="009533CF">
            <w:pPr>
              <w:pStyle w:val="TableHeading"/>
              <w:keepNext/>
              <w:keepLines/>
              <w:spacing w:before="45" w:after="45"/>
              <w:ind w:right="108"/>
              <w:jc w:val="right"/>
              <w:rPr>
                <w:rFonts w:ascii="Arial (Body)" w:hAnsi="Arial (Body)"/>
                <w:color w:val="265A9A"/>
                <w:vertAlign w:val="superscript"/>
              </w:rPr>
            </w:pPr>
            <w:r w:rsidRPr="006B77BC">
              <w:rPr>
                <w:bCs/>
              </w:rPr>
              <w:t>Ireland</w:t>
            </w:r>
            <w:r>
              <w:rPr>
                <w:bCs/>
                <w:vertAlign w:val="superscript"/>
              </w:rPr>
              <w:t>a</w:t>
            </w:r>
          </w:p>
        </w:tc>
        <w:tc>
          <w:tcPr>
            <w:tcW w:w="1620" w:type="dxa"/>
            <w:tcBorders>
              <w:bottom w:val="single" w:sz="4" w:space="0" w:color="B3B3B3"/>
            </w:tcBorders>
            <w:shd w:val="clear" w:color="000000" w:fill="auto"/>
          </w:tcPr>
          <w:p w14:paraId="1AADF8BF" w14:textId="77777777" w:rsidR="00EC5BB1" w:rsidRPr="000C25CD" w:rsidRDefault="00EC5BB1" w:rsidP="009533CF">
            <w:pPr>
              <w:pStyle w:val="TableHeading"/>
              <w:keepNext/>
              <w:keepLines/>
              <w:spacing w:before="45" w:after="45"/>
              <w:ind w:right="108"/>
              <w:jc w:val="right"/>
              <w:rPr>
                <w:rFonts w:ascii="Arial (Body)" w:hAnsi="Arial (Body)"/>
                <w:bCs/>
                <w:color w:val="265A9A"/>
              </w:rPr>
            </w:pPr>
            <w:r w:rsidRPr="006B77BC">
              <w:rPr>
                <w:bCs/>
              </w:rPr>
              <w:t>Netherlands</w:t>
            </w:r>
          </w:p>
        </w:tc>
        <w:tc>
          <w:tcPr>
            <w:tcW w:w="1620" w:type="dxa"/>
            <w:tcBorders>
              <w:bottom w:val="single" w:sz="4" w:space="0" w:color="B3B3B3"/>
            </w:tcBorders>
            <w:shd w:val="clear" w:color="000000" w:fill="auto"/>
          </w:tcPr>
          <w:p w14:paraId="1F2C65FF" w14:textId="77777777" w:rsidR="00EC5BB1" w:rsidRPr="003D047E" w:rsidRDefault="00EC5BB1" w:rsidP="009533CF">
            <w:pPr>
              <w:pStyle w:val="TableHeading"/>
              <w:keepNext/>
              <w:keepLines/>
              <w:spacing w:before="45" w:after="45"/>
              <w:ind w:right="108"/>
              <w:jc w:val="right"/>
              <w:rPr>
                <w:rFonts w:ascii="Arial (Body)" w:hAnsi="Arial (Body)"/>
                <w:bCs/>
                <w:color w:val="265A9A"/>
                <w:vertAlign w:val="superscript"/>
              </w:rPr>
            </w:pPr>
            <w:r w:rsidRPr="006B77BC">
              <w:rPr>
                <w:bCs/>
              </w:rPr>
              <w:t>New Zealand</w:t>
            </w:r>
            <w:r>
              <w:rPr>
                <w:bCs/>
                <w:vertAlign w:val="superscript"/>
              </w:rPr>
              <w:t>b</w:t>
            </w:r>
          </w:p>
        </w:tc>
        <w:tc>
          <w:tcPr>
            <w:tcW w:w="1620" w:type="dxa"/>
            <w:tcBorders>
              <w:bottom w:val="single" w:sz="4" w:space="0" w:color="B3B3B3"/>
            </w:tcBorders>
            <w:shd w:val="clear" w:color="000000" w:fill="auto"/>
          </w:tcPr>
          <w:p w14:paraId="05519A5E" w14:textId="77777777" w:rsidR="00EC5BB1" w:rsidRPr="006A3A21" w:rsidRDefault="00EC5BB1" w:rsidP="009533CF">
            <w:pPr>
              <w:pStyle w:val="TableHeading"/>
              <w:keepNext/>
              <w:keepLines/>
              <w:spacing w:before="45" w:after="45"/>
              <w:ind w:right="108"/>
              <w:jc w:val="right"/>
              <w:rPr>
                <w:rFonts w:ascii="Arial (Body)" w:hAnsi="Arial (Body)"/>
                <w:color w:val="265A9A"/>
                <w:vertAlign w:val="superscript"/>
              </w:rPr>
            </w:pPr>
            <w:r w:rsidRPr="006B77BC">
              <w:rPr>
                <w:bCs/>
              </w:rPr>
              <w:t>Australia</w:t>
            </w:r>
            <w:r>
              <w:rPr>
                <w:bCs/>
                <w:vertAlign w:val="superscript"/>
              </w:rPr>
              <w:t>c</w:t>
            </w:r>
          </w:p>
        </w:tc>
      </w:tr>
      <w:tr w:rsidR="00EC5BB1" w:rsidRPr="00D126B3" w14:paraId="1DB1CFB0" w14:textId="77777777" w:rsidTr="00882158">
        <w:trPr>
          <w:cantSplit/>
        </w:trPr>
        <w:tc>
          <w:tcPr>
            <w:tcW w:w="1440" w:type="dxa"/>
            <w:tcBorders>
              <w:top w:val="single" w:sz="4" w:space="0" w:color="B3B3B3"/>
              <w:bottom w:val="nil"/>
            </w:tcBorders>
            <w:shd w:val="clear" w:color="000000" w:fill="F2F2F2"/>
          </w:tcPr>
          <w:p w14:paraId="3F4E9CBD" w14:textId="1D43EAD0" w:rsidR="00EC5BB1" w:rsidRPr="00D126B3" w:rsidRDefault="00EC5BB1" w:rsidP="00882158">
            <w:pPr>
              <w:pStyle w:val="TableHeading"/>
              <w:keepNext/>
              <w:keepLines/>
              <w:spacing w:before="45" w:after="45"/>
              <w:ind w:right="108"/>
              <w:rPr>
                <w:rFonts w:ascii="Arial (Body)" w:hAnsi="Arial (Body)"/>
                <w:color w:val="265A9A"/>
              </w:rPr>
            </w:pPr>
            <w:r>
              <w:t>0</w:t>
            </w:r>
            <w:r w:rsidR="00171DB2">
              <w:t>–</w:t>
            </w:r>
            <w:r>
              <w:t>1 years</w:t>
            </w:r>
          </w:p>
        </w:tc>
        <w:tc>
          <w:tcPr>
            <w:tcW w:w="1800" w:type="dxa"/>
            <w:tcBorders>
              <w:top w:val="single" w:sz="4" w:space="0" w:color="B3B3B3"/>
              <w:bottom w:val="nil"/>
            </w:tcBorders>
            <w:shd w:val="clear" w:color="000000" w:fill="F2F2F2"/>
          </w:tcPr>
          <w:p w14:paraId="45DFC924" w14:textId="77777777" w:rsidR="00EC5BB1" w:rsidRPr="006B77BC" w:rsidRDefault="00EC5BB1" w:rsidP="009533CF">
            <w:pPr>
              <w:pStyle w:val="TableBody"/>
              <w:keepNext/>
              <w:keepLines/>
              <w:ind w:right="108"/>
              <w:jc w:val="right"/>
            </w:pPr>
            <w:r w:rsidRPr="000C25CD">
              <w:t>1:4</w:t>
            </w:r>
          </w:p>
        </w:tc>
        <w:tc>
          <w:tcPr>
            <w:tcW w:w="1620" w:type="dxa"/>
            <w:tcBorders>
              <w:top w:val="single" w:sz="4" w:space="0" w:color="B3B3B3"/>
              <w:bottom w:val="nil"/>
            </w:tcBorders>
            <w:shd w:val="clear" w:color="000000" w:fill="F2F2F2"/>
          </w:tcPr>
          <w:p w14:paraId="353432AF" w14:textId="77777777" w:rsidR="00EC5BB1" w:rsidRPr="006B77BC" w:rsidRDefault="00EC5BB1" w:rsidP="009533CF">
            <w:pPr>
              <w:pStyle w:val="TableBody"/>
              <w:keepNext/>
              <w:keepLines/>
              <w:ind w:right="108"/>
              <w:jc w:val="right"/>
            </w:pPr>
            <w:r w:rsidRPr="000C25CD">
              <w:t>1:3</w:t>
            </w:r>
          </w:p>
        </w:tc>
        <w:tc>
          <w:tcPr>
            <w:tcW w:w="1620" w:type="dxa"/>
            <w:tcBorders>
              <w:top w:val="single" w:sz="4" w:space="0" w:color="B3B3B3"/>
              <w:bottom w:val="nil"/>
            </w:tcBorders>
            <w:shd w:val="clear" w:color="000000" w:fill="F2F2F2"/>
          </w:tcPr>
          <w:p w14:paraId="2E893DCA" w14:textId="77777777" w:rsidR="00EC5BB1" w:rsidRPr="006B77BC" w:rsidRDefault="00EC5BB1" w:rsidP="009533CF">
            <w:pPr>
              <w:pStyle w:val="TableBody"/>
              <w:keepNext/>
              <w:keepLines/>
              <w:ind w:right="108"/>
              <w:jc w:val="right"/>
            </w:pPr>
            <w:r w:rsidRPr="000C25CD">
              <w:t>1:3</w:t>
            </w:r>
          </w:p>
        </w:tc>
        <w:tc>
          <w:tcPr>
            <w:tcW w:w="1620" w:type="dxa"/>
            <w:tcBorders>
              <w:top w:val="single" w:sz="4" w:space="0" w:color="B3B3B3"/>
              <w:bottom w:val="nil"/>
            </w:tcBorders>
            <w:shd w:val="clear" w:color="000000" w:fill="F2F2F2"/>
          </w:tcPr>
          <w:p w14:paraId="62143C88" w14:textId="77777777" w:rsidR="00EC5BB1" w:rsidRPr="006B77BC" w:rsidRDefault="00EC5BB1" w:rsidP="009533CF">
            <w:pPr>
              <w:pStyle w:val="TableBody"/>
              <w:keepNext/>
              <w:keepLines/>
              <w:ind w:right="108"/>
              <w:jc w:val="right"/>
            </w:pPr>
            <w:r w:rsidRPr="000C25CD">
              <w:t>1:5</w:t>
            </w:r>
          </w:p>
        </w:tc>
        <w:tc>
          <w:tcPr>
            <w:tcW w:w="1620" w:type="dxa"/>
            <w:tcBorders>
              <w:top w:val="single" w:sz="4" w:space="0" w:color="B3B3B3"/>
              <w:bottom w:val="nil"/>
            </w:tcBorders>
            <w:shd w:val="clear" w:color="000000" w:fill="F2F2F2"/>
          </w:tcPr>
          <w:p w14:paraId="3D63188E" w14:textId="77777777" w:rsidR="00EC5BB1" w:rsidRPr="006B77BC" w:rsidRDefault="00EC5BB1" w:rsidP="009533CF">
            <w:pPr>
              <w:pStyle w:val="TableBody"/>
              <w:keepNext/>
              <w:keepLines/>
              <w:ind w:right="108"/>
              <w:jc w:val="right"/>
            </w:pPr>
            <w:r w:rsidRPr="000C25CD">
              <w:t>1:4</w:t>
            </w:r>
          </w:p>
        </w:tc>
      </w:tr>
      <w:tr w:rsidR="00EC5BB1" w:rsidRPr="00D126B3" w14:paraId="3AE3127E" w14:textId="77777777" w:rsidTr="00882158">
        <w:trPr>
          <w:cantSplit/>
        </w:trPr>
        <w:tc>
          <w:tcPr>
            <w:tcW w:w="1440" w:type="dxa"/>
            <w:tcBorders>
              <w:top w:val="nil"/>
              <w:bottom w:val="nil"/>
            </w:tcBorders>
            <w:shd w:val="clear" w:color="000000" w:fill="auto"/>
          </w:tcPr>
          <w:p w14:paraId="49794D15" w14:textId="33BC70D2" w:rsidR="00EC5BB1" w:rsidRPr="00D126B3" w:rsidRDefault="00EC5BB1" w:rsidP="00882158">
            <w:pPr>
              <w:pStyle w:val="TableHeading"/>
              <w:keepNext/>
              <w:keepLines/>
              <w:spacing w:before="45" w:after="45"/>
              <w:ind w:right="108"/>
              <w:rPr>
                <w:rFonts w:ascii="Arial (Body)" w:hAnsi="Arial (Body)"/>
                <w:color w:val="265A9A"/>
              </w:rPr>
            </w:pPr>
            <w:r>
              <w:t>1</w:t>
            </w:r>
            <w:r w:rsidR="00171DB2">
              <w:t>–</w:t>
            </w:r>
            <w:r>
              <w:t>2 years</w:t>
            </w:r>
          </w:p>
        </w:tc>
        <w:tc>
          <w:tcPr>
            <w:tcW w:w="1800" w:type="dxa"/>
            <w:tcBorders>
              <w:top w:val="nil"/>
              <w:bottom w:val="nil"/>
            </w:tcBorders>
            <w:shd w:val="clear" w:color="000000" w:fill="auto"/>
          </w:tcPr>
          <w:p w14:paraId="4D8EF6AB" w14:textId="77777777" w:rsidR="00EC5BB1" w:rsidRPr="006B77BC" w:rsidRDefault="00EC5BB1" w:rsidP="009533CF">
            <w:pPr>
              <w:pStyle w:val="TableBody"/>
              <w:keepNext/>
              <w:keepLines/>
              <w:ind w:right="108"/>
              <w:jc w:val="right"/>
            </w:pPr>
            <w:r w:rsidRPr="000C25CD">
              <w:t>1:4</w:t>
            </w:r>
          </w:p>
        </w:tc>
        <w:tc>
          <w:tcPr>
            <w:tcW w:w="1620" w:type="dxa"/>
            <w:tcBorders>
              <w:top w:val="nil"/>
              <w:bottom w:val="nil"/>
            </w:tcBorders>
            <w:shd w:val="clear" w:color="000000" w:fill="auto"/>
          </w:tcPr>
          <w:p w14:paraId="0099E860" w14:textId="77777777" w:rsidR="00EC5BB1" w:rsidRPr="006B77BC" w:rsidRDefault="00EC5BB1" w:rsidP="009533CF">
            <w:pPr>
              <w:pStyle w:val="TableBody"/>
              <w:keepNext/>
              <w:keepLines/>
              <w:ind w:right="108"/>
              <w:jc w:val="right"/>
            </w:pPr>
            <w:r w:rsidRPr="000C25CD">
              <w:t>1:5</w:t>
            </w:r>
          </w:p>
        </w:tc>
        <w:tc>
          <w:tcPr>
            <w:tcW w:w="1620" w:type="dxa"/>
            <w:tcBorders>
              <w:top w:val="nil"/>
              <w:bottom w:val="nil"/>
            </w:tcBorders>
            <w:shd w:val="clear" w:color="000000" w:fill="auto"/>
          </w:tcPr>
          <w:p w14:paraId="2B744DB8" w14:textId="77777777" w:rsidR="00EC5BB1" w:rsidRPr="006B77BC" w:rsidRDefault="00EC5BB1" w:rsidP="009533CF">
            <w:pPr>
              <w:pStyle w:val="TableBody"/>
              <w:keepNext/>
              <w:keepLines/>
              <w:ind w:right="108"/>
              <w:jc w:val="right"/>
            </w:pPr>
            <w:r w:rsidRPr="000C25CD">
              <w:t>1:5</w:t>
            </w:r>
          </w:p>
        </w:tc>
        <w:tc>
          <w:tcPr>
            <w:tcW w:w="1620" w:type="dxa"/>
            <w:tcBorders>
              <w:top w:val="nil"/>
              <w:bottom w:val="nil"/>
            </w:tcBorders>
            <w:shd w:val="clear" w:color="000000" w:fill="auto"/>
          </w:tcPr>
          <w:p w14:paraId="27D65115" w14:textId="77777777" w:rsidR="00EC5BB1" w:rsidRPr="006B77BC" w:rsidRDefault="00EC5BB1" w:rsidP="009533CF">
            <w:pPr>
              <w:pStyle w:val="TableBody"/>
              <w:keepNext/>
              <w:keepLines/>
              <w:ind w:right="108"/>
              <w:jc w:val="right"/>
            </w:pPr>
            <w:r w:rsidRPr="000C25CD">
              <w:t>1:5</w:t>
            </w:r>
          </w:p>
        </w:tc>
        <w:tc>
          <w:tcPr>
            <w:tcW w:w="1620" w:type="dxa"/>
            <w:tcBorders>
              <w:top w:val="nil"/>
              <w:bottom w:val="nil"/>
            </w:tcBorders>
            <w:shd w:val="clear" w:color="000000" w:fill="auto"/>
          </w:tcPr>
          <w:p w14:paraId="63F14B4F" w14:textId="77777777" w:rsidR="00EC5BB1" w:rsidRPr="006B77BC" w:rsidRDefault="00EC5BB1" w:rsidP="009533CF">
            <w:pPr>
              <w:pStyle w:val="TableBody"/>
              <w:keepNext/>
              <w:keepLines/>
              <w:ind w:right="108"/>
              <w:jc w:val="right"/>
            </w:pPr>
            <w:r w:rsidRPr="000C25CD">
              <w:t>1:4</w:t>
            </w:r>
          </w:p>
        </w:tc>
      </w:tr>
      <w:tr w:rsidR="00EC5BB1" w:rsidRPr="00D126B3" w14:paraId="60056604" w14:textId="77777777" w:rsidTr="00882158">
        <w:trPr>
          <w:cantSplit/>
        </w:trPr>
        <w:tc>
          <w:tcPr>
            <w:tcW w:w="1440" w:type="dxa"/>
            <w:shd w:val="clear" w:color="000000" w:fill="F2F2F2"/>
          </w:tcPr>
          <w:p w14:paraId="34494670" w14:textId="5915DF06" w:rsidR="00EC5BB1" w:rsidRPr="00D126B3" w:rsidRDefault="00EC5BB1" w:rsidP="00882158">
            <w:pPr>
              <w:pStyle w:val="TableHeading"/>
              <w:keepNext/>
              <w:keepLines/>
              <w:spacing w:before="45" w:after="45"/>
              <w:ind w:right="108"/>
              <w:rPr>
                <w:rFonts w:ascii="Arial (Body)" w:hAnsi="Arial (Body)"/>
                <w:color w:val="265A9A"/>
              </w:rPr>
            </w:pPr>
            <w:r>
              <w:t>2</w:t>
            </w:r>
            <w:r w:rsidR="00171DB2">
              <w:t>–</w:t>
            </w:r>
            <w:r>
              <w:t>3 years</w:t>
            </w:r>
          </w:p>
        </w:tc>
        <w:tc>
          <w:tcPr>
            <w:tcW w:w="1800" w:type="dxa"/>
            <w:shd w:val="clear" w:color="000000" w:fill="F2F2F2"/>
          </w:tcPr>
          <w:p w14:paraId="7A200848" w14:textId="77777777" w:rsidR="00EC5BB1" w:rsidRPr="006B77BC" w:rsidRDefault="00EC5BB1" w:rsidP="009533CF">
            <w:pPr>
              <w:pStyle w:val="TableBody"/>
              <w:keepNext/>
              <w:keepLines/>
              <w:ind w:right="108"/>
              <w:jc w:val="right"/>
            </w:pPr>
            <w:r w:rsidRPr="000C25CD">
              <w:t>1:4</w:t>
            </w:r>
          </w:p>
        </w:tc>
        <w:tc>
          <w:tcPr>
            <w:tcW w:w="1620" w:type="dxa"/>
            <w:shd w:val="clear" w:color="000000" w:fill="F2F2F2"/>
          </w:tcPr>
          <w:p w14:paraId="39EAAAF1" w14:textId="77777777" w:rsidR="00EC5BB1" w:rsidRPr="006B77BC" w:rsidRDefault="00EC5BB1" w:rsidP="009533CF">
            <w:pPr>
              <w:pStyle w:val="TableBody"/>
              <w:keepNext/>
              <w:keepLines/>
              <w:ind w:right="108"/>
              <w:jc w:val="right"/>
            </w:pPr>
            <w:r w:rsidRPr="000C25CD">
              <w:t>1:6</w:t>
            </w:r>
          </w:p>
        </w:tc>
        <w:tc>
          <w:tcPr>
            <w:tcW w:w="1620" w:type="dxa"/>
            <w:shd w:val="clear" w:color="000000" w:fill="F2F2F2"/>
          </w:tcPr>
          <w:p w14:paraId="7AACB1E5" w14:textId="77777777" w:rsidR="00EC5BB1" w:rsidRPr="006B77BC" w:rsidRDefault="00EC5BB1" w:rsidP="009533CF">
            <w:pPr>
              <w:pStyle w:val="TableBody"/>
              <w:keepNext/>
              <w:keepLines/>
              <w:ind w:right="108"/>
              <w:jc w:val="right"/>
            </w:pPr>
            <w:r w:rsidRPr="000C25CD">
              <w:t>1:8</w:t>
            </w:r>
          </w:p>
        </w:tc>
        <w:tc>
          <w:tcPr>
            <w:tcW w:w="1620" w:type="dxa"/>
            <w:shd w:val="clear" w:color="000000" w:fill="F2F2F2"/>
          </w:tcPr>
          <w:p w14:paraId="4E318FEF" w14:textId="77777777" w:rsidR="00EC5BB1" w:rsidRPr="006B77BC" w:rsidRDefault="00EC5BB1" w:rsidP="009533CF">
            <w:pPr>
              <w:pStyle w:val="TableBody"/>
              <w:keepNext/>
              <w:keepLines/>
              <w:ind w:right="108"/>
              <w:jc w:val="right"/>
            </w:pPr>
            <w:r w:rsidRPr="000C25CD">
              <w:t>1:10</w:t>
            </w:r>
          </w:p>
        </w:tc>
        <w:tc>
          <w:tcPr>
            <w:tcW w:w="1620" w:type="dxa"/>
            <w:shd w:val="clear" w:color="000000" w:fill="F2F2F2"/>
          </w:tcPr>
          <w:p w14:paraId="5E6B9379" w14:textId="77777777" w:rsidR="00EC5BB1" w:rsidRPr="006B77BC" w:rsidRDefault="00EC5BB1" w:rsidP="009533CF">
            <w:pPr>
              <w:pStyle w:val="TableBody"/>
              <w:keepNext/>
              <w:keepLines/>
              <w:ind w:right="108"/>
              <w:jc w:val="right"/>
            </w:pPr>
            <w:r w:rsidRPr="000C25CD">
              <w:t>1:5</w:t>
            </w:r>
          </w:p>
        </w:tc>
      </w:tr>
      <w:tr w:rsidR="00EC5BB1" w:rsidRPr="00D126B3" w14:paraId="031301EE" w14:textId="77777777" w:rsidTr="00882158">
        <w:trPr>
          <w:cantSplit/>
        </w:trPr>
        <w:tc>
          <w:tcPr>
            <w:tcW w:w="1440" w:type="dxa"/>
            <w:shd w:val="clear" w:color="auto" w:fill="auto"/>
          </w:tcPr>
          <w:p w14:paraId="4A279838" w14:textId="766639EE" w:rsidR="00EC5BB1" w:rsidRPr="00D126B3" w:rsidRDefault="00EC5BB1" w:rsidP="00882158">
            <w:pPr>
              <w:pStyle w:val="TableHeading"/>
              <w:keepNext/>
              <w:keepLines/>
              <w:spacing w:before="45" w:after="45"/>
              <w:ind w:right="108"/>
              <w:rPr>
                <w:rFonts w:ascii="Arial (Body)" w:hAnsi="Arial (Body)"/>
                <w:color w:val="265A9A"/>
              </w:rPr>
            </w:pPr>
            <w:r>
              <w:t>3</w:t>
            </w:r>
            <w:r w:rsidR="00171DB2">
              <w:t>–</w:t>
            </w:r>
            <w:r>
              <w:t>4 years</w:t>
            </w:r>
          </w:p>
        </w:tc>
        <w:tc>
          <w:tcPr>
            <w:tcW w:w="1800" w:type="dxa"/>
            <w:shd w:val="clear" w:color="auto" w:fill="auto"/>
          </w:tcPr>
          <w:p w14:paraId="6C078458" w14:textId="77777777" w:rsidR="00EC5BB1" w:rsidRPr="006B77BC" w:rsidRDefault="00EC5BB1" w:rsidP="009533CF">
            <w:pPr>
              <w:pStyle w:val="TableBody"/>
              <w:keepNext/>
              <w:keepLines/>
              <w:ind w:right="108"/>
              <w:jc w:val="right"/>
            </w:pPr>
            <w:r w:rsidRPr="000C25CD">
              <w:t>1:8</w:t>
            </w:r>
          </w:p>
        </w:tc>
        <w:tc>
          <w:tcPr>
            <w:tcW w:w="1620" w:type="dxa"/>
          </w:tcPr>
          <w:p w14:paraId="776D024D" w14:textId="77777777" w:rsidR="00EC5BB1" w:rsidRPr="006B77BC" w:rsidRDefault="00EC5BB1" w:rsidP="009533CF">
            <w:pPr>
              <w:pStyle w:val="TableBody"/>
              <w:keepNext/>
              <w:keepLines/>
              <w:ind w:right="108"/>
              <w:jc w:val="right"/>
            </w:pPr>
            <w:r w:rsidRPr="000C25CD">
              <w:t>1:8</w:t>
            </w:r>
          </w:p>
        </w:tc>
        <w:tc>
          <w:tcPr>
            <w:tcW w:w="1620" w:type="dxa"/>
          </w:tcPr>
          <w:p w14:paraId="2BFE3830" w14:textId="77777777" w:rsidR="00EC5BB1" w:rsidRPr="006B77BC" w:rsidRDefault="00EC5BB1" w:rsidP="009533CF">
            <w:pPr>
              <w:pStyle w:val="TableBody"/>
              <w:keepNext/>
              <w:keepLines/>
              <w:ind w:right="108"/>
              <w:jc w:val="right"/>
            </w:pPr>
            <w:r w:rsidRPr="000C25CD">
              <w:t>1:8</w:t>
            </w:r>
          </w:p>
        </w:tc>
        <w:tc>
          <w:tcPr>
            <w:tcW w:w="1620" w:type="dxa"/>
          </w:tcPr>
          <w:p w14:paraId="52BE58C9" w14:textId="77777777" w:rsidR="00EC5BB1" w:rsidRPr="006B77BC" w:rsidRDefault="00EC5BB1" w:rsidP="009533CF">
            <w:pPr>
              <w:pStyle w:val="TableBody"/>
              <w:keepNext/>
              <w:keepLines/>
              <w:ind w:right="108"/>
              <w:jc w:val="right"/>
            </w:pPr>
            <w:r w:rsidRPr="000C25CD">
              <w:t>1:10</w:t>
            </w:r>
          </w:p>
        </w:tc>
        <w:tc>
          <w:tcPr>
            <w:tcW w:w="1620" w:type="dxa"/>
          </w:tcPr>
          <w:p w14:paraId="6B60FE91" w14:textId="77777777" w:rsidR="00EC5BB1" w:rsidRPr="006B77BC" w:rsidRDefault="00EC5BB1" w:rsidP="009533CF">
            <w:pPr>
              <w:pStyle w:val="TableBody"/>
              <w:keepNext/>
              <w:keepLines/>
              <w:ind w:right="108"/>
              <w:jc w:val="right"/>
            </w:pPr>
            <w:r w:rsidRPr="000C25CD">
              <w:t>1:11</w:t>
            </w:r>
          </w:p>
        </w:tc>
      </w:tr>
      <w:tr w:rsidR="00EC5BB1" w:rsidRPr="00D126B3" w14:paraId="2806713A" w14:textId="77777777" w:rsidTr="00882158">
        <w:trPr>
          <w:cantSplit/>
        </w:trPr>
        <w:tc>
          <w:tcPr>
            <w:tcW w:w="1440" w:type="dxa"/>
            <w:shd w:val="clear" w:color="auto" w:fill="F2F2F2" w:themeFill="background1" w:themeFillShade="F2"/>
          </w:tcPr>
          <w:p w14:paraId="0B3DC7AE" w14:textId="77777777" w:rsidR="00EC5BB1" w:rsidRPr="00D126B3" w:rsidRDefault="00EC5BB1" w:rsidP="00882158">
            <w:pPr>
              <w:pStyle w:val="TableHeading"/>
              <w:keepNext/>
              <w:keepLines/>
              <w:spacing w:before="45" w:after="45"/>
              <w:ind w:right="108"/>
              <w:rPr>
                <w:rFonts w:ascii="Arial (Body)" w:hAnsi="Arial (Body)"/>
                <w:color w:val="265A9A"/>
              </w:rPr>
            </w:pPr>
            <w:r>
              <w:t>4 years to school age</w:t>
            </w:r>
          </w:p>
        </w:tc>
        <w:tc>
          <w:tcPr>
            <w:tcW w:w="1800" w:type="dxa"/>
            <w:shd w:val="clear" w:color="auto" w:fill="F2F2F2" w:themeFill="background1" w:themeFillShade="F2"/>
          </w:tcPr>
          <w:p w14:paraId="5C2204E0" w14:textId="77777777" w:rsidR="00EC5BB1" w:rsidRPr="006B77BC" w:rsidRDefault="00EC5BB1" w:rsidP="009533CF">
            <w:pPr>
              <w:pStyle w:val="TableBody"/>
              <w:keepNext/>
              <w:keepLines/>
              <w:ind w:right="108"/>
              <w:jc w:val="right"/>
            </w:pPr>
            <w:r w:rsidRPr="000C25CD">
              <w:t>1:8</w:t>
            </w:r>
          </w:p>
        </w:tc>
        <w:tc>
          <w:tcPr>
            <w:tcW w:w="1620" w:type="dxa"/>
            <w:shd w:val="clear" w:color="auto" w:fill="F2F2F2" w:themeFill="background1" w:themeFillShade="F2"/>
          </w:tcPr>
          <w:p w14:paraId="2021EBB8" w14:textId="77777777" w:rsidR="00EC5BB1" w:rsidRPr="006B77BC" w:rsidRDefault="00EC5BB1" w:rsidP="009533CF">
            <w:pPr>
              <w:pStyle w:val="TableBody"/>
              <w:keepNext/>
              <w:keepLines/>
              <w:ind w:right="108"/>
              <w:jc w:val="right"/>
            </w:pPr>
            <w:r w:rsidRPr="00D43728">
              <w:t>1:8</w:t>
            </w:r>
          </w:p>
        </w:tc>
        <w:tc>
          <w:tcPr>
            <w:tcW w:w="1620" w:type="dxa"/>
            <w:shd w:val="clear" w:color="auto" w:fill="F2F2F2" w:themeFill="background1" w:themeFillShade="F2"/>
          </w:tcPr>
          <w:p w14:paraId="505CC10B" w14:textId="77777777" w:rsidR="00EC5BB1" w:rsidRPr="006B77BC" w:rsidRDefault="00EC5BB1" w:rsidP="009533CF">
            <w:pPr>
              <w:pStyle w:val="TableBody"/>
              <w:keepNext/>
              <w:keepLines/>
              <w:ind w:right="108"/>
              <w:jc w:val="right"/>
            </w:pPr>
            <w:r w:rsidRPr="000C25CD">
              <w:t>1:10</w:t>
            </w:r>
          </w:p>
        </w:tc>
        <w:tc>
          <w:tcPr>
            <w:tcW w:w="1620" w:type="dxa"/>
            <w:shd w:val="clear" w:color="auto" w:fill="F2F2F2" w:themeFill="background1" w:themeFillShade="F2"/>
          </w:tcPr>
          <w:p w14:paraId="11669C9D" w14:textId="77777777" w:rsidR="00EC5BB1" w:rsidRPr="006B77BC" w:rsidRDefault="00EC5BB1" w:rsidP="009533CF">
            <w:pPr>
              <w:pStyle w:val="TableBody"/>
              <w:keepNext/>
              <w:keepLines/>
              <w:ind w:right="108"/>
              <w:jc w:val="right"/>
            </w:pPr>
            <w:r w:rsidRPr="000C25CD">
              <w:t>1:10</w:t>
            </w:r>
          </w:p>
        </w:tc>
        <w:tc>
          <w:tcPr>
            <w:tcW w:w="1620" w:type="dxa"/>
            <w:shd w:val="clear" w:color="auto" w:fill="F2F2F2" w:themeFill="background1" w:themeFillShade="F2"/>
          </w:tcPr>
          <w:p w14:paraId="2892EFCE" w14:textId="77777777" w:rsidR="00EC5BB1" w:rsidRPr="006B77BC" w:rsidRDefault="00EC5BB1" w:rsidP="009533CF">
            <w:pPr>
              <w:pStyle w:val="TableBody"/>
              <w:keepNext/>
              <w:keepLines/>
              <w:ind w:right="108"/>
              <w:jc w:val="right"/>
            </w:pPr>
            <w:r w:rsidRPr="000C25CD">
              <w:t>1:11</w:t>
            </w:r>
          </w:p>
        </w:tc>
      </w:tr>
      <w:tr w:rsidR="00EC5BB1" w:rsidRPr="00D126B3" w14:paraId="10A75600" w14:textId="77777777" w:rsidTr="00882158">
        <w:trPr>
          <w:cantSplit/>
        </w:trPr>
        <w:tc>
          <w:tcPr>
            <w:tcW w:w="1440" w:type="dxa"/>
            <w:shd w:val="clear" w:color="auto" w:fill="auto"/>
          </w:tcPr>
          <w:p w14:paraId="1A328B2D" w14:textId="77777777" w:rsidR="00EC5BB1" w:rsidRDefault="00EC5BB1" w:rsidP="00882158">
            <w:pPr>
              <w:pStyle w:val="TableHeading"/>
              <w:keepNext/>
              <w:keepLines/>
              <w:spacing w:before="45" w:after="45"/>
              <w:ind w:right="108"/>
              <w:rPr>
                <w:rFonts w:ascii="Arial (Body)" w:hAnsi="Arial (Body)"/>
                <w:color w:val="265A9A"/>
              </w:rPr>
            </w:pPr>
            <w:r>
              <w:t>School age (OSHC)</w:t>
            </w:r>
          </w:p>
        </w:tc>
        <w:tc>
          <w:tcPr>
            <w:tcW w:w="1800" w:type="dxa"/>
            <w:shd w:val="clear" w:color="auto" w:fill="auto"/>
          </w:tcPr>
          <w:p w14:paraId="6AC98666" w14:textId="46E16923" w:rsidR="00EC5BB1" w:rsidRPr="006B77BC" w:rsidRDefault="00EC5BB1" w:rsidP="009533CF">
            <w:pPr>
              <w:pStyle w:val="TableBody"/>
              <w:keepNext/>
              <w:keepLines/>
              <w:ind w:right="108"/>
              <w:jc w:val="right"/>
            </w:pPr>
            <w:r w:rsidRPr="000C25CD">
              <w:t>1:15</w:t>
            </w:r>
            <w:r w:rsidRPr="009533CF">
              <w:rPr>
                <w:b/>
                <w:bCs/>
                <w:vertAlign w:val="superscript"/>
              </w:rPr>
              <w:t>d</w:t>
            </w:r>
          </w:p>
        </w:tc>
        <w:tc>
          <w:tcPr>
            <w:tcW w:w="1620" w:type="dxa"/>
            <w:shd w:val="clear" w:color="auto" w:fill="auto"/>
          </w:tcPr>
          <w:p w14:paraId="5035F8AE" w14:textId="77777777" w:rsidR="00EC5BB1" w:rsidRPr="006B77BC" w:rsidRDefault="00EC5BB1" w:rsidP="009533CF">
            <w:pPr>
              <w:pStyle w:val="TableBody"/>
              <w:keepNext/>
              <w:keepLines/>
              <w:ind w:right="108"/>
              <w:jc w:val="right"/>
            </w:pPr>
            <w:r>
              <w:t>1:12</w:t>
            </w:r>
          </w:p>
        </w:tc>
        <w:tc>
          <w:tcPr>
            <w:tcW w:w="1620" w:type="dxa"/>
            <w:shd w:val="clear" w:color="auto" w:fill="auto"/>
          </w:tcPr>
          <w:p w14:paraId="41920E57" w14:textId="77777777" w:rsidR="00EC5BB1" w:rsidRPr="002A69C7" w:rsidRDefault="00EC5BB1" w:rsidP="009533CF">
            <w:pPr>
              <w:pStyle w:val="TableBody"/>
              <w:keepNext/>
              <w:keepLines/>
              <w:ind w:right="108"/>
              <w:jc w:val="right"/>
              <w:rPr>
                <w:vertAlign w:val="superscript"/>
              </w:rPr>
            </w:pPr>
            <w:r>
              <w:t>1:12</w:t>
            </w:r>
            <w:r w:rsidRPr="009E1C90">
              <w:rPr>
                <w:b/>
                <w:bCs/>
                <w:vertAlign w:val="superscript"/>
              </w:rPr>
              <w:t>e</w:t>
            </w:r>
          </w:p>
        </w:tc>
        <w:tc>
          <w:tcPr>
            <w:tcW w:w="1620" w:type="dxa"/>
            <w:shd w:val="clear" w:color="auto" w:fill="auto"/>
          </w:tcPr>
          <w:p w14:paraId="1B3D055C" w14:textId="77777777" w:rsidR="00EC5BB1" w:rsidRPr="00E03978" w:rsidRDefault="00EC5BB1" w:rsidP="009533CF">
            <w:pPr>
              <w:pStyle w:val="TableBody"/>
              <w:keepNext/>
              <w:keepLines/>
              <w:ind w:right="108"/>
              <w:jc w:val="right"/>
              <w:rPr>
                <w:vertAlign w:val="superscript"/>
              </w:rPr>
            </w:pPr>
            <w:r>
              <w:t>1:10</w:t>
            </w:r>
            <w:r w:rsidRPr="009E1C90">
              <w:rPr>
                <w:b/>
                <w:bCs/>
                <w:vertAlign w:val="superscript"/>
              </w:rPr>
              <w:t>f</w:t>
            </w:r>
          </w:p>
        </w:tc>
        <w:tc>
          <w:tcPr>
            <w:tcW w:w="1620" w:type="dxa"/>
            <w:shd w:val="clear" w:color="auto" w:fill="auto"/>
          </w:tcPr>
          <w:p w14:paraId="0F036787" w14:textId="77777777" w:rsidR="00EC5BB1" w:rsidRPr="006B77BC" w:rsidRDefault="00EC5BB1" w:rsidP="009533CF">
            <w:pPr>
              <w:pStyle w:val="TableBody"/>
              <w:keepNext/>
              <w:keepLines/>
              <w:ind w:right="108"/>
              <w:jc w:val="right"/>
            </w:pPr>
            <w:r w:rsidRPr="000C25CD">
              <w:t>1:15</w:t>
            </w:r>
          </w:p>
        </w:tc>
      </w:tr>
    </w:tbl>
    <w:p w14:paraId="7E9AFB10" w14:textId="77777777" w:rsidR="00EC5BB1" w:rsidRDefault="00EC5BB1" w:rsidP="00882158">
      <w:pPr>
        <w:pStyle w:val="Note"/>
        <w:keepLines/>
      </w:pPr>
      <w:r>
        <w:rPr>
          <w:b/>
          <w:bCs/>
        </w:rPr>
        <w:t>a</w:t>
      </w:r>
      <w:r w:rsidRPr="0058357A">
        <w:rPr>
          <w:b/>
          <w:bCs/>
        </w:rPr>
        <w:t>.</w:t>
      </w:r>
      <w:r>
        <w:t xml:space="preserve"> Ratios for sessional (up to 3.5 hours per day) services in Ireland are different to other centre</w:t>
      </w:r>
      <w:r>
        <w:noBreakHyphen/>
        <w:t>based services, at 1:3 for children ages 0</w:t>
      </w:r>
      <w:r>
        <w:noBreakHyphen/>
        <w:t>1, 1:5 for children ages 1</w:t>
      </w:r>
      <w:r>
        <w:noBreakHyphen/>
        <w:t>2.5 and 1:11 for children ages 2.5</w:t>
      </w:r>
      <w:r>
        <w:noBreakHyphen/>
        <w:t xml:space="preserve">6. </w:t>
      </w:r>
      <w:r w:rsidRPr="00A42D96">
        <w:rPr>
          <w:b/>
          <w:bCs/>
        </w:rPr>
        <w:t>b.</w:t>
      </w:r>
      <w:r>
        <w:t xml:space="preserve"> For children two years and over in New Zealand, the ratio is 1:6 where there are six or fewer children, 2:7–20 where there are between seven and twenty children, and 1:10 where there are more than twenty children. </w:t>
      </w:r>
      <w:r>
        <w:rPr>
          <w:b/>
          <w:bCs/>
        </w:rPr>
        <w:t>c</w:t>
      </w:r>
      <w:r w:rsidRPr="00C36914">
        <w:rPr>
          <w:b/>
          <w:bCs/>
        </w:rPr>
        <w:t>.</w:t>
      </w:r>
      <w:r w:rsidRPr="00C36914">
        <w:t xml:space="preserve"> </w:t>
      </w:r>
      <w:r w:rsidRPr="000C25CD">
        <w:t>Ratios for Australia vary by state</w:t>
      </w:r>
      <w:r>
        <w:t xml:space="preserve"> –</w:t>
      </w:r>
      <w:r w:rsidRPr="000C25CD">
        <w:t xml:space="preserve"> </w:t>
      </w:r>
      <w:r>
        <w:t>the presented ratios are</w:t>
      </w:r>
      <w:r w:rsidRPr="000C25CD">
        <w:t xml:space="preserve"> the </w:t>
      </w:r>
      <w:r>
        <w:t>National Quality Framework</w:t>
      </w:r>
      <w:r w:rsidRPr="000C25CD">
        <w:t xml:space="preserve"> minim</w:t>
      </w:r>
      <w:r>
        <w:t xml:space="preserve">um standards </w:t>
      </w:r>
      <w:r>
        <w:rPr>
          <w:b/>
          <w:bCs/>
        </w:rPr>
        <w:t xml:space="preserve">d. </w:t>
      </w:r>
      <w:r>
        <w:t xml:space="preserve">OSHC ratios in British Columbia are 1:12 for children in grade 1 (typically age 6) and younger. </w:t>
      </w:r>
      <w:r>
        <w:rPr>
          <w:b/>
          <w:bCs/>
        </w:rPr>
        <w:t xml:space="preserve">e. </w:t>
      </w:r>
      <w:r>
        <w:t>OSHC ratios in the Netherlands are</w:t>
      </w:r>
      <w:r w:rsidRPr="003339CD">
        <w:t xml:space="preserve"> 1:12</w:t>
      </w:r>
      <w:r>
        <w:rPr>
          <w:b/>
          <w:bCs/>
        </w:rPr>
        <w:t xml:space="preserve"> </w:t>
      </w:r>
      <w:r w:rsidRPr="00D3674E">
        <w:t>for children age</w:t>
      </w:r>
      <w:r>
        <w:t xml:space="preserve"> 7</w:t>
      </w:r>
      <w:r>
        <w:noBreakHyphen/>
        <w:t>13, and 1:11 for groups with children ages 4</w:t>
      </w:r>
      <w:r>
        <w:noBreakHyphen/>
        <w:t xml:space="preserve">13. </w:t>
      </w:r>
      <w:r>
        <w:rPr>
          <w:b/>
          <w:bCs/>
        </w:rPr>
        <w:t xml:space="preserve">f. </w:t>
      </w:r>
      <w:r>
        <w:t>OSHC ratios in New Zealand are recommended but not mandatory.</w:t>
      </w:r>
    </w:p>
    <w:p w14:paraId="1A9E9671" w14:textId="77777777" w:rsidR="00EC5BB1" w:rsidRPr="009D37B0" w:rsidRDefault="00EC5BB1" w:rsidP="00882158">
      <w:pPr>
        <w:pStyle w:val="Source"/>
        <w:keepLines/>
      </w:pPr>
      <w:r>
        <w:t xml:space="preserve">Source: ACECQA </w:t>
      </w:r>
      <w:r w:rsidRPr="009D3588">
        <w:rPr>
          <w:rFonts w:ascii="Arial" w:hAnsi="Arial" w:cs="Arial"/>
          <w:szCs w:val="24"/>
        </w:rPr>
        <w:t>(2023, p. 448)</w:t>
      </w:r>
      <w:r>
        <w:t xml:space="preserve">; Beach et al. </w:t>
      </w:r>
      <w:r w:rsidRPr="009D3588">
        <w:rPr>
          <w:rFonts w:ascii="Arial" w:hAnsi="Arial" w:cs="Arial"/>
          <w:szCs w:val="24"/>
        </w:rPr>
        <w:t>(2023, p. 209)</w:t>
      </w:r>
      <w:r>
        <w:t xml:space="preserve">; Government of the Netherlands </w:t>
      </w:r>
      <w:r w:rsidRPr="002366E0">
        <w:rPr>
          <w:rFonts w:ascii="Arial" w:hAnsi="Arial" w:cs="Arial"/>
        </w:rPr>
        <w:t>(2023b)</w:t>
      </w:r>
      <w:r>
        <w:t xml:space="preserve">; Citizens Information </w:t>
      </w:r>
      <w:r w:rsidRPr="009D3588">
        <w:rPr>
          <w:rFonts w:ascii="Arial" w:hAnsi="Arial" w:cs="Arial"/>
        </w:rPr>
        <w:t>(2022)</w:t>
      </w:r>
      <w:r>
        <w:t xml:space="preserve">; European Commission </w:t>
      </w:r>
      <w:r w:rsidRPr="00A72727">
        <w:rPr>
          <w:rFonts w:ascii="Arial" w:hAnsi="Arial" w:cs="Arial"/>
        </w:rPr>
        <w:t>(2022e, 2022b)</w:t>
      </w:r>
      <w:r>
        <w:t xml:space="preserve">; New Zealand Government </w:t>
      </w:r>
      <w:r w:rsidRPr="009D3588">
        <w:rPr>
          <w:rFonts w:ascii="Arial" w:hAnsi="Arial" w:cs="Arial"/>
        </w:rPr>
        <w:t>(2023)</w:t>
      </w:r>
      <w:r>
        <w:t xml:space="preserve">; Tusla </w:t>
      </w:r>
      <w:r w:rsidRPr="00A72727">
        <w:rPr>
          <w:rFonts w:ascii="Arial" w:hAnsi="Arial" w:cs="Arial"/>
        </w:rPr>
        <w:t>(2023a)</w:t>
      </w:r>
      <w:r>
        <w:t xml:space="preserve">; </w:t>
      </w:r>
      <w:r w:rsidRPr="00F820CC">
        <w:rPr>
          <w:i/>
          <w:iCs/>
        </w:rPr>
        <w:t>Education (Early Childhood Services) Regulations 2008</w:t>
      </w:r>
      <w:r>
        <w:t xml:space="preserve"> (New Zealand).</w:t>
      </w:r>
    </w:p>
    <w:p w14:paraId="50FE29D1" w14:textId="77777777" w:rsidR="00EC5BB1" w:rsidRDefault="00EC5BB1" w:rsidP="00882158">
      <w:pPr>
        <w:pStyle w:val="Heading4"/>
      </w:pPr>
      <w:r>
        <w:t>Qualification requirements</w:t>
      </w:r>
    </w:p>
    <w:p w14:paraId="41971CAE" w14:textId="77777777" w:rsidR="00EC5BB1" w:rsidRDefault="00EC5BB1" w:rsidP="00882158">
      <w:pPr>
        <w:pStyle w:val="BodyText"/>
      </w:pPr>
      <w:r>
        <w:t>As in Australia, it is common for other countries to require vocational qualifications for educators in contact roles in centre</w:t>
      </w:r>
      <w:r>
        <w:noBreakHyphen/>
        <w:t>based services. Educators in centre</w:t>
      </w:r>
      <w:r>
        <w:noBreakHyphen/>
        <w:t xml:space="preserve">based settings in </w:t>
      </w:r>
      <w:r w:rsidRPr="00446168">
        <w:rPr>
          <w:b/>
          <w:bCs/>
          <w:i/>
          <w:iCs/>
        </w:rPr>
        <w:t xml:space="preserve">British </w:t>
      </w:r>
      <w:r w:rsidRPr="00DF72A6">
        <w:rPr>
          <w:b/>
          <w:bCs/>
          <w:i/>
          <w:iCs/>
        </w:rPr>
        <w:t>Columbia</w:t>
      </w:r>
      <w:r w:rsidRPr="00446168">
        <w:rPr>
          <w:b/>
          <w:bCs/>
          <w:i/>
          <w:iCs/>
        </w:rPr>
        <w:t xml:space="preserve">, Ireland </w:t>
      </w:r>
      <w:r w:rsidRPr="00E92FF6">
        <w:t>and</w:t>
      </w:r>
      <w:r>
        <w:rPr>
          <w:b/>
          <w:bCs/>
          <w:i/>
          <w:iCs/>
        </w:rPr>
        <w:t xml:space="preserve"> </w:t>
      </w:r>
      <w:r w:rsidRPr="00446168">
        <w:t>the</w:t>
      </w:r>
      <w:r w:rsidRPr="00446168">
        <w:rPr>
          <w:b/>
          <w:bCs/>
          <w:i/>
          <w:iCs/>
        </w:rPr>
        <w:t xml:space="preserve"> Netherlands </w:t>
      </w:r>
      <w:r>
        <w:t>are required to hold a relevant vocational qualification</w:t>
      </w:r>
      <w:r w:rsidRPr="00CA2C26">
        <w:t xml:space="preserve"> </w:t>
      </w:r>
      <w:r>
        <w:t xml:space="preserve">(at a minimum), and in British Columbia, </w:t>
      </w:r>
      <w:r>
        <w:lastRenderedPageBreak/>
        <w:t xml:space="preserve">staff must also undertake additional training if they are working with children younger than 36 months or who have additional support needs </w:t>
      </w:r>
      <w:r w:rsidRPr="00BA0533">
        <w:rPr>
          <w:rFonts w:ascii="Arial" w:hAnsi="Arial" w:cs="Arial"/>
          <w:szCs w:val="24"/>
        </w:rPr>
        <w:t>(Beach et al. 2023, p. 208; European Commission 2023b; Government of Ireland 2021, p. 31)</w:t>
      </w:r>
      <w:r>
        <w:t xml:space="preserve">. In </w:t>
      </w:r>
      <w:r w:rsidRPr="006F4706">
        <w:rPr>
          <w:b/>
          <w:bCs/>
          <w:i/>
          <w:iCs/>
        </w:rPr>
        <w:t>New Zealand</w:t>
      </w:r>
      <w:r>
        <w:t>, f</w:t>
      </w:r>
      <w:r w:rsidRPr="006F4706">
        <w:t>or a service to be eligible to receive 20</w:t>
      </w:r>
      <w:r>
        <w:t xml:space="preserve"> H</w:t>
      </w:r>
      <w:r w:rsidRPr="006F4706">
        <w:t xml:space="preserve">ours ECE funding, at least 50% of required staff must have a recognised teaching qualification, </w:t>
      </w:r>
      <w:r>
        <w:t>such as a</w:t>
      </w:r>
      <w:r w:rsidRPr="006F4706">
        <w:t xml:space="preserve"> bachelors </w:t>
      </w:r>
      <w:r>
        <w:t>degree or</w:t>
      </w:r>
      <w:r w:rsidRPr="006F4706">
        <w:t xml:space="preserve"> graduate diploma </w:t>
      </w:r>
      <w:r w:rsidRPr="00A72727">
        <w:rPr>
          <w:rFonts w:ascii="Arial" w:hAnsi="Arial" w:cs="Arial"/>
          <w:szCs w:val="24"/>
        </w:rPr>
        <w:t>(New Zealand Government Ministry of Education 2020)</w:t>
      </w:r>
      <w:r>
        <w:t>. While there is no requirement that all educators have qualifications, as mentioned above supply</w:t>
      </w:r>
      <w:r>
        <w:noBreakHyphen/>
        <w:t xml:space="preserve">side funding is tied to ‘quality funding bands’ that link funding to the proportion of educators that </w:t>
      </w:r>
      <w:r w:rsidRPr="003D03AE">
        <w:t>are certificated</w:t>
      </w:r>
      <w:r>
        <w:t xml:space="preserve"> </w:t>
      </w:r>
      <w:r w:rsidRPr="00A72727">
        <w:rPr>
          <w:rFonts w:ascii="Arial" w:hAnsi="Arial" w:cs="Arial"/>
          <w:szCs w:val="24"/>
        </w:rPr>
        <w:t>(New Zealand Ministry of Education (Te Tāhuhu o te Mātauranga) 2020; Teaching Council of Aotearoa New Zealand 2023)</w:t>
      </w:r>
      <w:r w:rsidRPr="003D03AE">
        <w:t>. There</w:t>
      </w:r>
      <w:r w:rsidRPr="003D03AE" w:rsidDel="000F70C9">
        <w:t xml:space="preserve"> </w:t>
      </w:r>
      <w:r w:rsidRPr="003D03AE">
        <w:t>are</w:t>
      </w:r>
      <w:r>
        <w:t xml:space="preserve"> </w:t>
      </w:r>
      <w:r w:rsidRPr="003D03AE">
        <w:t>no</w:t>
      </w:r>
      <w:r w:rsidRPr="009E4524">
        <w:t xml:space="preserve"> minimum qualification </w:t>
      </w:r>
      <w:r>
        <w:t>requirements</w:t>
      </w:r>
      <w:r w:rsidRPr="009E4524">
        <w:t xml:space="preserve"> for staff </w:t>
      </w:r>
      <w:r>
        <w:t xml:space="preserve">in </w:t>
      </w:r>
      <w:r w:rsidRPr="009E4524">
        <w:rPr>
          <w:b/>
          <w:bCs/>
          <w:i/>
          <w:iCs/>
        </w:rPr>
        <w:t>Sweden</w:t>
      </w:r>
      <w:r>
        <w:t xml:space="preserve"> </w:t>
      </w:r>
      <w:r w:rsidRPr="009E4524">
        <w:t>in</w:t>
      </w:r>
      <w:r>
        <w:t xml:space="preserve"> most</w:t>
      </w:r>
      <w:r w:rsidRPr="009E4524">
        <w:t xml:space="preserve"> preschool</w:t>
      </w:r>
      <w:r>
        <w:t>s,</w:t>
      </w:r>
      <w:r w:rsidRPr="009E4524">
        <w:t xml:space="preserve"> but staff should have </w:t>
      </w:r>
      <w:r>
        <w:t>relevant</w:t>
      </w:r>
      <w:r w:rsidRPr="009E4524">
        <w:t xml:space="preserve"> </w:t>
      </w:r>
      <w:r>
        <w:t>training</w:t>
      </w:r>
      <w:r w:rsidRPr="009E4524">
        <w:t xml:space="preserve"> or</w:t>
      </w:r>
      <w:r>
        <w:t xml:space="preserve"> experience, and t</w:t>
      </w:r>
      <w:r w:rsidRPr="009E4524">
        <w:t xml:space="preserve">here must be at least one person </w:t>
      </w:r>
      <w:r>
        <w:t>with a relevant university degree in the service. All staff in Sweden’s preschool classes that specifically cater to 6</w:t>
      </w:r>
      <w:r>
        <w:noBreakHyphen/>
        <w:t>year</w:t>
      </w:r>
      <w:r>
        <w:noBreakHyphen/>
        <w:t xml:space="preserve">olds, however, must have a university degree </w:t>
      </w:r>
      <w:r w:rsidRPr="00A72727">
        <w:rPr>
          <w:rFonts w:ascii="Arial" w:hAnsi="Arial" w:cs="Arial"/>
          <w:szCs w:val="24"/>
        </w:rPr>
        <w:t>(European Commission 2022e)</w:t>
      </w:r>
      <w:r>
        <w:t>.</w:t>
      </w:r>
    </w:p>
    <w:p w14:paraId="5D340C50" w14:textId="77777777" w:rsidR="00EC5BB1" w:rsidRDefault="00EC5BB1" w:rsidP="00882158">
      <w:pPr>
        <w:pStyle w:val="BodyText"/>
      </w:pPr>
      <w:r>
        <w:t>In some countries, qualification requirements are less strict outside of centre</w:t>
      </w:r>
      <w:r>
        <w:noBreakHyphen/>
        <w:t xml:space="preserve">based settings. In </w:t>
      </w:r>
      <w:r w:rsidRPr="005D1D4E">
        <w:rPr>
          <w:b/>
          <w:bCs/>
          <w:i/>
          <w:iCs/>
        </w:rPr>
        <w:t>British Columbia</w:t>
      </w:r>
      <w:r>
        <w:t>, educators working in family day care settings or in OSHC services (with school</w:t>
      </w:r>
      <w:r>
        <w:noBreakHyphen/>
        <w:t>age children) do not require any ECEC qualifications and are only required to be deemed ‘responsible adults’ – they must be over 19 years old, complete a 20</w:t>
      </w:r>
      <w:r>
        <w:noBreakHyphen/>
        <w:t xml:space="preserve">hour course, have some relevant work experience and complete a criminal record check </w:t>
      </w:r>
      <w:r w:rsidRPr="00FE7BF3">
        <w:rPr>
          <w:rFonts w:ascii="Arial" w:hAnsi="Arial" w:cs="Arial"/>
          <w:szCs w:val="24"/>
        </w:rPr>
        <w:t>(Beach et al. 2023, p. 209)</w:t>
      </w:r>
      <w:r>
        <w:t xml:space="preserve">. Similarly, ‘childminders’ in </w:t>
      </w:r>
      <w:r w:rsidRPr="009E4524">
        <w:rPr>
          <w:b/>
          <w:bCs/>
          <w:i/>
          <w:iCs/>
        </w:rPr>
        <w:t>Ireland’s</w:t>
      </w:r>
      <w:r>
        <w:t xml:space="preserve"> family day care sector do not currently have any minimum qualification requirements, however these will be introduced by 2028 as the sector is brought into the scope of government regulation </w:t>
      </w:r>
      <w:r w:rsidRPr="0000455F">
        <w:rPr>
          <w:rFonts w:ascii="Arial" w:hAnsi="Arial" w:cs="Arial"/>
          <w:szCs w:val="24"/>
        </w:rPr>
        <w:t>(Government of Ireland 2021, p. 15)</w:t>
      </w:r>
      <w:r>
        <w:t>.</w:t>
      </w:r>
    </w:p>
    <w:p w14:paraId="30C92F62" w14:textId="77777777" w:rsidR="00EC5BB1" w:rsidRDefault="00EC5BB1" w:rsidP="00882158">
      <w:pPr>
        <w:pStyle w:val="Heading4"/>
      </w:pPr>
      <w:r>
        <w:t>Measures in response to workforce constraints</w:t>
      </w:r>
    </w:p>
    <w:p w14:paraId="312B7FAB" w14:textId="77777777" w:rsidR="00EC5BB1" w:rsidRDefault="00EC5BB1" w:rsidP="00882158">
      <w:pPr>
        <w:pStyle w:val="BodyText"/>
      </w:pPr>
      <w:r>
        <w:t>Like Australia, many countries are struggling with workforce constraints in their ECEC sectors. There is a large focus internationally on the relatively low wages paid to ECEC educators, and this is resulting in challenges in attracting and retaining staff.</w:t>
      </w:r>
    </w:p>
    <w:p w14:paraId="6CCD9E62" w14:textId="77777777" w:rsidR="00EC5BB1" w:rsidRDefault="00EC5BB1" w:rsidP="00882158">
      <w:pPr>
        <w:pStyle w:val="BodyText"/>
      </w:pPr>
      <w:r>
        <w:t xml:space="preserve">Workforce constraints have meant some countries have had to delay or alter plans to introduce reforms, such as in the </w:t>
      </w:r>
      <w:r w:rsidRPr="001108F7">
        <w:rPr>
          <w:b/>
          <w:bCs/>
          <w:i/>
          <w:iCs/>
        </w:rPr>
        <w:t>Netherland</w:t>
      </w:r>
      <w:r w:rsidRPr="00F820CC">
        <w:rPr>
          <w:b/>
          <w:i/>
        </w:rPr>
        <w:t>s</w:t>
      </w:r>
      <w:r>
        <w:t xml:space="preserve"> where the rollout</w:t>
      </w:r>
      <w:r w:rsidRPr="009E6C04">
        <w:t xml:space="preserve"> of</w:t>
      </w:r>
      <w:r>
        <w:t xml:space="preserve"> a </w:t>
      </w:r>
      <w:r w:rsidRPr="009E6C04">
        <w:t>96% universal subsidy</w:t>
      </w:r>
      <w:r>
        <w:t xml:space="preserve"> has been delayed</w:t>
      </w:r>
      <w:r w:rsidRPr="009E6C04">
        <w:t xml:space="preserve"> </w:t>
      </w:r>
      <w:r>
        <w:t>by</w:t>
      </w:r>
      <w:r w:rsidRPr="009E6C04">
        <w:t xml:space="preserve"> two years due to concerns regarding service quality and workforce </w:t>
      </w:r>
      <w:r>
        <w:t xml:space="preserve">size </w:t>
      </w:r>
      <w:r w:rsidRPr="00792A9E">
        <w:rPr>
          <w:rFonts w:ascii="Arial" w:hAnsi="Arial" w:cs="Arial"/>
          <w:szCs w:val="24"/>
        </w:rPr>
        <w:t>(NL Times 2023)</w:t>
      </w:r>
      <w:r>
        <w:t xml:space="preserve">. </w:t>
      </w:r>
      <w:r w:rsidRPr="001361E6">
        <w:t xml:space="preserve">In 2021 in </w:t>
      </w:r>
      <w:r w:rsidRPr="001108F7">
        <w:rPr>
          <w:b/>
          <w:bCs/>
          <w:i/>
          <w:iCs/>
        </w:rPr>
        <w:t>British Columbia</w:t>
      </w:r>
      <w:r>
        <w:rPr>
          <w:b/>
          <w:bCs/>
          <w:i/>
          <w:iCs/>
        </w:rPr>
        <w:t xml:space="preserve"> </w:t>
      </w:r>
      <w:r w:rsidRPr="00F820CC">
        <w:t>–</w:t>
      </w:r>
      <w:r w:rsidRPr="001361E6">
        <w:t xml:space="preserve"> </w:t>
      </w:r>
      <w:r>
        <w:t xml:space="preserve">which, as noted above, is also undertaking significant reforms to their ECEC policy – </w:t>
      </w:r>
      <w:r w:rsidRPr="001361E6">
        <w:t xml:space="preserve">45% of ECEC employers were losing more staff than they could hire, and 27% </w:t>
      </w:r>
      <w:r>
        <w:t>of services</w:t>
      </w:r>
      <w:r w:rsidRPr="001361E6">
        <w:t xml:space="preserve"> had to refuse </w:t>
      </w:r>
      <w:r>
        <w:t>enrolments</w:t>
      </w:r>
      <w:r w:rsidRPr="001361E6">
        <w:t xml:space="preserve"> due to a lack of qualified staff</w:t>
      </w:r>
      <w:r>
        <w:t xml:space="preserve"> </w:t>
      </w:r>
      <w:r w:rsidRPr="00C953F6">
        <w:rPr>
          <w:rFonts w:ascii="Arial" w:hAnsi="Arial" w:cs="Arial"/>
          <w:szCs w:val="24"/>
        </w:rPr>
        <w:t>(The Social Research and Demonstration Corporation 2021, pp. 279–282)</w:t>
      </w:r>
      <w:r w:rsidRPr="001361E6">
        <w:t>.</w:t>
      </w:r>
    </w:p>
    <w:p w14:paraId="2741F895" w14:textId="77777777" w:rsidR="00EC5BB1" w:rsidRDefault="00EC5BB1" w:rsidP="00882158">
      <w:pPr>
        <w:pStyle w:val="BodyText"/>
      </w:pPr>
      <w:r>
        <w:t xml:space="preserve">Pay parity with similarly qualified educators working in other settings is another issue shared by other countries. In </w:t>
      </w:r>
      <w:r w:rsidRPr="00231210">
        <w:rPr>
          <w:b/>
          <w:bCs/>
          <w:i/>
          <w:iCs/>
        </w:rPr>
        <w:t>New Zealand</w:t>
      </w:r>
      <w:r>
        <w:t>, wages for educators in education and care services (the equivalent of centre</w:t>
      </w:r>
      <w:r>
        <w:noBreakHyphen/>
        <w:t>based day care services in Australia) have</w:t>
      </w:r>
      <w:r w:rsidRPr="001361E6">
        <w:t xml:space="preserve"> traditionally been lower than wages for </w:t>
      </w:r>
      <w:r>
        <w:t xml:space="preserve">educators working </w:t>
      </w:r>
      <w:r w:rsidRPr="0088610C">
        <w:t>in</w:t>
      </w:r>
      <w:r>
        <w:t xml:space="preserve"> k</w:t>
      </w:r>
      <w:r w:rsidRPr="0088610C">
        <w:t>indergarten service</w:t>
      </w:r>
      <w:r>
        <w:t>s.</w:t>
      </w:r>
      <w:r>
        <w:rPr>
          <w:rStyle w:val="FootnoteReference"/>
        </w:rPr>
        <w:footnoteReference w:id="6"/>
      </w:r>
      <w:r>
        <w:t xml:space="preserve"> Education and care educators earned 23% less (on average) than those working in kindergartens in 2019 – despite having </w:t>
      </w:r>
      <w:r w:rsidRPr="00922EC6">
        <w:t>the same qualifications</w:t>
      </w:r>
      <w:r>
        <w:t xml:space="preserve"> and largely working with children of the same age</w:t>
      </w:r>
      <w:r w:rsidRPr="001361E6">
        <w:t xml:space="preserve">. </w:t>
      </w:r>
      <w:r>
        <w:t>It was estimated that this</w:t>
      </w:r>
      <w:r w:rsidRPr="001361E6">
        <w:t xml:space="preserve"> gap </w:t>
      </w:r>
      <w:r>
        <w:t>could</w:t>
      </w:r>
      <w:r w:rsidRPr="001361E6">
        <w:t xml:space="preserve"> widen to up to 49</w:t>
      </w:r>
      <w:r>
        <w:t xml:space="preserve">% in some cases </w:t>
      </w:r>
      <w:r w:rsidRPr="001361E6">
        <w:t xml:space="preserve">after kindergarten </w:t>
      </w:r>
      <w:r>
        <w:t>educators</w:t>
      </w:r>
      <w:r w:rsidRPr="001361E6">
        <w:t xml:space="preserve"> </w:t>
      </w:r>
      <w:r>
        <w:t>received</w:t>
      </w:r>
      <w:r w:rsidRPr="001361E6">
        <w:t xml:space="preserve"> an 18.5</w:t>
      </w:r>
      <w:r>
        <w:t>%</w:t>
      </w:r>
      <w:r w:rsidRPr="001361E6">
        <w:t xml:space="preserve"> pay </w:t>
      </w:r>
      <w:r>
        <w:t>increase</w:t>
      </w:r>
      <w:r w:rsidRPr="001361E6">
        <w:t xml:space="preserve"> over two years</w:t>
      </w:r>
      <w:r>
        <w:t xml:space="preserve"> from 2019,</w:t>
      </w:r>
      <w:r w:rsidRPr="001361E6">
        <w:t xml:space="preserve"> </w:t>
      </w:r>
      <w:r>
        <w:t>which</w:t>
      </w:r>
      <w:r w:rsidDel="006B7AAA">
        <w:t xml:space="preserve"> </w:t>
      </w:r>
      <w:r>
        <w:t>was aimed at keeping</w:t>
      </w:r>
      <w:r w:rsidRPr="001361E6">
        <w:t xml:space="preserve"> </w:t>
      </w:r>
      <w:r>
        <w:t>their own pay rates</w:t>
      </w:r>
      <w:r w:rsidRPr="001361E6">
        <w:t xml:space="preserve"> in line with </w:t>
      </w:r>
      <w:r>
        <w:t>those of</w:t>
      </w:r>
      <w:r w:rsidRPr="001361E6">
        <w:t xml:space="preserve"> </w:t>
      </w:r>
      <w:r>
        <w:t>primary school</w:t>
      </w:r>
      <w:r w:rsidRPr="001361E6">
        <w:t xml:space="preserve"> teachers</w:t>
      </w:r>
      <w:r>
        <w:t xml:space="preserve"> </w:t>
      </w:r>
      <w:r w:rsidRPr="00A72727">
        <w:rPr>
          <w:rFonts w:ascii="Arial" w:hAnsi="Arial" w:cs="Arial"/>
          <w:szCs w:val="24"/>
        </w:rPr>
        <w:t>(Collins 2020)</w:t>
      </w:r>
      <w:r w:rsidRPr="001361E6">
        <w:t>.</w:t>
      </w:r>
    </w:p>
    <w:p w14:paraId="28EA4406" w14:textId="77777777" w:rsidR="00EC5BB1" w:rsidRDefault="00EC5BB1" w:rsidP="00882158">
      <w:pPr>
        <w:pStyle w:val="BodyText"/>
      </w:pPr>
      <w:r>
        <w:t xml:space="preserve">The policies that governments are introducing to combat these challenges vary. As noted above, </w:t>
      </w:r>
      <w:r w:rsidRPr="003D5F97">
        <w:rPr>
          <w:b/>
          <w:bCs/>
          <w:i/>
          <w:iCs/>
        </w:rPr>
        <w:t>New Zealand</w:t>
      </w:r>
      <w:r>
        <w:t xml:space="preserve"> and </w:t>
      </w:r>
      <w:r w:rsidRPr="003D5F97">
        <w:rPr>
          <w:b/>
          <w:bCs/>
          <w:i/>
          <w:iCs/>
        </w:rPr>
        <w:t>Ireland</w:t>
      </w:r>
      <w:r>
        <w:t xml:space="preserve"> are requiring services to increase wages as a condition of receiving new operational funding. The pay parity opt</w:t>
      </w:r>
      <w:r>
        <w:noBreakHyphen/>
        <w:t xml:space="preserve">in scheme in </w:t>
      </w:r>
      <w:r w:rsidRPr="003D5F97">
        <w:t>New Zealand</w:t>
      </w:r>
      <w:r>
        <w:t xml:space="preserve"> provides higher funding rates to ECEC services that pay all teachers in line with the national ECE Funding Handbook, and Ireland is supporting</w:t>
      </w:r>
      <w:r w:rsidRPr="00FB75A0">
        <w:t xml:space="preserve"> services to </w:t>
      </w:r>
      <w:r w:rsidRPr="00FB75A0">
        <w:lastRenderedPageBreak/>
        <w:t>increase educator wages by introducing minimum pay rates as part of services’ Core Funding budgets</w:t>
      </w:r>
      <w:r>
        <w:t xml:space="preserve"> </w:t>
      </w:r>
      <w:r w:rsidRPr="000576FE">
        <w:rPr>
          <w:rFonts w:ascii="Arial" w:hAnsi="Arial" w:cs="Arial"/>
          <w:szCs w:val="24"/>
        </w:rPr>
        <w:t>(New Zealand Ministry of Education (Te Tāhuhu o te Mātauranga) 2023c; O’Gorman 2022)</w:t>
      </w:r>
      <w:r>
        <w:t xml:space="preserve">. </w:t>
      </w:r>
      <w:r w:rsidRPr="00A94E05">
        <w:rPr>
          <w:b/>
          <w:bCs/>
          <w:i/>
          <w:iCs/>
        </w:rPr>
        <w:t>British Columbia</w:t>
      </w:r>
      <w:r>
        <w:t xml:space="preserve"> is also expected to introduce a ‘wage grid’ for educators as a commitment under the Canada</w:t>
      </w:r>
      <w:r>
        <w:noBreakHyphen/>
        <w:t xml:space="preserve">wide plan, which will set minimum wages and pay increases that correspond to educators’ skills and experience </w:t>
      </w:r>
      <w:r w:rsidRPr="000E772C">
        <w:rPr>
          <w:rFonts w:ascii="Arial" w:hAnsi="Arial" w:cs="Arial"/>
          <w:szCs w:val="24"/>
        </w:rPr>
        <w:t>(Beach et al. 2023, p. 196)</w:t>
      </w:r>
      <w:r>
        <w:t>.</w:t>
      </w:r>
    </w:p>
    <w:p w14:paraId="3E405021" w14:textId="646192EA" w:rsidR="00EC5BB1" w:rsidRDefault="00EC5BB1" w:rsidP="00882158">
      <w:pPr>
        <w:pStyle w:val="BodyText"/>
      </w:pPr>
      <w:r>
        <w:t xml:space="preserve">Some governments have also introduced direct wage subsidies to publicly fund these pay increases. </w:t>
      </w:r>
      <w:r w:rsidRPr="003D5F97">
        <w:t xml:space="preserve">In </w:t>
      </w:r>
      <w:r w:rsidRPr="00CF16E9">
        <w:rPr>
          <w:b/>
          <w:bCs/>
          <w:i/>
          <w:iCs/>
        </w:rPr>
        <w:t>New Zealand</w:t>
      </w:r>
      <w:r w:rsidRPr="003D5F97">
        <w:t xml:space="preserve">, the government announced a publicly funded </w:t>
      </w:r>
      <w:r>
        <w:t>10</w:t>
      </w:r>
      <w:r w:rsidRPr="003D5F97">
        <w:t xml:space="preserve">% increase in the minimum </w:t>
      </w:r>
      <w:r>
        <w:t xml:space="preserve">pay </w:t>
      </w:r>
      <w:r w:rsidRPr="003D5F97">
        <w:t xml:space="preserve">rate for qualified </w:t>
      </w:r>
      <w:r>
        <w:t>educators working in education and care services</w:t>
      </w:r>
      <w:r w:rsidRPr="003D5F97">
        <w:t xml:space="preserve"> to match the starting rate for </w:t>
      </w:r>
      <w:r>
        <w:t>k</w:t>
      </w:r>
      <w:r w:rsidRPr="003D5F97">
        <w:t xml:space="preserve">indergarten </w:t>
      </w:r>
      <w:r>
        <w:t xml:space="preserve">educators. While this is largely only provided to new teachers entering the sector, the government has indicated that this is only a first step and that further support can be expected </w:t>
      </w:r>
      <w:r w:rsidRPr="0055344D">
        <w:rPr>
          <w:rFonts w:ascii="Arial" w:hAnsi="Arial" w:cs="Arial"/>
          <w:szCs w:val="24"/>
        </w:rPr>
        <w:t>(New Zealand Government 2020)</w:t>
      </w:r>
      <w:r w:rsidRPr="003D5F97">
        <w:t xml:space="preserve">. </w:t>
      </w:r>
      <w:r w:rsidRPr="00CF16E9">
        <w:rPr>
          <w:b/>
          <w:bCs/>
          <w:i/>
          <w:iCs/>
        </w:rPr>
        <w:t>British Columbia</w:t>
      </w:r>
      <w:r>
        <w:t xml:space="preserve"> has introduced a wider government funded ‘wage enhancement’ to all ECEC educators, which started as a one dollar (A</w:t>
      </w:r>
      <w:r w:rsidR="0026618F">
        <w:t>$</w:t>
      </w:r>
      <w:r>
        <w:t>1.10) per hour wage increase in 2019 and has risen to six dollars (A</w:t>
      </w:r>
      <w:r w:rsidR="0026618F">
        <w:t>$</w:t>
      </w:r>
      <w:r>
        <w:t xml:space="preserve">6.60) per hour by 2024 </w:t>
      </w:r>
      <w:r w:rsidRPr="00F56A41">
        <w:rPr>
          <w:rFonts w:ascii="Arial" w:hAnsi="Arial" w:cs="Arial"/>
        </w:rPr>
        <w:t>(Government of British Columbia 2023)</w:t>
      </w:r>
      <w:r>
        <w:t>. This represents approximately a 30% increase on the median wage for educators of C</w:t>
      </w:r>
      <w:r w:rsidR="0026618F">
        <w:t>$</w:t>
      </w:r>
      <w:r>
        <w:t>21 (A</w:t>
      </w:r>
      <w:r w:rsidR="0026618F">
        <w:t>$</w:t>
      </w:r>
      <w:r>
        <w:t xml:space="preserve">24) per hour </w:t>
      </w:r>
      <w:r w:rsidRPr="00EC021F">
        <w:rPr>
          <w:rFonts w:ascii="Arial" w:hAnsi="Arial" w:cs="Arial"/>
          <w:szCs w:val="24"/>
        </w:rPr>
        <w:t>(Beach et al. 2023, p. 208)</w:t>
      </w:r>
      <w:r>
        <w:t>.</w:t>
      </w:r>
    </w:p>
    <w:p w14:paraId="444ED36F" w14:textId="77777777" w:rsidR="00EC5BB1" w:rsidRDefault="00EC5BB1" w:rsidP="00882158">
      <w:pPr>
        <w:pStyle w:val="BodyText"/>
      </w:pPr>
      <w:r>
        <w:t xml:space="preserve">In response to workforce constraints, the </w:t>
      </w:r>
      <w:r w:rsidRPr="007719DB">
        <w:rPr>
          <w:b/>
          <w:bCs/>
          <w:i/>
          <w:iCs/>
        </w:rPr>
        <w:t>Netherlands</w:t>
      </w:r>
      <w:r>
        <w:t xml:space="preserve"> has tried to help services reduce the number of staff required to meet demand for ECEC, including by introducing fee discounts on days with lower occupancy rates, and extending an exemption that allows half of all employees in a service to be ‘working towards’ a qualification until July 2024. A measure to relax</w:t>
      </w:r>
      <w:r w:rsidRPr="00931722">
        <w:t xml:space="preserve"> educator</w:t>
      </w:r>
      <w:r>
        <w:noBreakHyphen/>
        <w:t>to</w:t>
      </w:r>
      <w:r>
        <w:noBreakHyphen/>
      </w:r>
      <w:r w:rsidRPr="00931722">
        <w:t>child ratios was also proposed</w:t>
      </w:r>
      <w:r>
        <w:t xml:space="preserve"> but was not introduced </w:t>
      </w:r>
      <w:r w:rsidRPr="00310ACB">
        <w:rPr>
          <w:rFonts w:ascii="Arial" w:hAnsi="Arial" w:cs="Arial"/>
          <w:szCs w:val="24"/>
        </w:rPr>
        <w:t>(Álvarez Umbarila 2022)</w:t>
      </w:r>
      <w:r>
        <w:t xml:space="preserve">. </w:t>
      </w:r>
      <w:r>
        <w:br w:type="page"/>
      </w:r>
    </w:p>
    <w:p w14:paraId="6B68277D" w14:textId="77777777" w:rsidR="00572DDC" w:rsidRDefault="00EC5BB1" w:rsidP="00572DDC">
      <w:pPr>
        <w:pStyle w:val="Heading2-nonumber"/>
        <w:sectPr w:rsidR="00572DDC" w:rsidSect="00572DDC">
          <w:headerReference w:type="default" r:id="rId35"/>
          <w:footnotePr>
            <w:numRestart w:val="eachSect"/>
          </w:footnotePr>
          <w:type w:val="oddPage"/>
          <w:pgSz w:w="11906" w:h="16838" w:code="9"/>
          <w:pgMar w:top="1134" w:right="1134" w:bottom="1134" w:left="1134" w:header="794" w:footer="510" w:gutter="0"/>
          <w:cols w:space="708"/>
          <w:docGrid w:linePitch="360"/>
        </w:sectPr>
      </w:pPr>
      <w:bookmarkStart w:id="8" w:name="_Toc172213570"/>
      <w:r>
        <w:lastRenderedPageBreak/>
        <w:t>References</w:t>
      </w:r>
      <w:bookmarkEnd w:id="8"/>
    </w:p>
    <w:p w14:paraId="75CE1007" w14:textId="77777777" w:rsidR="00EC5BB1" w:rsidRDefault="00EC5BB1" w:rsidP="00882158">
      <w:pPr>
        <w:pStyle w:val="Reference"/>
      </w:pPr>
      <w:r>
        <w:t xml:space="preserve">ACECQA (Australian Children’s Education and Care Quality Authority) 2023, </w:t>
      </w:r>
      <w:r>
        <w:rPr>
          <w:i/>
          <w:iCs/>
        </w:rPr>
        <w:t>Guide to the National Quality Framework</w:t>
      </w:r>
      <w:r>
        <w:t>.</w:t>
      </w:r>
    </w:p>
    <w:p w14:paraId="7D49D972" w14:textId="77777777" w:rsidR="00EC5BB1" w:rsidRDefault="00EC5BB1" w:rsidP="00882158">
      <w:pPr>
        <w:pStyle w:val="Reference"/>
      </w:pPr>
      <w:r>
        <w:t xml:space="preserve">Akgunduz, YE and Plantenga, J 2014, ‘Childcare in the Netherlands: lessons in privatisation’, </w:t>
      </w:r>
      <w:r>
        <w:rPr>
          <w:i/>
          <w:iCs/>
        </w:rPr>
        <w:t>European Early Childhood Education Research Journal</w:t>
      </w:r>
      <w:r>
        <w:t>, vol. 22, no. 3, pp. 379–385.</w:t>
      </w:r>
    </w:p>
    <w:p w14:paraId="1527E2D4" w14:textId="59CF66A3" w:rsidR="00EC5BB1" w:rsidRDefault="00EC5BB1" w:rsidP="00882158">
      <w:pPr>
        <w:pStyle w:val="Reference"/>
      </w:pPr>
      <w:r>
        <w:t xml:space="preserve">Álvarez Umbarila, J 2022, </w:t>
      </w:r>
      <w:r>
        <w:rPr>
          <w:i/>
          <w:iCs/>
        </w:rPr>
        <w:t>New plans to reduce staff shortage in childcare</w:t>
      </w:r>
      <w:r>
        <w:t>, The Holland Times, https://www.hollandtimes.nl/</w:t>
      </w:r>
      <w:r w:rsidR="009634E0">
        <w:br/>
      </w:r>
      <w:r>
        <w:t>2022-edition-8-october/new-plans-to-reduce-staff-shortage-in-childcare/ (accessed 18 August 2023).</w:t>
      </w:r>
    </w:p>
    <w:p w14:paraId="36358E99" w14:textId="77777777" w:rsidR="00EC5BB1" w:rsidRDefault="00EC5BB1" w:rsidP="00882158">
      <w:pPr>
        <w:pStyle w:val="Reference"/>
      </w:pPr>
      <w:r>
        <w:t xml:space="preserve">Beach, J, Friendly, M, Nguyen, NT, Borges Nogueira, P, Taylor, M, Mohamed, S, Rothman, L and Forer, B 2023, </w:t>
      </w:r>
      <w:r>
        <w:rPr>
          <w:i/>
          <w:iCs/>
        </w:rPr>
        <w:t>Early childhood education and care in Canada 2021</w:t>
      </w:r>
      <w:r>
        <w:t>, Childcare Resource and Research Unit.</w:t>
      </w:r>
    </w:p>
    <w:p w14:paraId="3FAC442C" w14:textId="77777777" w:rsidR="00EC5BB1" w:rsidRDefault="00EC5BB1" w:rsidP="00882158">
      <w:pPr>
        <w:pStyle w:val="Reference"/>
      </w:pPr>
      <w:r>
        <w:t xml:space="preserve">Collins, S 2020, </w:t>
      </w:r>
      <w:r>
        <w:rPr>
          <w:i/>
          <w:iCs/>
        </w:rPr>
        <w:t>Budget 2020: big pay hike for beginning early childhood teachers</w:t>
      </w:r>
      <w:r>
        <w:t>, NZ Herald, https://www.nzherald.co.nz/nz/budget-2020-big-pay-hike-for-beginning-early-childhood-teachers/6G3M6PLF6MOY6GMQFO3BKPAGJA/ (accessed 14 August 2023).</w:t>
      </w:r>
    </w:p>
    <w:p w14:paraId="4EC0157D" w14:textId="77777777" w:rsidR="00EC5BB1" w:rsidRDefault="00EC5BB1" w:rsidP="00882158">
      <w:pPr>
        <w:pStyle w:val="Reference"/>
      </w:pPr>
      <w:r>
        <w:t xml:space="preserve">Council of the European Union 2022, </w:t>
      </w:r>
      <w:r>
        <w:rPr>
          <w:i/>
          <w:iCs/>
        </w:rPr>
        <w:t>Council recommendation on early childhood education and care: the Barcelona targets for 2030</w:t>
      </w:r>
      <w:r>
        <w:t>.</w:t>
      </w:r>
    </w:p>
    <w:p w14:paraId="3A053D85" w14:textId="77777777" w:rsidR="00EC5BB1" w:rsidRDefault="00EC5BB1" w:rsidP="00882158">
      <w:pPr>
        <w:pStyle w:val="Reference"/>
      </w:pPr>
      <w:r>
        <w:t xml:space="preserve">Donegal Childcare 2022, </w:t>
      </w:r>
      <w:r>
        <w:rPr>
          <w:i/>
          <w:iCs/>
        </w:rPr>
        <w:t>Types of childcare</w:t>
      </w:r>
      <w:r>
        <w:t>, https://donegalchildcare.com/parents/types-of-childcare/ (accessed 18 August 2023).</w:t>
      </w:r>
    </w:p>
    <w:p w14:paraId="7615DA60" w14:textId="1E4D37AE" w:rsidR="00EC5BB1" w:rsidRPr="009634E0" w:rsidRDefault="00EC5BB1" w:rsidP="00882158">
      <w:pPr>
        <w:pStyle w:val="Reference"/>
        <w:rPr>
          <w:spacing w:val="-4"/>
        </w:rPr>
      </w:pPr>
      <w:r w:rsidRPr="009634E0">
        <w:rPr>
          <w:spacing w:val="-4"/>
        </w:rPr>
        <w:t xml:space="preserve">Early Childhood Ireland 2022, </w:t>
      </w:r>
      <w:r w:rsidRPr="009634E0">
        <w:rPr>
          <w:i/>
          <w:iCs/>
          <w:spacing w:val="-4"/>
        </w:rPr>
        <w:t>Publication of the annual early years sector profile report 2020/21</w:t>
      </w:r>
      <w:r w:rsidRPr="009634E0">
        <w:rPr>
          <w:spacing w:val="-4"/>
        </w:rPr>
        <w:t>, https://www.earlychildhoodireland.</w:t>
      </w:r>
      <w:r w:rsidR="009634E0">
        <w:rPr>
          <w:spacing w:val="-4"/>
        </w:rPr>
        <w:br/>
      </w:r>
      <w:r w:rsidRPr="009634E0">
        <w:rPr>
          <w:spacing w:val="-4"/>
        </w:rPr>
        <w:t>ie/publication-of-the-annual-early-years-sector-profile-report-2020-21/ (accessed 29 August 2023).</w:t>
      </w:r>
    </w:p>
    <w:p w14:paraId="3F678485" w14:textId="77777777" w:rsidR="00EC5BB1" w:rsidRDefault="00EC5BB1" w:rsidP="00882158">
      <w:pPr>
        <w:pStyle w:val="Reference"/>
      </w:pPr>
      <w:r>
        <w:t xml:space="preserve">Ellingsæter, AL 2012, </w:t>
      </w:r>
      <w:r>
        <w:rPr>
          <w:i/>
          <w:iCs/>
        </w:rPr>
        <w:t>Cash for care: experiences from Finland, Norway and Sweden</w:t>
      </w:r>
      <w:r>
        <w:t>.</w:t>
      </w:r>
    </w:p>
    <w:p w14:paraId="0153AEAC" w14:textId="77777777" w:rsidR="00EC5BB1" w:rsidRDefault="00EC5BB1" w:rsidP="00882158">
      <w:pPr>
        <w:pStyle w:val="Reference"/>
      </w:pPr>
      <w:r>
        <w:t xml:space="preserve">European Commission 2019, </w:t>
      </w:r>
      <w:r>
        <w:rPr>
          <w:i/>
          <w:iCs/>
        </w:rPr>
        <w:t>Key data on early childhood education and care in Europe - 2019 edition</w:t>
      </w:r>
      <w:r>
        <w:t>.</w:t>
      </w:r>
    </w:p>
    <w:p w14:paraId="0260B37C" w14:textId="358C49DA" w:rsidR="00EC5BB1" w:rsidRDefault="00EC5BB1" w:rsidP="00882158">
      <w:pPr>
        <w:pStyle w:val="Reference"/>
      </w:pPr>
      <w:r>
        <w:t>——</w:t>
      </w:r>
      <w:r w:rsidR="00A4275B">
        <w:t> </w:t>
      </w:r>
      <w:r>
        <w:t xml:space="preserve">2022a, </w:t>
      </w:r>
      <w:r>
        <w:rPr>
          <w:i/>
          <w:iCs/>
        </w:rPr>
        <w:t>Educational guidelines</w:t>
      </w:r>
      <w:r>
        <w:t>, Eurydice, https://eurydice.eacea.ec.europa.eu/national-education-systems/netherlands/educational-guidelines (accessed 29 June 2023).</w:t>
      </w:r>
    </w:p>
    <w:p w14:paraId="52D25BF6" w14:textId="4DC4EAF2" w:rsidR="00EC5BB1" w:rsidRDefault="00EC5BB1" w:rsidP="00882158">
      <w:pPr>
        <w:pStyle w:val="Reference"/>
      </w:pPr>
      <w:r>
        <w:t>——</w:t>
      </w:r>
      <w:r w:rsidR="00A4275B">
        <w:t> </w:t>
      </w:r>
      <w:r>
        <w:t xml:space="preserve">2022b, </w:t>
      </w:r>
      <w:r>
        <w:rPr>
          <w:i/>
          <w:iCs/>
        </w:rPr>
        <w:t>Netherlands - Organisation of centre-based ECEC</w:t>
      </w:r>
      <w:r>
        <w:t>, Eurydice, https://eurydice.eacea.ec.europa.eu/national-education-systems/netherlands/organisation-centre-based-ecec (accessed 20 October 2023).</w:t>
      </w:r>
    </w:p>
    <w:p w14:paraId="6B1ECF61" w14:textId="4C28C6BC" w:rsidR="00EC5BB1" w:rsidRDefault="00EC5BB1" w:rsidP="00882158">
      <w:pPr>
        <w:pStyle w:val="Reference"/>
      </w:pPr>
      <w:r>
        <w:t>——</w:t>
      </w:r>
      <w:r w:rsidR="00A4275B">
        <w:t> </w:t>
      </w:r>
      <w:r>
        <w:t xml:space="preserve">2022c, </w:t>
      </w:r>
      <w:r>
        <w:rPr>
          <w:i/>
          <w:iCs/>
        </w:rPr>
        <w:t>Sweden - Access</w:t>
      </w:r>
      <w:r>
        <w:t>, Eurydice, https://eurydice.eacea.ec.europa.eu/national-education-systems/sweden/access (accessed 18 August 2023).</w:t>
      </w:r>
    </w:p>
    <w:p w14:paraId="1806BA1F" w14:textId="2FA7390B" w:rsidR="00EC5BB1" w:rsidRDefault="00EC5BB1" w:rsidP="00882158">
      <w:pPr>
        <w:pStyle w:val="Reference"/>
      </w:pPr>
      <w:r>
        <w:t>——</w:t>
      </w:r>
      <w:r w:rsidR="00A4275B">
        <w:t> </w:t>
      </w:r>
      <w:r>
        <w:t xml:space="preserve">2022d, </w:t>
      </w:r>
      <w:r>
        <w:rPr>
          <w:i/>
          <w:iCs/>
        </w:rPr>
        <w:t>Sweden - Early childhood education and care</w:t>
      </w:r>
      <w:r>
        <w:t>, Eurydice, https://eurydice.eacea.ec.europa.eu/national-education-systems/sweden/early-childhood-education-and-care (accessed 20 July 2023).</w:t>
      </w:r>
    </w:p>
    <w:p w14:paraId="551EF0BB" w14:textId="7BD710FB" w:rsidR="00EC5BB1" w:rsidRDefault="00EC5BB1" w:rsidP="00882158">
      <w:pPr>
        <w:pStyle w:val="Reference"/>
      </w:pPr>
      <w:r>
        <w:t>——</w:t>
      </w:r>
      <w:r w:rsidR="00A4275B">
        <w:t> </w:t>
      </w:r>
      <w:r>
        <w:t xml:space="preserve">2022e, </w:t>
      </w:r>
      <w:r>
        <w:rPr>
          <w:i/>
          <w:iCs/>
        </w:rPr>
        <w:t>Sweden - Organisation of centre-based ECEC</w:t>
      </w:r>
      <w:r>
        <w:t>, Eurydice, https://eurydice.eacea.ec.europa.eu/national-education-systems/sweden/organisation-centre-based-ecec (accessed 14 August 2023).</w:t>
      </w:r>
    </w:p>
    <w:p w14:paraId="1F061BFD" w14:textId="721C44D9" w:rsidR="00EC5BB1" w:rsidRDefault="00EC5BB1" w:rsidP="00882158">
      <w:pPr>
        <w:pStyle w:val="Reference"/>
      </w:pPr>
      <w:r>
        <w:t>——</w:t>
      </w:r>
      <w:r w:rsidR="00A4275B">
        <w:t> </w:t>
      </w:r>
      <w:r>
        <w:t xml:space="preserve">2023a, </w:t>
      </w:r>
      <w:r>
        <w:rPr>
          <w:i/>
          <w:iCs/>
        </w:rPr>
        <w:t>Netherlands - Early childhood and school education funding</w:t>
      </w:r>
      <w:r>
        <w:t>, Eurydice, https://eurydice.eacea.ec.europa.eu/national-education-systems/netherlands/early-childhood-and-school-education-funding (accessed 29 June 2023).</w:t>
      </w:r>
    </w:p>
    <w:p w14:paraId="486C7B85" w14:textId="6C791A15" w:rsidR="00EC5BB1" w:rsidRDefault="00EC5BB1" w:rsidP="00882158">
      <w:pPr>
        <w:pStyle w:val="Reference"/>
      </w:pPr>
      <w:r>
        <w:t>——</w:t>
      </w:r>
      <w:r w:rsidR="00A4275B">
        <w:t> </w:t>
      </w:r>
      <w:r>
        <w:t xml:space="preserve">2023b, </w:t>
      </w:r>
      <w:r>
        <w:rPr>
          <w:i/>
          <w:iCs/>
        </w:rPr>
        <w:t>Netherlands - Early childhood education and care</w:t>
      </w:r>
      <w:r>
        <w:t>, Eurydice, https://eurydice.eacea.ec.europa.eu/national-education-systems/netherlands/early-childhood-education-and-care (accessed 29 June 2023).</w:t>
      </w:r>
    </w:p>
    <w:p w14:paraId="04CB8984" w14:textId="24386287" w:rsidR="00EC5BB1" w:rsidRDefault="00EC5BB1" w:rsidP="00882158">
      <w:pPr>
        <w:pStyle w:val="Reference"/>
      </w:pPr>
      <w:r>
        <w:t>——</w:t>
      </w:r>
      <w:r w:rsidR="00A4275B">
        <w:t> </w:t>
      </w:r>
      <w:r>
        <w:t xml:space="preserve">2023c, </w:t>
      </w:r>
      <w:r>
        <w:rPr>
          <w:i/>
          <w:iCs/>
        </w:rPr>
        <w:t>Sweden - Parental benefits and benefits related to childbirth</w:t>
      </w:r>
      <w:r>
        <w:t>, https://ec.europa.eu/social/main.jsp?catId=1130&amp;</w:t>
      </w:r>
      <w:r w:rsidR="00721423">
        <w:br/>
      </w:r>
      <w:r>
        <w:t>intPageId=4808&amp;langId=en (accessed 28 August 2023).</w:t>
      </w:r>
    </w:p>
    <w:p w14:paraId="0F674B86" w14:textId="77777777" w:rsidR="00EC5BB1" w:rsidRDefault="00EC5BB1" w:rsidP="00882158">
      <w:pPr>
        <w:pStyle w:val="Reference"/>
      </w:pPr>
      <w:r>
        <w:t xml:space="preserve">Expatica 2023, </w:t>
      </w:r>
      <w:r>
        <w:rPr>
          <w:i/>
          <w:iCs/>
        </w:rPr>
        <w:t>Preschool and daycare in the Netherlands</w:t>
      </w:r>
      <w:r>
        <w:t>, https://www.expatica.com/nl/living/family/preschool-and-daycare-in-the-netherlands-107653/ (accessed 23 November 2023).</w:t>
      </w:r>
    </w:p>
    <w:p w14:paraId="08C8FA7F" w14:textId="77777777" w:rsidR="00EC5BB1" w:rsidRDefault="00EC5BB1" w:rsidP="00882158">
      <w:pPr>
        <w:pStyle w:val="Reference"/>
      </w:pPr>
      <w:r>
        <w:t xml:space="preserve">Fair Work Ombudsman 2022, </w:t>
      </w:r>
      <w:r>
        <w:rPr>
          <w:i/>
          <w:iCs/>
        </w:rPr>
        <w:t>Parental leave &amp; related entitlements</w:t>
      </w:r>
      <w:r>
        <w:t>, Australian Government.</w:t>
      </w:r>
    </w:p>
    <w:p w14:paraId="213E9110" w14:textId="77777777" w:rsidR="00EC5BB1" w:rsidRDefault="00EC5BB1" w:rsidP="00882158">
      <w:pPr>
        <w:pStyle w:val="Reference"/>
      </w:pPr>
      <w:r>
        <w:t xml:space="preserve">Friendly, M, Vickerson, R, Mohamed, S, Rothman, L and Nguyen, NT 2021, </w:t>
      </w:r>
      <w:r>
        <w:rPr>
          <w:i/>
          <w:iCs/>
        </w:rPr>
        <w:t>Risky business: child care ownership in Canada past, present and future</w:t>
      </w:r>
      <w:r>
        <w:t>.</w:t>
      </w:r>
    </w:p>
    <w:p w14:paraId="784FCBC1" w14:textId="77777777" w:rsidR="00EC5BB1" w:rsidRDefault="00EC5BB1" w:rsidP="00882158">
      <w:pPr>
        <w:pStyle w:val="Reference"/>
      </w:pPr>
      <w:r>
        <w:t xml:space="preserve">Garvis, S 2018, </w:t>
      </w:r>
      <w:r>
        <w:rPr>
          <w:i/>
          <w:iCs/>
        </w:rPr>
        <w:t>Country report: Sweden</w:t>
      </w:r>
      <w:r>
        <w:t>, European Public Service Union.</w:t>
      </w:r>
    </w:p>
    <w:p w14:paraId="2848AD1E" w14:textId="77777777" w:rsidR="00EC5BB1" w:rsidRDefault="00EC5BB1" w:rsidP="00882158">
      <w:pPr>
        <w:pStyle w:val="Reference"/>
      </w:pPr>
      <w:r>
        <w:t xml:space="preserve">Giuliani, G and Duvander, A-Z 2016, ‘Cash-for-care policy in Sweden: an appraisal of its consequences on female employment’, </w:t>
      </w:r>
      <w:r>
        <w:rPr>
          <w:i/>
          <w:iCs/>
        </w:rPr>
        <w:t>International Journal of Social Welfare</w:t>
      </w:r>
      <w:r>
        <w:t>, vol. 26, no. 1.</w:t>
      </w:r>
    </w:p>
    <w:p w14:paraId="07261113" w14:textId="77777777" w:rsidR="00EC5BB1" w:rsidRDefault="00EC5BB1" w:rsidP="00882158">
      <w:pPr>
        <w:pStyle w:val="Reference"/>
      </w:pPr>
      <w:r>
        <w:t xml:space="preserve">Government of British Columbia 2023, </w:t>
      </w:r>
      <w:r>
        <w:rPr>
          <w:i/>
          <w:iCs/>
        </w:rPr>
        <w:t>Increased wages recognize early childhood educators’ vital role</w:t>
      </w:r>
      <w:r>
        <w:t>, https://news.gov.bc.ca/releases/2023ECC0079-001671 (accessed 14 June 2024).</w:t>
      </w:r>
    </w:p>
    <w:p w14:paraId="5A69A9B7" w14:textId="77777777" w:rsidR="00EC5BB1" w:rsidRDefault="00EC5BB1" w:rsidP="00882158">
      <w:pPr>
        <w:pStyle w:val="Reference"/>
      </w:pPr>
      <w:r>
        <w:t xml:space="preserve">Government of Canada 2023, </w:t>
      </w:r>
      <w:r>
        <w:rPr>
          <w:i/>
          <w:iCs/>
        </w:rPr>
        <w:t>Deputy Prime Minister highlights new Early Learning and Child Care Infrastructure Fund in Vancouver</w:t>
      </w:r>
      <w:r>
        <w:t>, news release, https://www.canada.ca/en/department-finance/news/2023/07/deputy-prime-minister-highlights-new-early-learning-and-child-care-infrastructure-fund-in-vancouver.html (accessed 18 August 2023).</w:t>
      </w:r>
    </w:p>
    <w:p w14:paraId="22A0CAF1" w14:textId="77777777" w:rsidR="00EC5BB1" w:rsidRDefault="00EC5BB1" w:rsidP="00882158">
      <w:pPr>
        <w:pStyle w:val="Reference"/>
      </w:pPr>
      <w:r>
        <w:t xml:space="preserve">Government of Ireland 2018, </w:t>
      </w:r>
      <w:r>
        <w:rPr>
          <w:i/>
          <w:iCs/>
        </w:rPr>
        <w:t>First 5: a whole-of-government strategy for babies, young children and their families 2019-2028</w:t>
      </w:r>
      <w:r>
        <w:t>.</w:t>
      </w:r>
    </w:p>
    <w:p w14:paraId="0D9643E4" w14:textId="2ADA3889" w:rsidR="00EC5BB1" w:rsidRDefault="00EC5BB1" w:rsidP="00882158">
      <w:pPr>
        <w:pStyle w:val="Reference"/>
      </w:pPr>
      <w:r>
        <w:t>——</w:t>
      </w:r>
      <w:r w:rsidR="00A4275B">
        <w:t> </w:t>
      </w:r>
      <w:r>
        <w:t xml:space="preserve">2021, </w:t>
      </w:r>
      <w:r>
        <w:rPr>
          <w:i/>
          <w:iCs/>
        </w:rPr>
        <w:t>Nurturing skills: the workforce plan for early learning and care and school-age childcare 2022-2028</w:t>
      </w:r>
      <w:r>
        <w:t>.</w:t>
      </w:r>
    </w:p>
    <w:p w14:paraId="58B7281E" w14:textId="6EC95BD9" w:rsidR="00EC5BB1" w:rsidRDefault="00EC5BB1" w:rsidP="00882158">
      <w:pPr>
        <w:pStyle w:val="Reference"/>
      </w:pPr>
      <w:r>
        <w:t>——</w:t>
      </w:r>
      <w:r w:rsidR="00A4275B">
        <w:t> </w:t>
      </w:r>
      <w:r>
        <w:t xml:space="preserve">2023a, </w:t>
      </w:r>
      <w:r>
        <w:rPr>
          <w:i/>
          <w:iCs/>
        </w:rPr>
        <w:t>AIM supports</w:t>
      </w:r>
      <w:r>
        <w:t>, Access and Inclusion Model, https://aim.gov.ie/aim-supports/ (accessed 30 June 2023).</w:t>
      </w:r>
    </w:p>
    <w:p w14:paraId="058AD9C6" w14:textId="43528966" w:rsidR="00EC5BB1" w:rsidRDefault="00EC5BB1" w:rsidP="00882158">
      <w:pPr>
        <w:pStyle w:val="Reference"/>
      </w:pPr>
      <w:r>
        <w:t>——</w:t>
      </w:r>
      <w:r w:rsidR="00A4275B">
        <w:t> </w:t>
      </w:r>
      <w:r>
        <w:t xml:space="preserve">2023b, </w:t>
      </w:r>
      <w:r>
        <w:rPr>
          <w:i/>
          <w:iCs/>
        </w:rPr>
        <w:t>Core Funding</w:t>
      </w:r>
      <w:r>
        <w:t>, https://first5fundingmodel.gov.ie/core-funding/ (accessed 30 June 2023).</w:t>
      </w:r>
    </w:p>
    <w:p w14:paraId="3AD1305C" w14:textId="5D213D7B" w:rsidR="00EC5BB1" w:rsidRDefault="00EC5BB1" w:rsidP="00882158">
      <w:pPr>
        <w:pStyle w:val="Reference"/>
      </w:pPr>
      <w:r>
        <w:t xml:space="preserve">Government of the Netherlands 2022, </w:t>
      </w:r>
      <w:r>
        <w:rPr>
          <w:i/>
          <w:iCs/>
        </w:rPr>
        <w:t>Leave schemes in the Netherlands</w:t>
      </w:r>
      <w:r>
        <w:t>, business.gov.nl, https://business.gov.nl/</w:t>
      </w:r>
      <w:r w:rsidR="00721423">
        <w:br/>
      </w:r>
      <w:r>
        <w:t>regulation/leave-schemes/ (accessed 29 June 2023).</w:t>
      </w:r>
    </w:p>
    <w:p w14:paraId="06391271" w14:textId="23E1A84E" w:rsidR="00EC5BB1" w:rsidRDefault="00EC5BB1" w:rsidP="00882158">
      <w:pPr>
        <w:pStyle w:val="Reference"/>
      </w:pPr>
      <w:r>
        <w:t>——</w:t>
      </w:r>
      <w:r w:rsidR="00A4275B">
        <w:t> </w:t>
      </w:r>
      <w:r>
        <w:t xml:space="preserve">2023a, </w:t>
      </w:r>
      <w:r>
        <w:rPr>
          <w:i/>
          <w:iCs/>
        </w:rPr>
        <w:t>Municipal health service (GGD) inspection of childcare facilities</w:t>
      </w:r>
      <w:r>
        <w:t>, business.gov.nl, https://business.gov.nl/regulation/municipal-health-service-inspection-childcare-facilities/ (accessed 29 June 2023).</w:t>
      </w:r>
    </w:p>
    <w:p w14:paraId="5685246F" w14:textId="310E23CB" w:rsidR="00EC5BB1" w:rsidRDefault="00EC5BB1" w:rsidP="00882158">
      <w:pPr>
        <w:pStyle w:val="Reference"/>
      </w:pPr>
      <w:r>
        <w:t>——</w:t>
      </w:r>
      <w:r w:rsidR="00A4275B">
        <w:t> </w:t>
      </w:r>
      <w:r>
        <w:t xml:space="preserve">2023b, </w:t>
      </w:r>
      <w:r>
        <w:rPr>
          <w:i/>
          <w:iCs/>
        </w:rPr>
        <w:t>Professional childcarer-child ratio</w:t>
      </w:r>
      <w:r>
        <w:t>, Business.gov.nl, https://business.gov.nl/regulation/professional-childcarer-child-ratio/ (accessed 20 October 2023).</w:t>
      </w:r>
    </w:p>
    <w:p w14:paraId="4CD396AE" w14:textId="77777777" w:rsidR="00EC5BB1" w:rsidRDefault="00EC5BB1" w:rsidP="00882158">
      <w:pPr>
        <w:pStyle w:val="Reference"/>
      </w:pPr>
      <w:r>
        <w:t xml:space="preserve">Gromada, A and Richardson, D 2021, </w:t>
      </w:r>
      <w:r>
        <w:rPr>
          <w:i/>
          <w:iCs/>
        </w:rPr>
        <w:t>Where do rich countries stand on childcare?</w:t>
      </w:r>
      <w:r>
        <w:t>, UNICEF Office of Research - Innocenti.</w:t>
      </w:r>
    </w:p>
    <w:p w14:paraId="6C4881AD" w14:textId="77777777" w:rsidR="00EC5BB1" w:rsidRDefault="00EC5BB1" w:rsidP="00882158">
      <w:pPr>
        <w:pStyle w:val="Reference"/>
      </w:pPr>
      <w:r>
        <w:t xml:space="preserve">Irish Government Citizens Information Board 2022, </w:t>
      </w:r>
      <w:r>
        <w:rPr>
          <w:i/>
          <w:iCs/>
        </w:rPr>
        <w:t>Regulation of school age childcare services</w:t>
      </w:r>
      <w:r>
        <w:t>, https://www.citizensinformation.ie/en/education/pre-school-</w:t>
      </w:r>
      <w:r>
        <w:lastRenderedPageBreak/>
        <w:t>education-and-childcare/regulation-of-school-age-childcare/ (accessed 20 October 2023).</w:t>
      </w:r>
    </w:p>
    <w:p w14:paraId="34A3BC57" w14:textId="753B0CFC" w:rsidR="00EC5BB1" w:rsidRDefault="00EC5BB1" w:rsidP="00882158">
      <w:pPr>
        <w:pStyle w:val="Reference"/>
      </w:pPr>
      <w:r>
        <w:t>——</w:t>
      </w:r>
      <w:r w:rsidR="00A4275B">
        <w:t> </w:t>
      </w:r>
      <w:r>
        <w:t xml:space="preserve">2023a, </w:t>
      </w:r>
      <w:r>
        <w:rPr>
          <w:i/>
          <w:iCs/>
        </w:rPr>
        <w:t>National Childcare Scheme (NCS)</w:t>
      </w:r>
      <w:r>
        <w:t>, https://www.citizensinformation.ie/en/education/pre-school-education-and-childcare/national-childcare-scheme/ (accessed 30 June 2023).</w:t>
      </w:r>
    </w:p>
    <w:p w14:paraId="087D1E11" w14:textId="18A5E9E3" w:rsidR="00EC5BB1" w:rsidRDefault="00EC5BB1" w:rsidP="00882158">
      <w:pPr>
        <w:pStyle w:val="Reference"/>
      </w:pPr>
      <w:r>
        <w:t>——</w:t>
      </w:r>
      <w:r w:rsidR="00A4275B">
        <w:t> </w:t>
      </w:r>
      <w:r>
        <w:t xml:space="preserve">2023b, </w:t>
      </w:r>
      <w:r>
        <w:rPr>
          <w:i/>
          <w:iCs/>
        </w:rPr>
        <w:t>Parent’s leave</w:t>
      </w:r>
      <w:r>
        <w:t>, https://www.citizensinformation.ie/en/employment/employment-rights-and-conditions/leave-and-holidays/parents-leave/ (accessed 29 June 2023).</w:t>
      </w:r>
    </w:p>
    <w:p w14:paraId="42F71817" w14:textId="1AFDBFCF" w:rsidR="00EC5BB1" w:rsidRDefault="00EC5BB1" w:rsidP="00882158">
      <w:pPr>
        <w:pStyle w:val="Reference"/>
      </w:pPr>
      <w:r>
        <w:t>——</w:t>
      </w:r>
      <w:r w:rsidR="00A4275B">
        <w:t> </w:t>
      </w:r>
      <w:r>
        <w:t xml:space="preserve">2023c, </w:t>
      </w:r>
      <w:r>
        <w:rPr>
          <w:i/>
          <w:iCs/>
        </w:rPr>
        <w:t>Regulation of pre-school childcare services</w:t>
      </w:r>
      <w:r>
        <w:t>, https://www.citizensinformation.ie/en/education/pre-school-education-and-childcare/regulation-of-childcare-services/ (accessed 30 June 2023).</w:t>
      </w:r>
    </w:p>
    <w:p w14:paraId="1C6400C0" w14:textId="77777777" w:rsidR="00EC5BB1" w:rsidRDefault="00EC5BB1" w:rsidP="00882158">
      <w:pPr>
        <w:pStyle w:val="Reference"/>
      </w:pPr>
      <w:r>
        <w:t xml:space="preserve">Irish Government Department of Children, Equality, Disability, Integration and Youth 2021, </w:t>
      </w:r>
      <w:r>
        <w:rPr>
          <w:i/>
          <w:iCs/>
        </w:rPr>
        <w:t>National Action Plan for Childminding (2021 – 2028)</w:t>
      </w:r>
      <w:r>
        <w:t>.</w:t>
      </w:r>
    </w:p>
    <w:p w14:paraId="437D89C9" w14:textId="00D2BF4C" w:rsidR="00EC5BB1" w:rsidRDefault="00EC5BB1" w:rsidP="00882158">
      <w:pPr>
        <w:pStyle w:val="Reference"/>
      </w:pPr>
      <w:r>
        <w:t>——</w:t>
      </w:r>
      <w:r w:rsidR="00A4275B">
        <w:t> </w:t>
      </w:r>
      <w:r>
        <w:t xml:space="preserve">2022, </w:t>
      </w:r>
      <w:r>
        <w:rPr>
          <w:i/>
          <w:iCs/>
        </w:rPr>
        <w:t>Rules for ECCE programme</w:t>
      </w:r>
      <w:r>
        <w:t>.</w:t>
      </w:r>
    </w:p>
    <w:p w14:paraId="421BBB29" w14:textId="77777777" w:rsidR="00EC5BB1" w:rsidRDefault="00EC5BB1" w:rsidP="00882158">
      <w:pPr>
        <w:pStyle w:val="Reference"/>
      </w:pPr>
      <w:r>
        <w:t xml:space="preserve">Irish Government Department of Education 2022, </w:t>
      </w:r>
      <w:r>
        <w:rPr>
          <w:i/>
          <w:iCs/>
        </w:rPr>
        <w:t>Early years education inspections</w:t>
      </w:r>
      <w:r>
        <w:t>, https://www.gov.ie/en/publication/635fad-early-years-education-inspections/ (accessed 30 June 2023).</w:t>
      </w:r>
    </w:p>
    <w:p w14:paraId="3CE7F740" w14:textId="77777777" w:rsidR="00EC5BB1" w:rsidRDefault="00EC5BB1" w:rsidP="00882158">
      <w:pPr>
        <w:pStyle w:val="Reference"/>
      </w:pPr>
      <w:r>
        <w:t xml:space="preserve">Kela 2023, </w:t>
      </w:r>
      <w:r>
        <w:rPr>
          <w:i/>
          <w:iCs/>
        </w:rPr>
        <w:t>Child home care allowance</w:t>
      </w:r>
      <w:r>
        <w:t>, https://www.kela.fi/child-home-care-allowance (accessed 4 September 2023).</w:t>
      </w:r>
    </w:p>
    <w:p w14:paraId="2A05268C" w14:textId="77777777" w:rsidR="00EC5BB1" w:rsidRDefault="00EC5BB1" w:rsidP="00882158">
      <w:pPr>
        <w:pStyle w:val="Reference"/>
      </w:pPr>
      <w:r>
        <w:t xml:space="preserve">Koslowski, A, Blum, S, Dobrotić, I, Kaufman, G and Moss, P 2022, </w:t>
      </w:r>
      <w:r>
        <w:rPr>
          <w:i/>
          <w:iCs/>
        </w:rPr>
        <w:t>18th international review of leave policies and related research 2022</w:t>
      </w:r>
      <w:r>
        <w:t>, International Network on Leave Policies and Research.</w:t>
      </w:r>
    </w:p>
    <w:p w14:paraId="22A48999" w14:textId="77777777" w:rsidR="00EC5BB1" w:rsidRDefault="00EC5BB1" w:rsidP="00882158">
      <w:pPr>
        <w:pStyle w:val="Reference"/>
      </w:pPr>
      <w:r>
        <w:t xml:space="preserve">Neuwelt-Kearns, C and Ritchie, J 2020, </w:t>
      </w:r>
      <w:r>
        <w:rPr>
          <w:i/>
          <w:iCs/>
        </w:rPr>
        <w:t>Investing in children? Privatisation and early childhood education in Aotearoa New Zealand</w:t>
      </w:r>
      <w:r>
        <w:t>, Child Poverty Action Group.</w:t>
      </w:r>
    </w:p>
    <w:p w14:paraId="1D3F8A07" w14:textId="77777777" w:rsidR="00EC5BB1" w:rsidRDefault="00EC5BB1" w:rsidP="00882158">
      <w:pPr>
        <w:pStyle w:val="Reference"/>
      </w:pPr>
      <w:r>
        <w:t xml:space="preserve">New Zealand Government 2020, </w:t>
      </w:r>
      <w:r>
        <w:rPr>
          <w:i/>
          <w:iCs/>
        </w:rPr>
        <w:t>Pay increases for lowest paid teachers</w:t>
      </w:r>
      <w:r>
        <w:t>, The Beehive, https://www.beehive.govt.nz/release/pay-increases-lowest-paid-teachers (accessed 14 August 2023).</w:t>
      </w:r>
    </w:p>
    <w:p w14:paraId="299EE10C" w14:textId="44B26449" w:rsidR="00EC5BB1" w:rsidRDefault="00EC5BB1" w:rsidP="00882158">
      <w:pPr>
        <w:pStyle w:val="Reference"/>
      </w:pPr>
      <w:r>
        <w:t>——</w:t>
      </w:r>
      <w:r w:rsidR="00A4275B">
        <w:t> </w:t>
      </w:r>
      <w:r>
        <w:t xml:space="preserve">2023, </w:t>
      </w:r>
      <w:r>
        <w:rPr>
          <w:i/>
          <w:iCs/>
        </w:rPr>
        <w:t>Out of School Care and Recreation (OSCAR) programmes standard</w:t>
      </w:r>
      <w:r>
        <w:t>.</w:t>
      </w:r>
    </w:p>
    <w:p w14:paraId="4F2C4D2B" w14:textId="42DAA751" w:rsidR="00EC5BB1" w:rsidRDefault="00EC5BB1" w:rsidP="00882158">
      <w:pPr>
        <w:pStyle w:val="Reference"/>
      </w:pPr>
      <w:r>
        <w:t xml:space="preserve">New Zealand Government Ministry of Education 2020, </w:t>
      </w:r>
      <w:r>
        <w:rPr>
          <w:i/>
          <w:iCs/>
        </w:rPr>
        <w:t>Qualification requirements</w:t>
      </w:r>
      <w:r>
        <w:t>, https://www.education.govt.nz/</w:t>
      </w:r>
      <w:r w:rsidR="009639A9">
        <w:br/>
      </w:r>
      <w:r>
        <w:t>early-childhood/people-and-employment/qualification-requirements/ (accessed 16 October 2023).</w:t>
      </w:r>
    </w:p>
    <w:p w14:paraId="71995338" w14:textId="7AEF10AB" w:rsidR="00EC5BB1" w:rsidRDefault="00EC5BB1" w:rsidP="00882158">
      <w:pPr>
        <w:pStyle w:val="Reference"/>
      </w:pPr>
      <w:r>
        <w:t xml:space="preserve">New Zealand Ministry of Business, Innovation and Employment (Hīkina Whakatutuki) 2022a, </w:t>
      </w:r>
      <w:r>
        <w:rPr>
          <w:i/>
          <w:iCs/>
        </w:rPr>
        <w:t>Childcare and preschool in New Zealand</w:t>
      </w:r>
      <w:r>
        <w:t>, https://www.live-work.immigration.</w:t>
      </w:r>
      <w:r w:rsidR="009418D7">
        <w:br/>
      </w:r>
      <w:r>
        <w:t>govt.nz/live-in-new-zealand/education-and-schooling/preschool-care-and-education (accessed 24 August 2023).</w:t>
      </w:r>
    </w:p>
    <w:p w14:paraId="221A7B10" w14:textId="39AC9C0F" w:rsidR="00EC5BB1" w:rsidRDefault="00EC5BB1" w:rsidP="00882158">
      <w:pPr>
        <w:pStyle w:val="Reference"/>
      </w:pPr>
      <w:r>
        <w:t>——</w:t>
      </w:r>
      <w:r w:rsidR="00A4275B">
        <w:t> </w:t>
      </w:r>
      <w:r>
        <w:t xml:space="preserve">2022b, </w:t>
      </w:r>
      <w:r>
        <w:rPr>
          <w:i/>
          <w:iCs/>
        </w:rPr>
        <w:t>Parental leave eligibility</w:t>
      </w:r>
      <w:r>
        <w:t>, https://www.employment.govt.nz/leave-and-holidays/parental-leave/eligibility/ (accessed 28 August 2023).</w:t>
      </w:r>
    </w:p>
    <w:p w14:paraId="6CEFE80E" w14:textId="77777777" w:rsidR="00EC5BB1" w:rsidRDefault="00EC5BB1" w:rsidP="00882158">
      <w:pPr>
        <w:pStyle w:val="Reference"/>
      </w:pPr>
      <w:r>
        <w:t xml:space="preserve">New Zealand Ministry of Education (Te Tāhuhu o te Mātauranga) 2020, </w:t>
      </w:r>
      <w:r>
        <w:rPr>
          <w:i/>
          <w:iCs/>
        </w:rPr>
        <w:t>Budget 2020: 100% funding band restored for early learning</w:t>
      </w:r>
      <w:r>
        <w:t>, https://www.education.govt.nz/news/budget-2020-100-funding-band-restored/ (accessed 14 August 2023).</w:t>
      </w:r>
    </w:p>
    <w:p w14:paraId="4AA659B8" w14:textId="49E26F35" w:rsidR="00EC5BB1" w:rsidRDefault="00EC5BB1" w:rsidP="00882158">
      <w:pPr>
        <w:pStyle w:val="Reference"/>
      </w:pPr>
      <w:r>
        <w:t>——</w:t>
      </w:r>
      <w:r w:rsidR="00A4275B">
        <w:t> </w:t>
      </w:r>
      <w:r>
        <w:t xml:space="preserve">2022a, </w:t>
      </w:r>
      <w:r>
        <w:rPr>
          <w:i/>
          <w:iCs/>
        </w:rPr>
        <w:t>Different kinds of early learning services</w:t>
      </w:r>
      <w:r>
        <w:t>, https://parents.education.govt.nz/early-learning/early-childhood-education/different-kinds-of-early-childhood-education/ (accessed 28 August 2023).</w:t>
      </w:r>
    </w:p>
    <w:p w14:paraId="6ACCD2C4" w14:textId="09C0F645" w:rsidR="00EC5BB1" w:rsidRDefault="00EC5BB1" w:rsidP="00882158">
      <w:pPr>
        <w:pStyle w:val="Reference"/>
      </w:pPr>
      <w:r>
        <w:t>——</w:t>
      </w:r>
      <w:r w:rsidR="00A4275B">
        <w:t> </w:t>
      </w:r>
      <w:r>
        <w:t xml:space="preserve">2022b, </w:t>
      </w:r>
      <w:r>
        <w:rPr>
          <w:i/>
          <w:iCs/>
        </w:rPr>
        <w:t>Ensuring quality in early learning</w:t>
      </w:r>
      <w:r>
        <w:t>, https://parents.education.govt.nz/early-learning/getting-</w:t>
      </w:r>
      <w:r>
        <w:t>involved-in-your-childs-ece/ensuring-early-learning-is-good-quality/ (accessed 18 August 2023).</w:t>
      </w:r>
    </w:p>
    <w:p w14:paraId="4EBE8AC2" w14:textId="07C4DB08" w:rsidR="00EC5BB1" w:rsidRDefault="00EC5BB1" w:rsidP="00882158">
      <w:pPr>
        <w:pStyle w:val="Reference"/>
      </w:pPr>
      <w:r>
        <w:t>——</w:t>
      </w:r>
      <w:r w:rsidR="00A4275B">
        <w:t> </w:t>
      </w:r>
      <w:r>
        <w:t xml:space="preserve">2023a, </w:t>
      </w:r>
      <w:r>
        <w:rPr>
          <w:i/>
          <w:iCs/>
        </w:rPr>
        <w:t>ECE Funding Handbook</w:t>
      </w:r>
      <w:r>
        <w:t>, https://www.education.govt.nz/early-childhood/funding-and-data/funding-handbooks/ece-funding-handbook/ (accessed 20 July 2023).</w:t>
      </w:r>
    </w:p>
    <w:p w14:paraId="7EDE217E" w14:textId="540F3C53" w:rsidR="00EC5BB1" w:rsidRDefault="00EC5BB1" w:rsidP="00882158">
      <w:pPr>
        <w:pStyle w:val="Reference"/>
      </w:pPr>
      <w:r>
        <w:t>——</w:t>
      </w:r>
      <w:r w:rsidR="00A4275B">
        <w:t> </w:t>
      </w:r>
      <w:r>
        <w:t xml:space="preserve">2023b, </w:t>
      </w:r>
      <w:r>
        <w:rPr>
          <w:i/>
          <w:iCs/>
        </w:rPr>
        <w:t>Equity funding</w:t>
      </w:r>
      <w:r>
        <w:t>, https://www.education.govt.nz/early-childhood/funding-and-data/equity-funding-for-early-learning-services/ (accessed 18 August 2023).</w:t>
      </w:r>
    </w:p>
    <w:p w14:paraId="2AB7E9FE" w14:textId="37BF7FD8" w:rsidR="00EC5BB1" w:rsidRDefault="00EC5BB1" w:rsidP="00882158">
      <w:pPr>
        <w:pStyle w:val="Reference"/>
      </w:pPr>
      <w:r>
        <w:t>——</w:t>
      </w:r>
      <w:r w:rsidR="00A4275B">
        <w:t> </w:t>
      </w:r>
      <w:r>
        <w:t xml:space="preserve">2023c, </w:t>
      </w:r>
      <w:r>
        <w:rPr>
          <w:i/>
          <w:iCs/>
        </w:rPr>
        <w:t>Pay parity opt-in scheme</w:t>
      </w:r>
      <w:r>
        <w:t>, https://www.education.govt.nz/early-childhood/people-and-employment/pay-parity-opt-in-scheme/ (accessed 14 August 2023).</w:t>
      </w:r>
    </w:p>
    <w:p w14:paraId="6C987BA1" w14:textId="77777777" w:rsidR="00EC5BB1" w:rsidRDefault="00EC5BB1" w:rsidP="00882158">
      <w:pPr>
        <w:pStyle w:val="Reference"/>
      </w:pPr>
      <w:r>
        <w:t xml:space="preserve">New Zealand Ministry of Social Development (Te Manatū Whakahiato Ora) 2023a, </w:t>
      </w:r>
      <w:r>
        <w:rPr>
          <w:i/>
          <w:iCs/>
        </w:rPr>
        <w:t>Childcare Subsidy</w:t>
      </w:r>
      <w:r>
        <w:t>, https://www.workandincome.govt.nz/products/a-z-benefits/childcare-subsidy.html (accessed 20 July 2023).</w:t>
      </w:r>
    </w:p>
    <w:p w14:paraId="30CBBED5" w14:textId="148F9E6E" w:rsidR="00EC5BB1" w:rsidRDefault="00EC5BB1" w:rsidP="00882158">
      <w:pPr>
        <w:pStyle w:val="Reference"/>
      </w:pPr>
      <w:r>
        <w:t>——</w:t>
      </w:r>
      <w:r w:rsidR="00A4275B">
        <w:t> </w:t>
      </w:r>
      <w:r>
        <w:t xml:space="preserve">2023b, </w:t>
      </w:r>
      <w:r>
        <w:rPr>
          <w:i/>
          <w:iCs/>
        </w:rPr>
        <w:t>Childcare Subsidy (current)</w:t>
      </w:r>
      <w:r>
        <w:t>, https://www.workandincome.govt.nz/map/deskfile/extra-help-information/childcare-assistance-tables/childcare-subsidy-current.html (accessed 24 August 2023).</w:t>
      </w:r>
    </w:p>
    <w:p w14:paraId="1364C839" w14:textId="77777777" w:rsidR="00EC5BB1" w:rsidRDefault="00EC5BB1" w:rsidP="00882158">
      <w:pPr>
        <w:pStyle w:val="Reference"/>
      </w:pPr>
      <w:r>
        <w:t xml:space="preserve">Nilsson, M, Ferholt, B and Alnervik, K 2020, </w:t>
      </w:r>
      <w:r>
        <w:rPr>
          <w:i/>
          <w:iCs/>
        </w:rPr>
        <w:t>Why Swedish early learning is so much better than Australia’s</w:t>
      </w:r>
      <w:r>
        <w:t>, The Sector, https://thesector.com.au/2020/10/05/why-swedish-early-learning-is-so-much-better-than-australias/ (accessed 23 November 2023).</w:t>
      </w:r>
    </w:p>
    <w:p w14:paraId="1C61FA31" w14:textId="3DC644AC" w:rsidR="00EC5BB1" w:rsidRDefault="00EC5BB1" w:rsidP="00882158">
      <w:pPr>
        <w:pStyle w:val="Reference"/>
      </w:pPr>
      <w:r>
        <w:t xml:space="preserve">NL Times 2023, </w:t>
      </w:r>
      <w:r>
        <w:rPr>
          <w:i/>
          <w:iCs/>
        </w:rPr>
        <w:t>Parents &amp; childcare groups divided over delay to make childcare nearly free</w:t>
      </w:r>
      <w:r>
        <w:t>, https://nltimes.nl/2023/04/29/</w:t>
      </w:r>
      <w:r w:rsidR="00591F2A">
        <w:br/>
      </w:r>
      <w:r>
        <w:t>parents-childcare-groups-divided-delay-make-childcare-nearly-free (accessed 4 September 2023).</w:t>
      </w:r>
    </w:p>
    <w:p w14:paraId="75C7E837" w14:textId="77777777" w:rsidR="00EC5BB1" w:rsidRDefault="00EC5BB1" w:rsidP="00882158">
      <w:pPr>
        <w:pStyle w:val="Reference"/>
      </w:pPr>
      <w:r>
        <w:t xml:space="preserve">Norwegian Labour and Welfare Administration 2023, </w:t>
      </w:r>
      <w:r>
        <w:rPr>
          <w:i/>
          <w:iCs/>
        </w:rPr>
        <w:t>Cash-for-care benefit</w:t>
      </w:r>
      <w:r>
        <w:t>, https://www.nav.no/kontantstotte/en (accessed 28 August 2023).</w:t>
      </w:r>
    </w:p>
    <w:p w14:paraId="11246B96" w14:textId="77777777" w:rsidR="00EC5BB1" w:rsidRDefault="00EC5BB1" w:rsidP="00882158">
      <w:pPr>
        <w:pStyle w:val="Reference"/>
      </w:pPr>
      <w:r>
        <w:t xml:space="preserve">OECD (Organisation for Economic Co-operation and Development) 2022, </w:t>
      </w:r>
      <w:r>
        <w:rPr>
          <w:i/>
          <w:iCs/>
        </w:rPr>
        <w:t>SDG Indicator 4.2.2</w:t>
      </w:r>
      <w:r>
        <w:t>, Education at a glance 2022: OECD indicators, https://www.oecd-ilibrary.org/education/participation-rate-in-organised-learning-one-year-before-the-official-primary-entry-age-against-benchmark-values-2020_9534692d-en (accessed 4 September 2023).</w:t>
      </w:r>
    </w:p>
    <w:p w14:paraId="3D4018A8" w14:textId="5A931EE8" w:rsidR="00EC5BB1" w:rsidRDefault="00EC5BB1" w:rsidP="00882158">
      <w:pPr>
        <w:pStyle w:val="Reference"/>
      </w:pPr>
      <w:r>
        <w:t>——</w:t>
      </w:r>
      <w:r w:rsidR="00A4275B">
        <w:t> </w:t>
      </w:r>
      <w:r>
        <w:t xml:space="preserve">2023a, </w:t>
      </w:r>
      <w:r>
        <w:rPr>
          <w:i/>
          <w:iCs/>
        </w:rPr>
        <w:t>Education at a glance 2023: OECD indicators</w:t>
      </w:r>
      <w:r>
        <w:t>.</w:t>
      </w:r>
    </w:p>
    <w:p w14:paraId="5EFEC397" w14:textId="2B859366" w:rsidR="00EC5BB1" w:rsidRDefault="00EC5BB1" w:rsidP="00882158">
      <w:pPr>
        <w:pStyle w:val="Reference"/>
      </w:pPr>
      <w:r>
        <w:t>——</w:t>
      </w:r>
      <w:r w:rsidR="00A4275B">
        <w:t> </w:t>
      </w:r>
      <w:r>
        <w:t xml:space="preserve">2023b, </w:t>
      </w:r>
      <w:r>
        <w:rPr>
          <w:i/>
          <w:iCs/>
        </w:rPr>
        <w:t>Net childcare costs</w:t>
      </w:r>
      <w:r>
        <w:t>, OECD Social and Welfare Statistics, https://data.oecd.org/benwage/net-childcare-costs.htm (accessed 7 November 2023).</w:t>
      </w:r>
    </w:p>
    <w:p w14:paraId="6EA25A89" w14:textId="1FF98A3B" w:rsidR="00EC5BB1" w:rsidRDefault="00EC5BB1" w:rsidP="00882158">
      <w:pPr>
        <w:pStyle w:val="Reference"/>
      </w:pPr>
      <w:r>
        <w:t>——</w:t>
      </w:r>
      <w:r w:rsidR="00A4275B">
        <w:t> </w:t>
      </w:r>
      <w:r>
        <w:t xml:space="preserve">2023c, </w:t>
      </w:r>
      <w:r>
        <w:rPr>
          <w:i/>
          <w:iCs/>
        </w:rPr>
        <w:t>PF2.1 Parental leave system</w:t>
      </w:r>
      <w:r>
        <w:t>, OECD Family Database, https://www.oecd.org/els/soc/PF2_1_Parental_</w:t>
      </w:r>
      <w:r w:rsidR="0074017C">
        <w:br/>
      </w:r>
      <w:r>
        <w:t>leave_systems.pdf (accessed 18 August 2023).</w:t>
      </w:r>
    </w:p>
    <w:p w14:paraId="65781C13" w14:textId="4E901E06" w:rsidR="00EC5BB1" w:rsidRDefault="00EC5BB1" w:rsidP="00882158">
      <w:pPr>
        <w:pStyle w:val="Reference"/>
      </w:pPr>
      <w:r>
        <w:t>——</w:t>
      </w:r>
      <w:r w:rsidR="00A4275B">
        <w:t> </w:t>
      </w:r>
      <w:r>
        <w:t xml:space="preserve">2023d, </w:t>
      </w:r>
      <w:r>
        <w:rPr>
          <w:i/>
          <w:iCs/>
        </w:rPr>
        <w:t>PF3.1 Public spending on childcare and early education</w:t>
      </w:r>
      <w:r>
        <w:t>, OECD Family Database, https://www.oecd.org/els/</w:t>
      </w:r>
      <w:r w:rsidR="0074017C">
        <w:br/>
      </w:r>
      <w:r>
        <w:t>family/database.htm (accessed 18 August 2023).</w:t>
      </w:r>
    </w:p>
    <w:p w14:paraId="4BD9EABB" w14:textId="301E84F4" w:rsidR="00EC5BB1" w:rsidRDefault="00EC5BB1" w:rsidP="00882158">
      <w:pPr>
        <w:pStyle w:val="Reference"/>
      </w:pPr>
      <w:r>
        <w:t>——</w:t>
      </w:r>
      <w:r w:rsidR="00A4275B">
        <w:t> </w:t>
      </w:r>
      <w:r>
        <w:t xml:space="preserve">2023e, </w:t>
      </w:r>
      <w:r>
        <w:rPr>
          <w:i/>
          <w:iCs/>
        </w:rPr>
        <w:t>PF3.2 Enrolment in childcare and pre-school</w:t>
      </w:r>
      <w:r>
        <w:t>, OECD Family Database, https://www.oecd.org/els/family/database.htm (accessed 18 August 2023).</w:t>
      </w:r>
    </w:p>
    <w:p w14:paraId="020EDC02" w14:textId="77777777" w:rsidR="00EC5BB1" w:rsidRDefault="00EC5BB1" w:rsidP="00882158">
      <w:pPr>
        <w:pStyle w:val="Reference"/>
      </w:pPr>
      <w:r>
        <w:t xml:space="preserve">O’Gorman, R (Irish Government Minister for Children, Equality, Disability, Integration and Youth) 2022, </w:t>
      </w:r>
      <w:r>
        <w:rPr>
          <w:i/>
          <w:iCs/>
        </w:rPr>
        <w:t>Pay increases in childcare a welcome first step in transforming Early Years Services in Ireland</w:t>
      </w:r>
      <w:r>
        <w:t>, Media release, https://www.greenparty.ie/news/pay-increases-childcare-welcome-first-step-transforming-early-years-services-ireland (accessed 29 June 2023).</w:t>
      </w:r>
    </w:p>
    <w:p w14:paraId="0F1AE490" w14:textId="184C5161" w:rsidR="00EC5BB1" w:rsidRPr="009639A9" w:rsidRDefault="00EC5BB1" w:rsidP="00882158">
      <w:pPr>
        <w:pStyle w:val="Reference"/>
        <w:rPr>
          <w:spacing w:val="-4"/>
        </w:rPr>
      </w:pPr>
      <w:r w:rsidRPr="009639A9">
        <w:rPr>
          <w:spacing w:val="-4"/>
        </w:rPr>
        <w:lastRenderedPageBreak/>
        <w:t xml:space="preserve">Ottens, N 2022, </w:t>
      </w:r>
      <w:r w:rsidRPr="009639A9">
        <w:rPr>
          <w:i/>
          <w:iCs/>
          <w:spacing w:val="-4"/>
        </w:rPr>
        <w:t>Dutch child care would pay price for government’s failure</w:t>
      </w:r>
      <w:r w:rsidRPr="009639A9">
        <w:rPr>
          <w:spacing w:val="-4"/>
        </w:rPr>
        <w:t>, Atlantic Sentinel, https://atlanticsentinel.com/</w:t>
      </w:r>
      <w:r w:rsidR="009639A9" w:rsidRPr="009639A9">
        <w:rPr>
          <w:spacing w:val="-4"/>
        </w:rPr>
        <w:br/>
      </w:r>
      <w:r w:rsidRPr="009639A9">
        <w:rPr>
          <w:spacing w:val="-4"/>
        </w:rPr>
        <w:t>2022/11/dutch-child-care-would-pay-price-for-governments-failure/ (accessed 4 September 2023).</w:t>
      </w:r>
    </w:p>
    <w:p w14:paraId="15BF25C2" w14:textId="77777777" w:rsidR="00EC5BB1" w:rsidRDefault="00EC5BB1" w:rsidP="00882158">
      <w:pPr>
        <w:pStyle w:val="Reference"/>
      </w:pPr>
      <w:r>
        <w:t xml:space="preserve">Paull, G and Wilson, C 2020, </w:t>
      </w:r>
      <w:r>
        <w:rPr>
          <w:i/>
          <w:iCs/>
        </w:rPr>
        <w:t>International approaches to funding early learning and care and school-age childcare to reduce costs for parents</w:t>
      </w:r>
      <w:r>
        <w:t>, Working paper, 2, Early learning and care and school-age childcare: towards a new funding model, Frontier Economics.</w:t>
      </w:r>
    </w:p>
    <w:p w14:paraId="61184BDB" w14:textId="77777777" w:rsidR="00EC5BB1" w:rsidRDefault="00EC5BB1" w:rsidP="00882158">
      <w:pPr>
        <w:pStyle w:val="Reference"/>
      </w:pPr>
      <w:r>
        <w:t xml:space="preserve">Services Australia 2023, </w:t>
      </w:r>
      <w:r>
        <w:rPr>
          <w:i/>
          <w:iCs/>
        </w:rPr>
        <w:t>Parental leave pay: how much you can get</w:t>
      </w:r>
      <w:r>
        <w:t>, https://www.servicesaustralia.gov.au/how-much-parental-leave-pay-you-can-get-for-child-born-or-adopted-from-1-july-2023?context=64479 (accessed 14 November 2023).</w:t>
      </w:r>
    </w:p>
    <w:p w14:paraId="7C22FC3A" w14:textId="77777777" w:rsidR="00EC5BB1" w:rsidRDefault="00EC5BB1" w:rsidP="00882158">
      <w:pPr>
        <w:pStyle w:val="Reference"/>
      </w:pPr>
      <w:r>
        <w:t xml:space="preserve">Statistics Canada 2022, </w:t>
      </w:r>
      <w:r>
        <w:rPr>
          <w:i/>
          <w:iCs/>
        </w:rPr>
        <w:t>Enrolled children by age group and child care business type, January 2020 and January 2021</w:t>
      </w:r>
      <w:r>
        <w:t>, https://www150.statcan.gc.ca/t1/tbl1/en/tv.action?pid=4210001801 (accessed 28 August 2023).</w:t>
      </w:r>
    </w:p>
    <w:p w14:paraId="65333DF2" w14:textId="1DEA9E57" w:rsidR="00EC5BB1" w:rsidRDefault="00EC5BB1" w:rsidP="00882158">
      <w:pPr>
        <w:pStyle w:val="Reference"/>
      </w:pPr>
      <w:r>
        <w:t>——</w:t>
      </w:r>
      <w:r w:rsidR="00A4275B">
        <w:t> </w:t>
      </w:r>
      <w:r>
        <w:t xml:space="preserve">2023a, </w:t>
      </w:r>
      <w:r>
        <w:rPr>
          <w:i/>
          <w:iCs/>
        </w:rPr>
        <w:t>Average daily fee (including subsidies) charged per child by child care business type, Canada, 2022</w:t>
      </w:r>
      <w:r>
        <w:t>, https://www150.statcan.gc.ca/t1/tbl1/en/tv.action?pid=4210004114 (accessed 28 August 2023).</w:t>
      </w:r>
    </w:p>
    <w:p w14:paraId="79DC56EF" w14:textId="5D369893" w:rsidR="00EC5BB1" w:rsidRDefault="00EC5BB1" w:rsidP="00882158">
      <w:pPr>
        <w:pStyle w:val="Reference"/>
      </w:pPr>
      <w:r>
        <w:t>——</w:t>
      </w:r>
      <w:r w:rsidR="00A4275B">
        <w:t> </w:t>
      </w:r>
      <w:r>
        <w:t xml:space="preserve">2023b, </w:t>
      </w:r>
      <w:r>
        <w:rPr>
          <w:i/>
          <w:iCs/>
        </w:rPr>
        <w:t>Use of early learning and child care arrangements, children aged 0 to 5 years</w:t>
      </w:r>
      <w:r>
        <w:t>, https://www150.statcan.gc.ca/t1/tbl1/en/tv.action?pid=4210000401 (accessed 28 August 2023).</w:t>
      </w:r>
    </w:p>
    <w:p w14:paraId="15000FDB" w14:textId="77777777" w:rsidR="00EC5BB1" w:rsidRDefault="00EC5BB1" w:rsidP="00882158">
      <w:pPr>
        <w:pStyle w:val="Reference"/>
      </w:pPr>
      <w:r>
        <w:t xml:space="preserve">Statistics Netherlands 2023, </w:t>
      </w:r>
      <w:r>
        <w:rPr>
          <w:i/>
          <w:iCs/>
        </w:rPr>
        <w:t>Child care allowance (6)</w:t>
      </w:r>
      <w:r>
        <w:t>, https://www.cbs.nl/en-gb/news/2013/01/child-care-costs-averages-2-000-euro-for-dutch-parents/child-care-allowance--6-- (accessed 29 June 2023).</w:t>
      </w:r>
    </w:p>
    <w:p w14:paraId="3E6CEFF1" w14:textId="77777777" w:rsidR="00EC5BB1" w:rsidRDefault="00EC5BB1" w:rsidP="00882158">
      <w:pPr>
        <w:pStyle w:val="Reference"/>
      </w:pPr>
      <w:r>
        <w:t xml:space="preserve">Teaching Council of Aotearoa New Zealand 2023, </w:t>
      </w:r>
      <w:r>
        <w:rPr>
          <w:i/>
          <w:iCs/>
        </w:rPr>
        <w:t>What is registration and certification?</w:t>
      </w:r>
      <w:r>
        <w:t>, https://teachingcouncil.nz/getting-certificated/getting-started/what-is-registration-and-certification/ (accessed 19 October 2023).</w:t>
      </w:r>
    </w:p>
    <w:p w14:paraId="743DD0E8" w14:textId="77777777" w:rsidR="00EC5BB1" w:rsidRDefault="00EC5BB1" w:rsidP="00882158">
      <w:pPr>
        <w:pStyle w:val="Reference"/>
      </w:pPr>
      <w:r>
        <w:t xml:space="preserve">The Social Research and Demonstration Corporation 2021, </w:t>
      </w:r>
      <w:r>
        <w:rPr>
          <w:i/>
          <w:iCs/>
        </w:rPr>
        <w:t>Evaluation of early care and learning recruitment and retention strategy</w:t>
      </w:r>
      <w:r>
        <w:t>.</w:t>
      </w:r>
    </w:p>
    <w:p w14:paraId="028444C1" w14:textId="77777777" w:rsidR="00EC5BB1" w:rsidRDefault="00EC5BB1" w:rsidP="00882158">
      <w:pPr>
        <w:pStyle w:val="Reference"/>
      </w:pPr>
      <w:r>
        <w:t xml:space="preserve">Tusla 2023a, </w:t>
      </w:r>
      <w:r>
        <w:rPr>
          <w:i/>
          <w:iCs/>
        </w:rPr>
        <w:t>Early Years Quality and Regulatory Framework</w:t>
      </w:r>
      <w:r>
        <w:t>, https://www.tusla.ie/services/preschool-services/early-years-providers/early-years-provider-resources/early-years-quality-and-regulatory-framework/ (accessed 30 June 2023).</w:t>
      </w:r>
    </w:p>
    <w:p w14:paraId="274E45F4" w14:textId="09E6F514" w:rsidR="00EC5BB1" w:rsidRDefault="00EC5BB1" w:rsidP="00882158">
      <w:pPr>
        <w:pStyle w:val="Reference"/>
      </w:pPr>
      <w:r>
        <w:t>——</w:t>
      </w:r>
      <w:r w:rsidR="00A4275B">
        <w:t> </w:t>
      </w:r>
      <w:r>
        <w:t xml:space="preserve">2023b, </w:t>
      </w:r>
      <w:r>
        <w:rPr>
          <w:i/>
          <w:iCs/>
        </w:rPr>
        <w:t>What we do</w:t>
      </w:r>
      <w:r>
        <w:t>, https://www.tusla.ie/services/preschool-services/general-information/what-we-do/ (accessed 30 June 2023).</w:t>
      </w:r>
    </w:p>
    <w:p w14:paraId="1754603A" w14:textId="77777777" w:rsidR="00572DDC" w:rsidRDefault="00EC5BB1" w:rsidP="00572DDC">
      <w:pPr>
        <w:pStyle w:val="Reference"/>
        <w:sectPr w:rsidR="00572DDC" w:rsidSect="00572DDC">
          <w:footnotePr>
            <w:numRestart w:val="eachSect"/>
          </w:footnotePr>
          <w:type w:val="continuous"/>
          <w:pgSz w:w="11906" w:h="16838" w:code="9"/>
          <w:pgMar w:top="1134" w:right="1134" w:bottom="1134" w:left="1134" w:header="794" w:footer="510" w:gutter="0"/>
          <w:cols w:num="2" w:space="708"/>
          <w:docGrid w:linePitch="360"/>
        </w:sectPr>
      </w:pPr>
      <w:r>
        <w:t xml:space="preserve">Utrecht University 2022, </w:t>
      </w:r>
      <w:r>
        <w:rPr>
          <w:i/>
          <w:iCs/>
        </w:rPr>
        <w:t>House of Representatives asks UU researchers for advice on childcare allowance</w:t>
      </w:r>
      <w:r>
        <w:t>, https://www.uu.nl/en/news/house-of-representatives-asks-uu-researchers-for-advice-on-childcare-allowance (accessed 4 September 2023).</w:t>
      </w:r>
    </w:p>
    <w:p w14:paraId="70A948F1" w14:textId="21857C8B" w:rsidR="00EC5BB1" w:rsidRPr="00A91551" w:rsidRDefault="00EC5BB1" w:rsidP="00572DDC">
      <w:pPr>
        <w:pStyle w:val="Reference"/>
      </w:pPr>
    </w:p>
    <w:p w14:paraId="417812DF" w14:textId="77777777" w:rsidR="00562803" w:rsidRDefault="00562803" w:rsidP="00882158">
      <w:pPr>
        <w:pStyle w:val="BodyText"/>
        <w:sectPr w:rsidR="00562803" w:rsidSect="00572DDC">
          <w:footnotePr>
            <w:numRestart w:val="eachSect"/>
          </w:footnotePr>
          <w:type w:val="continuous"/>
          <w:pgSz w:w="11906" w:h="16838" w:code="9"/>
          <w:pgMar w:top="1134" w:right="1134" w:bottom="1134" w:left="1134" w:header="794" w:footer="510" w:gutter="0"/>
          <w:cols w:space="708"/>
          <w:docGrid w:linePitch="360"/>
        </w:sectPr>
      </w:pPr>
    </w:p>
    <w:p w14:paraId="48CAC565" w14:textId="77777777" w:rsidR="002316C7" w:rsidRDefault="002316C7" w:rsidP="00882158">
      <w:pPr>
        <w:pStyle w:val="Heading-Appendix"/>
      </w:pPr>
      <w:bookmarkStart w:id="9" w:name="_Toc172213571"/>
      <w:r>
        <w:lastRenderedPageBreak/>
        <w:t>Overview of the National Quality Framework</w:t>
      </w:r>
      <w:bookmarkEnd w:id="9"/>
    </w:p>
    <w:p w14:paraId="260394F3" w14:textId="77777777" w:rsidR="002316C7" w:rsidRDefault="002316C7" w:rsidP="00882158">
      <w:pPr>
        <w:pStyle w:val="BodyText"/>
      </w:pPr>
      <w:r>
        <w:t xml:space="preserve">Since 2012, </w:t>
      </w:r>
      <w:r w:rsidRPr="009A7651">
        <w:t xml:space="preserve">most </w:t>
      </w:r>
      <w:r>
        <w:t xml:space="preserve">early childhood education and care (ECEC) </w:t>
      </w:r>
      <w:r w:rsidRPr="009A7651">
        <w:t xml:space="preserve">services </w:t>
      </w:r>
      <w:r>
        <w:t>have been regulated under the</w:t>
      </w:r>
      <w:r w:rsidRPr="009A7651">
        <w:t xml:space="preserve"> National Quality Framework for Early Childhood Education and Care (NQF).</w:t>
      </w:r>
      <w:r>
        <w:t xml:space="preserve"> The NQF is a framework of agencies, laws, regulations and standards, which combine to provide</w:t>
      </w:r>
      <w:r w:rsidRPr="0044288B">
        <w:t xml:space="preserve"> </w:t>
      </w:r>
      <w:r>
        <w:t xml:space="preserve">a </w:t>
      </w:r>
      <w:r w:rsidRPr="0044288B">
        <w:t>national approach to the regulation and quality assessment of ECEC services</w:t>
      </w:r>
      <w:r>
        <w:t>. This appendix outlines the structure, governance arrangements and processes of the NQF.</w:t>
      </w:r>
    </w:p>
    <w:p w14:paraId="7275FF46" w14:textId="77777777" w:rsidR="002316C7" w:rsidRDefault="002316C7" w:rsidP="00882158">
      <w:pPr>
        <w:pStyle w:val="Heading2-Appendix"/>
      </w:pPr>
      <w:bookmarkStart w:id="10" w:name="_Toc172213572"/>
      <w:r>
        <w:t>Background</w:t>
      </w:r>
      <w:bookmarkEnd w:id="10"/>
    </w:p>
    <w:p w14:paraId="33CF07D5" w14:textId="77777777" w:rsidR="002316C7" w:rsidRDefault="002316C7" w:rsidP="00882158">
      <w:r>
        <w:t xml:space="preserve">The NQF was developed in response to a growing recognition of the importance of ECEC for children’s development and learning. Before the NQF, there was no national system for regulation and compliance in the ECEC sector – requirements such as those relating to the safety of a service’s physical environment were often duplicated in state/territory licensing and Australian Government quality assurance processes </w:t>
      </w:r>
      <w:r w:rsidRPr="00E2256F">
        <w:rPr>
          <w:rFonts w:ascii="Arial" w:hAnsi="Arial" w:cs="Arial"/>
        </w:rPr>
        <w:t>(ACECQA 2022b, p. 5)</w:t>
      </w:r>
      <w:r>
        <w:t xml:space="preserve">. </w:t>
      </w:r>
      <w:bookmarkStart w:id="11" w:name="_Hlk149249921"/>
      <w:r>
        <w:t xml:space="preserve">The quality of services receiving Australian Government funding was overseen by the National Childcare Accreditation Council until 2011, when it was replaced by the Australian Children’s Education and Care Quality Authority (ACECQA) </w:t>
      </w:r>
      <w:r w:rsidRPr="00222B2B">
        <w:rPr>
          <w:rFonts w:ascii="Arial" w:hAnsi="Arial" w:cs="Arial"/>
          <w:szCs w:val="24"/>
        </w:rPr>
        <w:t>(ACECQA n.d.; CPD 2023, p. 4)</w:t>
      </w:r>
      <w:bookmarkEnd w:id="11"/>
      <w:r>
        <w:t xml:space="preserve">. Expectations across the states and territories were also inconsistent, with a complex system of requirements and minimum standards for different service types in different jurisdictions. The result was a sector facing high regulatory burdens and significant variation in the standard of education and care </w:t>
      </w:r>
      <w:r w:rsidRPr="00E2256F">
        <w:rPr>
          <w:rFonts w:ascii="Arial" w:hAnsi="Arial" w:cs="Arial"/>
        </w:rPr>
        <w:t>(ACECQA 2022b, p. 5)</w:t>
      </w:r>
      <w:r>
        <w:t>.</w:t>
      </w:r>
    </w:p>
    <w:p w14:paraId="286C4355" w14:textId="77777777" w:rsidR="002316C7" w:rsidRDefault="002316C7" w:rsidP="00882158">
      <w:r>
        <w:t xml:space="preserve">In December 2009, the National Partnership Agreement on the National Quality Agenda for Early Childhood Education and Care (NQA) was established to contribute to the achievement of outcomes set out in the </w:t>
      </w:r>
      <w:r w:rsidRPr="009559A3">
        <w:rPr>
          <w:i/>
        </w:rPr>
        <w:t>Early Childhood Development Strategy</w:t>
      </w:r>
      <w:r>
        <w:t xml:space="preserve"> – which had been endorsed by the Council of Australian Governments (COAG) in July 2009 </w:t>
      </w:r>
      <w:r w:rsidRPr="009D71D7">
        <w:rPr>
          <w:rFonts w:ascii="Arial" w:hAnsi="Arial" w:cs="Arial"/>
          <w:szCs w:val="24"/>
        </w:rPr>
        <w:t>(COAG 2009a, p. 4, 2009b, p. 3)</w:t>
      </w:r>
      <w:r>
        <w:t xml:space="preserve">. The strategy included the vision that ‘by 2020 all children have the best start in life to create a better future for themselves and for the nation’ </w:t>
      </w:r>
      <w:r w:rsidRPr="003031FB">
        <w:rPr>
          <w:rFonts w:ascii="Arial" w:hAnsi="Arial" w:cs="Arial"/>
          <w:szCs w:val="24"/>
        </w:rPr>
        <w:t>(COAG 2009a, p. 4)</w:t>
      </w:r>
      <w:r>
        <w:t xml:space="preserve"> and contained seven key outcomes:</w:t>
      </w:r>
    </w:p>
    <w:p w14:paraId="5C5FDC42" w14:textId="77777777" w:rsidR="002316C7" w:rsidRPr="009E5C24" w:rsidRDefault="002316C7" w:rsidP="006510ED">
      <w:pPr>
        <w:pStyle w:val="ListNumber"/>
        <w:numPr>
          <w:ilvl w:val="0"/>
          <w:numId w:val="28"/>
        </w:numPr>
      </w:pPr>
      <w:r w:rsidRPr="009E5C24">
        <w:t>children are born and remain healthy</w:t>
      </w:r>
    </w:p>
    <w:p w14:paraId="6491BBA6" w14:textId="77777777" w:rsidR="002316C7" w:rsidRPr="009E5C24" w:rsidRDefault="002316C7" w:rsidP="00882158">
      <w:pPr>
        <w:pStyle w:val="ListNumber"/>
      </w:pPr>
      <w:r w:rsidRPr="009E5C24">
        <w:t>children’s environments are nurturing, culturally appropriate and safe</w:t>
      </w:r>
    </w:p>
    <w:p w14:paraId="45D8A9D1" w14:textId="77777777" w:rsidR="002316C7" w:rsidRPr="009E5C24" w:rsidRDefault="002316C7" w:rsidP="00882158">
      <w:pPr>
        <w:pStyle w:val="ListNumber"/>
      </w:pPr>
      <w:r w:rsidRPr="009E5C24">
        <w:t>children have the knowledge and skills for life and learning</w:t>
      </w:r>
    </w:p>
    <w:p w14:paraId="23F7A0F4" w14:textId="77777777" w:rsidR="002316C7" w:rsidRPr="009E5C24" w:rsidRDefault="002316C7" w:rsidP="00882158">
      <w:pPr>
        <w:pStyle w:val="ListNumber"/>
      </w:pPr>
      <w:r w:rsidRPr="009E5C24">
        <w:t>children benefit from better social inclusion and reduced disadvantage, especially Indigenous children</w:t>
      </w:r>
    </w:p>
    <w:p w14:paraId="6DE664F0" w14:textId="77777777" w:rsidR="002316C7" w:rsidRPr="009E5C24" w:rsidRDefault="002316C7" w:rsidP="00882158">
      <w:pPr>
        <w:pStyle w:val="ListNumber"/>
      </w:pPr>
      <w:r w:rsidRPr="009E5C24">
        <w:t>children are engaged in and benefiting from educational opportunities</w:t>
      </w:r>
    </w:p>
    <w:p w14:paraId="3ABB4326" w14:textId="77777777" w:rsidR="002316C7" w:rsidRPr="009E5C24" w:rsidRDefault="002316C7" w:rsidP="00882158">
      <w:pPr>
        <w:pStyle w:val="ListNumber"/>
      </w:pPr>
      <w:r w:rsidRPr="009E5C24">
        <w:t>families are confident and have the capabilities to support their children’s development</w:t>
      </w:r>
    </w:p>
    <w:p w14:paraId="3D0BDB4D" w14:textId="77777777" w:rsidR="002316C7" w:rsidRDefault="002316C7" w:rsidP="00882158">
      <w:pPr>
        <w:pStyle w:val="ListNumber"/>
      </w:pPr>
      <w:r w:rsidRPr="009E5C24">
        <w:t>quality</w:t>
      </w:r>
      <w:r>
        <w:t xml:space="preserve"> early childhood development services that support the workforce participation choices of families </w:t>
      </w:r>
      <w:r w:rsidRPr="003031FB">
        <w:rPr>
          <w:rFonts w:ascii="Arial" w:hAnsi="Arial" w:cs="Arial"/>
          <w:szCs w:val="24"/>
        </w:rPr>
        <w:t>(COAG 2009a, pp. 13–14)</w:t>
      </w:r>
      <w:r>
        <w:t>.</w:t>
      </w:r>
    </w:p>
    <w:p w14:paraId="0AE8F24A" w14:textId="77777777" w:rsidR="002316C7" w:rsidRPr="00E63FB0" w:rsidRDefault="002316C7" w:rsidP="00882158">
      <w:pPr>
        <w:pStyle w:val="BodyText"/>
        <w:rPr>
          <w:spacing w:val="-2"/>
        </w:rPr>
      </w:pPr>
      <w:r w:rsidRPr="00E63FB0">
        <w:rPr>
          <w:spacing w:val="-2"/>
        </w:rPr>
        <w:t>The NQA gave effect to a commitment by all parties to the development of the NQF. Box C.1 sets out the steps involved in developing the NQF and changes that have occurred since the framework came into effect in 2012.</w:t>
      </w:r>
    </w:p>
    <w:tbl>
      <w:tblPr>
        <w:tblStyle w:val="Boxtable"/>
        <w:tblW w:w="5000" w:type="pct"/>
        <w:tblLook w:val="04A0" w:firstRow="1" w:lastRow="0" w:firstColumn="1" w:lastColumn="0" w:noHBand="0" w:noVBand="1"/>
      </w:tblPr>
      <w:tblGrid>
        <w:gridCol w:w="9638"/>
      </w:tblGrid>
      <w:tr w:rsidR="002316C7" w14:paraId="54C6483E" w14:textId="77777777">
        <w:trPr>
          <w:tblHeader/>
        </w:trPr>
        <w:tc>
          <w:tcPr>
            <w:tcW w:w="9638" w:type="dxa"/>
            <w:shd w:val="clear" w:color="auto" w:fill="EBEBEB"/>
            <w:tcMar>
              <w:top w:w="170" w:type="dxa"/>
              <w:left w:w="170" w:type="dxa"/>
              <w:bottom w:w="113" w:type="dxa"/>
              <w:right w:w="170" w:type="dxa"/>
            </w:tcMar>
            <w:hideMark/>
          </w:tcPr>
          <w:p w14:paraId="1741DCF4" w14:textId="77777777" w:rsidR="002316C7" w:rsidRDefault="002316C7">
            <w:pPr>
              <w:pStyle w:val="BoxHeading1"/>
            </w:pPr>
            <w:r>
              <w:lastRenderedPageBreak/>
              <w:t xml:space="preserve">Box </w:t>
            </w:r>
            <w:r>
              <w:rPr>
                <w:noProof/>
              </w:rPr>
              <w:t>C</w:t>
            </w:r>
            <w:r>
              <w:t>.</w:t>
            </w:r>
            <w:r>
              <w:rPr>
                <w:noProof/>
              </w:rPr>
              <w:t>1</w:t>
            </w:r>
            <w:r>
              <w:t xml:space="preserve"> – NQF development timeline</w:t>
            </w:r>
          </w:p>
        </w:tc>
      </w:tr>
      <w:tr w:rsidR="002316C7" w14:paraId="42566B29" w14:textId="77777777">
        <w:tc>
          <w:tcPr>
            <w:tcW w:w="9638" w:type="dxa"/>
            <w:shd w:val="clear" w:color="auto" w:fill="EBEBEB"/>
            <w:tcMar>
              <w:top w:w="28" w:type="dxa"/>
              <w:left w:w="170" w:type="dxa"/>
              <w:bottom w:w="170" w:type="dxa"/>
              <w:right w:w="170" w:type="dxa"/>
            </w:tcMar>
            <w:hideMark/>
          </w:tcPr>
          <w:p w14:paraId="55CE56ED" w14:textId="77777777" w:rsidR="002316C7" w:rsidRDefault="002316C7" w:rsidP="00882158">
            <w:pPr>
              <w:pStyle w:val="BodyText"/>
              <w:tabs>
                <w:tab w:val="left" w:pos="680"/>
                <w:tab w:val="left" w:pos="1134"/>
              </w:tabs>
              <w:ind w:left="680" w:hanging="680"/>
              <w:rPr>
                <w:b/>
                <w:bCs/>
              </w:rPr>
            </w:pPr>
            <w:r>
              <w:rPr>
                <w:b/>
                <w:bCs/>
              </w:rPr>
              <w:t>2009</w:t>
            </w:r>
            <w:r>
              <w:rPr>
                <w:b/>
                <w:bCs/>
              </w:rPr>
              <w:tab/>
            </w:r>
            <w:r w:rsidRPr="00120FE5">
              <w:t>Early Years Learning Framework for Australia published</w:t>
            </w:r>
            <w:r>
              <w:t>.</w:t>
            </w:r>
          </w:p>
          <w:p w14:paraId="67E9AB38" w14:textId="77777777" w:rsidR="002316C7" w:rsidRDefault="002316C7" w:rsidP="00882158">
            <w:pPr>
              <w:pStyle w:val="BodyText"/>
              <w:tabs>
                <w:tab w:val="left" w:pos="680"/>
              </w:tabs>
              <w:ind w:left="680" w:hanging="680"/>
            </w:pPr>
            <w:r>
              <w:rPr>
                <w:b/>
                <w:bCs/>
              </w:rPr>
              <w:tab/>
            </w:r>
            <w:r w:rsidRPr="00A169AD">
              <w:t>National</w:t>
            </w:r>
            <w:r w:rsidRPr="005C6285">
              <w:t xml:space="preserve"> Partnership Agreement on the National Quality Agenda for Early Childhood Education and Care comes into effect</w:t>
            </w:r>
            <w:r>
              <w:t>.</w:t>
            </w:r>
          </w:p>
          <w:p w14:paraId="0A5A7D7B" w14:textId="77777777" w:rsidR="002316C7" w:rsidRDefault="002316C7" w:rsidP="00882158">
            <w:pPr>
              <w:pStyle w:val="BodyText"/>
              <w:tabs>
                <w:tab w:val="left" w:pos="680"/>
                <w:tab w:val="left" w:pos="1134"/>
              </w:tabs>
              <w:ind w:left="680" w:hanging="680"/>
            </w:pPr>
            <w:r w:rsidRPr="00D1107E">
              <w:rPr>
                <w:b/>
                <w:bCs/>
              </w:rPr>
              <w:t>2010</w:t>
            </w:r>
            <w:r>
              <w:rPr>
                <w:b/>
                <w:bCs/>
              </w:rPr>
              <w:tab/>
            </w:r>
            <w:r>
              <w:t>National Law passed.</w:t>
            </w:r>
          </w:p>
          <w:p w14:paraId="4C8C8E02" w14:textId="77777777" w:rsidR="002316C7" w:rsidRDefault="002316C7" w:rsidP="00882158">
            <w:pPr>
              <w:pStyle w:val="BodyText"/>
              <w:tabs>
                <w:tab w:val="left" w:pos="680"/>
                <w:tab w:val="left" w:pos="1134"/>
              </w:tabs>
              <w:ind w:left="680" w:hanging="680"/>
            </w:pPr>
            <w:r w:rsidRPr="00D1107E">
              <w:rPr>
                <w:b/>
                <w:bCs/>
              </w:rPr>
              <w:t>2011</w:t>
            </w:r>
            <w:r>
              <w:rPr>
                <w:b/>
                <w:bCs/>
              </w:rPr>
              <w:tab/>
            </w:r>
            <w:r>
              <w:t>National Regulations passed.</w:t>
            </w:r>
          </w:p>
          <w:p w14:paraId="4730B0A7" w14:textId="77777777" w:rsidR="002316C7" w:rsidRDefault="002316C7" w:rsidP="00882158">
            <w:pPr>
              <w:pStyle w:val="BodyText"/>
              <w:tabs>
                <w:tab w:val="left" w:pos="680"/>
                <w:tab w:val="left" w:pos="1134"/>
              </w:tabs>
              <w:ind w:left="680" w:hanging="680"/>
            </w:pPr>
            <w:r w:rsidRPr="00D1107E">
              <w:rPr>
                <w:b/>
                <w:bCs/>
              </w:rPr>
              <w:t>2012</w:t>
            </w:r>
            <w:r>
              <w:rPr>
                <w:b/>
                <w:bCs/>
              </w:rPr>
              <w:tab/>
            </w:r>
            <w:r>
              <w:t>NQF comes into effect, quality assessments and ratings begin.</w:t>
            </w:r>
          </w:p>
          <w:p w14:paraId="31F5CCE9" w14:textId="77777777" w:rsidR="002316C7" w:rsidRDefault="002316C7" w:rsidP="00882158">
            <w:pPr>
              <w:pStyle w:val="BodyText"/>
              <w:tabs>
                <w:tab w:val="left" w:pos="680"/>
                <w:tab w:val="left" w:pos="1134"/>
              </w:tabs>
              <w:ind w:left="680" w:hanging="680"/>
            </w:pPr>
            <w:r w:rsidRPr="00D1107E">
              <w:rPr>
                <w:b/>
                <w:bCs/>
              </w:rPr>
              <w:t>2013</w:t>
            </w:r>
            <w:r>
              <w:rPr>
                <w:b/>
                <w:bCs/>
              </w:rPr>
              <w:tab/>
            </w:r>
            <w:r>
              <w:t>First national registers of service quality are published.</w:t>
            </w:r>
          </w:p>
          <w:p w14:paraId="3DC2E31B" w14:textId="77777777" w:rsidR="002316C7" w:rsidRDefault="002316C7" w:rsidP="00882158">
            <w:pPr>
              <w:pStyle w:val="BodyText"/>
              <w:tabs>
                <w:tab w:val="left" w:pos="680"/>
                <w:tab w:val="left" w:pos="1134"/>
              </w:tabs>
              <w:ind w:left="680" w:hanging="680"/>
            </w:pPr>
            <w:r w:rsidRPr="00D1107E">
              <w:rPr>
                <w:b/>
                <w:bCs/>
              </w:rPr>
              <w:t>2014</w:t>
            </w:r>
            <w:r>
              <w:rPr>
                <w:b/>
                <w:bCs/>
              </w:rPr>
              <w:tab/>
            </w:r>
            <w:r>
              <w:t>New staffing requirements increase the number of early childhood teachers in services.</w:t>
            </w:r>
          </w:p>
          <w:p w14:paraId="788F6230" w14:textId="77777777" w:rsidR="002316C7" w:rsidRDefault="002316C7" w:rsidP="00882158">
            <w:pPr>
              <w:pStyle w:val="BodyText"/>
              <w:tabs>
                <w:tab w:val="left" w:pos="680"/>
                <w:tab w:val="left" w:pos="1134"/>
              </w:tabs>
              <w:ind w:left="680" w:hanging="680"/>
            </w:pPr>
            <w:r w:rsidRPr="00D1107E">
              <w:rPr>
                <w:b/>
                <w:bCs/>
              </w:rPr>
              <w:t>2015</w:t>
            </w:r>
            <w:r>
              <w:rPr>
                <w:b/>
                <w:bCs/>
              </w:rPr>
              <w:tab/>
            </w:r>
            <w:r>
              <w:t>Starting Blocks website launched.</w:t>
            </w:r>
          </w:p>
          <w:p w14:paraId="2FB6D468" w14:textId="77777777" w:rsidR="002316C7" w:rsidRDefault="002316C7" w:rsidP="00882158">
            <w:pPr>
              <w:pStyle w:val="BodyText"/>
              <w:tabs>
                <w:tab w:val="left" w:pos="680"/>
                <w:tab w:val="left" w:pos="1134"/>
              </w:tabs>
              <w:ind w:left="680" w:hanging="680"/>
            </w:pPr>
            <w:r w:rsidRPr="00D1107E">
              <w:rPr>
                <w:b/>
                <w:bCs/>
              </w:rPr>
              <w:t>2016</w:t>
            </w:r>
            <w:r>
              <w:rPr>
                <w:b/>
                <w:bCs/>
              </w:rPr>
              <w:tab/>
            </w:r>
            <w:r>
              <w:t>New educator</w:t>
            </w:r>
            <w:r>
              <w:noBreakHyphen/>
              <w:t>to</w:t>
            </w:r>
            <w:r>
              <w:noBreakHyphen/>
              <w:t>child ratios.</w:t>
            </w:r>
          </w:p>
          <w:p w14:paraId="13FF751F" w14:textId="77777777" w:rsidR="002316C7" w:rsidRDefault="002316C7" w:rsidP="00882158">
            <w:pPr>
              <w:pStyle w:val="BodyText"/>
              <w:tabs>
                <w:tab w:val="left" w:pos="680"/>
                <w:tab w:val="left" w:pos="1134"/>
              </w:tabs>
              <w:ind w:left="680" w:hanging="680"/>
            </w:pPr>
            <w:r w:rsidRPr="00D1107E">
              <w:rPr>
                <w:b/>
                <w:bCs/>
              </w:rPr>
              <w:t>2017</w:t>
            </w:r>
            <w:r>
              <w:rPr>
                <w:b/>
                <w:bCs/>
              </w:rPr>
              <w:tab/>
            </w:r>
            <w:r>
              <w:t>Changes to National Law and Regulations from 2014 NQF Review.</w:t>
            </w:r>
          </w:p>
          <w:p w14:paraId="4A3CE9D9" w14:textId="77777777" w:rsidR="002316C7" w:rsidRDefault="002316C7" w:rsidP="00882158">
            <w:pPr>
              <w:pStyle w:val="BodyText"/>
              <w:tabs>
                <w:tab w:val="left" w:pos="680"/>
                <w:tab w:val="left" w:pos="1134"/>
              </w:tabs>
              <w:ind w:left="680" w:hanging="680"/>
            </w:pPr>
            <w:r w:rsidRPr="00D1107E">
              <w:rPr>
                <w:b/>
                <w:bCs/>
              </w:rPr>
              <w:t>2018</w:t>
            </w:r>
            <w:r>
              <w:rPr>
                <w:b/>
                <w:bCs/>
              </w:rPr>
              <w:tab/>
            </w:r>
            <w:r>
              <w:t>Revised National Quality Standard (NQS) introduced.</w:t>
            </w:r>
          </w:p>
          <w:p w14:paraId="1DE3FD88" w14:textId="77777777" w:rsidR="002316C7" w:rsidRDefault="002316C7" w:rsidP="00882158">
            <w:pPr>
              <w:pStyle w:val="BodyText"/>
              <w:tabs>
                <w:tab w:val="left" w:pos="680"/>
                <w:tab w:val="left" w:pos="1134"/>
              </w:tabs>
              <w:ind w:left="680" w:hanging="680"/>
            </w:pPr>
            <w:r w:rsidRPr="00D1107E">
              <w:rPr>
                <w:b/>
                <w:bCs/>
              </w:rPr>
              <w:t>2019</w:t>
            </w:r>
            <w:r>
              <w:rPr>
                <w:b/>
                <w:bCs/>
              </w:rPr>
              <w:tab/>
            </w:r>
            <w:r>
              <w:t>2019 NQF review commences.</w:t>
            </w:r>
          </w:p>
          <w:p w14:paraId="4E81F9C3" w14:textId="77777777" w:rsidR="002316C7" w:rsidRDefault="002316C7" w:rsidP="00882158">
            <w:pPr>
              <w:pStyle w:val="BodyText"/>
              <w:tabs>
                <w:tab w:val="left" w:pos="680"/>
                <w:tab w:val="left" w:pos="1134"/>
              </w:tabs>
              <w:ind w:left="680" w:hanging="680"/>
            </w:pPr>
            <w:r w:rsidRPr="00D1107E">
              <w:rPr>
                <w:b/>
                <w:bCs/>
              </w:rPr>
              <w:t>2020</w:t>
            </w:r>
            <w:r>
              <w:rPr>
                <w:b/>
                <w:bCs/>
              </w:rPr>
              <w:tab/>
            </w:r>
            <w:r>
              <w:t>New staffing requirements increase number of early childhood teachers and suitably qualified persons in services.</w:t>
            </w:r>
          </w:p>
          <w:p w14:paraId="6B577FE2" w14:textId="77777777" w:rsidR="002316C7" w:rsidRDefault="002316C7" w:rsidP="00882158">
            <w:pPr>
              <w:pStyle w:val="BodyText"/>
              <w:tabs>
                <w:tab w:val="left" w:pos="680"/>
                <w:tab w:val="left" w:pos="1134"/>
              </w:tabs>
              <w:ind w:left="680" w:hanging="680"/>
            </w:pPr>
            <w:r>
              <w:rPr>
                <w:b/>
                <w:bCs/>
              </w:rPr>
              <w:tab/>
            </w:r>
            <w:r>
              <w:t>Quality assessment and rating temporarily suspended due to impacts of COVID</w:t>
            </w:r>
            <w:r>
              <w:noBreakHyphen/>
              <w:t>19.</w:t>
            </w:r>
          </w:p>
          <w:p w14:paraId="16D1FD56" w14:textId="77777777" w:rsidR="002316C7" w:rsidRDefault="002316C7" w:rsidP="00882158">
            <w:pPr>
              <w:pStyle w:val="BodyText"/>
              <w:tabs>
                <w:tab w:val="left" w:pos="680"/>
                <w:tab w:val="left" w:pos="1134"/>
              </w:tabs>
            </w:pPr>
            <w:r w:rsidRPr="00D1107E">
              <w:rPr>
                <w:b/>
                <w:bCs/>
              </w:rPr>
              <w:t>2021</w:t>
            </w:r>
            <w:r>
              <w:rPr>
                <w:b/>
                <w:bCs/>
              </w:rPr>
              <w:tab/>
            </w:r>
            <w:r>
              <w:t>NQF Approved Learning Frameworks Update project begins.</w:t>
            </w:r>
          </w:p>
          <w:p w14:paraId="10F08604" w14:textId="77777777" w:rsidR="002316C7" w:rsidRDefault="002316C7" w:rsidP="00882158">
            <w:pPr>
              <w:pStyle w:val="BodyText"/>
              <w:tabs>
                <w:tab w:val="left" w:pos="680"/>
                <w:tab w:val="left" w:pos="1134"/>
              </w:tabs>
              <w:rPr>
                <w:b/>
                <w:bCs/>
              </w:rPr>
            </w:pPr>
            <w:r w:rsidRPr="00D1107E">
              <w:rPr>
                <w:b/>
                <w:bCs/>
              </w:rPr>
              <w:t>2023</w:t>
            </w:r>
            <w:r>
              <w:rPr>
                <w:b/>
                <w:bCs/>
              </w:rPr>
              <w:tab/>
            </w:r>
            <w:r w:rsidRPr="00D1107E">
              <w:t>Changes to National Law and Regulation</w:t>
            </w:r>
            <w:r>
              <w:t>s</w:t>
            </w:r>
            <w:r w:rsidRPr="00D1107E">
              <w:t xml:space="preserve"> from 2019 NQF Review.</w:t>
            </w:r>
          </w:p>
          <w:p w14:paraId="7651FCA6" w14:textId="77777777" w:rsidR="002316C7" w:rsidRDefault="002316C7" w:rsidP="00882158">
            <w:pPr>
              <w:pStyle w:val="Source"/>
            </w:pPr>
            <w:r w:rsidRPr="008507EC">
              <w:t xml:space="preserve">Source: ACECQA </w:t>
            </w:r>
            <w:r w:rsidRPr="00E2256F">
              <w:rPr>
                <w:rFonts w:ascii="Arial" w:hAnsi="Arial" w:cs="Arial"/>
              </w:rPr>
              <w:t>(2022b, pp. 3–4; 2023a)</w:t>
            </w:r>
            <w:r w:rsidRPr="008507EC">
              <w:t>.</w:t>
            </w:r>
          </w:p>
        </w:tc>
      </w:tr>
      <w:tr w:rsidR="002316C7" w14:paraId="77D926C8" w14:textId="77777777">
        <w:trPr>
          <w:hidden/>
        </w:trPr>
        <w:tc>
          <w:tcPr>
            <w:tcW w:w="9638" w:type="dxa"/>
            <w:shd w:val="clear" w:color="auto" w:fill="auto"/>
            <w:tcMar>
              <w:top w:w="0" w:type="dxa"/>
              <w:left w:w="170" w:type="dxa"/>
              <w:bottom w:w="0" w:type="dxa"/>
              <w:right w:w="170" w:type="dxa"/>
            </w:tcMar>
          </w:tcPr>
          <w:p w14:paraId="0859CB4E" w14:textId="77777777" w:rsidR="002316C7" w:rsidRPr="00465191" w:rsidRDefault="002316C7">
            <w:pPr>
              <w:pStyle w:val="BodyText"/>
              <w:spacing w:before="0" w:after="0" w:line="80" w:lineRule="atLeast"/>
              <w:rPr>
                <w:smallCaps/>
                <w:vanish/>
              </w:rPr>
            </w:pPr>
          </w:p>
        </w:tc>
      </w:tr>
    </w:tbl>
    <w:p w14:paraId="60B1B061" w14:textId="77777777" w:rsidR="002316C7" w:rsidRDefault="002316C7" w:rsidP="00882158">
      <w:pPr>
        <w:pStyle w:val="Heading2-Appendix"/>
      </w:pPr>
      <w:bookmarkStart w:id="12" w:name="_Toc172213573"/>
      <w:r>
        <w:t>Governance arrangements</w:t>
      </w:r>
      <w:bookmarkEnd w:id="12"/>
    </w:p>
    <w:p w14:paraId="1BC85E78" w14:textId="77777777" w:rsidR="002316C7" w:rsidRDefault="002316C7" w:rsidP="00882158">
      <w:pPr>
        <w:pStyle w:val="Heading3"/>
        <w:spacing w:before="120"/>
      </w:pPr>
      <w:r>
        <w:t>A national legislative framework</w:t>
      </w:r>
    </w:p>
    <w:p w14:paraId="70DCE447" w14:textId="77777777" w:rsidR="002316C7" w:rsidRDefault="002316C7" w:rsidP="00882158">
      <w:pPr>
        <w:pStyle w:val="BodyText"/>
      </w:pPr>
      <w:r>
        <w:t>The national legislative framework underpinning the NQF consists of:</w:t>
      </w:r>
    </w:p>
    <w:p w14:paraId="652E6AF5" w14:textId="77777777" w:rsidR="002316C7" w:rsidRPr="00B905A8" w:rsidRDefault="002316C7" w:rsidP="00882158">
      <w:pPr>
        <w:pStyle w:val="ListBullet"/>
      </w:pPr>
      <w:r w:rsidRPr="00B905A8">
        <w:t>the Education and Care Services National Law (the National Law)</w:t>
      </w:r>
    </w:p>
    <w:p w14:paraId="40CA19E3" w14:textId="77777777" w:rsidR="002316C7" w:rsidRPr="00B905A8" w:rsidRDefault="002316C7" w:rsidP="00882158">
      <w:pPr>
        <w:pStyle w:val="ListBullet"/>
      </w:pPr>
      <w:r w:rsidRPr="00B905A8">
        <w:t>the Education and Care Services National Regulations (National Regulations).</w:t>
      </w:r>
    </w:p>
    <w:p w14:paraId="244FEDFC" w14:textId="77777777" w:rsidR="002316C7" w:rsidRDefault="002316C7" w:rsidP="00882158">
      <w:pPr>
        <w:pStyle w:val="BodyText"/>
      </w:pPr>
      <w:r>
        <w:t xml:space="preserve">The legislative framework was established through an applied laws system. Under this system, a host jurisdiction (Victoria) first passed the </w:t>
      </w:r>
      <w:r>
        <w:rPr>
          <w:i/>
        </w:rPr>
        <w:t xml:space="preserve">Education and Care Services National Law Act 2010 </w:t>
      </w:r>
      <w:r>
        <w:t>(Vic). This legislation was then adopted by all other states and territories except Western Australia, which passed corresponding legislation with some minor variations.</w:t>
      </w:r>
    </w:p>
    <w:p w14:paraId="2969B231" w14:textId="77777777" w:rsidR="002316C7" w:rsidRDefault="002316C7" w:rsidP="00882158">
      <w:pPr>
        <w:pStyle w:val="BodyText"/>
      </w:pPr>
      <w:r>
        <w:t xml:space="preserve">This legislative framework replaced separate licensing and quality assurance processes, as noted above, and aimed to create a jointly governed, uniform national approach to the regulation and quality assessment </w:t>
      </w:r>
      <w:r>
        <w:lastRenderedPageBreak/>
        <w:t>of ECEC services (an aim which has been partly achieved (paper 8)). The approach aimed to reduce red tape, which was particularly complex for providers operating across multiple jurisdictions.</w:t>
      </w:r>
    </w:p>
    <w:p w14:paraId="56E5CCE1" w14:textId="77777777" w:rsidR="002316C7" w:rsidRDefault="002316C7" w:rsidP="00882158">
      <w:pPr>
        <w:pStyle w:val="BodyText"/>
      </w:pPr>
      <w:r>
        <w:t>The National Law and National Regulations set out:</w:t>
      </w:r>
    </w:p>
    <w:p w14:paraId="48F1ADBA" w14:textId="77777777" w:rsidR="002316C7" w:rsidRPr="00B905A8" w:rsidRDefault="002316C7" w:rsidP="00882158">
      <w:pPr>
        <w:pStyle w:val="ListBullet"/>
      </w:pPr>
      <w:r w:rsidRPr="00B905A8">
        <w:t>approval processes for the operation of education and care services</w:t>
      </w:r>
    </w:p>
    <w:p w14:paraId="7AA2982D" w14:textId="77777777" w:rsidR="002316C7" w:rsidRPr="00B905A8" w:rsidRDefault="002316C7" w:rsidP="00882158">
      <w:pPr>
        <w:pStyle w:val="ListBullet"/>
      </w:pPr>
      <w:r w:rsidRPr="00B905A8">
        <w:t>the assessment and rating system</w:t>
      </w:r>
    </w:p>
    <w:p w14:paraId="4AB4EDDC" w14:textId="77777777" w:rsidR="002316C7" w:rsidRPr="00B905A8" w:rsidRDefault="002316C7" w:rsidP="00882158">
      <w:pPr>
        <w:pStyle w:val="ListBullet"/>
      </w:pPr>
      <w:r w:rsidRPr="00B905A8">
        <w:t>key operational requirements</w:t>
      </w:r>
    </w:p>
    <w:p w14:paraId="1A15DFF9" w14:textId="77777777" w:rsidR="002316C7" w:rsidRPr="00B905A8" w:rsidRDefault="002316C7" w:rsidP="00882158">
      <w:pPr>
        <w:pStyle w:val="ListBullet"/>
      </w:pPr>
      <w:r w:rsidRPr="00B905A8">
        <w:t>compliance, monitoring and enforcement powers</w:t>
      </w:r>
    </w:p>
    <w:p w14:paraId="543E1F22" w14:textId="77777777" w:rsidR="002316C7" w:rsidRPr="00B905A8" w:rsidRDefault="002316C7" w:rsidP="00882158">
      <w:pPr>
        <w:pStyle w:val="ListBullet"/>
      </w:pPr>
      <w:r w:rsidRPr="00B905A8">
        <w:t>the functions and powers of the Education Ministers, ACECQA and the regulatory authorities in each jurisdiction</w:t>
      </w:r>
    </w:p>
    <w:p w14:paraId="6E3D46B9" w14:textId="77777777" w:rsidR="002316C7" w:rsidRPr="00B905A8" w:rsidRDefault="002316C7" w:rsidP="00882158">
      <w:pPr>
        <w:pStyle w:val="ListBullet"/>
      </w:pPr>
      <w:r w:rsidRPr="00B905A8">
        <w:t>key transitional arrangements.</w:t>
      </w:r>
    </w:p>
    <w:p w14:paraId="3FCF0C36" w14:textId="77777777" w:rsidR="002316C7" w:rsidRDefault="002316C7" w:rsidP="00882158">
      <w:pPr>
        <w:pStyle w:val="BodyText"/>
      </w:pPr>
      <w:r>
        <w:t xml:space="preserve">The NQF covers most long day care (LDC), family day care (FDC), preschool (or kindergarten) and outside school hours care (OSHC) services in Australia. Most preschools (kindergartens) in Tasmania and Western Australia are not covered </w:t>
      </w:r>
      <w:r w:rsidRPr="003E1D34">
        <w:rPr>
          <w:rFonts w:ascii="Arial" w:hAnsi="Arial" w:cs="Arial"/>
        </w:rPr>
        <w:t>(ACECQA 2023f, p. 5)</w:t>
      </w:r>
      <w:r>
        <w:t>. All other forms of care, including in home, mobile, occasional care and most former Budget Based Funded</w:t>
      </w:r>
      <w:r>
        <w:rPr>
          <w:rStyle w:val="FootnoteReference"/>
        </w:rPr>
        <w:footnoteReference w:id="7"/>
      </w:r>
      <w:r>
        <w:t xml:space="preserve"> services were excluded from the NQF </w:t>
      </w:r>
      <w:r w:rsidRPr="003E1D34">
        <w:rPr>
          <w:rFonts w:ascii="Arial" w:hAnsi="Arial" w:cs="Arial"/>
        </w:rPr>
        <w:t>(ACECQA 2023d, pp. 37–38)</w:t>
      </w:r>
      <w:r>
        <w:t>.</w:t>
      </w:r>
      <w:r w:rsidDel="002E114E">
        <w:t xml:space="preserve"> </w:t>
      </w:r>
      <w:r>
        <w:t>Box C.2 details the types of services that sit outside the scope of the NQF.</w:t>
      </w:r>
    </w:p>
    <w:p w14:paraId="051447C4" w14:textId="77777777" w:rsidR="002316C7" w:rsidRDefault="002316C7" w:rsidP="00882158">
      <w:pPr>
        <w:pStyle w:val="Heading4"/>
      </w:pPr>
      <w:r>
        <w:t>Reviews of the framework and its elements</w:t>
      </w:r>
    </w:p>
    <w:p w14:paraId="7611DD00" w14:textId="77777777" w:rsidR="002316C7" w:rsidRDefault="002316C7" w:rsidP="00882158">
      <w:pPr>
        <w:pStyle w:val="BodyText"/>
      </w:pPr>
      <w:r>
        <w:t>The NQF was envisaged to be reviewed every five years, with reviews occurring in both 2014 and 2019, although there is currently no mechanism to mandate reviews (paper 8). The 2014 review reforms included:</w:t>
      </w:r>
    </w:p>
    <w:p w14:paraId="26584F0C" w14:textId="77777777" w:rsidR="002316C7" w:rsidRPr="00B905A8" w:rsidRDefault="002316C7" w:rsidP="00882158">
      <w:pPr>
        <w:pStyle w:val="ListBullet"/>
      </w:pPr>
      <w:r w:rsidRPr="00B905A8">
        <w:t>removing conceptual overlap between elements and standards, clarifying language and reducing the number of standards and elements</w:t>
      </w:r>
    </w:p>
    <w:p w14:paraId="24DD578D" w14:textId="77777777" w:rsidR="002316C7" w:rsidRPr="00B905A8" w:rsidRDefault="002316C7" w:rsidP="00882158">
      <w:pPr>
        <w:pStyle w:val="ListBullet"/>
      </w:pPr>
      <w:r w:rsidRPr="00B905A8">
        <w:t>improving oversight and support within FDC</w:t>
      </w:r>
    </w:p>
    <w:p w14:paraId="5A748E0B" w14:textId="77777777" w:rsidR="002316C7" w:rsidRPr="00B905A8" w:rsidRDefault="002316C7" w:rsidP="00882158">
      <w:pPr>
        <w:pStyle w:val="ListBullet"/>
      </w:pPr>
      <w:r w:rsidRPr="00B905A8">
        <w:t>removing supervisor certificate requirements so service providers have more autonomy in deciding who can be the responsible person in each service</w:t>
      </w:r>
    </w:p>
    <w:p w14:paraId="447A2352" w14:textId="77777777" w:rsidR="002316C7" w:rsidRPr="00B905A8" w:rsidRDefault="002316C7" w:rsidP="00882158">
      <w:pPr>
        <w:pStyle w:val="ListBullet"/>
      </w:pPr>
      <w:r w:rsidRPr="00B905A8">
        <w:t>introducing a national educator to child ratio of 1:15 for services providing education and care to school age children (ESA 2022, p. 27).</w:t>
      </w:r>
    </w:p>
    <w:p w14:paraId="1CA9ED23" w14:textId="77777777" w:rsidR="002316C7" w:rsidRDefault="002316C7" w:rsidP="00882158">
      <w:pPr>
        <w:pStyle w:val="BodyText"/>
      </w:pPr>
      <w:r>
        <w:t>Likewise, the 2019 review gave rise to changes. These</w:t>
      </w:r>
      <w:r w:rsidDel="000F469B">
        <w:t xml:space="preserve"> </w:t>
      </w:r>
      <w:r>
        <w:t>included:</w:t>
      </w:r>
    </w:p>
    <w:p w14:paraId="3DFB2438" w14:textId="77777777" w:rsidR="002316C7" w:rsidRPr="00B905A8" w:rsidRDefault="002316C7" w:rsidP="00882158">
      <w:pPr>
        <w:pStyle w:val="ListBullet"/>
      </w:pPr>
      <w:r w:rsidRPr="00B905A8">
        <w:t>new requirements regarding the safety, health and wellbeing of children</w:t>
      </w:r>
    </w:p>
    <w:p w14:paraId="66A93D47" w14:textId="77777777" w:rsidR="002316C7" w:rsidRPr="00B905A8" w:rsidRDefault="002316C7" w:rsidP="00882158">
      <w:pPr>
        <w:pStyle w:val="ListBullet"/>
      </w:pPr>
      <w:r w:rsidRPr="00B905A8">
        <w:t>improved oversight and compliance tools for regulatory authorities</w:t>
      </w:r>
    </w:p>
    <w:p w14:paraId="05A0AAD5" w14:textId="77777777" w:rsidR="002316C7" w:rsidRPr="00B905A8" w:rsidRDefault="002316C7" w:rsidP="00882158">
      <w:pPr>
        <w:pStyle w:val="ListBullet"/>
      </w:pPr>
      <w:r w:rsidRPr="00B905A8">
        <w:t>new workforce requirements, which include increasing minimum qualification requirements for FDC educators and alleviating staffing requirements during short</w:t>
      </w:r>
      <w:r w:rsidRPr="00B905A8">
        <w:noBreakHyphen/>
        <w:t>term absences</w:t>
      </w:r>
    </w:p>
    <w:p w14:paraId="7FC65F47" w14:textId="77777777" w:rsidR="002316C7" w:rsidRPr="00B905A8" w:rsidRDefault="002316C7" w:rsidP="00882158">
      <w:pPr>
        <w:pStyle w:val="ListBullet"/>
      </w:pPr>
      <w:r w:rsidRPr="00B905A8">
        <w:t>increasing the period of approval for the service ‘Excellent’ rating from three to five years</w:t>
      </w:r>
    </w:p>
    <w:p w14:paraId="784225F1" w14:textId="77777777" w:rsidR="002316C7" w:rsidRPr="00B905A8" w:rsidRDefault="002316C7" w:rsidP="00882158">
      <w:pPr>
        <w:pStyle w:val="ListBullet"/>
      </w:pPr>
      <w:r w:rsidRPr="00B905A8">
        <w:t>improved regulatory guidance through government</w:t>
      </w:r>
      <w:r w:rsidRPr="00B905A8">
        <w:noBreakHyphen/>
        <w:t>developed resources (ACECQA 2019, 2023b).</w:t>
      </w:r>
    </w:p>
    <w:p w14:paraId="1CB69832" w14:textId="77777777" w:rsidR="002316C7" w:rsidRDefault="002316C7" w:rsidP="00882158">
      <w:pPr>
        <w:pStyle w:val="BodyText"/>
      </w:pPr>
      <w:r>
        <w:t>Outside of these more regular, scheduled reviews, sections of the NQF may, from time to time, come under examination via</w:t>
      </w:r>
      <w:r w:rsidDel="00D47669">
        <w:t xml:space="preserve"> </w:t>
      </w:r>
      <w:r>
        <w:t xml:space="preserve">targeted reviews. For example, the </w:t>
      </w:r>
      <w:r w:rsidRPr="00CA49C9">
        <w:t>2021 N</w:t>
      </w:r>
      <w:r>
        <w:t>QF</w:t>
      </w:r>
      <w:r w:rsidRPr="00CA49C9">
        <w:t xml:space="preserve"> Approved Learning Frameworks Update project</w:t>
      </w:r>
      <w:r>
        <w:t xml:space="preserve"> had two rounds of consultation in 2021, a pilot in 2022, and led to an update to</w:t>
      </w:r>
      <w:r w:rsidDel="000243B8">
        <w:t xml:space="preserve"> </w:t>
      </w:r>
      <w:r>
        <w:t>learning frameworks</w:t>
      </w:r>
      <w:r w:rsidRPr="005F131E">
        <w:t xml:space="preserve"> </w:t>
      </w:r>
      <w:r>
        <w:t xml:space="preserve">for </w:t>
      </w:r>
      <w:r w:rsidRPr="005F131E">
        <w:t xml:space="preserve">young children from birth to </w:t>
      </w:r>
      <w:r>
        <w:t>five</w:t>
      </w:r>
      <w:r w:rsidRPr="005F131E">
        <w:t xml:space="preserve"> years of age</w:t>
      </w:r>
      <w:r>
        <w:t>, as well as those for care of school</w:t>
      </w:r>
      <w:r>
        <w:noBreakHyphen/>
        <w:t xml:space="preserve">age children </w:t>
      </w:r>
      <w:r w:rsidRPr="00C915EA">
        <w:rPr>
          <w:rFonts w:ascii="Arial" w:hAnsi="Arial" w:cs="Arial"/>
          <w:szCs w:val="24"/>
        </w:rPr>
        <w:t>(Macquarie University 2023)</w:t>
      </w:r>
      <w:r>
        <w:t>.</w:t>
      </w:r>
    </w:p>
    <w:tbl>
      <w:tblPr>
        <w:tblStyle w:val="Boxtable"/>
        <w:tblW w:w="5000" w:type="pct"/>
        <w:tblLook w:val="04A0" w:firstRow="1" w:lastRow="0" w:firstColumn="1" w:lastColumn="0" w:noHBand="0" w:noVBand="1"/>
      </w:tblPr>
      <w:tblGrid>
        <w:gridCol w:w="9638"/>
      </w:tblGrid>
      <w:tr w:rsidR="002316C7" w14:paraId="482DB0CF" w14:textId="77777777">
        <w:trPr>
          <w:tblHeader/>
        </w:trPr>
        <w:tc>
          <w:tcPr>
            <w:tcW w:w="9638" w:type="dxa"/>
            <w:shd w:val="clear" w:color="auto" w:fill="EBEBEB"/>
            <w:tcMar>
              <w:top w:w="170" w:type="dxa"/>
              <w:left w:w="170" w:type="dxa"/>
              <w:bottom w:w="113" w:type="dxa"/>
              <w:right w:w="170" w:type="dxa"/>
            </w:tcMar>
            <w:hideMark/>
          </w:tcPr>
          <w:p w14:paraId="36391D81" w14:textId="77777777" w:rsidR="002316C7" w:rsidRDefault="002316C7" w:rsidP="00882158">
            <w:pPr>
              <w:pStyle w:val="BoxHeading1"/>
            </w:pPr>
            <w:r>
              <w:lastRenderedPageBreak/>
              <w:t xml:space="preserve">Box </w:t>
            </w:r>
            <w:r>
              <w:rPr>
                <w:noProof/>
              </w:rPr>
              <w:t>C</w:t>
            </w:r>
            <w:r>
              <w:t>.</w:t>
            </w:r>
            <w:r>
              <w:rPr>
                <w:noProof/>
              </w:rPr>
              <w:t>2</w:t>
            </w:r>
            <w:r>
              <w:t xml:space="preserve"> – Services out of scope from the NQF </w:t>
            </w:r>
          </w:p>
        </w:tc>
      </w:tr>
      <w:tr w:rsidR="002316C7" w14:paraId="3FBFC8E8" w14:textId="77777777">
        <w:tc>
          <w:tcPr>
            <w:tcW w:w="9638" w:type="dxa"/>
            <w:shd w:val="clear" w:color="auto" w:fill="EBEBEB"/>
            <w:tcMar>
              <w:top w:w="28" w:type="dxa"/>
              <w:left w:w="170" w:type="dxa"/>
              <w:bottom w:w="170" w:type="dxa"/>
              <w:right w:w="170" w:type="dxa"/>
            </w:tcMar>
            <w:hideMark/>
          </w:tcPr>
          <w:p w14:paraId="1BE4D1F7" w14:textId="77777777" w:rsidR="002316C7" w:rsidRPr="00B905A8" w:rsidRDefault="002316C7" w:rsidP="00882158">
            <w:pPr>
              <w:pStyle w:val="ListBullet"/>
            </w:pPr>
            <w:r w:rsidRPr="00B905A8">
              <w:t>A service principally conducted to provide instruction in a particular activity (for example, a language class or ballet class).</w:t>
            </w:r>
          </w:p>
          <w:p w14:paraId="34579F43" w14:textId="77777777" w:rsidR="002316C7" w:rsidRPr="00B905A8" w:rsidRDefault="002316C7" w:rsidP="00882158">
            <w:pPr>
              <w:pStyle w:val="ListBullet"/>
            </w:pPr>
            <w:r w:rsidRPr="00B905A8">
              <w:t>A service providing education and care to patients in a hospital or patients of a medical or therapeutic care service.</w:t>
            </w:r>
          </w:p>
          <w:p w14:paraId="20859F77" w14:textId="77777777" w:rsidR="002316C7" w:rsidRPr="00B905A8" w:rsidRDefault="002316C7" w:rsidP="00882158">
            <w:pPr>
              <w:pStyle w:val="ListBullet"/>
            </w:pPr>
            <w:r w:rsidRPr="00B905A8">
              <w:t>Care provided under a child protection law of a participating jurisdiction.</w:t>
            </w:r>
          </w:p>
          <w:p w14:paraId="41434EB4" w14:textId="77777777" w:rsidR="002316C7" w:rsidRPr="00B905A8" w:rsidRDefault="002316C7" w:rsidP="00882158">
            <w:pPr>
              <w:pStyle w:val="ListBullet"/>
            </w:pPr>
            <w:r w:rsidRPr="00B905A8">
              <w:t>Disability services defined under state or territory law, and early childhood intervention services for children with additional needs.</w:t>
            </w:r>
          </w:p>
          <w:p w14:paraId="4E2F2B41" w14:textId="77777777" w:rsidR="002316C7" w:rsidRPr="00B905A8" w:rsidRDefault="002316C7" w:rsidP="00882158">
            <w:pPr>
              <w:pStyle w:val="ListBullet"/>
            </w:pPr>
            <w:r w:rsidRPr="00B905A8">
              <w:t>Education and care in a child’s home.</w:t>
            </w:r>
          </w:p>
          <w:p w14:paraId="029B2A9E" w14:textId="77777777" w:rsidR="002316C7" w:rsidRPr="00B905A8" w:rsidRDefault="002316C7" w:rsidP="00882158">
            <w:pPr>
              <w:pStyle w:val="ListBullet"/>
            </w:pPr>
            <w:r w:rsidRPr="00B905A8">
              <w:t>Except in Western Australia, education and care in a residence, other than as part of a FDC service.</w:t>
            </w:r>
          </w:p>
          <w:p w14:paraId="15BEA640" w14:textId="77777777" w:rsidR="002316C7" w:rsidRPr="00B905A8" w:rsidRDefault="002316C7" w:rsidP="00882158">
            <w:pPr>
              <w:pStyle w:val="ListBullet"/>
            </w:pPr>
            <w:r w:rsidRPr="00B905A8">
              <w:t>Primarily ad hoc or casual education and care (commonly referred to as occasional care).</w:t>
            </w:r>
          </w:p>
          <w:p w14:paraId="4DFC973B" w14:textId="77777777" w:rsidR="002316C7" w:rsidRPr="00B905A8" w:rsidRDefault="002316C7" w:rsidP="00882158">
            <w:pPr>
              <w:pStyle w:val="ListBullet"/>
            </w:pPr>
            <w:r w:rsidRPr="00B905A8">
              <w:t>Education and care provided by a hotel or resort to children of short</w:t>
            </w:r>
            <w:r w:rsidRPr="00B905A8">
              <w:noBreakHyphen/>
              <w:t>term guests at the hotel or resort.</w:t>
            </w:r>
          </w:p>
          <w:p w14:paraId="6E4282D4" w14:textId="77777777" w:rsidR="002316C7" w:rsidRPr="00B905A8" w:rsidRDefault="002316C7" w:rsidP="00882158">
            <w:pPr>
              <w:pStyle w:val="ListBullet"/>
            </w:pPr>
            <w:r w:rsidRPr="00B905A8">
              <w:t>Education and care that is provided on an ad hoc basis to children of a guest, visitor or patron where the person who is responsible for the children is readily available at all times.</w:t>
            </w:r>
          </w:p>
          <w:p w14:paraId="08A1FB66" w14:textId="77777777" w:rsidR="002316C7" w:rsidRPr="00B905A8" w:rsidRDefault="002316C7" w:rsidP="00882158">
            <w:pPr>
              <w:pStyle w:val="ListBullet"/>
            </w:pPr>
            <w:r w:rsidRPr="00B905A8">
              <w:t>Education and care that is primarily provided or shared by parents or family members.</w:t>
            </w:r>
          </w:p>
          <w:p w14:paraId="49363F9C" w14:textId="77777777" w:rsidR="002316C7" w:rsidRPr="00B905A8" w:rsidRDefault="002316C7" w:rsidP="00882158">
            <w:pPr>
              <w:pStyle w:val="ListBullet"/>
            </w:pPr>
            <w:r w:rsidRPr="00B905A8">
              <w:t>Education and care provided at a secondary school to a child of a student attending the school, where the parent retains responsibility for the child.</w:t>
            </w:r>
          </w:p>
          <w:p w14:paraId="41332F6B" w14:textId="77777777" w:rsidR="002316C7" w:rsidRPr="00B905A8" w:rsidRDefault="002316C7" w:rsidP="00882158">
            <w:pPr>
              <w:pStyle w:val="ListBullet"/>
            </w:pPr>
            <w:r w:rsidRPr="00B905A8">
              <w:t>Mobile services.</w:t>
            </w:r>
          </w:p>
          <w:p w14:paraId="63AEFD5A" w14:textId="77777777" w:rsidR="002316C7" w:rsidRPr="00B905A8" w:rsidRDefault="002316C7" w:rsidP="00882158">
            <w:pPr>
              <w:pStyle w:val="ListBullet"/>
            </w:pPr>
            <w:r w:rsidRPr="00B905A8">
              <w:t>Services that provide education and care for no more than four weeks per calendar year during school holidays.</w:t>
            </w:r>
          </w:p>
          <w:p w14:paraId="4B3A4B99" w14:textId="77777777" w:rsidR="002316C7" w:rsidRPr="00B905A8" w:rsidRDefault="002316C7" w:rsidP="00882158">
            <w:pPr>
              <w:pStyle w:val="ListBullet"/>
            </w:pPr>
            <w:r w:rsidRPr="00B905A8">
              <w:t>Transition to school programs provided by a school to orient children to that school.</w:t>
            </w:r>
          </w:p>
          <w:p w14:paraId="1673079F" w14:textId="77777777" w:rsidR="002316C7" w:rsidRPr="00B905A8" w:rsidRDefault="002316C7" w:rsidP="00882158">
            <w:pPr>
              <w:pStyle w:val="ListBullet"/>
            </w:pPr>
            <w:r w:rsidRPr="00B905A8">
              <w:t>Services that on 30 June 2018 were funded under the Budget Based Funded program and were not approved under Family Assistance Law.</w:t>
            </w:r>
          </w:p>
          <w:p w14:paraId="55F82CD6" w14:textId="77777777" w:rsidR="002316C7" w:rsidRPr="00B905A8" w:rsidRDefault="002316C7" w:rsidP="00882158">
            <w:pPr>
              <w:pStyle w:val="ListBullet"/>
            </w:pPr>
            <w:r w:rsidRPr="00B905A8">
              <w:t>Services that on 30 June 2018 were funded under the Indigenous Advancement Strategy but were not approved under Family Assistance Law nor regulated under the NQF.</w:t>
            </w:r>
          </w:p>
          <w:p w14:paraId="2CDCF1EC" w14:textId="77777777" w:rsidR="002316C7" w:rsidRPr="00B905A8" w:rsidRDefault="002316C7" w:rsidP="00882158">
            <w:pPr>
              <w:pStyle w:val="ListBullet"/>
            </w:pPr>
            <w:r w:rsidRPr="00B905A8">
              <w:t>Playschools licensed in the Australian Capital Territory.</w:t>
            </w:r>
          </w:p>
          <w:p w14:paraId="3339BEF4" w14:textId="77777777" w:rsidR="002316C7" w:rsidRPr="00B905A8" w:rsidRDefault="002316C7" w:rsidP="00882158">
            <w:pPr>
              <w:pStyle w:val="ListBullet"/>
            </w:pPr>
            <w:r w:rsidRPr="00B905A8">
              <w:t>Stand</w:t>
            </w:r>
            <w:r w:rsidRPr="00B905A8">
              <w:noBreakHyphen/>
              <w:t>alone services in Queensland.</w:t>
            </w:r>
          </w:p>
          <w:p w14:paraId="495F76C6" w14:textId="77777777" w:rsidR="002316C7" w:rsidRPr="00B905A8" w:rsidRDefault="002316C7" w:rsidP="00882158">
            <w:pPr>
              <w:pStyle w:val="ListBullet"/>
            </w:pPr>
            <w:r w:rsidRPr="00B905A8">
              <w:t>Playcentres in South Australia and New South Wales.</w:t>
            </w:r>
          </w:p>
          <w:p w14:paraId="6E5C657D" w14:textId="77777777" w:rsidR="002316C7" w:rsidRPr="00B905A8" w:rsidRDefault="002316C7" w:rsidP="00882158">
            <w:pPr>
              <w:pStyle w:val="ListBullet"/>
            </w:pPr>
            <w:r w:rsidRPr="00B905A8">
              <w:t>Services licensed as Centre</w:t>
            </w:r>
            <w:r w:rsidRPr="00B905A8">
              <w:noBreakHyphen/>
              <w:t>based Class 4 or 5 services under the Child Care Act 2001 in Tasmania.</w:t>
            </w:r>
          </w:p>
          <w:p w14:paraId="69AE6B43" w14:textId="77777777" w:rsidR="002316C7" w:rsidRPr="00B905A8" w:rsidRDefault="002316C7" w:rsidP="00882158">
            <w:pPr>
              <w:pStyle w:val="ListBullet"/>
            </w:pPr>
            <w:r w:rsidRPr="00B905A8">
              <w:t>Licensed limited hours or short</w:t>
            </w:r>
            <w:r w:rsidRPr="00B905A8">
              <w:noBreakHyphen/>
              <w:t>term services in Queensland or Victoria.</w:t>
            </w:r>
          </w:p>
          <w:p w14:paraId="6355D71C" w14:textId="77777777" w:rsidR="002316C7" w:rsidRPr="00E56202" w:rsidRDefault="002316C7" w:rsidP="00882158">
            <w:pPr>
              <w:pStyle w:val="ListBullet"/>
              <w:rPr>
                <w:spacing w:val="-4"/>
              </w:rPr>
            </w:pPr>
            <w:r w:rsidRPr="00E56202">
              <w:rPr>
                <w:spacing w:val="-4"/>
              </w:rPr>
              <w:t>Government</w:t>
            </w:r>
            <w:r w:rsidRPr="00E56202">
              <w:rPr>
                <w:spacing w:val="-4"/>
              </w:rPr>
              <w:noBreakHyphen/>
              <w:t>funded services under the Children and Community Services Act 2004 of Western Australia.</w:t>
            </w:r>
          </w:p>
          <w:p w14:paraId="6F2A2AFB" w14:textId="77777777" w:rsidR="002316C7" w:rsidRDefault="002316C7" w:rsidP="00882158">
            <w:pPr>
              <w:pStyle w:val="Source"/>
              <w:keepNext/>
            </w:pPr>
            <w:r>
              <w:t xml:space="preserve">Source: ACECQA </w:t>
            </w:r>
            <w:r w:rsidRPr="003E1D34">
              <w:rPr>
                <w:rFonts w:ascii="Arial" w:hAnsi="Arial" w:cs="Arial"/>
              </w:rPr>
              <w:t>(2023d, pp. 37–38)</w:t>
            </w:r>
            <w:r>
              <w:t>.</w:t>
            </w:r>
          </w:p>
        </w:tc>
      </w:tr>
      <w:tr w:rsidR="002316C7" w14:paraId="6AC2D146" w14:textId="77777777">
        <w:trPr>
          <w:hidden/>
        </w:trPr>
        <w:tc>
          <w:tcPr>
            <w:tcW w:w="9638" w:type="dxa"/>
            <w:shd w:val="clear" w:color="auto" w:fill="auto"/>
            <w:tcMar>
              <w:top w:w="0" w:type="dxa"/>
              <w:left w:w="170" w:type="dxa"/>
              <w:bottom w:w="0" w:type="dxa"/>
              <w:right w:w="170" w:type="dxa"/>
            </w:tcMar>
          </w:tcPr>
          <w:p w14:paraId="3B8B5183" w14:textId="77777777" w:rsidR="002316C7" w:rsidRPr="00465191" w:rsidRDefault="002316C7">
            <w:pPr>
              <w:pStyle w:val="BodyText"/>
              <w:spacing w:before="0" w:after="0" w:line="80" w:lineRule="atLeast"/>
              <w:rPr>
                <w:smallCaps/>
                <w:vanish/>
              </w:rPr>
            </w:pPr>
          </w:p>
        </w:tc>
      </w:tr>
    </w:tbl>
    <w:p w14:paraId="4EE35D98" w14:textId="77777777" w:rsidR="002316C7" w:rsidRDefault="002316C7" w:rsidP="00882158">
      <w:pPr>
        <w:pStyle w:val="BodyText"/>
      </w:pPr>
      <w:r>
        <w:t>Likewise, the National Children’s Education and Care Workforce Strategy (</w:t>
      </w:r>
      <w:r w:rsidRPr="00E53432">
        <w:rPr>
          <w:i/>
          <w:iCs/>
        </w:rPr>
        <w:t>Shaping Our Future</w:t>
      </w:r>
      <w:r>
        <w:rPr>
          <w:i/>
          <w:iCs/>
        </w:rPr>
        <w:t>)</w:t>
      </w:r>
      <w:r>
        <w:t xml:space="preserve"> committed ACECQA to a review of staffing and qualification regulations for early childhood teachers and OSHC educators. The review commenced in May 2023 and aimed to improve consistency, support quality and reduce the complexity of current qualification and staffing requirements. It made recommendations in December 2023 </w:t>
      </w:r>
      <w:r w:rsidRPr="003E1D34">
        <w:rPr>
          <w:rFonts w:ascii="Arial" w:hAnsi="Arial" w:cs="Arial"/>
        </w:rPr>
        <w:t>(ACECQA 2023k; ESA 2021, p. 55)</w:t>
      </w:r>
      <w:r>
        <w:t>.</w:t>
      </w:r>
    </w:p>
    <w:p w14:paraId="038A7108" w14:textId="77777777" w:rsidR="002316C7" w:rsidRDefault="002316C7" w:rsidP="00E56202">
      <w:pPr>
        <w:pStyle w:val="Heading3"/>
      </w:pPr>
      <w:r>
        <w:lastRenderedPageBreak/>
        <w:t>Governing bodies</w:t>
      </w:r>
    </w:p>
    <w:p w14:paraId="711EE717" w14:textId="77777777" w:rsidR="002316C7" w:rsidRDefault="002316C7" w:rsidP="00E56202">
      <w:pPr>
        <w:pStyle w:val="BodyText"/>
        <w:keepNext/>
        <w:keepLines/>
      </w:pPr>
      <w:r>
        <w:t>The NQF is jointly governed by the Australian, state and territory governments in the form of two key national bodies and eight jurisdictional regulatory authorities (</w:t>
      </w:r>
      <w:r w:rsidDel="00AA1116">
        <w:t>figure </w:t>
      </w:r>
      <w:r>
        <w:t>C.1).</w:t>
      </w:r>
    </w:p>
    <w:p w14:paraId="49945D7C" w14:textId="77777777" w:rsidR="002316C7" w:rsidRDefault="002316C7" w:rsidP="00882158">
      <w:pPr>
        <w:pStyle w:val="BodyText"/>
      </w:pPr>
      <w:r>
        <w:t>Education Ministers provide ongoing oversight and ultimate decision</w:t>
      </w:r>
      <w:r>
        <w:noBreakHyphen/>
        <w:t xml:space="preserve">making for the NQF, with the Education Ministers Meeting (EMM, the successor of the COAG Education Council) offering a forum for collaboration on ECEC, school education, higher education and international education </w:t>
      </w:r>
      <w:r w:rsidRPr="008458F6">
        <w:rPr>
          <w:rFonts w:ascii="Arial" w:hAnsi="Arial" w:cs="Arial"/>
          <w:szCs w:val="24"/>
        </w:rPr>
        <w:t>(ACECQA n.d.; DoE 2023)</w:t>
      </w:r>
      <w:r>
        <w:t>.</w:t>
      </w:r>
    </w:p>
    <w:p w14:paraId="5BD328E6" w14:textId="77777777" w:rsidR="002316C7" w:rsidRDefault="002316C7" w:rsidP="00882158">
      <w:pPr>
        <w:pStyle w:val="BodyText"/>
      </w:pPr>
      <w:r w:rsidRPr="004D3282">
        <w:t xml:space="preserve">The Australian Education Senior Officials Committee (AESOC) is directly responsible to the EMM for the execution of EMM decisions. AESOC consists of senior officials with responsibility for </w:t>
      </w:r>
      <w:r>
        <w:t>ECEC</w:t>
      </w:r>
      <w:r w:rsidRPr="004D3282">
        <w:t>, school education, higher education and international education</w:t>
      </w:r>
      <w:r>
        <w:t xml:space="preserve">. It performs a number of functions including providing policy advice to the EMM and performing supervisory and coordination roles </w:t>
      </w:r>
      <w:r w:rsidRPr="00EE1154">
        <w:rPr>
          <w:rFonts w:ascii="Arial" w:hAnsi="Arial" w:cs="Arial"/>
        </w:rPr>
        <w:t>(Australian Government 2022)</w:t>
      </w:r>
      <w:r>
        <w:t xml:space="preserve">. Three standing working groups support AESOC – one of which is the Early Childhood Policy Group (ECPG) </w:t>
      </w:r>
      <w:r w:rsidRPr="00E84A7F">
        <w:rPr>
          <w:rFonts w:ascii="Arial" w:hAnsi="Arial" w:cs="Arial"/>
          <w:szCs w:val="24"/>
        </w:rPr>
        <w:t>(ACECQA 2018)</w:t>
      </w:r>
      <w:r>
        <w:t>. The ECPG provides ‘high</w:t>
      </w:r>
      <w:r>
        <w:noBreakHyphen/>
        <w:t xml:space="preserve">level strategic policy advice’ to the EMM through AESOC on ECEC policy matters </w:t>
      </w:r>
      <w:r w:rsidRPr="00D57369">
        <w:rPr>
          <w:rFonts w:ascii="Arial" w:hAnsi="Arial" w:cs="Arial"/>
          <w:szCs w:val="24"/>
        </w:rPr>
        <w:t>(Australian Government 2021; Tudge 2021, p. 2)</w:t>
      </w:r>
      <w:r>
        <w:t>.</w:t>
      </w:r>
    </w:p>
    <w:p w14:paraId="4ED4EB00" w14:textId="77777777" w:rsidR="002316C7" w:rsidRDefault="002316C7" w:rsidP="00882158">
      <w:pPr>
        <w:pStyle w:val="BodyText"/>
      </w:pPr>
      <w:r>
        <w:t>ACECQA is the independent national authority responsible for guiding and monitoring the implementation and administration of the NQF. It is responsible for matters including consistency of the application of the NQF between states and supporting the ECEC sector to improve service quality for children, and it assesses and approves qualifications for ECEC staff and organisations. It also undertakes various ongoing research and evaluation functions under the National Law and Regulations.</w:t>
      </w:r>
    </w:p>
    <w:p w14:paraId="59484AF8" w14:textId="77777777" w:rsidR="002316C7" w:rsidRDefault="002316C7" w:rsidP="00882158">
      <w:pPr>
        <w:pStyle w:val="BodyText"/>
      </w:pPr>
      <w:r>
        <w:t>State and territory</w:t>
      </w:r>
      <w:r>
        <w:noBreakHyphen/>
        <w:t>based regulatory authorities administer the NQF in each state and territory. The regulatory authority is typically the first point of contact for service providers and is responsible for a range of functions including approving ECEC providers and services and assessing and rating ECEC services (</w:t>
      </w:r>
      <w:r w:rsidDel="00B43090">
        <w:t>figure </w:t>
      </w:r>
      <w:r>
        <w:t>C.1).</w:t>
      </w:r>
    </w:p>
    <w:p w14:paraId="4571027B" w14:textId="77777777" w:rsidR="002316C7" w:rsidRDefault="002316C7" w:rsidP="00882158">
      <w:pPr>
        <w:pStyle w:val="BodyText"/>
      </w:pPr>
      <w:r>
        <w:t>The role of regulatory authority in most jurisdictions is typically undertaken by that state or territory’s Department of Education, although Western Australia situates the regulator within its Department of Communities (</w:t>
      </w:r>
      <w:r w:rsidDel="00562971">
        <w:t>box</w:t>
      </w:r>
      <w:r>
        <w:t> C.3). In South Australia, the regulator is an independent statutory authority.</w:t>
      </w:r>
    </w:p>
    <w:p w14:paraId="1B79023A" w14:textId="77777777" w:rsidR="002316C7" w:rsidRDefault="002316C7" w:rsidP="00882158">
      <w:pPr>
        <w:pStyle w:val="NoSpacing"/>
      </w:pPr>
    </w:p>
    <w:tbl>
      <w:tblPr>
        <w:tblStyle w:val="Boxtable"/>
        <w:tblW w:w="5000" w:type="pct"/>
        <w:tblLook w:val="04A0" w:firstRow="1" w:lastRow="0" w:firstColumn="1" w:lastColumn="0" w:noHBand="0" w:noVBand="1"/>
      </w:tblPr>
      <w:tblGrid>
        <w:gridCol w:w="9638"/>
      </w:tblGrid>
      <w:tr w:rsidR="002316C7" w14:paraId="0594CE87" w14:textId="77777777">
        <w:trPr>
          <w:tblHeader/>
        </w:trPr>
        <w:tc>
          <w:tcPr>
            <w:tcW w:w="9638" w:type="dxa"/>
            <w:shd w:val="clear" w:color="auto" w:fill="EBEBEB"/>
            <w:tcMar>
              <w:top w:w="170" w:type="dxa"/>
              <w:left w:w="170" w:type="dxa"/>
              <w:bottom w:w="113" w:type="dxa"/>
              <w:right w:w="170" w:type="dxa"/>
            </w:tcMar>
            <w:hideMark/>
          </w:tcPr>
          <w:p w14:paraId="0C5720DF" w14:textId="77777777" w:rsidR="002316C7" w:rsidRDefault="002316C7">
            <w:pPr>
              <w:pStyle w:val="BoxHeading1"/>
            </w:pPr>
            <w:r>
              <w:t xml:space="preserve">Box </w:t>
            </w:r>
            <w:r>
              <w:rPr>
                <w:noProof/>
              </w:rPr>
              <w:t>C</w:t>
            </w:r>
            <w:r>
              <w:t>.</w:t>
            </w:r>
            <w:r>
              <w:rPr>
                <w:noProof/>
              </w:rPr>
              <w:t>3</w:t>
            </w:r>
            <w:r>
              <w:t xml:space="preserve"> – State and territory regulatory bodies</w:t>
            </w:r>
          </w:p>
        </w:tc>
      </w:tr>
      <w:tr w:rsidR="002316C7" w14:paraId="02FBE758" w14:textId="77777777">
        <w:tc>
          <w:tcPr>
            <w:tcW w:w="9638" w:type="dxa"/>
            <w:shd w:val="clear" w:color="auto" w:fill="EBEBEB"/>
            <w:tcMar>
              <w:top w:w="28" w:type="dxa"/>
              <w:left w:w="170" w:type="dxa"/>
              <w:bottom w:w="170" w:type="dxa"/>
              <w:right w:w="170" w:type="dxa"/>
            </w:tcMar>
            <w:hideMark/>
          </w:tcPr>
          <w:p w14:paraId="38C3B768" w14:textId="77777777" w:rsidR="002316C7" w:rsidRPr="00B905A8" w:rsidRDefault="002316C7" w:rsidP="00882158">
            <w:pPr>
              <w:pStyle w:val="ListBullet"/>
            </w:pPr>
            <w:r w:rsidRPr="00B905A8">
              <w:rPr>
                <w:b/>
                <w:bCs/>
              </w:rPr>
              <w:t>New South Wales:</w:t>
            </w:r>
            <w:r w:rsidRPr="00B905A8">
              <w:t xml:space="preserve"> Early Childhood Education Directorate, NSW Department of Education</w:t>
            </w:r>
          </w:p>
          <w:p w14:paraId="475FEA9F" w14:textId="77777777" w:rsidR="002316C7" w:rsidRPr="00B905A8" w:rsidRDefault="002316C7" w:rsidP="00882158">
            <w:pPr>
              <w:pStyle w:val="ListBullet"/>
            </w:pPr>
            <w:r w:rsidRPr="00B905A8">
              <w:rPr>
                <w:b/>
                <w:bCs/>
              </w:rPr>
              <w:t>Victoria:</w:t>
            </w:r>
            <w:r w:rsidRPr="00B905A8">
              <w:t xml:space="preserve"> Victorian Department of Education and Training</w:t>
            </w:r>
          </w:p>
          <w:p w14:paraId="45B8A76F" w14:textId="77777777" w:rsidR="002316C7" w:rsidRPr="00B905A8" w:rsidRDefault="002316C7" w:rsidP="00882158">
            <w:pPr>
              <w:pStyle w:val="ListBullet"/>
            </w:pPr>
            <w:r w:rsidRPr="00B905A8">
              <w:rPr>
                <w:b/>
                <w:bCs/>
              </w:rPr>
              <w:t>Queensland:</w:t>
            </w:r>
            <w:r w:rsidRPr="00B905A8">
              <w:t xml:space="preserve"> Regulation, Assessment and Service Quality, Early Childhood and Education Improvement, Queensland Department of Education</w:t>
            </w:r>
          </w:p>
          <w:p w14:paraId="57FC26B6" w14:textId="77777777" w:rsidR="002316C7" w:rsidRPr="00B905A8" w:rsidRDefault="002316C7" w:rsidP="00882158">
            <w:pPr>
              <w:pStyle w:val="ListBullet"/>
            </w:pPr>
            <w:r w:rsidRPr="00B905A8">
              <w:rPr>
                <w:b/>
                <w:bCs/>
              </w:rPr>
              <w:t>Western Australia:</w:t>
            </w:r>
            <w:r w:rsidRPr="00B905A8">
              <w:t xml:space="preserve"> Education and Care Regulatory Unit, WA Department of Communities</w:t>
            </w:r>
          </w:p>
          <w:p w14:paraId="7F6608B4" w14:textId="77777777" w:rsidR="002316C7" w:rsidRPr="00B905A8" w:rsidRDefault="002316C7" w:rsidP="00882158">
            <w:pPr>
              <w:pStyle w:val="ListBullet"/>
            </w:pPr>
            <w:r w:rsidRPr="00B905A8">
              <w:rPr>
                <w:b/>
                <w:bCs/>
              </w:rPr>
              <w:t>South Australia:</w:t>
            </w:r>
            <w:r w:rsidRPr="00B905A8">
              <w:t xml:space="preserve"> Education Standards Board</w:t>
            </w:r>
          </w:p>
          <w:p w14:paraId="0868D383" w14:textId="77777777" w:rsidR="002316C7" w:rsidRPr="00B905A8" w:rsidRDefault="002316C7" w:rsidP="00882158">
            <w:pPr>
              <w:pStyle w:val="ListBullet"/>
            </w:pPr>
            <w:r w:rsidRPr="00B905A8">
              <w:rPr>
                <w:b/>
                <w:bCs/>
              </w:rPr>
              <w:t>Tasmania:</w:t>
            </w:r>
            <w:r w:rsidRPr="00B905A8">
              <w:t xml:space="preserve"> Tasmanian Department for Education, Children and Young People</w:t>
            </w:r>
          </w:p>
          <w:p w14:paraId="3886EE48" w14:textId="77777777" w:rsidR="002316C7" w:rsidRPr="00B905A8" w:rsidRDefault="002316C7" w:rsidP="00882158">
            <w:pPr>
              <w:pStyle w:val="ListBullet"/>
            </w:pPr>
            <w:r w:rsidRPr="00B905A8">
              <w:rPr>
                <w:b/>
                <w:bCs/>
              </w:rPr>
              <w:t>Australian Capital Territory:</w:t>
            </w:r>
            <w:r w:rsidRPr="00B905A8">
              <w:t xml:space="preserve"> Children’s Education and Care Assurance, ACT Education Directorate</w:t>
            </w:r>
          </w:p>
          <w:p w14:paraId="2B7001A5" w14:textId="77777777" w:rsidR="002316C7" w:rsidRPr="001471B0" w:rsidRDefault="002316C7" w:rsidP="00882158">
            <w:pPr>
              <w:pStyle w:val="ListBullet"/>
            </w:pPr>
            <w:r w:rsidRPr="00B905A8">
              <w:rPr>
                <w:b/>
                <w:bCs/>
              </w:rPr>
              <w:t>Northern Territory:</w:t>
            </w:r>
            <w:r w:rsidRPr="00B905A8">
              <w:t xml:space="preserve"> Quality Education and Care NT, NT Department of Education</w:t>
            </w:r>
          </w:p>
        </w:tc>
      </w:tr>
      <w:tr w:rsidR="002316C7" w14:paraId="74F823AE" w14:textId="77777777">
        <w:trPr>
          <w:hidden/>
        </w:trPr>
        <w:tc>
          <w:tcPr>
            <w:tcW w:w="9638" w:type="dxa"/>
            <w:shd w:val="clear" w:color="auto" w:fill="auto"/>
            <w:tcMar>
              <w:top w:w="0" w:type="dxa"/>
              <w:left w:w="170" w:type="dxa"/>
              <w:bottom w:w="0" w:type="dxa"/>
              <w:right w:w="170" w:type="dxa"/>
            </w:tcMar>
          </w:tcPr>
          <w:p w14:paraId="14E6CAA0" w14:textId="77777777" w:rsidR="002316C7" w:rsidRPr="00465191" w:rsidRDefault="002316C7">
            <w:pPr>
              <w:pStyle w:val="BodyText"/>
              <w:spacing w:before="0" w:after="0" w:line="80" w:lineRule="atLeast"/>
              <w:rPr>
                <w:smallCaps/>
                <w:vanish/>
              </w:rPr>
            </w:pPr>
          </w:p>
        </w:tc>
      </w:tr>
    </w:tbl>
    <w:p w14:paraId="6E7DCCF5" w14:textId="77777777" w:rsidR="002316C7" w:rsidRDefault="002316C7" w:rsidP="00882158">
      <w:pPr>
        <w:pStyle w:val="BodyText"/>
      </w:pPr>
    </w:p>
    <w:p w14:paraId="6B2CD1DB" w14:textId="77777777" w:rsidR="002316C7" w:rsidRDefault="002316C7" w:rsidP="00882158">
      <w:pPr>
        <w:pStyle w:val="FigureTableHeading"/>
        <w:spacing w:before="0"/>
        <w:rPr>
          <w:noProof/>
        </w:rPr>
      </w:pPr>
      <w:r>
        <w:lastRenderedPageBreak/>
        <w:t xml:space="preserve">Figure </w:t>
      </w:r>
      <w:r>
        <w:rPr>
          <w:noProof/>
        </w:rPr>
        <w:t>C</w:t>
      </w:r>
      <w:r>
        <w:t>.</w:t>
      </w:r>
      <w:r>
        <w:rPr>
          <w:noProof/>
        </w:rPr>
        <w:t xml:space="preserve">1 </w:t>
      </w:r>
      <w:r>
        <w:t>– National Quality Framework</w:t>
      </w:r>
    </w:p>
    <w:p w14:paraId="317BAC54" w14:textId="77777777" w:rsidR="002316C7" w:rsidRPr="00146382" w:rsidRDefault="002316C7" w:rsidP="003E32A4">
      <w:pPr>
        <w:pStyle w:val="BodyText"/>
        <w:spacing w:before="0" w:after="0"/>
      </w:pPr>
      <w:r w:rsidRPr="000970C6">
        <w:rPr>
          <w:noProof/>
        </w:rPr>
        <w:drawing>
          <wp:inline distT="0" distB="0" distL="0" distR="0" wp14:anchorId="5607BF3B" wp14:editId="024023F0">
            <wp:extent cx="6045693" cy="8067403"/>
            <wp:effectExtent l="0" t="0" r="0" b="0"/>
            <wp:docPr id="873435449" name="Picture 4" descr="Figure C.1 – This diagram shows the components of the National Quality Framework. The Education Ministers’ Meeting oversees the implementation and administration of the NQF. The Australian Children’s Education and Care Quality Authority (ACECQA) guides and monitors the implementation and administration of the NQF to promote consistency across states and territories. Each state and territory has a regulatory authority that approves services, assesses services and monitors and enforces compliance with the National Law and Reg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35449" name="Picture 4" descr="Figure C.1 – This diagram shows the components of the National Quality Framework. The Education Ministers’ Meeting oversees the implementation and administration of the NQF. The Australian Children’s Education and Care Quality Authority (ACECQA) guides and monitors the implementation and administration of the NQF to promote consistency across states and territories. Each state and territory has a regulatory authority that approves services, assesses services and monitors and enforces compliance with the National Law and Regulation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4895" cy="8079682"/>
                    </a:xfrm>
                    <a:prstGeom prst="rect">
                      <a:avLst/>
                    </a:prstGeom>
                    <a:noFill/>
                    <a:ln>
                      <a:noFill/>
                    </a:ln>
                  </pic:spPr>
                </pic:pic>
              </a:graphicData>
            </a:graphic>
          </wp:inline>
        </w:drawing>
      </w:r>
    </w:p>
    <w:p w14:paraId="708EF066" w14:textId="77777777" w:rsidR="002316C7" w:rsidRDefault="002316C7" w:rsidP="00882158">
      <w:pPr>
        <w:pStyle w:val="Source"/>
      </w:pPr>
      <w:r w:rsidRPr="00696447">
        <w:t xml:space="preserve">Source: </w:t>
      </w:r>
      <w:r>
        <w:t xml:space="preserve">ACECQA </w:t>
      </w:r>
      <w:r w:rsidRPr="003E1D34">
        <w:rPr>
          <w:rFonts w:ascii="Arial" w:hAnsi="Arial" w:cs="Arial"/>
        </w:rPr>
        <w:t>(2023d, pp. 12–13)</w:t>
      </w:r>
      <w:r w:rsidRPr="00696447">
        <w:t>.</w:t>
      </w:r>
    </w:p>
    <w:p w14:paraId="36A969BF" w14:textId="77777777" w:rsidR="002316C7" w:rsidRDefault="002316C7" w:rsidP="00882158">
      <w:pPr>
        <w:pStyle w:val="Heading2-Appendix"/>
      </w:pPr>
      <w:bookmarkStart w:id="13" w:name="_Toc172213574"/>
      <w:r>
        <w:lastRenderedPageBreak/>
        <w:t>How the system works</w:t>
      </w:r>
      <w:bookmarkEnd w:id="13"/>
    </w:p>
    <w:p w14:paraId="1C4AA56C" w14:textId="77777777" w:rsidR="002316C7" w:rsidRDefault="002316C7" w:rsidP="00882158">
      <w:pPr>
        <w:pStyle w:val="BodyText"/>
      </w:pPr>
      <w:r>
        <w:t>The NQF provides a national system for ECEC, meaning that providers and staff should have equivalent experiences in each jurisdiction and services undergo consistent assessment processes.</w:t>
      </w:r>
    </w:p>
    <w:p w14:paraId="76B8DC53" w14:textId="77777777" w:rsidR="002316C7" w:rsidRDefault="002316C7" w:rsidP="00882158">
      <w:pPr>
        <w:pStyle w:val="Heading3"/>
      </w:pPr>
      <w:r>
        <w:t>Licensing of providers and services</w:t>
      </w:r>
    </w:p>
    <w:p w14:paraId="2CE94FEB" w14:textId="77777777" w:rsidR="002316C7" w:rsidRDefault="002316C7" w:rsidP="00882158">
      <w:pPr>
        <w:pStyle w:val="BodyText"/>
      </w:pPr>
      <w:r>
        <w:t>The NQF includes three interrelated types of nationally recognised and ongoing approvals for providers and services.</w:t>
      </w:r>
    </w:p>
    <w:p w14:paraId="0DABB647" w14:textId="77777777" w:rsidR="002316C7" w:rsidRPr="00B905A8" w:rsidRDefault="002316C7" w:rsidP="00882158">
      <w:pPr>
        <w:pStyle w:val="ListBullet"/>
      </w:pPr>
      <w:r w:rsidRPr="00B905A8">
        <w:t>Provider approval enables an individual, body corporate, eligible association, partnership or prescribed entity to apply for one or more service approvals. Approval is</w:t>
      </w:r>
      <w:r w:rsidRPr="00B905A8" w:rsidDel="00DE2E08">
        <w:t xml:space="preserve"> </w:t>
      </w:r>
      <w:r w:rsidRPr="00B905A8">
        <w:t>recognised nationally.</w:t>
      </w:r>
    </w:p>
    <w:p w14:paraId="0F7C7559" w14:textId="77777777" w:rsidR="002316C7" w:rsidRPr="00B905A8" w:rsidRDefault="002316C7" w:rsidP="00882158">
      <w:pPr>
        <w:pStyle w:val="ListBullet"/>
      </w:pPr>
      <w:r w:rsidRPr="00B905A8">
        <w:t>Service approval authorises an approved provider to operate an approved service. Each approved service must have one or more nominated supervisors. Approved providers must determine if a person is suitable to be a nominated supervisor.</w:t>
      </w:r>
    </w:p>
    <w:p w14:paraId="34AE899C" w14:textId="77777777" w:rsidR="002316C7" w:rsidRDefault="002316C7" w:rsidP="00882158">
      <w:pPr>
        <w:pStyle w:val="ListBullet2"/>
      </w:pPr>
      <w:r>
        <w:t>There are two types of service approval: one for centre</w:t>
      </w:r>
      <w:r>
        <w:noBreakHyphen/>
        <w:t>based services</w:t>
      </w:r>
      <w:r>
        <w:rPr>
          <w:rStyle w:val="FootnoteReference"/>
        </w:rPr>
        <w:footnoteReference w:id="8"/>
      </w:r>
      <w:r>
        <w:t xml:space="preserve"> (LDC, preschool/kindergarten and OSHC);</w:t>
      </w:r>
      <w:r w:rsidDel="00F454F6">
        <w:t xml:space="preserve"> </w:t>
      </w:r>
      <w:r>
        <w:t xml:space="preserve">one for FDC services </w:t>
      </w:r>
      <w:r w:rsidRPr="003E1D34">
        <w:rPr>
          <w:rFonts w:ascii="Arial" w:hAnsi="Arial" w:cs="Arial"/>
        </w:rPr>
        <w:t>(ACECQA 2023d, pp. 19, 39)</w:t>
      </w:r>
      <w:r>
        <w:t>.</w:t>
      </w:r>
    </w:p>
    <w:p w14:paraId="26E1FAF1" w14:textId="77777777" w:rsidR="002316C7" w:rsidRDefault="002316C7" w:rsidP="00882158">
      <w:pPr>
        <w:pStyle w:val="BodyText"/>
      </w:pPr>
      <w:r>
        <w:t>State and territory regulatory authorities are responsible for granting each type of approval, and although authorities reference the NQF at the time of approval, a centre’s quality rating is determined at a later stage. State regulators may consider the following factors when granting service approvals:</w:t>
      </w:r>
    </w:p>
    <w:p w14:paraId="4664BE27" w14:textId="77777777" w:rsidR="002316C7" w:rsidRPr="00B905A8" w:rsidRDefault="002316C7" w:rsidP="00882158">
      <w:pPr>
        <w:pStyle w:val="ListBullet"/>
      </w:pPr>
      <w:r w:rsidRPr="00B905A8">
        <w:t>the NQF</w:t>
      </w:r>
    </w:p>
    <w:p w14:paraId="21DFA667" w14:textId="77777777" w:rsidR="002316C7" w:rsidRPr="00B905A8" w:rsidRDefault="002316C7" w:rsidP="00882158">
      <w:pPr>
        <w:pStyle w:val="ListBullet"/>
      </w:pPr>
      <w:r w:rsidRPr="00B905A8">
        <w:t>the suitability of the service premises and its site and location for operating an ECEC service</w:t>
      </w:r>
    </w:p>
    <w:p w14:paraId="1BFF74CB" w14:textId="77777777" w:rsidR="002316C7" w:rsidRPr="00B905A8" w:rsidRDefault="002316C7" w:rsidP="00882158">
      <w:pPr>
        <w:pStyle w:val="ListBullet"/>
      </w:pPr>
      <w:r w:rsidRPr="00B905A8">
        <w:t>the adequacy of the policies and procedures for the service</w:t>
      </w:r>
    </w:p>
    <w:p w14:paraId="32304C24" w14:textId="77777777" w:rsidR="002316C7" w:rsidRPr="00B905A8" w:rsidRDefault="002316C7" w:rsidP="00882158">
      <w:pPr>
        <w:pStyle w:val="ListBullet"/>
      </w:pPr>
      <w:r w:rsidRPr="00B905A8">
        <w:t>whether the applicant is an approved provider</w:t>
      </w:r>
    </w:p>
    <w:p w14:paraId="01E5C3FE" w14:textId="77777777" w:rsidR="002316C7" w:rsidRPr="00B905A8" w:rsidRDefault="002316C7" w:rsidP="00882158">
      <w:pPr>
        <w:pStyle w:val="ListBullet"/>
      </w:pPr>
      <w:r w:rsidRPr="00B905A8">
        <w:t>whether the nominated supervisor for the service has given their written consent</w:t>
      </w:r>
    </w:p>
    <w:p w14:paraId="669CA29D" w14:textId="77777777" w:rsidR="002316C7" w:rsidRPr="00B905A8" w:rsidRDefault="002316C7" w:rsidP="00882158">
      <w:pPr>
        <w:pStyle w:val="ListBullet"/>
      </w:pPr>
      <w:r w:rsidRPr="00B905A8">
        <w:t>any suspension or conditions on the applicant’s provider approval</w:t>
      </w:r>
    </w:p>
    <w:p w14:paraId="22175BD9" w14:textId="77777777" w:rsidR="002316C7" w:rsidRPr="00B905A8" w:rsidRDefault="002316C7" w:rsidP="00882158">
      <w:pPr>
        <w:pStyle w:val="ListBullet"/>
      </w:pPr>
      <w:r w:rsidRPr="00B905A8">
        <w:t>any other matter that the regulator thinks is relevant (NSW Department of Education 2021, p. 13).</w:t>
      </w:r>
    </w:p>
    <w:p w14:paraId="752B5325" w14:textId="77777777" w:rsidR="002316C7" w:rsidRPr="00B659DE" w:rsidRDefault="002316C7" w:rsidP="00882158">
      <w:pPr>
        <w:pStyle w:val="BodyText"/>
        <w:rPr>
          <w:rFonts w:ascii="Arial" w:hAnsi="Arial" w:cs="Arial"/>
          <w:shd w:val="clear" w:color="auto" w:fill="FFFFFF"/>
        </w:rPr>
      </w:pPr>
      <w:r>
        <w:rPr>
          <w:rFonts w:ascii="Arial" w:hAnsi="Arial" w:cs="Arial"/>
          <w:shd w:val="clear" w:color="auto" w:fill="FFFFFF"/>
        </w:rPr>
        <w:t xml:space="preserve">The regulatory authority can also consider a provider’s assessment and ratings history and history of compliance with the National Law when considering an application to open a new service. Typically, ratings may be considered to determine whether granting a service approval would pose a significant risk to the health, safety and wellbeing of children </w:t>
      </w:r>
      <w:r w:rsidRPr="009C68F9">
        <w:rPr>
          <w:rFonts w:ascii="Arial" w:hAnsi="Arial" w:cs="Arial"/>
        </w:rPr>
        <w:t>(NSW Department of Education 2021, pp. 16–17)</w:t>
      </w:r>
      <w:r w:rsidRPr="00B659DE">
        <w:rPr>
          <w:rFonts w:ascii="Arial" w:hAnsi="Arial" w:cs="Arial"/>
          <w:shd w:val="clear" w:color="auto" w:fill="FFFFFF"/>
        </w:rPr>
        <w:t>.</w:t>
      </w:r>
    </w:p>
    <w:p w14:paraId="1A219EF1" w14:textId="77777777" w:rsidR="002316C7" w:rsidRDefault="002316C7" w:rsidP="00882158">
      <w:pPr>
        <w:pStyle w:val="Heading3"/>
      </w:pPr>
      <w:r>
        <w:t>Regulating quality</w:t>
      </w:r>
    </w:p>
    <w:p w14:paraId="16DB37A1" w14:textId="77777777" w:rsidR="002316C7" w:rsidRDefault="002316C7" w:rsidP="00882158">
      <w:pPr>
        <w:pStyle w:val="Heading4"/>
        <w:spacing w:before="120"/>
      </w:pPr>
      <w:r>
        <w:t>The National Quality Standard</w:t>
      </w:r>
    </w:p>
    <w:p w14:paraId="72F1D82D" w14:textId="77777777" w:rsidR="002316C7" w:rsidRDefault="002316C7" w:rsidP="00882158">
      <w:pPr>
        <w:pStyle w:val="BodyText"/>
      </w:pPr>
      <w:r>
        <w:t>The NQS encourages a uniform approach to assessment and ratings for ECEC services and rates services across seven ‘quality areas’ (box </w:t>
      </w:r>
      <w:r>
        <w:rPr>
          <w:noProof/>
        </w:rPr>
        <w:t>C.4</w:t>
      </w:r>
      <w:r>
        <w:t>). These quality areas are divided into 15 standards containing 40 elements. For example, ‘Standard 2.2 – Each child is protected’ is one of two standards in quality area 2 (child safety) and contains three elements:</w:t>
      </w:r>
    </w:p>
    <w:p w14:paraId="42FF3B7F" w14:textId="77777777" w:rsidR="002316C7" w:rsidRDefault="002316C7" w:rsidP="00882158">
      <w:pPr>
        <w:pStyle w:val="ListBullet2"/>
        <w:numPr>
          <w:ilvl w:val="0"/>
          <w:numId w:val="15"/>
        </w:numPr>
      </w:pPr>
      <w:r>
        <w:t>Element 2.2.1 – At all times, reasonable precautions and adequate supervision ensure children are protected from harm and hazard</w:t>
      </w:r>
    </w:p>
    <w:p w14:paraId="549A486F" w14:textId="77777777" w:rsidR="002316C7" w:rsidRDefault="002316C7" w:rsidP="00882158">
      <w:pPr>
        <w:pStyle w:val="ListBullet2"/>
        <w:numPr>
          <w:ilvl w:val="0"/>
          <w:numId w:val="15"/>
        </w:numPr>
      </w:pPr>
      <w:r>
        <w:lastRenderedPageBreak/>
        <w:t>Element 2.2.2 – Plans to effectively manage incidents and emergencies are developed in consultation with relevant authorities, practised and implemented</w:t>
      </w:r>
    </w:p>
    <w:p w14:paraId="3DD9A73C" w14:textId="77777777" w:rsidR="002316C7" w:rsidRDefault="002316C7" w:rsidP="00882158">
      <w:pPr>
        <w:pStyle w:val="ListBullet2"/>
        <w:numPr>
          <w:ilvl w:val="0"/>
          <w:numId w:val="15"/>
        </w:numPr>
      </w:pPr>
      <w:r>
        <w:t>Element 2.2.3 – Management, educators and staff are aware of their roles and responsibilities to identify and respond to every child at risk of abuse or neglect.</w:t>
      </w:r>
    </w:p>
    <w:p w14:paraId="61F18BA0" w14:textId="77777777" w:rsidR="002316C7" w:rsidRDefault="002316C7" w:rsidP="00882158">
      <w:pPr>
        <w:pStyle w:val="BodyText"/>
      </w:pPr>
      <w:r>
        <w:t>Each quality area contains two or three standards, and each standard comprises between two and three elements. Several key aspects of the NQS – quality improvement plans, educator</w:t>
      </w:r>
      <w:r>
        <w:noBreakHyphen/>
        <w:t>to</w:t>
      </w:r>
      <w:r>
        <w:noBreakHyphen/>
        <w:t>child ratios and staff qualification requirements – are discussed in further detail below.</w:t>
      </w:r>
    </w:p>
    <w:p w14:paraId="0A86695F" w14:textId="77777777" w:rsidR="002316C7" w:rsidRPr="00F82BD9" w:rsidRDefault="002316C7">
      <w:pPr>
        <w:pStyle w:val="NoSpacing"/>
      </w:pPr>
    </w:p>
    <w:tbl>
      <w:tblPr>
        <w:tblStyle w:val="Boxtable"/>
        <w:tblW w:w="5000" w:type="pct"/>
        <w:tblLook w:val="04A0" w:firstRow="1" w:lastRow="0" w:firstColumn="1" w:lastColumn="0" w:noHBand="0" w:noVBand="1"/>
      </w:tblPr>
      <w:tblGrid>
        <w:gridCol w:w="9638"/>
      </w:tblGrid>
      <w:tr w:rsidR="002316C7" w14:paraId="4A12B91E" w14:textId="77777777">
        <w:trPr>
          <w:tblHeader/>
        </w:trPr>
        <w:tc>
          <w:tcPr>
            <w:tcW w:w="9638" w:type="dxa"/>
            <w:shd w:val="clear" w:color="auto" w:fill="EBEBEB"/>
            <w:tcMar>
              <w:top w:w="170" w:type="dxa"/>
              <w:left w:w="170" w:type="dxa"/>
              <w:bottom w:w="113" w:type="dxa"/>
              <w:right w:w="170" w:type="dxa"/>
            </w:tcMar>
            <w:hideMark/>
          </w:tcPr>
          <w:p w14:paraId="618518BB" w14:textId="77777777" w:rsidR="002316C7" w:rsidRDefault="002316C7">
            <w:pPr>
              <w:pStyle w:val="BoxHeading1"/>
            </w:pPr>
            <w:r>
              <w:t>Box C.</w:t>
            </w:r>
            <w:r>
              <w:rPr>
                <w:noProof/>
              </w:rPr>
              <w:t>4</w:t>
            </w:r>
            <w:r>
              <w:t xml:space="preserve"> – The seven quality areas of the National Quality Standard</w:t>
            </w:r>
          </w:p>
        </w:tc>
      </w:tr>
      <w:tr w:rsidR="002316C7" w14:paraId="49228038" w14:textId="77777777">
        <w:tc>
          <w:tcPr>
            <w:tcW w:w="9638" w:type="dxa"/>
            <w:shd w:val="clear" w:color="auto" w:fill="EBEBEB"/>
            <w:tcMar>
              <w:top w:w="28" w:type="dxa"/>
              <w:left w:w="170" w:type="dxa"/>
              <w:bottom w:w="170" w:type="dxa"/>
              <w:right w:w="170" w:type="dxa"/>
            </w:tcMar>
            <w:hideMark/>
          </w:tcPr>
          <w:p w14:paraId="4B547F0D" w14:textId="77777777" w:rsidR="002316C7" w:rsidRPr="00DE11CA" w:rsidRDefault="002316C7" w:rsidP="00882158">
            <w:pPr>
              <w:pStyle w:val="BodyText"/>
              <w:spacing w:after="60" w:line="240" w:lineRule="auto"/>
              <w:rPr>
                <w:b/>
                <w:bCs/>
              </w:rPr>
            </w:pPr>
            <w:r w:rsidRPr="00DE11CA">
              <w:rPr>
                <w:b/>
                <w:bCs/>
              </w:rPr>
              <w:t>Quality Area 1: Educational program and practice</w:t>
            </w:r>
          </w:p>
          <w:p w14:paraId="039AF6AF" w14:textId="77777777" w:rsidR="002316C7" w:rsidRPr="00B905A8" w:rsidRDefault="002316C7" w:rsidP="00882158">
            <w:pPr>
              <w:pStyle w:val="ListBullet"/>
            </w:pPr>
            <w:r w:rsidRPr="00B905A8">
              <w:t>Comprises three standards and nine elements in total.</w:t>
            </w:r>
          </w:p>
          <w:p w14:paraId="6AF64CB2" w14:textId="77777777" w:rsidR="002316C7" w:rsidRPr="00B905A8" w:rsidRDefault="002316C7" w:rsidP="00882158">
            <w:pPr>
              <w:pStyle w:val="ListBullet"/>
            </w:pPr>
            <w:r w:rsidRPr="00B905A8">
              <w:t>Requires the service to use and document an approved learning framework and develop an educational program.</w:t>
            </w:r>
          </w:p>
          <w:p w14:paraId="05E9408E" w14:textId="77777777" w:rsidR="002316C7" w:rsidRPr="00DE11CA" w:rsidRDefault="002316C7" w:rsidP="00882158">
            <w:pPr>
              <w:pStyle w:val="BodyText"/>
              <w:spacing w:before="60" w:after="60" w:line="240" w:lineRule="auto"/>
              <w:rPr>
                <w:b/>
                <w:bCs/>
              </w:rPr>
            </w:pPr>
            <w:r w:rsidRPr="00DE11CA">
              <w:rPr>
                <w:b/>
                <w:bCs/>
              </w:rPr>
              <w:t>Quality Area 2: Children’s health and safety</w:t>
            </w:r>
          </w:p>
          <w:p w14:paraId="605E2CAC" w14:textId="77777777" w:rsidR="002316C7" w:rsidRPr="00B905A8" w:rsidRDefault="002316C7" w:rsidP="00882158">
            <w:pPr>
              <w:pStyle w:val="ListBullet"/>
            </w:pPr>
            <w:r w:rsidRPr="00B905A8">
              <w:t>Comprises two standards and six elements in total.</w:t>
            </w:r>
          </w:p>
          <w:p w14:paraId="17E4BF51" w14:textId="77777777" w:rsidR="002316C7" w:rsidRPr="00B905A8" w:rsidRDefault="002316C7" w:rsidP="00882158">
            <w:pPr>
              <w:pStyle w:val="ListBullet"/>
            </w:pPr>
            <w:r w:rsidRPr="00B905A8">
              <w:t>Relates to policies and procedures regarding hygiene practices, healthy eating, physical activity, preventing harm to children and dealing with injury or illness.</w:t>
            </w:r>
          </w:p>
          <w:p w14:paraId="3D8C516E" w14:textId="77777777" w:rsidR="002316C7" w:rsidRPr="00E77DD4" w:rsidRDefault="002316C7" w:rsidP="00882158">
            <w:pPr>
              <w:pStyle w:val="BodyText"/>
              <w:spacing w:before="60" w:after="60" w:line="240" w:lineRule="auto"/>
              <w:rPr>
                <w:b/>
                <w:bCs/>
              </w:rPr>
            </w:pPr>
            <w:r w:rsidRPr="00E77DD4">
              <w:rPr>
                <w:b/>
                <w:bCs/>
              </w:rPr>
              <w:t>Quality Area 3: Physical environment</w:t>
            </w:r>
          </w:p>
          <w:p w14:paraId="4B1CBBFB" w14:textId="77777777" w:rsidR="002316C7" w:rsidRPr="00B905A8" w:rsidRDefault="002316C7" w:rsidP="00882158">
            <w:pPr>
              <w:pStyle w:val="ListBullet"/>
            </w:pPr>
            <w:r w:rsidRPr="00B905A8">
              <w:t>Comprises two standards and five elements in total.</w:t>
            </w:r>
          </w:p>
          <w:p w14:paraId="28646FEA" w14:textId="77777777" w:rsidR="002316C7" w:rsidRPr="00B905A8" w:rsidRDefault="002316C7" w:rsidP="00882158">
            <w:pPr>
              <w:pStyle w:val="ListBullet"/>
            </w:pPr>
            <w:r w:rsidRPr="00B905A8">
              <w:t>Requires the design of indoor and outdoor areas to be safe, suitable and provide a diverse range of experiences, and for the service to use sustainable practices.</w:t>
            </w:r>
          </w:p>
          <w:p w14:paraId="302634C8" w14:textId="77777777" w:rsidR="002316C7" w:rsidRPr="00466A17" w:rsidRDefault="002316C7" w:rsidP="00882158">
            <w:pPr>
              <w:pStyle w:val="BodyText"/>
              <w:spacing w:before="60" w:after="60" w:line="240" w:lineRule="auto"/>
              <w:rPr>
                <w:b/>
                <w:bCs/>
              </w:rPr>
            </w:pPr>
            <w:r w:rsidRPr="00466A17">
              <w:rPr>
                <w:b/>
                <w:bCs/>
              </w:rPr>
              <w:t>Quality Area 4: Staffing arrangements</w:t>
            </w:r>
          </w:p>
          <w:p w14:paraId="44C3AF27" w14:textId="77777777" w:rsidR="002316C7" w:rsidRPr="00B905A8" w:rsidRDefault="002316C7" w:rsidP="00882158">
            <w:pPr>
              <w:pStyle w:val="ListBullet"/>
            </w:pPr>
            <w:r w:rsidRPr="00B905A8">
              <w:t>Comprises two standards and four elements in total.</w:t>
            </w:r>
          </w:p>
          <w:p w14:paraId="2223447C" w14:textId="77777777" w:rsidR="002316C7" w:rsidRPr="00B905A8" w:rsidRDefault="002316C7" w:rsidP="00882158">
            <w:pPr>
              <w:pStyle w:val="ListBullet"/>
            </w:pPr>
            <w:r w:rsidRPr="00B905A8">
              <w:t>Relates to educator to child ratios, staff qualification requirements and professional staff interactions.</w:t>
            </w:r>
          </w:p>
          <w:p w14:paraId="3E07104E" w14:textId="77777777" w:rsidR="002316C7" w:rsidRPr="00B905A8" w:rsidRDefault="002316C7" w:rsidP="00882158">
            <w:pPr>
              <w:pStyle w:val="ListBullet"/>
            </w:pPr>
            <w:r w:rsidRPr="00B905A8">
              <w:t>Requirements vary substantially between centre</w:t>
            </w:r>
            <w:r w:rsidRPr="00B905A8">
              <w:noBreakHyphen/>
              <w:t>based and family day care services.</w:t>
            </w:r>
          </w:p>
          <w:p w14:paraId="30095036" w14:textId="77777777" w:rsidR="002316C7" w:rsidRPr="00466A17" w:rsidRDefault="002316C7" w:rsidP="00882158">
            <w:pPr>
              <w:pStyle w:val="BodyText"/>
              <w:spacing w:before="60" w:after="60" w:line="240" w:lineRule="auto"/>
              <w:rPr>
                <w:b/>
                <w:bCs/>
              </w:rPr>
            </w:pPr>
            <w:r w:rsidRPr="00466A17">
              <w:rPr>
                <w:b/>
                <w:bCs/>
              </w:rPr>
              <w:t>Quality Area 5: Relationships with children</w:t>
            </w:r>
          </w:p>
          <w:p w14:paraId="7056F338" w14:textId="77777777" w:rsidR="002316C7" w:rsidRPr="00B905A8" w:rsidRDefault="002316C7" w:rsidP="00882158">
            <w:pPr>
              <w:pStyle w:val="ListBullet"/>
            </w:pPr>
            <w:r w:rsidRPr="00B905A8">
              <w:t>Comprises two standards and four elements in total.</w:t>
            </w:r>
          </w:p>
          <w:p w14:paraId="52BD8FBF" w14:textId="77777777" w:rsidR="002316C7" w:rsidRPr="00B905A8" w:rsidRDefault="002316C7" w:rsidP="00882158">
            <w:pPr>
              <w:pStyle w:val="ListBullet"/>
            </w:pPr>
            <w:r w:rsidRPr="00B905A8">
              <w:t>Relates to interactions with and support for children.</w:t>
            </w:r>
          </w:p>
          <w:p w14:paraId="4D407B83" w14:textId="77777777" w:rsidR="002316C7" w:rsidRPr="00466A17" w:rsidRDefault="002316C7" w:rsidP="00882158">
            <w:pPr>
              <w:pStyle w:val="BodyText"/>
              <w:spacing w:before="60" w:after="60" w:line="240" w:lineRule="auto"/>
              <w:rPr>
                <w:b/>
                <w:bCs/>
              </w:rPr>
            </w:pPr>
            <w:r w:rsidRPr="00466A17">
              <w:rPr>
                <w:b/>
                <w:bCs/>
              </w:rPr>
              <w:t>Quality Area 6: Collaborative partnerships with families and communities</w:t>
            </w:r>
          </w:p>
          <w:p w14:paraId="3DCF245C" w14:textId="77777777" w:rsidR="002316C7" w:rsidRPr="00B905A8" w:rsidRDefault="002316C7" w:rsidP="00882158">
            <w:pPr>
              <w:pStyle w:val="ListBullet"/>
            </w:pPr>
            <w:r w:rsidRPr="00B905A8">
              <w:t>Comprises two standards and six elements in total.</w:t>
            </w:r>
          </w:p>
          <w:p w14:paraId="4EB2BA1C" w14:textId="77777777" w:rsidR="002316C7" w:rsidRPr="00B905A8" w:rsidRDefault="002316C7" w:rsidP="00882158">
            <w:pPr>
              <w:pStyle w:val="ListBullet"/>
            </w:pPr>
            <w:r w:rsidRPr="00B905A8">
              <w:t>Includes relationships with and information provided to families, engagement with the local community and facilitation of access to support assistance.</w:t>
            </w:r>
          </w:p>
          <w:p w14:paraId="399A9219" w14:textId="77777777" w:rsidR="002316C7" w:rsidRPr="00466A17" w:rsidRDefault="002316C7" w:rsidP="00882158">
            <w:pPr>
              <w:pStyle w:val="BodyText"/>
              <w:spacing w:before="60" w:after="60" w:line="240" w:lineRule="auto"/>
              <w:rPr>
                <w:b/>
                <w:bCs/>
              </w:rPr>
            </w:pPr>
            <w:r w:rsidRPr="00466A17">
              <w:rPr>
                <w:b/>
                <w:bCs/>
              </w:rPr>
              <w:t xml:space="preserve">Quality Area 7: </w:t>
            </w:r>
            <w:r>
              <w:rPr>
                <w:b/>
                <w:bCs/>
              </w:rPr>
              <w:t>Governance and leadership</w:t>
            </w:r>
          </w:p>
          <w:p w14:paraId="79E39F52" w14:textId="77777777" w:rsidR="002316C7" w:rsidRPr="00B905A8" w:rsidRDefault="002316C7" w:rsidP="00882158">
            <w:pPr>
              <w:pStyle w:val="ListBullet"/>
            </w:pPr>
            <w:r w:rsidRPr="00B905A8">
              <w:t>Comprises two standards and six elements in total.</w:t>
            </w:r>
          </w:p>
          <w:p w14:paraId="2C640F9E" w14:textId="77777777" w:rsidR="002316C7" w:rsidRPr="00B905A8" w:rsidRDefault="002316C7" w:rsidP="00882158">
            <w:pPr>
              <w:pStyle w:val="ListBullet"/>
            </w:pPr>
            <w:r w:rsidRPr="00B905A8">
              <w:t>Includes governance arrangements and the development of key documentation, records and administrative systems.</w:t>
            </w:r>
          </w:p>
          <w:p w14:paraId="15B7D992" w14:textId="77777777" w:rsidR="002316C7" w:rsidRDefault="002316C7">
            <w:pPr>
              <w:pStyle w:val="Source"/>
            </w:pPr>
            <w:r>
              <w:t xml:space="preserve">Source: ACECQA </w:t>
            </w:r>
            <w:r w:rsidRPr="003E1D34">
              <w:rPr>
                <w:rFonts w:ascii="Arial" w:hAnsi="Arial" w:cs="Arial"/>
              </w:rPr>
              <w:t>(2023e)</w:t>
            </w:r>
            <w:r>
              <w:t>.</w:t>
            </w:r>
          </w:p>
        </w:tc>
      </w:tr>
      <w:tr w:rsidR="002316C7" w14:paraId="7C932E62" w14:textId="77777777">
        <w:trPr>
          <w:hidden/>
        </w:trPr>
        <w:tc>
          <w:tcPr>
            <w:tcW w:w="9638" w:type="dxa"/>
            <w:shd w:val="clear" w:color="auto" w:fill="auto"/>
            <w:tcMar>
              <w:top w:w="0" w:type="dxa"/>
              <w:left w:w="170" w:type="dxa"/>
              <w:bottom w:w="0" w:type="dxa"/>
              <w:right w:w="170" w:type="dxa"/>
            </w:tcMar>
          </w:tcPr>
          <w:p w14:paraId="4B9DB770" w14:textId="77777777" w:rsidR="002316C7" w:rsidRPr="00465191" w:rsidRDefault="002316C7">
            <w:pPr>
              <w:pStyle w:val="BodyText"/>
              <w:spacing w:before="0" w:after="0" w:line="80" w:lineRule="atLeast"/>
              <w:rPr>
                <w:smallCaps/>
                <w:vanish/>
              </w:rPr>
            </w:pPr>
          </w:p>
        </w:tc>
      </w:tr>
    </w:tbl>
    <w:p w14:paraId="3567589E" w14:textId="77777777" w:rsidR="002316C7" w:rsidRDefault="002316C7" w:rsidP="00882158">
      <w:pPr>
        <w:pStyle w:val="Heading4"/>
      </w:pPr>
      <w:r>
        <w:lastRenderedPageBreak/>
        <w:t>Quality Improvement Plans</w:t>
      </w:r>
    </w:p>
    <w:p w14:paraId="58BF7858" w14:textId="77777777" w:rsidR="002316C7" w:rsidRDefault="002316C7" w:rsidP="00882158">
      <w:pPr>
        <w:pStyle w:val="BodyText"/>
      </w:pPr>
      <w:r>
        <w:t>The National Regulations require that each approved service develops a Quality Improvement Plan (QIP) within three months of the granting of the service approval. Developing a QIP is a core requirement of the NQF that requires each service to evaluate their current practices and conduct a self</w:t>
      </w:r>
      <w:r>
        <w:noBreakHyphen/>
        <w:t>assessment against the NQS. A QIP must:</w:t>
      </w:r>
    </w:p>
    <w:p w14:paraId="4478A4BB" w14:textId="77777777" w:rsidR="002316C7" w:rsidRPr="00B905A8" w:rsidRDefault="002316C7" w:rsidP="00882158">
      <w:pPr>
        <w:pStyle w:val="ListBullet"/>
      </w:pPr>
      <w:r w:rsidRPr="00B905A8">
        <w:t>include an assessment by the provider of the quality of the practices of the service against the National Quality Standard and the National Regulations</w:t>
      </w:r>
    </w:p>
    <w:p w14:paraId="63546ED3" w14:textId="77777777" w:rsidR="002316C7" w:rsidRPr="00B905A8" w:rsidRDefault="002316C7" w:rsidP="00882158">
      <w:pPr>
        <w:pStyle w:val="ListBullet"/>
      </w:pPr>
      <w:r w:rsidRPr="00B905A8">
        <w:t>identify any areas that the provider considers may require improvement</w:t>
      </w:r>
    </w:p>
    <w:p w14:paraId="392C8D23" w14:textId="77777777" w:rsidR="002316C7" w:rsidRPr="00B905A8" w:rsidRDefault="002316C7" w:rsidP="00882158">
      <w:pPr>
        <w:pStyle w:val="ListBullet"/>
      </w:pPr>
      <w:r w:rsidRPr="00B905A8">
        <w:t>contain a statement of the philosophy of the service.</w:t>
      </w:r>
    </w:p>
    <w:p w14:paraId="7D2F548C" w14:textId="77777777" w:rsidR="002316C7" w:rsidRDefault="002316C7" w:rsidP="00882158">
      <w:pPr>
        <w:pStyle w:val="BodyText"/>
      </w:pPr>
      <w:r>
        <w:t xml:space="preserve">Services must submit a QIP to their state or territory’s regulatory authority at least annually, or when requested by their local regulatory authority. A QIP must be </w:t>
      </w:r>
      <w:r w:rsidRPr="00C75F09">
        <w:t>kept at the education and care service premises</w:t>
      </w:r>
      <w:r>
        <w:t xml:space="preserve">, be made available </w:t>
      </w:r>
      <w:r w:rsidRPr="00FF6A82">
        <w:t xml:space="preserve">for inspection by the </w:t>
      </w:r>
      <w:r>
        <w:t>r</w:t>
      </w:r>
      <w:r w:rsidRPr="00FF6A82">
        <w:t xml:space="preserve">egulatory </w:t>
      </w:r>
      <w:r>
        <w:t>a</w:t>
      </w:r>
      <w:r w:rsidRPr="00FF6A82">
        <w:t>uthority or an authorised officer</w:t>
      </w:r>
      <w:r>
        <w:t xml:space="preserve"> and, on request, to the family of a child who is enrolled at the service or who are seeking to enrol a child at the service </w:t>
      </w:r>
      <w:r w:rsidRPr="003E1D34">
        <w:rPr>
          <w:rFonts w:ascii="Arial" w:hAnsi="Arial" w:cs="Arial"/>
        </w:rPr>
        <w:t>(ACECQA 2023d, pp. 44, 349)</w:t>
      </w:r>
      <w:r>
        <w:t>.</w:t>
      </w:r>
    </w:p>
    <w:p w14:paraId="1BCB8116" w14:textId="77777777" w:rsidR="002316C7" w:rsidRDefault="002316C7" w:rsidP="00882158">
      <w:pPr>
        <w:pStyle w:val="Heading3"/>
      </w:pPr>
      <w:r>
        <w:t>Staffing</w:t>
      </w:r>
    </w:p>
    <w:p w14:paraId="6923F724" w14:textId="77777777" w:rsidR="002316C7" w:rsidRDefault="002316C7" w:rsidP="00882158">
      <w:pPr>
        <w:pStyle w:val="Heading4"/>
        <w:spacing w:before="120"/>
      </w:pPr>
      <w:r>
        <w:t>Qualification requirements</w:t>
      </w:r>
    </w:p>
    <w:p w14:paraId="23CD0B3A" w14:textId="77777777" w:rsidR="002316C7" w:rsidRDefault="002316C7" w:rsidP="00882158">
      <w:pPr>
        <w:pStyle w:val="BodyText"/>
      </w:pPr>
      <w:r>
        <w:t>The NQF establishes minimum qualification requirements for both centre</w:t>
      </w:r>
      <w:r>
        <w:noBreakHyphen/>
        <w:t>based and FDC services. These requirements are prescribed only for educators working with children who are under school age, so they are not applicable to OSHC services. Some states and territories have qualification requirements relating to the care of school</w:t>
      </w:r>
      <w:r>
        <w:noBreakHyphen/>
        <w:t xml:space="preserve">age children. </w:t>
      </w:r>
    </w:p>
    <w:p w14:paraId="0C34802C" w14:textId="77777777" w:rsidR="002316C7" w:rsidRDefault="002316C7" w:rsidP="00882158">
      <w:pPr>
        <w:pStyle w:val="BodyText"/>
      </w:pPr>
      <w:r>
        <w:t>ACECQA maintains and publishes a list of nationally approved qualifications for centre</w:t>
      </w:r>
      <w:r>
        <w:noBreakHyphen/>
        <w:t xml:space="preserve">based and FDC services. It also maintains a separate list of approved qualifications for </w:t>
      </w:r>
      <w:r w:rsidDel="00A731BD">
        <w:t>school</w:t>
      </w:r>
      <w:r>
        <w:noBreakHyphen/>
        <w:t>age children (where qualifications are approved separately for each jurisdiction).</w:t>
      </w:r>
    </w:p>
    <w:p w14:paraId="5525D221" w14:textId="77777777" w:rsidR="002316C7" w:rsidRDefault="002316C7" w:rsidP="00882158">
      <w:pPr>
        <w:pStyle w:val="BodyText"/>
      </w:pPr>
      <w:r>
        <w:t>There are two sets of qualification requirements for LDC and preschool:</w:t>
      </w:r>
    </w:p>
    <w:p w14:paraId="26FB1408" w14:textId="77777777" w:rsidR="002316C7" w:rsidRPr="00B905A8" w:rsidRDefault="002316C7" w:rsidP="00882158">
      <w:pPr>
        <w:pStyle w:val="ListBullet"/>
      </w:pPr>
      <w:r w:rsidRPr="00B905A8">
        <w:t>the hiring of up to two full</w:t>
      </w:r>
      <w:r w:rsidRPr="00B905A8">
        <w:noBreakHyphen/>
        <w:t>time equivalent early childhood teachers, dependent on how many children are cared for on a given day (table C.1)</w:t>
      </w:r>
    </w:p>
    <w:p w14:paraId="093C3ACC" w14:textId="77777777" w:rsidR="002316C7" w:rsidRPr="00B905A8" w:rsidRDefault="002316C7" w:rsidP="00882158">
      <w:pPr>
        <w:pStyle w:val="ListBullet"/>
      </w:pPr>
      <w:r w:rsidRPr="00B905A8">
        <w:t>minimum qualifications for other educators at the service.</w:t>
      </w:r>
    </w:p>
    <w:p w14:paraId="66A846F3" w14:textId="77777777" w:rsidR="002316C7" w:rsidRPr="00165A2D" w:rsidRDefault="002316C7" w:rsidP="00882158">
      <w:pPr>
        <w:pStyle w:val="BodyText"/>
      </w:pPr>
      <w:r w:rsidRPr="00165A2D">
        <w:t>A person is counted as an early childhood teacher if they</w:t>
      </w:r>
      <w:r>
        <w:t>:</w:t>
      </w:r>
    </w:p>
    <w:p w14:paraId="60B6C3DF" w14:textId="77777777" w:rsidR="002316C7" w:rsidRDefault="002316C7" w:rsidP="00882158">
      <w:pPr>
        <w:pStyle w:val="ListBullet"/>
      </w:pPr>
      <w:r>
        <w:t>hold an approved early childhood teaching qualification that is published on ACECQA’s approved qualifications lists. This includes current approved early childhood teacher qualifications, and former approved early childhood teaching qualifications that commenced before 1 January 2012, or</w:t>
      </w:r>
    </w:p>
    <w:p w14:paraId="5E853BEB" w14:textId="77777777" w:rsidR="002316C7" w:rsidRPr="00B15829" w:rsidRDefault="002316C7" w:rsidP="00882158">
      <w:pPr>
        <w:pStyle w:val="ListBullet"/>
        <w:rPr>
          <w:spacing w:val="-2"/>
        </w:rPr>
      </w:pPr>
      <w:r w:rsidRPr="00B15829">
        <w:rPr>
          <w:spacing w:val="-2"/>
        </w:rPr>
        <w:t>hold a qualification that ACECQA has recognised to be an equivalent early childhood teacher qualification, or</w:t>
      </w:r>
    </w:p>
    <w:p w14:paraId="38589484" w14:textId="77777777" w:rsidR="002316C7" w:rsidRDefault="002316C7" w:rsidP="00882158">
      <w:pPr>
        <w:pStyle w:val="ListBullet"/>
      </w:pPr>
      <w:r>
        <w:t>are taken to hold an early childhood teaching qualification</w:t>
      </w:r>
      <w:r w:rsidDel="004B2A4D">
        <w:t xml:space="preserve"> </w:t>
      </w:r>
      <w:r>
        <w:t xml:space="preserve">approved under former state and territory laws in place before the National Law </w:t>
      </w:r>
      <w:r w:rsidRPr="003E1D34">
        <w:rPr>
          <w:rFonts w:ascii="Arial" w:hAnsi="Arial" w:cs="Arial"/>
        </w:rPr>
        <w:t>(ACECQA 2023d, pp. 458–459)</w:t>
      </w:r>
      <w:r>
        <w:t>.</w:t>
      </w:r>
    </w:p>
    <w:p w14:paraId="3946663E" w14:textId="77777777" w:rsidR="002316C7" w:rsidRDefault="002316C7" w:rsidP="00882158">
      <w:pPr>
        <w:pStyle w:val="BodyText"/>
      </w:pPr>
      <w:r>
        <w:t>Likewise, a ‘suitably qualified person’ is someone who:</w:t>
      </w:r>
    </w:p>
    <w:p w14:paraId="5CCD2DA4" w14:textId="77777777" w:rsidR="002316C7" w:rsidRPr="00B905A8" w:rsidRDefault="002316C7" w:rsidP="00882158">
      <w:pPr>
        <w:pStyle w:val="ListBullet"/>
      </w:pPr>
      <w:r w:rsidRPr="00B905A8">
        <w:t>is actively working towards an approved early childhood teaching qualification and has completed at least 50% of the qualification or holds an approved early childhood education and care diploma, or</w:t>
      </w:r>
    </w:p>
    <w:p w14:paraId="465CD39B" w14:textId="77777777" w:rsidR="002316C7" w:rsidRPr="00B905A8" w:rsidRDefault="002316C7" w:rsidP="00882158">
      <w:pPr>
        <w:pStyle w:val="ListBullet"/>
      </w:pPr>
      <w:r w:rsidRPr="00B905A8">
        <w:t>is registered as a primary or secondary school teacher in Australia and holds an ACECQA</w:t>
      </w:r>
      <w:r w:rsidRPr="00B905A8">
        <w:noBreakHyphen/>
        <w:t>approved early childhood education and care diploma (or higher approved qualification) (ACECQA 2023d, p. 459).</w:t>
      </w:r>
    </w:p>
    <w:p w14:paraId="722EB1C7" w14:textId="77777777" w:rsidR="002316C7" w:rsidRDefault="002316C7" w:rsidP="00882158">
      <w:pPr>
        <w:pStyle w:val="BodyText"/>
      </w:pPr>
      <w:r>
        <w:t>Extra conditions on qualifications exist depending on the nature of the provider.</w:t>
      </w:r>
    </w:p>
    <w:p w14:paraId="046722A5" w14:textId="77777777" w:rsidR="002316C7" w:rsidRDefault="002316C7" w:rsidP="00882158">
      <w:pPr>
        <w:pStyle w:val="ListBullet"/>
      </w:pPr>
      <w:r>
        <w:lastRenderedPageBreak/>
        <w:t>In p</w:t>
      </w:r>
      <w:r w:rsidRPr="00AB5DEB">
        <w:t>reschool</w:t>
      </w:r>
      <w:r>
        <w:t>s</w:t>
      </w:r>
      <w:r w:rsidRPr="00AB5DEB">
        <w:t xml:space="preserve"> </w:t>
      </w:r>
      <w:r>
        <w:t>(</w:t>
      </w:r>
      <w:r w:rsidRPr="00AB5DEB">
        <w:t>kindergarten</w:t>
      </w:r>
      <w:r>
        <w:t>s)</w:t>
      </w:r>
      <w:r w:rsidRPr="00AB5DEB">
        <w:t xml:space="preserve"> and </w:t>
      </w:r>
      <w:r>
        <w:t xml:space="preserve">long day care services, at least 50% of educators must be diploma level qualified or higher. </w:t>
      </w:r>
      <w:r w:rsidRPr="008E127F">
        <w:t>All other educators must be certificate III level qualified</w:t>
      </w:r>
      <w:r>
        <w:t xml:space="preserve"> </w:t>
      </w:r>
      <w:r w:rsidRPr="003E1D34">
        <w:rPr>
          <w:rFonts w:ascii="Arial" w:hAnsi="Arial" w:cs="Arial"/>
        </w:rPr>
        <w:t>(ACECQA 2023g)</w:t>
      </w:r>
      <w:r>
        <w:t>.</w:t>
      </w:r>
    </w:p>
    <w:p w14:paraId="03A8D775" w14:textId="77777777" w:rsidR="002316C7" w:rsidRDefault="002316C7" w:rsidP="00882158">
      <w:pPr>
        <w:pStyle w:val="ListBullet"/>
      </w:pPr>
      <w:r>
        <w:t xml:space="preserve">As of </w:t>
      </w:r>
      <w:r w:rsidRPr="00C35CB6">
        <w:t xml:space="preserve">July 2023, new </w:t>
      </w:r>
      <w:r>
        <w:t>FDC</w:t>
      </w:r>
      <w:r w:rsidRPr="00C35CB6">
        <w:t xml:space="preserve"> educators must hold an approved certificate III level (or higher) qualification prior to commencing their role in an </w:t>
      </w:r>
      <w:r>
        <w:t>FDC</w:t>
      </w:r>
      <w:r w:rsidRPr="00C35CB6">
        <w:t xml:space="preserve"> service</w:t>
      </w:r>
      <w:r>
        <w:t xml:space="preserve">. </w:t>
      </w:r>
      <w:r w:rsidRPr="00E26CCE">
        <w:t xml:space="preserve">Existing educators engaged at an </w:t>
      </w:r>
      <w:r>
        <w:t>FDC</w:t>
      </w:r>
      <w:r w:rsidRPr="00E26CCE">
        <w:t xml:space="preserve"> service have until 1</w:t>
      </w:r>
      <w:r>
        <w:t> </w:t>
      </w:r>
      <w:r w:rsidRPr="00E26CCE">
        <w:t>July 2024 to complete an approved qualification</w:t>
      </w:r>
      <w:r>
        <w:t xml:space="preserve"> </w:t>
      </w:r>
      <w:r w:rsidRPr="003E1D34">
        <w:rPr>
          <w:rFonts w:ascii="Arial" w:hAnsi="Arial" w:cs="Arial"/>
        </w:rPr>
        <w:t>(ACECQA 2023h)</w:t>
      </w:r>
      <w:r>
        <w:t>.</w:t>
      </w:r>
    </w:p>
    <w:p w14:paraId="7F5E49DD" w14:textId="77777777" w:rsidR="002316C7" w:rsidRDefault="002316C7" w:rsidP="00882158">
      <w:pPr>
        <w:pStyle w:val="ListBullet"/>
      </w:pPr>
      <w:r>
        <w:t>As noted above, there are state and territory</w:t>
      </w:r>
      <w:r>
        <w:noBreakHyphen/>
        <w:t xml:space="preserve">based standards for OSHC, which can be accessed via ACECQA’s website </w:t>
      </w:r>
      <w:r w:rsidRPr="003E1D34">
        <w:rPr>
          <w:rFonts w:ascii="Arial" w:hAnsi="Arial" w:cs="Arial"/>
        </w:rPr>
        <w:t>(ACECQA 2022a, 2023i)</w:t>
      </w:r>
      <w:r>
        <w:t>.</w:t>
      </w:r>
    </w:p>
    <w:p w14:paraId="5F44A37C" w14:textId="77777777" w:rsidR="002316C7" w:rsidRPr="007C04D7" w:rsidRDefault="002316C7" w:rsidP="00882158">
      <w:pPr>
        <w:pStyle w:val="ListBullet"/>
      </w:pPr>
      <w:r w:rsidRPr="00F812CF">
        <w:t>Educators working at an education and care service</w:t>
      </w:r>
      <w:r>
        <w:t xml:space="preserve"> </w:t>
      </w:r>
      <w:r w:rsidRPr="00F812CF">
        <w:t>may be required to complete a first aid qualification, anaphylaxis management training and emergency asthma management training.</w:t>
      </w:r>
      <w:r>
        <w:t xml:space="preserve"> There are differing requirements for centre</w:t>
      </w:r>
      <w:r>
        <w:noBreakHyphen/>
        <w:t>based, school</w:t>
      </w:r>
      <w:r>
        <w:noBreakHyphen/>
        <w:t xml:space="preserve">based and FDC services </w:t>
      </w:r>
      <w:r w:rsidRPr="003E1D34">
        <w:rPr>
          <w:rFonts w:ascii="Arial" w:hAnsi="Arial" w:cs="Arial"/>
        </w:rPr>
        <w:t>(ACECQA 2023j)</w:t>
      </w:r>
      <w:r>
        <w:t>.</w:t>
      </w:r>
    </w:p>
    <w:p w14:paraId="6740C428" w14:textId="77777777" w:rsidR="002316C7" w:rsidRDefault="002316C7" w:rsidP="00882158">
      <w:pPr>
        <w:pStyle w:val="FigureTableHeading"/>
      </w:pPr>
      <w:r>
        <w:t xml:space="preserve">Table </w:t>
      </w:r>
      <w:r>
        <w:rPr>
          <w:noProof/>
        </w:rPr>
        <w:t>C</w:t>
      </w:r>
      <w:r>
        <w:t>.</w:t>
      </w:r>
      <w:r>
        <w:rPr>
          <w:noProof/>
        </w:rPr>
        <w:t xml:space="preserve">1 – </w:t>
      </w:r>
      <w:r>
        <w:t>Qualification requirements under the NQF</w:t>
      </w:r>
    </w:p>
    <w:p w14:paraId="3AB212E4" w14:textId="77777777" w:rsidR="002316C7" w:rsidRDefault="002316C7" w:rsidP="00882158">
      <w:pPr>
        <w:pStyle w:val="FigureTableSubheading"/>
      </w:pPr>
      <w:r>
        <w:t>Long day care and preschool</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96"/>
        <w:gridCol w:w="1796"/>
        <w:gridCol w:w="2993"/>
        <w:gridCol w:w="3054"/>
      </w:tblGrid>
      <w:tr w:rsidR="002316C7" w:rsidRPr="00D126B3" w14:paraId="179CC9B0" w14:textId="77777777" w:rsidTr="00882158">
        <w:trPr>
          <w:tblHeader/>
        </w:trPr>
        <w:tc>
          <w:tcPr>
            <w:tcW w:w="1796" w:type="dxa"/>
            <w:tcBorders>
              <w:bottom w:val="single" w:sz="4" w:space="0" w:color="B3B3B3"/>
            </w:tcBorders>
            <w:shd w:val="clear" w:color="000000" w:fill="auto"/>
          </w:tcPr>
          <w:p w14:paraId="5C8B7EEE" w14:textId="77777777" w:rsidR="002316C7" w:rsidRPr="00D126B3" w:rsidRDefault="002316C7" w:rsidP="00882158">
            <w:pPr>
              <w:pStyle w:val="TableHeading"/>
              <w:keepNext/>
            </w:pPr>
            <w:r>
              <w:t>Number of children</w:t>
            </w:r>
          </w:p>
        </w:tc>
        <w:tc>
          <w:tcPr>
            <w:tcW w:w="1796" w:type="dxa"/>
            <w:tcBorders>
              <w:bottom w:val="single" w:sz="4" w:space="0" w:color="B3B3B3"/>
            </w:tcBorders>
            <w:shd w:val="clear" w:color="000000" w:fill="auto"/>
          </w:tcPr>
          <w:p w14:paraId="6E9162F3" w14:textId="77777777" w:rsidR="002316C7" w:rsidRPr="00D126B3" w:rsidRDefault="002316C7" w:rsidP="00882158">
            <w:pPr>
              <w:pStyle w:val="TableHeading"/>
              <w:keepNext/>
            </w:pPr>
            <w:r>
              <w:t>Centre’s weekly hours of operation</w:t>
            </w:r>
          </w:p>
        </w:tc>
        <w:tc>
          <w:tcPr>
            <w:tcW w:w="2993" w:type="dxa"/>
            <w:tcBorders>
              <w:bottom w:val="single" w:sz="4" w:space="0" w:color="B3B3B3"/>
            </w:tcBorders>
            <w:shd w:val="clear" w:color="000000" w:fill="auto"/>
          </w:tcPr>
          <w:p w14:paraId="5A8DF318" w14:textId="77777777" w:rsidR="002316C7" w:rsidRPr="00D126B3" w:rsidRDefault="002316C7" w:rsidP="00882158">
            <w:pPr>
              <w:pStyle w:val="TableHeading"/>
              <w:keepNext/>
            </w:pPr>
            <w:r>
              <w:t>First e</w:t>
            </w:r>
            <w:r w:rsidRPr="0001016A">
              <w:t xml:space="preserve">arly </w:t>
            </w:r>
            <w:r>
              <w:t>c</w:t>
            </w:r>
            <w:r w:rsidRPr="0001016A">
              <w:t xml:space="preserve">hildhood </w:t>
            </w:r>
            <w:r>
              <w:t>t</w:t>
            </w:r>
            <w:r w:rsidRPr="0001016A">
              <w:t>eacher</w:t>
            </w:r>
            <w:r>
              <w:t xml:space="preserve"> must be present</w:t>
            </w:r>
          </w:p>
        </w:tc>
        <w:tc>
          <w:tcPr>
            <w:tcW w:w="3054" w:type="dxa"/>
            <w:tcBorders>
              <w:bottom w:val="single" w:sz="4" w:space="0" w:color="B3B3B3"/>
            </w:tcBorders>
            <w:shd w:val="clear" w:color="000000" w:fill="auto"/>
          </w:tcPr>
          <w:p w14:paraId="12B3D270" w14:textId="77777777" w:rsidR="002316C7" w:rsidRPr="00D126B3" w:rsidRDefault="002316C7" w:rsidP="00882158">
            <w:pPr>
              <w:pStyle w:val="TableHeading"/>
              <w:keepNext/>
            </w:pPr>
            <w:r>
              <w:t>Second e</w:t>
            </w:r>
            <w:r w:rsidRPr="0001016A">
              <w:t xml:space="preserve">arly </w:t>
            </w:r>
            <w:r>
              <w:t>c</w:t>
            </w:r>
            <w:r w:rsidRPr="0001016A">
              <w:t xml:space="preserve">hildhood </w:t>
            </w:r>
            <w:r>
              <w:t>t</w:t>
            </w:r>
            <w:r w:rsidRPr="0001016A">
              <w:t>eacher</w:t>
            </w:r>
            <w:r w:rsidRPr="00FB2196">
              <w:t xml:space="preserve"> or </w:t>
            </w:r>
            <w:r>
              <w:t>suitably qualified person must be present</w:t>
            </w:r>
          </w:p>
        </w:tc>
      </w:tr>
      <w:tr w:rsidR="002316C7" w:rsidRPr="00D126B3" w14:paraId="00588A7F" w14:textId="77777777" w:rsidTr="00882158">
        <w:tc>
          <w:tcPr>
            <w:tcW w:w="1796" w:type="dxa"/>
            <w:tcBorders>
              <w:top w:val="single" w:sz="4" w:space="0" w:color="B3B3B3"/>
              <w:bottom w:val="nil"/>
            </w:tcBorders>
            <w:shd w:val="clear" w:color="000000" w:fill="F2F2F2"/>
          </w:tcPr>
          <w:p w14:paraId="74F224D9" w14:textId="77777777" w:rsidR="002316C7" w:rsidRPr="00D126B3" w:rsidRDefault="002316C7" w:rsidP="00882158">
            <w:pPr>
              <w:pStyle w:val="TableBody"/>
              <w:keepNext/>
            </w:pPr>
            <w:r w:rsidRPr="00FC7B7F">
              <w:t>&lt;25</w:t>
            </w:r>
          </w:p>
        </w:tc>
        <w:tc>
          <w:tcPr>
            <w:tcW w:w="1796" w:type="dxa"/>
            <w:tcBorders>
              <w:top w:val="single" w:sz="4" w:space="0" w:color="B3B3B3"/>
              <w:bottom w:val="nil"/>
            </w:tcBorders>
            <w:shd w:val="clear" w:color="000000" w:fill="F2F2F2"/>
          </w:tcPr>
          <w:p w14:paraId="087C96B7" w14:textId="77777777" w:rsidR="002316C7" w:rsidRPr="00D126B3" w:rsidRDefault="002316C7" w:rsidP="00882158">
            <w:pPr>
              <w:pStyle w:val="TableBody"/>
              <w:keepNext/>
              <w:rPr>
                <w:color w:val="000000"/>
              </w:rPr>
            </w:pPr>
            <w:r>
              <w:rPr>
                <w:color w:val="000000"/>
              </w:rPr>
              <w:t>NA</w:t>
            </w:r>
          </w:p>
        </w:tc>
        <w:tc>
          <w:tcPr>
            <w:tcW w:w="2993" w:type="dxa"/>
            <w:tcBorders>
              <w:top w:val="single" w:sz="4" w:space="0" w:color="B3B3B3"/>
              <w:bottom w:val="nil"/>
            </w:tcBorders>
            <w:shd w:val="clear" w:color="000000" w:fill="F2F2F2"/>
          </w:tcPr>
          <w:p w14:paraId="2EAEA3F4" w14:textId="77777777" w:rsidR="002316C7" w:rsidRPr="00D126B3" w:rsidRDefault="002316C7" w:rsidP="00882158">
            <w:pPr>
              <w:pStyle w:val="TableBody"/>
              <w:keepNext/>
              <w:rPr>
                <w:color w:val="000000"/>
              </w:rPr>
            </w:pPr>
            <w:r w:rsidRPr="00FC7B7F">
              <w:t>2</w:t>
            </w:r>
            <w:r>
              <w:t>0</w:t>
            </w:r>
            <w:r w:rsidRPr="00FC7B7F">
              <w:t xml:space="preserve">% of </w:t>
            </w:r>
            <w:r>
              <w:t>centre operating hours</w:t>
            </w:r>
            <w:r w:rsidRPr="000F0D61">
              <w:rPr>
                <w:b/>
                <w:bCs/>
                <w:sz w:val="22"/>
                <w:szCs w:val="24"/>
                <w:vertAlign w:val="superscript"/>
              </w:rPr>
              <w:t>a</w:t>
            </w:r>
          </w:p>
        </w:tc>
        <w:tc>
          <w:tcPr>
            <w:tcW w:w="3054" w:type="dxa"/>
            <w:tcBorders>
              <w:top w:val="single" w:sz="4" w:space="0" w:color="B3B3B3"/>
              <w:bottom w:val="nil"/>
            </w:tcBorders>
            <w:shd w:val="clear" w:color="000000" w:fill="F2F2F2"/>
          </w:tcPr>
          <w:p w14:paraId="7CD48754" w14:textId="77777777" w:rsidR="002316C7" w:rsidRPr="00D126B3" w:rsidRDefault="002316C7" w:rsidP="00882158">
            <w:pPr>
              <w:pStyle w:val="TableBody"/>
              <w:keepNext/>
              <w:rPr>
                <w:color w:val="000000"/>
              </w:rPr>
            </w:pPr>
            <w:r w:rsidRPr="00FC7B7F">
              <w:t>NA</w:t>
            </w:r>
          </w:p>
        </w:tc>
      </w:tr>
      <w:tr w:rsidR="002316C7" w:rsidRPr="00D126B3" w14:paraId="78D809E0" w14:textId="77777777" w:rsidTr="00882158">
        <w:tc>
          <w:tcPr>
            <w:tcW w:w="1796" w:type="dxa"/>
            <w:vMerge w:val="restart"/>
            <w:tcBorders>
              <w:top w:val="single" w:sz="4" w:space="0" w:color="B3B3B3"/>
            </w:tcBorders>
            <w:shd w:val="clear" w:color="auto" w:fill="auto"/>
          </w:tcPr>
          <w:p w14:paraId="5FC5C9AE" w14:textId="20D9811C" w:rsidR="002316C7" w:rsidRPr="00D126B3" w:rsidRDefault="002316C7" w:rsidP="00882158">
            <w:pPr>
              <w:pStyle w:val="TableBody"/>
              <w:keepNext/>
            </w:pPr>
            <w:r w:rsidRPr="00FC7B7F">
              <w:t>25</w:t>
            </w:r>
            <w:r w:rsidR="009D42EB">
              <w:t>–</w:t>
            </w:r>
            <w:r w:rsidRPr="00FC7B7F">
              <w:t>59</w:t>
            </w:r>
          </w:p>
        </w:tc>
        <w:tc>
          <w:tcPr>
            <w:tcW w:w="1796" w:type="dxa"/>
            <w:tcBorders>
              <w:top w:val="single" w:sz="4" w:space="0" w:color="B3B3B3"/>
              <w:bottom w:val="nil"/>
            </w:tcBorders>
            <w:shd w:val="clear" w:color="auto" w:fill="auto"/>
          </w:tcPr>
          <w:p w14:paraId="41D7041C" w14:textId="77777777" w:rsidR="002316C7" w:rsidRPr="00D126B3" w:rsidRDefault="002316C7" w:rsidP="00882158">
            <w:pPr>
              <w:pStyle w:val="TableBody"/>
              <w:keepNext/>
              <w:rPr>
                <w:color w:val="000000"/>
              </w:rPr>
            </w:pPr>
            <w:r w:rsidRPr="00FC7B7F">
              <w:t>&lt;50</w:t>
            </w:r>
          </w:p>
        </w:tc>
        <w:tc>
          <w:tcPr>
            <w:tcW w:w="2993" w:type="dxa"/>
            <w:tcBorders>
              <w:top w:val="single" w:sz="4" w:space="0" w:color="B3B3B3"/>
              <w:bottom w:val="nil"/>
            </w:tcBorders>
            <w:shd w:val="clear" w:color="auto" w:fill="auto"/>
          </w:tcPr>
          <w:p w14:paraId="70C57D9C" w14:textId="77777777" w:rsidR="002316C7" w:rsidRPr="00D126B3" w:rsidRDefault="002316C7" w:rsidP="00882158">
            <w:pPr>
              <w:pStyle w:val="TableBody"/>
              <w:keepNext/>
              <w:rPr>
                <w:color w:val="000000"/>
              </w:rPr>
            </w:pPr>
            <w:r w:rsidRPr="00FC7B7F">
              <w:t xml:space="preserve">60% of </w:t>
            </w:r>
            <w:r>
              <w:t>centre operating hours</w:t>
            </w:r>
          </w:p>
        </w:tc>
        <w:tc>
          <w:tcPr>
            <w:tcW w:w="3054" w:type="dxa"/>
            <w:tcBorders>
              <w:top w:val="single" w:sz="4" w:space="0" w:color="B3B3B3"/>
              <w:bottom w:val="nil"/>
            </w:tcBorders>
            <w:shd w:val="clear" w:color="auto" w:fill="auto"/>
          </w:tcPr>
          <w:p w14:paraId="6370C8E6" w14:textId="77777777" w:rsidR="002316C7" w:rsidRPr="00D126B3" w:rsidRDefault="002316C7" w:rsidP="00882158">
            <w:pPr>
              <w:pStyle w:val="TableBody"/>
              <w:keepNext/>
              <w:rPr>
                <w:color w:val="000000"/>
              </w:rPr>
            </w:pPr>
            <w:r w:rsidRPr="00FC7B7F">
              <w:t>NA</w:t>
            </w:r>
          </w:p>
        </w:tc>
      </w:tr>
      <w:tr w:rsidR="002316C7" w:rsidRPr="00D126B3" w14:paraId="3E99E313" w14:textId="77777777" w:rsidTr="00882158">
        <w:tc>
          <w:tcPr>
            <w:tcW w:w="1796" w:type="dxa"/>
            <w:vMerge/>
            <w:tcBorders>
              <w:bottom w:val="nil"/>
            </w:tcBorders>
            <w:shd w:val="clear" w:color="auto" w:fill="auto"/>
          </w:tcPr>
          <w:p w14:paraId="12FFCCEA" w14:textId="77777777" w:rsidR="002316C7" w:rsidRPr="00D126B3" w:rsidRDefault="002316C7" w:rsidP="00882158">
            <w:pPr>
              <w:pStyle w:val="TableBody"/>
              <w:keepNext/>
            </w:pPr>
          </w:p>
        </w:tc>
        <w:tc>
          <w:tcPr>
            <w:tcW w:w="1796" w:type="dxa"/>
            <w:tcBorders>
              <w:top w:val="single" w:sz="4" w:space="0" w:color="B3B3B3"/>
              <w:bottom w:val="nil"/>
            </w:tcBorders>
            <w:shd w:val="clear" w:color="auto" w:fill="auto"/>
          </w:tcPr>
          <w:p w14:paraId="7A64EE44" w14:textId="77777777" w:rsidR="002316C7" w:rsidRPr="00D126B3" w:rsidRDefault="002316C7" w:rsidP="00882158">
            <w:pPr>
              <w:pStyle w:val="TableBody"/>
              <w:keepNext/>
              <w:rPr>
                <w:color w:val="000000"/>
              </w:rPr>
            </w:pPr>
            <w:r w:rsidRPr="00FC7B7F">
              <w:t>&gt;=50</w:t>
            </w:r>
          </w:p>
        </w:tc>
        <w:tc>
          <w:tcPr>
            <w:tcW w:w="2993" w:type="dxa"/>
            <w:tcBorders>
              <w:top w:val="single" w:sz="4" w:space="0" w:color="B3B3B3"/>
              <w:bottom w:val="nil"/>
            </w:tcBorders>
            <w:shd w:val="clear" w:color="auto" w:fill="auto"/>
          </w:tcPr>
          <w:p w14:paraId="0D15AEED" w14:textId="77777777" w:rsidR="002316C7" w:rsidRPr="00D126B3" w:rsidRDefault="002316C7" w:rsidP="00882158">
            <w:pPr>
              <w:pStyle w:val="TableBody"/>
              <w:keepNext/>
              <w:rPr>
                <w:color w:val="000000"/>
              </w:rPr>
            </w:pPr>
            <w:r w:rsidRPr="00FC7B7F">
              <w:t>6 hours per day</w:t>
            </w:r>
          </w:p>
        </w:tc>
        <w:tc>
          <w:tcPr>
            <w:tcW w:w="3054" w:type="dxa"/>
            <w:tcBorders>
              <w:top w:val="single" w:sz="4" w:space="0" w:color="B3B3B3"/>
              <w:bottom w:val="nil"/>
            </w:tcBorders>
            <w:shd w:val="clear" w:color="auto" w:fill="auto"/>
          </w:tcPr>
          <w:p w14:paraId="13E47645" w14:textId="77777777" w:rsidR="002316C7" w:rsidRPr="00D126B3" w:rsidRDefault="002316C7" w:rsidP="00882158">
            <w:pPr>
              <w:pStyle w:val="TableBody"/>
              <w:keepNext/>
              <w:rPr>
                <w:color w:val="000000"/>
              </w:rPr>
            </w:pPr>
            <w:r>
              <w:t>NA</w:t>
            </w:r>
          </w:p>
        </w:tc>
      </w:tr>
      <w:tr w:rsidR="002316C7" w:rsidRPr="00D126B3" w14:paraId="0CEF3D86" w14:textId="77777777" w:rsidTr="00882158">
        <w:tc>
          <w:tcPr>
            <w:tcW w:w="1796" w:type="dxa"/>
            <w:vMerge w:val="restart"/>
            <w:tcBorders>
              <w:top w:val="single" w:sz="4" w:space="0" w:color="B3B3B3"/>
            </w:tcBorders>
            <w:shd w:val="clear" w:color="000000" w:fill="F2F2F2"/>
          </w:tcPr>
          <w:p w14:paraId="30A9179C" w14:textId="13A5A550" w:rsidR="002316C7" w:rsidRPr="00D126B3" w:rsidRDefault="002316C7" w:rsidP="00882158">
            <w:pPr>
              <w:pStyle w:val="TableBody"/>
              <w:keepNext/>
            </w:pPr>
            <w:r w:rsidRPr="00FC7B7F">
              <w:t>60</w:t>
            </w:r>
            <w:r w:rsidR="009D42EB">
              <w:t>–</w:t>
            </w:r>
            <w:r w:rsidRPr="00FC7B7F">
              <w:t>80</w:t>
            </w:r>
            <w:r w:rsidRPr="000F0D61">
              <w:rPr>
                <w:b/>
                <w:bCs/>
                <w:sz w:val="22"/>
                <w:szCs w:val="24"/>
                <w:vertAlign w:val="superscript"/>
              </w:rPr>
              <w:t>b</w:t>
            </w:r>
          </w:p>
        </w:tc>
        <w:tc>
          <w:tcPr>
            <w:tcW w:w="1796" w:type="dxa"/>
            <w:tcBorders>
              <w:top w:val="single" w:sz="4" w:space="0" w:color="B3B3B3"/>
              <w:bottom w:val="nil"/>
            </w:tcBorders>
            <w:shd w:val="clear" w:color="000000" w:fill="F2F2F2"/>
          </w:tcPr>
          <w:p w14:paraId="61FB8EFE" w14:textId="77777777" w:rsidR="002316C7" w:rsidRPr="00D126B3" w:rsidRDefault="002316C7" w:rsidP="00882158">
            <w:pPr>
              <w:pStyle w:val="TableBody"/>
              <w:keepNext/>
              <w:rPr>
                <w:color w:val="000000"/>
              </w:rPr>
            </w:pPr>
            <w:r w:rsidRPr="00FC7B7F">
              <w:t>&lt;50</w:t>
            </w:r>
          </w:p>
        </w:tc>
        <w:tc>
          <w:tcPr>
            <w:tcW w:w="2993" w:type="dxa"/>
            <w:tcBorders>
              <w:top w:val="single" w:sz="4" w:space="0" w:color="B3B3B3"/>
              <w:bottom w:val="nil"/>
            </w:tcBorders>
            <w:shd w:val="clear" w:color="000000" w:fill="F2F2F2"/>
          </w:tcPr>
          <w:p w14:paraId="0AA97F84" w14:textId="77777777" w:rsidR="002316C7" w:rsidRPr="00D126B3" w:rsidRDefault="002316C7" w:rsidP="00882158">
            <w:pPr>
              <w:pStyle w:val="TableBody"/>
              <w:keepNext/>
              <w:rPr>
                <w:color w:val="000000"/>
              </w:rPr>
            </w:pPr>
            <w:r w:rsidRPr="00FC7B7F">
              <w:t xml:space="preserve">60% of </w:t>
            </w:r>
            <w:r>
              <w:t>centre operating hours</w:t>
            </w:r>
          </w:p>
        </w:tc>
        <w:tc>
          <w:tcPr>
            <w:tcW w:w="3054" w:type="dxa"/>
            <w:tcBorders>
              <w:top w:val="single" w:sz="4" w:space="0" w:color="B3B3B3"/>
              <w:bottom w:val="nil"/>
            </w:tcBorders>
            <w:shd w:val="clear" w:color="000000" w:fill="F2F2F2"/>
          </w:tcPr>
          <w:p w14:paraId="238DAB3E" w14:textId="77777777" w:rsidR="002316C7" w:rsidRPr="00D126B3" w:rsidRDefault="002316C7" w:rsidP="00882158">
            <w:pPr>
              <w:pStyle w:val="TableBody"/>
              <w:keepNext/>
              <w:rPr>
                <w:color w:val="000000"/>
              </w:rPr>
            </w:pPr>
            <w:r w:rsidRPr="00FC7B7F">
              <w:t xml:space="preserve">30% of </w:t>
            </w:r>
            <w:r>
              <w:t>centre operating hours</w:t>
            </w:r>
          </w:p>
        </w:tc>
      </w:tr>
      <w:tr w:rsidR="002316C7" w:rsidRPr="00D126B3" w14:paraId="63633B66" w14:textId="77777777" w:rsidTr="00882158">
        <w:tc>
          <w:tcPr>
            <w:tcW w:w="1796" w:type="dxa"/>
            <w:vMerge/>
            <w:tcBorders>
              <w:bottom w:val="nil"/>
            </w:tcBorders>
            <w:shd w:val="clear" w:color="000000" w:fill="F2F2F2"/>
          </w:tcPr>
          <w:p w14:paraId="5117E28B" w14:textId="77777777" w:rsidR="002316C7" w:rsidRPr="00D126B3" w:rsidRDefault="002316C7" w:rsidP="00882158">
            <w:pPr>
              <w:pStyle w:val="TableBody"/>
              <w:keepNext/>
            </w:pPr>
          </w:p>
        </w:tc>
        <w:tc>
          <w:tcPr>
            <w:tcW w:w="1796" w:type="dxa"/>
            <w:tcBorders>
              <w:top w:val="single" w:sz="4" w:space="0" w:color="B3B3B3"/>
              <w:bottom w:val="nil"/>
            </w:tcBorders>
            <w:shd w:val="clear" w:color="000000" w:fill="F2F2F2"/>
          </w:tcPr>
          <w:p w14:paraId="1C5AD66D" w14:textId="77777777" w:rsidR="002316C7" w:rsidRPr="00D126B3" w:rsidRDefault="002316C7" w:rsidP="00882158">
            <w:pPr>
              <w:pStyle w:val="TableBody"/>
              <w:keepNext/>
              <w:rPr>
                <w:color w:val="000000"/>
              </w:rPr>
            </w:pPr>
            <w:r w:rsidRPr="00FC7B7F">
              <w:t>&gt;=50</w:t>
            </w:r>
          </w:p>
        </w:tc>
        <w:tc>
          <w:tcPr>
            <w:tcW w:w="2993" w:type="dxa"/>
            <w:tcBorders>
              <w:top w:val="single" w:sz="4" w:space="0" w:color="B3B3B3"/>
              <w:bottom w:val="nil"/>
            </w:tcBorders>
            <w:shd w:val="clear" w:color="000000" w:fill="F2F2F2"/>
          </w:tcPr>
          <w:p w14:paraId="63E0C499" w14:textId="77777777" w:rsidR="002316C7" w:rsidRPr="00D126B3" w:rsidRDefault="002316C7" w:rsidP="00882158">
            <w:pPr>
              <w:pStyle w:val="TableBody"/>
              <w:keepNext/>
              <w:rPr>
                <w:color w:val="000000"/>
              </w:rPr>
            </w:pPr>
            <w:r w:rsidRPr="00FC7B7F">
              <w:t>6 hours per day</w:t>
            </w:r>
          </w:p>
        </w:tc>
        <w:tc>
          <w:tcPr>
            <w:tcW w:w="3054" w:type="dxa"/>
            <w:tcBorders>
              <w:top w:val="single" w:sz="4" w:space="0" w:color="B3B3B3"/>
              <w:bottom w:val="nil"/>
            </w:tcBorders>
            <w:shd w:val="clear" w:color="000000" w:fill="F2F2F2"/>
          </w:tcPr>
          <w:p w14:paraId="40E319D8" w14:textId="77777777" w:rsidR="002316C7" w:rsidRPr="00D126B3" w:rsidRDefault="002316C7" w:rsidP="00882158">
            <w:pPr>
              <w:pStyle w:val="TableBody"/>
              <w:keepNext/>
              <w:rPr>
                <w:color w:val="000000"/>
              </w:rPr>
            </w:pPr>
            <w:r w:rsidRPr="00FC7B7F">
              <w:t>3 hours per day</w:t>
            </w:r>
          </w:p>
        </w:tc>
      </w:tr>
      <w:tr w:rsidR="002316C7" w:rsidRPr="00D126B3" w14:paraId="2CD9C828" w14:textId="77777777" w:rsidTr="00882158">
        <w:tc>
          <w:tcPr>
            <w:tcW w:w="1796" w:type="dxa"/>
            <w:vMerge w:val="restart"/>
            <w:tcBorders>
              <w:top w:val="nil"/>
            </w:tcBorders>
            <w:shd w:val="clear" w:color="auto" w:fill="auto"/>
          </w:tcPr>
          <w:p w14:paraId="70EAA047" w14:textId="77777777" w:rsidR="002316C7" w:rsidRPr="00D126B3" w:rsidRDefault="002316C7" w:rsidP="00882158">
            <w:pPr>
              <w:pStyle w:val="TableBody"/>
              <w:keepNext/>
            </w:pPr>
            <w:r>
              <w:t>&gt;</w:t>
            </w:r>
            <w:r w:rsidRPr="00FC7B7F">
              <w:t>80</w:t>
            </w:r>
            <w:r w:rsidRPr="000F0D61">
              <w:rPr>
                <w:b/>
                <w:bCs/>
                <w:sz w:val="22"/>
                <w:szCs w:val="24"/>
                <w:vertAlign w:val="superscript"/>
              </w:rPr>
              <w:t>c</w:t>
            </w:r>
          </w:p>
        </w:tc>
        <w:tc>
          <w:tcPr>
            <w:tcW w:w="1796" w:type="dxa"/>
            <w:tcBorders>
              <w:top w:val="nil"/>
              <w:bottom w:val="nil"/>
            </w:tcBorders>
            <w:shd w:val="clear" w:color="auto" w:fill="auto"/>
          </w:tcPr>
          <w:p w14:paraId="7413B708" w14:textId="77777777" w:rsidR="002316C7" w:rsidRPr="00D126B3" w:rsidRDefault="002316C7" w:rsidP="00882158">
            <w:pPr>
              <w:pStyle w:val="TableBody"/>
              <w:keepNext/>
              <w:rPr>
                <w:color w:val="000000"/>
              </w:rPr>
            </w:pPr>
            <w:r w:rsidRPr="00FC7B7F">
              <w:t>&lt;50</w:t>
            </w:r>
          </w:p>
        </w:tc>
        <w:tc>
          <w:tcPr>
            <w:tcW w:w="2993" w:type="dxa"/>
            <w:tcBorders>
              <w:top w:val="nil"/>
              <w:bottom w:val="nil"/>
            </w:tcBorders>
            <w:shd w:val="clear" w:color="auto" w:fill="auto"/>
          </w:tcPr>
          <w:p w14:paraId="336195D5" w14:textId="77777777" w:rsidR="002316C7" w:rsidRPr="00D126B3" w:rsidRDefault="002316C7" w:rsidP="00882158">
            <w:pPr>
              <w:pStyle w:val="TableBody"/>
              <w:keepNext/>
              <w:rPr>
                <w:color w:val="000000"/>
              </w:rPr>
            </w:pPr>
            <w:r w:rsidRPr="00FC7B7F">
              <w:t xml:space="preserve">60% of </w:t>
            </w:r>
            <w:r>
              <w:t>centre operating hours</w:t>
            </w:r>
          </w:p>
        </w:tc>
        <w:tc>
          <w:tcPr>
            <w:tcW w:w="3054" w:type="dxa"/>
            <w:tcBorders>
              <w:top w:val="nil"/>
              <w:bottom w:val="nil"/>
            </w:tcBorders>
            <w:shd w:val="clear" w:color="auto" w:fill="auto"/>
          </w:tcPr>
          <w:p w14:paraId="41BDE3D2" w14:textId="77777777" w:rsidR="002316C7" w:rsidRPr="00D126B3" w:rsidRDefault="002316C7" w:rsidP="00882158">
            <w:pPr>
              <w:pStyle w:val="TableBody"/>
              <w:keepNext/>
              <w:rPr>
                <w:color w:val="000000"/>
              </w:rPr>
            </w:pPr>
            <w:r w:rsidRPr="00FC7B7F">
              <w:t xml:space="preserve">60% of </w:t>
            </w:r>
            <w:r>
              <w:t>centre operating hours</w:t>
            </w:r>
          </w:p>
        </w:tc>
      </w:tr>
      <w:tr w:rsidR="002316C7" w:rsidRPr="00D126B3" w14:paraId="3AEEDEA5" w14:textId="77777777" w:rsidTr="00882158">
        <w:tc>
          <w:tcPr>
            <w:tcW w:w="1796" w:type="dxa"/>
            <w:vMerge/>
            <w:tcBorders>
              <w:bottom w:val="single" w:sz="4" w:space="0" w:color="B3B3B3"/>
            </w:tcBorders>
            <w:shd w:val="clear" w:color="auto" w:fill="auto"/>
          </w:tcPr>
          <w:p w14:paraId="39E06A58" w14:textId="77777777" w:rsidR="002316C7" w:rsidRPr="00D126B3" w:rsidRDefault="002316C7" w:rsidP="00882158">
            <w:pPr>
              <w:pStyle w:val="TableBody"/>
              <w:keepNext/>
            </w:pPr>
          </w:p>
        </w:tc>
        <w:tc>
          <w:tcPr>
            <w:tcW w:w="1796" w:type="dxa"/>
            <w:tcBorders>
              <w:bottom w:val="single" w:sz="4" w:space="0" w:color="B3B3B3"/>
            </w:tcBorders>
            <w:shd w:val="clear" w:color="auto" w:fill="auto"/>
          </w:tcPr>
          <w:p w14:paraId="715C7434" w14:textId="77777777" w:rsidR="002316C7" w:rsidRPr="00D126B3" w:rsidRDefault="002316C7" w:rsidP="00882158">
            <w:pPr>
              <w:pStyle w:val="TableBody"/>
              <w:keepNext/>
              <w:rPr>
                <w:color w:val="000000"/>
              </w:rPr>
            </w:pPr>
            <w:r w:rsidRPr="00FC7B7F">
              <w:t>&gt;=50</w:t>
            </w:r>
          </w:p>
        </w:tc>
        <w:tc>
          <w:tcPr>
            <w:tcW w:w="2993" w:type="dxa"/>
            <w:tcBorders>
              <w:bottom w:val="single" w:sz="4" w:space="0" w:color="B3B3B3"/>
            </w:tcBorders>
            <w:shd w:val="clear" w:color="auto" w:fill="auto"/>
          </w:tcPr>
          <w:p w14:paraId="02E2DE9D" w14:textId="77777777" w:rsidR="002316C7" w:rsidRPr="00D126B3" w:rsidRDefault="002316C7" w:rsidP="00882158">
            <w:pPr>
              <w:pStyle w:val="TableBody"/>
              <w:keepNext/>
              <w:rPr>
                <w:color w:val="000000"/>
              </w:rPr>
            </w:pPr>
            <w:r w:rsidRPr="00FC7B7F">
              <w:t>6 hours per day</w:t>
            </w:r>
          </w:p>
        </w:tc>
        <w:tc>
          <w:tcPr>
            <w:tcW w:w="3054" w:type="dxa"/>
            <w:tcBorders>
              <w:bottom w:val="single" w:sz="4" w:space="0" w:color="B3B3B3"/>
            </w:tcBorders>
            <w:shd w:val="clear" w:color="auto" w:fill="auto"/>
          </w:tcPr>
          <w:p w14:paraId="5482D9EB" w14:textId="77777777" w:rsidR="002316C7" w:rsidRPr="00D126B3" w:rsidRDefault="002316C7" w:rsidP="00882158">
            <w:pPr>
              <w:pStyle w:val="TableBody"/>
              <w:keepNext/>
              <w:rPr>
                <w:color w:val="000000"/>
              </w:rPr>
            </w:pPr>
            <w:r w:rsidRPr="00FC7B7F">
              <w:t>6 hours per day</w:t>
            </w:r>
          </w:p>
        </w:tc>
      </w:tr>
    </w:tbl>
    <w:p w14:paraId="78E03B5A" w14:textId="77777777" w:rsidR="002316C7" w:rsidRDefault="002316C7" w:rsidP="00882158">
      <w:pPr>
        <w:pStyle w:val="Note"/>
        <w:keepNext/>
      </w:pPr>
      <w:r w:rsidRPr="00C36914">
        <w:rPr>
          <w:b/>
          <w:bCs/>
        </w:rPr>
        <w:t>a.</w:t>
      </w:r>
      <w:r w:rsidRPr="00C36914">
        <w:t xml:space="preserve"> </w:t>
      </w:r>
      <w:r>
        <w:t>Centres with fewer than 25 children need only have access to an early childhood teacher (ECT), and this access need not be in person (for example, via videoconferencing is permissible).</w:t>
      </w:r>
      <w:r w:rsidRPr="00B71859">
        <w:rPr>
          <w:b/>
          <w:bCs/>
        </w:rPr>
        <w:t xml:space="preserve"> b</w:t>
      </w:r>
      <w:r>
        <w:rPr>
          <w:b/>
          <w:bCs/>
        </w:rPr>
        <w:t>.</w:t>
      </w:r>
      <w:r>
        <w:t xml:space="preserve"> This requirement can also be satisfied by employing one full</w:t>
      </w:r>
      <w:r>
        <w:noBreakHyphen/>
        <w:t xml:space="preserve">time ECT, and one part </w:t>
      </w:r>
      <w:r>
        <w:noBreakHyphen/>
        <w:t>time ECT or suitably qualified person</w:t>
      </w:r>
      <w:r w:rsidRPr="00C36914">
        <w:t>.</w:t>
      </w:r>
      <w:r>
        <w:t xml:space="preserve"> </w:t>
      </w:r>
      <w:r>
        <w:rPr>
          <w:b/>
          <w:bCs/>
        </w:rPr>
        <w:t>c</w:t>
      </w:r>
      <w:r w:rsidRPr="00B71859">
        <w:rPr>
          <w:b/>
          <w:bCs/>
        </w:rPr>
        <w:t>.</w:t>
      </w:r>
      <w:r>
        <w:t xml:space="preserve"> This requirement can also be satisfied by hiring one full</w:t>
      </w:r>
      <w:r>
        <w:noBreakHyphen/>
        <w:t>time ECT and one</w:t>
      </w:r>
      <w:r>
        <w:noBreakHyphen/>
        <w:t>full time ECT or suitably qualified person.</w:t>
      </w:r>
    </w:p>
    <w:p w14:paraId="4D51DC9D" w14:textId="77777777" w:rsidR="002316C7" w:rsidRDefault="002316C7" w:rsidP="00882158">
      <w:pPr>
        <w:pStyle w:val="Source"/>
      </w:pPr>
      <w:r w:rsidRPr="00696447">
        <w:t xml:space="preserve">Source: </w:t>
      </w:r>
      <w:r>
        <w:t xml:space="preserve">ACECQA </w:t>
      </w:r>
      <w:r w:rsidRPr="003E1D34">
        <w:rPr>
          <w:rFonts w:ascii="Arial" w:hAnsi="Arial" w:cs="Arial"/>
        </w:rPr>
        <w:t>(2023d, pp. 456–458)</w:t>
      </w:r>
      <w:r>
        <w:t>.</w:t>
      </w:r>
    </w:p>
    <w:p w14:paraId="588942AF" w14:textId="07FBB128" w:rsidR="002316C7" w:rsidRDefault="002316C7" w:rsidP="00882158">
      <w:pPr>
        <w:pStyle w:val="Heading4"/>
      </w:pPr>
      <w:r>
        <w:t>Educator</w:t>
      </w:r>
      <w:r w:rsidR="002761A5">
        <w:t>-</w:t>
      </w:r>
      <w:r>
        <w:t>to</w:t>
      </w:r>
      <w:r w:rsidR="002761A5">
        <w:t>-</w:t>
      </w:r>
      <w:r>
        <w:t>child ratios</w:t>
      </w:r>
    </w:p>
    <w:p w14:paraId="24D010A3" w14:textId="77777777" w:rsidR="002316C7" w:rsidRPr="00B15829" w:rsidRDefault="002316C7" w:rsidP="00882158">
      <w:pPr>
        <w:pStyle w:val="BodyText"/>
        <w:rPr>
          <w:spacing w:val="-2"/>
        </w:rPr>
      </w:pPr>
      <w:r w:rsidRPr="00B15829">
        <w:rPr>
          <w:spacing w:val="-2"/>
        </w:rPr>
        <w:t>The NQF established national educator</w:t>
      </w:r>
      <w:r w:rsidRPr="00B15829">
        <w:rPr>
          <w:spacing w:val="-2"/>
        </w:rPr>
        <w:noBreakHyphen/>
        <w:t>to</w:t>
      </w:r>
      <w:r w:rsidRPr="00B15829">
        <w:rPr>
          <w:spacing w:val="-2"/>
        </w:rPr>
        <w:noBreakHyphen/>
        <w:t>child ratios for long day care and preschool services, and FDC services. Although the NQF extends to children of school age, it does not include a national staff ratio for these children – individual jurisdictions have their own arrangements (table C.2). While national ratios were phased in from 2012 to 2016, some jurisdictions have retained higher standards that override the national ratios.</w:t>
      </w:r>
    </w:p>
    <w:p w14:paraId="5D1B079E" w14:textId="77777777" w:rsidR="002316C7" w:rsidRDefault="002316C7" w:rsidP="00882158">
      <w:pPr>
        <w:pStyle w:val="BodyText"/>
      </w:pPr>
      <w:r>
        <w:t xml:space="preserve">The National Regulations require ratios to be maintained at all times and there are no nationally consistent educator provisions in relation to taking breaks </w:t>
      </w:r>
      <w:r w:rsidRPr="003E1D34">
        <w:rPr>
          <w:rFonts w:ascii="Arial" w:hAnsi="Arial" w:cs="Arial"/>
        </w:rPr>
        <w:t>(ACECQA 2023d, p. 480)</w:t>
      </w:r>
      <w:r>
        <w:t xml:space="preserve">. </w:t>
      </w:r>
      <w:r w:rsidRPr="008A7F42">
        <w:t>The</w:t>
      </w:r>
      <w:r>
        <w:t xml:space="preserve"> Guide to the National Law and National Regulations states that regulatory authorities will ‘allow’ educators at centre</w:t>
      </w:r>
      <w:r>
        <w:noBreakHyphen/>
        <w:t>based services to take up to 30 minutes per day ‘off the floor’ without their position needing to be backfilled. Services must have sufficient staff available (whether full</w:t>
      </w:r>
      <w:r>
        <w:noBreakHyphen/>
        <w:t>time, part</w:t>
      </w:r>
      <w:r>
        <w:noBreakHyphen/>
        <w:t xml:space="preserve">time or casual) to fill planned or unplanned staff absences outside of this 30 minute period </w:t>
      </w:r>
      <w:r w:rsidRPr="00A4652B">
        <w:rPr>
          <w:rFonts w:ascii="Arial" w:hAnsi="Arial" w:cs="Arial"/>
          <w:szCs w:val="24"/>
        </w:rPr>
        <w:t>(ACECQA 2017b, p. 91)</w:t>
      </w:r>
      <w:r>
        <w:t>.</w:t>
      </w:r>
    </w:p>
    <w:p w14:paraId="71002065" w14:textId="77777777" w:rsidR="002316C7" w:rsidRDefault="002316C7" w:rsidP="00882158">
      <w:pPr>
        <w:pStyle w:val="BodyText"/>
      </w:pPr>
      <w:r>
        <w:t>This system of staff ratios also allows for children in older age groups to be ‘mixed’ into the ratio allocation for younger age groups, in cases where an educator has excess capacity. For example, if a service has one educator caring for three children aged 0 to 24 months, then that educator has the capacity to care for one additional child in an older age group (thereby reaching the maximum 1:4 ratio allowed for the 0</w:t>
      </w:r>
      <w:r>
        <w:noBreakHyphen/>
        <w:t>to</w:t>
      </w:r>
      <w:r>
        <w:noBreakHyphen/>
        <w:t>24</w:t>
      </w:r>
      <w:r>
        <w:noBreakHyphen/>
        <w:t xml:space="preserve">month age group) </w:t>
      </w:r>
      <w:r w:rsidRPr="003E1D34">
        <w:rPr>
          <w:rFonts w:ascii="Arial" w:hAnsi="Arial" w:cs="Arial"/>
        </w:rPr>
        <w:t>(ACECQA 2023d, p. 478)</w:t>
      </w:r>
      <w:r>
        <w:t>.</w:t>
      </w:r>
    </w:p>
    <w:p w14:paraId="2CE7C764" w14:textId="77777777" w:rsidR="002316C7" w:rsidRDefault="002316C7" w:rsidP="00882158">
      <w:pPr>
        <w:pStyle w:val="FigureTableHeading"/>
      </w:pPr>
      <w:r>
        <w:lastRenderedPageBreak/>
        <w:t xml:space="preserve">Table </w:t>
      </w:r>
      <w:r>
        <w:rPr>
          <w:noProof/>
        </w:rPr>
        <w:t>C</w:t>
      </w:r>
      <w:r>
        <w:t>.</w:t>
      </w:r>
      <w:r>
        <w:rPr>
          <w:noProof/>
        </w:rPr>
        <w:t xml:space="preserve">2 – </w:t>
      </w:r>
      <w:r>
        <w:t>Educator to child ratios – long day care and preschool</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2316C7" w:rsidRPr="00030C67" w14:paraId="61135912" w14:textId="77777777">
        <w:trPr>
          <w:tblHeader/>
        </w:trPr>
        <w:tc>
          <w:tcPr>
            <w:tcW w:w="3212" w:type="dxa"/>
            <w:tcBorders>
              <w:bottom w:val="single" w:sz="4" w:space="0" w:color="B3B3B3"/>
            </w:tcBorders>
            <w:shd w:val="clear" w:color="000000" w:fill="auto"/>
            <w:vAlign w:val="bottom"/>
          </w:tcPr>
          <w:p w14:paraId="52D9152E" w14:textId="77777777" w:rsidR="002316C7" w:rsidRPr="00030C67" w:rsidRDefault="002316C7" w:rsidP="00944505">
            <w:pPr>
              <w:pStyle w:val="TableHeading"/>
            </w:pPr>
            <w:r>
              <w:t>Age of children</w:t>
            </w:r>
          </w:p>
        </w:tc>
        <w:tc>
          <w:tcPr>
            <w:tcW w:w="3213" w:type="dxa"/>
            <w:tcBorders>
              <w:bottom w:val="single" w:sz="4" w:space="0" w:color="B3B3B3"/>
            </w:tcBorders>
            <w:shd w:val="clear" w:color="000000" w:fill="auto"/>
            <w:vAlign w:val="bottom"/>
          </w:tcPr>
          <w:p w14:paraId="6D0E54FC" w14:textId="77777777" w:rsidR="002316C7" w:rsidRPr="00030C67" w:rsidRDefault="002316C7" w:rsidP="00944505">
            <w:pPr>
              <w:pStyle w:val="TableHeading"/>
            </w:pPr>
            <w:r>
              <w:t>Educator to child ratio</w:t>
            </w:r>
          </w:p>
        </w:tc>
        <w:tc>
          <w:tcPr>
            <w:tcW w:w="3213" w:type="dxa"/>
            <w:tcBorders>
              <w:bottom w:val="single" w:sz="4" w:space="0" w:color="B3B3B3"/>
            </w:tcBorders>
            <w:shd w:val="clear" w:color="000000" w:fill="auto"/>
            <w:vAlign w:val="bottom"/>
          </w:tcPr>
          <w:p w14:paraId="59DF2821" w14:textId="77777777" w:rsidR="002316C7" w:rsidRPr="00030C67" w:rsidRDefault="002316C7" w:rsidP="00944505">
            <w:pPr>
              <w:pStyle w:val="TableHeading"/>
            </w:pPr>
            <w:r>
              <w:t>Jurisdiction</w:t>
            </w:r>
          </w:p>
        </w:tc>
      </w:tr>
      <w:tr w:rsidR="002316C7" w:rsidRPr="00030C67" w14:paraId="3C50EE9B" w14:textId="77777777">
        <w:tc>
          <w:tcPr>
            <w:tcW w:w="3212" w:type="dxa"/>
            <w:tcBorders>
              <w:top w:val="single" w:sz="4" w:space="0" w:color="B3B3B3"/>
              <w:bottom w:val="nil"/>
            </w:tcBorders>
            <w:shd w:val="clear" w:color="000000" w:fill="F2F2F2"/>
          </w:tcPr>
          <w:p w14:paraId="3E4CF4A3" w14:textId="77777777" w:rsidR="002316C7" w:rsidRPr="00030C67" w:rsidRDefault="002316C7" w:rsidP="00882158">
            <w:pPr>
              <w:pStyle w:val="TableBody"/>
              <w:keepNext/>
            </w:pPr>
            <w:r>
              <w:t>Birth to 24 months</w:t>
            </w:r>
          </w:p>
        </w:tc>
        <w:tc>
          <w:tcPr>
            <w:tcW w:w="3213" w:type="dxa"/>
            <w:tcBorders>
              <w:top w:val="single" w:sz="4" w:space="0" w:color="B3B3B3"/>
              <w:bottom w:val="nil"/>
            </w:tcBorders>
            <w:shd w:val="clear" w:color="000000" w:fill="F2F2F2"/>
          </w:tcPr>
          <w:p w14:paraId="2951D6AD" w14:textId="77777777" w:rsidR="002316C7" w:rsidRPr="00650FF2" w:rsidRDefault="002316C7" w:rsidP="00882158">
            <w:pPr>
              <w:pStyle w:val="TableBody"/>
              <w:keepNext/>
              <w:jc w:val="both"/>
            </w:pPr>
            <w:r w:rsidRPr="00650FF2">
              <w:t>1:4</w:t>
            </w:r>
          </w:p>
        </w:tc>
        <w:tc>
          <w:tcPr>
            <w:tcW w:w="3213" w:type="dxa"/>
            <w:tcBorders>
              <w:top w:val="single" w:sz="4" w:space="0" w:color="B3B3B3"/>
              <w:bottom w:val="nil"/>
            </w:tcBorders>
            <w:shd w:val="clear" w:color="000000" w:fill="F2F2F2"/>
          </w:tcPr>
          <w:p w14:paraId="43A56CEF" w14:textId="77777777" w:rsidR="002316C7" w:rsidRPr="00650FF2" w:rsidRDefault="002316C7" w:rsidP="00882158">
            <w:pPr>
              <w:pStyle w:val="TableBody"/>
              <w:keepNext/>
            </w:pPr>
            <w:r w:rsidRPr="00650FF2">
              <w:t>All states and territories</w:t>
            </w:r>
          </w:p>
        </w:tc>
      </w:tr>
      <w:tr w:rsidR="002316C7" w:rsidRPr="00030C67" w14:paraId="440832C0" w14:textId="77777777">
        <w:tc>
          <w:tcPr>
            <w:tcW w:w="3212" w:type="dxa"/>
            <w:vMerge w:val="restart"/>
            <w:tcBorders>
              <w:top w:val="nil"/>
            </w:tcBorders>
            <w:shd w:val="clear" w:color="000000" w:fill="auto"/>
          </w:tcPr>
          <w:p w14:paraId="07DE8BBA" w14:textId="77777777" w:rsidR="002316C7" w:rsidRPr="000E2DD2" w:rsidRDefault="002316C7" w:rsidP="00882158">
            <w:pPr>
              <w:pStyle w:val="TableBody"/>
              <w:keepNext/>
            </w:pPr>
            <w:r w:rsidRPr="000E2DD2">
              <w:t>Over 24 months and less than 36 months</w:t>
            </w:r>
          </w:p>
        </w:tc>
        <w:tc>
          <w:tcPr>
            <w:tcW w:w="3213" w:type="dxa"/>
            <w:tcBorders>
              <w:top w:val="nil"/>
              <w:bottom w:val="nil"/>
            </w:tcBorders>
            <w:shd w:val="clear" w:color="000000" w:fill="auto"/>
          </w:tcPr>
          <w:p w14:paraId="7FA302C2" w14:textId="77777777" w:rsidR="002316C7" w:rsidRPr="00650FF2" w:rsidRDefault="002316C7" w:rsidP="00882158">
            <w:pPr>
              <w:pStyle w:val="TableBody"/>
              <w:keepNext/>
              <w:jc w:val="both"/>
            </w:pPr>
            <w:r w:rsidRPr="00650FF2">
              <w:t>1:5</w:t>
            </w:r>
          </w:p>
        </w:tc>
        <w:tc>
          <w:tcPr>
            <w:tcW w:w="3213" w:type="dxa"/>
            <w:tcBorders>
              <w:top w:val="nil"/>
              <w:bottom w:val="nil"/>
            </w:tcBorders>
            <w:shd w:val="clear" w:color="000000" w:fill="auto"/>
          </w:tcPr>
          <w:p w14:paraId="2BADC26A" w14:textId="77777777" w:rsidR="002316C7" w:rsidRPr="00650FF2" w:rsidRDefault="002316C7" w:rsidP="00882158">
            <w:pPr>
              <w:pStyle w:val="TableBody"/>
              <w:keepNext/>
            </w:pPr>
            <w:r w:rsidRPr="00650FF2">
              <w:t>All states and territories excluding VIC</w:t>
            </w:r>
          </w:p>
        </w:tc>
      </w:tr>
      <w:tr w:rsidR="002316C7" w:rsidRPr="00030C67" w14:paraId="0A5E1AA6" w14:textId="77777777">
        <w:tc>
          <w:tcPr>
            <w:tcW w:w="3212" w:type="dxa"/>
            <w:vMerge/>
            <w:tcBorders>
              <w:bottom w:val="nil"/>
            </w:tcBorders>
            <w:shd w:val="clear" w:color="000000" w:fill="auto"/>
          </w:tcPr>
          <w:p w14:paraId="098FCC37" w14:textId="77777777" w:rsidR="002316C7" w:rsidRPr="000E2DD2" w:rsidRDefault="002316C7" w:rsidP="00882158">
            <w:pPr>
              <w:pStyle w:val="TableBody"/>
              <w:keepNext/>
            </w:pPr>
          </w:p>
        </w:tc>
        <w:tc>
          <w:tcPr>
            <w:tcW w:w="3213" w:type="dxa"/>
            <w:tcBorders>
              <w:top w:val="nil"/>
              <w:bottom w:val="nil"/>
            </w:tcBorders>
            <w:shd w:val="clear" w:color="000000" w:fill="auto"/>
          </w:tcPr>
          <w:p w14:paraId="6C9A1300" w14:textId="77777777" w:rsidR="002316C7" w:rsidRPr="00650FF2" w:rsidRDefault="002316C7" w:rsidP="00882158">
            <w:pPr>
              <w:pStyle w:val="TableBody"/>
              <w:keepNext/>
              <w:jc w:val="both"/>
            </w:pPr>
            <w:r w:rsidRPr="00650FF2">
              <w:t>1:4</w:t>
            </w:r>
          </w:p>
        </w:tc>
        <w:tc>
          <w:tcPr>
            <w:tcW w:w="3213" w:type="dxa"/>
            <w:tcBorders>
              <w:top w:val="nil"/>
              <w:bottom w:val="nil"/>
            </w:tcBorders>
            <w:shd w:val="clear" w:color="000000" w:fill="auto"/>
          </w:tcPr>
          <w:p w14:paraId="6DD7C99A" w14:textId="77777777" w:rsidR="002316C7" w:rsidRPr="00650FF2" w:rsidRDefault="002316C7" w:rsidP="00882158">
            <w:pPr>
              <w:pStyle w:val="TableBody"/>
              <w:keepNext/>
            </w:pPr>
            <w:r w:rsidRPr="00650FF2">
              <w:t>VIC</w:t>
            </w:r>
          </w:p>
        </w:tc>
      </w:tr>
      <w:tr w:rsidR="002316C7" w:rsidRPr="00030C67" w14:paraId="42E2444E" w14:textId="77777777" w:rsidTr="00882158">
        <w:tc>
          <w:tcPr>
            <w:tcW w:w="3212" w:type="dxa"/>
            <w:vMerge w:val="restart"/>
            <w:tcBorders>
              <w:top w:val="nil"/>
            </w:tcBorders>
            <w:shd w:val="clear" w:color="auto" w:fill="F2F2F2" w:themeFill="background1" w:themeFillShade="F2"/>
          </w:tcPr>
          <w:p w14:paraId="573115F7" w14:textId="77777777" w:rsidR="002316C7" w:rsidRPr="00270F41" w:rsidRDefault="002316C7" w:rsidP="00882158">
            <w:pPr>
              <w:pStyle w:val="TableBody"/>
              <w:keepNext/>
            </w:pPr>
            <w:r w:rsidRPr="00270F41">
              <w:t>36 months up to and including preschool age</w:t>
            </w:r>
          </w:p>
        </w:tc>
        <w:tc>
          <w:tcPr>
            <w:tcW w:w="3213" w:type="dxa"/>
            <w:tcBorders>
              <w:top w:val="nil"/>
              <w:bottom w:val="nil"/>
            </w:tcBorders>
            <w:shd w:val="clear" w:color="auto" w:fill="F2F2F2" w:themeFill="background1" w:themeFillShade="F2"/>
          </w:tcPr>
          <w:p w14:paraId="11247F66" w14:textId="77777777" w:rsidR="002316C7" w:rsidRPr="00650FF2" w:rsidRDefault="002316C7" w:rsidP="00882158">
            <w:pPr>
              <w:pStyle w:val="TableBody"/>
              <w:keepNext/>
              <w:jc w:val="both"/>
            </w:pPr>
            <w:r w:rsidRPr="00650FF2">
              <w:t>1:11</w:t>
            </w:r>
          </w:p>
        </w:tc>
        <w:tc>
          <w:tcPr>
            <w:tcW w:w="3213" w:type="dxa"/>
            <w:tcBorders>
              <w:top w:val="nil"/>
              <w:bottom w:val="nil"/>
            </w:tcBorders>
            <w:shd w:val="clear" w:color="auto" w:fill="F2F2F2" w:themeFill="background1" w:themeFillShade="F2"/>
          </w:tcPr>
          <w:p w14:paraId="4038174A" w14:textId="77777777" w:rsidR="002316C7" w:rsidRPr="00650FF2" w:rsidRDefault="002316C7" w:rsidP="00882158">
            <w:pPr>
              <w:pStyle w:val="TableBody"/>
              <w:keepNext/>
            </w:pPr>
            <w:r w:rsidRPr="00650FF2">
              <w:t>ACT, NT, QLD, SA, VIC</w:t>
            </w:r>
          </w:p>
        </w:tc>
      </w:tr>
      <w:tr w:rsidR="002316C7" w:rsidRPr="00030C67" w14:paraId="62FE05F1" w14:textId="77777777" w:rsidTr="00882158">
        <w:tc>
          <w:tcPr>
            <w:tcW w:w="3212" w:type="dxa"/>
            <w:vMerge/>
            <w:shd w:val="clear" w:color="auto" w:fill="F2F2F2" w:themeFill="background1" w:themeFillShade="F2"/>
          </w:tcPr>
          <w:p w14:paraId="7D6336AE" w14:textId="77777777" w:rsidR="002316C7" w:rsidRPr="000E2DD2" w:rsidRDefault="002316C7" w:rsidP="00882158">
            <w:pPr>
              <w:pStyle w:val="TableBody"/>
              <w:keepNext/>
            </w:pPr>
          </w:p>
        </w:tc>
        <w:tc>
          <w:tcPr>
            <w:tcW w:w="3213" w:type="dxa"/>
            <w:tcBorders>
              <w:top w:val="nil"/>
              <w:bottom w:val="nil"/>
            </w:tcBorders>
            <w:shd w:val="clear" w:color="auto" w:fill="F2F2F2" w:themeFill="background1" w:themeFillShade="F2"/>
          </w:tcPr>
          <w:p w14:paraId="6235A2F3" w14:textId="77777777" w:rsidR="002316C7" w:rsidRPr="00650FF2" w:rsidRDefault="002316C7" w:rsidP="00882158">
            <w:pPr>
              <w:pStyle w:val="TableBody"/>
              <w:keepNext/>
              <w:jc w:val="both"/>
            </w:pPr>
            <w:r w:rsidRPr="00650FF2">
              <w:t>1:10</w:t>
            </w:r>
          </w:p>
        </w:tc>
        <w:tc>
          <w:tcPr>
            <w:tcW w:w="3213" w:type="dxa"/>
            <w:tcBorders>
              <w:top w:val="nil"/>
              <w:bottom w:val="nil"/>
            </w:tcBorders>
            <w:shd w:val="clear" w:color="auto" w:fill="F2F2F2" w:themeFill="background1" w:themeFillShade="F2"/>
          </w:tcPr>
          <w:p w14:paraId="3EB93A4A" w14:textId="77777777" w:rsidR="002316C7" w:rsidRPr="00650FF2" w:rsidRDefault="002316C7" w:rsidP="00882158">
            <w:pPr>
              <w:pStyle w:val="TableBody"/>
              <w:keepNext/>
            </w:pPr>
            <w:r w:rsidRPr="00650FF2">
              <w:t>NSW</w:t>
            </w:r>
            <w:r>
              <w:t>, TAS, WA</w:t>
            </w:r>
          </w:p>
        </w:tc>
      </w:tr>
      <w:tr w:rsidR="002316C7" w:rsidRPr="00030C67" w14:paraId="4D712399" w14:textId="77777777" w:rsidTr="00B15829">
        <w:tc>
          <w:tcPr>
            <w:tcW w:w="3212" w:type="dxa"/>
            <w:vMerge/>
            <w:tcBorders>
              <w:bottom w:val="nil"/>
            </w:tcBorders>
            <w:shd w:val="clear" w:color="auto" w:fill="F2F2F2" w:themeFill="background1" w:themeFillShade="F2"/>
          </w:tcPr>
          <w:p w14:paraId="4636DF51" w14:textId="77777777" w:rsidR="002316C7" w:rsidRPr="000E2DD2" w:rsidRDefault="002316C7" w:rsidP="00882158">
            <w:pPr>
              <w:pStyle w:val="TableBody"/>
              <w:keepNext/>
            </w:pPr>
          </w:p>
        </w:tc>
        <w:tc>
          <w:tcPr>
            <w:tcW w:w="3213" w:type="dxa"/>
            <w:tcBorders>
              <w:top w:val="nil"/>
              <w:bottom w:val="nil"/>
            </w:tcBorders>
            <w:shd w:val="clear" w:color="auto" w:fill="F2F2F2" w:themeFill="background1" w:themeFillShade="F2"/>
          </w:tcPr>
          <w:p w14:paraId="42220E6D" w14:textId="77777777" w:rsidR="002316C7" w:rsidRPr="00650FF2" w:rsidRDefault="002316C7" w:rsidP="00882158">
            <w:pPr>
              <w:pStyle w:val="TableBody"/>
              <w:keepNext/>
              <w:jc w:val="both"/>
            </w:pPr>
            <w:r w:rsidRPr="00650FF2">
              <w:t>2:25</w:t>
            </w:r>
            <w:r w:rsidRPr="006F47D8">
              <w:rPr>
                <w:sz w:val="22"/>
                <w:szCs w:val="24"/>
                <w:vertAlign w:val="superscript"/>
              </w:rPr>
              <w:t>a</w:t>
            </w:r>
          </w:p>
        </w:tc>
        <w:tc>
          <w:tcPr>
            <w:tcW w:w="3213" w:type="dxa"/>
            <w:tcBorders>
              <w:top w:val="nil"/>
              <w:bottom w:val="nil"/>
            </w:tcBorders>
            <w:shd w:val="clear" w:color="auto" w:fill="F2F2F2" w:themeFill="background1" w:themeFillShade="F2"/>
          </w:tcPr>
          <w:p w14:paraId="2F9049EF" w14:textId="77777777" w:rsidR="002316C7" w:rsidRPr="00650FF2" w:rsidRDefault="002316C7" w:rsidP="00882158">
            <w:pPr>
              <w:pStyle w:val="TableBody"/>
              <w:keepNext/>
            </w:pPr>
            <w:r w:rsidRPr="00650FF2" w:rsidDel="00564AF8">
              <w:t>TAS</w:t>
            </w:r>
          </w:p>
        </w:tc>
      </w:tr>
      <w:tr w:rsidR="002316C7" w:rsidRPr="00030C67" w14:paraId="73022C13" w14:textId="77777777" w:rsidTr="00B15829">
        <w:tc>
          <w:tcPr>
            <w:tcW w:w="3212" w:type="dxa"/>
            <w:vMerge w:val="restart"/>
            <w:tcBorders>
              <w:top w:val="nil"/>
              <w:bottom w:val="nil"/>
            </w:tcBorders>
            <w:shd w:val="clear" w:color="000000" w:fill="auto"/>
          </w:tcPr>
          <w:p w14:paraId="086F9341" w14:textId="77777777" w:rsidR="002316C7" w:rsidRPr="00F80ED4" w:rsidRDefault="002316C7" w:rsidP="00882158">
            <w:pPr>
              <w:pStyle w:val="TableBody"/>
              <w:keepNext/>
            </w:pPr>
            <w:r w:rsidRPr="00F80ED4">
              <w:t>Over preschool age</w:t>
            </w:r>
          </w:p>
        </w:tc>
        <w:tc>
          <w:tcPr>
            <w:tcW w:w="3213" w:type="dxa"/>
            <w:tcBorders>
              <w:top w:val="nil"/>
              <w:bottom w:val="nil"/>
            </w:tcBorders>
            <w:shd w:val="clear" w:color="000000" w:fill="auto"/>
          </w:tcPr>
          <w:p w14:paraId="3B70E2F4" w14:textId="77777777" w:rsidR="002316C7" w:rsidRPr="00650FF2" w:rsidRDefault="002316C7" w:rsidP="00882158">
            <w:pPr>
              <w:pStyle w:val="TableBody"/>
              <w:keepNext/>
              <w:jc w:val="both"/>
            </w:pPr>
            <w:r w:rsidRPr="00650FF2">
              <w:t>1:15</w:t>
            </w:r>
          </w:p>
        </w:tc>
        <w:tc>
          <w:tcPr>
            <w:tcW w:w="3213" w:type="dxa"/>
            <w:tcBorders>
              <w:top w:val="nil"/>
              <w:bottom w:val="nil"/>
            </w:tcBorders>
            <w:shd w:val="clear" w:color="000000" w:fill="auto"/>
          </w:tcPr>
          <w:p w14:paraId="74BF8946" w14:textId="77777777" w:rsidR="002316C7" w:rsidRPr="00650FF2" w:rsidRDefault="002316C7" w:rsidP="00882158">
            <w:pPr>
              <w:pStyle w:val="TableBody"/>
              <w:keepNext/>
            </w:pPr>
            <w:r w:rsidRPr="00650FF2">
              <w:t>NT, QLD, SA, TAS, VIC, NSW</w:t>
            </w:r>
          </w:p>
        </w:tc>
      </w:tr>
      <w:tr w:rsidR="002316C7" w:rsidRPr="00030C67" w14:paraId="6CFDB32F" w14:textId="77777777" w:rsidTr="00B15829">
        <w:tc>
          <w:tcPr>
            <w:tcW w:w="3212" w:type="dxa"/>
            <w:vMerge/>
            <w:tcBorders>
              <w:bottom w:val="nil"/>
            </w:tcBorders>
            <w:shd w:val="clear" w:color="000000" w:fill="auto"/>
          </w:tcPr>
          <w:p w14:paraId="3561D99A" w14:textId="77777777" w:rsidR="002316C7" w:rsidRPr="000E2DD2" w:rsidRDefault="002316C7" w:rsidP="00882158">
            <w:pPr>
              <w:pStyle w:val="TableBody"/>
              <w:keepNext/>
            </w:pPr>
          </w:p>
        </w:tc>
        <w:tc>
          <w:tcPr>
            <w:tcW w:w="3213" w:type="dxa"/>
            <w:tcBorders>
              <w:top w:val="nil"/>
              <w:bottom w:val="nil"/>
            </w:tcBorders>
            <w:shd w:val="clear" w:color="000000" w:fill="auto"/>
          </w:tcPr>
          <w:p w14:paraId="05E5B6CD" w14:textId="77777777" w:rsidR="002316C7" w:rsidRPr="00650FF2" w:rsidRDefault="002316C7" w:rsidP="00882158">
            <w:pPr>
              <w:pStyle w:val="TableBody"/>
              <w:keepNext/>
              <w:jc w:val="both"/>
            </w:pPr>
            <w:r w:rsidRPr="00650FF2">
              <w:t>1:11</w:t>
            </w:r>
          </w:p>
        </w:tc>
        <w:tc>
          <w:tcPr>
            <w:tcW w:w="3213" w:type="dxa"/>
            <w:tcBorders>
              <w:top w:val="nil"/>
              <w:bottom w:val="nil"/>
            </w:tcBorders>
            <w:shd w:val="clear" w:color="000000" w:fill="auto"/>
          </w:tcPr>
          <w:p w14:paraId="58A27F62" w14:textId="77777777" w:rsidR="002316C7" w:rsidRPr="00650FF2" w:rsidRDefault="002316C7" w:rsidP="00882158">
            <w:pPr>
              <w:pStyle w:val="TableBody"/>
              <w:keepNext/>
            </w:pPr>
            <w:r w:rsidRPr="00650FF2">
              <w:t>ACT</w:t>
            </w:r>
          </w:p>
        </w:tc>
      </w:tr>
      <w:tr w:rsidR="002316C7" w:rsidRPr="00030C67" w14:paraId="68991B32" w14:textId="77777777" w:rsidTr="00B15829">
        <w:tc>
          <w:tcPr>
            <w:tcW w:w="3212" w:type="dxa"/>
            <w:vMerge/>
            <w:tcBorders>
              <w:bottom w:val="single" w:sz="4" w:space="0" w:color="BFBFBF" w:themeColor="background1" w:themeShade="BF"/>
            </w:tcBorders>
            <w:shd w:val="clear" w:color="000000" w:fill="auto"/>
          </w:tcPr>
          <w:p w14:paraId="5BCFF115" w14:textId="77777777" w:rsidR="002316C7" w:rsidRPr="000E2DD2" w:rsidRDefault="002316C7" w:rsidP="00882158">
            <w:pPr>
              <w:pStyle w:val="TableBody"/>
              <w:keepNext/>
            </w:pPr>
          </w:p>
        </w:tc>
        <w:tc>
          <w:tcPr>
            <w:tcW w:w="3213" w:type="dxa"/>
            <w:tcBorders>
              <w:top w:val="nil"/>
              <w:bottom w:val="single" w:sz="4" w:space="0" w:color="BFBFBF" w:themeColor="background1" w:themeShade="BF"/>
            </w:tcBorders>
            <w:shd w:val="clear" w:color="000000" w:fill="auto"/>
          </w:tcPr>
          <w:p w14:paraId="536098C1" w14:textId="77777777" w:rsidR="002316C7" w:rsidRDefault="002316C7" w:rsidP="00882158">
            <w:pPr>
              <w:pStyle w:val="TableBody"/>
              <w:keepNext/>
              <w:jc w:val="both"/>
            </w:pPr>
            <w:r w:rsidRPr="00650FF2">
              <w:t>If no Kindergarten children present</w:t>
            </w:r>
            <w:r>
              <w:t>:</w:t>
            </w:r>
          </w:p>
          <w:p w14:paraId="3BD1140F" w14:textId="77777777" w:rsidR="002316C7" w:rsidRPr="00650FF2" w:rsidRDefault="002316C7" w:rsidP="00882158">
            <w:pPr>
              <w:pStyle w:val="TableBody"/>
              <w:keepNext/>
              <w:jc w:val="both"/>
            </w:pPr>
            <w:r w:rsidRPr="00650FF2">
              <w:t>1:10 for first</w:t>
            </w:r>
            <w:r>
              <w:t> </w:t>
            </w:r>
            <w:r w:rsidRPr="00650FF2">
              <w:t>12 children</w:t>
            </w:r>
            <w:r>
              <w:t xml:space="preserve"> </w:t>
            </w:r>
            <w:r w:rsidRPr="00650FF2">
              <w:t>then 1:13</w:t>
            </w:r>
          </w:p>
        </w:tc>
        <w:tc>
          <w:tcPr>
            <w:tcW w:w="3213" w:type="dxa"/>
            <w:tcBorders>
              <w:top w:val="nil"/>
              <w:bottom w:val="single" w:sz="4" w:space="0" w:color="BFBFBF" w:themeColor="background1" w:themeShade="BF"/>
            </w:tcBorders>
            <w:shd w:val="clear" w:color="000000" w:fill="auto"/>
          </w:tcPr>
          <w:p w14:paraId="5EFB4529" w14:textId="77777777" w:rsidR="002316C7" w:rsidRPr="00650FF2" w:rsidRDefault="002316C7" w:rsidP="00882158">
            <w:pPr>
              <w:pStyle w:val="TableBody"/>
              <w:keepNext/>
            </w:pPr>
            <w:r w:rsidRPr="00650FF2">
              <w:t>WA</w:t>
            </w:r>
          </w:p>
        </w:tc>
      </w:tr>
    </w:tbl>
    <w:p w14:paraId="54B53D2E" w14:textId="77777777" w:rsidR="002316C7" w:rsidRDefault="002316C7">
      <w:pPr>
        <w:pStyle w:val="Note"/>
      </w:pPr>
      <w:r w:rsidRPr="00C36914">
        <w:rPr>
          <w:b/>
          <w:bCs/>
        </w:rPr>
        <w:t>a.</w:t>
      </w:r>
      <w:r w:rsidRPr="00C36914">
        <w:t xml:space="preserve"> </w:t>
      </w:r>
      <w:r>
        <w:t>F</w:t>
      </w:r>
      <w:r w:rsidRPr="00895B3F">
        <w:t>or children attending a preschool program</w:t>
      </w:r>
      <w:r>
        <w:t>.</w:t>
      </w:r>
    </w:p>
    <w:p w14:paraId="47F8FCC1" w14:textId="77777777" w:rsidR="002316C7" w:rsidRDefault="002316C7" w:rsidP="00882158">
      <w:pPr>
        <w:pStyle w:val="Source"/>
      </w:pPr>
      <w:r w:rsidRPr="00696447">
        <w:t xml:space="preserve">Source: </w:t>
      </w:r>
      <w:r>
        <w:t xml:space="preserve">ACECQA </w:t>
      </w:r>
      <w:r w:rsidRPr="0093543C">
        <w:rPr>
          <w:rFonts w:ascii="Arial" w:hAnsi="Arial" w:cs="Arial"/>
        </w:rPr>
        <w:t>(2017a)</w:t>
      </w:r>
      <w:r w:rsidRPr="00696447">
        <w:t>.</w:t>
      </w:r>
    </w:p>
    <w:p w14:paraId="3605594C" w14:textId="77777777" w:rsidR="002316C7" w:rsidRDefault="002316C7" w:rsidP="00882158">
      <w:pPr>
        <w:pStyle w:val="Heading5"/>
      </w:pPr>
      <w:r>
        <w:t>Family day care</w:t>
      </w:r>
    </w:p>
    <w:p w14:paraId="063F82A4" w14:textId="77777777" w:rsidR="002316C7" w:rsidRDefault="002316C7" w:rsidP="00882158">
      <w:pPr>
        <w:pStyle w:val="BodyText"/>
      </w:pPr>
      <w:r>
        <w:t xml:space="preserve">Family day care facilities are limited to a ratio of seven children to one educator, with no more than four being preschool age or under. If the educator’s own children (under 13 years old) are present, then they are counted in the total </w:t>
      </w:r>
      <w:r w:rsidRPr="005E0A35">
        <w:rPr>
          <w:rFonts w:ascii="Arial" w:hAnsi="Arial" w:cs="Arial"/>
          <w:szCs w:val="24"/>
        </w:rPr>
        <w:t>(ACECQA 2017a)</w:t>
      </w:r>
      <w:r>
        <w:t>.</w:t>
      </w:r>
    </w:p>
    <w:p w14:paraId="4D8392BD" w14:textId="77777777" w:rsidR="002316C7" w:rsidRDefault="002316C7" w:rsidP="00882158">
      <w:pPr>
        <w:pStyle w:val="BodyText"/>
      </w:pPr>
      <w:r>
        <w:t>However, one educator can care for more than seven children (or more than four children preschool age or under) where:</w:t>
      </w:r>
    </w:p>
    <w:p w14:paraId="4BA1293D" w14:textId="77777777" w:rsidR="002316C7" w:rsidRPr="00B905A8" w:rsidRDefault="002316C7" w:rsidP="00882158">
      <w:pPr>
        <w:pStyle w:val="ListBullet"/>
      </w:pPr>
      <w:r w:rsidRPr="00B905A8">
        <w:t>all the children being cared for are siblings in the same family, or</w:t>
      </w:r>
    </w:p>
    <w:p w14:paraId="00B7D511" w14:textId="77777777" w:rsidR="002316C7" w:rsidRPr="00B905A8" w:rsidRDefault="002316C7" w:rsidP="00882158">
      <w:pPr>
        <w:pStyle w:val="ListBullet"/>
      </w:pPr>
      <w:r w:rsidRPr="00B905A8">
        <w:t>a child is in need of protection under child protection law and the family day care educator is the best person to educate and care for the child, or</w:t>
      </w:r>
    </w:p>
    <w:p w14:paraId="2775A0BA" w14:textId="77777777" w:rsidR="002316C7" w:rsidRPr="00B905A8" w:rsidRDefault="002316C7" w:rsidP="00882158">
      <w:pPr>
        <w:pStyle w:val="ListBullet"/>
      </w:pPr>
      <w:r w:rsidRPr="00B905A8">
        <w:t>the family day care residence or approved family day care venue is in a rural or remote location and no alternative care is available (ACECQA 2023d, p. 480).</w:t>
      </w:r>
    </w:p>
    <w:p w14:paraId="66A3D836" w14:textId="77777777" w:rsidR="002316C7" w:rsidRDefault="002316C7" w:rsidP="00882158">
      <w:pPr>
        <w:pStyle w:val="Heading3"/>
      </w:pPr>
      <w:r>
        <w:t>Waivers</w:t>
      </w:r>
    </w:p>
    <w:p w14:paraId="36AA7063" w14:textId="77777777" w:rsidR="002316C7" w:rsidRDefault="002316C7" w:rsidP="00882158">
      <w:pPr>
        <w:pStyle w:val="BodyText"/>
      </w:pPr>
      <w:r>
        <w:t xml:space="preserve">A service may apply to receive a waiver exempting it from certain requirements in the National Regulations where an issue is likely to be either temporary (fixable within 12 months), or ongoing (also known as a service waiver). A service may apply for one or more waivers for it to be exempted from requirements relating to the service’s physical environment (including requirements regarding fencing, indoor or outdoor space, ventilation and glass) and/or staffing arrangements (including educator–child ratios and educator qualifications) </w:t>
      </w:r>
      <w:r w:rsidRPr="003E1D34">
        <w:rPr>
          <w:rFonts w:ascii="Arial" w:hAnsi="Arial" w:cs="Arial"/>
        </w:rPr>
        <w:t>(ACECQA 2023d, pp. 61–62)</w:t>
      </w:r>
      <w:r>
        <w:t>.</w:t>
      </w:r>
    </w:p>
    <w:p w14:paraId="43A6632D" w14:textId="77777777" w:rsidR="002316C7" w:rsidRPr="00000FEA" w:rsidRDefault="002316C7" w:rsidP="00882158">
      <w:pPr>
        <w:pStyle w:val="BodyText"/>
      </w:pPr>
      <w:r>
        <w:t>As of April 2024, 72% of waivers were temporary and 28% were service waivers. A total of 1865 services had active waivers, accounting for about 11% of approved services (Productivity Commission estimates using ACECQA data (unpublished))</w:t>
      </w:r>
      <w:r w:rsidRPr="00F16E0C">
        <w:t>.</w:t>
      </w:r>
      <w:r>
        <w:t xml:space="preserve"> </w:t>
      </w:r>
      <w:r w:rsidRPr="00170254">
        <w:t xml:space="preserve">Across the country, </w:t>
      </w:r>
      <w:r>
        <w:t>Western Australia</w:t>
      </w:r>
      <w:r w:rsidRPr="00170254">
        <w:t xml:space="preserve">, </w:t>
      </w:r>
      <w:r>
        <w:t>South Australia</w:t>
      </w:r>
      <w:r w:rsidRPr="00170254">
        <w:t xml:space="preserve"> and New South Wales had higher rates of waiver use (figure C.2). Of waiver types, waivers for staffing dominate (figure C.3), but the gap between waiver types is less pronounced in higher</w:t>
      </w:r>
      <w:r w:rsidRPr="00170254">
        <w:noBreakHyphen/>
        <w:t>income areas (figure C.4). Long day care services dominate staffing waivers (figure C.5). About 1</w:t>
      </w:r>
      <w:r>
        <w:t>5</w:t>
      </w:r>
      <w:r w:rsidRPr="00170254">
        <w:t>% of private for</w:t>
      </w:r>
      <w:r w:rsidRPr="00170254">
        <w:noBreakHyphen/>
        <w:t>profit services use a waiver of some sort (figure C.6) – a considerably higher proportion than for other provider types.</w:t>
      </w:r>
    </w:p>
    <w:p w14:paraId="61378DB0" w14:textId="77777777" w:rsidR="002316C7" w:rsidRDefault="002316C7" w:rsidP="00882158">
      <w:pPr>
        <w:pStyle w:val="FigureTableHeading"/>
      </w:pPr>
      <w:bookmarkStart w:id="14" w:name="_Ref140736657"/>
      <w:r>
        <w:lastRenderedPageBreak/>
        <w:t xml:space="preserve">Figure </w:t>
      </w:r>
      <w:r>
        <w:rPr>
          <w:noProof/>
        </w:rPr>
        <w:t>C</w:t>
      </w:r>
      <w:r>
        <w:t>.</w:t>
      </w:r>
      <w:r>
        <w:rPr>
          <w:noProof/>
        </w:rPr>
        <w:t>2</w:t>
      </w:r>
      <w:bookmarkEnd w:id="14"/>
      <w:r>
        <w:rPr>
          <w:noProof/>
        </w:rPr>
        <w:t xml:space="preserve"> </w:t>
      </w:r>
      <w:r>
        <w:t>– U</w:t>
      </w:r>
      <w:r w:rsidRPr="005074B8">
        <w:t>se of waivers varies across jurisdictions</w:t>
      </w:r>
    </w:p>
    <w:p w14:paraId="2B4378B3" w14:textId="77777777" w:rsidR="002316C7" w:rsidRDefault="002316C7" w:rsidP="00882158">
      <w:pPr>
        <w:pStyle w:val="FigureTableSubheading"/>
        <w:keepLines/>
      </w:pPr>
      <w:r>
        <w:t>Percentage of all services with at least one waiver, by jurisdiction, April 2024</w:t>
      </w:r>
    </w:p>
    <w:p w14:paraId="567A23BF" w14:textId="77777777" w:rsidR="002316C7" w:rsidRPr="005550A0" w:rsidRDefault="002316C7" w:rsidP="00882158">
      <w:pPr>
        <w:pStyle w:val="BodyText"/>
      </w:pPr>
      <w:r w:rsidRPr="008E3C6A">
        <w:rPr>
          <w:noProof/>
        </w:rPr>
        <w:drawing>
          <wp:inline distT="0" distB="0" distL="0" distR="0" wp14:anchorId="71AF5812" wp14:editId="6ED298FC">
            <wp:extent cx="6120000" cy="2743200"/>
            <wp:effectExtent l="0" t="0" r="0" b="0"/>
            <wp:docPr id="155410782" name="Chart 1" descr="Figure C.2 – This is a bar chart that shows the percentage of all ECEC services with at least one waiver, by state and territory. WA has the highest at about 18% of all services, and Victoria has the lowest at about 4% of services. The national rate is about 12%.">
              <a:extLst xmlns:a="http://schemas.openxmlformats.org/drawingml/2006/main">
                <a:ext uri="{FF2B5EF4-FFF2-40B4-BE49-F238E27FC236}">
                  <a16:creationId xmlns:a16="http://schemas.microsoft.com/office/drawing/2014/main" id="{F28F532B-96C2-47B0-8320-375B63096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BA437C" w14:textId="77777777" w:rsidR="002316C7" w:rsidRDefault="002316C7" w:rsidP="00882158">
      <w:pPr>
        <w:pStyle w:val="Source"/>
      </w:pPr>
      <w:r>
        <w:t>S</w:t>
      </w:r>
      <w:r w:rsidRPr="002D23CF">
        <w:t xml:space="preserve">ource: </w:t>
      </w:r>
      <w:r>
        <w:t xml:space="preserve">Productivity Commission estimates using </w:t>
      </w:r>
      <w:r w:rsidRPr="002D23CF">
        <w:t>ACECQA</w:t>
      </w:r>
      <w:r>
        <w:t xml:space="preserve"> data </w:t>
      </w:r>
      <w:r w:rsidRPr="00E2256F">
        <w:rPr>
          <w:rFonts w:ascii="Arial" w:hAnsi="Arial" w:cs="Arial"/>
        </w:rPr>
        <w:t>(2024a)</w:t>
      </w:r>
      <w:r w:rsidRPr="002D23CF">
        <w:t>.</w:t>
      </w:r>
    </w:p>
    <w:p w14:paraId="52BBB181" w14:textId="77777777" w:rsidR="002316C7" w:rsidRDefault="002316C7">
      <w:pPr>
        <w:pStyle w:val="FigureTableHeading"/>
      </w:pPr>
      <w:bookmarkStart w:id="15" w:name="_Ref140736626"/>
      <w:r>
        <w:t xml:space="preserve">Figure </w:t>
      </w:r>
      <w:r>
        <w:rPr>
          <w:noProof/>
        </w:rPr>
        <w:t>C</w:t>
      </w:r>
      <w:r>
        <w:t>.</w:t>
      </w:r>
      <w:r>
        <w:rPr>
          <w:noProof/>
        </w:rPr>
        <w:t>3</w:t>
      </w:r>
      <w:bookmarkEnd w:id="15"/>
      <w:r>
        <w:rPr>
          <w:noProof/>
        </w:rPr>
        <w:t xml:space="preserve"> </w:t>
      </w:r>
      <w:r>
        <w:t>– Most waivers are granted for staffing</w:t>
      </w:r>
    </w:p>
    <w:p w14:paraId="05958A51" w14:textId="77777777" w:rsidR="002316C7" w:rsidRDefault="002316C7" w:rsidP="00882158">
      <w:pPr>
        <w:pStyle w:val="FigureTableSubheading"/>
      </w:pPr>
      <w:r>
        <w:t>Percentage of waivers in force in a state or territory, April 2024</w:t>
      </w:r>
    </w:p>
    <w:p w14:paraId="54E800D8" w14:textId="77777777" w:rsidR="002316C7" w:rsidRDefault="002316C7" w:rsidP="00882158">
      <w:pPr>
        <w:pStyle w:val="FigureTableSubheading"/>
      </w:pPr>
      <w:r w:rsidRPr="00767E02">
        <w:rPr>
          <w:noProof/>
        </w:rPr>
        <w:drawing>
          <wp:inline distT="0" distB="0" distL="0" distR="0" wp14:anchorId="2043E26D" wp14:editId="67523235">
            <wp:extent cx="6120000" cy="2743200"/>
            <wp:effectExtent l="0" t="0" r="0" b="0"/>
            <wp:docPr id="1865306429" name="Chart 1" descr="Figure C.3 – This is a bar chart that shows the share of physical and staffing waivers in force in each state and territory. The Northern Territory and Tasmania have the highest proportions of staffing waivers (no physical waivers) and Queensland has the highest proportion of physical waivers (about 38% of all waivers in Queensland). ">
              <a:extLst xmlns:a="http://schemas.openxmlformats.org/drawingml/2006/main">
                <a:ext uri="{FF2B5EF4-FFF2-40B4-BE49-F238E27FC236}">
                  <a16:creationId xmlns:a16="http://schemas.microsoft.com/office/drawing/2014/main" id="{7A8FF962-B346-C572-BF94-7C763462D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7539E1" w14:textId="77777777" w:rsidR="002316C7" w:rsidRDefault="002316C7" w:rsidP="00882158">
      <w:pPr>
        <w:pStyle w:val="Source"/>
      </w:pPr>
      <w:r w:rsidRPr="00696447">
        <w:t xml:space="preserve">Source: </w:t>
      </w:r>
      <w:r>
        <w:t>Productivity Commission estimates using ACECQA data (unpublished).</w:t>
      </w:r>
    </w:p>
    <w:p w14:paraId="233A5DA8" w14:textId="77777777" w:rsidR="002316C7" w:rsidRPr="00BB7472" w:rsidRDefault="002316C7" w:rsidP="00882158">
      <w:pPr>
        <w:pStyle w:val="FigureTableHeading"/>
        <w:rPr>
          <w:vertAlign w:val="superscript"/>
        </w:rPr>
      </w:pPr>
      <w:bookmarkStart w:id="16" w:name="_Ref140736529"/>
      <w:bookmarkStart w:id="17" w:name="_Ref140736847"/>
      <w:r>
        <w:lastRenderedPageBreak/>
        <w:t xml:space="preserve">Figure </w:t>
      </w:r>
      <w:r w:rsidRPr="55DDB387">
        <w:rPr>
          <w:noProof/>
        </w:rPr>
        <w:t>C</w:t>
      </w:r>
      <w:r>
        <w:t>.</w:t>
      </w:r>
      <w:r w:rsidRPr="55DDB387">
        <w:rPr>
          <w:noProof/>
        </w:rPr>
        <w:t>4</w:t>
      </w:r>
      <w:bookmarkEnd w:id="16"/>
      <w:r w:rsidRPr="55DDB387">
        <w:rPr>
          <w:noProof/>
        </w:rPr>
        <w:t xml:space="preserve"> </w:t>
      </w:r>
      <w:r>
        <w:t>– Waiver types change with area demogr</w:t>
      </w:r>
      <w:r w:rsidRPr="00002322">
        <w:t>aphics</w:t>
      </w:r>
      <w:r w:rsidRPr="00002322">
        <w:rPr>
          <w:vertAlign w:val="superscript"/>
        </w:rPr>
        <w:t>a,b</w:t>
      </w:r>
    </w:p>
    <w:p w14:paraId="1127C59C" w14:textId="77777777" w:rsidR="002316C7" w:rsidRDefault="002316C7" w:rsidP="00882158">
      <w:pPr>
        <w:pStyle w:val="FigureTableSubheading"/>
        <w:keepLines/>
      </w:pPr>
      <w:r>
        <w:t>Waiver types as a percentage of services across socio</w:t>
      </w:r>
      <w:r>
        <w:noBreakHyphen/>
        <w:t>economic areas, April 2024</w:t>
      </w:r>
    </w:p>
    <w:p w14:paraId="3DD4A167" w14:textId="77777777" w:rsidR="002316C7" w:rsidRPr="005550A0" w:rsidRDefault="002316C7" w:rsidP="00882158">
      <w:pPr>
        <w:pStyle w:val="Note"/>
      </w:pPr>
      <w:r w:rsidRPr="004F784E">
        <w:rPr>
          <w:noProof/>
        </w:rPr>
        <w:drawing>
          <wp:inline distT="0" distB="0" distL="0" distR="0" wp14:anchorId="575D0773" wp14:editId="26F3ABB5">
            <wp:extent cx="6120000" cy="2952000"/>
            <wp:effectExtent l="0" t="0" r="0" b="0"/>
            <wp:docPr id="987524824" name="Chart 1" descr="Figure C.4 – This is a bar chart that shows the proportion of services with a physical or staffing waiver, in each socio-economic decile. As the relative advantage of an area increases, this is associated with a slight increase in the share of services with a physical waiver, and a slight decrease in the share of services with a staffing waiver.">
              <a:extLst xmlns:a="http://schemas.openxmlformats.org/drawingml/2006/main">
                <a:ext uri="{FF2B5EF4-FFF2-40B4-BE49-F238E27FC236}">
                  <a16:creationId xmlns:a16="http://schemas.microsoft.com/office/drawing/2014/main" id="{6ADE9191-89B9-D387-3EA2-7A89BA5FA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40BAF2" w14:textId="77777777" w:rsidR="002316C7" w:rsidRPr="00814DC7" w:rsidRDefault="002316C7" w:rsidP="00882158">
      <w:pPr>
        <w:pStyle w:val="Note"/>
      </w:pPr>
      <w:r w:rsidRPr="001706B5">
        <w:rPr>
          <w:b/>
          <w:bCs/>
        </w:rPr>
        <w:t>a.</w:t>
      </w:r>
      <w:r w:rsidRPr="001706B5">
        <w:t xml:space="preserve"> </w:t>
      </w:r>
      <w:r>
        <w:t xml:space="preserve">Calculated as the share of all services with any waivers of a particular type. The total number of services is based on data from the December quarter of 2022. Dashed lines are trend lines. </w:t>
      </w:r>
      <w:r>
        <w:rPr>
          <w:b/>
          <w:bCs/>
        </w:rPr>
        <w:t xml:space="preserve">b. </w:t>
      </w:r>
      <w:r>
        <w:t>SEIFA refers to Socio</w:t>
      </w:r>
      <w:r>
        <w:noBreakHyphen/>
        <w:t>Economic Indexes for Areas, and ranks areas in Australia according to relative socio</w:t>
      </w:r>
      <w:r>
        <w:noBreakHyphen/>
        <w:t>economic advantage.</w:t>
      </w:r>
    </w:p>
    <w:p w14:paraId="4B50972D" w14:textId="77777777" w:rsidR="002316C7" w:rsidRDefault="002316C7" w:rsidP="00882158">
      <w:pPr>
        <w:pStyle w:val="Source"/>
      </w:pPr>
      <w:r w:rsidRPr="00696447">
        <w:t xml:space="preserve">Source: </w:t>
      </w:r>
      <w:r>
        <w:t xml:space="preserve">Productivity Commission estimates using ACECQA data (unpublished) and ACECQA </w:t>
      </w:r>
      <w:r w:rsidRPr="003E1D34">
        <w:rPr>
          <w:rFonts w:ascii="Arial" w:hAnsi="Arial" w:cs="Arial"/>
        </w:rPr>
        <w:t>(2024b)</w:t>
      </w:r>
      <w:r>
        <w:t>.</w:t>
      </w:r>
    </w:p>
    <w:p w14:paraId="6DC47B34" w14:textId="77777777" w:rsidR="002316C7" w:rsidRPr="00422DF7" w:rsidRDefault="002316C7" w:rsidP="00882158">
      <w:pPr>
        <w:pStyle w:val="FigureTableHeading"/>
        <w:rPr>
          <w:vertAlign w:val="superscript"/>
        </w:rPr>
      </w:pPr>
      <w:r>
        <w:t xml:space="preserve">Figure </w:t>
      </w:r>
      <w:r>
        <w:rPr>
          <w:noProof/>
        </w:rPr>
        <w:t>C</w:t>
      </w:r>
      <w:r>
        <w:t>.</w:t>
      </w:r>
      <w:r>
        <w:rPr>
          <w:noProof/>
        </w:rPr>
        <w:t xml:space="preserve">5 </w:t>
      </w:r>
      <w:r>
        <w:t>– Long day care services are much more likely to hold staffing waivers</w:t>
      </w:r>
      <w:r>
        <w:rPr>
          <w:vertAlign w:val="superscript"/>
        </w:rPr>
        <w:t>a,b</w:t>
      </w:r>
    </w:p>
    <w:p w14:paraId="25B75C46" w14:textId="77777777" w:rsidR="002316C7" w:rsidRDefault="002316C7" w:rsidP="00882158">
      <w:pPr>
        <w:pStyle w:val="FigureTableSubheading"/>
        <w:keepLines/>
      </w:pPr>
      <w:r>
        <w:t>Waiver types as a percentage of services in category, April 2024</w:t>
      </w:r>
    </w:p>
    <w:p w14:paraId="065BAFF1" w14:textId="77777777" w:rsidR="002316C7" w:rsidRPr="005550A0" w:rsidRDefault="002316C7" w:rsidP="00882158">
      <w:pPr>
        <w:pStyle w:val="BodyText"/>
      </w:pPr>
      <w:r w:rsidRPr="00F50538">
        <w:rPr>
          <w:noProof/>
        </w:rPr>
        <w:drawing>
          <wp:inline distT="0" distB="0" distL="0" distR="0" wp14:anchorId="6D0F0BED" wp14:editId="754986BE">
            <wp:extent cx="6120000" cy="2743200"/>
            <wp:effectExtent l="0" t="0" r="0" b="0"/>
            <wp:docPr id="1082602104" name="Chart 1" descr="Figure C.5 – This is a bar chart that shows waiver types as a percentage of services in different types of ECEC services. It shows that long day care has a much greater proportion of services with a staffing waiver compared to other types of ECEC including preschool/kindergarten, outside school hours care and family day care. ">
              <a:extLst xmlns:a="http://schemas.openxmlformats.org/drawingml/2006/main">
                <a:ext uri="{FF2B5EF4-FFF2-40B4-BE49-F238E27FC236}">
                  <a16:creationId xmlns:a16="http://schemas.microsoft.com/office/drawing/2014/main" id="{2D4B9C13-5022-E04F-740C-F68D17DF0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79611C" w14:textId="77777777" w:rsidR="002316C7" w:rsidRPr="009A425A" w:rsidRDefault="002316C7" w:rsidP="00882158">
      <w:pPr>
        <w:pStyle w:val="Note"/>
        <w:keepLines/>
        <w:rPr>
          <w:spacing w:val="-4"/>
        </w:rPr>
      </w:pPr>
      <w:r w:rsidRPr="009A425A">
        <w:rPr>
          <w:b/>
          <w:bCs/>
        </w:rPr>
        <w:t>a.</w:t>
      </w:r>
      <w:r w:rsidRPr="009A425A">
        <w:t xml:space="preserve"> PSK = preschool/kindergarten; OSHC = outside school hours care; LDC = long day care; FDC = family day care.</w:t>
      </w:r>
      <w:r w:rsidRPr="009A425A">
        <w:rPr>
          <w:spacing w:val="-4"/>
        </w:rPr>
        <w:t xml:space="preserve"> </w:t>
      </w:r>
      <w:r w:rsidRPr="009A425A">
        <w:rPr>
          <w:b/>
          <w:bCs/>
          <w:spacing w:val="-4"/>
        </w:rPr>
        <w:t>b.</w:t>
      </w:r>
      <w:r w:rsidRPr="009A425A">
        <w:rPr>
          <w:spacing w:val="-4"/>
        </w:rPr>
        <w:t> Calculated as the share of all services with any waivers of a particular type. The total number of services is based on data from the March quarter of 2024. At that time, one service had both a staffing and physical waiver in force, and was excluded.</w:t>
      </w:r>
    </w:p>
    <w:p w14:paraId="798F1741" w14:textId="77777777" w:rsidR="002316C7" w:rsidRDefault="002316C7" w:rsidP="00882158">
      <w:pPr>
        <w:pStyle w:val="Source"/>
      </w:pPr>
      <w:r w:rsidRPr="00696447">
        <w:t xml:space="preserve">Source: </w:t>
      </w:r>
      <w:r>
        <w:t xml:space="preserve">Productivity Commission estimates using ACECQA data (unpublished) and ACECQA </w:t>
      </w:r>
      <w:r w:rsidRPr="003E1D34">
        <w:rPr>
          <w:rFonts w:ascii="Arial" w:hAnsi="Arial" w:cs="Arial"/>
        </w:rPr>
        <w:t>(2024b)</w:t>
      </w:r>
      <w:r>
        <w:t>.</w:t>
      </w:r>
    </w:p>
    <w:p w14:paraId="017C1FA3" w14:textId="77777777" w:rsidR="002316C7" w:rsidRPr="00B222BC" w:rsidRDefault="002316C7">
      <w:pPr>
        <w:pStyle w:val="FigureTableHeading"/>
        <w:rPr>
          <w:vertAlign w:val="superscript"/>
        </w:rPr>
      </w:pPr>
      <w:bookmarkStart w:id="18" w:name="_Ref140744071"/>
      <w:r>
        <w:lastRenderedPageBreak/>
        <w:t xml:space="preserve">Figure </w:t>
      </w:r>
      <w:r w:rsidRPr="55DDB387">
        <w:rPr>
          <w:noProof/>
        </w:rPr>
        <w:t>C</w:t>
      </w:r>
      <w:r>
        <w:t>.</w:t>
      </w:r>
      <w:r w:rsidRPr="55DDB387">
        <w:rPr>
          <w:noProof/>
        </w:rPr>
        <w:t>6</w:t>
      </w:r>
      <w:bookmarkEnd w:id="17"/>
      <w:bookmarkEnd w:id="18"/>
      <w:r w:rsidRPr="55DDB387">
        <w:rPr>
          <w:noProof/>
        </w:rPr>
        <w:t xml:space="preserve"> </w:t>
      </w:r>
      <w:r>
        <w:t>– For</w:t>
      </w:r>
      <w:r>
        <w:noBreakHyphen/>
        <w:t>profit providers are more likely to hold waivers</w:t>
      </w:r>
      <w:r>
        <w:rPr>
          <w:vertAlign w:val="superscript"/>
        </w:rPr>
        <w:t>a</w:t>
      </w:r>
    </w:p>
    <w:p w14:paraId="11D66FFB" w14:textId="77777777" w:rsidR="002316C7" w:rsidRDefault="002316C7">
      <w:pPr>
        <w:pStyle w:val="FigureTableSubheading"/>
        <w:keepLines/>
      </w:pPr>
      <w:r>
        <w:t>Percentage of services with waivers by management category, April 2024</w:t>
      </w:r>
    </w:p>
    <w:p w14:paraId="6A92B9C3" w14:textId="77777777" w:rsidR="002316C7" w:rsidRPr="005550A0" w:rsidRDefault="002316C7">
      <w:pPr>
        <w:pStyle w:val="BodyText"/>
      </w:pPr>
      <w:r w:rsidRPr="00BB4796">
        <w:rPr>
          <w:noProof/>
        </w:rPr>
        <w:drawing>
          <wp:inline distT="0" distB="0" distL="0" distR="0" wp14:anchorId="20C32CC6" wp14:editId="7A99643E">
            <wp:extent cx="6120000" cy="2743200"/>
            <wp:effectExtent l="0" t="0" r="0" b="0"/>
            <wp:docPr id="265264363" name="Chart 1" descr="Figure C.6 – This is a bar chart that shows the proportion of services that hold a waiver, by provider type. It shows that private for-profit providers have the highest rate of waiver use. ">
              <a:extLst xmlns:a="http://schemas.openxmlformats.org/drawingml/2006/main">
                <a:ext uri="{FF2B5EF4-FFF2-40B4-BE49-F238E27FC236}">
                  <a16:creationId xmlns:a16="http://schemas.microsoft.com/office/drawing/2014/main" id="{5A7D7533-9F3F-0D7F-8A4D-B4657F20D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ED616B" w14:textId="77777777" w:rsidR="002316C7" w:rsidRPr="00165875" w:rsidRDefault="002316C7" w:rsidP="00882158">
      <w:pPr>
        <w:pStyle w:val="Note"/>
      </w:pPr>
      <w:r w:rsidRPr="00B222BC">
        <w:rPr>
          <w:b/>
          <w:bCs/>
        </w:rPr>
        <w:t>a.</w:t>
      </w:r>
      <w:r>
        <w:rPr>
          <w:b/>
          <w:bCs/>
        </w:rPr>
        <w:t xml:space="preserve"> </w:t>
      </w:r>
      <w:r>
        <w:t>Total number of services is based on data from the March quarter of 2024.</w:t>
      </w:r>
    </w:p>
    <w:p w14:paraId="42BF137F" w14:textId="77777777" w:rsidR="002316C7" w:rsidRPr="009A425A" w:rsidRDefault="002316C7" w:rsidP="009A425A">
      <w:pPr>
        <w:pStyle w:val="Source"/>
        <w:rPr>
          <w:rStyle w:val="DraftingNoteChar"/>
          <w:color w:val="auto"/>
          <w:sz w:val="18"/>
          <w:u w:val="none"/>
        </w:rPr>
      </w:pPr>
      <w:r w:rsidRPr="009A425A">
        <w:t>Source: Productivity Commission estimates using ACECQA data (unpublished) and ACECQA (2024b).</w:t>
      </w:r>
    </w:p>
    <w:p w14:paraId="375BCFDF" w14:textId="77777777" w:rsidR="002316C7" w:rsidRDefault="002316C7" w:rsidP="00882158">
      <w:pPr>
        <w:pStyle w:val="Heading3"/>
      </w:pPr>
      <w:r>
        <w:t>Assessment and ratings process</w:t>
      </w:r>
    </w:p>
    <w:p w14:paraId="58426498" w14:textId="77777777" w:rsidR="002316C7" w:rsidRDefault="002316C7" w:rsidP="00882158">
      <w:pPr>
        <w:pStyle w:val="BodyText"/>
      </w:pPr>
      <w:r w:rsidRPr="00A26036">
        <w:rPr>
          <w:spacing w:val="-2"/>
        </w:rPr>
        <w:t>Approved services are assessed by their jurisdiction</w:t>
      </w:r>
      <w:r w:rsidRPr="00A26036">
        <w:rPr>
          <w:spacing w:val="-2"/>
        </w:rPr>
        <w:noBreakHyphen/>
        <w:t xml:space="preserve">based regulatory authority. A service receives a rating </w:t>
      </w:r>
      <w:r>
        <w:t>for each standard and quality area in the NQS and this determines its overall rating. The possible ratings are:</w:t>
      </w:r>
    </w:p>
    <w:p w14:paraId="0619F91C" w14:textId="77777777" w:rsidR="002316C7" w:rsidRPr="00745C16" w:rsidRDefault="002316C7" w:rsidP="00882158">
      <w:pPr>
        <w:pStyle w:val="ListBullet"/>
      </w:pPr>
      <w:r w:rsidRPr="00745C16">
        <w:t>Excellent (overall rating only) – awarded by ACECQA on application</w:t>
      </w:r>
    </w:p>
    <w:p w14:paraId="2D764B24" w14:textId="77777777" w:rsidR="002316C7" w:rsidRPr="00745C16" w:rsidRDefault="002316C7" w:rsidP="00882158">
      <w:pPr>
        <w:pStyle w:val="ListBullet"/>
      </w:pPr>
      <w:r w:rsidRPr="00745C16">
        <w:t>Exceeding NQS</w:t>
      </w:r>
    </w:p>
    <w:p w14:paraId="2E2D5EC0" w14:textId="77777777" w:rsidR="002316C7" w:rsidRPr="00745C16" w:rsidRDefault="002316C7" w:rsidP="00882158">
      <w:pPr>
        <w:pStyle w:val="ListBullet"/>
      </w:pPr>
      <w:r w:rsidRPr="00745C16">
        <w:t>Meeting NQS</w:t>
      </w:r>
    </w:p>
    <w:p w14:paraId="1D98A7D8" w14:textId="77777777" w:rsidR="002316C7" w:rsidRPr="00745C16" w:rsidRDefault="002316C7" w:rsidP="00882158">
      <w:pPr>
        <w:pStyle w:val="ListBullet"/>
      </w:pPr>
      <w:r w:rsidRPr="00745C16">
        <w:t>Working Towards NQS</w:t>
      </w:r>
    </w:p>
    <w:p w14:paraId="046BD6E0" w14:textId="77777777" w:rsidR="002316C7" w:rsidRPr="00745C16" w:rsidRDefault="002316C7" w:rsidP="00882158">
      <w:pPr>
        <w:pStyle w:val="ListBullet"/>
      </w:pPr>
      <w:r w:rsidRPr="00745C16">
        <w:t>Significant Improvement Required.</w:t>
      </w:r>
    </w:p>
    <w:p w14:paraId="381EF4D7" w14:textId="77777777" w:rsidR="002316C7" w:rsidRDefault="002316C7" w:rsidP="00882158">
      <w:pPr>
        <w:pStyle w:val="BodyText"/>
      </w:pPr>
      <w:r>
        <w:t xml:space="preserve">These ratings must be displayed by the service and are published on the Starting Blocks website and the national register </w:t>
      </w:r>
      <w:r w:rsidRPr="003E1D34">
        <w:rPr>
          <w:rFonts w:ascii="Arial" w:hAnsi="Arial" w:cs="Arial"/>
        </w:rPr>
        <w:t>(ACECQA 2023d, pp. 92–93)</w:t>
      </w:r>
      <w:r>
        <w:t>.</w:t>
      </w:r>
    </w:p>
    <w:p w14:paraId="16A3AF0E" w14:textId="77777777" w:rsidR="002316C7" w:rsidRDefault="002316C7" w:rsidP="00882158">
      <w:pPr>
        <w:pStyle w:val="BodyText"/>
      </w:pPr>
      <w:r>
        <w:t xml:space="preserve">There has been a general improvement in quality ratings across the ECEC sector since the introduction of the NQF (figure C.7). As at 1 April 2024, 90% of assessed services had a rating of Meeting the NQS or higher </w:t>
      </w:r>
      <w:r w:rsidRPr="00E2256F">
        <w:rPr>
          <w:rFonts w:ascii="Arial" w:hAnsi="Arial" w:cs="Arial"/>
        </w:rPr>
        <w:t>(Productivity Commission estimates using ACECQA 2024b)</w:t>
      </w:r>
      <w:r>
        <w:t>. This improvement has been driven by an increase in the proportion of services assessed as Meeting the NQS. The proportion of services rated as Exceeding the NQS or above has declined since 2018 but this most likely reflects changes made in 2018 to the NQS and the assessment criteria to receive an Exceeding rating.</w:t>
      </w:r>
    </w:p>
    <w:p w14:paraId="207F627C" w14:textId="77777777" w:rsidR="002316C7" w:rsidRDefault="002316C7" w:rsidP="00882158">
      <w:pPr>
        <w:pStyle w:val="BodyText"/>
      </w:pPr>
      <w:r>
        <w:t>At April 2024, FDC services were more likely than centre</w:t>
      </w:r>
      <w:r>
        <w:noBreakHyphen/>
        <w:t>based service types to be rated as Working Towards the NQS (26% versus 9%), and less likely to be rated as Exceeding (6% versus 21%)</w:t>
      </w:r>
      <w:r w:rsidRPr="00423DCE">
        <w:t xml:space="preserve"> </w:t>
      </w:r>
      <w:r w:rsidRPr="00E2256F">
        <w:rPr>
          <w:rFonts w:ascii="Arial" w:hAnsi="Arial" w:cs="Arial"/>
        </w:rPr>
        <w:t>(ACECQA 2024b)</w:t>
      </w:r>
      <w:r w:rsidRPr="00E711B6">
        <w:t>.</w:t>
      </w:r>
    </w:p>
    <w:p w14:paraId="51F203F1" w14:textId="77777777" w:rsidR="002316C7" w:rsidRPr="0007383E" w:rsidRDefault="002316C7" w:rsidP="00882158">
      <w:pPr>
        <w:pStyle w:val="FigureTableHeading"/>
      </w:pPr>
      <w:bookmarkStart w:id="19" w:name="_Ref143624773"/>
      <w:r>
        <w:lastRenderedPageBreak/>
        <w:t xml:space="preserve">Figure </w:t>
      </w:r>
      <w:r>
        <w:rPr>
          <w:noProof/>
        </w:rPr>
        <w:t>C</w:t>
      </w:r>
      <w:r>
        <w:t>.</w:t>
      </w:r>
      <w:r>
        <w:rPr>
          <w:noProof/>
        </w:rPr>
        <w:t>7</w:t>
      </w:r>
      <w:bookmarkEnd w:id="19"/>
      <w:r>
        <w:rPr>
          <w:noProof/>
        </w:rPr>
        <w:t xml:space="preserve"> </w:t>
      </w:r>
      <w:r>
        <w:t xml:space="preserve">– </w:t>
      </w:r>
      <w:r w:rsidRPr="00DB1E9B">
        <w:t>Quality ratings have improved over time</w:t>
      </w:r>
      <w:r w:rsidRPr="0006747C">
        <w:rPr>
          <w:vertAlign w:val="superscript"/>
        </w:rPr>
        <w:t>a,b,c</w:t>
      </w:r>
      <w:r>
        <w:rPr>
          <w:vertAlign w:val="superscript"/>
        </w:rPr>
        <w:t>,d</w:t>
      </w:r>
    </w:p>
    <w:p w14:paraId="4C8E06AC" w14:textId="77777777" w:rsidR="002316C7" w:rsidRDefault="002316C7" w:rsidP="00882158">
      <w:pPr>
        <w:pStyle w:val="FigureTableSubheading"/>
      </w:pPr>
      <w:r>
        <w:t>Quality ratings of assessed services, as a p</w:t>
      </w:r>
      <w:r w:rsidRPr="0007383E">
        <w:t xml:space="preserve">roportion of </w:t>
      </w:r>
      <w:r>
        <w:t xml:space="preserve">all </w:t>
      </w:r>
      <w:r w:rsidRPr="0007383E">
        <w:t>assessed services</w:t>
      </w:r>
      <w:r>
        <w:t xml:space="preserve">, </w:t>
      </w:r>
      <w:r>
        <w:br/>
        <w:t>2013–2024</w:t>
      </w:r>
    </w:p>
    <w:p w14:paraId="7FA2D151" w14:textId="77777777" w:rsidR="002316C7" w:rsidRDefault="002316C7" w:rsidP="00882158">
      <w:pPr>
        <w:pStyle w:val="FigureTableSubheading"/>
      </w:pPr>
      <w:r w:rsidRPr="000456AD">
        <w:rPr>
          <w:noProof/>
        </w:rPr>
        <w:drawing>
          <wp:inline distT="0" distB="0" distL="0" distR="0" wp14:anchorId="69A7A731" wp14:editId="5FC5E8A0">
            <wp:extent cx="6120000" cy="2861310"/>
            <wp:effectExtent l="0" t="0" r="0" b="0"/>
            <wp:docPr id="918845686" name="Chart 1" descr="Figure C.7 – This is a line chart that shows the proportion of rated services that have each rating, from 2013 to 2024. Over this time, the proportion of services at least Meeting the NQS has increased, driven mostly by increases in the share of services Meeting the NQS. The rate of Working Towards and Exceeding ratings has decreased. ">
              <a:extLst xmlns:a="http://schemas.openxmlformats.org/drawingml/2006/main">
                <a:ext uri="{FF2B5EF4-FFF2-40B4-BE49-F238E27FC236}">
                  <a16:creationId xmlns:a16="http://schemas.microsoft.com/office/drawing/2014/main" id="{CF8671EA-366B-DC72-8DCF-A40E8E3FD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4512A7" w14:textId="77777777" w:rsidR="002316C7" w:rsidRPr="009A425A" w:rsidRDefault="002316C7" w:rsidP="00882158">
      <w:pPr>
        <w:pStyle w:val="Note"/>
      </w:pPr>
      <w:r w:rsidRPr="00E17458">
        <w:rPr>
          <w:b/>
          <w:bCs/>
        </w:rPr>
        <w:t>a</w:t>
      </w:r>
      <w:r>
        <w:t xml:space="preserve">. </w:t>
      </w:r>
      <w:r>
        <w:rPr>
          <w:rFonts w:cstheme="minorHAnsi"/>
        </w:rPr>
        <w:t xml:space="preserve">Subject to data caveats outlined </w:t>
      </w:r>
      <w:r w:rsidRPr="00527200">
        <w:rPr>
          <w:rFonts w:cstheme="minorHAnsi"/>
        </w:rPr>
        <w:t xml:space="preserve">in </w:t>
      </w:r>
      <w:r>
        <w:rPr>
          <w:rFonts w:cstheme="minorHAnsi"/>
        </w:rPr>
        <w:t xml:space="preserve">paper 8, </w:t>
      </w:r>
      <w:r w:rsidRPr="00EF753B">
        <w:rPr>
          <w:rFonts w:cstheme="minorHAnsi"/>
        </w:rPr>
        <w:t>b</w:t>
      </w:r>
      <w:r w:rsidRPr="00527200">
        <w:rPr>
          <w:rFonts w:cstheme="minorHAnsi"/>
        </w:rPr>
        <w:t>ox</w:t>
      </w:r>
      <w:r>
        <w:rPr>
          <w:rFonts w:cstheme="minorHAnsi"/>
        </w:rPr>
        <w:t> 8.1.</w:t>
      </w:r>
      <w:r w:rsidRPr="00A27AD5">
        <w:rPr>
          <w:rFonts w:cstheme="minorHAnsi"/>
        </w:rPr>
        <w:t xml:space="preserve"> </w:t>
      </w:r>
      <w:r>
        <w:rPr>
          <w:rFonts w:cstheme="minorHAnsi"/>
          <w:b/>
        </w:rPr>
        <w:t>b</w:t>
      </w:r>
      <w:r w:rsidRPr="008C3212">
        <w:rPr>
          <w:rFonts w:cstheme="minorHAnsi"/>
          <w:b/>
        </w:rPr>
        <w:t>.</w:t>
      </w:r>
      <w:r w:rsidRPr="008C3212">
        <w:rPr>
          <w:rFonts w:cstheme="minorHAnsi"/>
        </w:rPr>
        <w:t xml:space="preserve"> </w:t>
      </w:r>
      <w:r>
        <w:rPr>
          <w:rFonts w:cstheme="minorHAnsi"/>
        </w:rPr>
        <w:t xml:space="preserve">Data covers the period from Q3 2013 to Q1 2024. </w:t>
      </w:r>
      <w:r>
        <w:rPr>
          <w:rFonts w:cstheme="minorHAnsi"/>
          <w:b/>
        </w:rPr>
        <w:t>c</w:t>
      </w:r>
      <w:r w:rsidRPr="008C3212">
        <w:rPr>
          <w:rFonts w:cstheme="minorHAnsi"/>
          <w:b/>
        </w:rPr>
        <w:t>.</w:t>
      </w:r>
      <w:r w:rsidRPr="008C3212">
        <w:rPr>
          <w:rFonts w:cstheme="minorHAnsi"/>
        </w:rPr>
        <w:t xml:space="preserve"> Data captures services that had </w:t>
      </w:r>
      <w:r w:rsidRPr="00EF753B">
        <w:rPr>
          <w:rFonts w:cstheme="minorHAnsi"/>
        </w:rPr>
        <w:t>received</w:t>
      </w:r>
      <w:r w:rsidRPr="008C3212">
        <w:rPr>
          <w:rFonts w:cstheme="minorHAnsi"/>
        </w:rPr>
        <w:t xml:space="preserve"> at least one assessment by the end of the relevant quarter, regardless of whether the assessment and rating was conducted during that quarter.</w:t>
      </w:r>
      <w:r>
        <w:rPr>
          <w:rFonts w:cstheme="minorHAnsi"/>
        </w:rPr>
        <w:t xml:space="preserve"> </w:t>
      </w:r>
      <w:r w:rsidRPr="00990FAF">
        <w:rPr>
          <w:rFonts w:cstheme="minorHAnsi"/>
          <w:b/>
          <w:bCs/>
        </w:rPr>
        <w:t>d</w:t>
      </w:r>
      <w:r w:rsidRPr="00725AAA">
        <w:rPr>
          <w:rFonts w:cstheme="minorHAnsi"/>
          <w:b/>
        </w:rPr>
        <w:t>.</w:t>
      </w:r>
      <w:r>
        <w:rPr>
          <w:rFonts w:cstheme="minorHAnsi"/>
        </w:rPr>
        <w:t> A very s</w:t>
      </w:r>
      <w:r w:rsidRPr="00725AAA">
        <w:rPr>
          <w:rFonts w:cstheme="minorHAnsi"/>
        </w:rPr>
        <w:t>mall proportion of services are assessed as</w:t>
      </w:r>
      <w:r>
        <w:rPr>
          <w:rFonts w:cstheme="minorHAnsi"/>
        </w:rPr>
        <w:t xml:space="preserve"> </w:t>
      </w:r>
      <w:r w:rsidRPr="00725AAA">
        <w:rPr>
          <w:rFonts w:cstheme="minorHAnsi"/>
        </w:rPr>
        <w:t>Significant Improvement Required</w:t>
      </w:r>
      <w:r>
        <w:rPr>
          <w:rFonts w:cstheme="minorHAnsi"/>
        </w:rPr>
        <w:t>.</w:t>
      </w:r>
      <w:r w:rsidRPr="00725AAA">
        <w:rPr>
          <w:rFonts w:cstheme="minorHAnsi"/>
        </w:rPr>
        <w:t xml:space="preserve"> </w:t>
      </w:r>
      <w:r w:rsidRPr="008D333B">
        <w:rPr>
          <w:rFonts w:cstheme="minorHAnsi"/>
          <w:szCs w:val="18"/>
        </w:rPr>
        <w:t>The</w:t>
      </w:r>
      <w:r>
        <w:rPr>
          <w:rFonts w:cstheme="minorHAnsi"/>
          <w:szCs w:val="18"/>
        </w:rPr>
        <w:t>se</w:t>
      </w:r>
      <w:r w:rsidRPr="008D333B">
        <w:rPr>
          <w:rFonts w:cstheme="minorHAnsi"/>
          <w:szCs w:val="18"/>
        </w:rPr>
        <w:t xml:space="preserve"> </w:t>
      </w:r>
      <w:r w:rsidRPr="00B32CE3">
        <w:rPr>
          <w:rFonts w:cstheme="minorHAnsi"/>
          <w:szCs w:val="18"/>
        </w:rPr>
        <w:t xml:space="preserve">have not been depicted graphically but have been included in the total number of assessed </w:t>
      </w:r>
      <w:r w:rsidRPr="009A425A">
        <w:t>services for the purposes of calculating the proportion of services achieving the respective quality ratings depicted in the figure.</w:t>
      </w:r>
    </w:p>
    <w:p w14:paraId="08E95ED2" w14:textId="77777777" w:rsidR="002316C7" w:rsidRPr="003F5D82" w:rsidRDefault="002316C7" w:rsidP="00882158">
      <w:pPr>
        <w:pStyle w:val="Source"/>
        <w:rPr>
          <w:rFonts w:cstheme="minorHAnsi"/>
        </w:rPr>
      </w:pPr>
      <w:r w:rsidRPr="00725AAA">
        <w:rPr>
          <w:rFonts w:cstheme="minorHAnsi"/>
        </w:rPr>
        <w:t xml:space="preserve">Source: </w:t>
      </w:r>
      <w:r w:rsidRPr="00D064DD">
        <w:rPr>
          <w:rFonts w:cstheme="minorHAnsi"/>
        </w:rPr>
        <w:t>Productivity Commission estimates</w:t>
      </w:r>
      <w:r>
        <w:rPr>
          <w:rFonts w:cstheme="minorHAnsi"/>
        </w:rPr>
        <w:t xml:space="preserve"> using</w:t>
      </w:r>
      <w:r w:rsidRPr="00D064DD">
        <w:rPr>
          <w:rFonts w:cstheme="minorHAnsi"/>
        </w:rPr>
        <w:t xml:space="preserve"> </w:t>
      </w:r>
      <w:r w:rsidRPr="008E097E">
        <w:rPr>
          <w:rFonts w:cstheme="minorHAnsi"/>
        </w:rPr>
        <w:t>ACECQA</w:t>
      </w:r>
      <w:r w:rsidRPr="00322E51">
        <w:rPr>
          <w:rFonts w:cstheme="minorHAnsi"/>
        </w:rPr>
        <w:t xml:space="preserve"> </w:t>
      </w:r>
      <w:r w:rsidRPr="00E2256F">
        <w:rPr>
          <w:rFonts w:ascii="Arial" w:hAnsi="Arial" w:cs="Arial"/>
        </w:rPr>
        <w:t>(2024b)</w:t>
      </w:r>
      <w:r>
        <w:rPr>
          <w:rFonts w:ascii="Arial" w:hAnsi="Arial" w:cs="Arial"/>
        </w:rPr>
        <w:t>.</w:t>
      </w:r>
    </w:p>
    <w:p w14:paraId="7BE76312" w14:textId="77777777" w:rsidR="002316C7" w:rsidRDefault="002316C7" w:rsidP="00882158">
      <w:pPr>
        <w:pStyle w:val="BodyText"/>
      </w:pPr>
      <w:r>
        <w:t xml:space="preserve">Under ACECQA guidelines, the current assessment process takes about nine weeks (figure C.8). The tiered design of the system means that a service must meet all </w:t>
      </w:r>
      <w:r w:rsidRPr="008F4CFC">
        <w:t>40</w:t>
      </w:r>
      <w:r>
        <w:t xml:space="preserve"> elements to receive an overall rating of at least Meeting the NQS (figure C.9). If a service does not meet one element of the NQS, it cannot receive a higher overall rating than Working Towards the NQS.</w:t>
      </w:r>
    </w:p>
    <w:p w14:paraId="76D09FFF" w14:textId="77777777" w:rsidR="002316C7" w:rsidRDefault="002316C7" w:rsidP="00882158">
      <w:pPr>
        <w:pStyle w:val="BodyText"/>
      </w:pPr>
      <w:r>
        <w:t xml:space="preserve">Services that are rated as exceeding the NQS in all seven quality areas can apply to ACECQA to be considered for an Excellent rating, which is the highest rating a service can achieve </w:t>
      </w:r>
      <w:r w:rsidRPr="003E1D34">
        <w:rPr>
          <w:rFonts w:ascii="Arial" w:hAnsi="Arial" w:cs="Arial"/>
        </w:rPr>
        <w:t>(ACECQA 2023d, p. 358)</w:t>
      </w:r>
      <w:r>
        <w:t>. ACECQA assesses applications according to three criteria:</w:t>
      </w:r>
    </w:p>
    <w:p w14:paraId="3C970095" w14:textId="77777777" w:rsidR="002316C7" w:rsidRPr="000740EB" w:rsidRDefault="002316C7" w:rsidP="00882158">
      <w:pPr>
        <w:pStyle w:val="ListBullet"/>
      </w:pPr>
      <w:r w:rsidRPr="000740EB">
        <w:t>the service exemplifies and promotes exceptional education and care that improves outcomes for children and families, across at least three of five quality ‘themes’</w:t>
      </w:r>
    </w:p>
    <w:p w14:paraId="07FE3337" w14:textId="77777777" w:rsidR="002316C7" w:rsidRPr="000740EB" w:rsidRDefault="002316C7" w:rsidP="00882158">
      <w:pPr>
        <w:pStyle w:val="ListBullet"/>
      </w:pPr>
      <w:r w:rsidRPr="000740EB">
        <w:t>the service demonstrates leadership that contributes to the development of a community, a local area or the wider education and care sector</w:t>
      </w:r>
    </w:p>
    <w:p w14:paraId="37D49A0F" w14:textId="62EC1EED" w:rsidR="00274815" w:rsidRDefault="002316C7" w:rsidP="00274815">
      <w:pPr>
        <w:pStyle w:val="ListBullet"/>
      </w:pPr>
      <w:r w:rsidRPr="000740EB">
        <w:t>the service demonstrates commitment to sustained excellent practice through continuous improvement and comprehensive forward planning</w:t>
      </w:r>
      <w:r>
        <w:t xml:space="preserve"> </w:t>
      </w:r>
      <w:r w:rsidRPr="003E1D34">
        <w:rPr>
          <w:rFonts w:ascii="Arial" w:hAnsi="Arial" w:cs="Arial"/>
        </w:rPr>
        <w:t>(ACECQA 2023c, p. 2)</w:t>
      </w:r>
      <w:r w:rsidRPr="000740EB">
        <w:t>.</w:t>
      </w:r>
    </w:p>
    <w:p w14:paraId="5BBD468F" w14:textId="77777777" w:rsidR="00274815" w:rsidRDefault="00274815" w:rsidP="00274815">
      <w:pPr>
        <w:pStyle w:val="Heading3"/>
      </w:pPr>
      <w:r w:rsidRPr="00341064">
        <w:t>Frequency of the assessment and rating cycle</w:t>
      </w:r>
    </w:p>
    <w:p w14:paraId="0748B531" w14:textId="77777777" w:rsidR="00274815" w:rsidRDefault="00274815" w:rsidP="00274815">
      <w:pPr>
        <w:pStyle w:val="BodyText"/>
      </w:pPr>
      <w:r>
        <w:t>Regulatory bodies schedule quality rating assessments with a view to rating the quality of services, supporting continuous improvement and keeping information for families and communities accurate and up to date. The schedule for reassessment follows a risk</w:t>
      </w:r>
      <w:r>
        <w:noBreakHyphen/>
        <w:t>based framework, which considers:</w:t>
      </w:r>
    </w:p>
    <w:p w14:paraId="0B5BD918" w14:textId="77777777" w:rsidR="00274815" w:rsidRDefault="00274815" w:rsidP="00274815">
      <w:pPr>
        <w:pStyle w:val="ListBullet"/>
      </w:pPr>
      <w:r>
        <w:t>t</w:t>
      </w:r>
      <w:r w:rsidRPr="00F42F03">
        <w:t>he quality rating of a service when previously assessed</w:t>
      </w:r>
    </w:p>
    <w:p w14:paraId="5DA41B59" w14:textId="77777777" w:rsidR="00274815" w:rsidRDefault="00274815" w:rsidP="00274815">
      <w:pPr>
        <w:pStyle w:val="ListBullet"/>
      </w:pPr>
      <w:r>
        <w:lastRenderedPageBreak/>
        <w:t>changes in service attributes that might affect the service’s quality – for example, changes in provider or service management</w:t>
      </w:r>
    </w:p>
    <w:p w14:paraId="7BBA16EC" w14:textId="77777777" w:rsidR="00274815" w:rsidRDefault="00274815" w:rsidP="00274815">
      <w:pPr>
        <w:pStyle w:val="ListBullet"/>
      </w:pPr>
      <w:r>
        <w:t>changes in ratings over time</w:t>
      </w:r>
    </w:p>
    <w:p w14:paraId="2D0E43A9" w14:textId="77777777" w:rsidR="00274815" w:rsidRPr="00A272C2" w:rsidRDefault="00274815" w:rsidP="00274815">
      <w:pPr>
        <w:pStyle w:val="ListBullet"/>
        <w:rPr>
          <w:spacing w:val="-4"/>
        </w:rPr>
      </w:pPr>
      <w:r w:rsidRPr="00A272C2">
        <w:rPr>
          <w:spacing w:val="-4"/>
        </w:rPr>
        <w:t>events occurring at the service, such as serious incidents, complaints or non</w:t>
      </w:r>
      <w:r w:rsidRPr="00A272C2">
        <w:rPr>
          <w:spacing w:val="-4"/>
        </w:rPr>
        <w:noBreakHyphen/>
        <w:t>compliance with the National Law</w:t>
      </w:r>
    </w:p>
    <w:p w14:paraId="174681D7" w14:textId="77777777" w:rsidR="00274815" w:rsidRDefault="00274815" w:rsidP="00274815">
      <w:pPr>
        <w:pStyle w:val="ListBullet"/>
      </w:pPr>
      <w:r>
        <w:t>indicators that a service is failing to notify the regulatory authority of complaints or incidents</w:t>
      </w:r>
    </w:p>
    <w:p w14:paraId="06EFC79C" w14:textId="77777777" w:rsidR="00274815" w:rsidRDefault="00274815" w:rsidP="00274815">
      <w:pPr>
        <w:pStyle w:val="ListBullet"/>
      </w:pPr>
      <w:r>
        <w:t>if the quality rating of the service conflicts with recent compliance history</w:t>
      </w:r>
    </w:p>
    <w:p w14:paraId="37C96F7C" w14:textId="77777777" w:rsidR="00274815" w:rsidRDefault="00274815" w:rsidP="00274815">
      <w:pPr>
        <w:pStyle w:val="ListBullet"/>
      </w:pPr>
      <w:r>
        <w:t>the length of time since the last monitoring or assessment visit</w:t>
      </w:r>
    </w:p>
    <w:p w14:paraId="45C6AA49" w14:textId="77777777" w:rsidR="00274815" w:rsidRDefault="00274815" w:rsidP="00274815">
      <w:pPr>
        <w:pStyle w:val="ListBullet"/>
      </w:pPr>
      <w:r>
        <w:t xml:space="preserve">size of the service – given larger services can have an impact on more children </w:t>
      </w:r>
      <w:r w:rsidRPr="003E1D34">
        <w:rPr>
          <w:rFonts w:ascii="Arial" w:hAnsi="Arial" w:cs="Arial"/>
        </w:rPr>
        <w:t>(ACECQA 2023d, pp. 355–356)</w:t>
      </w:r>
      <w:r>
        <w:t>.</w:t>
      </w:r>
    </w:p>
    <w:p w14:paraId="5DF1B2AD" w14:textId="38C6783A" w:rsidR="00274815" w:rsidRPr="000740EB" w:rsidRDefault="00274815" w:rsidP="00A44F5C">
      <w:pPr>
        <w:pStyle w:val="BodyText"/>
      </w:pPr>
      <w:r>
        <w:t>Across the board, the NQF delivers a form of ‘earned autonomy’, whereby lower</w:t>
      </w:r>
      <w:r>
        <w:noBreakHyphen/>
        <w:t>rated centres are reassessed more often, and higher</w:t>
      </w:r>
      <w:r>
        <w:noBreakHyphen/>
        <w:t>rated centres experience fewer reassessments. However, a number of factors combine at the local level resulting in</w:t>
      </w:r>
      <w:r w:rsidDel="009B5729">
        <w:t xml:space="preserve"> </w:t>
      </w:r>
      <w:r>
        <w:t>different reassessment timeframes between states and territories, including different resourcing of regulatory authorities (paper 8).</w:t>
      </w:r>
    </w:p>
    <w:p w14:paraId="0F9FB0F1" w14:textId="77777777" w:rsidR="002316C7" w:rsidRPr="00146382" w:rsidRDefault="002316C7" w:rsidP="00882158">
      <w:pPr>
        <w:pStyle w:val="FigureTableHeading"/>
      </w:pPr>
      <w:bookmarkStart w:id="20" w:name="_Ref143541330"/>
      <w:r>
        <w:t xml:space="preserve">Figure </w:t>
      </w:r>
      <w:r>
        <w:rPr>
          <w:noProof/>
        </w:rPr>
        <w:t>C</w:t>
      </w:r>
      <w:r>
        <w:t>.8</w:t>
      </w:r>
      <w:bookmarkEnd w:id="20"/>
      <w:r>
        <w:rPr>
          <w:noProof/>
        </w:rPr>
        <w:t xml:space="preserve"> </w:t>
      </w:r>
      <w:r>
        <w:t>– Assessment timeline</w:t>
      </w:r>
    </w:p>
    <w:p w14:paraId="7C53CFA2" w14:textId="77777777" w:rsidR="002316C7" w:rsidRPr="005550A0" w:rsidRDefault="002316C7" w:rsidP="00882158">
      <w:pPr>
        <w:pStyle w:val="BodyText"/>
        <w:jc w:val="center"/>
      </w:pPr>
      <w:r w:rsidRPr="00130139">
        <w:rPr>
          <w:noProof/>
        </w:rPr>
        <w:drawing>
          <wp:inline distT="0" distB="0" distL="0" distR="0" wp14:anchorId="467A3C8F" wp14:editId="5A720C25">
            <wp:extent cx="6120130" cy="4057015"/>
            <wp:effectExtent l="0" t="0" r="0" b="635"/>
            <wp:docPr id="348334627" name="Picture 348334627" descr="igure C.8 – This figure shows the steps for the service assessment and rating process. The provider is notified one to five days before the assessment and rating visit. Then the visit is conducted, and the authorised officer will prepare a draft report with proposed ratings. Three to five weeks after the visit, the provider is given a draft report and invited to give feedback on any factual inaccuracies. About eight weeks after the visit, the notice of final rating is issued to the provider. The provider has 14 days to apply for a review if they deem it neces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4627" name="Picture 348334627" descr="igure C.8 – This figure shows the steps for the service assessment and rating process. The provider is notified one to five days before the assessment and rating visit. Then the visit is conducted, and the authorised officer will prepare a draft report with proposed ratings. Three to five weeks after the visit, the provider is given a draft report and invited to give feedback on any factual inaccuracies. About eight weeks after the visit, the notice of final rating is issued to the provider. The provider has 14 days to apply for a review if they deem it necessary.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4057015"/>
                    </a:xfrm>
                    <a:prstGeom prst="rect">
                      <a:avLst/>
                    </a:prstGeom>
                    <a:noFill/>
                    <a:ln>
                      <a:noFill/>
                    </a:ln>
                  </pic:spPr>
                </pic:pic>
              </a:graphicData>
            </a:graphic>
          </wp:inline>
        </w:drawing>
      </w:r>
    </w:p>
    <w:p w14:paraId="365181FF" w14:textId="77777777" w:rsidR="002316C7" w:rsidRDefault="002316C7" w:rsidP="00882158">
      <w:pPr>
        <w:pStyle w:val="Source"/>
      </w:pPr>
      <w:r w:rsidRPr="00696447">
        <w:t xml:space="preserve">Source: </w:t>
      </w:r>
      <w:r>
        <w:t xml:space="preserve">ACECQA </w:t>
      </w:r>
      <w:r w:rsidRPr="003E1D34">
        <w:rPr>
          <w:rFonts w:ascii="Arial" w:hAnsi="Arial" w:cs="Arial"/>
        </w:rPr>
        <w:t>(2023d, pp. 353–354)</w:t>
      </w:r>
      <w:r w:rsidRPr="00696447">
        <w:t>.</w:t>
      </w:r>
    </w:p>
    <w:p w14:paraId="6FF4EF1F" w14:textId="77777777" w:rsidR="002316C7" w:rsidRPr="00146382" w:rsidRDefault="002316C7" w:rsidP="00882158">
      <w:pPr>
        <w:pStyle w:val="FigureTableHeading"/>
      </w:pPr>
      <w:bookmarkStart w:id="21" w:name="_Ref143541305"/>
      <w:r>
        <w:lastRenderedPageBreak/>
        <w:t xml:space="preserve">Figure </w:t>
      </w:r>
      <w:r>
        <w:rPr>
          <w:noProof/>
        </w:rPr>
        <w:t>C</w:t>
      </w:r>
      <w:r>
        <w:t>.</w:t>
      </w:r>
      <w:r>
        <w:rPr>
          <w:noProof/>
        </w:rPr>
        <w:t>9</w:t>
      </w:r>
      <w:bookmarkEnd w:id="21"/>
      <w:r>
        <w:rPr>
          <w:noProof/>
        </w:rPr>
        <w:t xml:space="preserve"> </w:t>
      </w:r>
      <w:r>
        <w:t xml:space="preserve">– </w:t>
      </w:r>
      <w:r w:rsidRPr="00280FC1">
        <w:t>How quality rating levels are determined</w:t>
      </w:r>
      <w:r w:rsidRPr="00F200C2">
        <w:rPr>
          <w:vertAlign w:val="superscript"/>
        </w:rPr>
        <w:t>a</w:t>
      </w:r>
    </w:p>
    <w:p w14:paraId="22867026" w14:textId="77777777" w:rsidR="002316C7" w:rsidRPr="005550A0" w:rsidRDefault="002316C7" w:rsidP="00882158">
      <w:pPr>
        <w:pStyle w:val="BodyText"/>
      </w:pPr>
      <w:r w:rsidRPr="001D3D1F">
        <w:rPr>
          <w:noProof/>
        </w:rPr>
        <w:drawing>
          <wp:inline distT="0" distB="0" distL="0" distR="0" wp14:anchorId="6448CB3E" wp14:editId="57AA07A0">
            <wp:extent cx="6120130" cy="7242810"/>
            <wp:effectExtent l="0" t="0" r="0" b="0"/>
            <wp:docPr id="105768797" name="Picture 105768797" descr="Figure C.9 – This figure shows how quality ratings are determined. First, the authorised officer assesses each NQS element as either met or not met, and determines compliance with relevant regulations. Then each standard is rated as one of Significant Improvement Required, Working Towards NQS, Meeting NQS or Exceeding NQS. Each quality area then receives a rating, and the overall rating is determ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8797" name="Picture 105768797" descr="Figure C.9 – This figure shows how quality ratings are determined. First, the authorised officer assesses each NQS element as either met or not met, and determines compliance with relevant regulations. Then each standard is rated as one of Significant Improvement Required, Working Towards NQS, Meeting NQS or Exceeding NQS. Each quality area then receives a rating, and the overall rating is determined.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7242810"/>
                    </a:xfrm>
                    <a:prstGeom prst="rect">
                      <a:avLst/>
                    </a:prstGeom>
                    <a:noFill/>
                    <a:ln>
                      <a:noFill/>
                    </a:ln>
                  </pic:spPr>
                </pic:pic>
              </a:graphicData>
            </a:graphic>
          </wp:inline>
        </w:drawing>
      </w:r>
    </w:p>
    <w:p w14:paraId="1A892D43" w14:textId="77777777" w:rsidR="002316C7" w:rsidRDefault="002316C7" w:rsidP="00882158">
      <w:pPr>
        <w:pStyle w:val="Note"/>
      </w:pPr>
      <w:r w:rsidRPr="000E62DE">
        <w:rPr>
          <w:b/>
          <w:bCs/>
        </w:rPr>
        <w:t>a.</w:t>
      </w:r>
      <w:r>
        <w:t xml:space="preserve"> This figure outlines the ratings awarded by state and territory regulatory authorities. </w:t>
      </w:r>
      <w:r w:rsidRPr="00173531">
        <w:t xml:space="preserve">Services rated Exceeding </w:t>
      </w:r>
      <w:r>
        <w:t>NQS</w:t>
      </w:r>
      <w:r w:rsidRPr="00173531">
        <w:t xml:space="preserve"> in all seven quality areas</w:t>
      </w:r>
      <w:r>
        <w:t xml:space="preserve"> can apply to ACECQA for an Excellent rating.</w:t>
      </w:r>
    </w:p>
    <w:p w14:paraId="1B9A1372" w14:textId="77777777" w:rsidR="002316C7" w:rsidRDefault="002316C7" w:rsidP="00882158">
      <w:pPr>
        <w:pStyle w:val="Source"/>
      </w:pPr>
      <w:r w:rsidRPr="00696447">
        <w:t xml:space="preserve">Source: </w:t>
      </w:r>
      <w:r>
        <w:t xml:space="preserve">ACECQA </w:t>
      </w:r>
      <w:r w:rsidRPr="003E1D34">
        <w:rPr>
          <w:rFonts w:ascii="Arial" w:hAnsi="Arial" w:cs="Arial"/>
        </w:rPr>
        <w:t>(2023d, pp. 359–360)</w:t>
      </w:r>
      <w:r>
        <w:t>.</w:t>
      </w:r>
    </w:p>
    <w:p w14:paraId="701D8E7E" w14:textId="77777777" w:rsidR="002316C7" w:rsidRDefault="002316C7">
      <w:pPr>
        <w:spacing w:before="0" w:after="160" w:line="259" w:lineRule="auto"/>
      </w:pPr>
      <w:r>
        <w:br w:type="page"/>
      </w:r>
    </w:p>
    <w:p w14:paraId="38F076A1" w14:textId="77777777" w:rsidR="002316C7" w:rsidRDefault="002316C7" w:rsidP="00882158">
      <w:pPr>
        <w:pStyle w:val="Heading2-Appendix"/>
        <w:numPr>
          <w:ilvl w:val="0"/>
          <w:numId w:val="0"/>
        </w:numPr>
      </w:pPr>
      <w:bookmarkStart w:id="22" w:name="_Toc172213575"/>
      <w:r>
        <w:lastRenderedPageBreak/>
        <w:t>References</w:t>
      </w:r>
      <w:bookmarkEnd w:id="22"/>
    </w:p>
    <w:p w14:paraId="7C03C5E4" w14:textId="77777777" w:rsidR="002316C7" w:rsidRDefault="002316C7" w:rsidP="00882158">
      <w:pPr>
        <w:pStyle w:val="Reference"/>
        <w:sectPr w:rsidR="002316C7" w:rsidSect="001B7B00">
          <w:headerReference w:type="even" r:id="rId45"/>
          <w:headerReference w:type="default" r:id="rId46"/>
          <w:footerReference w:type="even" r:id="rId47"/>
          <w:footerReference w:type="default" r:id="rId48"/>
          <w:headerReference w:type="first" r:id="rId49"/>
          <w:footnotePr>
            <w:numRestart w:val="eachSect"/>
          </w:footnotePr>
          <w:type w:val="oddPage"/>
          <w:pgSz w:w="11906" w:h="16838" w:code="9"/>
          <w:pgMar w:top="1134" w:right="1134" w:bottom="1134" w:left="1134" w:header="794" w:footer="510" w:gutter="0"/>
          <w:cols w:space="708"/>
          <w:docGrid w:linePitch="360"/>
        </w:sectPr>
      </w:pPr>
    </w:p>
    <w:p w14:paraId="37CBC001" w14:textId="77777777" w:rsidR="002316C7" w:rsidRPr="00C47D93" w:rsidRDefault="002316C7" w:rsidP="00882158">
      <w:pPr>
        <w:pStyle w:val="Reference"/>
      </w:pPr>
      <w:r w:rsidRPr="00C47D93">
        <w:t xml:space="preserve">ACECQA (Australian Children’s Education and Care Quality Authority) 2017a, </w:t>
      </w:r>
      <w:r w:rsidRPr="00C47D93">
        <w:rPr>
          <w:i/>
          <w:iCs/>
        </w:rPr>
        <w:t>Educator to child ratios</w:t>
      </w:r>
      <w:r w:rsidRPr="00C47D93">
        <w:t>, https://www.acecqa.gov.au/nqf/educator-to-child-ratios (accessed 23 June 2023).</w:t>
      </w:r>
    </w:p>
    <w:p w14:paraId="1E91A9BA" w14:textId="59B6C3BA" w:rsidR="002316C7" w:rsidRPr="00C47D93" w:rsidRDefault="002316C7" w:rsidP="00882158">
      <w:pPr>
        <w:pStyle w:val="Reference"/>
      </w:pPr>
      <w:r w:rsidRPr="00C47D93">
        <w:t>——</w:t>
      </w:r>
      <w:r w:rsidR="00A4275B">
        <w:t> </w:t>
      </w:r>
      <w:r w:rsidRPr="00C47D93">
        <w:t xml:space="preserve">2017b, </w:t>
      </w:r>
      <w:r w:rsidRPr="00C47D93">
        <w:rPr>
          <w:i/>
          <w:iCs/>
        </w:rPr>
        <w:t>Guide to the Education and Care Services National Law and the Education and Care Services National Regulations 2011</w:t>
      </w:r>
      <w:r w:rsidRPr="00C47D93">
        <w:t>, Australian Government, Sydney, pp. 1–180.</w:t>
      </w:r>
    </w:p>
    <w:p w14:paraId="5529035C" w14:textId="6212C3F3" w:rsidR="002316C7" w:rsidRPr="00C47D93" w:rsidRDefault="002316C7" w:rsidP="00882158">
      <w:pPr>
        <w:pStyle w:val="Reference"/>
      </w:pPr>
      <w:r w:rsidRPr="00C47D93">
        <w:t>——</w:t>
      </w:r>
      <w:r w:rsidR="00A4275B">
        <w:t> </w:t>
      </w:r>
      <w:r w:rsidRPr="00C47D93">
        <w:t xml:space="preserve">2018, </w:t>
      </w:r>
      <w:r w:rsidRPr="00C47D93">
        <w:rPr>
          <w:i/>
          <w:iCs/>
        </w:rPr>
        <w:t>ACECQA’s functions under the National Law</w:t>
      </w:r>
      <w:r w:rsidRPr="00C47D93">
        <w:t>, Australian Government, Research and reports, https://www.acecqa.gov.au/resources/research/acecqa-annual-report-2017-18/performance-of-acecqas-national-law-functions (accessed 2 October 2023).</w:t>
      </w:r>
    </w:p>
    <w:p w14:paraId="2172C281" w14:textId="26A6BE35" w:rsidR="002316C7" w:rsidRPr="00C47D93" w:rsidRDefault="002316C7" w:rsidP="00882158">
      <w:pPr>
        <w:pStyle w:val="Reference"/>
      </w:pPr>
      <w:r w:rsidRPr="00C47D93">
        <w:t>——</w:t>
      </w:r>
      <w:r w:rsidR="00A4275B">
        <w:t> </w:t>
      </w:r>
      <w:r w:rsidRPr="00C47D93">
        <w:t xml:space="preserve">2019, </w:t>
      </w:r>
      <w:r w:rsidRPr="00C47D93">
        <w:rPr>
          <w:i/>
          <w:iCs/>
        </w:rPr>
        <w:t>NQF changes overview</w:t>
      </w:r>
      <w:r w:rsidRPr="00C47D93">
        <w:t>, Australian Government, National Quality Framework, https://www.acecqa.gov.au/national-quality-framework/nqf-changes-overview (accessed 24 November 2023).</w:t>
      </w:r>
    </w:p>
    <w:p w14:paraId="4A9C9FC9" w14:textId="38C40780" w:rsidR="002316C7" w:rsidRPr="00C47D93" w:rsidRDefault="002316C7" w:rsidP="00882158">
      <w:pPr>
        <w:pStyle w:val="Reference"/>
      </w:pPr>
      <w:r w:rsidRPr="00C47D93">
        <w:t>——</w:t>
      </w:r>
      <w:r w:rsidR="00A4275B">
        <w:t> </w:t>
      </w:r>
      <w:r w:rsidRPr="00C47D93">
        <w:t xml:space="preserve">2022a, </w:t>
      </w:r>
      <w:r w:rsidRPr="00C47D93">
        <w:rPr>
          <w:i/>
          <w:iCs/>
        </w:rPr>
        <w:t>Approved Qualifications for Educators Working With Over Preschool Age Children</w:t>
      </w:r>
      <w:r w:rsidRPr="00C47D93">
        <w:t>, Australian Government, Australian Government, Sydney, pp. 1–10.</w:t>
      </w:r>
    </w:p>
    <w:p w14:paraId="75AAC273" w14:textId="3AB685A4" w:rsidR="002316C7" w:rsidRDefault="002316C7" w:rsidP="00882158">
      <w:pPr>
        <w:pStyle w:val="Reference"/>
      </w:pPr>
      <w:r w:rsidRPr="00C47D93">
        <w:t>——</w:t>
      </w:r>
      <w:r w:rsidR="00A4275B">
        <w:t> </w:t>
      </w:r>
      <w:r w:rsidRPr="00C47D93">
        <w:t xml:space="preserve">2022b, </w:t>
      </w:r>
      <w:r w:rsidRPr="00C47D93">
        <w:rPr>
          <w:i/>
          <w:iCs/>
        </w:rPr>
        <w:t>The First Decade of the NQF</w:t>
      </w:r>
      <w:r w:rsidRPr="00C47D93">
        <w:t>, 8, Occasional Papers, Sydney.</w:t>
      </w:r>
    </w:p>
    <w:p w14:paraId="32F2AD37" w14:textId="77777777" w:rsidR="002316C7" w:rsidRPr="00C47D93" w:rsidRDefault="002316C7" w:rsidP="00882158">
      <w:pPr>
        <w:pStyle w:val="Reference"/>
      </w:pPr>
      <w:r w:rsidRPr="00C47D93">
        <w:t xml:space="preserve">——  2023a, </w:t>
      </w:r>
      <w:r w:rsidRPr="00C47D93">
        <w:rPr>
          <w:i/>
          <w:iCs/>
        </w:rPr>
        <w:t>Changes to the NQF starting from 1 July 2023 and the extension of workforce transitional arrangements to 31 December 2024</w:t>
      </w:r>
      <w:r w:rsidRPr="00C47D93">
        <w:t>, https://www.acecqa.gov.au/latest-news/changes-nqf-starting-1-july-2023-and-extension-workforce-transitional-arrangements-31-december-2024 (accessed 22 June 2023).</w:t>
      </w:r>
    </w:p>
    <w:p w14:paraId="22EBDF23" w14:textId="1920EF08" w:rsidR="002316C7" w:rsidRPr="00C47D93" w:rsidRDefault="002316C7" w:rsidP="00882158">
      <w:pPr>
        <w:pStyle w:val="Reference"/>
      </w:pPr>
      <w:r w:rsidRPr="00C47D93">
        <w:t>——</w:t>
      </w:r>
      <w:r w:rsidR="00A4275B">
        <w:t> </w:t>
      </w:r>
      <w:r w:rsidRPr="00C47D93">
        <w:t xml:space="preserve">2023b, </w:t>
      </w:r>
      <w:r w:rsidRPr="00C47D93">
        <w:rPr>
          <w:i/>
          <w:iCs/>
        </w:rPr>
        <w:t>Changes to the NQF starting from 1 October 2023</w:t>
      </w:r>
      <w:r w:rsidRPr="00C47D93">
        <w:t>, Australian Government, Latest news, https://www.acecqa.gov.au/latest-news/changes-nqf-starting-1-october-2023 (accessed 24 November 2023).</w:t>
      </w:r>
    </w:p>
    <w:p w14:paraId="4DDC187B" w14:textId="5BB774FB" w:rsidR="002316C7" w:rsidRPr="00C47D93" w:rsidRDefault="002316C7" w:rsidP="00882158">
      <w:pPr>
        <w:pStyle w:val="Reference"/>
      </w:pPr>
      <w:r w:rsidRPr="00C47D93">
        <w:t>——</w:t>
      </w:r>
      <w:r w:rsidR="00A4275B">
        <w:t> </w:t>
      </w:r>
      <w:r w:rsidRPr="00C47D93">
        <w:t xml:space="preserve">2023c, </w:t>
      </w:r>
      <w:r w:rsidRPr="00C47D93">
        <w:rPr>
          <w:i/>
          <w:iCs/>
        </w:rPr>
        <w:t>Excellent rating application guidelines</w:t>
      </w:r>
      <w:r w:rsidRPr="00C47D93">
        <w:t>, Australian Government, Sydney, pp. 1–7.</w:t>
      </w:r>
    </w:p>
    <w:p w14:paraId="0FA40D90" w14:textId="793C8C8A" w:rsidR="002316C7" w:rsidRPr="00C47D93" w:rsidRDefault="002316C7" w:rsidP="00882158">
      <w:pPr>
        <w:pStyle w:val="Reference"/>
      </w:pPr>
      <w:r w:rsidRPr="00C47D93">
        <w:t>——</w:t>
      </w:r>
      <w:r w:rsidR="00A4275B">
        <w:t> </w:t>
      </w:r>
      <w:r w:rsidRPr="00C47D93">
        <w:t xml:space="preserve">2023d, </w:t>
      </w:r>
      <w:r w:rsidRPr="00C47D93">
        <w:rPr>
          <w:i/>
          <w:iCs/>
        </w:rPr>
        <w:t>Guide to the National Quality Framework</w:t>
      </w:r>
      <w:r w:rsidRPr="00C47D93">
        <w:t>.</w:t>
      </w:r>
    </w:p>
    <w:p w14:paraId="23A90FDA" w14:textId="4C6C29DF" w:rsidR="002316C7" w:rsidRPr="00C47D93" w:rsidRDefault="002316C7" w:rsidP="00882158">
      <w:pPr>
        <w:pStyle w:val="Reference"/>
      </w:pPr>
      <w:r w:rsidRPr="00C47D93">
        <w:t>——</w:t>
      </w:r>
      <w:r w:rsidR="00A4275B">
        <w:t> </w:t>
      </w:r>
      <w:r w:rsidRPr="00C47D93">
        <w:t xml:space="preserve">2023e, </w:t>
      </w:r>
      <w:r w:rsidRPr="00C47D93">
        <w:rPr>
          <w:i/>
          <w:iCs/>
        </w:rPr>
        <w:t>National Quality Standard</w:t>
      </w:r>
      <w:r w:rsidRPr="00C47D93">
        <w:t>, https://www.acecqa.gov.au/nqf/national-quality-standard (accessed 22 September 2023).</w:t>
      </w:r>
    </w:p>
    <w:p w14:paraId="27D1DD10" w14:textId="4A6DCB91" w:rsidR="002316C7" w:rsidRPr="00C47D93" w:rsidRDefault="002316C7" w:rsidP="00882158">
      <w:pPr>
        <w:pStyle w:val="Reference"/>
      </w:pPr>
      <w:r w:rsidRPr="00C47D93">
        <w:t>——</w:t>
      </w:r>
      <w:r w:rsidR="00A4275B">
        <w:t> </w:t>
      </w:r>
      <w:r w:rsidRPr="00C47D93">
        <w:t xml:space="preserve">2023f, </w:t>
      </w:r>
      <w:r w:rsidRPr="00C47D93">
        <w:rPr>
          <w:i/>
          <w:iCs/>
        </w:rPr>
        <w:t>NQF snapshot Q2 2023</w:t>
      </w:r>
      <w:r w:rsidRPr="00C47D93">
        <w:t>, May, Sydney.</w:t>
      </w:r>
    </w:p>
    <w:p w14:paraId="391A7180" w14:textId="72F7E8F4" w:rsidR="002316C7" w:rsidRPr="00C47D93" w:rsidRDefault="002316C7" w:rsidP="00882158">
      <w:pPr>
        <w:pStyle w:val="Reference"/>
      </w:pPr>
      <w:r w:rsidRPr="00C47D93">
        <w:t>——</w:t>
      </w:r>
      <w:r w:rsidR="00A4275B">
        <w:t> </w:t>
      </w:r>
      <w:r w:rsidRPr="00C47D93">
        <w:t xml:space="preserve">2023g, </w:t>
      </w:r>
      <w:r w:rsidRPr="00C47D93">
        <w:rPr>
          <w:i/>
          <w:iCs/>
        </w:rPr>
        <w:t>Qualifications for centre-based services with children preschool age or under</w:t>
      </w:r>
      <w:r w:rsidRPr="00C47D93">
        <w:t>, https://www.acecqa.gov.au/</w:t>
      </w:r>
      <w:r w:rsidR="00D251F4">
        <w:br/>
      </w:r>
      <w:r w:rsidRPr="00C47D93">
        <w:t>qualifications/requirements/children-preschool-age-or-under (accessed 7 November 2023).</w:t>
      </w:r>
    </w:p>
    <w:p w14:paraId="4681084D" w14:textId="1A2A41CA" w:rsidR="002316C7" w:rsidRPr="00C47D93" w:rsidRDefault="002316C7" w:rsidP="00882158">
      <w:pPr>
        <w:pStyle w:val="Reference"/>
      </w:pPr>
      <w:r w:rsidRPr="00C47D93">
        <w:t>——</w:t>
      </w:r>
      <w:r w:rsidR="00A4275B">
        <w:t> </w:t>
      </w:r>
      <w:r w:rsidRPr="00C47D93">
        <w:t xml:space="preserve">2023h, </w:t>
      </w:r>
      <w:r w:rsidRPr="00C47D93">
        <w:rPr>
          <w:i/>
          <w:iCs/>
        </w:rPr>
        <w:t>Qualifications for family day care services</w:t>
      </w:r>
      <w:r w:rsidRPr="00C47D93">
        <w:t>, https://www.acecqa.gov.au/qualifications/requirements/family-day-care-services (accessed 2 October 2023).</w:t>
      </w:r>
    </w:p>
    <w:p w14:paraId="5F2852C7" w14:textId="67819657" w:rsidR="002316C7" w:rsidRPr="00C47D93" w:rsidRDefault="002316C7" w:rsidP="00882158">
      <w:pPr>
        <w:pStyle w:val="Reference"/>
      </w:pPr>
      <w:r w:rsidRPr="00C47D93">
        <w:t>——</w:t>
      </w:r>
      <w:r w:rsidR="00A4275B">
        <w:t> </w:t>
      </w:r>
      <w:r w:rsidRPr="00C47D93">
        <w:t xml:space="preserve">2023i, </w:t>
      </w:r>
      <w:r w:rsidRPr="00C47D93">
        <w:rPr>
          <w:i/>
          <w:iCs/>
        </w:rPr>
        <w:t>Qualifications for working in OSHC services</w:t>
      </w:r>
      <w:r w:rsidRPr="00C47D93">
        <w:t>, https://www.acecqa.gov.au/qualifications/requirements/working-in-OSHC-services (accessed 25 September 2023).</w:t>
      </w:r>
    </w:p>
    <w:p w14:paraId="28FC9035" w14:textId="42B7F0E9" w:rsidR="002316C7" w:rsidRPr="00C47D93" w:rsidRDefault="002316C7" w:rsidP="00882158">
      <w:pPr>
        <w:pStyle w:val="Reference"/>
      </w:pPr>
      <w:r w:rsidRPr="00C47D93">
        <w:t>——</w:t>
      </w:r>
      <w:r w:rsidR="00A4275B">
        <w:t> </w:t>
      </w:r>
      <w:r w:rsidRPr="00C47D93">
        <w:t xml:space="preserve">2023j, </w:t>
      </w:r>
      <w:r w:rsidRPr="00C47D93">
        <w:rPr>
          <w:i/>
          <w:iCs/>
        </w:rPr>
        <w:t>Qualifications requirements to work in Australian education and care services</w:t>
      </w:r>
      <w:r w:rsidRPr="00C47D93">
        <w:t>, ACECQA, https://www.acecqa.gov.au/qualifications/qualification-requirements (accessed 12 July 2023).</w:t>
      </w:r>
    </w:p>
    <w:p w14:paraId="7C351B04" w14:textId="24DD0443" w:rsidR="002316C7" w:rsidRPr="00C47D93" w:rsidRDefault="002316C7" w:rsidP="00882158">
      <w:pPr>
        <w:pStyle w:val="Reference"/>
      </w:pPr>
      <w:r w:rsidRPr="00C47D93">
        <w:t>——</w:t>
      </w:r>
      <w:r w:rsidR="00A4275B">
        <w:t> </w:t>
      </w:r>
      <w:r w:rsidRPr="00C47D93">
        <w:t xml:space="preserve">2023k, </w:t>
      </w:r>
      <w:r w:rsidRPr="00C47D93">
        <w:rPr>
          <w:i/>
          <w:iCs/>
        </w:rPr>
        <w:t>Review of NQF staffing and qualification regulations</w:t>
      </w:r>
      <w:r w:rsidRPr="00C47D93">
        <w:t>, Australian Government, Latest news, https://www.acecqa.gov.au/latest-news/review-nqf-staffing-and-qualification-regulations (accessed 24 November 2023).</w:t>
      </w:r>
    </w:p>
    <w:p w14:paraId="1C5A5986" w14:textId="53B5E564" w:rsidR="002316C7" w:rsidRPr="00C47D93" w:rsidRDefault="002316C7" w:rsidP="00882158">
      <w:pPr>
        <w:pStyle w:val="Reference"/>
      </w:pPr>
      <w:r w:rsidRPr="00C47D93">
        <w:t>——</w:t>
      </w:r>
      <w:r w:rsidR="00A4275B">
        <w:t> </w:t>
      </w:r>
      <w:r w:rsidRPr="00C47D93">
        <w:t xml:space="preserve">2024a, </w:t>
      </w:r>
      <w:r w:rsidRPr="00C47D93">
        <w:rPr>
          <w:i/>
          <w:iCs/>
        </w:rPr>
        <w:t>NQF online snapshot Q1 2024</w:t>
      </w:r>
      <w:r w:rsidRPr="00C47D93">
        <w:t>, Australian Government, https://snapshots.acecqa.gov.au/</w:t>
      </w:r>
      <w:r w:rsidR="000748D6">
        <w:br/>
      </w:r>
      <w:r w:rsidRPr="00C47D93">
        <w:t>Snapshot/qualityratingprogress.html (accessed 13 June 2024).</w:t>
      </w:r>
    </w:p>
    <w:p w14:paraId="512920E7" w14:textId="209BF16D" w:rsidR="002316C7" w:rsidRPr="00C47D93" w:rsidRDefault="002316C7" w:rsidP="00882158">
      <w:pPr>
        <w:pStyle w:val="Reference"/>
      </w:pPr>
      <w:r w:rsidRPr="00C47D93">
        <w:t>——</w:t>
      </w:r>
      <w:r w:rsidR="00A4275B">
        <w:t> </w:t>
      </w:r>
      <w:r w:rsidRPr="00C47D93">
        <w:t xml:space="preserve">2024b, </w:t>
      </w:r>
      <w:r w:rsidRPr="00C47D93">
        <w:rPr>
          <w:i/>
          <w:iCs/>
        </w:rPr>
        <w:t>Quarterly National Quality Standard Data (Q3 2013 - Q1 2024)</w:t>
      </w:r>
      <w:r w:rsidRPr="00C47D93">
        <w:t>, Australian Government, https://www.acecqa.gov.au/nqf/snapshots (accessed 7 June 2024).</w:t>
      </w:r>
    </w:p>
    <w:p w14:paraId="31E012BD" w14:textId="536C06D3" w:rsidR="002316C7" w:rsidRPr="00C47D93" w:rsidRDefault="002316C7" w:rsidP="00882158">
      <w:pPr>
        <w:pStyle w:val="Reference"/>
      </w:pPr>
      <w:r w:rsidRPr="00C47D93">
        <w:t xml:space="preserve">—— n.d., </w:t>
      </w:r>
      <w:r w:rsidRPr="00C47D93">
        <w:rPr>
          <w:i/>
          <w:iCs/>
        </w:rPr>
        <w:t>ACECQA information publication plan</w:t>
      </w:r>
      <w:r w:rsidRPr="00C47D93">
        <w:t>, Australian Government, https://www.acecqa.gov.au/acecqa-information-publication-plan#:~:text=ACECQA%20commenced%</w:t>
      </w:r>
      <w:r w:rsidR="00D251F4">
        <w:br/>
      </w:r>
      <w:r w:rsidRPr="00C47D93">
        <w:t>20operations%20on%201,to%20the%20Education%20Ministers%20Meeting. (accessed 24 November 2023a).</w:t>
      </w:r>
    </w:p>
    <w:p w14:paraId="7C3BA7CF" w14:textId="3E359874" w:rsidR="002316C7" w:rsidRPr="00C47D93" w:rsidRDefault="002316C7" w:rsidP="00882158">
      <w:pPr>
        <w:pStyle w:val="Reference"/>
      </w:pPr>
      <w:r w:rsidRPr="00C47D93">
        <w:t xml:space="preserve">—— n.d., </w:t>
      </w:r>
      <w:r w:rsidRPr="00C47D93">
        <w:rPr>
          <w:i/>
          <w:iCs/>
        </w:rPr>
        <w:t>Education Ministers Meeting</w:t>
      </w:r>
      <w:r w:rsidRPr="00C47D93">
        <w:t>, Australian Government, The ACECQA board, https://www.acecqa.gov.au/</w:t>
      </w:r>
      <w:r w:rsidR="000748D6">
        <w:br/>
      </w:r>
      <w:r w:rsidRPr="00C47D93">
        <w:t>what-we-do/the-acecqa-board/education-ministers-meeting (accessed 24 November 2023b).</w:t>
      </w:r>
    </w:p>
    <w:p w14:paraId="17A1B786" w14:textId="77777777" w:rsidR="002316C7" w:rsidRPr="00C47D93" w:rsidRDefault="002316C7" w:rsidP="00882158">
      <w:pPr>
        <w:pStyle w:val="Reference"/>
      </w:pPr>
      <w:r w:rsidRPr="00C47D93">
        <w:t xml:space="preserve">Australian Government 2021, </w:t>
      </w:r>
      <w:r w:rsidRPr="00C47D93">
        <w:rPr>
          <w:i/>
          <w:iCs/>
        </w:rPr>
        <w:t>Early Childhood Policy Group</w:t>
      </w:r>
      <w:r w:rsidRPr="00C47D93">
        <w:t>, Directory, https://www.directory.gov.au/portfolios/education-skills-and-employment/australian-education-senior-officials-committee-aesoc/early-childhood-policy-group (accessed 2 October 2023).</w:t>
      </w:r>
    </w:p>
    <w:p w14:paraId="320A44F4" w14:textId="4B7070EC" w:rsidR="002316C7" w:rsidRPr="00C47D93" w:rsidRDefault="002316C7" w:rsidP="00882158">
      <w:pPr>
        <w:pStyle w:val="Reference"/>
      </w:pPr>
      <w:r w:rsidRPr="00C47D93">
        <w:t>——</w:t>
      </w:r>
      <w:r w:rsidR="00A4275B">
        <w:t> </w:t>
      </w:r>
      <w:r w:rsidRPr="00C47D93">
        <w:t xml:space="preserve">2022, </w:t>
      </w:r>
      <w:r w:rsidRPr="00C47D93">
        <w:rPr>
          <w:i/>
          <w:iCs/>
        </w:rPr>
        <w:t>Australian Education Senior Officials Committee (AESOC) | Directory</w:t>
      </w:r>
      <w:r w:rsidRPr="00C47D93">
        <w:t>, https://www.directory.gov.au/</w:t>
      </w:r>
      <w:r w:rsidR="000748D6">
        <w:br/>
      </w:r>
      <w:r w:rsidRPr="00C47D93">
        <w:t>portfolios/education/australian-education-senior-officials-committee-aesoc (accessed 6 July 2023).</w:t>
      </w:r>
    </w:p>
    <w:p w14:paraId="4F042419" w14:textId="77777777" w:rsidR="002316C7" w:rsidRPr="00C47D93" w:rsidRDefault="002316C7" w:rsidP="00882158">
      <w:pPr>
        <w:pStyle w:val="Reference"/>
      </w:pPr>
      <w:r w:rsidRPr="00C47D93">
        <w:t xml:space="preserve">COAG (Council of Australian Governments) 2009a, </w:t>
      </w:r>
      <w:r w:rsidRPr="00C47D93">
        <w:rPr>
          <w:i/>
          <w:iCs/>
        </w:rPr>
        <w:t>Investing in the Early Years - A National Early Childhood Development Strategy</w:t>
      </w:r>
      <w:r w:rsidRPr="00C47D93">
        <w:t>, Australian Government, Canberra, pp. 1–41.</w:t>
      </w:r>
    </w:p>
    <w:p w14:paraId="6CE9BCA7" w14:textId="3901BDFE" w:rsidR="002316C7" w:rsidRPr="00C47D93" w:rsidRDefault="002316C7" w:rsidP="00882158">
      <w:pPr>
        <w:pStyle w:val="Reference"/>
      </w:pPr>
      <w:r w:rsidRPr="00C47D93">
        <w:t>——</w:t>
      </w:r>
      <w:r w:rsidR="00A4275B">
        <w:t> </w:t>
      </w:r>
      <w:r w:rsidRPr="00C47D93">
        <w:t xml:space="preserve">2009b, </w:t>
      </w:r>
      <w:r w:rsidRPr="00C47D93">
        <w:rPr>
          <w:i/>
          <w:iCs/>
        </w:rPr>
        <w:t>National Partnership Agreement on the National Quality Agenda for Early Childhood Education and Care</w:t>
      </w:r>
      <w:r w:rsidRPr="00C47D93">
        <w:t>, pp. 1–48.</w:t>
      </w:r>
    </w:p>
    <w:p w14:paraId="5DF7503F" w14:textId="77777777" w:rsidR="002316C7" w:rsidRPr="00C47D93" w:rsidRDefault="002316C7" w:rsidP="00882158">
      <w:pPr>
        <w:pStyle w:val="Reference"/>
      </w:pPr>
      <w:r w:rsidRPr="00C47D93">
        <w:t xml:space="preserve">CPD (Centre for Policy Development) 2023, </w:t>
      </w:r>
      <w:r w:rsidRPr="00C47D93">
        <w:rPr>
          <w:i/>
          <w:iCs/>
        </w:rPr>
        <w:t>A brief history of Commonwealth Government involvement in early childhood education and care</w:t>
      </w:r>
      <w:r w:rsidRPr="00C47D93">
        <w:t>, pp. 1–16.</w:t>
      </w:r>
    </w:p>
    <w:p w14:paraId="73CE6B35" w14:textId="77777777" w:rsidR="002316C7" w:rsidRPr="00C47D93" w:rsidRDefault="002316C7" w:rsidP="00882158">
      <w:pPr>
        <w:pStyle w:val="Reference"/>
      </w:pPr>
      <w:r w:rsidRPr="00C47D93">
        <w:t xml:space="preserve">DoE (Australian Government Department of Education) 2023, </w:t>
      </w:r>
      <w:r w:rsidRPr="00C47D93">
        <w:rPr>
          <w:i/>
          <w:iCs/>
        </w:rPr>
        <w:t>Education Ministers Meeting</w:t>
      </w:r>
      <w:r w:rsidRPr="00C47D93">
        <w:t>, https://www.education.gov.au/education-ministers-meeting (accessed 29 September 2023).</w:t>
      </w:r>
    </w:p>
    <w:p w14:paraId="50F3C6CA" w14:textId="77777777" w:rsidR="002316C7" w:rsidRPr="00C47D93" w:rsidRDefault="002316C7" w:rsidP="00882158">
      <w:pPr>
        <w:pStyle w:val="Reference"/>
      </w:pPr>
      <w:r w:rsidRPr="00C47D93">
        <w:t xml:space="preserve">ESA (Education Services Australia) 2021, </w:t>
      </w:r>
      <w:r w:rsidRPr="00C47D93">
        <w:rPr>
          <w:i/>
          <w:iCs/>
        </w:rPr>
        <w:t>Shaping Our Future: National Children’s Education and Care Workforce Strategy</w:t>
      </w:r>
      <w:r w:rsidRPr="00C47D93">
        <w:t>, Australian Government, pp. 1–62.</w:t>
      </w:r>
    </w:p>
    <w:p w14:paraId="331E1B02" w14:textId="621FEE9F" w:rsidR="002316C7" w:rsidRPr="00C47D93" w:rsidRDefault="002316C7" w:rsidP="00882158">
      <w:pPr>
        <w:pStyle w:val="Reference"/>
      </w:pPr>
      <w:r w:rsidRPr="00C47D93">
        <w:t>——</w:t>
      </w:r>
      <w:r w:rsidR="00A4275B">
        <w:t> </w:t>
      </w:r>
      <w:r w:rsidRPr="00C47D93">
        <w:t xml:space="preserve">2022, </w:t>
      </w:r>
      <w:r w:rsidRPr="00C47D93">
        <w:rPr>
          <w:i/>
          <w:iCs/>
        </w:rPr>
        <w:t>2019 National Quality Framework Review Decision Regulation Impact Statement</w:t>
      </w:r>
      <w:r w:rsidRPr="00C47D93">
        <w:t>.</w:t>
      </w:r>
    </w:p>
    <w:p w14:paraId="24FEFD96" w14:textId="77777777" w:rsidR="002316C7" w:rsidRPr="00C47D93" w:rsidRDefault="002316C7" w:rsidP="00882158">
      <w:pPr>
        <w:pStyle w:val="Reference"/>
      </w:pPr>
      <w:r w:rsidRPr="00C47D93">
        <w:t xml:space="preserve">Macquarie University 2023, </w:t>
      </w:r>
      <w:r w:rsidRPr="00C47D93">
        <w:rPr>
          <w:i/>
          <w:iCs/>
        </w:rPr>
        <w:t>Approved learning frameworks update</w:t>
      </w:r>
      <w:r w:rsidRPr="00C47D93">
        <w:t>, https://www.mq.edu.au/faculty-of-arts/departments-and-schools/macquarie-school-of-education/our-research/research-groups/approved-learning-frameworks-update (accessed 24 November 2023).</w:t>
      </w:r>
    </w:p>
    <w:p w14:paraId="65531F82" w14:textId="77777777" w:rsidR="002316C7" w:rsidRPr="00C47D93" w:rsidRDefault="002316C7" w:rsidP="00882158">
      <w:pPr>
        <w:pStyle w:val="Reference"/>
      </w:pPr>
      <w:r w:rsidRPr="00C47D93">
        <w:t xml:space="preserve">NSW Department of Education 2021, </w:t>
      </w:r>
      <w:r w:rsidRPr="00C47D93">
        <w:rPr>
          <w:i/>
          <w:iCs/>
        </w:rPr>
        <w:t>Service Approvals Policy</w:t>
      </w:r>
      <w:r w:rsidRPr="00C47D93">
        <w:t>, Quality Assurance and Regulatory Services Directorate, Sydney, pp. 1–34.</w:t>
      </w:r>
    </w:p>
    <w:p w14:paraId="7486277E" w14:textId="77777777" w:rsidR="00A272C2" w:rsidRDefault="002316C7" w:rsidP="00882158">
      <w:pPr>
        <w:pStyle w:val="Reference"/>
        <w:sectPr w:rsidR="00A272C2" w:rsidSect="00A272C2">
          <w:footnotePr>
            <w:numRestart w:val="eachSect"/>
          </w:footnotePr>
          <w:type w:val="continuous"/>
          <w:pgSz w:w="11906" w:h="16838" w:code="9"/>
          <w:pgMar w:top="1134" w:right="1134" w:bottom="1134" w:left="1134" w:header="794" w:footer="510" w:gutter="0"/>
          <w:cols w:num="2" w:space="708"/>
          <w:docGrid w:linePitch="360"/>
        </w:sectPr>
      </w:pPr>
      <w:r w:rsidRPr="00C47D93">
        <w:t xml:space="preserve">Tudge, A. 2021, </w:t>
      </w:r>
      <w:r w:rsidRPr="00C47D93">
        <w:rPr>
          <w:i/>
          <w:iCs/>
        </w:rPr>
        <w:t>Australian Children’s Education and Care Quality Authority (ACECQA): 2021-2023 Letter of Expectation (Letter)</w:t>
      </w:r>
      <w:r w:rsidRPr="00C47D93">
        <w:t>, Education Ministers Meeting, Australian Government, Canberra, pp. 1–5</w:t>
      </w:r>
      <w:r w:rsidR="00A272C2">
        <w:t>.</w:t>
      </w:r>
    </w:p>
    <w:p w14:paraId="40ECAB06" w14:textId="185DD2F2" w:rsidR="002316C7" w:rsidRDefault="002316C7" w:rsidP="00882158">
      <w:pPr>
        <w:pStyle w:val="Reference"/>
        <w:sectPr w:rsidR="002316C7" w:rsidSect="001B7B00">
          <w:footnotePr>
            <w:numRestart w:val="eachSect"/>
          </w:footnotePr>
          <w:type w:val="continuous"/>
          <w:pgSz w:w="11906" w:h="16838" w:code="9"/>
          <w:pgMar w:top="1134" w:right="1134" w:bottom="1134" w:left="1134" w:header="794" w:footer="510" w:gutter="0"/>
          <w:cols w:space="708"/>
          <w:docGrid w:linePitch="360"/>
        </w:sectPr>
      </w:pPr>
      <w:r w:rsidRPr="00C47D93">
        <w:t>.</w:t>
      </w:r>
    </w:p>
    <w:p w14:paraId="345FEEC3" w14:textId="77777777" w:rsidR="005E1B35" w:rsidRDefault="005E1B35" w:rsidP="00882158">
      <w:pPr>
        <w:pStyle w:val="Heading-Appendix"/>
      </w:pPr>
      <w:bookmarkStart w:id="23" w:name="_Toc172213576"/>
      <w:r>
        <w:lastRenderedPageBreak/>
        <w:t>The Child Care Subsidy system</w:t>
      </w:r>
      <w:bookmarkEnd w:id="23"/>
    </w:p>
    <w:p w14:paraId="5F577E0A" w14:textId="77777777" w:rsidR="005E1B35" w:rsidRDefault="005E1B35" w:rsidP="00882158">
      <w:pPr>
        <w:pStyle w:val="BodyText"/>
      </w:pPr>
      <w:r>
        <w:t xml:space="preserve">As the </w:t>
      </w:r>
      <w:r w:rsidRPr="009E1870">
        <w:t>2024</w:t>
      </w:r>
      <w:r w:rsidRPr="009E1870">
        <w:noBreakHyphen/>
        <w:t>25</w:t>
      </w:r>
      <w:r>
        <w:t xml:space="preserve"> Education Portfolio Budget Statement states:</w:t>
      </w:r>
    </w:p>
    <w:p w14:paraId="3A8B1F3F" w14:textId="77777777" w:rsidR="005E1B35" w:rsidRDefault="005E1B35" w:rsidP="00882158">
      <w:pPr>
        <w:pStyle w:val="Quote"/>
      </w:pPr>
      <w:r>
        <w:t>t</w:t>
      </w:r>
      <w:r w:rsidRPr="00FE4E40">
        <w:t xml:space="preserve">he </w:t>
      </w:r>
      <w:r>
        <w:t xml:space="preserve">Child Care Subsidy (CCS) aims to improve access to quality early childhood education and care by providing assistance to meet the cost of early childhood education and care for families engaged in work, training, study or other recognised activity </w:t>
      </w:r>
      <w:r w:rsidRPr="00491BBF">
        <w:rPr>
          <w:rFonts w:ascii="Arial" w:hAnsi="Arial" w:cs="Arial"/>
        </w:rPr>
        <w:t>(DoE 2024a, p. 32)</w:t>
      </w:r>
      <w:r w:rsidRPr="00FE4E40">
        <w:t>.</w:t>
      </w:r>
    </w:p>
    <w:p w14:paraId="063A9705" w14:textId="77777777" w:rsidR="005E1B35" w:rsidRDefault="005E1B35" w:rsidP="00882158">
      <w:pPr>
        <w:pStyle w:val="BodyText"/>
      </w:pPr>
      <w:r>
        <w:t>This appendix explains different features of the CCS system such as: how eligibility and subsidy amounts are determined for families (for both CCS and Additional CCS (ACCS)) (section D.1); the evolution of the CCS (section D.2); and how the system is administered (section D.3). It also includes information on government spending on CCS (section D.4) and some distributional analysis of</w:t>
      </w:r>
      <w:r w:rsidDel="003F2422">
        <w:t xml:space="preserve"> </w:t>
      </w:r>
      <w:r>
        <w:t>children using CCS</w:t>
      </w:r>
      <w:r>
        <w:noBreakHyphen/>
        <w:t xml:space="preserve">approved services (section D.5). This appendix provides background information for the discussion of early childhood education and care (ECEC) affordability in </w:t>
      </w:r>
      <w:r w:rsidRPr="005B5806">
        <w:t xml:space="preserve">paper </w:t>
      </w:r>
      <w:r>
        <w:t>6.</w:t>
      </w:r>
    </w:p>
    <w:p w14:paraId="10C05A35" w14:textId="77777777" w:rsidR="005E1B35" w:rsidRDefault="005E1B35" w:rsidP="00882158">
      <w:pPr>
        <w:pStyle w:val="Heading2"/>
        <w:numPr>
          <w:ilvl w:val="0"/>
          <w:numId w:val="0"/>
        </w:numPr>
      </w:pPr>
      <w:bookmarkStart w:id="24" w:name="_Toc172213577"/>
      <w:r>
        <w:t>D.1</w:t>
      </w:r>
      <w:r>
        <w:tab/>
        <w:t>Eligibility and subsidy amounts</w:t>
      </w:r>
      <w:bookmarkEnd w:id="24"/>
    </w:p>
    <w:p w14:paraId="3E51705B" w14:textId="77777777" w:rsidR="005E1B35" w:rsidRDefault="005E1B35" w:rsidP="00882158">
      <w:pPr>
        <w:pStyle w:val="BodyText"/>
      </w:pPr>
      <w:r>
        <w:t>To receive CCS, a child must be attending a CCS</w:t>
      </w:r>
      <w:r>
        <w:noBreakHyphen/>
        <w:t>approved</w:t>
      </w:r>
      <w:r>
        <w:rPr>
          <w:rStyle w:val="FootnoteReference"/>
        </w:rPr>
        <w:footnoteReference w:id="9"/>
      </w:r>
      <w:r>
        <w:t xml:space="preserve"> ECEC service, which can be a centre</w:t>
      </w:r>
      <w:r>
        <w:noBreakHyphen/>
        <w:t xml:space="preserve">based day care (CBDC), family day care (FDC), outside school hours care (OSHC) or In Home Care (IHC) service </w:t>
      </w:r>
      <w:r w:rsidRPr="003139C7">
        <w:rPr>
          <w:rFonts w:ascii="Arial" w:hAnsi="Arial" w:cs="Arial"/>
        </w:rPr>
        <w:t>(Services Australia 2023g)</w:t>
      </w:r>
      <w:r>
        <w:t>. These service types are discussed in more detail later in this section.</w:t>
      </w:r>
    </w:p>
    <w:p w14:paraId="55502960" w14:textId="4C0E6380" w:rsidR="005E1B35" w:rsidRDefault="005E1B35" w:rsidP="00882158">
      <w:pPr>
        <w:pStyle w:val="BodyText"/>
      </w:pPr>
      <w:r>
        <w:t>The child must also not be attending secondary school</w:t>
      </w:r>
      <w:r>
        <w:rPr>
          <w:rStyle w:val="FootnoteReference"/>
        </w:rPr>
        <w:footnoteReference w:id="10"/>
      </w:r>
      <w:r>
        <w:t xml:space="preserve"> and the parent or guardian applying for CCS must care for them at least two nights per fortnight (or have a 14% share of care). Residence rules</w:t>
      </w:r>
      <w:r>
        <w:rPr>
          <w:rStyle w:val="FootnoteReference"/>
        </w:rPr>
        <w:footnoteReference w:id="11"/>
      </w:r>
      <w:r>
        <w:t xml:space="preserve"> and child immunisation requirements also apply </w:t>
      </w:r>
      <w:r w:rsidRPr="003139C7">
        <w:rPr>
          <w:rFonts w:ascii="Arial" w:hAnsi="Arial" w:cs="Arial"/>
        </w:rPr>
        <w:t>(Services Australia 2023g)</w:t>
      </w:r>
      <w:r>
        <w:t>.</w:t>
      </w:r>
    </w:p>
    <w:p w14:paraId="7F502B4D" w14:textId="77777777" w:rsidR="005E1B35" w:rsidRDefault="005E1B35" w:rsidP="00882158">
      <w:pPr>
        <w:pStyle w:val="BodyText"/>
        <w:keepNext/>
      </w:pPr>
      <w:r>
        <w:t>The subsidy amount that families are eligible for is a function of:</w:t>
      </w:r>
    </w:p>
    <w:p w14:paraId="419A2A99" w14:textId="77777777" w:rsidR="005E1B35" w:rsidRPr="00516548" w:rsidRDefault="005E1B35" w:rsidP="00882158">
      <w:pPr>
        <w:pStyle w:val="ListBullet"/>
      </w:pPr>
      <w:r w:rsidRPr="00516548">
        <w:t>the activity test</w:t>
      </w:r>
    </w:p>
    <w:p w14:paraId="526112B6" w14:textId="77777777" w:rsidR="005E1B35" w:rsidRPr="00516548" w:rsidRDefault="005E1B35" w:rsidP="00882158">
      <w:pPr>
        <w:pStyle w:val="ListBullet"/>
      </w:pPr>
      <w:r>
        <w:t>the hourly fee charged by the service, as well as whether that fee is above or below the hourly rate cap</w:t>
      </w:r>
    </w:p>
    <w:p w14:paraId="7117B5DE" w14:textId="77777777" w:rsidR="005E1B35" w:rsidRDefault="005E1B35" w:rsidP="00882158">
      <w:pPr>
        <w:pStyle w:val="ListBullet"/>
      </w:pPr>
      <w:r w:rsidRPr="00516548">
        <w:t xml:space="preserve">a family’s </w:t>
      </w:r>
      <w:r>
        <w:t xml:space="preserve">adjusted taxable </w:t>
      </w:r>
      <w:r w:rsidRPr="00516548">
        <w:t>income</w:t>
      </w:r>
      <w:r>
        <w:rPr>
          <w:rStyle w:val="FootnoteReference"/>
        </w:rPr>
        <w:footnoteReference w:id="12"/>
      </w:r>
    </w:p>
    <w:p w14:paraId="35A8F91D" w14:textId="77777777" w:rsidR="005E1B35" w:rsidRPr="00516548" w:rsidRDefault="005E1B35" w:rsidP="00882158">
      <w:pPr>
        <w:pStyle w:val="ListBullet"/>
      </w:pPr>
      <w:r w:rsidRPr="00516548">
        <w:lastRenderedPageBreak/>
        <w:t xml:space="preserve">whether the family has more than one child </w:t>
      </w:r>
      <w:r>
        <w:t>aged five or younger</w:t>
      </w:r>
      <w:r w:rsidRPr="00516548">
        <w:t xml:space="preserve"> in ECEC</w:t>
      </w:r>
    </w:p>
    <w:p w14:paraId="2E69A3EE" w14:textId="77777777" w:rsidR="005E1B35" w:rsidRDefault="005E1B35" w:rsidP="00882158">
      <w:pPr>
        <w:pStyle w:val="ListBullet"/>
      </w:pPr>
      <w:r w:rsidRPr="00A73013">
        <w:t>whether the family is eligible for further targeted assistance</w:t>
      </w:r>
      <w:r>
        <w:t>, such as through the ACCS.</w:t>
      </w:r>
    </w:p>
    <w:p w14:paraId="25C2A57F" w14:textId="77777777" w:rsidR="005E1B35" w:rsidRDefault="005E1B35" w:rsidP="00882158">
      <w:pPr>
        <w:pStyle w:val="BodyText"/>
      </w:pPr>
      <w:r>
        <w:t>These elements are explained below.</w:t>
      </w:r>
    </w:p>
    <w:p w14:paraId="3753D047" w14:textId="77777777" w:rsidR="005E1B35" w:rsidRDefault="005E1B35" w:rsidP="00882158">
      <w:pPr>
        <w:pStyle w:val="Heading3"/>
      </w:pPr>
      <w:r>
        <w:t>The activity test</w:t>
      </w:r>
    </w:p>
    <w:p w14:paraId="256A1726" w14:textId="77777777" w:rsidR="005E1B35" w:rsidRPr="00A9366B" w:rsidRDefault="005E1B35" w:rsidP="00882158">
      <w:pPr>
        <w:pStyle w:val="BodyText"/>
      </w:pPr>
      <w:r>
        <w:t>The activity test determines the number of hours of subsidised care a family is eligible for per child given the parent’s or guardian’s activity type and level.</w:t>
      </w:r>
      <w:r w:rsidDel="0022396F">
        <w:t xml:space="preserve"> </w:t>
      </w:r>
      <w:r>
        <w:t xml:space="preserve">Hours of different activity types can be combined to produce an overall activity level </w:t>
      </w:r>
      <w:r w:rsidRPr="00491BBF">
        <w:rPr>
          <w:rFonts w:ascii="Arial" w:hAnsi="Arial" w:cs="Arial"/>
        </w:rPr>
        <w:t>(Services Australia 2022a)</w:t>
      </w:r>
      <w:r>
        <w:t>.</w:t>
      </w:r>
    </w:p>
    <w:p w14:paraId="7206E119" w14:textId="77777777" w:rsidR="005E1B35" w:rsidRPr="00FF5E75" w:rsidRDefault="005E1B35" w:rsidP="00882158">
      <w:pPr>
        <w:pStyle w:val="BodyText"/>
      </w:pPr>
      <w:r>
        <w:t>Recognised activity types include:</w:t>
      </w:r>
    </w:p>
    <w:p w14:paraId="0CF66330" w14:textId="77777777" w:rsidR="005E1B35" w:rsidRDefault="005E1B35" w:rsidP="00882158">
      <w:pPr>
        <w:pStyle w:val="ListBullet"/>
      </w:pPr>
      <w:r>
        <w:t>employment related activity</w:t>
      </w:r>
    </w:p>
    <w:p w14:paraId="6347D984" w14:textId="77777777" w:rsidR="005E1B35" w:rsidRDefault="005E1B35" w:rsidP="00882158">
      <w:pPr>
        <w:pStyle w:val="ListBullet2"/>
      </w:pPr>
      <w:r>
        <w:t>paid work, including being self employed</w:t>
      </w:r>
    </w:p>
    <w:p w14:paraId="567075D1" w14:textId="77777777" w:rsidR="005E1B35" w:rsidRDefault="005E1B35" w:rsidP="00882158">
      <w:pPr>
        <w:pStyle w:val="ListBullet2"/>
      </w:pPr>
      <w:r>
        <w:t>unpaid work in a family business</w:t>
      </w:r>
    </w:p>
    <w:p w14:paraId="3364BD1A" w14:textId="77777777" w:rsidR="005E1B35" w:rsidRDefault="005E1B35" w:rsidP="00882158">
      <w:pPr>
        <w:pStyle w:val="ListBullet2"/>
      </w:pPr>
      <w:r>
        <w:t>unpaid work experience or unpaid internship</w:t>
      </w:r>
    </w:p>
    <w:p w14:paraId="3AB750AF" w14:textId="77777777" w:rsidR="005E1B35" w:rsidRDefault="005E1B35" w:rsidP="00882158">
      <w:pPr>
        <w:pStyle w:val="ListBullet2"/>
      </w:pPr>
      <w:r>
        <w:t>actively setting up a business</w:t>
      </w:r>
    </w:p>
    <w:p w14:paraId="259F12EE" w14:textId="77777777" w:rsidR="005E1B35" w:rsidRDefault="005E1B35" w:rsidP="00882158">
      <w:pPr>
        <w:pStyle w:val="ListBullet2"/>
      </w:pPr>
      <w:r>
        <w:t>actively looking for work</w:t>
      </w:r>
    </w:p>
    <w:p w14:paraId="62A607A1" w14:textId="77777777" w:rsidR="005E1B35" w:rsidRDefault="005E1B35" w:rsidP="00882158">
      <w:pPr>
        <w:pStyle w:val="ListBullet"/>
      </w:pPr>
      <w:r>
        <w:t>other forms of activity</w:t>
      </w:r>
    </w:p>
    <w:p w14:paraId="167F9D28" w14:textId="77777777" w:rsidR="005E1B35" w:rsidRDefault="005E1B35" w:rsidP="00882158">
      <w:pPr>
        <w:pStyle w:val="ListBullet2"/>
      </w:pPr>
      <w:r>
        <w:t>paid or unpaid leave, including paid or unpaid parental or maternity leave</w:t>
      </w:r>
    </w:p>
    <w:p w14:paraId="38BCD010" w14:textId="77777777" w:rsidR="005E1B35" w:rsidRDefault="005E1B35" w:rsidP="00882158">
      <w:pPr>
        <w:pStyle w:val="ListBullet2"/>
      </w:pPr>
      <w:r>
        <w:t>doing an approved course of education or study</w:t>
      </w:r>
    </w:p>
    <w:p w14:paraId="3E86C90F" w14:textId="77777777" w:rsidR="005E1B35" w:rsidRDefault="005E1B35" w:rsidP="00882158">
      <w:pPr>
        <w:pStyle w:val="ListBullet2"/>
      </w:pPr>
      <w:r>
        <w:t>doing training to improve work skills or employment prospects</w:t>
      </w:r>
    </w:p>
    <w:p w14:paraId="53DC16B8" w14:textId="77777777" w:rsidR="005E1B35" w:rsidRDefault="005E1B35" w:rsidP="00882158">
      <w:pPr>
        <w:pStyle w:val="ListBullet2"/>
      </w:pPr>
      <w:r>
        <w:t>volunteering</w:t>
      </w:r>
    </w:p>
    <w:p w14:paraId="3D607B9E" w14:textId="77777777" w:rsidR="005E1B35" w:rsidRDefault="005E1B35" w:rsidP="00882158">
      <w:pPr>
        <w:pStyle w:val="ListBullet2"/>
      </w:pPr>
      <w:r>
        <w:t xml:space="preserve">other activities on a case by case basis </w:t>
      </w:r>
      <w:r w:rsidRPr="00491BBF">
        <w:rPr>
          <w:rFonts w:ascii="Arial" w:hAnsi="Arial" w:cs="Arial"/>
        </w:rPr>
        <w:t>(Services Australia 2022d)</w:t>
      </w:r>
      <w:r>
        <w:t>.</w:t>
      </w:r>
    </w:p>
    <w:p w14:paraId="39733005" w14:textId="77777777" w:rsidR="005E1B35" w:rsidRDefault="005E1B35" w:rsidP="00882158">
      <w:pPr>
        <w:pStyle w:val="BodyText"/>
        <w:keepNext/>
      </w:pPr>
      <w:r>
        <w:t>For some activity types, only a certain amount of time is recognised, such as:</w:t>
      </w:r>
    </w:p>
    <w:p w14:paraId="1305FE92" w14:textId="77777777" w:rsidR="005E1B35" w:rsidRDefault="005E1B35" w:rsidP="00882158">
      <w:pPr>
        <w:pStyle w:val="ListBullet"/>
      </w:pPr>
      <w:r>
        <w:t>periods of unpaid leave for up to six months (this does not apply to unpaid parental leave)</w:t>
      </w:r>
    </w:p>
    <w:p w14:paraId="6803D6D7" w14:textId="77777777" w:rsidR="005E1B35" w:rsidRDefault="005E1B35" w:rsidP="00882158">
      <w:pPr>
        <w:pStyle w:val="ListBullet"/>
      </w:pPr>
      <w:r>
        <w:t>setting up a business for six months out of every 12 months</w:t>
      </w:r>
    </w:p>
    <w:p w14:paraId="7655F1F5" w14:textId="77777777" w:rsidR="005E1B35" w:rsidRDefault="005E1B35" w:rsidP="00882158">
      <w:pPr>
        <w:pStyle w:val="ListBullet"/>
      </w:pPr>
      <w:r>
        <w:t xml:space="preserve">16 hours per fortnight if the only activity is volunteering or actively looking for work </w:t>
      </w:r>
      <w:r w:rsidRPr="00491BBF">
        <w:rPr>
          <w:rFonts w:ascii="Arial" w:hAnsi="Arial" w:cs="Arial"/>
        </w:rPr>
        <w:t>(Services Australia 2022d)</w:t>
      </w:r>
      <w:r>
        <w:t>. For example, if a parent or guardian only undertakes volunteering as their activity and completes 20 hours in a fortnight, then only 16 of those hours would be recognised and they would be eligible for 36 hours of subsidised care for that fortnight.</w:t>
      </w:r>
    </w:p>
    <w:p w14:paraId="5A304DDF" w14:textId="77777777" w:rsidR="00352D3A" w:rsidRDefault="005E1B35" w:rsidP="00882158">
      <w:pPr>
        <w:pStyle w:val="BodyText"/>
      </w:pPr>
      <w:r>
        <w:t>Generally, though, the number of eligible subsidised care hours increases as the activity level increases (table D.1).</w:t>
      </w:r>
    </w:p>
    <w:p w14:paraId="5FE7FC4E" w14:textId="77777777" w:rsidR="00352D3A" w:rsidRDefault="00352D3A">
      <w:pPr>
        <w:spacing w:before="0" w:after="160" w:line="259" w:lineRule="auto"/>
      </w:pPr>
      <w:r>
        <w:br w:type="page"/>
      </w:r>
    </w:p>
    <w:p w14:paraId="0A28463F" w14:textId="77777777" w:rsidR="005E1B35" w:rsidRDefault="005E1B35" w:rsidP="00882158">
      <w:pPr>
        <w:pStyle w:val="FigureTableHeading"/>
      </w:pPr>
      <w:r>
        <w:lastRenderedPageBreak/>
        <w:t xml:space="preserve">Table </w:t>
      </w:r>
      <w:r>
        <w:rPr>
          <w:noProof/>
        </w:rPr>
        <w:t>D</w:t>
      </w:r>
      <w:r>
        <w:t>.</w:t>
      </w:r>
      <w:r>
        <w:rPr>
          <w:noProof/>
        </w:rPr>
        <w:t xml:space="preserve">1 – Hours of subsidised care increase with the level of </w:t>
      </w:r>
      <w:r>
        <w:t>activity</w:t>
      </w:r>
      <w:r w:rsidRPr="00BA0217">
        <w:rPr>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20"/>
      </w:tblGrid>
      <w:tr w:rsidR="005E1B35" w:rsidRPr="009E3D16" w14:paraId="1D59D792" w14:textId="77777777" w:rsidTr="00882158">
        <w:trPr>
          <w:tblHeader/>
        </w:trPr>
        <w:tc>
          <w:tcPr>
            <w:tcW w:w="4819" w:type="dxa"/>
            <w:tcBorders>
              <w:bottom w:val="single" w:sz="4" w:space="0" w:color="B3B3B3"/>
            </w:tcBorders>
            <w:shd w:val="clear" w:color="000000" w:fill="auto"/>
            <w:vAlign w:val="bottom"/>
          </w:tcPr>
          <w:p w14:paraId="461B9762" w14:textId="77777777" w:rsidR="005E1B35" w:rsidRPr="00D126B3" w:rsidRDefault="005E1B35">
            <w:pPr>
              <w:spacing w:before="45" w:after="45"/>
              <w:ind w:left="57" w:right="108"/>
              <w:rPr>
                <w:rFonts w:ascii="Arial (Body)" w:hAnsi="Arial (Body)"/>
                <w:b/>
                <w:color w:val="265A9A"/>
                <w:sz w:val="18"/>
              </w:rPr>
            </w:pPr>
            <w:r>
              <w:rPr>
                <w:rFonts w:ascii="Arial (Body)" w:hAnsi="Arial (Body)"/>
                <w:b/>
                <w:color w:val="265A9A"/>
                <w:sz w:val="18"/>
              </w:rPr>
              <w:t>Activity level each fortnight</w:t>
            </w:r>
          </w:p>
        </w:tc>
        <w:tc>
          <w:tcPr>
            <w:tcW w:w="4820" w:type="dxa"/>
            <w:tcBorders>
              <w:bottom w:val="single" w:sz="4" w:space="0" w:color="B3B3B3"/>
            </w:tcBorders>
            <w:shd w:val="clear" w:color="000000" w:fill="auto"/>
            <w:vAlign w:val="bottom"/>
          </w:tcPr>
          <w:p w14:paraId="2B8B62CB" w14:textId="77777777" w:rsidR="005E1B35" w:rsidRPr="009E3D16" w:rsidRDefault="005E1B35" w:rsidP="00882158">
            <w:pPr>
              <w:pStyle w:val="TableHeading"/>
              <w:spacing w:before="45" w:after="45"/>
              <w:ind w:right="108"/>
              <w:rPr>
                <w:rFonts w:ascii="Arial (Body)" w:hAnsi="Arial (Body)"/>
                <w:color w:val="265A9A"/>
              </w:rPr>
            </w:pPr>
            <w:r w:rsidRPr="009E3D16">
              <w:rPr>
                <w:rFonts w:ascii="Arial (Body)" w:hAnsi="Arial (Body)"/>
                <w:color w:val="265A9A"/>
              </w:rPr>
              <w:t>Hours of subsidised care each fortnight</w:t>
            </w:r>
          </w:p>
        </w:tc>
      </w:tr>
      <w:tr w:rsidR="005E1B35" w:rsidRPr="009E3D16" w14:paraId="482F2DAD" w14:textId="77777777" w:rsidTr="00882158">
        <w:tc>
          <w:tcPr>
            <w:tcW w:w="4819" w:type="dxa"/>
            <w:tcBorders>
              <w:top w:val="single" w:sz="4" w:space="0" w:color="B3B3B3"/>
              <w:bottom w:val="nil"/>
            </w:tcBorders>
            <w:shd w:val="clear" w:color="000000" w:fill="F2F2F2"/>
          </w:tcPr>
          <w:p w14:paraId="1AAFBD01" w14:textId="77777777" w:rsidR="005E1B35" w:rsidRPr="00D51B00" w:rsidRDefault="005E1B35" w:rsidP="00882158">
            <w:pPr>
              <w:pStyle w:val="TableBody"/>
              <w:spacing w:before="45" w:after="45"/>
              <w:ind w:right="108"/>
              <w:rPr>
                <w:rFonts w:ascii="Arial (Body)" w:hAnsi="Arial (Body)"/>
                <w:b/>
                <w:color w:val="000000"/>
              </w:rPr>
            </w:pPr>
            <w:r w:rsidRPr="00D51B00">
              <w:rPr>
                <w:rFonts w:ascii="Arial (Body)" w:hAnsi="Arial (Body)"/>
                <w:color w:val="000000"/>
              </w:rPr>
              <w:t xml:space="preserve">Less than </w:t>
            </w:r>
            <w:r>
              <w:rPr>
                <w:rFonts w:ascii="Arial (Body)" w:hAnsi="Arial (Body)"/>
                <w:color w:val="000000"/>
              </w:rPr>
              <w:t>eight</w:t>
            </w:r>
            <w:r w:rsidRPr="00D51B00">
              <w:rPr>
                <w:rFonts w:ascii="Arial (Body)" w:hAnsi="Arial (Body)"/>
                <w:color w:val="000000"/>
              </w:rPr>
              <w:t xml:space="preserve"> hours</w:t>
            </w:r>
          </w:p>
        </w:tc>
        <w:tc>
          <w:tcPr>
            <w:tcW w:w="4820" w:type="dxa"/>
            <w:tcBorders>
              <w:top w:val="single" w:sz="4" w:space="0" w:color="B3B3B3"/>
              <w:bottom w:val="nil"/>
            </w:tcBorders>
            <w:shd w:val="clear" w:color="000000" w:fill="F2F2F2"/>
          </w:tcPr>
          <w:p w14:paraId="62F29558" w14:textId="77777777" w:rsidR="005E1B35" w:rsidRPr="009E3D16" w:rsidRDefault="005E1B35" w:rsidP="00882158">
            <w:pPr>
              <w:pStyle w:val="TableBody"/>
              <w:spacing w:before="45" w:after="45"/>
              <w:ind w:right="108"/>
              <w:rPr>
                <w:rFonts w:ascii="Arial (Body)" w:hAnsi="Arial (Body)"/>
                <w:color w:val="000000"/>
              </w:rPr>
            </w:pPr>
            <w:r>
              <w:rPr>
                <w:rFonts w:ascii="Arial (Body)" w:hAnsi="Arial (Body)"/>
                <w:color w:val="000000"/>
              </w:rPr>
              <w:t>Zero</w:t>
            </w:r>
            <w:r w:rsidRPr="009E3D16">
              <w:rPr>
                <w:rFonts w:ascii="Arial (Body)" w:hAnsi="Arial (Body)"/>
                <w:color w:val="000000"/>
              </w:rPr>
              <w:t xml:space="preserve"> hours if earning more than $</w:t>
            </w:r>
            <w:r>
              <w:rPr>
                <w:rFonts w:ascii="Arial (Body)" w:hAnsi="Arial (Body)"/>
                <w:color w:val="000000"/>
              </w:rPr>
              <w:t>80,000 per year</w:t>
            </w:r>
            <w:r w:rsidRPr="002A42E0">
              <w:rPr>
                <w:rFonts w:ascii="Arial (Body)" w:hAnsi="Arial (Body)"/>
                <w:color w:val="000000"/>
                <w:vertAlign w:val="superscript"/>
              </w:rPr>
              <w:t>b</w:t>
            </w:r>
          </w:p>
          <w:p w14:paraId="0F5843D6" w14:textId="77777777" w:rsidR="005E1B35" w:rsidRPr="009E3D16" w:rsidRDefault="005E1B35" w:rsidP="00882158">
            <w:pPr>
              <w:pStyle w:val="TableBody"/>
              <w:spacing w:before="45" w:after="45"/>
              <w:ind w:right="108"/>
              <w:rPr>
                <w:rFonts w:ascii="Arial (Body)" w:hAnsi="Arial (Body)"/>
                <w:color w:val="000000"/>
              </w:rPr>
            </w:pPr>
            <w:r w:rsidRPr="009E3D16">
              <w:rPr>
                <w:rFonts w:ascii="Arial (Body)" w:hAnsi="Arial (Body)"/>
                <w:color w:val="000000"/>
              </w:rPr>
              <w:t>24 hours if earning $</w:t>
            </w:r>
            <w:r>
              <w:rPr>
                <w:rFonts w:ascii="Arial (Body)" w:hAnsi="Arial (Body)"/>
                <w:color w:val="000000"/>
              </w:rPr>
              <w:t>80,000</w:t>
            </w:r>
            <w:r w:rsidRPr="009E3D16">
              <w:rPr>
                <w:rFonts w:ascii="Arial (Body)" w:hAnsi="Arial (Body)"/>
                <w:color w:val="000000"/>
              </w:rPr>
              <w:t xml:space="preserve"> or below</w:t>
            </w:r>
            <w:r>
              <w:rPr>
                <w:rFonts w:ascii="Arial (Body)" w:hAnsi="Arial (Body)"/>
                <w:color w:val="000000"/>
              </w:rPr>
              <w:t xml:space="preserve"> per year</w:t>
            </w:r>
            <w:r w:rsidRPr="002A42E0">
              <w:rPr>
                <w:rFonts w:ascii="Arial (Body)" w:hAnsi="Arial (Body)"/>
                <w:color w:val="000000"/>
                <w:vertAlign w:val="superscript"/>
              </w:rPr>
              <w:t>b</w:t>
            </w:r>
          </w:p>
        </w:tc>
      </w:tr>
      <w:tr w:rsidR="005E1B35" w:rsidRPr="009E3D16" w14:paraId="6FC187F0" w14:textId="77777777" w:rsidTr="00882158">
        <w:tc>
          <w:tcPr>
            <w:tcW w:w="4819" w:type="dxa"/>
            <w:tcBorders>
              <w:top w:val="nil"/>
              <w:bottom w:val="nil"/>
            </w:tcBorders>
            <w:shd w:val="clear" w:color="000000" w:fill="auto"/>
          </w:tcPr>
          <w:p w14:paraId="54F823E2" w14:textId="77777777" w:rsidR="005E1B35" w:rsidRPr="00D51B00" w:rsidRDefault="005E1B35" w:rsidP="00882158">
            <w:pPr>
              <w:pStyle w:val="TableBody"/>
              <w:spacing w:before="45" w:after="45"/>
              <w:ind w:right="108"/>
              <w:rPr>
                <w:rFonts w:ascii="Arial (Body)" w:hAnsi="Arial (Body)"/>
                <w:color w:val="000000"/>
              </w:rPr>
            </w:pPr>
            <w:r>
              <w:rPr>
                <w:rFonts w:ascii="Arial (Body)" w:hAnsi="Arial (Body)"/>
                <w:color w:val="000000"/>
              </w:rPr>
              <w:t xml:space="preserve">Eight to </w:t>
            </w:r>
            <w:r w:rsidRPr="00D51B00">
              <w:rPr>
                <w:rFonts w:ascii="Arial (Body)" w:hAnsi="Arial (Body)"/>
                <w:color w:val="000000"/>
              </w:rPr>
              <w:t>16 hours</w:t>
            </w:r>
          </w:p>
        </w:tc>
        <w:tc>
          <w:tcPr>
            <w:tcW w:w="4820" w:type="dxa"/>
            <w:tcBorders>
              <w:top w:val="nil"/>
              <w:bottom w:val="nil"/>
            </w:tcBorders>
            <w:shd w:val="clear" w:color="000000" w:fill="auto"/>
          </w:tcPr>
          <w:p w14:paraId="4E856D5E" w14:textId="77777777" w:rsidR="005E1B35" w:rsidRPr="009E3D16" w:rsidRDefault="005E1B35" w:rsidP="00882158">
            <w:pPr>
              <w:pStyle w:val="TableBody"/>
              <w:spacing w:before="45" w:after="45"/>
              <w:ind w:right="108"/>
              <w:rPr>
                <w:rFonts w:ascii="Arial (Body)" w:hAnsi="Arial (Body)"/>
                <w:color w:val="000000"/>
              </w:rPr>
            </w:pPr>
            <w:r w:rsidRPr="009E3D16">
              <w:rPr>
                <w:rFonts w:ascii="Arial (Body)" w:hAnsi="Arial (Body)"/>
                <w:color w:val="000000"/>
              </w:rPr>
              <w:t>36 hours</w:t>
            </w:r>
          </w:p>
        </w:tc>
      </w:tr>
      <w:tr w:rsidR="005E1B35" w:rsidRPr="009E3D16" w14:paraId="4E552DC7" w14:textId="77777777" w:rsidTr="00882158">
        <w:tc>
          <w:tcPr>
            <w:tcW w:w="4819" w:type="dxa"/>
            <w:shd w:val="clear" w:color="000000" w:fill="F2F2F2"/>
          </w:tcPr>
          <w:p w14:paraId="6E88E564" w14:textId="77777777" w:rsidR="005E1B35" w:rsidRPr="00D51B00" w:rsidRDefault="005E1B35" w:rsidP="00882158">
            <w:pPr>
              <w:pStyle w:val="TableBody"/>
              <w:spacing w:before="45" w:after="45"/>
              <w:ind w:right="108"/>
              <w:rPr>
                <w:rFonts w:ascii="Arial (Body)" w:hAnsi="Arial (Body)"/>
                <w:color w:val="000000"/>
              </w:rPr>
            </w:pPr>
            <w:r w:rsidRPr="00D51B00">
              <w:rPr>
                <w:rFonts w:ascii="Arial (Body)" w:hAnsi="Arial (Body)"/>
                <w:color w:val="000000"/>
              </w:rPr>
              <w:t>More than 16</w:t>
            </w:r>
            <w:r>
              <w:rPr>
                <w:rFonts w:ascii="Arial (Body)" w:hAnsi="Arial (Body)"/>
                <w:color w:val="000000"/>
              </w:rPr>
              <w:t xml:space="preserve"> to </w:t>
            </w:r>
            <w:r w:rsidRPr="00D51B00">
              <w:rPr>
                <w:rFonts w:ascii="Arial (Body)" w:hAnsi="Arial (Body)"/>
                <w:color w:val="000000"/>
              </w:rPr>
              <w:t>48 hours</w:t>
            </w:r>
          </w:p>
        </w:tc>
        <w:tc>
          <w:tcPr>
            <w:tcW w:w="4820" w:type="dxa"/>
            <w:shd w:val="clear" w:color="000000" w:fill="F2F2F2"/>
          </w:tcPr>
          <w:p w14:paraId="14D51A0D" w14:textId="77777777" w:rsidR="005E1B35" w:rsidRPr="009E3D16" w:rsidRDefault="005E1B35" w:rsidP="00882158">
            <w:pPr>
              <w:pStyle w:val="TableBody"/>
              <w:spacing w:before="45" w:after="45"/>
              <w:ind w:right="108"/>
              <w:rPr>
                <w:rFonts w:ascii="Arial (Body)" w:hAnsi="Arial (Body)"/>
                <w:color w:val="000000"/>
              </w:rPr>
            </w:pPr>
            <w:r w:rsidRPr="009E3D16">
              <w:rPr>
                <w:rFonts w:ascii="Arial (Body)" w:hAnsi="Arial (Body)"/>
                <w:color w:val="000000"/>
              </w:rPr>
              <w:t>72 hours</w:t>
            </w:r>
          </w:p>
        </w:tc>
      </w:tr>
      <w:tr w:rsidR="005E1B35" w:rsidRPr="009E3D16" w14:paraId="64A1C6FE" w14:textId="77777777" w:rsidTr="00882158">
        <w:tc>
          <w:tcPr>
            <w:tcW w:w="4819" w:type="dxa"/>
            <w:tcBorders>
              <w:bottom w:val="single" w:sz="4" w:space="0" w:color="B3B3B3"/>
            </w:tcBorders>
            <w:shd w:val="clear" w:color="auto" w:fill="auto"/>
          </w:tcPr>
          <w:p w14:paraId="34CA08F4" w14:textId="77777777" w:rsidR="005E1B35" w:rsidRPr="00D51B00" w:rsidRDefault="005E1B35" w:rsidP="00882158">
            <w:pPr>
              <w:pStyle w:val="TableBody"/>
              <w:spacing w:before="45" w:after="45"/>
              <w:ind w:right="108"/>
              <w:rPr>
                <w:rFonts w:ascii="Arial (Body)" w:hAnsi="Arial (Body)"/>
                <w:b/>
                <w:color w:val="000000"/>
              </w:rPr>
            </w:pPr>
            <w:r w:rsidRPr="00D51B00">
              <w:rPr>
                <w:rFonts w:ascii="Arial (Body)" w:hAnsi="Arial (Body)"/>
                <w:color w:val="000000"/>
              </w:rPr>
              <w:t>More than 48 hours</w:t>
            </w:r>
          </w:p>
        </w:tc>
        <w:tc>
          <w:tcPr>
            <w:tcW w:w="4820" w:type="dxa"/>
            <w:tcBorders>
              <w:bottom w:val="single" w:sz="4" w:space="0" w:color="B3B3B3"/>
            </w:tcBorders>
            <w:shd w:val="clear" w:color="auto" w:fill="auto"/>
          </w:tcPr>
          <w:p w14:paraId="45C6546E" w14:textId="77777777" w:rsidR="005E1B35" w:rsidRPr="009E3D16" w:rsidRDefault="005E1B35" w:rsidP="00882158">
            <w:pPr>
              <w:pStyle w:val="TableBody"/>
              <w:spacing w:before="45" w:after="45"/>
              <w:ind w:right="108"/>
              <w:rPr>
                <w:rFonts w:ascii="Arial (Body)" w:hAnsi="Arial (Body)"/>
                <w:color w:val="000000"/>
              </w:rPr>
            </w:pPr>
            <w:r w:rsidRPr="009E3D16">
              <w:rPr>
                <w:rFonts w:ascii="Arial (Body)" w:hAnsi="Arial (Body)"/>
                <w:color w:val="000000"/>
              </w:rPr>
              <w:t>100 hours</w:t>
            </w:r>
          </w:p>
        </w:tc>
      </w:tr>
    </w:tbl>
    <w:p w14:paraId="2D5BDF9B" w14:textId="77777777" w:rsidR="005E1B35" w:rsidRDefault="005E1B35" w:rsidP="00882158">
      <w:pPr>
        <w:pStyle w:val="Note"/>
      </w:pPr>
      <w:r w:rsidRPr="00C36914">
        <w:rPr>
          <w:b/>
          <w:bCs/>
        </w:rPr>
        <w:t>a.</w:t>
      </w:r>
      <w:r w:rsidRPr="00BA0217">
        <w:t xml:space="preserve"> Does not apply to IHC (being eligible for IHC entitles families to receive</w:t>
      </w:r>
      <w:r>
        <w:t xml:space="preserve"> up to</w:t>
      </w:r>
      <w:r w:rsidRPr="00BA0217">
        <w:t xml:space="preserve"> </w:t>
      </w:r>
      <w:r w:rsidRPr="008A2C7A">
        <w:t>50</w:t>
      </w:r>
      <w:r w:rsidRPr="00BA0217">
        <w:t xml:space="preserve"> hours of care </w:t>
      </w:r>
      <w:r>
        <w:t>each</w:t>
      </w:r>
      <w:r w:rsidRPr="00BA0217">
        <w:t xml:space="preserve"> week).</w:t>
      </w:r>
      <w:r>
        <w:t xml:space="preserve"> </w:t>
      </w:r>
      <w:r w:rsidRPr="003C39EE">
        <w:rPr>
          <w:b/>
          <w:bCs/>
        </w:rPr>
        <w:t>b.</w:t>
      </w:r>
      <w:r>
        <w:t xml:space="preserve"> $80,000 is the 2023</w:t>
      </w:r>
      <w:r>
        <w:noBreakHyphen/>
        <w:t>24 threshold.</w:t>
      </w:r>
    </w:p>
    <w:p w14:paraId="389E1546" w14:textId="77777777" w:rsidR="005E1B35" w:rsidDel="001E0012" w:rsidRDefault="005E1B35" w:rsidP="00882158">
      <w:pPr>
        <w:pStyle w:val="Source"/>
      </w:pPr>
      <w:r w:rsidRPr="00BA0217">
        <w:t xml:space="preserve">Source: Services Australia </w:t>
      </w:r>
      <w:r w:rsidRPr="00491BBF">
        <w:rPr>
          <w:rFonts w:cs="Arial"/>
        </w:rPr>
        <w:t>(2022a)</w:t>
      </w:r>
      <w:r w:rsidRPr="00BA0217">
        <w:t>.</w:t>
      </w:r>
    </w:p>
    <w:p w14:paraId="23A301B6" w14:textId="77777777" w:rsidR="005E1B35" w:rsidRDefault="005E1B35" w:rsidP="00882158">
      <w:pPr>
        <w:pStyle w:val="BodyText"/>
      </w:pPr>
      <w:r>
        <w:t xml:space="preserve">Exemptions to the activity test provide an entitlement of a certain number of hours of subsidised care </w:t>
      </w:r>
      <w:r w:rsidRPr="00A9366B">
        <w:t>per</w:t>
      </w:r>
      <w:r>
        <w:t xml:space="preserve"> fortnight per child for:</w:t>
      </w:r>
    </w:p>
    <w:p w14:paraId="3F857072" w14:textId="77777777" w:rsidR="005E1B35" w:rsidRDefault="005E1B35" w:rsidP="00882158">
      <w:pPr>
        <w:pStyle w:val="ListBullet"/>
      </w:pPr>
      <w:r>
        <w:t>families who earn $80,000 or less per year (2023</w:t>
      </w:r>
      <w:r>
        <w:noBreakHyphen/>
        <w:t>24 income threshold) (24 hours)</w:t>
      </w:r>
    </w:p>
    <w:p w14:paraId="7D378A45" w14:textId="77777777" w:rsidR="005E1B35" w:rsidRDefault="005E1B35" w:rsidP="00882158">
      <w:pPr>
        <w:pStyle w:val="ListBullet"/>
      </w:pPr>
      <w:r>
        <w:t>families eligible for ACCS (eligible subsidised hours vary, table D.4 provides further details)</w:t>
      </w:r>
    </w:p>
    <w:p w14:paraId="56C0767F" w14:textId="77777777" w:rsidR="005E1B35" w:rsidRDefault="005E1B35" w:rsidP="00882158">
      <w:pPr>
        <w:pStyle w:val="ListBullet"/>
      </w:pPr>
      <w:r>
        <w:t>families with a parent or guardian in receipt of JobSeeker, Youth Allowance, Parenting Payment or Special Benefit who have mutual obligation requirements (36 hours) or who do not have mutual obligation requirements (100 hours)</w:t>
      </w:r>
    </w:p>
    <w:p w14:paraId="308EC2AD" w14:textId="77777777" w:rsidR="005E1B35" w:rsidRDefault="005E1B35" w:rsidP="00882158">
      <w:pPr>
        <w:pStyle w:val="ListBullet"/>
      </w:pPr>
      <w:r>
        <w:t>Aboriginal and Torres Strait Islander children (36 hours)</w:t>
      </w:r>
    </w:p>
    <w:p w14:paraId="6FCF26D5" w14:textId="77777777" w:rsidR="005E1B35" w:rsidRDefault="005E1B35" w:rsidP="00882158">
      <w:pPr>
        <w:pStyle w:val="ListBullet"/>
      </w:pPr>
      <w:r>
        <w:t xml:space="preserve">children attending a preschool program at a CBDC in the year before school (36 hours) </w:t>
      </w:r>
      <w:r w:rsidRPr="00491BBF">
        <w:rPr>
          <w:rFonts w:ascii="Arial" w:hAnsi="Arial" w:cs="Arial"/>
        </w:rPr>
        <w:t>(DSS 2023b, 2023a)</w:t>
      </w:r>
    </w:p>
    <w:p w14:paraId="7911BE39" w14:textId="77777777" w:rsidR="005E1B35" w:rsidRDefault="005E1B35" w:rsidP="00882158">
      <w:pPr>
        <w:pStyle w:val="ListBullet"/>
      </w:pPr>
      <w:r>
        <w:t>grandparents or great</w:t>
      </w:r>
      <w:r>
        <w:noBreakHyphen/>
        <w:t>grandparents who are primary carers (100 hours)</w:t>
      </w:r>
    </w:p>
    <w:p w14:paraId="38BB92DC" w14:textId="77777777" w:rsidR="005E1B35" w:rsidRDefault="005E1B35" w:rsidP="00882158">
      <w:pPr>
        <w:pStyle w:val="ListBullet"/>
      </w:pPr>
      <w:r>
        <w:t xml:space="preserve">parents or guardians who </w:t>
      </w:r>
      <w:r w:rsidRPr="001E6896">
        <w:t xml:space="preserve">have </w:t>
      </w:r>
      <w:r>
        <w:t xml:space="preserve">a </w:t>
      </w:r>
      <w:r w:rsidRPr="001E6896">
        <w:t xml:space="preserve">disability or medical condition that stops </w:t>
      </w:r>
      <w:r>
        <w:t xml:space="preserve">them </w:t>
      </w:r>
      <w:r w:rsidRPr="001E6896">
        <w:t xml:space="preserve">from </w:t>
      </w:r>
      <w:r>
        <w:t>participating in recognised activity, or who would be unable to adequately care for their child if the child did not attend ECEC (100 hours)</w:t>
      </w:r>
    </w:p>
    <w:p w14:paraId="0EFDC908" w14:textId="77777777" w:rsidR="005E1B35" w:rsidRDefault="005E1B35" w:rsidP="00882158">
      <w:pPr>
        <w:pStyle w:val="ListBullet"/>
      </w:pPr>
      <w:r>
        <w:t>parents or guardians who provide constant care for a child or adult with a disability or medical condition (100 hours)</w:t>
      </w:r>
    </w:p>
    <w:p w14:paraId="3915F9D8" w14:textId="77777777" w:rsidR="005E1B35" w:rsidRDefault="005E1B35" w:rsidP="00882158">
      <w:pPr>
        <w:pStyle w:val="ListBullet"/>
      </w:pPr>
      <w:r>
        <w:t>Carer Payment recipients (100 hours)</w:t>
      </w:r>
    </w:p>
    <w:p w14:paraId="1B1EA751" w14:textId="77777777" w:rsidR="005E1B35" w:rsidRDefault="005E1B35" w:rsidP="00882158">
      <w:pPr>
        <w:pStyle w:val="ListBullet"/>
      </w:pPr>
      <w:r>
        <w:t>Carer Allowance recipients (72 hours)</w:t>
      </w:r>
      <w:r>
        <w:rPr>
          <w:rStyle w:val="FootnoteReference"/>
        </w:rPr>
        <w:footnoteReference w:id="13"/>
      </w:r>
    </w:p>
    <w:p w14:paraId="02058BB9" w14:textId="77777777" w:rsidR="005E1B35" w:rsidRDefault="005E1B35" w:rsidP="00882158">
      <w:pPr>
        <w:pStyle w:val="ListBullet"/>
      </w:pPr>
      <w:r>
        <w:t xml:space="preserve">parents or guardians who </w:t>
      </w:r>
      <w:r w:rsidRPr="00E3066D">
        <w:t xml:space="preserve">are temporarily outside Australia for up to a maximum of </w:t>
      </w:r>
      <w:r>
        <w:t>six</w:t>
      </w:r>
      <w:r w:rsidRPr="00E3066D">
        <w:t xml:space="preserve"> weeks</w:t>
      </w:r>
      <w:r>
        <w:t xml:space="preserve"> (100 hours)</w:t>
      </w:r>
    </w:p>
    <w:p w14:paraId="29CDDBA6" w14:textId="77777777" w:rsidR="005E1B35" w:rsidRDefault="005E1B35" w:rsidP="00882158">
      <w:pPr>
        <w:pStyle w:val="ListBullet"/>
      </w:pPr>
      <w:r>
        <w:t xml:space="preserve">parents or guardians who are in prison or psychiatric confinement because they have been charged with or convicted of an offence (100 hours) </w:t>
      </w:r>
      <w:r w:rsidRPr="00491BBF">
        <w:rPr>
          <w:rFonts w:ascii="Arial" w:hAnsi="Arial" w:cs="Arial"/>
        </w:rPr>
        <w:t>(DSS 2023b, 2023a)</w:t>
      </w:r>
      <w:r>
        <w:t>.</w:t>
      </w:r>
    </w:p>
    <w:p w14:paraId="597045EC" w14:textId="77777777" w:rsidR="005E1B35" w:rsidRDefault="005E1B35" w:rsidP="00882158">
      <w:pPr>
        <w:pStyle w:val="BodyText"/>
      </w:pPr>
      <w:r>
        <w:t>I</w:t>
      </w:r>
      <w:r w:rsidRPr="0029497F">
        <w:t xml:space="preserve">f there </w:t>
      </w:r>
      <w:r>
        <w:t>is more than one</w:t>
      </w:r>
      <w:r w:rsidRPr="0029497F">
        <w:t xml:space="preserve"> parent or guardian, the parent or guardian with the lowe</w:t>
      </w:r>
      <w:r>
        <w:t>st</w:t>
      </w:r>
      <w:r w:rsidRPr="0029497F">
        <w:t xml:space="preserve"> activity</w:t>
      </w:r>
      <w:r>
        <w:t xml:space="preserve"> result (in other words, the level of activity that results in a lower number of subsidised hours) determines the number of eligible subsidised care hours </w:t>
      </w:r>
      <w:r w:rsidRPr="00491BBF">
        <w:rPr>
          <w:rFonts w:ascii="Arial" w:hAnsi="Arial" w:cs="Arial"/>
        </w:rPr>
        <w:t>(Services Australia 2022a)</w:t>
      </w:r>
      <w:r>
        <w:t>.</w:t>
      </w:r>
      <w:r w:rsidRPr="00A05A85">
        <w:t xml:space="preserve"> This applies where one parent</w:t>
      </w:r>
      <w:r>
        <w:t xml:space="preserve"> or guardian</w:t>
      </w:r>
      <w:r w:rsidRPr="00A05A85">
        <w:t xml:space="preserve"> has an activity test exemption and the other does not</w:t>
      </w:r>
      <w:r>
        <w:t xml:space="preserve"> (box D.1)</w:t>
      </w:r>
      <w:r w:rsidRPr="0029497F">
        <w:t>.</w:t>
      </w:r>
    </w:p>
    <w:p w14:paraId="43375EAD"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14:paraId="04A2150B" w14:textId="77777777" w:rsidTr="00882158">
        <w:trPr>
          <w:tblHeader/>
        </w:trPr>
        <w:tc>
          <w:tcPr>
            <w:tcW w:w="9638" w:type="dxa"/>
            <w:shd w:val="clear" w:color="auto" w:fill="EBEBEB"/>
            <w:tcMar>
              <w:top w:w="170" w:type="dxa"/>
              <w:left w:w="170" w:type="dxa"/>
              <w:bottom w:w="113" w:type="dxa"/>
              <w:right w:w="170" w:type="dxa"/>
            </w:tcMar>
            <w:hideMark/>
          </w:tcPr>
          <w:p w14:paraId="3E37FAEC" w14:textId="77777777" w:rsidR="005E1B35" w:rsidRDefault="005E1B35">
            <w:pPr>
              <w:pStyle w:val="BoxHeading1"/>
            </w:pPr>
            <w:r>
              <w:lastRenderedPageBreak/>
              <w:t xml:space="preserve">Box </w:t>
            </w:r>
            <w:r>
              <w:rPr>
                <w:noProof/>
              </w:rPr>
              <w:t>D</w:t>
            </w:r>
            <w:r>
              <w:t>.</w:t>
            </w:r>
            <w:r>
              <w:rPr>
                <w:noProof/>
              </w:rPr>
              <w:t>1</w:t>
            </w:r>
            <w:r>
              <w:t xml:space="preserve"> – Exemptions may or may not affect a family’s activity test result</w:t>
            </w:r>
          </w:p>
        </w:tc>
      </w:tr>
      <w:tr w:rsidR="005E1B35" w14:paraId="5478FC2A" w14:textId="77777777" w:rsidTr="00882158">
        <w:tc>
          <w:tcPr>
            <w:tcW w:w="9638" w:type="dxa"/>
            <w:shd w:val="clear" w:color="auto" w:fill="EBEBEB"/>
            <w:tcMar>
              <w:top w:w="28" w:type="dxa"/>
              <w:left w:w="170" w:type="dxa"/>
              <w:bottom w:w="170" w:type="dxa"/>
              <w:right w:w="170" w:type="dxa"/>
            </w:tcMar>
            <w:hideMark/>
          </w:tcPr>
          <w:p w14:paraId="590DEA49" w14:textId="77777777" w:rsidR="005E1B35" w:rsidRDefault="005E1B35" w:rsidP="00882158">
            <w:pPr>
              <w:pStyle w:val="BodyText"/>
            </w:pPr>
            <w:r>
              <w:t>Sunghun and Lia have two children and collectively earn less than $80,000 per year. Sunghun does not undertake any recognised activity, while Lia studies 50 hours each fortnight. Generally, based on Sunghun’s lower activity test result, Sunghun and Lia’s children would not be entitled to any subsidised care. However, as the family’s annual income is less than $80,000, the children are entitled to 24 hours of subsidised care per fortnight each, regardless of Sunghun and Lia’s activity levels.</w:t>
            </w:r>
          </w:p>
          <w:p w14:paraId="05E1E191" w14:textId="77777777" w:rsidR="005E1B35" w:rsidRDefault="005E1B35" w:rsidP="00882158">
            <w:pPr>
              <w:pStyle w:val="BodyText"/>
            </w:pPr>
            <w:r>
              <w:t>Simon and Daniil have one child. Simon works for 40 hours per fortnight and Daniil receives Carer Payment. Although Daniil is entitled to an activity test exemption of 100 hours per fortnight, because Simon works between 16 and 48 hours per fortnight, their child is eligible for 72 hours of subsidised care per fortnight (the lower of Simon and Daniil’s respective activity test results).</w:t>
            </w:r>
          </w:p>
          <w:p w14:paraId="4597327F" w14:textId="77777777" w:rsidR="005E1B35" w:rsidRDefault="005E1B35">
            <w:pPr>
              <w:pStyle w:val="Source"/>
            </w:pPr>
            <w:r>
              <w:t xml:space="preserve">Source: </w:t>
            </w:r>
            <w:r w:rsidRPr="00033A37">
              <w:t>DoE (pers. comm., 3</w:t>
            </w:r>
            <w:r>
              <w:t> </w:t>
            </w:r>
            <w:r w:rsidRPr="00033A37">
              <w:t>May 2024)</w:t>
            </w:r>
            <w:r>
              <w:t>.</w:t>
            </w:r>
          </w:p>
        </w:tc>
      </w:tr>
      <w:tr w:rsidR="005E1B35" w14:paraId="74333F3B" w14:textId="77777777" w:rsidTr="00882158">
        <w:trPr>
          <w:hidden/>
        </w:trPr>
        <w:tc>
          <w:tcPr>
            <w:tcW w:w="9638" w:type="dxa"/>
            <w:shd w:val="clear" w:color="auto" w:fill="auto"/>
            <w:tcMar>
              <w:top w:w="0" w:type="dxa"/>
              <w:left w:w="170" w:type="dxa"/>
              <w:bottom w:w="0" w:type="dxa"/>
              <w:right w:w="170" w:type="dxa"/>
            </w:tcMar>
          </w:tcPr>
          <w:p w14:paraId="406EC2C8" w14:textId="77777777" w:rsidR="005E1B35" w:rsidRPr="00465191" w:rsidRDefault="005E1B35">
            <w:pPr>
              <w:pStyle w:val="BodyText"/>
              <w:spacing w:before="0" w:after="0" w:line="80" w:lineRule="atLeast"/>
              <w:rPr>
                <w:smallCaps/>
                <w:vanish/>
              </w:rPr>
            </w:pPr>
          </w:p>
        </w:tc>
      </w:tr>
    </w:tbl>
    <w:p w14:paraId="6D0DACB2" w14:textId="77777777" w:rsidR="005E1B35" w:rsidRDefault="005E1B35" w:rsidP="00882158">
      <w:pPr>
        <w:pStyle w:val="Heading3"/>
      </w:pPr>
      <w:r>
        <w:t>The CCS hourly rate cap</w:t>
      </w:r>
    </w:p>
    <w:p w14:paraId="40A72904" w14:textId="77777777" w:rsidR="005E1B35" w:rsidRDefault="005E1B35" w:rsidP="00882158">
      <w:pPr>
        <w:pStyle w:val="BodyText"/>
      </w:pPr>
      <w:r>
        <w:t xml:space="preserve">The CCS hourly rate cap sets the maximum hourly rate to which the subsidy applies. When the CCS hourly rate cap was introduced, it reflected the ‘projected mean price at the time of implementation plus 17.5% for Long Day Care and OSHC and 5.75% for FDC’ </w:t>
      </w:r>
      <w:r w:rsidRPr="00491BBF">
        <w:rPr>
          <w:rFonts w:ascii="Arial" w:hAnsi="Arial" w:cs="Arial"/>
        </w:rPr>
        <w:t>(Abbott and Morrison 2015)</w:t>
      </w:r>
      <w:r>
        <w:t>.</w:t>
      </w:r>
      <w:r>
        <w:rPr>
          <w:rStyle w:val="FootnoteReference"/>
        </w:rPr>
        <w:footnoteReference w:id="14"/>
      </w:r>
    </w:p>
    <w:p w14:paraId="67DD5E22" w14:textId="33DBBB6B" w:rsidR="005E1B35" w:rsidRDefault="005E1B35" w:rsidP="00882158">
      <w:pPr>
        <w:pStyle w:val="BodyText"/>
      </w:pPr>
      <w:r>
        <w:t xml:space="preserve">If the hourly fee charged by a service provider is below the hourly rate cap, then the subsidy rate is applied to the hourly fee. However, if the hourly fee charged is at or above the CCS hourly rate cap, the subsidy rate is applied to the CCS hourly rate cap and any fee above it is unsubsidised </w:t>
      </w:r>
      <w:r w:rsidRPr="003139C7">
        <w:rPr>
          <w:rFonts w:ascii="Arial" w:hAnsi="Arial" w:cs="Arial"/>
        </w:rPr>
        <w:t>(Services Australia 2023f)</w:t>
      </w:r>
      <w:r>
        <w:t>.</w:t>
      </w:r>
      <w:r>
        <w:rPr>
          <w:rStyle w:val="FootnoteReference"/>
        </w:rPr>
        <w:footnoteReference w:id="15"/>
      </w:r>
      <w:r>
        <w:t xml:space="preserve"> The 2023</w:t>
      </w:r>
      <w:r>
        <w:noBreakHyphen/>
        <w:t>24 CCS hourly rate caps are presented in table D.2.</w:t>
      </w:r>
    </w:p>
    <w:p w14:paraId="32713CD5" w14:textId="77777777" w:rsidR="005E1B35" w:rsidRPr="00DE7DC3" w:rsidRDefault="005E1B35" w:rsidP="00882158">
      <w:pPr>
        <w:pStyle w:val="BodyText"/>
      </w:pPr>
      <w:r w:rsidRPr="00BA0217">
        <w:t>Hourly rate caps are indexed annually to the CPI</w:t>
      </w:r>
      <w:r>
        <w:t xml:space="preserve"> </w:t>
      </w:r>
      <w:r w:rsidRPr="00491BBF">
        <w:rPr>
          <w:rFonts w:ascii="Arial" w:hAnsi="Arial" w:cs="Arial"/>
        </w:rPr>
        <w:t>(DSS 2023c)</w:t>
      </w:r>
      <w:r w:rsidRPr="00BA0217">
        <w:t>.</w:t>
      </w:r>
    </w:p>
    <w:p w14:paraId="3D37823C" w14:textId="77777777" w:rsidR="005E1B35" w:rsidRDefault="005E1B35" w:rsidP="00882158">
      <w:pPr>
        <w:pStyle w:val="FigureTableHeading"/>
      </w:pPr>
      <w:r>
        <w:t xml:space="preserve">Table </w:t>
      </w:r>
      <w:r>
        <w:rPr>
          <w:noProof/>
        </w:rPr>
        <w:t>D</w:t>
      </w:r>
      <w:r>
        <w:t>.</w:t>
      </w:r>
      <w:r>
        <w:rPr>
          <w:noProof/>
        </w:rPr>
        <w:t>2 – H</w:t>
      </w:r>
      <w:r w:rsidRPr="00BA0217">
        <w:t>ourly rate caps</w:t>
      </w:r>
      <w:r>
        <w:t xml:space="preserve"> vary by type of service and age of the child</w:t>
      </w:r>
    </w:p>
    <w:p w14:paraId="158BFCE2" w14:textId="77777777" w:rsidR="005E1B35" w:rsidRDefault="005E1B35" w:rsidP="00882158">
      <w:pPr>
        <w:pStyle w:val="FigureTableSubheading"/>
      </w:pPr>
      <w:r>
        <w:t>Hourly rate caps, 2023</w:t>
      </w:r>
      <w:r>
        <w:noBreakHyphen/>
        <w:t>24</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3212"/>
        <w:gridCol w:w="3213"/>
        <w:gridCol w:w="3213"/>
      </w:tblGrid>
      <w:tr w:rsidR="005E1B35" w:rsidRPr="00030C67" w14:paraId="75104660" w14:textId="77777777" w:rsidTr="00882158">
        <w:trPr>
          <w:tblHeader/>
        </w:trPr>
        <w:tc>
          <w:tcPr>
            <w:tcW w:w="3212" w:type="dxa"/>
            <w:tcBorders>
              <w:bottom w:val="single" w:sz="4" w:space="0" w:color="B3B3B3"/>
            </w:tcBorders>
            <w:shd w:val="clear" w:color="000000" w:fill="auto"/>
            <w:vAlign w:val="bottom"/>
          </w:tcPr>
          <w:p w14:paraId="36712FB6" w14:textId="77777777" w:rsidR="005E1B35" w:rsidRPr="00030C67" w:rsidRDefault="005E1B35">
            <w:pPr>
              <w:spacing w:before="45" w:after="45"/>
              <w:ind w:right="108"/>
              <w:rPr>
                <w:rFonts w:ascii="Arial (Body)" w:hAnsi="Arial (Body)"/>
                <w:color w:val="265A9A"/>
              </w:rPr>
            </w:pPr>
          </w:p>
        </w:tc>
        <w:tc>
          <w:tcPr>
            <w:tcW w:w="3213" w:type="dxa"/>
            <w:tcBorders>
              <w:bottom w:val="single" w:sz="4" w:space="0" w:color="B3B3B3"/>
            </w:tcBorders>
            <w:shd w:val="clear" w:color="000000" w:fill="auto"/>
          </w:tcPr>
          <w:p w14:paraId="2F402924" w14:textId="77777777" w:rsidR="005E1B35" w:rsidRDefault="005E1B35" w:rsidP="00882158">
            <w:pPr>
              <w:pStyle w:val="TableHeading"/>
              <w:ind w:right="57"/>
            </w:pPr>
            <w:r w:rsidRPr="002E2BD0">
              <w:t>Hourly rate cap</w:t>
            </w:r>
          </w:p>
          <w:p w14:paraId="4B77239E" w14:textId="77777777" w:rsidR="005E1B35" w:rsidRPr="00030C67" w:rsidRDefault="005E1B35" w:rsidP="00882158">
            <w:pPr>
              <w:pStyle w:val="TableHeading"/>
              <w:ind w:right="57"/>
            </w:pPr>
            <w:r w:rsidRPr="002E2BD0">
              <w:t>(children below school age)</w:t>
            </w:r>
          </w:p>
        </w:tc>
        <w:tc>
          <w:tcPr>
            <w:tcW w:w="3213" w:type="dxa"/>
            <w:tcBorders>
              <w:bottom w:val="single" w:sz="4" w:space="0" w:color="B3B3B3"/>
            </w:tcBorders>
            <w:shd w:val="clear" w:color="000000" w:fill="auto"/>
          </w:tcPr>
          <w:p w14:paraId="349E4090" w14:textId="77777777" w:rsidR="005E1B35" w:rsidRDefault="005E1B35" w:rsidP="00882158">
            <w:pPr>
              <w:pStyle w:val="TableHeading"/>
              <w:ind w:right="57"/>
            </w:pPr>
            <w:r w:rsidRPr="002E2BD0">
              <w:t>Hourly rate cap</w:t>
            </w:r>
          </w:p>
          <w:p w14:paraId="361F97D3" w14:textId="77777777" w:rsidR="005E1B35" w:rsidRPr="00030C67" w:rsidRDefault="005E1B35" w:rsidP="00882158">
            <w:pPr>
              <w:pStyle w:val="TableHeading"/>
              <w:ind w:right="57"/>
            </w:pPr>
            <w:r w:rsidRPr="002E2BD0">
              <w:t>(school aged children)</w:t>
            </w:r>
          </w:p>
        </w:tc>
      </w:tr>
      <w:tr w:rsidR="005E1B35" w:rsidRPr="00030C67" w14:paraId="29535AE2" w14:textId="77777777" w:rsidTr="00882158">
        <w:tc>
          <w:tcPr>
            <w:tcW w:w="3212" w:type="dxa"/>
            <w:tcBorders>
              <w:top w:val="single" w:sz="4" w:space="0" w:color="B3B3B3"/>
              <w:bottom w:val="nil"/>
            </w:tcBorders>
            <w:shd w:val="clear" w:color="000000" w:fill="F2F2F2"/>
          </w:tcPr>
          <w:p w14:paraId="0C68D115" w14:textId="77777777" w:rsidR="005E1B35" w:rsidRPr="00030C67" w:rsidRDefault="005E1B35">
            <w:pPr>
              <w:pStyle w:val="TableHeading"/>
            </w:pPr>
            <w:r w:rsidRPr="002E2BD0">
              <w:t>C</w:t>
            </w:r>
            <w:r>
              <w:t>BDC</w:t>
            </w:r>
          </w:p>
        </w:tc>
        <w:tc>
          <w:tcPr>
            <w:tcW w:w="3213" w:type="dxa"/>
            <w:tcBorders>
              <w:top w:val="single" w:sz="4" w:space="0" w:color="B3B3B3"/>
              <w:bottom w:val="nil"/>
            </w:tcBorders>
            <w:shd w:val="clear" w:color="000000" w:fill="F2F2F2"/>
          </w:tcPr>
          <w:p w14:paraId="2C29BE04" w14:textId="77777777" w:rsidR="005E1B35" w:rsidRPr="006B50A3" w:rsidRDefault="005E1B35" w:rsidP="00882158">
            <w:pPr>
              <w:pStyle w:val="TableBody"/>
              <w:spacing w:before="46" w:after="46"/>
              <w:ind w:right="57"/>
            </w:pPr>
            <w:r w:rsidRPr="004B5FE5">
              <w:t>$13.73</w:t>
            </w:r>
          </w:p>
        </w:tc>
        <w:tc>
          <w:tcPr>
            <w:tcW w:w="3213" w:type="dxa"/>
            <w:tcBorders>
              <w:top w:val="single" w:sz="4" w:space="0" w:color="B3B3B3"/>
              <w:bottom w:val="nil"/>
            </w:tcBorders>
            <w:shd w:val="clear" w:color="000000" w:fill="F2F2F2"/>
          </w:tcPr>
          <w:p w14:paraId="586B5972" w14:textId="77777777" w:rsidR="005E1B35" w:rsidRPr="006B50A3" w:rsidRDefault="005E1B35" w:rsidP="00882158">
            <w:pPr>
              <w:pStyle w:val="TableBody"/>
              <w:spacing w:before="46" w:after="46"/>
              <w:ind w:right="57"/>
            </w:pPr>
            <w:r w:rsidRPr="004B5FE5">
              <w:t>$12.02</w:t>
            </w:r>
          </w:p>
        </w:tc>
      </w:tr>
      <w:tr w:rsidR="005E1B35" w:rsidRPr="00030C67" w14:paraId="70262012" w14:textId="77777777" w:rsidTr="00882158">
        <w:tc>
          <w:tcPr>
            <w:tcW w:w="3212" w:type="dxa"/>
            <w:tcBorders>
              <w:top w:val="nil"/>
              <w:bottom w:val="nil"/>
            </w:tcBorders>
            <w:shd w:val="clear" w:color="000000" w:fill="auto"/>
          </w:tcPr>
          <w:p w14:paraId="7DD25C3A" w14:textId="77777777" w:rsidR="005E1B35" w:rsidRPr="00030C67" w:rsidRDefault="005E1B35">
            <w:pPr>
              <w:pStyle w:val="TableHeading"/>
            </w:pPr>
            <w:r w:rsidRPr="002E2BD0">
              <w:t>O</w:t>
            </w:r>
            <w:r>
              <w:t>SHC</w:t>
            </w:r>
          </w:p>
        </w:tc>
        <w:tc>
          <w:tcPr>
            <w:tcW w:w="3213" w:type="dxa"/>
            <w:tcBorders>
              <w:top w:val="nil"/>
              <w:bottom w:val="nil"/>
            </w:tcBorders>
            <w:shd w:val="clear" w:color="000000" w:fill="auto"/>
          </w:tcPr>
          <w:p w14:paraId="0A290BE5" w14:textId="77777777" w:rsidR="005E1B35" w:rsidRPr="006B50A3" w:rsidRDefault="005E1B35" w:rsidP="00882158">
            <w:pPr>
              <w:pStyle w:val="TableBody"/>
              <w:spacing w:before="46" w:after="46"/>
              <w:ind w:right="57"/>
            </w:pPr>
            <w:r w:rsidRPr="004B5FE5">
              <w:t>$13.73</w:t>
            </w:r>
          </w:p>
        </w:tc>
        <w:tc>
          <w:tcPr>
            <w:tcW w:w="3213" w:type="dxa"/>
            <w:tcBorders>
              <w:top w:val="nil"/>
              <w:bottom w:val="nil"/>
            </w:tcBorders>
            <w:shd w:val="clear" w:color="000000" w:fill="auto"/>
          </w:tcPr>
          <w:p w14:paraId="63B9F62E" w14:textId="77777777" w:rsidR="005E1B35" w:rsidRPr="006B50A3" w:rsidRDefault="005E1B35" w:rsidP="00882158">
            <w:pPr>
              <w:pStyle w:val="TableBody"/>
              <w:spacing w:before="46" w:after="46"/>
              <w:ind w:right="57"/>
            </w:pPr>
            <w:r w:rsidRPr="004B5FE5">
              <w:t>$12.02</w:t>
            </w:r>
          </w:p>
        </w:tc>
      </w:tr>
      <w:tr w:rsidR="005E1B35" w:rsidRPr="00030C67" w14:paraId="3ADC5882" w14:textId="77777777" w:rsidTr="00882158">
        <w:tc>
          <w:tcPr>
            <w:tcW w:w="3212" w:type="dxa"/>
            <w:tcBorders>
              <w:bottom w:val="nil"/>
            </w:tcBorders>
            <w:shd w:val="clear" w:color="000000" w:fill="F2F2F2"/>
          </w:tcPr>
          <w:p w14:paraId="01A938D2" w14:textId="77777777" w:rsidR="005E1B35" w:rsidRPr="00030C67" w:rsidRDefault="005E1B35">
            <w:pPr>
              <w:pStyle w:val="TableHeading"/>
            </w:pPr>
            <w:r w:rsidRPr="002E2BD0">
              <w:t>F</w:t>
            </w:r>
            <w:r>
              <w:t>DC</w:t>
            </w:r>
          </w:p>
        </w:tc>
        <w:tc>
          <w:tcPr>
            <w:tcW w:w="3213" w:type="dxa"/>
            <w:tcBorders>
              <w:bottom w:val="nil"/>
            </w:tcBorders>
            <w:shd w:val="clear" w:color="000000" w:fill="F2F2F2"/>
          </w:tcPr>
          <w:p w14:paraId="53F58184" w14:textId="77777777" w:rsidR="005E1B35" w:rsidRPr="006B50A3" w:rsidRDefault="005E1B35" w:rsidP="00882158">
            <w:pPr>
              <w:pStyle w:val="TableBody"/>
              <w:spacing w:before="46" w:after="46"/>
              <w:ind w:right="57"/>
            </w:pPr>
            <w:r w:rsidRPr="004B5FE5">
              <w:t>$12.72</w:t>
            </w:r>
          </w:p>
        </w:tc>
        <w:tc>
          <w:tcPr>
            <w:tcW w:w="3213" w:type="dxa"/>
            <w:tcBorders>
              <w:bottom w:val="nil"/>
            </w:tcBorders>
            <w:shd w:val="clear" w:color="000000" w:fill="F2F2F2"/>
          </w:tcPr>
          <w:p w14:paraId="0C768BC2" w14:textId="77777777" w:rsidR="005E1B35" w:rsidRPr="006B50A3" w:rsidRDefault="005E1B35" w:rsidP="00882158">
            <w:pPr>
              <w:pStyle w:val="TableBody"/>
              <w:spacing w:before="46" w:after="46"/>
              <w:ind w:right="57"/>
            </w:pPr>
            <w:r w:rsidRPr="004B5FE5">
              <w:t>$12.72</w:t>
            </w:r>
          </w:p>
        </w:tc>
      </w:tr>
      <w:tr w:rsidR="005E1B35" w:rsidRPr="00030C67" w14:paraId="08625936" w14:textId="77777777" w:rsidTr="00882158">
        <w:tc>
          <w:tcPr>
            <w:tcW w:w="3212" w:type="dxa"/>
            <w:tcBorders>
              <w:bottom w:val="single" w:sz="4" w:space="0" w:color="B3B3B3"/>
            </w:tcBorders>
            <w:shd w:val="clear" w:color="000000" w:fill="auto"/>
          </w:tcPr>
          <w:p w14:paraId="323C548F" w14:textId="77777777" w:rsidR="005E1B35" w:rsidRPr="002E2BD0" w:rsidRDefault="005E1B35">
            <w:pPr>
              <w:pStyle w:val="TableHeading"/>
            </w:pPr>
            <w:r w:rsidRPr="002E2BD0">
              <w:t>I</w:t>
            </w:r>
            <w:r>
              <w:t>HC</w:t>
            </w:r>
            <w:r w:rsidRPr="002E2BD0">
              <w:t xml:space="preserve"> (per family)</w:t>
            </w:r>
          </w:p>
        </w:tc>
        <w:tc>
          <w:tcPr>
            <w:tcW w:w="3213" w:type="dxa"/>
            <w:tcBorders>
              <w:bottom w:val="single" w:sz="4" w:space="0" w:color="B3B3B3"/>
            </w:tcBorders>
            <w:shd w:val="clear" w:color="000000" w:fill="auto"/>
          </w:tcPr>
          <w:p w14:paraId="4F84C9EA" w14:textId="77777777" w:rsidR="005E1B35" w:rsidRPr="006B50A3" w:rsidRDefault="005E1B35" w:rsidP="00882158">
            <w:pPr>
              <w:pStyle w:val="TableBody"/>
              <w:spacing w:before="46" w:after="46"/>
              <w:ind w:right="57"/>
            </w:pPr>
            <w:r w:rsidRPr="004B5FE5">
              <w:t>$37.34</w:t>
            </w:r>
          </w:p>
        </w:tc>
        <w:tc>
          <w:tcPr>
            <w:tcW w:w="3213" w:type="dxa"/>
            <w:tcBorders>
              <w:bottom w:val="single" w:sz="4" w:space="0" w:color="B3B3B3"/>
            </w:tcBorders>
            <w:shd w:val="clear" w:color="000000" w:fill="auto"/>
          </w:tcPr>
          <w:p w14:paraId="3442F94A" w14:textId="77777777" w:rsidR="005E1B35" w:rsidRPr="006B50A3" w:rsidRDefault="005E1B35" w:rsidP="00882158">
            <w:pPr>
              <w:pStyle w:val="TableBody"/>
              <w:spacing w:before="46" w:after="46"/>
              <w:ind w:right="57"/>
            </w:pPr>
            <w:r w:rsidRPr="004B5FE5">
              <w:t>$37.34</w:t>
            </w:r>
          </w:p>
        </w:tc>
      </w:tr>
    </w:tbl>
    <w:p w14:paraId="4005317A" w14:textId="77777777" w:rsidR="005E1B35" w:rsidRPr="00BA0217" w:rsidRDefault="005E1B35" w:rsidP="00882158">
      <w:pPr>
        <w:pStyle w:val="Source"/>
      </w:pPr>
      <w:r w:rsidRPr="00BA0217">
        <w:t xml:space="preserve">Source: Services Australia </w:t>
      </w:r>
      <w:r w:rsidRPr="003139C7">
        <w:rPr>
          <w:rFonts w:cs="Arial"/>
        </w:rPr>
        <w:t>(2023f)</w:t>
      </w:r>
      <w:r w:rsidRPr="00BA0217">
        <w:t>.</w:t>
      </w:r>
    </w:p>
    <w:p w14:paraId="2247EC64" w14:textId="77777777" w:rsidR="005E1B35" w:rsidRPr="000E5A01" w:rsidRDefault="005E1B35" w:rsidP="00882158">
      <w:pPr>
        <w:pStyle w:val="BodyText"/>
      </w:pPr>
      <w:r w:rsidRPr="00FA0605">
        <w:t xml:space="preserve">Some </w:t>
      </w:r>
      <w:r w:rsidRPr="003C62A5">
        <w:t xml:space="preserve">services charge </w:t>
      </w:r>
      <w:r w:rsidRPr="00FA0605">
        <w:t xml:space="preserve">above </w:t>
      </w:r>
      <w:r w:rsidRPr="003C62A5">
        <w:t xml:space="preserve">the hourly rate cap (figure D.1). For </w:t>
      </w:r>
      <w:r w:rsidRPr="003140E2">
        <w:t>example, in the December 202</w:t>
      </w:r>
      <w:r w:rsidRPr="006B50A3">
        <w:t>3</w:t>
      </w:r>
      <w:r w:rsidRPr="003140E2">
        <w:t xml:space="preserve"> quarter, 2</w:t>
      </w:r>
      <w:r w:rsidRPr="006B50A3">
        <w:t>4</w:t>
      </w:r>
      <w:r w:rsidRPr="003140E2">
        <w:t>%</w:t>
      </w:r>
      <w:r w:rsidRPr="00FA0605">
        <w:t xml:space="preserve"> </w:t>
      </w:r>
      <w:r w:rsidRPr="003C62A5">
        <w:t>of CBDC services charge</w:t>
      </w:r>
      <w:r w:rsidRPr="00FA0605">
        <w:t>d</w:t>
      </w:r>
      <w:r w:rsidRPr="003C62A5">
        <w:t xml:space="preserve"> </w:t>
      </w:r>
      <w:r w:rsidRPr="00FA0605">
        <w:t xml:space="preserve">above </w:t>
      </w:r>
      <w:r w:rsidRPr="003C62A5">
        <w:t xml:space="preserve">the CCS hourly rate cap. </w:t>
      </w:r>
      <w:r w:rsidRPr="000F3D32">
        <w:t xml:space="preserve">And about one </w:t>
      </w:r>
      <w:r>
        <w:t>in five</w:t>
      </w:r>
      <w:r w:rsidRPr="000F3D32">
        <w:t xml:space="preserve"> children had average </w:t>
      </w:r>
      <w:r w:rsidRPr="000F3D32">
        <w:lastRenderedPageBreak/>
        <w:t xml:space="preserve">hourly fees </w:t>
      </w:r>
      <w:r>
        <w:t xml:space="preserve">across the December 2023 quarter that were </w:t>
      </w:r>
      <w:r w:rsidRPr="000F3D32">
        <w:t>above the cap, with this situation being considerably more common among families with higher incomes (figure D.2).</w:t>
      </w:r>
    </w:p>
    <w:p w14:paraId="3C446E5A" w14:textId="77777777" w:rsidR="005E1B35" w:rsidRPr="00146382" w:rsidRDefault="005E1B35" w:rsidP="00882158">
      <w:pPr>
        <w:pStyle w:val="FigureTableHeading"/>
        <w:rPr>
          <w:vertAlign w:val="superscript"/>
        </w:rPr>
      </w:pPr>
      <w:r>
        <w:t xml:space="preserve">Figure </w:t>
      </w:r>
      <w:r>
        <w:rPr>
          <w:noProof/>
        </w:rPr>
        <w:t>D</w:t>
      </w:r>
      <w:r>
        <w:t>.</w:t>
      </w:r>
      <w:r>
        <w:rPr>
          <w:noProof/>
        </w:rPr>
        <w:t>1</w:t>
      </w:r>
      <w:r w:rsidRPr="7151DA51">
        <w:rPr>
          <w:noProof/>
        </w:rPr>
        <w:t xml:space="preserve"> </w:t>
      </w:r>
      <w:r>
        <w:t xml:space="preserve">– </w:t>
      </w:r>
      <w:r w:rsidRPr="00BB725C">
        <w:t xml:space="preserve">The </w:t>
      </w:r>
      <w:r>
        <w:t xml:space="preserve">proportion of </w:t>
      </w:r>
      <w:r w:rsidRPr="00BC50AD">
        <w:t xml:space="preserve">services </w:t>
      </w:r>
      <w:r>
        <w:t>that</w:t>
      </w:r>
      <w:r w:rsidRPr="00BC50AD">
        <w:t xml:space="preserve"> charge </w:t>
      </w:r>
      <w:r w:rsidRPr="00FA0605">
        <w:t xml:space="preserve">above </w:t>
      </w:r>
      <w:r w:rsidRPr="00BC50AD">
        <w:t>the hourly rate cap</w:t>
      </w:r>
      <w:r>
        <w:t xml:space="preserve"> </w:t>
      </w:r>
      <w:r w:rsidRPr="00BB725C">
        <w:t xml:space="preserve">differs </w:t>
      </w:r>
      <w:r>
        <w:t>by</w:t>
      </w:r>
      <w:r w:rsidRPr="00BB725C">
        <w:t xml:space="preserve"> service type</w:t>
      </w:r>
      <w:r w:rsidRPr="00E246C9">
        <w:rPr>
          <w:position w:val="6"/>
          <w:vertAlign w:val="superscript"/>
        </w:rPr>
        <w:t>a,b</w:t>
      </w:r>
    </w:p>
    <w:p w14:paraId="284A4B1D" w14:textId="77777777" w:rsidR="005E1B35" w:rsidRPr="006B50A3" w:rsidRDefault="005E1B35" w:rsidP="00882158">
      <w:pPr>
        <w:pStyle w:val="FigureTableSubheading"/>
        <w:keepLines/>
        <w:rPr>
          <w:spacing w:val="-4"/>
        </w:rPr>
      </w:pPr>
      <w:r w:rsidRPr="006B50A3">
        <w:rPr>
          <w:spacing w:val="-4"/>
        </w:rPr>
        <w:t>Proportion of services charging above the hourly rate cap, December quarter 202</w:t>
      </w:r>
      <w:r>
        <w:rPr>
          <w:spacing w:val="-4"/>
        </w:rPr>
        <w:t>3</w:t>
      </w:r>
    </w:p>
    <w:p w14:paraId="453057E6" w14:textId="77777777" w:rsidR="005E1B35" w:rsidRDefault="005E1B35" w:rsidP="00882158">
      <w:pPr>
        <w:pStyle w:val="Note"/>
        <w:keepLines/>
        <w:rPr>
          <w:b/>
          <w:bCs/>
        </w:rPr>
      </w:pPr>
      <w:r w:rsidRPr="00930A4A">
        <w:rPr>
          <w:noProof/>
        </w:rPr>
        <w:drawing>
          <wp:inline distT="0" distB="0" distL="0" distR="0" wp14:anchorId="595A5B5A" wp14:editId="7A6F78A3">
            <wp:extent cx="6120130" cy="2512060"/>
            <wp:effectExtent l="0" t="0" r="0" b="0"/>
            <wp:docPr id="490787068" name="Picture 3" descr="Figure D.1 – This is a bar chart that shows the proportion of CCS-approved services charging an average hourly fee that is above the hourly rate cap in December quarter 2023. FDC services are more likely to charge above the hourly rate cap than CBDC and OSHC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87068" name="Picture 3" descr="Figure D.1 – This is a bar chart that shows the proportion of CCS-approved services charging an average hourly fee that is above the hourly rate cap in December quarter 2023. FDC services are more likely to charge above the hourly rate cap than CBDC and OSHC service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512060"/>
                    </a:xfrm>
                    <a:prstGeom prst="rect">
                      <a:avLst/>
                    </a:prstGeom>
                    <a:noFill/>
                    <a:ln>
                      <a:noFill/>
                    </a:ln>
                  </pic:spPr>
                </pic:pic>
              </a:graphicData>
            </a:graphic>
          </wp:inline>
        </w:drawing>
      </w:r>
    </w:p>
    <w:p w14:paraId="6AA8ED84" w14:textId="77777777" w:rsidR="005E1B35" w:rsidRDefault="005E1B35" w:rsidP="00882158">
      <w:pPr>
        <w:pStyle w:val="Note"/>
        <w:keepLines/>
      </w:pPr>
      <w:r w:rsidRPr="00180E66">
        <w:rPr>
          <w:b/>
          <w:bCs/>
        </w:rPr>
        <w:t>a.</w:t>
      </w:r>
      <w:r>
        <w:t xml:space="preserve"> Data excludes IHC. </w:t>
      </w:r>
      <w:r w:rsidRPr="00025A7E">
        <w:t xml:space="preserve">There are 35 IHC services, representing less than 1% of </w:t>
      </w:r>
      <w:r>
        <w:t>CCS</w:t>
      </w:r>
      <w:r>
        <w:noBreakHyphen/>
      </w:r>
      <w:r w:rsidRPr="00025A7E">
        <w:t>approved services.</w:t>
      </w:r>
      <w:r>
        <w:t xml:space="preserve"> </w:t>
      </w:r>
      <w:r>
        <w:rPr>
          <w:b/>
          <w:bCs/>
        </w:rPr>
        <w:t>b.</w:t>
      </w:r>
      <w:r>
        <w:t xml:space="preserve"> An average hourly fee (which may differ from the actual fee charged by a service) is calculated to determine whether a service is under or above the cap. Families may be charged on a sessional basis, not an hourly basis – when services offer multiple sessions and use sessional charging, the hourly fee paid by families can vary across sessions.</w:t>
      </w:r>
    </w:p>
    <w:p w14:paraId="6DACCE6C" w14:textId="77777777" w:rsidR="005E1B35" w:rsidRPr="005550A0" w:rsidRDefault="005E1B35" w:rsidP="00882158">
      <w:pPr>
        <w:pStyle w:val="Note"/>
        <w:keepLines/>
      </w:pPr>
      <w:r w:rsidRPr="00696447">
        <w:t>Source:</w:t>
      </w:r>
      <w:r>
        <w:t xml:space="preserve"> DoE </w:t>
      </w:r>
      <w:r w:rsidRPr="00491BBF">
        <w:rPr>
          <w:rFonts w:cs="Arial"/>
        </w:rPr>
        <w:t>(2024b, table</w:t>
      </w:r>
      <w:r>
        <w:rPr>
          <w:rFonts w:cs="Arial"/>
        </w:rPr>
        <w:t> </w:t>
      </w:r>
      <w:r w:rsidRPr="00491BBF">
        <w:rPr>
          <w:rFonts w:cs="Arial"/>
        </w:rPr>
        <w:t>3.4)</w:t>
      </w:r>
      <w:r w:rsidRPr="00696447">
        <w:t>.</w:t>
      </w:r>
    </w:p>
    <w:p w14:paraId="1977ED8A" w14:textId="77777777" w:rsidR="005E1B35" w:rsidRPr="00146382" w:rsidRDefault="005E1B35">
      <w:pPr>
        <w:pStyle w:val="FigureTableHeading"/>
        <w:rPr>
          <w:vertAlign w:val="superscript"/>
        </w:rPr>
      </w:pPr>
      <w:r w:rsidRPr="00ED0690">
        <w:t xml:space="preserve">Figure </w:t>
      </w:r>
      <w:r>
        <w:rPr>
          <w:noProof/>
        </w:rPr>
        <w:t>D</w:t>
      </w:r>
      <w:r w:rsidRPr="00ED0690">
        <w:t>.</w:t>
      </w:r>
      <w:r>
        <w:rPr>
          <w:noProof/>
        </w:rPr>
        <w:t>2</w:t>
      </w:r>
      <w:r w:rsidRPr="00ED0690">
        <w:rPr>
          <w:noProof/>
        </w:rPr>
        <w:t xml:space="preserve"> </w:t>
      </w:r>
      <w:r w:rsidRPr="00ED0690">
        <w:t>– Towards the end of 202</w:t>
      </w:r>
      <w:r>
        <w:t>3</w:t>
      </w:r>
      <w:r w:rsidRPr="00ED0690">
        <w:t xml:space="preserve">, families of more than one in </w:t>
      </w:r>
      <w:r>
        <w:t>five</w:t>
      </w:r>
      <w:r w:rsidRPr="00ED0690">
        <w:t xml:space="preserve"> children were charged fees above the CCS hourly rate cap</w:t>
      </w:r>
      <w:r w:rsidRPr="00ED0690">
        <w:rPr>
          <w:vertAlign w:val="superscript"/>
        </w:rPr>
        <w:t>a</w:t>
      </w:r>
    </w:p>
    <w:p w14:paraId="28E0749E" w14:textId="77777777" w:rsidR="005E1B35" w:rsidRDefault="005E1B35">
      <w:pPr>
        <w:pStyle w:val="FigureTableSubheading"/>
        <w:keepLines/>
      </w:pPr>
      <w:r>
        <w:t>Proportion of children for whom fees charged were above the hourly rate cap by income decile, December quarter 2023</w:t>
      </w:r>
    </w:p>
    <w:p w14:paraId="45E68EB1" w14:textId="77777777" w:rsidR="005E1B35" w:rsidRDefault="005E1B35">
      <w:pPr>
        <w:pStyle w:val="Note"/>
        <w:keepLines/>
        <w:rPr>
          <w:b/>
          <w:bCs/>
        </w:rPr>
      </w:pPr>
      <w:r w:rsidRPr="00B74A71">
        <w:rPr>
          <w:noProof/>
        </w:rPr>
        <w:drawing>
          <wp:inline distT="0" distB="0" distL="0" distR="0" wp14:anchorId="21740977" wp14:editId="7B9BE4A2">
            <wp:extent cx="6119487" cy="2721640"/>
            <wp:effectExtent l="0" t="0" r="0" b="0"/>
            <wp:docPr id="786602685" name="Picture 3" descr="Figure D.2 – This is a bar chart that shows the proportion of children paying an average hourly fee above the hourly rate cap in December quarter 2023, broken down by income decile. Between income deciles 1 and 7, families of about one in five children paid fees above the hourly rate cap. The likelihood of paying fees above the hourly rate cap then rises with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02685" name="Picture 3" descr="Figure D.2 – This is a bar chart that shows the proportion of children paying an average hourly fee above the hourly rate cap in December quarter 2023, broken down by income decile. Between income deciles 1 and 7, families of about one in five children paid fees above the hourly rate cap. The likelihood of paying fees above the hourly rate cap then rises with income. "/>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965" b="2158"/>
                    <a:stretch/>
                  </pic:blipFill>
                  <pic:spPr bwMode="auto">
                    <a:xfrm>
                      <a:off x="0" y="0"/>
                      <a:ext cx="6120130" cy="2721926"/>
                    </a:xfrm>
                    <a:prstGeom prst="rect">
                      <a:avLst/>
                    </a:prstGeom>
                    <a:noFill/>
                    <a:ln>
                      <a:noFill/>
                    </a:ln>
                    <a:extLst>
                      <a:ext uri="{53640926-AAD7-44D8-BBD7-CCE9431645EC}">
                        <a14:shadowObscured xmlns:a14="http://schemas.microsoft.com/office/drawing/2010/main"/>
                      </a:ext>
                    </a:extLst>
                  </pic:spPr>
                </pic:pic>
              </a:graphicData>
            </a:graphic>
          </wp:inline>
        </w:drawing>
      </w:r>
    </w:p>
    <w:p w14:paraId="38FCE61B" w14:textId="77777777" w:rsidR="005E1B35" w:rsidRDefault="005E1B35">
      <w:pPr>
        <w:pStyle w:val="Note"/>
        <w:keepLines/>
      </w:pPr>
      <w:r w:rsidRPr="00180E66">
        <w:rPr>
          <w:b/>
          <w:bCs/>
        </w:rPr>
        <w:lastRenderedPageBreak/>
        <w:t>a.</w:t>
      </w:r>
      <w:r>
        <w:t xml:space="preserve"> </w:t>
      </w:r>
      <w:r w:rsidRPr="0050001A">
        <w:t xml:space="preserve">The percentages in this chart represent the proportion of children who </w:t>
      </w:r>
      <w:r>
        <w:t xml:space="preserve">faced weighted average hourly </w:t>
      </w:r>
      <w:r w:rsidRPr="0050001A">
        <w:t xml:space="preserve">fees </w:t>
      </w:r>
      <w:r>
        <w:t xml:space="preserve">across the quarter that were </w:t>
      </w:r>
      <w:r w:rsidRPr="0050001A">
        <w:t>above the CCS hourly rate cap. Income deciles have been calculated based on family income</w:t>
      </w:r>
      <w:r>
        <w:t xml:space="preserve"> and at the family level, among those using CCS</w:t>
      </w:r>
      <w:r>
        <w:noBreakHyphen/>
        <w:t>approved services</w:t>
      </w:r>
      <w:r w:rsidRPr="0050001A">
        <w:t>.</w:t>
      </w:r>
    </w:p>
    <w:p w14:paraId="5914706D" w14:textId="77777777" w:rsidR="005E1B35" w:rsidRDefault="005E1B35" w:rsidP="00882158">
      <w:pPr>
        <w:pStyle w:val="Source"/>
      </w:pPr>
      <w:r w:rsidRPr="00696447">
        <w:t xml:space="preserve">Source: </w:t>
      </w:r>
      <w:r w:rsidRPr="0050001A">
        <w:t>Productivity Commission estimates using D</w:t>
      </w:r>
      <w:r>
        <w:t>oE</w:t>
      </w:r>
      <w:r w:rsidRPr="0050001A">
        <w:t xml:space="preserve"> administrative data (unpublished</w:t>
      </w:r>
      <w:r w:rsidRPr="00696447">
        <w:t>).</w:t>
      </w:r>
    </w:p>
    <w:p w14:paraId="0029DE8B" w14:textId="77777777" w:rsidR="005E1B35" w:rsidRDefault="005E1B35" w:rsidP="00882158">
      <w:pPr>
        <w:pStyle w:val="Heading3-noTOC"/>
      </w:pPr>
      <w:r>
        <w:t>A family’s income, number of children and personal circumstances determine the subsidy rate they receive</w:t>
      </w:r>
    </w:p>
    <w:p w14:paraId="614B1EE9" w14:textId="77777777" w:rsidR="005E1B35" w:rsidRDefault="005E1B35" w:rsidP="00882158">
      <w:pPr>
        <w:pStyle w:val="BodyText"/>
      </w:pPr>
      <w:r>
        <w:t>The subsidy rate is specific to each child within a family and depends on the family’s income, number of children aged five or younger within the family that attend ECEC and the family’s personal circumstances. Subsidy rates are usually applied to the ECEC hourly fee up to the CCS hourly rate cap. For the first child attending ECEC, the CCS rate is 90% if their family’s annual income is up to $80,000 in 2023</w:t>
      </w:r>
      <w:r>
        <w:noBreakHyphen/>
        <w:t>24, with the CCS rate tapering by 1% for every $5,000 a family earns above $80,000 (figure D.3). Families with more than one child aged five or younger attending ECEC may be eligible for a higher CCS rate for their second and subsequent children. For families with an annual income up to $138,118 in 2023</w:t>
      </w:r>
      <w:r>
        <w:noBreakHyphen/>
        <w:t>24, a subsidy rate of 95% applies, tapering down as income increases (figure D.3). Income thresholds are indexed annually to the CPI. The ACCS provides higher subsidy rates for children from families with certain personal circumstances. Higher subsidy rates for multiple children and ACCS are explained in more detail below.</w:t>
      </w:r>
    </w:p>
    <w:p w14:paraId="19EDB521" w14:textId="77777777" w:rsidR="005E1B35" w:rsidRPr="00146382" w:rsidRDefault="005E1B35">
      <w:pPr>
        <w:pStyle w:val="FigureTableHeading"/>
      </w:pPr>
      <w:r>
        <w:t xml:space="preserve">Figure </w:t>
      </w:r>
      <w:r>
        <w:rPr>
          <w:noProof/>
        </w:rPr>
        <w:t>D</w:t>
      </w:r>
      <w:r>
        <w:t>.</w:t>
      </w:r>
      <w:r>
        <w:rPr>
          <w:noProof/>
        </w:rPr>
        <w:t xml:space="preserve">3 </w:t>
      </w:r>
      <w:r>
        <w:t xml:space="preserve">– </w:t>
      </w:r>
      <w:r w:rsidRPr="00BA0217">
        <w:t xml:space="preserve">CCS </w:t>
      </w:r>
      <w:r>
        <w:t>rates and higher CCS rates decrease as family income rises</w:t>
      </w:r>
      <w:r w:rsidRPr="0009095E">
        <w:rPr>
          <w:vertAlign w:val="superscript"/>
        </w:rPr>
        <w:t>a</w:t>
      </w:r>
    </w:p>
    <w:p w14:paraId="4F4A64BD" w14:textId="77777777" w:rsidR="005E1B35" w:rsidRDefault="005E1B35" w:rsidP="00882158">
      <w:pPr>
        <w:pStyle w:val="FigureTableSubheading"/>
      </w:pPr>
      <w:r>
        <w:t>CCS rates and higher CCS rates for multiple children, 2023</w:t>
      </w:r>
      <w:r>
        <w:noBreakHyphen/>
        <w:t>24</w:t>
      </w:r>
    </w:p>
    <w:p w14:paraId="740797E0" w14:textId="77777777" w:rsidR="005E1B35" w:rsidRDefault="005E1B35" w:rsidP="00882158">
      <w:pPr>
        <w:pStyle w:val="Note"/>
        <w:rPr>
          <w:noProof/>
        </w:rPr>
      </w:pPr>
      <w:r w:rsidRPr="00760913">
        <w:rPr>
          <w:noProof/>
        </w:rPr>
        <w:drawing>
          <wp:inline distT="0" distB="0" distL="0" distR="0" wp14:anchorId="269F02DB" wp14:editId="3D3D4388">
            <wp:extent cx="6120130" cy="2877185"/>
            <wp:effectExtent l="0" t="0" r="0" b="0"/>
            <wp:docPr id="1737987119" name="Picture 1" descr="Figure D.3 – This figure visualises the 2023-24 CCS rates and higher CCS rates for multiple children. For their first child, a light blue line, families receive a 95% subsidy until their income is $80,000, then the CCS rate tapers by 1% for every $5,000 they earn above $80,000. For subsequent children, a dark blue line, families receive a 95% subsidy until their income is $138,118, which tapers down as a family’s income in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87119" name="Picture 1" descr="Figure D.3 – This figure visualises the 2023-24 CCS rates and higher CCS rates for multiple children. For their first child, a light blue line, families receive a 95% subsidy until their income is $80,000, then the CCS rate tapers by 1% for every $5,000 they earn above $80,000. For subsequent children, a dark blue line, families receive a 95% subsidy until their income is $138,118, which tapers down as a family’s income increase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625A57D2" w14:textId="77777777" w:rsidR="005E1B35" w:rsidRPr="00BA0217" w:rsidRDefault="005E1B35" w:rsidP="00882158">
      <w:pPr>
        <w:pStyle w:val="Note"/>
      </w:pPr>
      <w:r w:rsidRPr="00180E66">
        <w:rPr>
          <w:b/>
          <w:bCs/>
        </w:rPr>
        <w:t>a.</w:t>
      </w:r>
      <w:r w:rsidRPr="00BA0217">
        <w:rPr>
          <w:b/>
          <w:bCs/>
        </w:rPr>
        <w:t xml:space="preserve"> </w:t>
      </w:r>
      <w:r w:rsidRPr="00BA0217">
        <w:t>Income thresholds are indexed annually to the CPI.</w:t>
      </w:r>
    </w:p>
    <w:p w14:paraId="3EE7FF69" w14:textId="77777777" w:rsidR="005E1B35" w:rsidRDefault="005E1B35" w:rsidP="00882158">
      <w:pPr>
        <w:pStyle w:val="Note"/>
      </w:pPr>
      <w:r w:rsidRPr="00BA0217">
        <w:t xml:space="preserve">Source: Services Australia </w:t>
      </w:r>
      <w:r w:rsidRPr="003139C7">
        <w:rPr>
          <w:rFonts w:cs="Arial"/>
        </w:rPr>
        <w:t>(2023h, 2023i)</w:t>
      </w:r>
      <w:r w:rsidRPr="00BA0217">
        <w:t>.</w:t>
      </w:r>
    </w:p>
    <w:p w14:paraId="653E3D1A" w14:textId="77777777" w:rsidR="005E1B35" w:rsidRDefault="005E1B35" w:rsidP="00882158">
      <w:pPr>
        <w:pStyle w:val="Heading4"/>
      </w:pPr>
      <w:r>
        <w:t>Higher CCS rates for more than one child attending ECEC</w:t>
      </w:r>
    </w:p>
    <w:p w14:paraId="1FBB061C" w14:textId="77777777" w:rsidR="005E1B35" w:rsidRDefault="005E1B35" w:rsidP="00882158">
      <w:pPr>
        <w:pStyle w:val="BodyText"/>
      </w:pPr>
      <w:r>
        <w:t>Table D.3 sets out the relevant subsidy rates and income thresholds for families with more than one child aged five or younger attending ECEC. These rates are represented graphically in figure D.</w:t>
      </w:r>
      <w:r w:rsidRPr="00676F42">
        <w:t>3.</w:t>
      </w:r>
      <w:r>
        <w:t xml:space="preserve"> When the higher CCS (HCCS) was first introduced, it was determined as a family’s CCS rate plus 30 percentage points, up to a maximum of 95% for CCS eligible families </w:t>
      </w:r>
      <w:r w:rsidRPr="00491BBF">
        <w:rPr>
          <w:rFonts w:ascii="Arial" w:hAnsi="Arial" w:cs="Arial"/>
        </w:rPr>
        <w:t>(DoE 2021)</w:t>
      </w:r>
      <w:r>
        <w:t xml:space="preserve">. However, this relationship between CCS and HCCS ended when the 2023 Cheaper Child Care changes were introduced – the CCS was </w:t>
      </w:r>
      <w:r>
        <w:lastRenderedPageBreak/>
        <w:t>streamlined but the structure of the HCCS rates and thresholds broadly remained unchanged.</w:t>
      </w:r>
      <w:r>
        <w:rPr>
          <w:rStyle w:val="FootnoteReference"/>
        </w:rPr>
        <w:footnoteReference w:id="16"/>
      </w:r>
      <w:r>
        <w:t xml:space="preserve"> In 2022</w:t>
      </w:r>
      <w:r>
        <w:noBreakHyphen/>
        <w:t>23, 41% of families who used CCS</w:t>
      </w:r>
      <w:r>
        <w:noBreakHyphen/>
        <w:t>approved services had more than one child attending for at least part of the financial year (Productivity Commission estimates using DoE administrative data (unpublished)).</w:t>
      </w:r>
    </w:p>
    <w:p w14:paraId="64E616B8" w14:textId="77777777" w:rsidR="005E1B35" w:rsidRDefault="005E1B35" w:rsidP="00882158">
      <w:pPr>
        <w:pStyle w:val="BodyText"/>
        <w:rPr>
          <w:rFonts w:asciiTheme="majorHAnsi" w:hAnsiTheme="majorHAnsi"/>
          <w:color w:val="000000" w:themeColor="text1"/>
          <w:szCs w:val="18"/>
        </w:rPr>
      </w:pPr>
      <w:r>
        <w:t>For combined families where both members of a couple received CCS for different children in their family, the combined family is assessed as a whole to determine the eligibility for higher CCS rates. This includes all CCS</w:t>
      </w:r>
      <w:r>
        <w:noBreakHyphen/>
        <w:t xml:space="preserve">eligible children aged five or younger attending ECEC in the care of both members of the couple </w:t>
      </w:r>
      <w:r w:rsidRPr="003139C7">
        <w:rPr>
          <w:rFonts w:ascii="Arial" w:hAnsi="Arial" w:cs="Arial"/>
        </w:rPr>
        <w:t>(Services Australia 2023i)</w:t>
      </w:r>
      <w:r>
        <w:t>.</w:t>
      </w:r>
    </w:p>
    <w:p w14:paraId="6A0273AC" w14:textId="77777777" w:rsidR="005E1B35" w:rsidRDefault="005E1B35">
      <w:pPr>
        <w:pStyle w:val="FigureTableHeading"/>
      </w:pPr>
      <w:r>
        <w:t xml:space="preserve">Table </w:t>
      </w:r>
      <w:r>
        <w:rPr>
          <w:noProof/>
        </w:rPr>
        <w:t>D</w:t>
      </w:r>
      <w:r>
        <w:t>.</w:t>
      </w:r>
      <w:r>
        <w:rPr>
          <w:noProof/>
        </w:rPr>
        <w:t>3 – HCCS rates for families with more than one child aged five or younger attending ECEC</w:t>
      </w:r>
      <w:r w:rsidRPr="00B26799">
        <w:rPr>
          <w:noProof/>
          <w:vertAlign w:val="superscript"/>
        </w:rPr>
        <w:t>a</w:t>
      </w:r>
    </w:p>
    <w:p w14:paraId="7B1C7DB9" w14:textId="77777777" w:rsidR="005E1B35" w:rsidRDefault="005E1B35" w:rsidP="00882158">
      <w:pPr>
        <w:pStyle w:val="FigureTableSubheading"/>
      </w:pPr>
      <w:r>
        <w:t>2023</w:t>
      </w:r>
      <w:r>
        <w:noBreakHyphen/>
        <w:t>24</w:t>
      </w:r>
    </w:p>
    <w:tbl>
      <w:tblPr>
        <w:tblW w:w="5000" w:type="pct"/>
        <w:jc w:val="center"/>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6"/>
      </w:tblGrid>
      <w:tr w:rsidR="005E1B35" w:rsidRPr="00030C67" w14:paraId="5601A4B8" w14:textId="77777777" w:rsidTr="00882158">
        <w:trPr>
          <w:tblHeader/>
          <w:jc w:val="center"/>
        </w:trPr>
        <w:tc>
          <w:tcPr>
            <w:tcW w:w="1765" w:type="pct"/>
            <w:tcBorders>
              <w:bottom w:val="single" w:sz="4" w:space="0" w:color="B3B3B3"/>
            </w:tcBorders>
            <w:shd w:val="clear" w:color="000000" w:fill="auto"/>
          </w:tcPr>
          <w:p w14:paraId="0F102629" w14:textId="77777777" w:rsidR="005E1B35" w:rsidRPr="00030C67" w:rsidRDefault="005E1B35" w:rsidP="00882158">
            <w:pPr>
              <w:pStyle w:val="TableHeading"/>
            </w:pPr>
            <w:r>
              <w:t>Annual f</w:t>
            </w:r>
            <w:r w:rsidRPr="00CE67B5">
              <w:t>amily income</w:t>
            </w:r>
          </w:p>
        </w:tc>
        <w:tc>
          <w:tcPr>
            <w:tcW w:w="3235" w:type="pct"/>
            <w:tcBorders>
              <w:bottom w:val="single" w:sz="4" w:space="0" w:color="B3B3B3"/>
            </w:tcBorders>
            <w:shd w:val="clear" w:color="000000" w:fill="auto"/>
          </w:tcPr>
          <w:p w14:paraId="7994A16C" w14:textId="77777777" w:rsidR="005E1B35" w:rsidRPr="00030C67" w:rsidRDefault="005E1B35" w:rsidP="00882158">
            <w:pPr>
              <w:pStyle w:val="TableHeading"/>
            </w:pPr>
            <w:r>
              <w:t>HCCS</w:t>
            </w:r>
            <w:r w:rsidRPr="00CE67B5">
              <w:t xml:space="preserve"> </w:t>
            </w:r>
            <w:r>
              <w:t>rate</w:t>
            </w:r>
          </w:p>
        </w:tc>
      </w:tr>
      <w:tr w:rsidR="005E1B35" w:rsidRPr="00030C67" w14:paraId="5F88D4E7" w14:textId="77777777" w:rsidTr="00882158">
        <w:trPr>
          <w:jc w:val="center"/>
        </w:trPr>
        <w:tc>
          <w:tcPr>
            <w:tcW w:w="1765" w:type="pct"/>
            <w:tcBorders>
              <w:top w:val="single" w:sz="4" w:space="0" w:color="B3B3B3"/>
              <w:bottom w:val="nil"/>
            </w:tcBorders>
            <w:shd w:val="clear" w:color="000000" w:fill="F2F2F2"/>
          </w:tcPr>
          <w:p w14:paraId="181903AF" w14:textId="77777777" w:rsidR="005E1B35" w:rsidRPr="00030C67" w:rsidRDefault="005E1B35" w:rsidP="00882158">
            <w:pPr>
              <w:pStyle w:val="TableBody"/>
              <w:spacing w:before="45" w:after="45"/>
              <w:ind w:right="108"/>
              <w:rPr>
                <w:rFonts w:ascii="Arial (Body)" w:hAnsi="Arial (Body)"/>
                <w:color w:val="000000"/>
              </w:rPr>
            </w:pPr>
            <w:r w:rsidRPr="00427FF5">
              <w:t>$0 to $138</w:t>
            </w:r>
            <w:r>
              <w:t>,</w:t>
            </w:r>
            <w:r w:rsidRPr="00427FF5">
              <w:t>1</w:t>
            </w:r>
            <w:r>
              <w:t>1</w:t>
            </w:r>
            <w:r w:rsidRPr="00427FF5">
              <w:t>8</w:t>
            </w:r>
          </w:p>
        </w:tc>
        <w:tc>
          <w:tcPr>
            <w:tcW w:w="3235" w:type="pct"/>
            <w:tcBorders>
              <w:top w:val="single" w:sz="4" w:space="0" w:color="B3B3B3"/>
              <w:bottom w:val="nil"/>
            </w:tcBorders>
            <w:shd w:val="clear" w:color="000000" w:fill="F2F2F2"/>
          </w:tcPr>
          <w:p w14:paraId="12AF0613" w14:textId="77777777" w:rsidR="005E1B35" w:rsidRPr="00030C67" w:rsidRDefault="005E1B35" w:rsidP="00882158">
            <w:pPr>
              <w:pStyle w:val="TableBody"/>
              <w:spacing w:before="45" w:after="45"/>
              <w:ind w:right="108"/>
              <w:rPr>
                <w:rFonts w:ascii="Arial (Body)" w:hAnsi="Arial (Body)"/>
                <w:color w:val="000000"/>
              </w:rPr>
            </w:pPr>
            <w:r w:rsidRPr="00427FF5">
              <w:t>95%</w:t>
            </w:r>
          </w:p>
        </w:tc>
      </w:tr>
      <w:tr w:rsidR="005E1B35" w:rsidRPr="00030C67" w14:paraId="60FB4F83" w14:textId="77777777" w:rsidTr="00882158">
        <w:trPr>
          <w:jc w:val="center"/>
        </w:trPr>
        <w:tc>
          <w:tcPr>
            <w:tcW w:w="1765" w:type="pct"/>
            <w:tcBorders>
              <w:top w:val="nil"/>
              <w:bottom w:val="nil"/>
            </w:tcBorders>
            <w:shd w:val="clear" w:color="000000" w:fill="auto"/>
          </w:tcPr>
          <w:p w14:paraId="1F5C7F22" w14:textId="77777777" w:rsidR="005E1B35" w:rsidRPr="00030C67" w:rsidRDefault="005E1B35" w:rsidP="00882158">
            <w:pPr>
              <w:pStyle w:val="TableBody"/>
              <w:spacing w:before="45" w:after="45"/>
              <w:ind w:right="108"/>
              <w:rPr>
                <w:rFonts w:ascii="Arial (Body)" w:hAnsi="Arial (Body)"/>
                <w:color w:val="000000"/>
              </w:rPr>
            </w:pPr>
            <w:r w:rsidRPr="00427FF5">
              <w:t>More than $138</w:t>
            </w:r>
            <w:r>
              <w:t>,</w:t>
            </w:r>
            <w:r w:rsidRPr="00427FF5">
              <w:t>118 to below $183</w:t>
            </w:r>
            <w:r>
              <w:t>,</w:t>
            </w:r>
            <w:r w:rsidRPr="00427FF5">
              <w:t>118</w:t>
            </w:r>
          </w:p>
        </w:tc>
        <w:tc>
          <w:tcPr>
            <w:tcW w:w="3235" w:type="pct"/>
            <w:tcBorders>
              <w:top w:val="nil"/>
              <w:bottom w:val="nil"/>
            </w:tcBorders>
            <w:shd w:val="clear" w:color="000000" w:fill="auto"/>
          </w:tcPr>
          <w:p w14:paraId="3A85ED54" w14:textId="77777777" w:rsidR="005E1B35" w:rsidRDefault="005E1B35" w:rsidP="00882158">
            <w:pPr>
              <w:pStyle w:val="TableBody"/>
              <w:spacing w:before="45" w:after="45"/>
              <w:ind w:right="108"/>
            </w:pPr>
            <w:r w:rsidRPr="00427FF5">
              <w:t>Between 95% and 80%</w:t>
            </w:r>
          </w:p>
          <w:p w14:paraId="3EEE8F46" w14:textId="77777777" w:rsidR="005E1B35" w:rsidRPr="00030C67" w:rsidRDefault="005E1B35" w:rsidP="00882158">
            <w:pPr>
              <w:pStyle w:val="TableBody"/>
              <w:spacing w:before="45" w:after="45"/>
              <w:ind w:right="108"/>
              <w:rPr>
                <w:rFonts w:ascii="Arial (Body)" w:hAnsi="Arial (Body)"/>
                <w:color w:val="000000"/>
              </w:rPr>
            </w:pPr>
            <w:r w:rsidRPr="00427FF5">
              <w:t>The percentage goes down by 1% for every $3</w:t>
            </w:r>
            <w:r>
              <w:t>,</w:t>
            </w:r>
            <w:r w:rsidRPr="00427FF5">
              <w:t xml:space="preserve">000 of </w:t>
            </w:r>
            <w:r>
              <w:t xml:space="preserve">family </w:t>
            </w:r>
            <w:r w:rsidRPr="00427FF5">
              <w:t>income</w:t>
            </w:r>
            <w:r>
              <w:t>.</w:t>
            </w:r>
          </w:p>
        </w:tc>
      </w:tr>
      <w:tr w:rsidR="005E1B35" w:rsidRPr="00030C67" w14:paraId="66D88524" w14:textId="77777777" w:rsidTr="00882158">
        <w:trPr>
          <w:jc w:val="center"/>
        </w:trPr>
        <w:tc>
          <w:tcPr>
            <w:tcW w:w="1765" w:type="pct"/>
            <w:tcBorders>
              <w:bottom w:val="nil"/>
            </w:tcBorders>
            <w:shd w:val="clear" w:color="000000" w:fill="F2F2F2"/>
          </w:tcPr>
          <w:p w14:paraId="242641B0" w14:textId="77777777" w:rsidR="005E1B35" w:rsidRPr="00030C67" w:rsidRDefault="005E1B35" w:rsidP="00882158">
            <w:pPr>
              <w:pStyle w:val="TableBody"/>
              <w:spacing w:before="45" w:after="45"/>
              <w:ind w:right="108"/>
              <w:rPr>
                <w:rFonts w:ascii="Arial (Body)" w:hAnsi="Arial (Body)"/>
                <w:color w:val="000000"/>
              </w:rPr>
            </w:pPr>
            <w:r w:rsidRPr="00BB0835">
              <w:t>$183</w:t>
            </w:r>
            <w:r>
              <w:t>,</w:t>
            </w:r>
            <w:r w:rsidRPr="00BB0835">
              <w:t>118 to below $262</w:t>
            </w:r>
            <w:r>
              <w:t>,</w:t>
            </w:r>
            <w:r w:rsidRPr="00BB0835">
              <w:t>408</w:t>
            </w:r>
          </w:p>
        </w:tc>
        <w:tc>
          <w:tcPr>
            <w:tcW w:w="3235" w:type="pct"/>
            <w:tcBorders>
              <w:bottom w:val="nil"/>
            </w:tcBorders>
            <w:shd w:val="clear" w:color="000000" w:fill="F2F2F2"/>
          </w:tcPr>
          <w:p w14:paraId="6AB2C265" w14:textId="77777777" w:rsidR="005E1B35" w:rsidRPr="00030C67" w:rsidRDefault="005E1B35" w:rsidP="00882158">
            <w:pPr>
              <w:pStyle w:val="TableBody"/>
              <w:spacing w:before="45" w:after="45"/>
              <w:ind w:right="108"/>
              <w:rPr>
                <w:rFonts w:ascii="Arial (Body)" w:hAnsi="Arial (Body)"/>
                <w:color w:val="000000"/>
              </w:rPr>
            </w:pPr>
            <w:r w:rsidRPr="00BB0835">
              <w:t>80%</w:t>
            </w:r>
          </w:p>
        </w:tc>
      </w:tr>
      <w:tr w:rsidR="005E1B35" w:rsidRPr="00030C67" w14:paraId="1041D8C3" w14:textId="77777777" w:rsidTr="00882158">
        <w:trPr>
          <w:jc w:val="center"/>
        </w:trPr>
        <w:tc>
          <w:tcPr>
            <w:tcW w:w="1765" w:type="pct"/>
            <w:tcBorders>
              <w:bottom w:val="nil"/>
            </w:tcBorders>
            <w:shd w:val="clear" w:color="000000" w:fill="auto"/>
          </w:tcPr>
          <w:p w14:paraId="1B7897DD" w14:textId="77777777" w:rsidR="005E1B35" w:rsidRDefault="005E1B35" w:rsidP="00882158">
            <w:pPr>
              <w:pStyle w:val="TableBody"/>
              <w:spacing w:before="45" w:after="45"/>
              <w:ind w:right="108"/>
              <w:rPr>
                <w:rFonts w:ascii="Arial (Body)" w:hAnsi="Arial (Body)"/>
                <w:color w:val="000000"/>
              </w:rPr>
            </w:pPr>
            <w:r w:rsidRPr="006A15C7">
              <w:rPr>
                <w:rFonts w:ascii="Arial (Body)" w:hAnsi="Arial (Body)"/>
                <w:color w:val="000000"/>
              </w:rPr>
              <w:t>$262</w:t>
            </w:r>
            <w:r>
              <w:rPr>
                <w:rFonts w:ascii="Arial (Body)" w:hAnsi="Arial (Body)"/>
                <w:color w:val="000000"/>
              </w:rPr>
              <w:t>,</w:t>
            </w:r>
            <w:r w:rsidRPr="006A15C7">
              <w:rPr>
                <w:rFonts w:ascii="Arial (Body)" w:hAnsi="Arial (Body)"/>
                <w:color w:val="000000"/>
              </w:rPr>
              <w:t>408 to below $352</w:t>
            </w:r>
            <w:r>
              <w:rPr>
                <w:rFonts w:ascii="Arial (Body)" w:hAnsi="Arial (Body)"/>
                <w:color w:val="000000"/>
              </w:rPr>
              <w:t>,</w:t>
            </w:r>
            <w:r w:rsidRPr="006A15C7">
              <w:rPr>
                <w:rFonts w:ascii="Arial (Body)" w:hAnsi="Arial (Body)"/>
                <w:color w:val="000000"/>
              </w:rPr>
              <w:t>408</w:t>
            </w:r>
          </w:p>
        </w:tc>
        <w:tc>
          <w:tcPr>
            <w:tcW w:w="3235" w:type="pct"/>
            <w:tcBorders>
              <w:bottom w:val="nil"/>
            </w:tcBorders>
            <w:shd w:val="clear" w:color="000000" w:fill="auto"/>
          </w:tcPr>
          <w:p w14:paraId="7C66AE55" w14:textId="77777777" w:rsidR="005E1B35" w:rsidRPr="006A15C7" w:rsidRDefault="005E1B35" w:rsidP="00882158">
            <w:pPr>
              <w:pStyle w:val="TableBody"/>
              <w:spacing w:before="45" w:after="45"/>
              <w:ind w:right="108"/>
              <w:rPr>
                <w:rFonts w:ascii="Arial (Body)" w:hAnsi="Arial (Body)"/>
                <w:color w:val="000000"/>
              </w:rPr>
            </w:pPr>
            <w:r w:rsidRPr="006A15C7">
              <w:rPr>
                <w:rFonts w:ascii="Arial (Body)" w:hAnsi="Arial (Body)"/>
                <w:color w:val="000000"/>
              </w:rPr>
              <w:t>Between 80% and 50%</w:t>
            </w:r>
          </w:p>
          <w:p w14:paraId="0A3AE3CD" w14:textId="77777777" w:rsidR="005E1B35" w:rsidRDefault="005E1B35" w:rsidP="00882158">
            <w:pPr>
              <w:pStyle w:val="TableBody"/>
              <w:spacing w:before="45" w:after="45"/>
              <w:ind w:right="108"/>
              <w:rPr>
                <w:rFonts w:ascii="Arial (Body)" w:hAnsi="Arial (Body)"/>
                <w:color w:val="000000"/>
              </w:rPr>
            </w:pPr>
            <w:r w:rsidRPr="006A15C7">
              <w:rPr>
                <w:rFonts w:ascii="Arial (Body)" w:hAnsi="Arial (Body)"/>
                <w:color w:val="000000"/>
              </w:rPr>
              <w:t>The percentage goes down by 1% for every $3</w:t>
            </w:r>
            <w:r>
              <w:rPr>
                <w:rFonts w:ascii="Arial (Body)" w:hAnsi="Arial (Body)"/>
                <w:color w:val="000000"/>
              </w:rPr>
              <w:t>,</w:t>
            </w:r>
            <w:r w:rsidRPr="006A15C7">
              <w:rPr>
                <w:rFonts w:ascii="Arial (Body)" w:hAnsi="Arial (Body)"/>
                <w:color w:val="000000"/>
              </w:rPr>
              <w:t xml:space="preserve">000 of </w:t>
            </w:r>
            <w:r>
              <w:rPr>
                <w:rFonts w:ascii="Arial (Body)" w:hAnsi="Arial (Body)"/>
                <w:color w:val="000000"/>
              </w:rPr>
              <w:t xml:space="preserve">family </w:t>
            </w:r>
            <w:r w:rsidRPr="006A15C7">
              <w:rPr>
                <w:rFonts w:ascii="Arial (Body)" w:hAnsi="Arial (Body)"/>
                <w:color w:val="000000"/>
              </w:rPr>
              <w:t>income</w:t>
            </w:r>
            <w:r>
              <w:rPr>
                <w:rFonts w:ascii="Arial (Body)" w:hAnsi="Arial (Body)"/>
                <w:color w:val="000000"/>
              </w:rPr>
              <w:t>.</w:t>
            </w:r>
          </w:p>
        </w:tc>
      </w:tr>
      <w:tr w:rsidR="005E1B35" w:rsidRPr="00030C67" w14:paraId="5282E6C5" w14:textId="77777777" w:rsidTr="00882158">
        <w:trPr>
          <w:jc w:val="center"/>
        </w:trPr>
        <w:tc>
          <w:tcPr>
            <w:tcW w:w="1765" w:type="pct"/>
            <w:tcBorders>
              <w:top w:val="nil"/>
              <w:bottom w:val="nil"/>
            </w:tcBorders>
            <w:shd w:val="clear" w:color="000000" w:fill="F2F2F2"/>
          </w:tcPr>
          <w:p w14:paraId="4925678A" w14:textId="77777777" w:rsidR="005E1B35" w:rsidRDefault="005E1B35" w:rsidP="00882158">
            <w:pPr>
              <w:pStyle w:val="TableBody"/>
              <w:spacing w:before="45" w:after="45"/>
              <w:ind w:right="108"/>
              <w:rPr>
                <w:rFonts w:ascii="Arial (Body)" w:hAnsi="Arial (Body)"/>
                <w:color w:val="000000"/>
              </w:rPr>
            </w:pPr>
            <w:r w:rsidRPr="005D6908">
              <w:t>$352</w:t>
            </w:r>
            <w:r>
              <w:t>,</w:t>
            </w:r>
            <w:r w:rsidRPr="005D6908">
              <w:t>408 to below $362</w:t>
            </w:r>
            <w:r>
              <w:t>,</w:t>
            </w:r>
            <w:r w:rsidRPr="005D6908">
              <w:t>408</w:t>
            </w:r>
          </w:p>
        </w:tc>
        <w:tc>
          <w:tcPr>
            <w:tcW w:w="3235" w:type="pct"/>
            <w:tcBorders>
              <w:top w:val="nil"/>
              <w:bottom w:val="nil"/>
            </w:tcBorders>
            <w:shd w:val="clear" w:color="000000" w:fill="F2F2F2"/>
          </w:tcPr>
          <w:p w14:paraId="3B01E38A" w14:textId="77777777" w:rsidR="005E1B35" w:rsidRDefault="005E1B35" w:rsidP="00882158">
            <w:pPr>
              <w:pStyle w:val="TableBody"/>
              <w:spacing w:before="45" w:after="45"/>
              <w:ind w:right="108"/>
              <w:rPr>
                <w:rFonts w:ascii="Arial (Body)" w:hAnsi="Arial (Body)"/>
                <w:color w:val="000000"/>
              </w:rPr>
            </w:pPr>
            <w:r w:rsidRPr="005D6908">
              <w:t>50%</w:t>
            </w:r>
          </w:p>
        </w:tc>
      </w:tr>
      <w:tr w:rsidR="005E1B35" w:rsidRPr="00030C67" w14:paraId="73E08CF8" w14:textId="77777777" w:rsidTr="00882158">
        <w:trPr>
          <w:jc w:val="center"/>
        </w:trPr>
        <w:tc>
          <w:tcPr>
            <w:tcW w:w="1765" w:type="pct"/>
            <w:tcBorders>
              <w:bottom w:val="single" w:sz="4" w:space="0" w:color="B3B3B3"/>
            </w:tcBorders>
            <w:shd w:val="clear" w:color="000000" w:fill="auto"/>
          </w:tcPr>
          <w:p w14:paraId="02DBF1E8" w14:textId="77777777" w:rsidR="005E1B35" w:rsidRDefault="005E1B35" w:rsidP="00882158">
            <w:pPr>
              <w:pStyle w:val="TableBody"/>
              <w:spacing w:before="45" w:after="45"/>
              <w:ind w:right="108"/>
              <w:rPr>
                <w:rFonts w:ascii="Arial (Body)" w:hAnsi="Arial (Body)"/>
                <w:color w:val="000000"/>
              </w:rPr>
            </w:pPr>
            <w:r w:rsidRPr="00D478B5">
              <w:rPr>
                <w:rFonts w:ascii="Arial (Body)" w:hAnsi="Arial (Body)"/>
                <w:color w:val="000000"/>
              </w:rPr>
              <w:t>$362</w:t>
            </w:r>
            <w:r>
              <w:rPr>
                <w:rFonts w:ascii="Arial (Body)" w:hAnsi="Arial (Body)"/>
                <w:color w:val="000000"/>
              </w:rPr>
              <w:t>,</w:t>
            </w:r>
            <w:r w:rsidRPr="00D478B5">
              <w:rPr>
                <w:rFonts w:ascii="Arial (Body)" w:hAnsi="Arial (Body)"/>
                <w:color w:val="000000"/>
              </w:rPr>
              <w:t>408 or more</w:t>
            </w:r>
          </w:p>
        </w:tc>
        <w:tc>
          <w:tcPr>
            <w:tcW w:w="3235" w:type="pct"/>
            <w:tcBorders>
              <w:bottom w:val="single" w:sz="4" w:space="0" w:color="B3B3B3"/>
            </w:tcBorders>
            <w:shd w:val="clear" w:color="000000" w:fill="auto"/>
          </w:tcPr>
          <w:p w14:paraId="4ADBF8B1" w14:textId="77777777" w:rsidR="005E1B35" w:rsidRDefault="005E1B35" w:rsidP="00882158">
            <w:pPr>
              <w:pStyle w:val="TableBody"/>
              <w:spacing w:before="45" w:after="45"/>
              <w:ind w:right="108"/>
              <w:rPr>
                <w:rFonts w:ascii="Arial (Body)" w:hAnsi="Arial (Body)"/>
                <w:color w:val="000000"/>
              </w:rPr>
            </w:pPr>
            <w:r w:rsidRPr="00D478B5">
              <w:rPr>
                <w:rFonts w:ascii="Arial (Body)" w:hAnsi="Arial (Body)"/>
                <w:color w:val="000000"/>
              </w:rPr>
              <w:t xml:space="preserve">HCCS rates no longer apply, all children in the family </w:t>
            </w:r>
            <w:r>
              <w:rPr>
                <w:rFonts w:ascii="Arial (Body)" w:hAnsi="Arial (Body)"/>
                <w:color w:val="000000"/>
              </w:rPr>
              <w:t>attract</w:t>
            </w:r>
            <w:r w:rsidRPr="00D478B5">
              <w:rPr>
                <w:rFonts w:ascii="Arial (Body)" w:hAnsi="Arial (Body)"/>
                <w:color w:val="000000"/>
              </w:rPr>
              <w:t xml:space="preserve"> the standard CCS rate</w:t>
            </w:r>
            <w:r>
              <w:rPr>
                <w:rFonts w:ascii="Arial (Body)" w:hAnsi="Arial (Body)"/>
                <w:color w:val="000000"/>
              </w:rPr>
              <w:t>.</w:t>
            </w:r>
          </w:p>
        </w:tc>
      </w:tr>
    </w:tbl>
    <w:p w14:paraId="088D01CE" w14:textId="77777777" w:rsidR="005E1B35" w:rsidRDefault="005E1B35" w:rsidP="00882158">
      <w:pPr>
        <w:pStyle w:val="Note"/>
      </w:pPr>
      <w:r w:rsidRPr="00180E66">
        <w:rPr>
          <w:b/>
          <w:bCs/>
        </w:rPr>
        <w:t>a.</w:t>
      </w:r>
      <w:r w:rsidRPr="00BA0217">
        <w:rPr>
          <w:b/>
          <w:bCs/>
        </w:rPr>
        <w:t xml:space="preserve"> </w:t>
      </w:r>
      <w:r w:rsidRPr="00BA0217">
        <w:t>Income thresholds are indexed annually to the CPI.</w:t>
      </w:r>
    </w:p>
    <w:p w14:paraId="248AEB1E" w14:textId="77777777" w:rsidR="005E1B35" w:rsidRDefault="005E1B35">
      <w:pPr>
        <w:pStyle w:val="Note"/>
      </w:pPr>
      <w:r w:rsidRPr="00D478B5">
        <w:t xml:space="preserve">Source: </w:t>
      </w:r>
      <w:r>
        <w:t>Services Australia</w:t>
      </w:r>
      <w:r w:rsidRPr="00D478B5">
        <w:t xml:space="preserve"> </w:t>
      </w:r>
      <w:r w:rsidRPr="003139C7">
        <w:rPr>
          <w:rFonts w:cs="Arial"/>
        </w:rPr>
        <w:t>(2023i)</w:t>
      </w:r>
      <w:r w:rsidRPr="00D478B5">
        <w:t>.</w:t>
      </w:r>
    </w:p>
    <w:p w14:paraId="006AA8FB" w14:textId="77777777" w:rsidR="005E1B35" w:rsidRDefault="005E1B35" w:rsidP="00882158">
      <w:pPr>
        <w:pStyle w:val="Heading4"/>
      </w:pPr>
      <w:r>
        <w:t>The ACCS</w:t>
      </w:r>
    </w:p>
    <w:p w14:paraId="16E158D0" w14:textId="77777777" w:rsidR="005E1B35" w:rsidRDefault="005E1B35" w:rsidP="00E22532">
      <w:pPr>
        <w:pStyle w:val="BodyText"/>
        <w:keepNext/>
        <w:spacing w:line="260" w:lineRule="atLeast"/>
      </w:pPr>
      <w:r>
        <w:t>For families in certain circumstances, higher subsidy rates are available through the ACCS. To receive ACCS, families must also be eligible for CCS. There are four categories of ACCS.</w:t>
      </w:r>
    </w:p>
    <w:p w14:paraId="5E18DCCF" w14:textId="77777777" w:rsidR="005E1B35" w:rsidRDefault="005E1B35" w:rsidP="00E22532">
      <w:pPr>
        <w:pStyle w:val="ListBullet"/>
        <w:spacing w:line="260" w:lineRule="atLeast"/>
      </w:pPr>
      <w:r>
        <w:t xml:space="preserve">ACCS (Child Wellbeing) is for families caring for a child who is vulnerable or considered to be at risk of harm, abuse or neglect – this includes a child in formal foster care or formal kinship placement; or in the care of the state, territory or the Minister </w:t>
      </w:r>
      <w:r w:rsidRPr="00491BBF">
        <w:rPr>
          <w:rFonts w:ascii="Arial" w:hAnsi="Arial" w:cs="Arial"/>
        </w:rPr>
        <w:t>(Services Australia 2021)</w:t>
      </w:r>
      <w:r>
        <w:t>.</w:t>
      </w:r>
    </w:p>
    <w:p w14:paraId="7ADBCDD8" w14:textId="77777777" w:rsidR="005E1B35" w:rsidRDefault="005E1B35" w:rsidP="00E22532">
      <w:pPr>
        <w:pStyle w:val="ListBullet"/>
        <w:spacing w:line="260" w:lineRule="atLeast"/>
      </w:pPr>
      <w:r>
        <w:t>ACCS (Grandparent) is for grandparents or great</w:t>
      </w:r>
      <w:r>
        <w:noBreakHyphen/>
        <w:t>grandparents on income support who are the principal carers of their grandchild(ren) (that is, they provide 65% or more care of the child; and make day</w:t>
      </w:r>
      <w:r>
        <w:noBreakHyphen/>
        <w:t>to</w:t>
      </w:r>
      <w:r>
        <w:noBreakHyphen/>
        <w:t xml:space="preserve">day decisions about the child’s care, welfare and development) </w:t>
      </w:r>
      <w:r w:rsidRPr="00491BBF">
        <w:rPr>
          <w:rFonts w:ascii="Arial" w:hAnsi="Arial" w:cs="Arial"/>
        </w:rPr>
        <w:t>(Services Australia 2022f)</w:t>
      </w:r>
      <w:r>
        <w:t>.</w:t>
      </w:r>
    </w:p>
    <w:p w14:paraId="5D74DB7E" w14:textId="77777777" w:rsidR="005E1B35" w:rsidRDefault="005E1B35" w:rsidP="00E22532">
      <w:pPr>
        <w:pStyle w:val="ListBullet"/>
        <w:spacing w:line="260" w:lineRule="atLeast"/>
      </w:pPr>
      <w:r>
        <w:t xml:space="preserve">ACCS (Temporary Financial Hardship) is for families experiencing temporary financial hardship due to an event that happened in the preceding six months </w:t>
      </w:r>
      <w:r w:rsidRPr="003139C7">
        <w:rPr>
          <w:rFonts w:ascii="Arial" w:hAnsi="Arial" w:cs="Arial"/>
        </w:rPr>
        <w:t>(Services Australia 2023d)</w:t>
      </w:r>
      <w:r>
        <w:t>.</w:t>
      </w:r>
    </w:p>
    <w:p w14:paraId="67154CB5" w14:textId="77777777" w:rsidR="005E1B35" w:rsidRDefault="005E1B35" w:rsidP="00E22532">
      <w:pPr>
        <w:pStyle w:val="ListBullet"/>
        <w:keepNext/>
        <w:spacing w:line="260" w:lineRule="atLeast"/>
      </w:pPr>
      <w:r>
        <w:t>ACCS (Transition to Work) is for families transitioning to work from income support. To be eligible, the parent or guardian must:</w:t>
      </w:r>
    </w:p>
    <w:p w14:paraId="372CB716" w14:textId="77777777" w:rsidR="005E1B35" w:rsidRPr="009753A8" w:rsidRDefault="005E1B35" w:rsidP="00E22532">
      <w:pPr>
        <w:pStyle w:val="ListBullet2"/>
        <w:spacing w:line="260" w:lineRule="atLeast"/>
      </w:pPr>
      <w:r w:rsidRPr="006A6617">
        <w:t xml:space="preserve">be studying, </w:t>
      </w:r>
      <w:r w:rsidRPr="009753A8">
        <w:t>looking for a job, working or training</w:t>
      </w:r>
    </w:p>
    <w:p w14:paraId="4978A015" w14:textId="77777777" w:rsidR="005E1B35" w:rsidRPr="009753A8" w:rsidRDefault="005E1B35" w:rsidP="00E22532">
      <w:pPr>
        <w:pStyle w:val="ListBullet2"/>
        <w:spacing w:line="260" w:lineRule="atLeast"/>
      </w:pPr>
      <w:r w:rsidRPr="009753A8">
        <w:t>have a family income of less than $</w:t>
      </w:r>
      <w:r>
        <w:t>80,000 per year (2023</w:t>
      </w:r>
      <w:r>
        <w:noBreakHyphen/>
        <w:t>24 income threshold)</w:t>
      </w:r>
    </w:p>
    <w:p w14:paraId="33A21E58" w14:textId="77777777" w:rsidR="005E1B35" w:rsidRPr="009753A8" w:rsidRDefault="005E1B35" w:rsidP="00E22532">
      <w:pPr>
        <w:pStyle w:val="ListBullet2"/>
        <w:spacing w:line="260" w:lineRule="atLeast"/>
      </w:pPr>
      <w:r w:rsidRPr="009753A8">
        <w:lastRenderedPageBreak/>
        <w:t>have a Job Plan (unless receiving Austudy, ABSTUDY or Disability Support Pension) or Participation Plan (if receiving the Disability Support Pension)</w:t>
      </w:r>
    </w:p>
    <w:p w14:paraId="6D72F234" w14:textId="77777777" w:rsidR="005E1B35" w:rsidRPr="005338DF" w:rsidRDefault="005E1B35" w:rsidP="00E22532">
      <w:pPr>
        <w:pStyle w:val="ListBullet2"/>
        <w:spacing w:line="260" w:lineRule="atLeast"/>
      </w:pPr>
      <w:r w:rsidRPr="009753A8">
        <w:t>receiv</w:t>
      </w:r>
      <w:r>
        <w:t>e</w:t>
      </w:r>
      <w:r w:rsidRPr="009753A8">
        <w:t xml:space="preserve"> one </w:t>
      </w:r>
      <w:r>
        <w:t xml:space="preserve">of the </w:t>
      </w:r>
      <w:r w:rsidRPr="009753A8">
        <w:t>following</w:t>
      </w:r>
      <w:r w:rsidRPr="006A6617">
        <w:t xml:space="preserve"> payments:</w:t>
      </w:r>
      <w:r>
        <w:t xml:space="preserve"> </w:t>
      </w:r>
      <w:r w:rsidRPr="005338DF">
        <w:t xml:space="preserve">Parenting Payment, JobSeeker Payment, Disability Support Pension, Youth Allowance, Carer Payment, Special </w:t>
      </w:r>
      <w:r>
        <w:t>B</w:t>
      </w:r>
      <w:r w:rsidRPr="005338DF">
        <w:t>enefit (if ineligible for JobSeeker Payment or Parenting Payment)</w:t>
      </w:r>
      <w:r>
        <w:t xml:space="preserve">, </w:t>
      </w:r>
      <w:r w:rsidRPr="005338DF">
        <w:t>Austudy, Farm Household Allowance, a means tested ABSTUDY payment</w:t>
      </w:r>
      <w:r>
        <w:t xml:space="preserve"> </w:t>
      </w:r>
      <w:r w:rsidRPr="003139C7">
        <w:rPr>
          <w:rFonts w:ascii="Arial" w:hAnsi="Arial" w:cs="Arial"/>
        </w:rPr>
        <w:t>(Services Australia 2023e)</w:t>
      </w:r>
      <w:r w:rsidRPr="005338DF">
        <w:t>.</w:t>
      </w:r>
    </w:p>
    <w:p w14:paraId="6DC2A5BB" w14:textId="77777777" w:rsidR="005E1B35" w:rsidRDefault="005E1B35" w:rsidP="00E22532">
      <w:pPr>
        <w:pStyle w:val="BodyText"/>
        <w:spacing w:line="260" w:lineRule="atLeast"/>
      </w:pPr>
      <w:r>
        <w:t>In addition to a higher subsidy rate, families eligible for ACCS can receive more subsidised hours a fortnight than if they were only eligible for CCS (except for families transitioning from income support) (table D.4). Depending on the ACCS type, families may only be eligible to receive ACCS for a limited time.</w:t>
      </w:r>
    </w:p>
    <w:p w14:paraId="5F5CE60D" w14:textId="77777777" w:rsidR="005E1B35" w:rsidRDefault="005E1B35" w:rsidP="00E22532">
      <w:pPr>
        <w:pStyle w:val="BodyText"/>
        <w:spacing w:line="260" w:lineRule="atLeast"/>
      </w:pPr>
      <w:r>
        <w:t xml:space="preserve">Between the December 2018 and December 2023 quarters, the number of children accessing ACCS rose from 27,180 to 37,780 </w:t>
      </w:r>
      <w:r w:rsidRPr="00491BBF">
        <w:rPr>
          <w:rFonts w:ascii="Arial" w:hAnsi="Arial" w:cs="Arial"/>
        </w:rPr>
        <w:t>(DoE 2019, 2024b)</w:t>
      </w:r>
      <w:r>
        <w:t xml:space="preserve">. This increase may reflect a delay in children transferring to ACCS from previous programs that provided additional support to families (section D.2). Bray et al. </w:t>
      </w:r>
      <w:r w:rsidRPr="00491BBF">
        <w:rPr>
          <w:rFonts w:ascii="Arial" w:hAnsi="Arial" w:cs="Arial"/>
        </w:rPr>
        <w:t>(2021, pp. 329–330)</w:t>
      </w:r>
      <w:r>
        <w:t xml:space="preserve"> identified that the transition to ACCS was ‘challenging’ for services and that the number of children accessing ACCS increased once ‘[transitional] issues were resolved and understanding of eligibility and processes improved’.</w:t>
      </w:r>
    </w:p>
    <w:p w14:paraId="09F268F4" w14:textId="77777777" w:rsidR="005E1B35" w:rsidRDefault="005E1B35" w:rsidP="00E22532">
      <w:pPr>
        <w:pStyle w:val="BodyText"/>
        <w:spacing w:line="260" w:lineRule="atLeast"/>
      </w:pPr>
      <w:r>
        <w:t>Of the 37,780 children accessing ACCS in the December 2023 quarter, about three quarters did so through Child Wellbeing. The number of children accessing ACCS via Transition to Work has fallen by about 15% in the past year (figure D.4). Further information on government spending on ACCS is in section </w:t>
      </w:r>
      <w:r w:rsidRPr="00A169C1">
        <w:t>D.</w:t>
      </w:r>
      <w:r>
        <w:t>4.</w:t>
      </w:r>
    </w:p>
    <w:p w14:paraId="33B0FF28" w14:textId="77777777" w:rsidR="005E1B35" w:rsidRDefault="005E1B35" w:rsidP="00E22532">
      <w:pPr>
        <w:pStyle w:val="BodyText"/>
        <w:spacing w:line="260" w:lineRule="atLeast"/>
      </w:pPr>
      <w:r>
        <w:t>In</w:t>
      </w:r>
      <w:r w:rsidRPr="00E50F58">
        <w:t xml:space="preserve"> the December 202</w:t>
      </w:r>
      <w:r>
        <w:t>3</w:t>
      </w:r>
      <w:r w:rsidRPr="00E50F58">
        <w:t xml:space="preserve"> quarter, 16% of children at a weekly level who received ACCS faced out</w:t>
      </w:r>
      <w:r w:rsidRPr="00E50F58">
        <w:noBreakHyphen/>
        <w:t>of</w:t>
      </w:r>
      <w:r w:rsidRPr="00E50F58">
        <w:noBreakHyphen/>
        <w:t>pocket expenses.</w:t>
      </w:r>
      <w:r>
        <w:rPr>
          <w:rStyle w:val="FootnoteReference"/>
        </w:rPr>
        <w:footnoteReference w:id="17"/>
      </w:r>
      <w:r w:rsidRPr="00E50F58">
        <w:t xml:space="preserve"> For the weeks in which those children faced out</w:t>
      </w:r>
      <w:r w:rsidRPr="00E50F58">
        <w:noBreakHyphen/>
        <w:t>of</w:t>
      </w:r>
      <w:r w:rsidRPr="00E50F58">
        <w:noBreakHyphen/>
        <w:t>pocket expenses, the average out</w:t>
      </w:r>
      <w:r w:rsidRPr="00E50F58">
        <w:noBreakHyphen/>
        <w:t>of</w:t>
      </w:r>
      <w:r w:rsidRPr="00E50F58">
        <w:noBreakHyphen/>
        <w:t xml:space="preserve">pocket expense was about $42 a week (Productivity Commission estimates </w:t>
      </w:r>
      <w:r>
        <w:t>using</w:t>
      </w:r>
      <w:r w:rsidRPr="00E50F58">
        <w:t xml:space="preserve"> DoE</w:t>
      </w:r>
      <w:r>
        <w:t xml:space="preserve"> </w:t>
      </w:r>
      <w:r w:rsidRPr="00E50F58">
        <w:t>(unpublished)).</w:t>
      </w:r>
    </w:p>
    <w:p w14:paraId="283962F2" w14:textId="77777777" w:rsidR="005E1B35" w:rsidRPr="00115403" w:rsidRDefault="005E1B35">
      <w:pPr>
        <w:pStyle w:val="FigureTableHeading"/>
        <w:rPr>
          <w:vertAlign w:val="superscript"/>
        </w:rPr>
      </w:pPr>
      <w:r>
        <w:t xml:space="preserve">Table </w:t>
      </w:r>
      <w:r>
        <w:rPr>
          <w:noProof/>
        </w:rPr>
        <w:t>D</w:t>
      </w:r>
      <w:r>
        <w:t>.</w:t>
      </w:r>
      <w:r>
        <w:rPr>
          <w:noProof/>
        </w:rPr>
        <w:t xml:space="preserve">4 – </w:t>
      </w:r>
      <w:r>
        <w:t>ACCS provides higher subsidy rates and subsidised hours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109"/>
        <w:gridCol w:w="2410"/>
        <w:gridCol w:w="1958"/>
        <w:gridCol w:w="3161"/>
      </w:tblGrid>
      <w:tr w:rsidR="005E1B35" w:rsidRPr="00030C67" w14:paraId="1885BC88" w14:textId="77777777" w:rsidTr="00882158">
        <w:trPr>
          <w:tblHeader/>
        </w:trPr>
        <w:tc>
          <w:tcPr>
            <w:tcW w:w="1094" w:type="pct"/>
            <w:tcBorders>
              <w:bottom w:val="single" w:sz="4" w:space="0" w:color="B3B3B3"/>
            </w:tcBorders>
            <w:shd w:val="clear" w:color="auto" w:fill="auto"/>
          </w:tcPr>
          <w:p w14:paraId="3C95A758" w14:textId="77777777" w:rsidR="005E1B35" w:rsidRPr="00030C67" w:rsidRDefault="005E1B35" w:rsidP="00882158">
            <w:pPr>
              <w:pStyle w:val="TableHeading"/>
              <w:rPr>
                <w:rFonts w:ascii="Arial (Body)" w:hAnsi="Arial (Body)"/>
                <w:color w:val="265A9A"/>
              </w:rPr>
            </w:pPr>
            <w:r>
              <w:rPr>
                <w:rFonts w:ascii="Arial (Body)" w:hAnsi="Arial (Body)"/>
                <w:color w:val="265A9A"/>
              </w:rPr>
              <w:t>ACCS category</w:t>
            </w:r>
          </w:p>
        </w:tc>
        <w:tc>
          <w:tcPr>
            <w:tcW w:w="1250" w:type="pct"/>
            <w:tcBorders>
              <w:bottom w:val="single" w:sz="4" w:space="0" w:color="B3B3B3"/>
            </w:tcBorders>
            <w:shd w:val="clear" w:color="auto" w:fill="auto"/>
          </w:tcPr>
          <w:p w14:paraId="5441B51B" w14:textId="77777777" w:rsidR="005E1B35" w:rsidRPr="00030C67" w:rsidRDefault="005E1B35" w:rsidP="00882158">
            <w:pPr>
              <w:pStyle w:val="TableHeading"/>
            </w:pPr>
            <w:r>
              <w:t>Subsidy</w:t>
            </w:r>
            <w:r w:rsidRPr="000B18E1">
              <w:t xml:space="preserve"> percentage</w:t>
            </w:r>
          </w:p>
        </w:tc>
        <w:tc>
          <w:tcPr>
            <w:tcW w:w="1016" w:type="pct"/>
            <w:tcBorders>
              <w:bottom w:val="single" w:sz="4" w:space="0" w:color="B3B3B3"/>
            </w:tcBorders>
            <w:shd w:val="clear" w:color="auto" w:fill="auto"/>
          </w:tcPr>
          <w:p w14:paraId="77CDBA5A" w14:textId="77777777" w:rsidR="005E1B35" w:rsidRPr="00030C67" w:rsidRDefault="005E1B35" w:rsidP="00882158">
            <w:pPr>
              <w:pStyle w:val="TableHeading"/>
            </w:pPr>
            <w:r w:rsidRPr="00B76AF5">
              <w:t>Hours of assistance per fortnight</w:t>
            </w:r>
          </w:p>
        </w:tc>
        <w:tc>
          <w:tcPr>
            <w:tcW w:w="1640" w:type="pct"/>
            <w:tcBorders>
              <w:bottom w:val="single" w:sz="4" w:space="0" w:color="B3B3B3"/>
            </w:tcBorders>
            <w:shd w:val="clear" w:color="auto" w:fill="auto"/>
          </w:tcPr>
          <w:p w14:paraId="2A72FDF7" w14:textId="77777777" w:rsidR="005E1B35" w:rsidRPr="00B76AF5" w:rsidRDefault="005E1B35" w:rsidP="00882158">
            <w:pPr>
              <w:pStyle w:val="TableHeading"/>
            </w:pPr>
            <w:r>
              <w:t>Length of eligibility</w:t>
            </w:r>
          </w:p>
        </w:tc>
      </w:tr>
      <w:tr w:rsidR="005E1B35" w:rsidRPr="00030C67" w14:paraId="573777CE" w14:textId="77777777" w:rsidTr="00882158">
        <w:tc>
          <w:tcPr>
            <w:tcW w:w="1094" w:type="pct"/>
            <w:tcBorders>
              <w:top w:val="single" w:sz="4" w:space="0" w:color="B3B3B3"/>
              <w:bottom w:val="nil"/>
            </w:tcBorders>
            <w:shd w:val="clear" w:color="auto" w:fill="F2F2F2" w:themeFill="background1" w:themeFillShade="F2"/>
          </w:tcPr>
          <w:p w14:paraId="5D9E720A" w14:textId="77777777" w:rsidR="005E1B35" w:rsidRPr="00030C67" w:rsidRDefault="005E1B35" w:rsidP="00882158">
            <w:pPr>
              <w:pStyle w:val="TableHeading"/>
            </w:pPr>
            <w:r>
              <w:t>Child Wellbeing</w:t>
            </w:r>
          </w:p>
        </w:tc>
        <w:tc>
          <w:tcPr>
            <w:tcW w:w="1250" w:type="pct"/>
            <w:tcBorders>
              <w:top w:val="single" w:sz="4" w:space="0" w:color="B3B3B3"/>
              <w:bottom w:val="nil"/>
            </w:tcBorders>
            <w:shd w:val="clear" w:color="auto" w:fill="F2F2F2" w:themeFill="background1" w:themeFillShade="F2"/>
          </w:tcPr>
          <w:p w14:paraId="2289D229" w14:textId="77777777" w:rsidR="005E1B35" w:rsidRDefault="005E1B35" w:rsidP="00882158">
            <w:pPr>
              <w:pStyle w:val="TableBody"/>
              <w:spacing w:before="45" w:after="45"/>
              <w:ind w:right="108"/>
              <w:rPr>
                <w:rFonts w:ascii="Arial (Body)" w:hAnsi="Arial (Body)"/>
                <w:color w:val="000000"/>
              </w:rPr>
            </w:pPr>
            <w:r>
              <w:rPr>
                <w:rFonts w:ascii="Arial (Body)" w:hAnsi="Arial (Body)"/>
                <w:color w:val="000000"/>
              </w:rPr>
              <w:t>i) 100% of the fee if below or equal to the rate cap, or</w:t>
            </w:r>
          </w:p>
          <w:p w14:paraId="1C503149" w14:textId="77777777" w:rsidR="005E1B35" w:rsidRPr="00030C67" w:rsidRDefault="005E1B35" w:rsidP="00882158">
            <w:pPr>
              <w:pStyle w:val="TableBody"/>
              <w:spacing w:before="45" w:after="45"/>
              <w:ind w:right="108"/>
              <w:rPr>
                <w:rFonts w:ascii="Arial (Body)" w:hAnsi="Arial (Body)"/>
                <w:color w:val="000000"/>
              </w:rPr>
            </w:pPr>
            <w:r w:rsidRPr="7151DA51">
              <w:rPr>
                <w:rFonts w:ascii="Arial (Body)" w:hAnsi="Arial (Body)"/>
                <w:color w:val="000000" w:themeColor="text1"/>
              </w:rPr>
              <w:t>ii) up to 120% of the rate cap if the fee is above the rate cap</w:t>
            </w:r>
          </w:p>
        </w:tc>
        <w:tc>
          <w:tcPr>
            <w:tcW w:w="1016" w:type="pct"/>
            <w:tcBorders>
              <w:top w:val="single" w:sz="4" w:space="0" w:color="B3B3B3"/>
              <w:bottom w:val="nil"/>
            </w:tcBorders>
            <w:shd w:val="clear" w:color="auto" w:fill="F2F2F2" w:themeFill="background1" w:themeFillShade="F2"/>
          </w:tcPr>
          <w:p w14:paraId="4B7F6E73" w14:textId="77777777" w:rsidR="005E1B35" w:rsidRDefault="005E1B35" w:rsidP="00882158">
            <w:pPr>
              <w:pStyle w:val="TableBody"/>
              <w:spacing w:before="45" w:after="45"/>
              <w:ind w:right="108"/>
              <w:rPr>
                <w:rFonts w:ascii="Arial (Body)" w:hAnsi="Arial (Body)"/>
                <w:color w:val="000000"/>
              </w:rPr>
            </w:pPr>
            <w:r w:rsidRPr="00062E9F">
              <w:rPr>
                <w:rFonts w:ascii="Arial (Body)" w:hAnsi="Arial (Body)"/>
                <w:color w:val="000000"/>
              </w:rPr>
              <w:t>100 hours</w:t>
            </w:r>
          </w:p>
        </w:tc>
        <w:tc>
          <w:tcPr>
            <w:tcW w:w="1640" w:type="pct"/>
            <w:tcBorders>
              <w:top w:val="single" w:sz="4" w:space="0" w:color="B3B3B3"/>
              <w:bottom w:val="nil"/>
            </w:tcBorders>
            <w:shd w:val="clear" w:color="auto" w:fill="F2F2F2" w:themeFill="background1" w:themeFillShade="F2"/>
          </w:tcPr>
          <w:p w14:paraId="72BCFCB4" w14:textId="77777777" w:rsidR="005E1B35" w:rsidRPr="00062E9F" w:rsidRDefault="005E1B35" w:rsidP="00882158">
            <w:pPr>
              <w:pStyle w:val="TableBody"/>
              <w:spacing w:before="45" w:after="45"/>
              <w:ind w:right="108"/>
              <w:rPr>
                <w:rFonts w:ascii="Arial (Body)" w:hAnsi="Arial (Body)"/>
                <w:color w:val="000000"/>
              </w:rPr>
            </w:pPr>
            <w:r>
              <w:rPr>
                <w:rFonts w:ascii="Arial (Body)" w:hAnsi="Arial (Body)"/>
                <w:color w:val="000000"/>
              </w:rPr>
              <w:t>Six weeks. After the initial six weeks, the ECEC service can assess if the applicant needs to keep receiving the subsidy. If so, the service can apply for longer periods of up to 13 weeks</w:t>
            </w:r>
            <w:r w:rsidRPr="00585A15">
              <w:rPr>
                <w:rFonts w:ascii="Arial (Body)" w:hAnsi="Arial (Body)"/>
                <w:b/>
                <w:color w:val="000000"/>
                <w:vertAlign w:val="superscript"/>
              </w:rPr>
              <w:t>a</w:t>
            </w:r>
          </w:p>
        </w:tc>
      </w:tr>
      <w:tr w:rsidR="005E1B35" w:rsidRPr="00030C67" w14:paraId="263EBA94" w14:textId="77777777" w:rsidTr="00882158">
        <w:tc>
          <w:tcPr>
            <w:tcW w:w="1094" w:type="pct"/>
            <w:tcBorders>
              <w:top w:val="nil"/>
              <w:bottom w:val="nil"/>
            </w:tcBorders>
            <w:shd w:val="clear" w:color="auto" w:fill="auto"/>
          </w:tcPr>
          <w:p w14:paraId="05FC01C4" w14:textId="77777777" w:rsidR="005E1B35" w:rsidRPr="00030C67" w:rsidRDefault="005E1B35" w:rsidP="00882158">
            <w:pPr>
              <w:pStyle w:val="TableHeading"/>
            </w:pPr>
            <w:r w:rsidRPr="00B76AF5">
              <w:t>Grandparent</w:t>
            </w:r>
          </w:p>
        </w:tc>
        <w:tc>
          <w:tcPr>
            <w:tcW w:w="1250" w:type="pct"/>
            <w:tcBorders>
              <w:top w:val="nil"/>
              <w:bottom w:val="nil"/>
            </w:tcBorders>
            <w:shd w:val="clear" w:color="auto" w:fill="auto"/>
          </w:tcPr>
          <w:p w14:paraId="2FDC6D35" w14:textId="77777777" w:rsidR="005E1B35" w:rsidRDefault="005E1B35" w:rsidP="00882158">
            <w:pPr>
              <w:pStyle w:val="TableBody"/>
              <w:spacing w:before="45" w:after="45"/>
              <w:ind w:right="108"/>
              <w:rPr>
                <w:rFonts w:ascii="Arial (Body)" w:hAnsi="Arial (Body)"/>
                <w:color w:val="000000"/>
              </w:rPr>
            </w:pPr>
            <w:r>
              <w:rPr>
                <w:rFonts w:ascii="Arial (Body)" w:hAnsi="Arial (Body)"/>
                <w:color w:val="000000"/>
              </w:rPr>
              <w:t>i) 100% of the fee if below or equal to the rate cap, or</w:t>
            </w:r>
          </w:p>
          <w:p w14:paraId="36565C27" w14:textId="77777777" w:rsidR="005E1B35" w:rsidRPr="00030C67" w:rsidRDefault="005E1B35" w:rsidP="00882158">
            <w:pPr>
              <w:pStyle w:val="TableBody"/>
              <w:spacing w:before="45" w:after="45"/>
              <w:ind w:right="108"/>
              <w:rPr>
                <w:rFonts w:ascii="Arial (Body)" w:hAnsi="Arial (Body)"/>
                <w:color w:val="000000"/>
              </w:rPr>
            </w:pPr>
            <w:r>
              <w:rPr>
                <w:rFonts w:ascii="Arial (Body)" w:hAnsi="Arial (Body)"/>
                <w:color w:val="000000"/>
              </w:rPr>
              <w:t>ii) up to 120% of the rate cap if the fee is above the rate cap</w:t>
            </w:r>
          </w:p>
        </w:tc>
        <w:tc>
          <w:tcPr>
            <w:tcW w:w="1016" w:type="pct"/>
            <w:tcBorders>
              <w:top w:val="nil"/>
              <w:bottom w:val="nil"/>
            </w:tcBorders>
            <w:shd w:val="clear" w:color="auto" w:fill="auto"/>
          </w:tcPr>
          <w:p w14:paraId="2A1A0C1A" w14:textId="77777777" w:rsidR="005E1B35" w:rsidRDefault="005E1B35" w:rsidP="00882158">
            <w:pPr>
              <w:pStyle w:val="TableBody"/>
              <w:spacing w:before="45" w:after="45"/>
              <w:ind w:right="108"/>
              <w:rPr>
                <w:rFonts w:ascii="Arial (Body)" w:hAnsi="Arial (Body)"/>
                <w:color w:val="000000"/>
              </w:rPr>
            </w:pPr>
            <w:r w:rsidRPr="00062E9F">
              <w:rPr>
                <w:rFonts w:ascii="Arial (Body)" w:hAnsi="Arial (Body)"/>
                <w:color w:val="000000"/>
              </w:rPr>
              <w:t>100 hours</w:t>
            </w:r>
          </w:p>
        </w:tc>
        <w:tc>
          <w:tcPr>
            <w:tcW w:w="1640" w:type="pct"/>
            <w:tcBorders>
              <w:top w:val="nil"/>
              <w:bottom w:val="nil"/>
            </w:tcBorders>
            <w:shd w:val="clear" w:color="auto" w:fill="auto"/>
          </w:tcPr>
          <w:p w14:paraId="444F034F" w14:textId="77777777" w:rsidR="005E1B35" w:rsidRPr="00062E9F" w:rsidRDefault="005E1B35" w:rsidP="00882158">
            <w:pPr>
              <w:pStyle w:val="TableBody"/>
              <w:spacing w:before="45" w:after="45"/>
              <w:ind w:right="108"/>
              <w:rPr>
                <w:rFonts w:ascii="Arial (Body)" w:hAnsi="Arial (Body)"/>
                <w:color w:val="000000"/>
              </w:rPr>
            </w:pPr>
            <w:r>
              <w:rPr>
                <w:rFonts w:ascii="Arial (Body)" w:hAnsi="Arial (Body)"/>
                <w:color w:val="000000"/>
              </w:rPr>
              <w:t>No time limit</w:t>
            </w:r>
          </w:p>
        </w:tc>
      </w:tr>
      <w:tr w:rsidR="005E1B35" w:rsidRPr="00030C67" w14:paraId="5FC0CA00" w14:textId="77777777" w:rsidTr="00882158">
        <w:tc>
          <w:tcPr>
            <w:tcW w:w="1094" w:type="pct"/>
            <w:tcBorders>
              <w:bottom w:val="nil"/>
            </w:tcBorders>
            <w:shd w:val="clear" w:color="auto" w:fill="F2F2F2" w:themeFill="background1" w:themeFillShade="F2"/>
          </w:tcPr>
          <w:p w14:paraId="4F88812D" w14:textId="77777777" w:rsidR="005E1B35" w:rsidRPr="00030C67" w:rsidRDefault="005E1B35" w:rsidP="00882158">
            <w:pPr>
              <w:pStyle w:val="TableHeading"/>
            </w:pPr>
            <w:r>
              <w:t>Temporary Financial Hardship</w:t>
            </w:r>
          </w:p>
        </w:tc>
        <w:tc>
          <w:tcPr>
            <w:tcW w:w="1250" w:type="pct"/>
            <w:tcBorders>
              <w:bottom w:val="nil"/>
            </w:tcBorders>
            <w:shd w:val="clear" w:color="auto" w:fill="F2F2F2" w:themeFill="background1" w:themeFillShade="F2"/>
          </w:tcPr>
          <w:p w14:paraId="42D08B24" w14:textId="77777777" w:rsidR="005E1B35" w:rsidRDefault="005E1B35" w:rsidP="00882158">
            <w:pPr>
              <w:pStyle w:val="TableBody"/>
              <w:spacing w:before="45" w:after="45"/>
              <w:ind w:right="108"/>
              <w:rPr>
                <w:rFonts w:ascii="Arial (Body)" w:hAnsi="Arial (Body)"/>
                <w:color w:val="000000"/>
              </w:rPr>
            </w:pPr>
            <w:r>
              <w:rPr>
                <w:rFonts w:ascii="Arial (Body)" w:hAnsi="Arial (Body)"/>
                <w:color w:val="000000"/>
              </w:rPr>
              <w:t>i) 100% of the fee if below or equal to the rate cap, or</w:t>
            </w:r>
          </w:p>
          <w:p w14:paraId="5576BE37" w14:textId="77777777" w:rsidR="005E1B35" w:rsidRPr="00030C67" w:rsidRDefault="005E1B35" w:rsidP="00882158">
            <w:pPr>
              <w:pStyle w:val="TableBody"/>
              <w:spacing w:before="45" w:after="45"/>
              <w:ind w:right="108"/>
              <w:rPr>
                <w:rFonts w:ascii="Arial (Body)" w:hAnsi="Arial (Body)"/>
                <w:color w:val="000000"/>
              </w:rPr>
            </w:pPr>
            <w:r>
              <w:rPr>
                <w:rFonts w:ascii="Arial (Body)" w:hAnsi="Arial (Body)"/>
                <w:color w:val="000000"/>
              </w:rPr>
              <w:t>ii) up to 120% of the rate cap if the fee is above the rate cap</w:t>
            </w:r>
          </w:p>
        </w:tc>
        <w:tc>
          <w:tcPr>
            <w:tcW w:w="1016" w:type="pct"/>
            <w:tcBorders>
              <w:bottom w:val="nil"/>
            </w:tcBorders>
            <w:shd w:val="clear" w:color="auto" w:fill="F2F2F2" w:themeFill="background1" w:themeFillShade="F2"/>
          </w:tcPr>
          <w:p w14:paraId="476C3187" w14:textId="77777777" w:rsidR="005E1B35" w:rsidRDefault="005E1B35" w:rsidP="00882158">
            <w:pPr>
              <w:pStyle w:val="TableBody"/>
              <w:spacing w:before="45" w:after="45"/>
              <w:ind w:right="108"/>
              <w:rPr>
                <w:rFonts w:ascii="Arial (Body)" w:hAnsi="Arial (Body)"/>
                <w:color w:val="000000"/>
              </w:rPr>
            </w:pPr>
            <w:r w:rsidRPr="00062E9F">
              <w:rPr>
                <w:rFonts w:ascii="Arial (Body)" w:hAnsi="Arial (Body)"/>
                <w:color w:val="000000"/>
              </w:rPr>
              <w:t>100 hours</w:t>
            </w:r>
          </w:p>
        </w:tc>
        <w:tc>
          <w:tcPr>
            <w:tcW w:w="1640" w:type="pct"/>
            <w:tcBorders>
              <w:bottom w:val="nil"/>
            </w:tcBorders>
            <w:shd w:val="clear" w:color="auto" w:fill="F2F2F2" w:themeFill="background1" w:themeFillShade="F2"/>
          </w:tcPr>
          <w:p w14:paraId="1CB4D0F3" w14:textId="77777777" w:rsidR="005E1B35" w:rsidRPr="00062E9F" w:rsidRDefault="005E1B35" w:rsidP="00882158">
            <w:pPr>
              <w:pStyle w:val="TableBody"/>
              <w:spacing w:before="45" w:after="45"/>
              <w:ind w:right="108"/>
              <w:rPr>
                <w:rFonts w:ascii="Arial (Body)" w:hAnsi="Arial (Body)"/>
                <w:color w:val="000000"/>
              </w:rPr>
            </w:pPr>
            <w:r>
              <w:rPr>
                <w:rFonts w:ascii="Arial (Body)" w:hAnsi="Arial (Body)"/>
                <w:color w:val="000000"/>
              </w:rPr>
              <w:t>13 weeks per event</w:t>
            </w:r>
          </w:p>
        </w:tc>
      </w:tr>
      <w:tr w:rsidR="005E1B35" w:rsidRPr="00030C67" w14:paraId="2415C6C2" w14:textId="77777777" w:rsidTr="00882158">
        <w:tc>
          <w:tcPr>
            <w:tcW w:w="1094" w:type="pct"/>
            <w:tcBorders>
              <w:bottom w:val="single" w:sz="4" w:space="0" w:color="B3B3B3"/>
            </w:tcBorders>
            <w:shd w:val="clear" w:color="auto" w:fill="FFFFFF" w:themeFill="background1"/>
          </w:tcPr>
          <w:p w14:paraId="02124609" w14:textId="77777777" w:rsidR="005E1B35" w:rsidRPr="00B76AF5" w:rsidRDefault="005E1B35" w:rsidP="00882158">
            <w:pPr>
              <w:pStyle w:val="TableHeading"/>
            </w:pPr>
            <w:r>
              <w:t>Transition to Work</w:t>
            </w:r>
          </w:p>
        </w:tc>
        <w:tc>
          <w:tcPr>
            <w:tcW w:w="1250" w:type="pct"/>
            <w:tcBorders>
              <w:bottom w:val="single" w:sz="4" w:space="0" w:color="B3B3B3"/>
            </w:tcBorders>
            <w:shd w:val="clear" w:color="auto" w:fill="FFFFFF" w:themeFill="background1"/>
          </w:tcPr>
          <w:p w14:paraId="12156731" w14:textId="77777777" w:rsidR="005E1B35" w:rsidRDefault="005E1B35" w:rsidP="00882158">
            <w:pPr>
              <w:pStyle w:val="TableBody"/>
              <w:spacing w:before="45" w:after="45"/>
              <w:ind w:right="108"/>
              <w:rPr>
                <w:rFonts w:ascii="Arial (Body)" w:hAnsi="Arial (Body)"/>
                <w:color w:val="000000"/>
              </w:rPr>
            </w:pPr>
            <w:r>
              <w:rPr>
                <w:rFonts w:ascii="Arial (Body)" w:hAnsi="Arial (Body)"/>
                <w:color w:val="000000"/>
              </w:rPr>
              <w:t>i) 95% of the fee if below or equal to the rate cap, or</w:t>
            </w:r>
          </w:p>
          <w:p w14:paraId="5A2484D0" w14:textId="77777777" w:rsidR="005E1B35" w:rsidRDefault="005E1B35" w:rsidP="00882158">
            <w:pPr>
              <w:pStyle w:val="TableBody"/>
              <w:spacing w:before="45" w:after="45"/>
              <w:ind w:right="108"/>
              <w:rPr>
                <w:rFonts w:ascii="Arial (Body)" w:hAnsi="Arial (Body)"/>
                <w:color w:val="000000"/>
              </w:rPr>
            </w:pPr>
            <w:r>
              <w:rPr>
                <w:rFonts w:ascii="Arial (Body)" w:hAnsi="Arial (Body)"/>
                <w:color w:val="000000"/>
              </w:rPr>
              <w:lastRenderedPageBreak/>
              <w:t>ii) up to 95% of the rate cap if fee is above the rate cap</w:t>
            </w:r>
          </w:p>
        </w:tc>
        <w:tc>
          <w:tcPr>
            <w:tcW w:w="1016" w:type="pct"/>
            <w:tcBorders>
              <w:bottom w:val="single" w:sz="4" w:space="0" w:color="B3B3B3"/>
            </w:tcBorders>
            <w:shd w:val="clear" w:color="auto" w:fill="FFFFFF" w:themeFill="background1"/>
          </w:tcPr>
          <w:p w14:paraId="46081161" w14:textId="77777777" w:rsidR="005E1B35" w:rsidRPr="00062E9F" w:rsidRDefault="005E1B35" w:rsidP="00882158">
            <w:pPr>
              <w:pStyle w:val="TableBody"/>
              <w:spacing w:before="45" w:after="45"/>
              <w:ind w:right="108"/>
              <w:rPr>
                <w:rFonts w:ascii="Arial (Body)" w:hAnsi="Arial (Body)"/>
                <w:color w:val="000000"/>
              </w:rPr>
            </w:pPr>
            <w:r>
              <w:rPr>
                <w:rFonts w:ascii="Arial (Body)" w:hAnsi="Arial (Body)"/>
                <w:color w:val="000000"/>
              </w:rPr>
              <w:lastRenderedPageBreak/>
              <w:t>Depends on activity level</w:t>
            </w:r>
          </w:p>
        </w:tc>
        <w:tc>
          <w:tcPr>
            <w:tcW w:w="1640" w:type="pct"/>
            <w:tcBorders>
              <w:bottom w:val="single" w:sz="4" w:space="0" w:color="B3B3B3"/>
            </w:tcBorders>
            <w:shd w:val="clear" w:color="auto" w:fill="FFFFFF" w:themeFill="background1"/>
          </w:tcPr>
          <w:p w14:paraId="3E8F8CB5" w14:textId="77777777" w:rsidR="005E1B35" w:rsidRDefault="005E1B35" w:rsidP="00882158">
            <w:pPr>
              <w:pStyle w:val="TableBody"/>
              <w:spacing w:before="45" w:after="45"/>
              <w:ind w:right="108"/>
              <w:rPr>
                <w:rFonts w:ascii="Arial (Body)" w:hAnsi="Arial (Body)"/>
                <w:color w:val="000000"/>
              </w:rPr>
            </w:pPr>
            <w:r>
              <w:rPr>
                <w:rFonts w:ascii="Arial (Body)" w:hAnsi="Arial (Body)"/>
                <w:color w:val="000000"/>
              </w:rPr>
              <w:t>Depends on type of activity</w:t>
            </w:r>
          </w:p>
        </w:tc>
      </w:tr>
    </w:tbl>
    <w:p w14:paraId="7276D37F" w14:textId="77777777" w:rsidR="005E1B35" w:rsidRDefault="005E1B35" w:rsidP="00882158">
      <w:pPr>
        <w:pStyle w:val="Note"/>
      </w:pPr>
      <w:r w:rsidRPr="00180E66">
        <w:rPr>
          <w:b/>
          <w:bCs/>
        </w:rPr>
        <w:t>a.</w:t>
      </w:r>
      <w:r w:rsidRPr="00BA0217">
        <w:rPr>
          <w:b/>
          <w:bCs/>
        </w:rPr>
        <w:t xml:space="preserve"> </w:t>
      </w:r>
      <w:r>
        <w:t xml:space="preserve">The service can apply for </w:t>
      </w:r>
      <w:r>
        <w:rPr>
          <w:rFonts w:ascii="Arial (Body)" w:hAnsi="Arial (Body)"/>
          <w:color w:val="000000"/>
        </w:rPr>
        <w:t>up to 52 weeks if the child is on a long</w:t>
      </w:r>
      <w:r>
        <w:rPr>
          <w:rFonts w:ascii="Arial (Body)" w:hAnsi="Arial (Body)"/>
          <w:color w:val="000000"/>
        </w:rPr>
        <w:noBreakHyphen/>
        <w:t>term protection order, in formal foster care or in a formal kinship arrangement</w:t>
      </w:r>
      <w:r>
        <w:t>.</w:t>
      </w:r>
    </w:p>
    <w:p w14:paraId="539C92DE" w14:textId="77777777" w:rsidR="005E1B35" w:rsidRDefault="005E1B35" w:rsidP="00882158">
      <w:pPr>
        <w:pStyle w:val="Note"/>
      </w:pPr>
      <w:r w:rsidRPr="00696447">
        <w:t xml:space="preserve">Source: </w:t>
      </w:r>
      <w:r>
        <w:t>Services Australia</w:t>
      </w:r>
      <w:r w:rsidRPr="00696447">
        <w:t xml:space="preserve"> </w:t>
      </w:r>
      <w:r w:rsidRPr="00491BBF">
        <w:rPr>
          <w:rFonts w:cs="Arial"/>
        </w:rPr>
        <w:t>(2022b, 2022c, 2022e, 2022g)</w:t>
      </w:r>
      <w:r w:rsidRPr="00696447">
        <w:t>.</w:t>
      </w:r>
    </w:p>
    <w:p w14:paraId="38BB1F7F" w14:textId="77777777" w:rsidR="005E1B35" w:rsidRDefault="005E1B35" w:rsidP="00882158">
      <w:pPr>
        <w:pStyle w:val="BodyText"/>
      </w:pPr>
      <w:r>
        <w:t>In the December 2023 quarter, the 37,780 children accessing the ACCS represented about 3% of all children using</w:t>
      </w:r>
      <w:r w:rsidRPr="00612D15">
        <w:t xml:space="preserve"> </w:t>
      </w:r>
      <w:r>
        <w:t>CCS</w:t>
      </w:r>
      <w:r>
        <w:noBreakHyphen/>
        <w:t>approved</w:t>
      </w:r>
      <w:r w:rsidRPr="00612D15">
        <w:t xml:space="preserve"> </w:t>
      </w:r>
      <w:r>
        <w:t>services. The rate at which children using CCS</w:t>
      </w:r>
      <w:r>
        <w:noBreakHyphen/>
        <w:t>approved services accessed ACCS rose throughout 2018 and 2019 before peaking in the December 2020 quarter (figure D.5).</w:t>
      </w:r>
    </w:p>
    <w:p w14:paraId="7DB42499" w14:textId="77777777" w:rsidR="005E1B35" w:rsidRPr="00146382" w:rsidRDefault="005E1B35">
      <w:pPr>
        <w:pStyle w:val="FigureTableHeading"/>
      </w:pPr>
      <w:r>
        <w:t xml:space="preserve">Figure </w:t>
      </w:r>
      <w:r>
        <w:rPr>
          <w:noProof/>
        </w:rPr>
        <w:t>D</w:t>
      </w:r>
      <w:r>
        <w:t>.</w:t>
      </w:r>
      <w:r>
        <w:rPr>
          <w:noProof/>
        </w:rPr>
        <w:t xml:space="preserve">4 </w:t>
      </w:r>
      <w:r>
        <w:t>– The number of children accessing ACCS increased in the 18 months following September 2018, but has fallen since 2020</w:t>
      </w:r>
      <w:r w:rsidRPr="00066CF5">
        <w:rPr>
          <w:vertAlign w:val="superscript"/>
        </w:rPr>
        <w:t>a</w:t>
      </w:r>
    </w:p>
    <w:p w14:paraId="02ECFD25" w14:textId="77777777" w:rsidR="005E1B35" w:rsidRDefault="005E1B35">
      <w:pPr>
        <w:pStyle w:val="FigureTableSubheading"/>
        <w:keepLines/>
      </w:pPr>
      <w:r w:rsidRPr="006D22E7">
        <w:t>Number of children accessing ACCS, September 2018 to December 202</w:t>
      </w:r>
      <w:r>
        <w:t>3</w:t>
      </w:r>
    </w:p>
    <w:p w14:paraId="58B815C9" w14:textId="77777777" w:rsidR="005E1B35" w:rsidRDefault="005E1B35" w:rsidP="0038326C">
      <w:pPr>
        <w:pStyle w:val="BodyText"/>
        <w:spacing w:before="0" w:after="0" w:line="260" w:lineRule="atLeast"/>
      </w:pPr>
      <w:r w:rsidRPr="00EF6D25">
        <w:rPr>
          <w:noProof/>
        </w:rPr>
        <w:drawing>
          <wp:inline distT="0" distB="0" distL="0" distR="0" wp14:anchorId="7254862E" wp14:editId="5B8429DE">
            <wp:extent cx="6012000" cy="2826352"/>
            <wp:effectExtent l="0" t="0" r="0" b="0"/>
            <wp:docPr id="1625832184" name="Picture 3" descr="Figure D.4 – This is a line chart that shows the total number of children accessing ACCS, as well as the number of children receiving ACCS in each category, from September quarter 2018 to December quarter 2023. The total number of children accessing ACCS, in yellow, increased between 2018 and 2020 and has since fallen. The number of children accessing ACCS Child Wellbeing, in light blue, increased to 2021 then has remained relatively unchanged since. The number of children accessing Temporary Financial Hardship, the light purple line, Transition to Work, the dark purple line, and Grandparent, the dark blue line, has either fallen or remained relatively stable since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32184" name="Picture 3" descr="Figure D.4 – This is a line chart that shows the total number of children accessing ACCS, as well as the number of children receiving ACCS in each category, from September quarter 2018 to December quarter 2023. The total number of children accessing ACCS, in yellow, increased between 2018 and 2020 and has since fallen. The number of children accessing ACCS Child Wellbeing, in light blue, increased to 2021 then has remained relatively unchanged since. The number of children accessing Temporary Financial Hardship, the light purple line, Transition to Work, the dark purple line, and Grandparent, the dark blue line, has either fallen or remained relatively stable since 2018.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2000" cy="2826352"/>
                    </a:xfrm>
                    <a:prstGeom prst="rect">
                      <a:avLst/>
                    </a:prstGeom>
                    <a:noFill/>
                    <a:ln>
                      <a:noFill/>
                    </a:ln>
                  </pic:spPr>
                </pic:pic>
              </a:graphicData>
            </a:graphic>
          </wp:inline>
        </w:drawing>
      </w:r>
    </w:p>
    <w:p w14:paraId="29289358" w14:textId="77777777" w:rsidR="005E1B35" w:rsidRDefault="005E1B35" w:rsidP="00C81BAC">
      <w:pPr>
        <w:pStyle w:val="Note"/>
        <w:keepLines/>
        <w:spacing w:before="0"/>
      </w:pPr>
      <w:r w:rsidRPr="00180E66">
        <w:rPr>
          <w:b/>
          <w:bCs/>
        </w:rPr>
        <w:t>a.</w:t>
      </w:r>
      <w:r>
        <w:t xml:space="preserve"> D</w:t>
      </w:r>
      <w:r w:rsidRPr="008A0471">
        <w:t>ata for June q</w:t>
      </w:r>
      <w:r>
        <w:t>uarter</w:t>
      </w:r>
      <w:r w:rsidRPr="008A0471">
        <w:t xml:space="preserve"> 2020 is </w:t>
      </w:r>
      <w:r>
        <w:t>un</w:t>
      </w:r>
      <w:r w:rsidRPr="008A0471">
        <w:t xml:space="preserve">available </w:t>
      </w:r>
      <w:r>
        <w:t>d</w:t>
      </w:r>
      <w:r w:rsidRPr="008A0471">
        <w:t xml:space="preserve">ue to </w:t>
      </w:r>
      <w:r>
        <w:t xml:space="preserve">temporary measures implemented in response to </w:t>
      </w:r>
      <w:r w:rsidRPr="008A0471">
        <w:t>COVID</w:t>
      </w:r>
      <w:r>
        <w:noBreakHyphen/>
      </w:r>
      <w:r w:rsidRPr="008A0471">
        <w:t>19.</w:t>
      </w:r>
    </w:p>
    <w:p w14:paraId="14A960DA" w14:textId="77777777" w:rsidR="005E1B35" w:rsidRDefault="005E1B35" w:rsidP="00882158">
      <w:pPr>
        <w:pStyle w:val="Note"/>
        <w:keepLines/>
      </w:pPr>
      <w:r w:rsidRPr="00696447">
        <w:t xml:space="preserve">Source: </w:t>
      </w:r>
      <w:r>
        <w:t xml:space="preserve">DoE </w:t>
      </w:r>
      <w:r w:rsidRPr="00491BBF">
        <w:rPr>
          <w:rFonts w:cs="Arial"/>
        </w:rPr>
        <w:t>(2024b, table</w:t>
      </w:r>
      <w:r>
        <w:rPr>
          <w:rFonts w:cs="Arial"/>
        </w:rPr>
        <w:t> </w:t>
      </w:r>
      <w:r w:rsidRPr="00491BBF">
        <w:rPr>
          <w:rFonts w:cs="Arial"/>
        </w:rPr>
        <w:t>7.1)</w:t>
      </w:r>
      <w:r>
        <w:t xml:space="preserve"> (and previous quarters)</w:t>
      </w:r>
      <w:r w:rsidRPr="00696447">
        <w:t>.</w:t>
      </w:r>
    </w:p>
    <w:p w14:paraId="40F5426B" w14:textId="77777777" w:rsidR="005E1B35" w:rsidRPr="00146382" w:rsidRDefault="005E1B35" w:rsidP="00882158">
      <w:pPr>
        <w:pStyle w:val="FigureTableHeading"/>
      </w:pPr>
      <w:r>
        <w:lastRenderedPageBreak/>
        <w:t xml:space="preserve">Figure </w:t>
      </w:r>
      <w:r>
        <w:rPr>
          <w:noProof/>
        </w:rPr>
        <w:t>D</w:t>
      </w:r>
      <w:r>
        <w:t>.</w:t>
      </w:r>
      <w:r>
        <w:rPr>
          <w:noProof/>
        </w:rPr>
        <w:t xml:space="preserve">5 </w:t>
      </w:r>
      <w:r>
        <w:t>– The proportion of children using CCS</w:t>
      </w:r>
      <w:r>
        <w:noBreakHyphen/>
        <w:t>approved services accessing ACCS peaked during COVID</w:t>
      </w:r>
      <w:r>
        <w:noBreakHyphen/>
        <w:t>19</w:t>
      </w:r>
      <w:r w:rsidRPr="0816A6A6">
        <w:rPr>
          <w:vertAlign w:val="superscript"/>
        </w:rPr>
        <w:t>a</w:t>
      </w:r>
    </w:p>
    <w:p w14:paraId="1C01D7B1" w14:textId="77777777" w:rsidR="005E1B35" w:rsidRDefault="005E1B35" w:rsidP="00882158">
      <w:pPr>
        <w:pStyle w:val="FigureTableSubheading"/>
        <w:keepLines/>
      </w:pPr>
      <w:r w:rsidRPr="001F79F3">
        <w:t xml:space="preserve">Proportion of children </w:t>
      </w:r>
      <w:r>
        <w:t>using</w:t>
      </w:r>
      <w:r w:rsidRPr="001F79F3">
        <w:t xml:space="preserve"> CCS</w:t>
      </w:r>
      <w:r>
        <w:noBreakHyphen/>
      </w:r>
      <w:r w:rsidRPr="001F79F3">
        <w:t>approved services accessing ACCS, September 2018 to December</w:t>
      </w:r>
      <w:r>
        <w:t xml:space="preserve"> </w:t>
      </w:r>
      <w:r w:rsidRPr="001F79F3">
        <w:t>202</w:t>
      </w:r>
      <w:r>
        <w:t>3</w:t>
      </w:r>
    </w:p>
    <w:p w14:paraId="0DBC6C75" w14:textId="77777777" w:rsidR="005E1B35" w:rsidRDefault="005E1B35" w:rsidP="0038326C">
      <w:pPr>
        <w:pStyle w:val="BodyText"/>
        <w:spacing w:before="0" w:after="0" w:line="260" w:lineRule="atLeast"/>
      </w:pPr>
      <w:r w:rsidRPr="0081704A">
        <w:rPr>
          <w:noProof/>
        </w:rPr>
        <w:drawing>
          <wp:inline distT="0" distB="0" distL="0" distR="0" wp14:anchorId="07EC4B05" wp14:editId="4E35A8C6">
            <wp:extent cx="5976000" cy="2813112"/>
            <wp:effectExtent l="0" t="0" r="0" b="0"/>
            <wp:docPr id="639517620" name="Picture 7" descr="Figure D.5 – This is a line chart that shows the proportion of children in CCS-approved services who accessed ACCS for each quarter between September quarter 2018 and December quarter 2023. The rate at which children accessed ACCS rose from less than 2% in September quarter 2018 before peaking above 3% in December quarter 2020. The rate has declined to less than 3% since December quarter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17620" name="Picture 7" descr="Figure D.5 – This is a line chart that shows the proportion of children in CCS-approved services who accessed ACCS for each quarter between September quarter 2018 and December quarter 2023. The rate at which children accessed ACCS rose from less than 2% in September quarter 2018 before peaking above 3% in December quarter 2020. The rate has declined to less than 3% since December quarter 2020.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6000" cy="2813112"/>
                    </a:xfrm>
                    <a:prstGeom prst="rect">
                      <a:avLst/>
                    </a:prstGeom>
                    <a:noFill/>
                    <a:ln>
                      <a:noFill/>
                    </a:ln>
                  </pic:spPr>
                </pic:pic>
              </a:graphicData>
            </a:graphic>
          </wp:inline>
        </w:drawing>
      </w:r>
    </w:p>
    <w:p w14:paraId="10997F1A" w14:textId="77777777" w:rsidR="005E1B35" w:rsidRDefault="005E1B35" w:rsidP="00C81BAC">
      <w:pPr>
        <w:pStyle w:val="Note"/>
        <w:keepLines/>
        <w:spacing w:before="0"/>
      </w:pPr>
      <w:r w:rsidRPr="00180E66">
        <w:rPr>
          <w:b/>
          <w:bCs/>
        </w:rPr>
        <w:t>a.</w:t>
      </w:r>
      <w:r>
        <w:t xml:space="preserve"> D</w:t>
      </w:r>
      <w:r w:rsidRPr="008A0471">
        <w:t>ata for June q</w:t>
      </w:r>
      <w:r>
        <w:t>uarter</w:t>
      </w:r>
      <w:r w:rsidRPr="008A0471">
        <w:t xml:space="preserve"> 2020 is </w:t>
      </w:r>
      <w:r>
        <w:t>un</w:t>
      </w:r>
      <w:r w:rsidRPr="008A0471">
        <w:t xml:space="preserve">available </w:t>
      </w:r>
      <w:r>
        <w:t>d</w:t>
      </w:r>
      <w:r w:rsidRPr="008A0471">
        <w:t xml:space="preserve">ue to </w:t>
      </w:r>
      <w:r>
        <w:t xml:space="preserve">temporary measures implemented in response to </w:t>
      </w:r>
      <w:r w:rsidRPr="008A0471">
        <w:t>COVID</w:t>
      </w:r>
      <w:r>
        <w:noBreakHyphen/>
      </w:r>
      <w:r w:rsidRPr="008A0471">
        <w:t>19.</w:t>
      </w:r>
    </w:p>
    <w:p w14:paraId="6BADBD91" w14:textId="77777777" w:rsidR="005E1B35" w:rsidRDefault="005E1B35" w:rsidP="00C81BAC">
      <w:pPr>
        <w:pStyle w:val="Note"/>
      </w:pPr>
      <w:r w:rsidRPr="00696447">
        <w:t>Source:</w:t>
      </w:r>
      <w:r>
        <w:t xml:space="preserve"> Productivity Commission estimates using</w:t>
      </w:r>
      <w:r w:rsidRPr="00696447">
        <w:t xml:space="preserve"> </w:t>
      </w:r>
      <w:r>
        <w:t xml:space="preserve">DoE </w:t>
      </w:r>
      <w:r w:rsidRPr="00491BBF">
        <w:rPr>
          <w:rFonts w:cs="Arial"/>
        </w:rPr>
        <w:t>(2024b, tables</w:t>
      </w:r>
      <w:r>
        <w:rPr>
          <w:rFonts w:cs="Arial"/>
        </w:rPr>
        <w:t> </w:t>
      </w:r>
      <w:r w:rsidRPr="00491BBF">
        <w:rPr>
          <w:rFonts w:cs="Arial"/>
        </w:rPr>
        <w:t>1.1 and 7.1)</w:t>
      </w:r>
      <w:r>
        <w:t xml:space="preserve"> (and previous quarters)</w:t>
      </w:r>
      <w:r w:rsidRPr="00696447">
        <w:t>.</w:t>
      </w:r>
    </w:p>
    <w:p w14:paraId="034E5B91" w14:textId="77777777" w:rsidR="005E1B35" w:rsidRDefault="005E1B35" w:rsidP="00882158">
      <w:pPr>
        <w:pStyle w:val="BodyText"/>
        <w:rPr>
          <w:rStyle w:val="BodyTextChar"/>
        </w:rPr>
      </w:pPr>
      <w:r w:rsidRPr="002C14E7">
        <w:rPr>
          <w:rStyle w:val="BodyTextChar"/>
        </w:rPr>
        <w:t xml:space="preserve">Box </w:t>
      </w:r>
      <w:r>
        <w:rPr>
          <w:rStyle w:val="BodyTextChar"/>
        </w:rPr>
        <w:t>D.2</w:t>
      </w:r>
      <w:r w:rsidRPr="002C14E7">
        <w:rPr>
          <w:rStyle w:val="BodyTextChar"/>
        </w:rPr>
        <w:t xml:space="preserve"> provides examples of </w:t>
      </w:r>
      <w:r>
        <w:rPr>
          <w:rStyle w:val="BodyTextChar"/>
        </w:rPr>
        <w:t xml:space="preserve">how the CCS and ACCS, coupled with </w:t>
      </w:r>
      <w:r w:rsidRPr="002C14E7">
        <w:rPr>
          <w:rStyle w:val="BodyTextChar"/>
        </w:rPr>
        <w:t xml:space="preserve">fees </w:t>
      </w:r>
      <w:r>
        <w:rPr>
          <w:rStyle w:val="BodyTextChar"/>
        </w:rPr>
        <w:t xml:space="preserve">charged by services </w:t>
      </w:r>
      <w:r w:rsidRPr="002C14E7">
        <w:rPr>
          <w:rStyle w:val="BodyTextChar"/>
        </w:rPr>
        <w:t xml:space="preserve">and family </w:t>
      </w:r>
      <w:r>
        <w:rPr>
          <w:rStyle w:val="BodyTextChar"/>
        </w:rPr>
        <w:t>characteristics,</w:t>
      </w:r>
      <w:r w:rsidRPr="002C14E7">
        <w:rPr>
          <w:rStyle w:val="BodyTextChar"/>
        </w:rPr>
        <w:t xml:space="preserve"> </w:t>
      </w:r>
      <w:r>
        <w:rPr>
          <w:rStyle w:val="BodyTextChar"/>
        </w:rPr>
        <w:t>affect</w:t>
      </w:r>
      <w:r w:rsidRPr="002C14E7">
        <w:rPr>
          <w:rStyle w:val="BodyTextChar"/>
        </w:rPr>
        <w:t xml:space="preserve"> </w:t>
      </w:r>
      <w:r>
        <w:rPr>
          <w:rStyle w:val="BodyTextChar"/>
        </w:rPr>
        <w:t>families’ out</w:t>
      </w:r>
      <w:r>
        <w:rPr>
          <w:rStyle w:val="BodyTextChar"/>
        </w:rPr>
        <w:noBreakHyphen/>
        <w:t>of</w:t>
      </w:r>
      <w:r>
        <w:rPr>
          <w:rStyle w:val="BodyTextChar"/>
        </w:rPr>
        <w:noBreakHyphen/>
        <w:t>pocket expenses</w:t>
      </w:r>
      <w:r w:rsidRPr="002C14E7">
        <w:rPr>
          <w:rStyle w:val="BodyTextChar"/>
        </w:rPr>
        <w:t>.</w:t>
      </w:r>
    </w:p>
    <w:p w14:paraId="701B6EC3"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14:paraId="15194792" w14:textId="77777777" w:rsidTr="00882158">
        <w:trPr>
          <w:tblHeader/>
        </w:trPr>
        <w:tc>
          <w:tcPr>
            <w:tcW w:w="9638" w:type="dxa"/>
            <w:shd w:val="clear" w:color="auto" w:fill="EBEBEB"/>
            <w:tcMar>
              <w:top w:w="170" w:type="dxa"/>
              <w:left w:w="170" w:type="dxa"/>
              <w:bottom w:w="113" w:type="dxa"/>
              <w:right w:w="170" w:type="dxa"/>
            </w:tcMar>
            <w:hideMark/>
          </w:tcPr>
          <w:p w14:paraId="67752BAC" w14:textId="77777777" w:rsidR="005E1B35" w:rsidRDefault="005E1B35">
            <w:pPr>
              <w:pStyle w:val="BoxHeading1"/>
            </w:pPr>
            <w:r>
              <w:t xml:space="preserve">Box </w:t>
            </w:r>
            <w:r>
              <w:rPr>
                <w:noProof/>
              </w:rPr>
              <w:t>D</w:t>
            </w:r>
            <w:r>
              <w:t>.</w:t>
            </w:r>
            <w:r>
              <w:rPr>
                <w:noProof/>
              </w:rPr>
              <w:t>2</w:t>
            </w:r>
            <w:r>
              <w:t xml:space="preserve"> – </w:t>
            </w:r>
            <w:r w:rsidRPr="00D00318">
              <w:rPr>
                <w:spacing w:val="-4"/>
              </w:rPr>
              <w:t>The relationship between fees, subsidies and out</w:t>
            </w:r>
            <w:r w:rsidRPr="00D00318">
              <w:rPr>
                <w:spacing w:val="-4"/>
              </w:rPr>
              <w:noBreakHyphen/>
              <w:t>of</w:t>
            </w:r>
            <w:r w:rsidRPr="00D00318">
              <w:rPr>
                <w:spacing w:val="-4"/>
              </w:rPr>
              <w:noBreakHyphen/>
              <w:t>pocket expenses</w:t>
            </w:r>
          </w:p>
        </w:tc>
      </w:tr>
      <w:tr w:rsidR="005E1B35" w14:paraId="2ADA8A59" w14:textId="77777777" w:rsidTr="00882158">
        <w:tc>
          <w:tcPr>
            <w:tcW w:w="9638" w:type="dxa"/>
            <w:shd w:val="clear" w:color="auto" w:fill="EBEBEB"/>
            <w:tcMar>
              <w:top w:w="28" w:type="dxa"/>
              <w:left w:w="170" w:type="dxa"/>
              <w:bottom w:w="170" w:type="dxa"/>
              <w:right w:w="170" w:type="dxa"/>
            </w:tcMar>
            <w:hideMark/>
          </w:tcPr>
          <w:p w14:paraId="05DB569A" w14:textId="77777777" w:rsidR="005E1B35" w:rsidRDefault="005E1B35" w:rsidP="00882158">
            <w:pPr>
              <w:pStyle w:val="BoxHeading2"/>
            </w:pPr>
            <w:r>
              <w:t>Scenarios for a family eligible for Child Care Subsidy (CCS)</w:t>
            </w:r>
          </w:p>
          <w:p w14:paraId="4A960C04" w14:textId="77777777" w:rsidR="005E1B35" w:rsidRPr="00145C1C" w:rsidRDefault="005E1B35" w:rsidP="00882158">
            <w:pPr>
              <w:pStyle w:val="BodyText"/>
            </w:pPr>
            <w:r w:rsidRPr="00145C1C">
              <w:t>Consider a family with an annual income of $100,000 and one three</w:t>
            </w:r>
            <w:r w:rsidRPr="00145C1C">
              <w:noBreakHyphen/>
              <w:t>year</w:t>
            </w:r>
            <w:r w:rsidRPr="00145C1C">
              <w:noBreakHyphen/>
              <w:t>old child who attends centre</w:t>
            </w:r>
            <w:r w:rsidRPr="00145C1C">
              <w:noBreakHyphen/>
              <w:t>based day care (CBDC) for ten hours a day, three days a week. Given their income, the family is eligible for a CCS rate of 86%. The amount of subsidy this family receives and, therefore, their out</w:t>
            </w:r>
            <w:r w:rsidRPr="00145C1C">
              <w:noBreakHyphen/>
              <w:t>of</w:t>
            </w:r>
            <w:r w:rsidRPr="00145C1C">
              <w:noBreakHyphen/>
              <w:t>pocket ECEC expenses are a function of the fees charged by the CBDC and the</w:t>
            </w:r>
            <w:r>
              <w:t xml:space="preserve"> </w:t>
            </w:r>
            <w:r w:rsidRPr="00145C1C">
              <w:t>hourly rate cap.</w:t>
            </w:r>
          </w:p>
          <w:p w14:paraId="7957C686" w14:textId="77777777" w:rsidR="005E1B35" w:rsidRPr="00146382" w:rsidRDefault="005E1B35" w:rsidP="00882158">
            <w:pPr>
              <w:pStyle w:val="FigureTableHeading"/>
            </w:pPr>
            <w:r>
              <w:lastRenderedPageBreak/>
              <w:t>Hourly fees affect out</w:t>
            </w:r>
            <w:r>
              <w:noBreakHyphen/>
              <w:t>of</w:t>
            </w:r>
            <w:r>
              <w:noBreakHyphen/>
              <w:t>pocket expenses and CCS amounts</w:t>
            </w:r>
            <w:r w:rsidRPr="00066CF5">
              <w:rPr>
                <w:vertAlign w:val="superscript"/>
              </w:rPr>
              <w:t>a,b</w:t>
            </w:r>
          </w:p>
          <w:p w14:paraId="3767F10D" w14:textId="77777777" w:rsidR="005E1B35" w:rsidRDefault="005E1B35" w:rsidP="00882158">
            <w:pPr>
              <w:pStyle w:val="FigureTableSubheading"/>
              <w:keepLines/>
            </w:pPr>
            <w:r w:rsidRPr="00F52ABA">
              <w:t>2023</w:t>
            </w:r>
            <w:r>
              <w:noBreakHyphen/>
            </w:r>
            <w:r w:rsidRPr="00F52ABA">
              <w:t xml:space="preserve">24 CCS rates and thresholds, weekly </w:t>
            </w:r>
            <w:r>
              <w:t>expenses</w:t>
            </w:r>
          </w:p>
          <w:p w14:paraId="299748A1" w14:textId="77777777" w:rsidR="005E1B35" w:rsidRDefault="005E1B35" w:rsidP="00882158">
            <w:pPr>
              <w:pStyle w:val="BodyText"/>
            </w:pPr>
            <w:r w:rsidRPr="005624AF">
              <w:rPr>
                <w:noProof/>
              </w:rPr>
              <w:drawing>
                <wp:inline distT="0" distB="0" distL="0" distR="0" wp14:anchorId="10B6049E" wp14:editId="31DBD999">
                  <wp:extent cx="5943600" cy="2880360"/>
                  <wp:effectExtent l="0" t="0" r="0" b="0"/>
                  <wp:docPr id="22502228" name="Picture 22502228" descr="Box D.1 – Figure 1 – This figure is a bar chart that shows the change in out of pocket expenses and CCS amounts given differences in the CCS hourly rate cap. Three scenarios are included. The first for when the hourly fee is equal to the CCS hourly rate cap, the second for when the hourly fee is below the CCS hourly rate cap and the third for when the hourly fee is above the CCS hourly rate cap. It illustrates that once hourly fees are above the CCS hourly rate cap, families are not subsidised for any of the fee above the rat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15503" name="Picture 1638015503" descr="Box D.1 – Figure 1 – This figure is a bar chart that shows the change in out of pocket expenses and CCS amounts given differences in the CCS hourly rate cap. Three scenarios are included. The first for when the hourly fee is equal to the CCS hourly rate cap, the second for when the hourly fee is below the CCS hourly rate cap and the third for when the hourly fee is above the CCS hourly rate cap. It illustrates that once hourly fees are above the CCS hourly rate cap, families are not subsidised for any of the fee above the rate ca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2BCA1837" w14:textId="77777777" w:rsidR="005E1B35" w:rsidRPr="003648E0" w:rsidRDefault="005E1B35" w:rsidP="00882158">
            <w:pPr>
              <w:pStyle w:val="Note"/>
              <w:keepLines/>
            </w:pPr>
            <w:r>
              <w:rPr>
                <w:b/>
                <w:bCs/>
              </w:rPr>
              <w:t xml:space="preserve">a. </w:t>
            </w:r>
            <w:r>
              <w:t>This example assumes an annual family income of $100,000 and one child in CBDC for three ten</w:t>
            </w:r>
            <w:r>
              <w:noBreakHyphen/>
              <w:t xml:space="preserve">hour days a week. </w:t>
            </w:r>
            <w:r>
              <w:rPr>
                <w:b/>
                <w:bCs/>
              </w:rPr>
              <w:t>b</w:t>
            </w:r>
            <w:r w:rsidRPr="00180E66">
              <w:rPr>
                <w:b/>
                <w:bCs/>
              </w:rPr>
              <w:t>.</w:t>
            </w:r>
            <w:r>
              <w:t> Scenario 1 assumes an hourly fee equal to the CCS hourly rate cap, $13.73. Scenario 2 assumes an hourly fee of $12 and scenario 3 assumes an hourly fee of $16.</w:t>
            </w:r>
          </w:p>
          <w:p w14:paraId="030FB3A7" w14:textId="77777777" w:rsidR="005E1B35" w:rsidRDefault="005E1B35" w:rsidP="00882158">
            <w:pPr>
              <w:pStyle w:val="Source"/>
            </w:pPr>
            <w:r w:rsidRPr="00696447">
              <w:t xml:space="preserve">Source: </w:t>
            </w:r>
            <w:r>
              <w:t xml:space="preserve">Productivity Commission estimates using Services Australia </w:t>
            </w:r>
            <w:r w:rsidRPr="003139C7">
              <w:rPr>
                <w:rFonts w:cs="Arial"/>
              </w:rPr>
              <w:t>(2023h)</w:t>
            </w:r>
            <w:r w:rsidRPr="00696447">
              <w:t>.</w:t>
            </w:r>
          </w:p>
          <w:p w14:paraId="0C6BAD97" w14:textId="77777777" w:rsidR="005E1B35" w:rsidRPr="00DF56C9" w:rsidRDefault="005E1B35" w:rsidP="00882158">
            <w:pPr>
              <w:pStyle w:val="BodyText"/>
            </w:pPr>
            <w:r w:rsidRPr="00DF56C9">
              <w:t>The figure above illustrates three scenarios.</w:t>
            </w:r>
          </w:p>
          <w:p w14:paraId="19EF3BDF" w14:textId="77777777" w:rsidR="005E1B35" w:rsidRPr="00DF56C9" w:rsidRDefault="005E1B35" w:rsidP="00882158">
            <w:pPr>
              <w:pStyle w:val="ListBullet"/>
            </w:pPr>
            <w:r w:rsidRPr="00DF56C9">
              <w:t>Scenario 1: the hourly fee charged by the CBDC ($13.73) is equal to the CCS hourly rate cap. Without CCS, ECEC would cost the family $412 a week. With CCS, the family receives a weekly subsidy of $354 (86% of $412) and has an out</w:t>
            </w:r>
            <w:r w:rsidRPr="00DF56C9">
              <w:noBreakHyphen/>
              <w:t>of</w:t>
            </w:r>
            <w:r w:rsidRPr="00DF56C9">
              <w:noBreakHyphen/>
              <w:t>pocket expense of $58.</w:t>
            </w:r>
          </w:p>
          <w:p w14:paraId="09D8A575" w14:textId="77777777" w:rsidR="005E1B35" w:rsidRPr="00DF56C9" w:rsidRDefault="005E1B35" w:rsidP="00882158">
            <w:pPr>
              <w:pStyle w:val="ListBullet"/>
            </w:pPr>
            <w:r w:rsidRPr="00DF56C9">
              <w:t>Scenario 2: the hourly fee charged ($12.00) is below the hourly rate cap. Total fees are $360 for the week and, as under scenario 1, their subsidy equates to 86% of this figure</w:t>
            </w:r>
            <w:r w:rsidRPr="00DF56C9" w:rsidDel="00B615ED">
              <w:t>.</w:t>
            </w:r>
            <w:r w:rsidRPr="00DF56C9">
              <w:t xml:space="preserve"> The family’s out</w:t>
            </w:r>
            <w:r w:rsidRPr="00DF56C9">
              <w:noBreakHyphen/>
              <w:t>of</w:t>
            </w:r>
            <w:r w:rsidRPr="00DF56C9">
              <w:noBreakHyphen/>
              <w:t>pocket expenses for the week are $50.</w:t>
            </w:r>
          </w:p>
          <w:p w14:paraId="575040B9" w14:textId="77777777" w:rsidR="005E1B35" w:rsidRPr="00DF56C9" w:rsidRDefault="005E1B35" w:rsidP="00882158">
            <w:pPr>
              <w:pStyle w:val="ListBullet"/>
            </w:pPr>
            <w:r w:rsidRPr="00DF56C9">
              <w:t>Scenario 3: the hourly fee charged ($16.00) is above the CCS hourly rate cap. Total fees are $480 for the week, but the subsidy is not 86% of this amount. Because the CCS rate applies to the minimum of the CCS hourly rate cap and the hourly fee, the subsidy amount is the same as under scenario 1. In this scenario, therefore, the subsidy amounts to 74% of the family’s total fees and the out</w:t>
            </w:r>
            <w:r w:rsidRPr="00DF56C9">
              <w:noBreakHyphen/>
              <w:t>of</w:t>
            </w:r>
            <w:r w:rsidRPr="00DF56C9">
              <w:noBreakHyphen/>
              <w:t>pocket expense is $126, $68 higher than under scenario 1.</w:t>
            </w:r>
          </w:p>
          <w:p w14:paraId="3CCFD8C7" w14:textId="77777777" w:rsidR="005E1B35" w:rsidRPr="00EF7228" w:rsidRDefault="005E1B35" w:rsidP="00882158">
            <w:pPr>
              <w:pStyle w:val="BoxHeading2"/>
            </w:pPr>
            <w:r w:rsidRPr="00EF7228">
              <w:t>Scenarios for a family eligible for Additional Child Care Subsidy (ACCS)</w:t>
            </w:r>
          </w:p>
          <w:p w14:paraId="0CBC2B1B" w14:textId="77777777" w:rsidR="005E1B35" w:rsidRPr="00DF56C9" w:rsidRDefault="005E1B35" w:rsidP="00882158">
            <w:pPr>
              <w:pStyle w:val="BodyText"/>
            </w:pPr>
            <w:r w:rsidRPr="00DF56C9">
              <w:t>Most ACCS recipients receive a 100% subsidy, and where a service charges above the CCS hourly rate cap, ACCS recipients are eligible to receive up to 120% of the CCS hourly rate cap (ACCS (Transition to Work) recipients receive a 95% subsidy). Essentially this means ACCS recipients would have 100% of their ECEC expenses subsidised if their hourly fee is up to or at 120% of the CCS hourly rate cap. ACCS recipients that are charged an hourly fee above 120% of the CCS hourly rate cap would be eligible to receive a subsidy of 120% of the CCS hourly rate cap only.</w:t>
            </w:r>
          </w:p>
          <w:p w14:paraId="29CE51FF" w14:textId="77777777" w:rsidR="005E1B35" w:rsidRPr="00DF56C9" w:rsidRDefault="005E1B35" w:rsidP="00882158">
            <w:pPr>
              <w:pStyle w:val="BodyText"/>
            </w:pPr>
            <w:r w:rsidRPr="00DF56C9">
              <w:t>Consider a family with an annual income of $60,000 and one three</w:t>
            </w:r>
            <w:r w:rsidRPr="00DF56C9">
              <w:noBreakHyphen/>
              <w:t>year</w:t>
            </w:r>
            <w:r w:rsidRPr="00DF56C9">
              <w:noBreakHyphen/>
              <w:t>old child who attends CBDC for ten hours a day, three days a week. This family is eligible for the ACCS (Child Wellbeing).</w:t>
            </w:r>
          </w:p>
          <w:p w14:paraId="6B2C7D66" w14:textId="77777777" w:rsidR="005E1B35" w:rsidRPr="00146382" w:rsidRDefault="005E1B35" w:rsidP="00882158">
            <w:pPr>
              <w:pStyle w:val="FigureTableHeading"/>
            </w:pPr>
            <w:r>
              <w:lastRenderedPageBreak/>
              <w:t>Families with children eligible for ACCS can have fees subsidised up to 120% of the hourly rate cap</w:t>
            </w:r>
            <w:r w:rsidRPr="00066CF5">
              <w:rPr>
                <w:vertAlign w:val="superscript"/>
              </w:rPr>
              <w:t>a</w:t>
            </w:r>
          </w:p>
          <w:p w14:paraId="24D3A320" w14:textId="77777777" w:rsidR="005E1B35" w:rsidRDefault="005E1B35" w:rsidP="00882158">
            <w:pPr>
              <w:pStyle w:val="FigureTableSubheading"/>
              <w:keepLines/>
            </w:pPr>
            <w:r>
              <w:t>ACCS (Child Wellbeing), 2023</w:t>
            </w:r>
            <w:r>
              <w:noBreakHyphen/>
              <w:t>24 CCS rates and thresholds, weekly expenses</w:t>
            </w:r>
          </w:p>
          <w:p w14:paraId="6625B9D8" w14:textId="77777777" w:rsidR="005E1B35" w:rsidRDefault="005E1B35" w:rsidP="00882158">
            <w:pPr>
              <w:pStyle w:val="FigureTableSubheading"/>
              <w:keepLines/>
            </w:pPr>
            <w:r w:rsidRPr="00B81354">
              <w:rPr>
                <w:noProof/>
              </w:rPr>
              <w:drawing>
                <wp:inline distT="0" distB="0" distL="0" distR="0" wp14:anchorId="5A377EE6" wp14:editId="1E0C1FDD">
                  <wp:extent cx="5943600" cy="2874645"/>
                  <wp:effectExtent l="0" t="0" r="0" b="0"/>
                  <wp:docPr id="750115448" name="Picture 750115448" descr="Box D.1 – Figure 2 – This figure is a bar chart that shows the change in out of pocket expenses and ACCS amounts given differences in the CCS hourly rate cap. Three scenarios are included. The first for when the hourly fee is equal to the CCS hourly rate cap, the second for when the hourly fee is above the CCS hourly rate cap by less than 120% and the third for when the hourly fee is above the CCS hourly rate cap by more than 120%. It illustrates that for families who are eligible for ACCS, when hourly fees are up to and including 120% of the CCS hourly rate cap, their ECEC expenses are fully subsidised. If fees are above the CCS hourly rate cap, families will only be subsidised up to and including 120% of the CCS hourly rat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6344" name="Picture 1609916344" descr="Box D.1 – Figure 2 – This figure is a bar chart that shows the change in out of pocket expenses and ACCS amounts given differences in the CCS hourly rate cap. Three scenarios are included. The first for when the hourly fee is equal to the CCS hourly rate cap, the second for when the hourly fee is above the CCS hourly rate cap by less than 120% and the third for when the hourly fee is above the CCS hourly rate cap by more than 120%. It illustrates that for families who are eligible for ACCS, when hourly fees are up to and including 120% of the CCS hourly rate cap, their ECEC expenses are fully subsidised. If fees are above the CCS hourly rate cap, families will only be subsidised up to and including 120% of the CCS hourly rate ca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874645"/>
                          </a:xfrm>
                          <a:prstGeom prst="rect">
                            <a:avLst/>
                          </a:prstGeom>
                          <a:noFill/>
                          <a:ln>
                            <a:noFill/>
                          </a:ln>
                        </pic:spPr>
                      </pic:pic>
                    </a:graphicData>
                  </a:graphic>
                </wp:inline>
              </w:drawing>
            </w:r>
          </w:p>
          <w:p w14:paraId="50578EA6" w14:textId="77777777" w:rsidR="005E1B35" w:rsidRDefault="005E1B35" w:rsidP="00882158">
            <w:pPr>
              <w:pStyle w:val="Note"/>
              <w:keepLines/>
            </w:pPr>
            <w:r w:rsidRPr="003D1A4D">
              <w:rPr>
                <w:b/>
              </w:rPr>
              <w:t>a.</w:t>
            </w:r>
            <w:r>
              <w:t xml:space="preserve"> This example assumes an annual family income of $60,000 and one child in CBDC for three ten</w:t>
            </w:r>
            <w:r>
              <w:noBreakHyphen/>
              <w:t>hour days per week. The scenario 1 hourly fee is assumed to be at the CCS hourly rate cap of $13.73, the scenario 2 hourly fee is assumed to be $16 and the scenario 3 hourly fee is assumed to be $17.85.</w:t>
            </w:r>
          </w:p>
          <w:p w14:paraId="4A0867D2" w14:textId="77777777" w:rsidR="005E1B35" w:rsidRDefault="005E1B35" w:rsidP="00882158">
            <w:pPr>
              <w:pStyle w:val="Source"/>
            </w:pPr>
            <w:r w:rsidRPr="00696447">
              <w:t xml:space="preserve">Source: </w:t>
            </w:r>
            <w:r>
              <w:t>Productivity Commission</w:t>
            </w:r>
            <w:r w:rsidRPr="00696447">
              <w:t xml:space="preserve"> </w:t>
            </w:r>
            <w:r>
              <w:t xml:space="preserve">estimates using Services Australia </w:t>
            </w:r>
            <w:r w:rsidRPr="00491BBF">
              <w:rPr>
                <w:rFonts w:cs="Arial"/>
              </w:rPr>
              <w:t>(2022b)</w:t>
            </w:r>
            <w:r w:rsidRPr="00696447">
              <w:t>.</w:t>
            </w:r>
          </w:p>
          <w:p w14:paraId="3F83C43F" w14:textId="77777777" w:rsidR="005E1B35" w:rsidRDefault="005E1B35" w:rsidP="00882158">
            <w:pPr>
              <w:pStyle w:val="BodyText"/>
              <w:keepNext/>
            </w:pPr>
            <w:r>
              <w:t>The figure above illustrates three scenarios.</w:t>
            </w:r>
          </w:p>
          <w:p w14:paraId="3D0C8060" w14:textId="77777777" w:rsidR="005E1B35" w:rsidRDefault="005E1B35" w:rsidP="00882158">
            <w:pPr>
              <w:pStyle w:val="ListBullet"/>
              <w:tabs>
                <w:tab w:val="num" w:pos="360"/>
              </w:tabs>
              <w:ind w:left="360" w:hanging="360"/>
            </w:pPr>
            <w:r>
              <w:t>Scenario 1: the hourly fee charged by the CBDC ($13.73) is equal to the CCS hourly rate cap. Without ACCS, ECEC would cost the family $412 a week. With ACCS, the ECEC is fully subsidised.</w:t>
            </w:r>
          </w:p>
          <w:p w14:paraId="23A5B466" w14:textId="77777777" w:rsidR="005E1B35" w:rsidRDefault="005E1B35" w:rsidP="00882158">
            <w:pPr>
              <w:pStyle w:val="ListBullet"/>
              <w:tabs>
                <w:tab w:val="num" w:pos="360"/>
              </w:tabs>
              <w:ind w:left="360" w:hanging="360"/>
            </w:pPr>
            <w:r>
              <w:t>Scenario 2: the hourly fee ($16.00) is above the hourly rate cap, but it is less than 120% of the cap. Again, the family’s total fees for the week ($480) are fully subsidised.</w:t>
            </w:r>
          </w:p>
          <w:p w14:paraId="27067882" w14:textId="77777777" w:rsidR="005E1B35" w:rsidRPr="008D6318" w:rsidRDefault="005E1B35" w:rsidP="00882158">
            <w:pPr>
              <w:pStyle w:val="ListBullet"/>
              <w:tabs>
                <w:tab w:val="num" w:pos="360"/>
              </w:tabs>
              <w:ind w:left="360" w:hanging="360"/>
              <w:rPr>
                <w:spacing w:val="-4"/>
              </w:rPr>
            </w:pPr>
            <w:r w:rsidRPr="008D6318">
              <w:rPr>
                <w:spacing w:val="-4"/>
              </w:rPr>
              <w:t>Scenario 3: the hourly fee ($17.85) is more than 120% of the hourly rate cap. The family faces an out</w:t>
            </w:r>
            <w:r w:rsidRPr="008D6318">
              <w:rPr>
                <w:spacing w:val="-4"/>
              </w:rPr>
              <w:noBreakHyphen/>
              <w:t>of</w:t>
            </w:r>
            <w:r w:rsidRPr="008D6318">
              <w:rPr>
                <w:spacing w:val="-4"/>
              </w:rPr>
              <w:noBreakHyphen/>
              <w:t>pocket expense of about $41 (total weekly fees of about $535 less the maximum subsidy of $494).</w:t>
            </w:r>
          </w:p>
          <w:p w14:paraId="3E49E9B2" w14:textId="77777777" w:rsidR="005E1B35" w:rsidRDefault="005E1B35" w:rsidP="00882158">
            <w:pPr>
              <w:pStyle w:val="BoxHeading2"/>
              <w:keepNext/>
            </w:pPr>
            <w:r>
              <w:t>Scenarios for families with different incomes</w:t>
            </w:r>
          </w:p>
          <w:p w14:paraId="34971CAB" w14:textId="77777777" w:rsidR="005E1B35" w:rsidRDefault="005E1B35" w:rsidP="00882158">
            <w:pPr>
              <w:pStyle w:val="BodyText"/>
            </w:pPr>
            <w:r>
              <w:t>As described above, the subsidy rate received by a family depends on their income. This means that out</w:t>
            </w:r>
            <w:r>
              <w:noBreakHyphen/>
              <w:t>of</w:t>
            </w:r>
            <w:r>
              <w:noBreakHyphen/>
              <w:t>pocket expenses may change as a family’s income changes (and otherwise identical families will face different out</w:t>
            </w:r>
            <w:r>
              <w:noBreakHyphen/>
              <w:t>of</w:t>
            </w:r>
            <w:r>
              <w:noBreakHyphen/>
              <w:t>pocket expenses).</w:t>
            </w:r>
          </w:p>
          <w:p w14:paraId="24339F25" w14:textId="77777777" w:rsidR="005E1B35" w:rsidRDefault="005E1B35" w:rsidP="00882158">
            <w:pPr>
              <w:pStyle w:val="BodyText"/>
              <w:keepNext/>
            </w:pPr>
            <w:r>
              <w:t>Consider again a family with one three</w:t>
            </w:r>
            <w:r>
              <w:noBreakHyphen/>
              <w:t>year</w:t>
            </w:r>
            <w:r>
              <w:noBreakHyphen/>
              <w:t>old child who attends CBDC for ten hours a day, three days a week. The centre charges an hourly fee of $12, so absent any subsidy the family faces total weekly fees of $360. The family is eligible for CCS.</w:t>
            </w:r>
          </w:p>
          <w:p w14:paraId="6B6D0BCE" w14:textId="77777777" w:rsidR="005E1B35" w:rsidRDefault="005E1B35" w:rsidP="00882158">
            <w:pPr>
              <w:pStyle w:val="ListBullet"/>
              <w:tabs>
                <w:tab w:val="num" w:pos="360"/>
              </w:tabs>
              <w:ind w:left="360" w:hanging="360"/>
            </w:pPr>
            <w:r>
              <w:t>Scenario 1: the family has an annual income of $100,000 meaning they are eligible for a CCS rate of 86%.</w:t>
            </w:r>
          </w:p>
          <w:p w14:paraId="516AD4F9" w14:textId="47DD21DA" w:rsidR="005E1B35" w:rsidRPr="004F4ACF" w:rsidRDefault="005E1B35" w:rsidP="00882158">
            <w:pPr>
              <w:pStyle w:val="ListBullet"/>
              <w:tabs>
                <w:tab w:val="num" w:pos="360"/>
              </w:tabs>
              <w:ind w:left="360" w:hanging="360"/>
            </w:pPr>
            <w:r>
              <w:t>Scenario 2: the family has an annual income of $120,000 meaning they are eligible for a slightly lower CCS rate of 82%. The family’s out</w:t>
            </w:r>
            <w:r>
              <w:noBreakHyphen/>
              <w:t>of</w:t>
            </w:r>
            <w:r>
              <w:noBreakHyphen/>
              <w:t>pocket expense is $15 higher than under scenario 1.</w:t>
            </w:r>
            <w:r w:rsidR="00E85743">
              <w:br/>
            </w:r>
          </w:p>
          <w:p w14:paraId="0A79271B" w14:textId="77777777" w:rsidR="005E1B35" w:rsidRPr="00146382" w:rsidRDefault="005E1B35" w:rsidP="00E85743">
            <w:pPr>
              <w:pStyle w:val="FigureTableHeading"/>
              <w:keepLines/>
            </w:pPr>
            <w:r>
              <w:lastRenderedPageBreak/>
              <w:t>Family incomes affect out</w:t>
            </w:r>
            <w:r>
              <w:noBreakHyphen/>
              <w:t>of</w:t>
            </w:r>
            <w:r>
              <w:noBreakHyphen/>
              <w:t>pocket expenses and subsidy amounts</w:t>
            </w:r>
            <w:r w:rsidRPr="00066CF5">
              <w:rPr>
                <w:vertAlign w:val="superscript"/>
              </w:rPr>
              <w:t>a</w:t>
            </w:r>
          </w:p>
          <w:p w14:paraId="64DDF7B2" w14:textId="77777777" w:rsidR="005E1B35" w:rsidRDefault="005E1B35" w:rsidP="00E85743">
            <w:pPr>
              <w:pStyle w:val="FigureTableSubheading"/>
              <w:keepLines/>
            </w:pPr>
            <w:r w:rsidRPr="00F52ABA">
              <w:t>2023</w:t>
            </w:r>
            <w:r>
              <w:noBreakHyphen/>
            </w:r>
            <w:r w:rsidRPr="00F52ABA">
              <w:t xml:space="preserve">24 CCS rates and thresholds, weekly </w:t>
            </w:r>
            <w:r>
              <w:t>expenses</w:t>
            </w:r>
          </w:p>
          <w:p w14:paraId="32744D0B" w14:textId="77777777" w:rsidR="005E1B35" w:rsidRPr="00D903F1" w:rsidRDefault="005E1B35" w:rsidP="00E85743">
            <w:pPr>
              <w:pStyle w:val="Note"/>
              <w:keepNext/>
              <w:keepLines/>
              <w:rPr>
                <w:noProof/>
                <w:sz w:val="20"/>
              </w:rPr>
            </w:pPr>
            <w:r w:rsidRPr="009A30E2">
              <w:rPr>
                <w:noProof/>
                <w:color w:val="FF0000"/>
                <w:sz w:val="20"/>
              </w:rPr>
              <w:drawing>
                <wp:inline distT="0" distB="0" distL="0" distR="0" wp14:anchorId="522F20C0" wp14:editId="750839D1">
                  <wp:extent cx="5943600" cy="2880360"/>
                  <wp:effectExtent l="0" t="0" r="0" b="0"/>
                  <wp:docPr id="2107748470" name="Picture 2107748470" descr="Box D.1 – Figure 3 – This figure is a bar chart that shows the change in out of pocket expenses and CCS amounts given differences in a family’s income. Two scenarios are included. The first for when the family’s income is $100,000 and the second when the family’s income is $120,000. It illustrates that as incomes increase, a family will be eligible for less 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3172" name="Picture 2103413172" descr="Box D.1 – Figure 3 – This figure is a bar chart that shows the change in out of pocket expenses and CCS amounts given differences in a family’s income. Two scenarios are included. The first for when the family’s income is $100,000 and the second when the family’s income is $120,000. It illustrates that as incomes increase, a family will be eligible for less CC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32BC6F9F" w14:textId="77777777" w:rsidR="005E1B35" w:rsidRDefault="005E1B35" w:rsidP="00E85743">
            <w:pPr>
              <w:pStyle w:val="Note"/>
              <w:keepNext/>
              <w:keepLines/>
            </w:pPr>
            <w:r>
              <w:rPr>
                <w:b/>
                <w:bCs/>
              </w:rPr>
              <w:t xml:space="preserve">a. </w:t>
            </w:r>
            <w:r>
              <w:t>This example assumes one child in CBDC for three three</w:t>
            </w:r>
            <w:r>
              <w:noBreakHyphen/>
              <w:t>hour days per week and an hourly fee of $12.</w:t>
            </w:r>
          </w:p>
          <w:p w14:paraId="0212EB53" w14:textId="77777777" w:rsidR="005E1B35" w:rsidRDefault="005E1B35" w:rsidP="00882158">
            <w:pPr>
              <w:pStyle w:val="Source"/>
            </w:pPr>
            <w:r w:rsidRPr="00696447">
              <w:t xml:space="preserve">Source: </w:t>
            </w:r>
            <w:r>
              <w:t>Productivity Commission</w:t>
            </w:r>
            <w:r w:rsidRPr="00696447">
              <w:t xml:space="preserve"> </w:t>
            </w:r>
            <w:r>
              <w:t xml:space="preserve">estimates using Services Australia </w:t>
            </w:r>
            <w:r w:rsidRPr="003139C7">
              <w:rPr>
                <w:rFonts w:cs="Arial"/>
              </w:rPr>
              <w:t>(2023h)</w:t>
            </w:r>
            <w:r w:rsidRPr="00696447">
              <w:t>.</w:t>
            </w:r>
          </w:p>
        </w:tc>
      </w:tr>
      <w:tr w:rsidR="005E1B35" w14:paraId="4749AC06" w14:textId="77777777" w:rsidTr="00882158">
        <w:trPr>
          <w:hidden/>
        </w:trPr>
        <w:tc>
          <w:tcPr>
            <w:tcW w:w="9638" w:type="dxa"/>
            <w:shd w:val="clear" w:color="auto" w:fill="auto"/>
            <w:tcMar>
              <w:top w:w="0" w:type="dxa"/>
              <w:left w:w="170" w:type="dxa"/>
              <w:bottom w:w="0" w:type="dxa"/>
              <w:right w:w="170" w:type="dxa"/>
            </w:tcMar>
          </w:tcPr>
          <w:p w14:paraId="1CFA3ED8" w14:textId="77777777" w:rsidR="005E1B35" w:rsidRPr="00465191" w:rsidRDefault="005E1B35">
            <w:pPr>
              <w:pStyle w:val="BodyText"/>
              <w:spacing w:before="0" w:after="0" w:line="80" w:lineRule="atLeast"/>
              <w:rPr>
                <w:smallCaps/>
                <w:vanish/>
              </w:rPr>
            </w:pPr>
          </w:p>
        </w:tc>
      </w:tr>
    </w:tbl>
    <w:p w14:paraId="70594DED" w14:textId="77777777" w:rsidR="005E1B35" w:rsidRDefault="005E1B35" w:rsidP="00882158">
      <w:pPr>
        <w:pStyle w:val="BodyText"/>
      </w:pPr>
      <w:r>
        <w:t>When a parent or guardian increases their labour force participation, their family’s income will rise. This has potential implications not only for the amount of CCS they receive, but for other government support payments too. Box D.3 provides examples of how Parenting Payment and Family Tax Benefit payments change when family income changes.</w:t>
      </w:r>
    </w:p>
    <w:tbl>
      <w:tblPr>
        <w:tblStyle w:val="Boxtable"/>
        <w:tblW w:w="5000" w:type="pct"/>
        <w:tblLook w:val="04A0" w:firstRow="1" w:lastRow="0" w:firstColumn="1" w:lastColumn="0" w:noHBand="0" w:noVBand="1"/>
      </w:tblPr>
      <w:tblGrid>
        <w:gridCol w:w="9638"/>
      </w:tblGrid>
      <w:tr w:rsidR="005E1B35" w14:paraId="07301009" w14:textId="77777777">
        <w:trPr>
          <w:tblHeader/>
        </w:trPr>
        <w:tc>
          <w:tcPr>
            <w:tcW w:w="9638" w:type="dxa"/>
            <w:shd w:val="clear" w:color="auto" w:fill="EBEBEB"/>
            <w:tcMar>
              <w:top w:w="170" w:type="dxa"/>
              <w:left w:w="170" w:type="dxa"/>
              <w:bottom w:w="113" w:type="dxa"/>
              <w:right w:w="170" w:type="dxa"/>
            </w:tcMar>
            <w:hideMark/>
          </w:tcPr>
          <w:p w14:paraId="41AC39BE" w14:textId="77777777" w:rsidR="005E1B35" w:rsidRDefault="005E1B35">
            <w:pPr>
              <w:pStyle w:val="BoxHeading1"/>
            </w:pPr>
            <w:r>
              <w:t xml:space="preserve">Box </w:t>
            </w:r>
            <w:r>
              <w:rPr>
                <w:noProof/>
              </w:rPr>
              <w:t>D</w:t>
            </w:r>
            <w:r>
              <w:t>.</w:t>
            </w:r>
            <w:r>
              <w:rPr>
                <w:noProof/>
              </w:rPr>
              <w:t>3</w:t>
            </w:r>
            <w:r>
              <w:t xml:space="preserve"> – Changes to a family’s income impact eligibility for Parenting Payment and Family Tax Benefit</w:t>
            </w:r>
          </w:p>
        </w:tc>
      </w:tr>
      <w:tr w:rsidR="005E1B35" w14:paraId="757784D9" w14:textId="77777777">
        <w:tc>
          <w:tcPr>
            <w:tcW w:w="9638" w:type="dxa"/>
            <w:shd w:val="clear" w:color="auto" w:fill="EBEBEB"/>
            <w:tcMar>
              <w:top w:w="28" w:type="dxa"/>
              <w:left w:w="170" w:type="dxa"/>
              <w:bottom w:w="170" w:type="dxa"/>
              <w:right w:w="170" w:type="dxa"/>
            </w:tcMar>
            <w:hideMark/>
          </w:tcPr>
          <w:p w14:paraId="59E3CCDC" w14:textId="77777777" w:rsidR="005E1B35" w:rsidRDefault="005E1B35" w:rsidP="00882158">
            <w:pPr>
              <w:pStyle w:val="BodyText"/>
            </w:pPr>
            <w:r>
              <w:t>Three simple examples are discussed in this box which show the impact of changes in income on Parenting Payment and Family Tax Benefit (FTB) transfers.</w:t>
            </w:r>
          </w:p>
          <w:p w14:paraId="1336F87B" w14:textId="77777777" w:rsidR="005E1B35" w:rsidRDefault="005E1B35" w:rsidP="00882158">
            <w:pPr>
              <w:pStyle w:val="BoxHeading2"/>
            </w:pPr>
            <w:r>
              <w:t>Parenting Payment</w:t>
            </w:r>
          </w:p>
          <w:p w14:paraId="3EE73105" w14:textId="77777777" w:rsidR="005E1B35" w:rsidRPr="003C1473" w:rsidRDefault="005E1B35" w:rsidP="00882158">
            <w:pPr>
              <w:pStyle w:val="BodyText"/>
            </w:pPr>
            <w:r>
              <w:t xml:space="preserve">Parenting Payment is the main income support payment for principal carers of young children </w:t>
            </w:r>
            <w:r w:rsidRPr="00491BBF">
              <w:rPr>
                <w:rFonts w:ascii="Arial" w:hAnsi="Arial" w:cs="Arial"/>
              </w:rPr>
              <w:t>(Services Australia 2023a, p. 12)</w:t>
            </w:r>
            <w:r>
              <w:t>. The payment rate differs depending on whether the parent is single or partnered and is assessed fortnightly (so depends on fortnightly income).</w:t>
            </w:r>
            <w:r w:rsidRPr="0060676E">
              <w:rPr>
                <w:vertAlign w:val="superscript"/>
              </w:rPr>
              <w:t>1</w:t>
            </w:r>
            <w:r>
              <w:t xml:space="preserve"> Eligible parents can earn some income before their payment begins to reduce.</w:t>
            </w:r>
            <w:r w:rsidRPr="0060676E">
              <w:rPr>
                <w:vertAlign w:val="superscript"/>
              </w:rPr>
              <w:t>2</w:t>
            </w:r>
            <w:r>
              <w:t xml:space="preserve"> The following two examples illustrate this.</w:t>
            </w:r>
          </w:p>
          <w:p w14:paraId="46505858" w14:textId="77777777" w:rsidR="005E1B35" w:rsidRPr="00EF200C" w:rsidRDefault="005E1B35" w:rsidP="00882158">
            <w:pPr>
              <w:pStyle w:val="BodyText"/>
            </w:pPr>
            <w:r w:rsidRPr="002F4F4F">
              <w:rPr>
                <w:noProof/>
              </w:rPr>
              <w:lastRenderedPageBreak/>
              <w:drawing>
                <wp:inline distT="0" distB="0" distL="0" distR="0" wp14:anchorId="579EFF7C" wp14:editId="09BC1BEE">
                  <wp:extent cx="5798820" cy="2926080"/>
                  <wp:effectExtent l="0" t="0" r="0" b="0"/>
                  <wp:docPr id="1936035175" name="Picture 9" descr="Box D.2 – Figure 1 – This figure is a set of two bar charts which show the impact on Parenting Payment for a sole and partnered parent as days of work increases. As the days of work increase, which increases income, Parenting Payment red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35175" name="Picture 9" descr="Box D.2 – Figure 1 – This figure is a set of two bar charts which show the impact on Parenting Payment for a sole and partnered parent as days of work increases. As the days of work increase, which increases income, Parenting Payment reduc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8820" cy="2926080"/>
                          </a:xfrm>
                          <a:prstGeom prst="rect">
                            <a:avLst/>
                          </a:prstGeom>
                          <a:noFill/>
                          <a:ln>
                            <a:noFill/>
                          </a:ln>
                        </pic:spPr>
                      </pic:pic>
                    </a:graphicData>
                  </a:graphic>
                </wp:inline>
              </w:drawing>
            </w:r>
          </w:p>
          <w:p w14:paraId="135A0568" w14:textId="77777777" w:rsidR="005E1B35" w:rsidRDefault="005E1B35" w:rsidP="00882158">
            <w:pPr>
              <w:pStyle w:val="Note"/>
              <w:keepLines/>
            </w:pPr>
            <w:r>
              <w:rPr>
                <w:b/>
                <w:bCs/>
              </w:rPr>
              <w:t xml:space="preserve">a. </w:t>
            </w:r>
            <w:r>
              <w:t xml:space="preserve">The examples assume that Andrew receives the Energy Supplement, basic Pension Supplement and the Pharmaceutical Allowance as part of his Parenting Payment and that Rachelle receives the Energy Supplement (partnered parents are generally not eligible for the basic Pension Supplement and Pharmaceutical Allowance). </w:t>
            </w:r>
            <w:r>
              <w:rPr>
                <w:b/>
                <w:bCs/>
              </w:rPr>
              <w:t>b. </w:t>
            </w:r>
            <w:r>
              <w:t xml:space="preserve">Income and payment amounts are fortnightly. </w:t>
            </w:r>
            <w:r>
              <w:rPr>
                <w:b/>
                <w:bCs/>
              </w:rPr>
              <w:t>c. </w:t>
            </w:r>
            <w:r w:rsidRPr="0060676E">
              <w:t>The amount of Parenting Payment received by partnered parents does not depend on the number of children they have.</w:t>
            </w:r>
          </w:p>
          <w:p w14:paraId="7F8E2DA9" w14:textId="77777777" w:rsidR="005E1B35" w:rsidRDefault="005E1B35" w:rsidP="00882158">
            <w:pPr>
              <w:pStyle w:val="Note"/>
              <w:keepLines/>
            </w:pPr>
            <w:r>
              <w:t>Source: Productivity Commission estimates.</w:t>
            </w:r>
          </w:p>
          <w:p w14:paraId="0C7AA628" w14:textId="77777777" w:rsidR="005E1B35" w:rsidRPr="00EF200C" w:rsidRDefault="005E1B35" w:rsidP="00882158">
            <w:pPr>
              <w:pStyle w:val="BodyText"/>
            </w:pPr>
            <w:r>
              <w:t>Andrew is a sole parent with two children under the age of five. If Andrew did not work (and was not receiving income from other sources), he would be eligible to receive $988.80 in Parenting Payment per fortnight. If Andrew worked one day per week, earning $600 per fortnight, his Parenting Payment would reduce to $844 per fortnight. Further increases in the number of days worked would lead to a further fall in his Parenting Payment, with Andrew’s eligibility for Parenting Payment ceasing at five days of work per week (figure above).</w:t>
            </w:r>
          </w:p>
          <w:p w14:paraId="58450673" w14:textId="77777777" w:rsidR="005E1B35" w:rsidRPr="00EF200C" w:rsidRDefault="005E1B35" w:rsidP="00882158">
            <w:pPr>
              <w:pStyle w:val="BodyText"/>
            </w:pPr>
            <w:r>
              <w:t>Rachelle and Ji Mun are parents to a child under the age of five. Ji Mun works full</w:t>
            </w:r>
            <w:r>
              <w:noBreakHyphen/>
              <w:t>time and earns $1,500 per fortnight. If Rachelle did not work (and was not receiving income from other sources), she would be eligible to receive $589 of Parenting Payment per fortnight. If Rachelle worked one day per week and earned $400 per fortnight for that work, her Parenting Payment would reduce to $450 per fortnight. Further increases in the number of days worked would lead to a further fall in her Parenting Payment, with Rachelle’s eligibility for Parenting Payment ceasing at the third day of work (figure above).</w:t>
            </w:r>
          </w:p>
          <w:p w14:paraId="6B155346" w14:textId="77777777" w:rsidR="005E1B35" w:rsidRDefault="005E1B35" w:rsidP="00882158">
            <w:pPr>
              <w:pStyle w:val="BoxHeading2"/>
            </w:pPr>
            <w:r>
              <w:t>Family Tax Benefit</w:t>
            </w:r>
          </w:p>
          <w:p w14:paraId="2C289B0B" w14:textId="77777777" w:rsidR="005E1B35" w:rsidRDefault="005E1B35" w:rsidP="00882158">
            <w:pPr>
              <w:pStyle w:val="BodyText"/>
              <w:spacing w:line="270" w:lineRule="atLeast"/>
            </w:pPr>
            <w:r>
              <w:t>FTB is a two</w:t>
            </w:r>
            <w:r>
              <w:noBreakHyphen/>
              <w:t>part payment that helps families with the cost of raising children.</w:t>
            </w:r>
            <w:r w:rsidRPr="0060676E">
              <w:rPr>
                <w:vertAlign w:val="superscript"/>
              </w:rPr>
              <w:t>3</w:t>
            </w:r>
            <w:r>
              <w:t xml:space="preserve"> FTB is comprised of FTB Part A and FTB Part B, which have differing eligibility requirements. Families can receive FTB fortnightly but the amount they are eligible for depends on the family’s annual adjusted taxable income. The below analysis is therefore based on a family’s annual income. Usually, a family’s FTB will start to decrease once their annual income reaches $62,634 (as at 20 September 2023).</w:t>
            </w:r>
          </w:p>
          <w:p w14:paraId="2CD0BD27" w14:textId="77777777" w:rsidR="005E1B35" w:rsidRDefault="005E1B35" w:rsidP="00882158">
            <w:pPr>
              <w:pStyle w:val="BodyText"/>
            </w:pPr>
            <w:r w:rsidRPr="00CA47BC">
              <w:lastRenderedPageBreak/>
              <w:t>A</w:t>
            </w:r>
            <w:r w:rsidRPr="00DD1612">
              <w:t>s an ex</w:t>
            </w:r>
            <w:r w:rsidRPr="00CA47BC">
              <w:t xml:space="preserve">ample, </w:t>
            </w:r>
            <w:r>
              <w:t>Ivy is a sole parent with two children aged under five. If she did not work (and was not receiving income from other sources) she would be eligible to receive an annual FTB amount of $18,046. Her FTB would not start to decrease until she works four days a week, at which point her annual income is $80,000. This example does not take into account that Ivy may also be eligible to receive Parenting Payment and assumes the only source of income Ivy receives is from employment.</w:t>
            </w:r>
          </w:p>
          <w:p w14:paraId="5EF557EF" w14:textId="77777777" w:rsidR="005E1B35" w:rsidRDefault="005E1B35" w:rsidP="00882158">
            <w:pPr>
              <w:pStyle w:val="BodyText"/>
            </w:pPr>
            <w:r w:rsidRPr="00EB4CEA">
              <w:rPr>
                <w:noProof/>
              </w:rPr>
              <w:drawing>
                <wp:inline distT="0" distB="0" distL="0" distR="0" wp14:anchorId="108831CF" wp14:editId="53EB9C74">
                  <wp:extent cx="5943600" cy="2880360"/>
                  <wp:effectExtent l="0" t="0" r="0" b="0"/>
                  <wp:docPr id="980705191" name="Picture 8" descr="Box D.2 – Figure 2 – This figure is a bar chart which shows the impact on a family’s eligibility for Family Tax Benefit as days of work increases. As the days of work increase, which increases income, Family Tax Benefit red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05191" name="Picture 8" descr="Box D.2 – Figure 2 – This figure is a bar chart which shows the impact on a family’s eligibility for Family Tax Benefit as days of work increases. As the days of work increase, which increases income, Family Tax Benefit reduc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053B52B4" w14:textId="77777777" w:rsidR="005E1B35" w:rsidRPr="005606E8" w:rsidRDefault="005E1B35" w:rsidP="00882158">
            <w:pPr>
              <w:pStyle w:val="Note"/>
              <w:keepLines/>
              <w:rPr>
                <w:spacing w:val="-4"/>
              </w:rPr>
            </w:pPr>
            <w:r w:rsidRPr="005606E8">
              <w:rPr>
                <w:b/>
                <w:spacing w:val="-4"/>
              </w:rPr>
              <w:t>a.</w:t>
            </w:r>
            <w:r w:rsidRPr="005606E8">
              <w:rPr>
                <w:spacing w:val="-4"/>
              </w:rPr>
              <w:t xml:space="preserve"> This example assumes that Ivy has an adjusted taxable income of $20,000 per year per day worked in a week. It also assume</w:t>
            </w:r>
            <w:r>
              <w:rPr>
                <w:spacing w:val="-4"/>
              </w:rPr>
              <w:t>s</w:t>
            </w:r>
            <w:r w:rsidRPr="005606E8">
              <w:rPr>
                <w:spacing w:val="-4"/>
              </w:rPr>
              <w:t xml:space="preserve"> that Ivy does not receive Rent Assistance or Energy Supplement. </w:t>
            </w:r>
            <w:r w:rsidRPr="005606E8">
              <w:rPr>
                <w:b/>
                <w:spacing w:val="-4"/>
              </w:rPr>
              <w:t xml:space="preserve">b. </w:t>
            </w:r>
            <w:r w:rsidRPr="005606E8">
              <w:rPr>
                <w:spacing w:val="-4"/>
              </w:rPr>
              <w:t>Income and payment amounts are annual.</w:t>
            </w:r>
          </w:p>
          <w:p w14:paraId="4FE085ED" w14:textId="77777777" w:rsidR="005E1B35" w:rsidRDefault="005E1B35" w:rsidP="00882158">
            <w:pPr>
              <w:pStyle w:val="Note"/>
              <w:keepLines/>
            </w:pPr>
            <w:r>
              <w:t>Source: Productivity Commission estimates.</w:t>
            </w:r>
          </w:p>
          <w:p w14:paraId="737EBA53" w14:textId="77777777" w:rsidR="005E1B35" w:rsidRDefault="005E1B35" w:rsidP="00882158">
            <w:pPr>
              <w:pStyle w:val="Note"/>
              <w:keepLines/>
              <w:rPr>
                <w:lang w:val="en-US"/>
              </w:rPr>
            </w:pPr>
            <w:r w:rsidRPr="0060676E">
              <w:rPr>
                <w:vertAlign w:val="superscript"/>
              </w:rPr>
              <w:t xml:space="preserve">1 </w:t>
            </w:r>
            <w:r>
              <w:t xml:space="preserve">The amount of </w:t>
            </w:r>
            <w:r>
              <w:rPr>
                <w:lang w:val="en-US"/>
              </w:rPr>
              <w:t xml:space="preserve">Parenting Payment received depends on a person and, if relevant, their partner’s assessable income. This assessable income is before tax or any other deductions. </w:t>
            </w:r>
            <w:r w:rsidRPr="00AB4259">
              <w:rPr>
                <w:lang w:val="en-US"/>
              </w:rPr>
              <w:t>From 20</w:t>
            </w:r>
            <w:r>
              <w:rPr>
                <w:lang w:val="en-US"/>
              </w:rPr>
              <w:t> </w:t>
            </w:r>
            <w:r w:rsidRPr="00AB4259">
              <w:rPr>
                <w:lang w:val="en-US"/>
              </w:rPr>
              <w:t xml:space="preserve">September 2023, a typical total fortnightly rate for eligible sole parents </w:t>
            </w:r>
            <w:r>
              <w:rPr>
                <w:lang w:val="en-US"/>
              </w:rPr>
              <w:t>is</w:t>
            </w:r>
            <w:r w:rsidRPr="00AB4259">
              <w:rPr>
                <w:lang w:val="en-US"/>
              </w:rPr>
              <w:t xml:space="preserve"> $988.80 and for eligible partnered parents</w:t>
            </w:r>
            <w:r>
              <w:rPr>
                <w:lang w:val="en-US"/>
              </w:rPr>
              <w:t xml:space="preserve"> (where their partner earns less than $1,325 per fortnight)</w:t>
            </w:r>
            <w:r w:rsidRPr="00AB4259">
              <w:rPr>
                <w:lang w:val="en-US"/>
              </w:rPr>
              <w:t>, $693.90.</w:t>
            </w:r>
          </w:p>
          <w:p w14:paraId="5FBEEB33" w14:textId="77777777" w:rsidR="005E1B35" w:rsidRDefault="005E1B35" w:rsidP="00882158">
            <w:pPr>
              <w:pStyle w:val="Note"/>
              <w:keepLines/>
            </w:pPr>
            <w:r w:rsidRPr="0060676E">
              <w:rPr>
                <w:vertAlign w:val="superscript"/>
              </w:rPr>
              <w:t xml:space="preserve">2 </w:t>
            </w:r>
            <w:r w:rsidRPr="005D7E68">
              <w:t>From 20</w:t>
            </w:r>
            <w:r>
              <w:t> </w:t>
            </w:r>
            <w:r w:rsidRPr="005D7E68">
              <w:t>September 2023, th</w:t>
            </w:r>
            <w:r>
              <w:t>e earned income threshold at which Parenting Payment began to be reduced was</w:t>
            </w:r>
            <w:r w:rsidRPr="005D7E68">
              <w:t xml:space="preserve"> $214.60 per fortnight for a sole parent with one dependent child</w:t>
            </w:r>
            <w:r>
              <w:t xml:space="preserve">, with </w:t>
            </w:r>
            <w:r w:rsidRPr="005D7E68">
              <w:t xml:space="preserve">$24.60 for each subsequent dependent child. For partnered parents, the </w:t>
            </w:r>
            <w:r>
              <w:t>threshold was</w:t>
            </w:r>
            <w:r w:rsidRPr="005D7E68">
              <w:t xml:space="preserve"> $150 per fortnight.</w:t>
            </w:r>
          </w:p>
          <w:p w14:paraId="3A51F6D8" w14:textId="77777777" w:rsidR="005E1B35" w:rsidRDefault="005E1B35" w:rsidP="00882158">
            <w:pPr>
              <w:pStyle w:val="Note"/>
              <w:keepLines/>
            </w:pPr>
            <w:r>
              <w:rPr>
                <w:vertAlign w:val="superscript"/>
              </w:rPr>
              <w:t xml:space="preserve">3 </w:t>
            </w:r>
            <w:r w:rsidRPr="007207ED">
              <w:t xml:space="preserve">In order to receive FTB, a family must include a dependent child or </w:t>
            </w:r>
            <w:r>
              <w:t xml:space="preserve">a </w:t>
            </w:r>
            <w:r w:rsidRPr="007207ED">
              <w:t>full</w:t>
            </w:r>
            <w:r>
              <w:noBreakHyphen/>
            </w:r>
            <w:r w:rsidRPr="007207ED">
              <w:t>time secondary student aged 16 to 19 who is</w:t>
            </w:r>
            <w:r>
              <w:t xml:space="preserve"> not</w:t>
            </w:r>
            <w:r w:rsidRPr="007207ED">
              <w:t xml:space="preserve"> getting a pension payment </w:t>
            </w:r>
            <w:r>
              <w:t>or</w:t>
            </w:r>
            <w:r w:rsidRPr="007207ED">
              <w:t xml:space="preserve"> benefit.</w:t>
            </w:r>
          </w:p>
        </w:tc>
      </w:tr>
      <w:tr w:rsidR="005E1B35" w14:paraId="2C8C8374" w14:textId="77777777">
        <w:trPr>
          <w:hidden/>
        </w:trPr>
        <w:tc>
          <w:tcPr>
            <w:tcW w:w="9638" w:type="dxa"/>
            <w:shd w:val="clear" w:color="auto" w:fill="auto"/>
            <w:tcMar>
              <w:top w:w="0" w:type="dxa"/>
              <w:left w:w="170" w:type="dxa"/>
              <w:bottom w:w="0" w:type="dxa"/>
              <w:right w:w="170" w:type="dxa"/>
            </w:tcMar>
          </w:tcPr>
          <w:p w14:paraId="05306482" w14:textId="77777777" w:rsidR="005E1B35" w:rsidRPr="00465191" w:rsidRDefault="005E1B35" w:rsidP="00882158">
            <w:pPr>
              <w:pStyle w:val="BodyText"/>
              <w:spacing w:before="0" w:after="0" w:line="80" w:lineRule="atLeast"/>
              <w:rPr>
                <w:smallCaps/>
                <w:vanish/>
              </w:rPr>
            </w:pPr>
          </w:p>
        </w:tc>
      </w:tr>
    </w:tbl>
    <w:p w14:paraId="259BC3C5" w14:textId="6348B55E" w:rsidR="005E1B35" w:rsidRDefault="005E1B35" w:rsidP="00882158">
      <w:pPr>
        <w:pStyle w:val="Heading3"/>
      </w:pPr>
      <w:r>
        <w:t>CBDCs are the predominant CCS</w:t>
      </w:r>
      <w:r w:rsidR="00E61D4F">
        <w:t>-</w:t>
      </w:r>
      <w:r>
        <w:t>approved services</w:t>
      </w:r>
    </w:p>
    <w:p w14:paraId="63B2331B" w14:textId="77777777" w:rsidR="005E1B35" w:rsidRDefault="005E1B35" w:rsidP="00882158">
      <w:pPr>
        <w:pStyle w:val="BodyText"/>
      </w:pPr>
      <w:r>
        <w:t>63% of CCS</w:t>
      </w:r>
      <w:r>
        <w:noBreakHyphen/>
        <w:t>approved services are CBDCs, while OSHC services represent 34% of all services (figure D.6). These two service types make up more than 95% of CCS</w:t>
      </w:r>
      <w:r>
        <w:noBreakHyphen/>
        <w:t>approved services in all jurisdictions (figure D.7). While the number of FDC services is small compared to other service types, they make up a larger proportion of services in outer regional Australia (figure D.8).</w:t>
      </w:r>
    </w:p>
    <w:p w14:paraId="465F8B25" w14:textId="77777777" w:rsidR="005E1B35" w:rsidRDefault="005E1B35" w:rsidP="00882158">
      <w:pPr>
        <w:pStyle w:val="BodyText"/>
      </w:pPr>
      <w:r w:rsidRPr="00AC4BED">
        <w:t xml:space="preserve">CBDCs </w:t>
      </w:r>
      <w:r>
        <w:t xml:space="preserve">that </w:t>
      </w:r>
      <w:r w:rsidRPr="00AC4BED">
        <w:t>offer preschool services are eligible for CCS</w:t>
      </w:r>
      <w:r>
        <w:t>. Dedicated preschools,</w:t>
      </w:r>
      <w:r w:rsidRPr="00AC4BED">
        <w:t xml:space="preserve"> </w:t>
      </w:r>
      <w:r>
        <w:t xml:space="preserve">however, </w:t>
      </w:r>
      <w:r w:rsidRPr="00AC4BED">
        <w:t>are not.</w:t>
      </w:r>
    </w:p>
    <w:p w14:paraId="5A69D957" w14:textId="77777777" w:rsidR="005E1B35" w:rsidRPr="00EE07FF" w:rsidRDefault="005E1B35">
      <w:pPr>
        <w:pStyle w:val="FigureTableHeading"/>
        <w:rPr>
          <w:vertAlign w:val="superscript"/>
        </w:rPr>
      </w:pPr>
      <w:r>
        <w:lastRenderedPageBreak/>
        <w:t xml:space="preserve">Figure </w:t>
      </w:r>
      <w:r>
        <w:rPr>
          <w:noProof/>
        </w:rPr>
        <w:t>D</w:t>
      </w:r>
      <w:r>
        <w:t>.</w:t>
      </w:r>
      <w:r>
        <w:rPr>
          <w:noProof/>
        </w:rPr>
        <w:t xml:space="preserve">6 </w:t>
      </w:r>
      <w:r>
        <w:t>– The majority of CCS</w:t>
      </w:r>
      <w:r>
        <w:noBreakHyphen/>
        <w:t>approved services are CBDCs</w:t>
      </w:r>
      <w:r>
        <w:rPr>
          <w:vertAlign w:val="superscript"/>
        </w:rPr>
        <w:t>a</w:t>
      </w:r>
    </w:p>
    <w:p w14:paraId="29C3C2B6" w14:textId="77777777" w:rsidR="005E1B35" w:rsidRDefault="005E1B35">
      <w:pPr>
        <w:pStyle w:val="FigureTableSubheading"/>
        <w:keepLines/>
      </w:pPr>
      <w:r>
        <w:t>Proportion of CCS</w:t>
      </w:r>
      <w:r>
        <w:noBreakHyphen/>
        <w:t>approved services by service type, December quarter 2023</w:t>
      </w:r>
    </w:p>
    <w:p w14:paraId="56118D5E" w14:textId="77777777" w:rsidR="005E1B35" w:rsidRDefault="005E1B35">
      <w:pPr>
        <w:pStyle w:val="Note"/>
        <w:keepLines/>
      </w:pPr>
      <w:r w:rsidRPr="007E009A">
        <w:rPr>
          <w:noProof/>
        </w:rPr>
        <w:drawing>
          <wp:inline distT="0" distB="0" distL="0" distR="0" wp14:anchorId="10DDE835" wp14:editId="2C21F978">
            <wp:extent cx="6120130" cy="2877185"/>
            <wp:effectExtent l="0" t="0" r="0" b="0"/>
            <wp:docPr id="1296448162" name="Picture 1" descr="Figure D.6 – This is a bar chart that shows CCS-approved services broken down by service type in December quarter 2023. 63% of services are CBDC services and 34% are OSHC services, with the small remaining proportion being FDC and IH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48162" name="Picture 1" descr="Figure D.6 – This is a bar chart that shows CCS-approved services broken down by service type in December quarter 2023. 63% of services are CBDC services and 34% are OSHC services, with the small remaining proportion being FDC and IHC servic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7A693366" w14:textId="77777777" w:rsidR="005E1B35" w:rsidRDefault="005E1B35" w:rsidP="00882158">
      <w:pPr>
        <w:pStyle w:val="Note"/>
        <w:keepLines/>
      </w:pPr>
      <w:r w:rsidRPr="00180E66">
        <w:rPr>
          <w:b/>
          <w:bCs/>
        </w:rPr>
        <w:t>a.</w:t>
      </w:r>
      <w:r>
        <w:t xml:space="preserve"> </w:t>
      </w:r>
      <w:r w:rsidRPr="0092037B">
        <w:t>Data excludes IHC. IHC services represent less than 1% of approved services.</w:t>
      </w:r>
    </w:p>
    <w:p w14:paraId="30E5D19B" w14:textId="77777777" w:rsidR="005E1B35" w:rsidRDefault="005E1B35" w:rsidP="00882158">
      <w:pPr>
        <w:pStyle w:val="Source"/>
      </w:pPr>
      <w:r w:rsidRPr="00696447">
        <w:t xml:space="preserve">Source: </w:t>
      </w:r>
      <w:r>
        <w:t xml:space="preserve">DoE </w:t>
      </w:r>
      <w:r w:rsidRPr="00491BBF">
        <w:rPr>
          <w:rFonts w:cs="Arial"/>
        </w:rPr>
        <w:t>(2024b, table</w:t>
      </w:r>
      <w:r>
        <w:rPr>
          <w:rFonts w:cs="Arial"/>
        </w:rPr>
        <w:t> </w:t>
      </w:r>
      <w:r w:rsidRPr="00491BBF">
        <w:rPr>
          <w:rFonts w:cs="Arial"/>
        </w:rPr>
        <w:t>3.2)</w:t>
      </w:r>
      <w:r w:rsidRPr="00696447">
        <w:t>.</w:t>
      </w:r>
    </w:p>
    <w:p w14:paraId="7BA70364" w14:textId="77777777" w:rsidR="005E1B35" w:rsidRPr="00146382" w:rsidRDefault="005E1B35">
      <w:pPr>
        <w:pStyle w:val="FigureTableHeading"/>
      </w:pPr>
      <w:r>
        <w:t xml:space="preserve">Figure </w:t>
      </w:r>
      <w:r>
        <w:rPr>
          <w:noProof/>
        </w:rPr>
        <w:t>D</w:t>
      </w:r>
      <w:r>
        <w:t>.</w:t>
      </w:r>
      <w:r>
        <w:rPr>
          <w:noProof/>
        </w:rPr>
        <w:t xml:space="preserve">7 </w:t>
      </w:r>
      <w:r>
        <w:t>– M</w:t>
      </w:r>
      <w:r w:rsidRPr="00840935">
        <w:t>ost CCS</w:t>
      </w:r>
      <w:r>
        <w:noBreakHyphen/>
      </w:r>
      <w:r w:rsidRPr="00840935">
        <w:t>approved services are CBDC or OSHC services</w:t>
      </w:r>
      <w:r w:rsidRPr="00066CF5">
        <w:rPr>
          <w:vertAlign w:val="superscript"/>
        </w:rPr>
        <w:t>a,b</w:t>
      </w:r>
    </w:p>
    <w:p w14:paraId="513A1C99" w14:textId="77777777" w:rsidR="005E1B35" w:rsidRDefault="005E1B35">
      <w:pPr>
        <w:pStyle w:val="FigureTableSubheading"/>
        <w:keepLines/>
      </w:pPr>
      <w:r>
        <w:t>Proportion of CCS</w:t>
      </w:r>
      <w:r>
        <w:noBreakHyphen/>
        <w:t>approved services by service type and jurisdiction, December quarter 2023</w:t>
      </w:r>
    </w:p>
    <w:p w14:paraId="3D67EA6E" w14:textId="77777777" w:rsidR="005E1B35" w:rsidRDefault="005E1B35">
      <w:pPr>
        <w:pStyle w:val="Note"/>
        <w:keepLines/>
        <w:rPr>
          <w:noProof/>
        </w:rPr>
      </w:pPr>
      <w:r w:rsidRPr="00056AD5">
        <w:rPr>
          <w:noProof/>
        </w:rPr>
        <w:drawing>
          <wp:inline distT="0" distB="0" distL="0" distR="0" wp14:anchorId="2E6C3D9F" wp14:editId="0984CC1D">
            <wp:extent cx="6120130" cy="2877185"/>
            <wp:effectExtent l="0" t="0" r="0" b="0"/>
            <wp:docPr id="1720320109" name="Picture 3" descr="Figure D.7 – This is a stacked bar chart showing the proportion of CCS-approved services in each jurisdiction that are classified as each service type in December quarter 2023. CBDC and OSHC services, the light and dark blue segments, make up more than 95% of all CCS-approved services in all jurisdictions. CBDCs are a larger proportion of all CCS approved services in New South Wales, Queensland and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20109" name="Picture 3" descr="Figure D.7 – This is a stacked bar chart showing the proportion of CCS-approved services in each jurisdiction that are classified as each service type in December quarter 2023. CBDC and OSHC services, the light and dark blue segments, make up more than 95% of all CCS-approved services in all jurisdictions. CBDCs are a larger proportion of all CCS approved services in New South Wales, Queensland and the Northern Territor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5699576D" w14:textId="77777777" w:rsidR="005E1B35" w:rsidRDefault="005E1B35">
      <w:pPr>
        <w:pStyle w:val="Note"/>
        <w:keepLines/>
      </w:pPr>
      <w:r w:rsidRPr="00180E66">
        <w:rPr>
          <w:b/>
          <w:bCs/>
        </w:rPr>
        <w:t>a.</w:t>
      </w:r>
      <w:r>
        <w:t xml:space="preserve"> </w:t>
      </w:r>
      <w:r w:rsidRPr="0092037B">
        <w:t>Data excludes IHC. IHC services represent</w:t>
      </w:r>
      <w:r>
        <w:t xml:space="preserve"> </w:t>
      </w:r>
      <w:r w:rsidRPr="0092037B">
        <w:t xml:space="preserve">less than 1% of approved services. </w:t>
      </w:r>
      <w:r w:rsidRPr="00CA4304">
        <w:rPr>
          <w:b/>
          <w:bCs/>
        </w:rPr>
        <w:t>b.</w:t>
      </w:r>
      <w:r w:rsidRPr="0092037B">
        <w:t xml:space="preserve"> Data on FDC in the Northern Territory is censored due to the small number of </w:t>
      </w:r>
      <w:r>
        <w:t>services.</w:t>
      </w:r>
    </w:p>
    <w:p w14:paraId="53BBC5CA" w14:textId="77777777" w:rsidR="005E1B35" w:rsidDel="0092037B" w:rsidRDefault="005E1B35" w:rsidP="00882158">
      <w:pPr>
        <w:pStyle w:val="Source"/>
      </w:pPr>
      <w:r w:rsidRPr="00696447">
        <w:t xml:space="preserve">Source: </w:t>
      </w:r>
      <w:r>
        <w:t xml:space="preserve">DoE </w:t>
      </w:r>
      <w:r w:rsidRPr="00491BBF">
        <w:rPr>
          <w:rFonts w:cs="Arial"/>
        </w:rPr>
        <w:t>(2024b, table</w:t>
      </w:r>
      <w:r>
        <w:rPr>
          <w:rFonts w:cs="Arial"/>
        </w:rPr>
        <w:t> </w:t>
      </w:r>
      <w:r w:rsidRPr="00491BBF">
        <w:rPr>
          <w:rFonts w:cs="Arial"/>
        </w:rPr>
        <w:t>3.2)</w:t>
      </w:r>
      <w:r w:rsidRPr="00696447">
        <w:t>.</w:t>
      </w:r>
    </w:p>
    <w:p w14:paraId="659FC460" w14:textId="77777777" w:rsidR="005E1B35" w:rsidRDefault="005E1B35" w:rsidP="00882158">
      <w:pPr>
        <w:pStyle w:val="FigureTableHeading"/>
      </w:pPr>
      <w:r>
        <w:lastRenderedPageBreak/>
        <w:t xml:space="preserve">Figure </w:t>
      </w:r>
      <w:r>
        <w:rPr>
          <w:noProof/>
        </w:rPr>
        <w:t>D</w:t>
      </w:r>
      <w:r>
        <w:t>.</w:t>
      </w:r>
      <w:r>
        <w:rPr>
          <w:noProof/>
        </w:rPr>
        <w:t xml:space="preserve">8 </w:t>
      </w:r>
      <w:r>
        <w:t>– FDC services are a larger proportion of services in outer regional areas</w:t>
      </w:r>
      <w:r>
        <w:rPr>
          <w:vertAlign w:val="superscript"/>
        </w:rPr>
        <w:t>a,b</w:t>
      </w:r>
    </w:p>
    <w:p w14:paraId="3D3D8997" w14:textId="77777777" w:rsidR="005E1B35" w:rsidRDefault="005E1B35" w:rsidP="00882158">
      <w:pPr>
        <w:pStyle w:val="FigureTableSubheading"/>
        <w:keepLines/>
      </w:pPr>
      <w:r>
        <w:t>Proportion of CCS</w:t>
      </w:r>
      <w:r>
        <w:noBreakHyphen/>
        <w:t>approved services by service type and remoteness, December quarter 2023</w:t>
      </w:r>
    </w:p>
    <w:p w14:paraId="7CD44336" w14:textId="77777777" w:rsidR="005E1B35" w:rsidRDefault="005E1B35" w:rsidP="00882158">
      <w:pPr>
        <w:pStyle w:val="BodyText"/>
      </w:pPr>
      <w:r w:rsidRPr="00EA2855">
        <w:rPr>
          <w:noProof/>
        </w:rPr>
        <w:drawing>
          <wp:inline distT="0" distB="0" distL="0" distR="0" wp14:anchorId="469735B9" wp14:editId="31F4D519">
            <wp:extent cx="6120130" cy="2877185"/>
            <wp:effectExtent l="0" t="0" r="0" b="0"/>
            <wp:docPr id="1317497012" name="Picture 5" descr="Figure D.8 – This is a stacked bar chart showing the proportion of CCS-approved services at each level of geographical remoteness that are classified as each service type in December quarter 2023. While CBDC and OSHC services, the light and dark blue segments, make up more than 95% of CCS-approved services at all levels of remoteness, FDC services, the light purple segment, make up a larger proportion of services in outer region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97012" name="Picture 5" descr="Figure D.8 – This is a stacked bar chart showing the proportion of CCS-approved services at each level of geographical remoteness that are classified as each service type in December quarter 2023. While CBDC and OSHC services, the light and dark blue segments, make up more than 95% of CCS-approved services at all levels of remoteness, FDC services, the light purple segment, make up a larger proportion of services in outer regional Austral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76237B41" w14:textId="77777777" w:rsidR="005E1B35" w:rsidRDefault="005E1B35" w:rsidP="00882158">
      <w:pPr>
        <w:pStyle w:val="Note"/>
        <w:keepLines/>
      </w:pPr>
      <w:r w:rsidRPr="00180E66">
        <w:rPr>
          <w:b/>
          <w:bCs/>
        </w:rPr>
        <w:t>a.</w:t>
      </w:r>
      <w:r>
        <w:t xml:space="preserve"> As per figure D.7 note a. </w:t>
      </w:r>
      <w:r w:rsidRPr="00180E66">
        <w:rPr>
          <w:b/>
          <w:bCs/>
        </w:rPr>
        <w:t>b.</w:t>
      </w:r>
      <w:r>
        <w:t xml:space="preserve"> Region is based on the ABS Accessibility/Remoteness Index of Australia.</w:t>
      </w:r>
    </w:p>
    <w:p w14:paraId="4A3C6A91" w14:textId="77777777" w:rsidR="005E1B35" w:rsidRDefault="005E1B35" w:rsidP="00882158">
      <w:pPr>
        <w:pStyle w:val="Source"/>
      </w:pPr>
      <w:r w:rsidRPr="00696447">
        <w:t>Source:</w:t>
      </w:r>
      <w:r>
        <w:t xml:space="preserve"> DoE </w:t>
      </w:r>
      <w:r w:rsidRPr="00491BBF">
        <w:rPr>
          <w:rFonts w:cs="Arial"/>
        </w:rPr>
        <w:t>(2024b, table</w:t>
      </w:r>
      <w:r>
        <w:rPr>
          <w:rFonts w:cs="Arial"/>
        </w:rPr>
        <w:t> </w:t>
      </w:r>
      <w:r w:rsidRPr="00491BBF">
        <w:rPr>
          <w:rFonts w:cs="Arial"/>
        </w:rPr>
        <w:t>3.3)</w:t>
      </w:r>
      <w:r>
        <w:t>.</w:t>
      </w:r>
    </w:p>
    <w:p w14:paraId="0AD1238E" w14:textId="77777777" w:rsidR="005E1B35" w:rsidRDefault="005E1B35" w:rsidP="00882158">
      <w:pPr>
        <w:pStyle w:val="BodyText"/>
        <w:keepNext/>
      </w:pPr>
      <w:r>
        <w:t>Types of care that are not eligible for CCS include:</w:t>
      </w:r>
    </w:p>
    <w:p w14:paraId="144DC120" w14:textId="77777777" w:rsidR="005E1B35" w:rsidRDefault="005E1B35" w:rsidP="00882158">
      <w:pPr>
        <w:pStyle w:val="ListBullet"/>
      </w:pPr>
      <w:r>
        <w:t>informal care provided through personal arrangements (for example, grandparents providing ad hoc care to their grandchildren, or nannies caring for children)</w:t>
      </w:r>
      <w:r>
        <w:rPr>
          <w:rStyle w:val="FootnoteReference"/>
        </w:rPr>
        <w:footnoteReference w:id="18"/>
      </w:r>
    </w:p>
    <w:p w14:paraId="05F6A77E" w14:textId="77777777" w:rsidR="005E1B35" w:rsidRDefault="005E1B35" w:rsidP="00882158">
      <w:pPr>
        <w:pStyle w:val="ListBullet"/>
      </w:pPr>
      <w:r>
        <w:t>s</w:t>
      </w:r>
      <w:r w:rsidRPr="005B5465">
        <w:t>ervices primarily providing a disability or early intervention service</w:t>
      </w:r>
    </w:p>
    <w:p w14:paraId="62844F75" w14:textId="77777777" w:rsidR="005E1B35" w:rsidRDefault="005E1B35" w:rsidP="00882158">
      <w:pPr>
        <w:pStyle w:val="ListBullet"/>
      </w:pPr>
      <w:r>
        <w:t>s</w:t>
      </w:r>
      <w:r w:rsidRPr="0053365F">
        <w:t>ervices primarily providing instruction in an activity (</w:t>
      </w:r>
      <w:r>
        <w:t>such as</w:t>
      </w:r>
      <w:r w:rsidRPr="0053365F">
        <w:t xml:space="preserve"> sport or music)</w:t>
      </w:r>
    </w:p>
    <w:p w14:paraId="08E92EAC" w14:textId="77777777" w:rsidR="005E1B35" w:rsidRDefault="005E1B35" w:rsidP="00882158">
      <w:pPr>
        <w:pStyle w:val="ListBullet"/>
      </w:pPr>
      <w:r>
        <w:t>services that provide care, but in which the parent retains responsibility for the child while the service is provided (such as play groups)</w:t>
      </w:r>
    </w:p>
    <w:p w14:paraId="74B036ED" w14:textId="77777777" w:rsidR="005E1B35" w:rsidRDefault="005E1B35">
      <w:pPr>
        <w:pStyle w:val="ListBullet"/>
      </w:pPr>
      <w:r>
        <w:t>services primarily providing short</w:t>
      </w:r>
      <w:r>
        <w:noBreakHyphen/>
        <w:t>term, irregular care at premises in which the parent is a visitor or guest, and the parent is readily available (such as at a gym)</w:t>
      </w:r>
    </w:p>
    <w:p w14:paraId="27381603" w14:textId="77777777" w:rsidR="005E1B35" w:rsidRDefault="005E1B35" w:rsidP="00882158">
      <w:pPr>
        <w:pStyle w:val="ListBullet"/>
      </w:pPr>
      <w:r>
        <w:t xml:space="preserve">services that primarily provide early education in the year that is two years before grade one of school such as a preschool or kindergarten </w:t>
      </w:r>
      <w:r w:rsidRPr="003139C7">
        <w:rPr>
          <w:rFonts w:ascii="Arial" w:hAnsi="Arial" w:cs="Arial"/>
        </w:rPr>
        <w:t>(Australian Government Department of Education, sub.</w:t>
      </w:r>
      <w:r>
        <w:rPr>
          <w:rFonts w:ascii="Arial" w:hAnsi="Arial" w:cs="Arial"/>
        </w:rPr>
        <w:t> </w:t>
      </w:r>
      <w:r w:rsidRPr="003139C7">
        <w:rPr>
          <w:rFonts w:ascii="Arial" w:hAnsi="Arial" w:cs="Arial"/>
        </w:rPr>
        <w:t>90, p.</w:t>
      </w:r>
      <w:r>
        <w:rPr>
          <w:rFonts w:ascii="Arial" w:hAnsi="Arial" w:cs="Arial"/>
        </w:rPr>
        <w:t> </w:t>
      </w:r>
      <w:r w:rsidRPr="003139C7">
        <w:rPr>
          <w:rFonts w:ascii="Arial" w:hAnsi="Arial" w:cs="Arial"/>
        </w:rPr>
        <w:t>12, DoE 2023c)</w:t>
      </w:r>
      <w:r>
        <w:t>.</w:t>
      </w:r>
    </w:p>
    <w:p w14:paraId="2DB14AEE" w14:textId="77777777" w:rsidR="005E1B35" w:rsidRDefault="005E1B35" w:rsidP="00882158">
      <w:pPr>
        <w:pStyle w:val="Heading2"/>
        <w:numPr>
          <w:ilvl w:val="0"/>
          <w:numId w:val="0"/>
        </w:numPr>
      </w:pPr>
      <w:bookmarkStart w:id="25" w:name="_Toc172213578"/>
      <w:r>
        <w:t>D.2</w:t>
      </w:r>
      <w:r>
        <w:tab/>
        <w:t>The evolution of the CCS</w:t>
      </w:r>
      <w:bookmarkEnd w:id="25"/>
    </w:p>
    <w:p w14:paraId="05945E23" w14:textId="77777777" w:rsidR="005E1B35" w:rsidRPr="00DA7C1B" w:rsidRDefault="005E1B35" w:rsidP="00882158">
      <w:pPr>
        <w:pStyle w:val="BodyText"/>
      </w:pPr>
      <w:r>
        <w:t xml:space="preserve">The CCS was introduced on 2 July 2018 as part of the </w:t>
      </w:r>
      <w:r w:rsidRPr="00B72FA8">
        <w:rPr>
          <w:i/>
        </w:rPr>
        <w:t>Jobs for Families Child Care Package</w:t>
      </w:r>
      <w:r>
        <w:t xml:space="preserve">, replacing the Child Care Benefit (CCB) and Child Care Rebate (CCR) (box D.4). The ACCS was introduced at the same time, replacing a number of payments including Special Child Care Benefit, Grandparent Child Care Benefit </w:t>
      </w:r>
      <w:r>
        <w:lastRenderedPageBreak/>
        <w:t>and the Jobs, Education and Training Child Care Fee Assistance payment</w:t>
      </w:r>
      <w:r w:rsidRPr="6012C610">
        <w:rPr>
          <w:rFonts w:cs="Arial"/>
        </w:rPr>
        <w:t xml:space="preserve"> </w:t>
      </w:r>
      <w:r w:rsidRPr="00491BBF">
        <w:rPr>
          <w:rFonts w:ascii="Arial" w:hAnsi="Arial" w:cs="Arial"/>
        </w:rPr>
        <w:t>(Bray et al. 2021, p. 1; Parliamentary Library 2019)</w:t>
      </w:r>
      <w:r w:rsidRPr="6012C610">
        <w:rPr>
          <w:rFonts w:cs="Arial"/>
        </w:rPr>
        <w:t>.</w:t>
      </w:r>
    </w:p>
    <w:p w14:paraId="27EC17BE" w14:textId="77777777" w:rsidR="005E1B35" w:rsidRDefault="005E1B35" w:rsidP="00882158">
      <w:pPr>
        <w:pStyle w:val="BodyText"/>
      </w:pPr>
      <w:r>
        <w:t xml:space="preserve">Bray et al. </w:t>
      </w:r>
      <w:r w:rsidRPr="00491BBF">
        <w:rPr>
          <w:rFonts w:ascii="Arial" w:hAnsi="Arial" w:cs="Arial"/>
        </w:rPr>
        <w:t>(2021, p. vii)</w:t>
      </w:r>
      <w:r w:rsidRPr="00DA7C1B">
        <w:t xml:space="preserve"> estimate</w:t>
      </w:r>
      <w:r>
        <w:t>d</w:t>
      </w:r>
      <w:r w:rsidRPr="00DA7C1B">
        <w:t xml:space="preserve"> that the introduction of the CCS reduced</w:t>
      </w:r>
      <w:r w:rsidRPr="00DA7C1B" w:rsidDel="00DD0216">
        <w:t xml:space="preserve"> </w:t>
      </w:r>
      <w:r>
        <w:t>out</w:t>
      </w:r>
      <w:r>
        <w:noBreakHyphen/>
        <w:t>of</w:t>
      </w:r>
      <w:r>
        <w:noBreakHyphen/>
        <w:t>pocket expenses</w:t>
      </w:r>
      <w:r w:rsidDel="00DD0216">
        <w:t xml:space="preserve"> </w:t>
      </w:r>
      <w:r w:rsidRPr="00DA7C1B">
        <w:t>for about 60% of families, increased</w:t>
      </w:r>
      <w:r>
        <w:t xml:space="preserve"> out</w:t>
      </w:r>
      <w:r>
        <w:noBreakHyphen/>
        <w:t>of</w:t>
      </w:r>
      <w:r>
        <w:noBreakHyphen/>
        <w:t>pocket</w:t>
      </w:r>
      <w:r w:rsidRPr="00DA7C1B">
        <w:t xml:space="preserve"> </w:t>
      </w:r>
      <w:r>
        <w:t xml:space="preserve">expenses </w:t>
      </w:r>
      <w:r w:rsidRPr="00DA7C1B">
        <w:t xml:space="preserve">for about 30% and had minimal effect on </w:t>
      </w:r>
      <w:r>
        <w:t>out</w:t>
      </w:r>
      <w:r>
        <w:noBreakHyphen/>
        <w:t>of</w:t>
      </w:r>
      <w:r>
        <w:noBreakHyphen/>
        <w:t xml:space="preserve">pocket expenses </w:t>
      </w:r>
      <w:r w:rsidRPr="00DA7C1B">
        <w:t xml:space="preserve">for the remaining 10%. </w:t>
      </w:r>
      <w:r>
        <w:t>Expense</w:t>
      </w:r>
      <w:r w:rsidRPr="00DA7C1B">
        <w:t xml:space="preserve"> reductions tended to be larger for low</w:t>
      </w:r>
      <w:r>
        <w:noBreakHyphen/>
      </w:r>
      <w:r w:rsidRPr="00DA7C1B">
        <w:t>income families, families with a higher number of children using ECEC, families using ECEC for longer periods and families using for</w:t>
      </w:r>
      <w:r w:rsidRPr="00DA7C1B">
        <w:noBreakHyphen/>
        <w:t>profit FDC services.</w:t>
      </w:r>
    </w:p>
    <w:p w14:paraId="2757A240"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rsidRPr="00A44F5C" w14:paraId="39491B57" w14:textId="77777777">
        <w:trPr>
          <w:tblHeader/>
        </w:trPr>
        <w:tc>
          <w:tcPr>
            <w:tcW w:w="9638" w:type="dxa"/>
            <w:shd w:val="clear" w:color="auto" w:fill="EBEBEB"/>
            <w:tcMar>
              <w:top w:w="170" w:type="dxa"/>
              <w:left w:w="170" w:type="dxa"/>
              <w:bottom w:w="113" w:type="dxa"/>
              <w:right w:w="170" w:type="dxa"/>
            </w:tcMar>
            <w:hideMark/>
          </w:tcPr>
          <w:p w14:paraId="67F83D00" w14:textId="77777777" w:rsidR="005E1B35" w:rsidRPr="00A44F5C" w:rsidRDefault="005E1B35">
            <w:pPr>
              <w:pStyle w:val="BoxHeading1"/>
              <w:rPr>
                <w:spacing w:val="-4"/>
              </w:rPr>
            </w:pPr>
            <w:r w:rsidRPr="00A44F5C">
              <w:rPr>
                <w:spacing w:val="-4"/>
              </w:rPr>
              <w:t xml:space="preserve">Box </w:t>
            </w:r>
            <w:r w:rsidRPr="00A44F5C">
              <w:rPr>
                <w:noProof/>
                <w:spacing w:val="-4"/>
              </w:rPr>
              <w:t>D</w:t>
            </w:r>
            <w:r w:rsidRPr="00A44F5C">
              <w:rPr>
                <w:spacing w:val="-4"/>
              </w:rPr>
              <w:t>.</w:t>
            </w:r>
            <w:r w:rsidRPr="00A44F5C">
              <w:rPr>
                <w:noProof/>
                <w:spacing w:val="-4"/>
              </w:rPr>
              <w:t>4</w:t>
            </w:r>
            <w:r w:rsidRPr="00A44F5C">
              <w:rPr>
                <w:spacing w:val="-4"/>
              </w:rPr>
              <w:t xml:space="preserve"> – Child Care Benefit and Child Care Rebate were the predecessors to the CCS</w:t>
            </w:r>
          </w:p>
        </w:tc>
      </w:tr>
      <w:tr w:rsidR="005E1B35" w14:paraId="03CAF075" w14:textId="77777777">
        <w:tc>
          <w:tcPr>
            <w:tcW w:w="9638" w:type="dxa"/>
            <w:shd w:val="clear" w:color="auto" w:fill="EBEBEB"/>
            <w:tcMar>
              <w:top w:w="28" w:type="dxa"/>
              <w:left w:w="170" w:type="dxa"/>
              <w:bottom w:w="170" w:type="dxa"/>
              <w:right w:w="170" w:type="dxa"/>
            </w:tcMar>
            <w:hideMark/>
          </w:tcPr>
          <w:p w14:paraId="44AAB97D" w14:textId="77777777" w:rsidR="005E1B35" w:rsidRPr="0011197E" w:rsidRDefault="005E1B35" w:rsidP="00882158">
            <w:pPr>
              <w:pStyle w:val="BodyText"/>
              <w:rPr>
                <w:b/>
                <w:bCs/>
              </w:rPr>
            </w:pPr>
            <w:r>
              <w:t>The Child Care Benefit (CCB) was a means and activity tested benefit targeted towards low</w:t>
            </w:r>
            <w:r>
              <w:noBreakHyphen/>
              <w:t xml:space="preserve"> and middle</w:t>
            </w:r>
            <w:r>
              <w:noBreakHyphen/>
              <w:t>income families. It subsidised the use of both approved and registered care.</w:t>
            </w:r>
            <w:r>
              <w:rPr>
                <w:b/>
                <w:bCs/>
                <w:vertAlign w:val="superscript"/>
              </w:rPr>
              <w:t>a</w:t>
            </w:r>
            <w:r>
              <w:t xml:space="preserve"> The amount of CCB a family received depended on the number of subsidised hours they could access and their subsidy amount per hour (CCB rate). The number of subsidised hours was based on whether families met the work, training, study test. The test could be satisfied through work, study, job seeking or volunteering activities. Families could access up to 100 hours of subsidised ECEC per child per fortnight if they participated in approved activities for 30 hours per fortnight (for approved care) or any hours per week (for registered care). Families that did not satisfy the test could access up to 48 hours of approved care per fortnight. A family’s CCB rate differed with income, the number of children using ECEC, whether the children were at or below school age and the type of service attended, up to a maximum hourly rate </w:t>
            </w:r>
            <w:r w:rsidRPr="00BF22AC">
              <w:t>of $4.30 for a non</w:t>
            </w:r>
            <w:r>
              <w:noBreakHyphen/>
            </w:r>
            <w:r w:rsidRPr="00BF22AC">
              <w:t>school age child and 85% of that rate for a school age child</w:t>
            </w:r>
            <w:r>
              <w:t>.</w:t>
            </w:r>
          </w:p>
          <w:p w14:paraId="649AC4ED" w14:textId="77777777" w:rsidR="005E1B35" w:rsidRDefault="005E1B35" w:rsidP="00882158">
            <w:pPr>
              <w:pStyle w:val="BodyText"/>
            </w:pPr>
            <w:r>
              <w:t>The Child Care Rebate (CCR) was a non</w:t>
            </w:r>
            <w:r>
              <w:noBreakHyphen/>
              <w:t>means tested payment that provided additional assistance for families using approved care. CCR subsidised up to 50% of a family’s out</w:t>
            </w:r>
            <w:r>
              <w:noBreakHyphen/>
              <w:t>of</w:t>
            </w:r>
            <w:r>
              <w:noBreakHyphen/>
              <w:t>pocket expenses after any other fee assistance (such as CCB) was deducted, up to a maximum of $7,613 per child per year. To be eligible for CCR, families had to undertake a test</w:t>
            </w:r>
            <w:r>
              <w:noBreakHyphen/>
              <w:t>approved activity at some point during the week. In contrast to the Child Care Subsidy – which subsidises fees up to an hourly rate cap – the amount of CCR received was based on the actual fees charged by services, up to the annual per child cap.</w:t>
            </w:r>
          </w:p>
          <w:p w14:paraId="2081B41B" w14:textId="77777777" w:rsidR="005E1B35" w:rsidRPr="002E54F4" w:rsidRDefault="005E1B35" w:rsidP="00882158">
            <w:pPr>
              <w:pStyle w:val="Note"/>
            </w:pPr>
            <w:r>
              <w:rPr>
                <w:b/>
                <w:bCs/>
              </w:rPr>
              <w:t>a.</w:t>
            </w:r>
            <w:r>
              <w:t> </w:t>
            </w:r>
            <w:r w:rsidRPr="00AE72D6">
              <w:t>‘Approved care’ included the current CCS approved service types: CBDC (including occasional care), FDC, OSHC and IHC. ‘Registered care’ included relatives, friends, neighbours, nannies or babysitters and some ECEC facilities that were registered as carers with the Department of Human Services</w:t>
            </w:r>
            <w:r>
              <w:t xml:space="preserve"> </w:t>
            </w:r>
            <w:r w:rsidRPr="00491BBF">
              <w:rPr>
                <w:rFonts w:cs="Arial"/>
              </w:rPr>
              <w:t>(PC 2014, p. 75)</w:t>
            </w:r>
            <w:r>
              <w:t>.</w:t>
            </w:r>
          </w:p>
          <w:p w14:paraId="2AE73AE3" w14:textId="77777777" w:rsidR="005E1B35" w:rsidRDefault="005E1B35">
            <w:pPr>
              <w:pStyle w:val="Source"/>
            </w:pPr>
            <w:r>
              <w:t>Source: Bray et al. </w:t>
            </w:r>
            <w:r w:rsidRPr="00491BBF">
              <w:rPr>
                <w:rFonts w:cs="Arial"/>
              </w:rPr>
              <w:t>(2021, p. 8)</w:t>
            </w:r>
            <w:r>
              <w:t xml:space="preserve">; DoE </w:t>
            </w:r>
            <w:r w:rsidRPr="00491BBF">
              <w:rPr>
                <w:rFonts w:cs="Arial"/>
              </w:rPr>
              <w:t>(2015, pp. 1–2)</w:t>
            </w:r>
            <w:r>
              <w:t xml:space="preserve">; PC </w:t>
            </w:r>
            <w:r w:rsidRPr="00491BBF">
              <w:rPr>
                <w:rFonts w:cs="Arial"/>
              </w:rPr>
              <w:t>(2014, p. 4)</w:t>
            </w:r>
            <w:r>
              <w:t>.</w:t>
            </w:r>
          </w:p>
        </w:tc>
      </w:tr>
      <w:tr w:rsidR="005E1B35" w14:paraId="5053A3E6" w14:textId="77777777">
        <w:trPr>
          <w:hidden/>
        </w:trPr>
        <w:tc>
          <w:tcPr>
            <w:tcW w:w="9638" w:type="dxa"/>
            <w:shd w:val="clear" w:color="auto" w:fill="auto"/>
            <w:tcMar>
              <w:top w:w="0" w:type="dxa"/>
              <w:left w:w="170" w:type="dxa"/>
              <w:bottom w:w="0" w:type="dxa"/>
              <w:right w:w="170" w:type="dxa"/>
            </w:tcMar>
          </w:tcPr>
          <w:p w14:paraId="1B7771C0" w14:textId="77777777" w:rsidR="005E1B35" w:rsidRPr="00465191" w:rsidRDefault="005E1B35">
            <w:pPr>
              <w:pStyle w:val="BodyText"/>
              <w:spacing w:before="0" w:after="0" w:line="80" w:lineRule="atLeast"/>
              <w:rPr>
                <w:smallCaps/>
                <w:vanish/>
              </w:rPr>
            </w:pPr>
          </w:p>
        </w:tc>
      </w:tr>
    </w:tbl>
    <w:p w14:paraId="33C37D88" w14:textId="77777777" w:rsidR="005E1B35" w:rsidRDefault="005E1B35" w:rsidP="00882158">
      <w:pPr>
        <w:pStyle w:val="BodyText"/>
      </w:pPr>
      <w:r>
        <w:t xml:space="preserve">On 10 December 2021, the annual CCS cap – which precluded families earning more than $190,015 from receiving more than $10,655 in subsidies per child each financial year – was removed </w:t>
      </w:r>
      <w:r w:rsidRPr="00491BBF">
        <w:rPr>
          <w:rFonts w:ascii="Arial" w:hAnsi="Arial" w:cs="Arial"/>
        </w:rPr>
        <w:t>(DoE 2021)</w:t>
      </w:r>
      <w:r>
        <w:t xml:space="preserve">. On 7 March 2022, the higher subsidy rate for families with more than one child aged five or younger was introduced </w:t>
      </w:r>
      <w:r w:rsidRPr="00491BBF">
        <w:rPr>
          <w:rFonts w:ascii="Arial" w:hAnsi="Arial" w:cs="Arial"/>
        </w:rPr>
        <w:t>(DoE 2021)</w:t>
      </w:r>
      <w:r>
        <w:t>.</w:t>
      </w:r>
    </w:p>
    <w:p w14:paraId="6DB38F1D" w14:textId="77777777" w:rsidR="005E1B35" w:rsidRPr="00BB5C22" w:rsidRDefault="005E1B35" w:rsidP="00882158">
      <w:pPr>
        <w:pStyle w:val="BodyText"/>
      </w:pPr>
      <w:r>
        <w:t xml:space="preserve">On 10 July 2023, base CCS rates for a family’s first child were increased under the Plan for Cheaper Child Care (box D.5) </w:t>
      </w:r>
      <w:r w:rsidRPr="00491BBF">
        <w:rPr>
          <w:rFonts w:ascii="Arial" w:hAnsi="Arial" w:cs="Arial"/>
        </w:rPr>
        <w:t>(Australian Government 2023, p. 93; Services Australia 2023b)</w:t>
      </w:r>
      <w:r>
        <w:t xml:space="preserve">. The maximum base subsidy percentage was increased from 85% to 90%, with the subsidy rate tapering more slowly with increases in household income. Additionally, Aboriginal and Torres Strait Islander families became eligible to receive 36 hours of subsidised ECEC per fortnight, regardless of their activity level </w:t>
      </w:r>
      <w:r w:rsidRPr="00491BBF">
        <w:rPr>
          <w:rFonts w:ascii="Arial" w:hAnsi="Arial" w:cs="Arial"/>
        </w:rPr>
        <w:t>(Services Australia 2023b)</w:t>
      </w:r>
      <w:r>
        <w:t>.</w:t>
      </w:r>
    </w:p>
    <w:p w14:paraId="1C863B08"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14:paraId="04DD4FA8" w14:textId="77777777" w:rsidTr="00882158">
        <w:trPr>
          <w:tblHeader/>
        </w:trPr>
        <w:tc>
          <w:tcPr>
            <w:tcW w:w="9638" w:type="dxa"/>
            <w:shd w:val="clear" w:color="auto" w:fill="EBEBEB"/>
            <w:tcMar>
              <w:top w:w="170" w:type="dxa"/>
              <w:left w:w="170" w:type="dxa"/>
              <w:bottom w:w="113" w:type="dxa"/>
              <w:right w:w="170" w:type="dxa"/>
            </w:tcMar>
            <w:hideMark/>
          </w:tcPr>
          <w:p w14:paraId="6493602B" w14:textId="77777777" w:rsidR="005E1B35" w:rsidRDefault="005E1B35">
            <w:pPr>
              <w:pStyle w:val="BoxHeading1"/>
            </w:pPr>
            <w:r>
              <w:lastRenderedPageBreak/>
              <w:t xml:space="preserve">Box </w:t>
            </w:r>
            <w:r>
              <w:rPr>
                <w:noProof/>
              </w:rPr>
              <w:t>D</w:t>
            </w:r>
            <w:r>
              <w:t>.</w:t>
            </w:r>
            <w:r>
              <w:rPr>
                <w:noProof/>
              </w:rPr>
              <w:t>5</w:t>
            </w:r>
            <w:r>
              <w:t xml:space="preserve"> – Illustration of the effects of 2023 Child Care Subsidy reforms</w:t>
            </w:r>
          </w:p>
        </w:tc>
      </w:tr>
      <w:tr w:rsidR="005E1B35" w14:paraId="401169F2" w14:textId="77777777" w:rsidTr="00882158">
        <w:tc>
          <w:tcPr>
            <w:tcW w:w="9638" w:type="dxa"/>
            <w:shd w:val="clear" w:color="auto" w:fill="EBEBEB"/>
            <w:tcMar>
              <w:top w:w="28" w:type="dxa"/>
              <w:left w:w="170" w:type="dxa"/>
              <w:bottom w:w="170" w:type="dxa"/>
              <w:right w:w="170" w:type="dxa"/>
            </w:tcMar>
            <w:hideMark/>
          </w:tcPr>
          <w:p w14:paraId="39458113" w14:textId="77777777" w:rsidR="005E1B35" w:rsidRPr="005326C8" w:rsidRDefault="005E1B35" w:rsidP="00882158">
            <w:pPr>
              <w:pStyle w:val="BodyText"/>
              <w:rPr>
                <w:spacing w:val="2"/>
              </w:rPr>
            </w:pPr>
            <w:r w:rsidRPr="005326C8">
              <w:rPr>
                <w:spacing w:val="2"/>
              </w:rPr>
              <w:t>Child Care Subsidy (CCS) reforms introduced in July 2023 reduced out</w:t>
            </w:r>
            <w:r w:rsidRPr="005326C8">
              <w:rPr>
                <w:spacing w:val="2"/>
              </w:rPr>
              <w:noBreakHyphen/>
              <w:t>of</w:t>
            </w:r>
            <w:r w:rsidRPr="005326C8">
              <w:rPr>
                <w:spacing w:val="2"/>
              </w:rPr>
              <w:noBreakHyphen/>
              <w:t>pocket expenses for families. Consider a family with a family income of $60,000 and two children, Anh (aged three) and Johnathan (aged two). Both children attend a centre</w:t>
            </w:r>
            <w:r w:rsidRPr="005326C8">
              <w:rPr>
                <w:spacing w:val="2"/>
              </w:rPr>
              <w:noBreakHyphen/>
              <w:t>based day care (CBDC) for three days a week. The parents meet the activity test and thus all hours attended at the CBDC are subsidised. CCS rates would apply for Anh and the higher Child Care Subsidy (HCCS) rates would apply for Johnathan. The CCS reform would reduce this family’s out</w:t>
            </w:r>
            <w:r w:rsidRPr="005326C8">
              <w:rPr>
                <w:spacing w:val="2"/>
              </w:rPr>
              <w:noBreakHyphen/>
              <w:t>of</w:t>
            </w:r>
            <w:r w:rsidRPr="005326C8">
              <w:rPr>
                <w:spacing w:val="2"/>
              </w:rPr>
              <w:noBreakHyphen/>
              <w:t>pocket expenses from $76 to $57 per week (figure below) if fees remained unchanged.</w:t>
            </w:r>
          </w:p>
          <w:p w14:paraId="3A7593B7" w14:textId="77777777" w:rsidR="005E1B35" w:rsidRPr="00146382" w:rsidRDefault="005E1B35" w:rsidP="00882158">
            <w:pPr>
              <w:pStyle w:val="FigureTableHeading"/>
            </w:pPr>
            <w:r>
              <w:t>Families receive higher amounts of CCS from 10 July 2023</w:t>
            </w:r>
            <w:r w:rsidRPr="00066CF5">
              <w:rPr>
                <w:vertAlign w:val="superscript"/>
              </w:rPr>
              <w:t>a</w:t>
            </w:r>
          </w:p>
          <w:p w14:paraId="4BB096D7" w14:textId="77777777" w:rsidR="005E1B35" w:rsidRDefault="005E1B35" w:rsidP="00882158">
            <w:pPr>
              <w:pStyle w:val="FigureTableSubheading"/>
              <w:keepLines/>
            </w:pPr>
            <w:r>
              <w:t>Family with $60,000 annual income and two children in CBDC, 2022</w:t>
            </w:r>
            <w:r>
              <w:noBreakHyphen/>
              <w:t>23 and 2023</w:t>
            </w:r>
            <w:r>
              <w:noBreakHyphen/>
              <w:t>24 subsidy rates, weekly expenses</w:t>
            </w:r>
          </w:p>
          <w:p w14:paraId="50979B42" w14:textId="77777777" w:rsidR="005E1B35" w:rsidRDefault="005E1B35" w:rsidP="00882158">
            <w:pPr>
              <w:pStyle w:val="FigureTableSubheading"/>
              <w:keepLines/>
            </w:pPr>
            <w:r w:rsidRPr="007A41E7">
              <w:rPr>
                <w:noProof/>
              </w:rPr>
              <w:drawing>
                <wp:inline distT="0" distB="0" distL="0" distR="0" wp14:anchorId="189FE039" wp14:editId="4869B0C4">
                  <wp:extent cx="5943600" cy="2880360"/>
                  <wp:effectExtent l="0" t="0" r="0" b="0"/>
                  <wp:docPr id="484846746" name="Picture 484846746" descr="Box D.5 – Figure 1 – This figure is a bar chart showing how CCS reforms introduced in July 2023 reduced out of pocket expenses for families. Following the reforms, a higher proportion of fees for each child – and therefore for the family – is subsid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46746" name="Picture 484846746" descr="Box D.5 – Figure 1 – This figure is a bar chart showing how CCS reforms introduced in July 2023 reduced out of pocket expenses for families. Following the reforms, a higher proportion of fees for each child – and therefore for the family – is subsidised.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632C150E" w14:textId="77777777" w:rsidR="005E1B35" w:rsidRDefault="005E1B35" w:rsidP="00882158">
            <w:pPr>
              <w:pStyle w:val="Note"/>
              <w:keepLines/>
            </w:pPr>
            <w:r w:rsidRPr="00180E66" w:rsidDel="00A03A8A">
              <w:rPr>
                <w:b/>
                <w:bCs/>
              </w:rPr>
              <w:t>a.</w:t>
            </w:r>
            <w:r w:rsidDel="00A03A8A">
              <w:t xml:space="preserve"> </w:t>
            </w:r>
            <w:r>
              <w:t>These hypothetical scenarios assume an annual family adjusted taxable income of $60,000 and that the two children attend CBDC for three 10</w:t>
            </w:r>
            <w:r>
              <w:noBreakHyphen/>
              <w:t>hour days each week. Johnathan is assumed to be the second child that received the HCCS. The hourly fee is assumed to be at the 2022</w:t>
            </w:r>
            <w:r>
              <w:noBreakHyphen/>
              <w:t>23 CCS hourly cap rate of $12.74.</w:t>
            </w:r>
          </w:p>
          <w:p w14:paraId="2D30B160" w14:textId="77777777" w:rsidR="005E1B35" w:rsidRDefault="005E1B35">
            <w:pPr>
              <w:pStyle w:val="Source"/>
            </w:pPr>
            <w:r>
              <w:t>Source: Productivity Commission estimates.</w:t>
            </w:r>
          </w:p>
        </w:tc>
      </w:tr>
      <w:tr w:rsidR="005E1B35" w14:paraId="442F66EB" w14:textId="77777777" w:rsidTr="00882158">
        <w:trPr>
          <w:hidden/>
        </w:trPr>
        <w:tc>
          <w:tcPr>
            <w:tcW w:w="9638" w:type="dxa"/>
            <w:shd w:val="clear" w:color="auto" w:fill="auto"/>
            <w:tcMar>
              <w:top w:w="0" w:type="dxa"/>
              <w:left w:w="170" w:type="dxa"/>
              <w:bottom w:w="0" w:type="dxa"/>
              <w:right w:w="170" w:type="dxa"/>
            </w:tcMar>
          </w:tcPr>
          <w:p w14:paraId="771A39FC" w14:textId="77777777" w:rsidR="005E1B35" w:rsidRPr="00465191" w:rsidRDefault="005E1B35">
            <w:pPr>
              <w:pStyle w:val="BodyText"/>
              <w:spacing w:before="0" w:after="0" w:line="80" w:lineRule="atLeast"/>
              <w:rPr>
                <w:smallCaps/>
                <w:vanish/>
              </w:rPr>
            </w:pPr>
          </w:p>
        </w:tc>
      </w:tr>
    </w:tbl>
    <w:p w14:paraId="698C0E46" w14:textId="77777777" w:rsidR="005E1B35" w:rsidRDefault="005E1B35" w:rsidP="00882158">
      <w:pPr>
        <w:pStyle w:val="Heading2"/>
        <w:numPr>
          <w:ilvl w:val="0"/>
          <w:numId w:val="0"/>
        </w:numPr>
      </w:pPr>
      <w:bookmarkStart w:id="26" w:name="_Toc172213579"/>
      <w:r>
        <w:t>D.3</w:t>
      </w:r>
      <w:r>
        <w:tab/>
        <w:t>Administration of the CCS</w:t>
      </w:r>
      <w:bookmarkEnd w:id="26"/>
    </w:p>
    <w:p w14:paraId="3D0C8984" w14:textId="77777777" w:rsidR="005E1B35" w:rsidRDefault="005E1B35" w:rsidP="00882158">
      <w:pPr>
        <w:pStyle w:val="BodyText"/>
      </w:pPr>
      <w:r>
        <w:t xml:space="preserve">CCS is administered by Services Australia. To access CCS, families must have a myGov account linked to Centrelink. Before CCS can be paid, families must confirm their child’s enrolment by asking their ECEC provider to send their child’s enrolment details to Services Australia, then the family needs to confirm the details through their Centrelink account. CCS is only back paid for a maximum of 28 days </w:t>
      </w:r>
      <w:r w:rsidRPr="003139C7">
        <w:rPr>
          <w:rFonts w:ascii="Arial" w:hAnsi="Arial" w:cs="Arial"/>
        </w:rPr>
        <w:t>(DoE 2023d, pp. 25–31)</w:t>
      </w:r>
      <w:r>
        <w:t>.</w:t>
      </w:r>
    </w:p>
    <w:p w14:paraId="250470FC" w14:textId="77777777" w:rsidR="005E1B35" w:rsidRDefault="005E1B35" w:rsidP="00882158">
      <w:pPr>
        <w:pStyle w:val="BodyText"/>
      </w:pPr>
      <w:r>
        <w:t xml:space="preserve">Families must report their estimated income and activity levels when applying for CCS and at the start of each financial year, and the CCS amount they receive is based on this information </w:t>
      </w:r>
      <w:r w:rsidRPr="003139C7">
        <w:rPr>
          <w:rFonts w:ascii="Arial" w:hAnsi="Arial" w:cs="Arial"/>
        </w:rPr>
        <w:t>(DoE 2023b)</w:t>
      </w:r>
      <w:r>
        <w:t xml:space="preserve">. No </w:t>
      </w:r>
      <w:r>
        <w:lastRenderedPageBreak/>
        <w:t>documentation on activity levels is required at the point of application or when updating activity information. T</w:t>
      </w:r>
      <w:r w:rsidRPr="00F14FEC">
        <w:t>he</w:t>
      </w:r>
      <w:r>
        <w:t xml:space="preserve"> Productivity</w:t>
      </w:r>
      <w:r w:rsidRPr="00F14FEC">
        <w:t xml:space="preserve"> Commission understands that families’ activity levels are not actively audited</w:t>
      </w:r>
      <w:r>
        <w:t xml:space="preserve"> </w:t>
      </w:r>
      <w:r w:rsidRPr="00F14FEC">
        <w:t>(</w:t>
      </w:r>
      <w:r>
        <w:t xml:space="preserve">DoE, </w:t>
      </w:r>
      <w:r w:rsidRPr="00F14FEC">
        <w:t>pers.</w:t>
      </w:r>
      <w:r>
        <w:t> </w:t>
      </w:r>
      <w:r w:rsidRPr="00F14FEC">
        <w:t>comm., 6</w:t>
      </w:r>
      <w:r>
        <w:t> </w:t>
      </w:r>
      <w:r w:rsidRPr="00F14FEC">
        <w:t>November 2023).</w:t>
      </w:r>
    </w:p>
    <w:p w14:paraId="366F39D5" w14:textId="77777777" w:rsidR="005E1B35" w:rsidRDefault="005E1B35" w:rsidP="00882158">
      <w:pPr>
        <w:pStyle w:val="BodyText"/>
      </w:pPr>
      <w:r>
        <w:t>Families</w:t>
      </w:r>
      <w:r w:rsidRPr="00BB4926">
        <w:t xml:space="preserve"> whose hours of paid work vary unpredictably from fortnight to fortnight (such as those in casual employment) can estimate the highest number of hours they expect to work in a single fortnight over a </w:t>
      </w:r>
      <w:r>
        <w:t>three</w:t>
      </w:r>
      <w:r w:rsidRPr="00BB4926">
        <w:rPr>
          <w:rFonts w:ascii="Cambria Math" w:hAnsi="Cambria Math" w:cs="Cambria Math"/>
        </w:rPr>
        <w:t>‑</w:t>
      </w:r>
      <w:r w:rsidRPr="00BB4926">
        <w:t>month period</w:t>
      </w:r>
      <w:r>
        <w:t xml:space="preserve"> and use this number to determine their h</w:t>
      </w:r>
      <w:r w:rsidRPr="002600B5">
        <w:t>ours of subsidised care each fortnight</w:t>
      </w:r>
      <w:r>
        <w:t xml:space="preserve">. Families can also update their activity levels and income at any time if their circumstances change </w:t>
      </w:r>
      <w:r w:rsidRPr="00491BBF">
        <w:rPr>
          <w:rFonts w:ascii="Arial" w:hAnsi="Arial" w:cs="Arial"/>
        </w:rPr>
        <w:t>(DSS 2023a)</w:t>
      </w:r>
      <w:r>
        <w:t>.</w:t>
      </w:r>
    </w:p>
    <w:p w14:paraId="640A6264" w14:textId="77777777" w:rsidR="005E1B35" w:rsidRDefault="005E1B35" w:rsidP="00882158">
      <w:pPr>
        <w:pStyle w:val="Heading3"/>
      </w:pPr>
      <w:r>
        <w:t>Balancing and debt</w:t>
      </w:r>
    </w:p>
    <w:p w14:paraId="7D6D7123" w14:textId="77777777" w:rsidR="005E1B35" w:rsidRDefault="005E1B35" w:rsidP="00882158">
      <w:pPr>
        <w:pStyle w:val="BodyText"/>
      </w:pPr>
      <w:r>
        <w:t xml:space="preserve">A family’s reported and actual income may differ at the end of the financial year and this can impact the amount of CCS they are eligible to receive for that year. A balancing process occurs after the end of the financial year once families have confirmed their income either by lodging a tax return or informing Services Australia that they do not need to lodge a tax return (even if they have already notified the Australian Taxation Office) </w:t>
      </w:r>
      <w:r w:rsidRPr="003139C7">
        <w:rPr>
          <w:rFonts w:ascii="Arial" w:hAnsi="Arial" w:cs="Arial"/>
        </w:rPr>
        <w:t>(DoE 2023b)</w:t>
      </w:r>
      <w:r>
        <w:t>.</w:t>
      </w:r>
    </w:p>
    <w:p w14:paraId="6A9A519C" w14:textId="77777777" w:rsidR="005E1B35" w:rsidRDefault="005E1B35" w:rsidP="00882158">
      <w:pPr>
        <w:pStyle w:val="BodyText"/>
        <w:keepNext/>
      </w:pPr>
      <w:r>
        <w:t>Families risk incurring a debt when:</w:t>
      </w:r>
    </w:p>
    <w:p w14:paraId="3D39BE4A" w14:textId="77777777" w:rsidR="005E1B35" w:rsidRDefault="005E1B35" w:rsidP="00882158">
      <w:pPr>
        <w:pStyle w:val="ListBullet"/>
      </w:pPr>
      <w:r>
        <w:t>they update Services Australia due to a change of circumstances which affects their CCS eligibility or entitlement</w:t>
      </w:r>
    </w:p>
    <w:p w14:paraId="6B45F6F2" w14:textId="77777777" w:rsidR="005E1B35" w:rsidRDefault="005E1B35" w:rsidP="00882158">
      <w:pPr>
        <w:pStyle w:val="ListBullet"/>
      </w:pPr>
      <w:r>
        <w:t>at the end of the financial year their actual income is bigger than their reported income</w:t>
      </w:r>
    </w:p>
    <w:p w14:paraId="761F887D" w14:textId="77777777" w:rsidR="005E1B35" w:rsidRDefault="005E1B35" w:rsidP="00882158">
      <w:pPr>
        <w:pStyle w:val="ListBullet"/>
      </w:pPr>
      <w:r>
        <w:t xml:space="preserve">they do not confirm their income </w:t>
      </w:r>
      <w:r w:rsidRPr="00491BBF">
        <w:rPr>
          <w:rFonts w:ascii="Arial" w:hAnsi="Arial" w:cs="Arial"/>
        </w:rPr>
        <w:t>(DSS 2023d)</w:t>
      </w:r>
      <w:r>
        <w:t>.</w:t>
      </w:r>
    </w:p>
    <w:p w14:paraId="32C416E0" w14:textId="77777777" w:rsidR="005E1B35" w:rsidRDefault="005E1B35" w:rsidP="00882158">
      <w:pPr>
        <w:pStyle w:val="BodyText"/>
      </w:pPr>
      <w:r>
        <w:t xml:space="preserve">To reduce the potential for CCS debt, 5% of a family’s CCS entitlement for each week is withheld until the end of the financial year (this withholding percentage can be changed by families up to two times a year). </w:t>
      </w:r>
      <w:r w:rsidRPr="00EB3EDA">
        <w:t xml:space="preserve">This </w:t>
      </w:r>
      <w:r>
        <w:t xml:space="preserve">measure </w:t>
      </w:r>
      <w:r w:rsidRPr="00EB3EDA">
        <w:t xml:space="preserve">is to provide some protection for families from a potential CCS debt if they underestimate their annual income or </w:t>
      </w:r>
      <w:r>
        <w:t>overestimate their</w:t>
      </w:r>
      <w:r w:rsidRPr="00EB3EDA">
        <w:t xml:space="preserve"> activity hours. The withheld amount is used to either pay any CCS debts that arise during reconciliation </w:t>
      </w:r>
      <w:r>
        <w:t xml:space="preserve">of estimated and actual incomes </w:t>
      </w:r>
      <w:r w:rsidRPr="00EB3EDA">
        <w:t xml:space="preserve">or is refunded </w:t>
      </w:r>
      <w:r>
        <w:t xml:space="preserve">to families </w:t>
      </w:r>
      <w:r w:rsidRPr="00EB3EDA">
        <w:t xml:space="preserve">if there is no CCS debt. </w:t>
      </w:r>
      <w:r>
        <w:t xml:space="preserve">Families are also expected to notify Services Australia if their income or activity levels change to avoid the potential of being overpaid their CCS entitlement and therefore incurring a CCS debt </w:t>
      </w:r>
      <w:r w:rsidRPr="003139C7">
        <w:rPr>
          <w:rFonts w:ascii="Arial" w:hAnsi="Arial" w:cs="Arial"/>
        </w:rPr>
        <w:t>(DoE 2023b)</w:t>
      </w:r>
      <w:r>
        <w:t>.</w:t>
      </w:r>
    </w:p>
    <w:p w14:paraId="27AE65C5" w14:textId="77777777" w:rsidR="005E1B35" w:rsidRDefault="005E1B35" w:rsidP="00882158">
      <w:pPr>
        <w:pStyle w:val="BodyText"/>
      </w:pPr>
      <w:r>
        <w:t xml:space="preserve">Smaller debts raised during the year will not have any recovery action taken until the end of the financial year when balancing occurs. Smaller debts may arise due to families reporting a change in circumstances such as changes in income or activity levels. Families can repay or enter into a repayment arrangement earlier if they wish. Larger debts, however, will be raised as they arise and families have 28 days to respond (either by repaying or entering an arrangement to repay the debt). If families do not respond, debt may automatically be recovered via offsetting from future CCS payments (the default is 20% of CCS payments) and/or interest being applied </w:t>
      </w:r>
      <w:r w:rsidRPr="00491BBF">
        <w:rPr>
          <w:rFonts w:ascii="Arial" w:hAnsi="Arial" w:cs="Arial"/>
        </w:rPr>
        <w:t>(DSS 2023d)</w:t>
      </w:r>
      <w:r>
        <w:t>.</w:t>
      </w:r>
    </w:p>
    <w:p w14:paraId="6882FA99" w14:textId="77777777" w:rsidR="005E1B35" w:rsidRDefault="005E1B35" w:rsidP="00882158">
      <w:pPr>
        <w:pStyle w:val="BodyText"/>
      </w:pPr>
      <w:r>
        <w:t xml:space="preserve">Families have up to one year after the end of the financial year to confirm their income, otherwise their CCS will stop. This is called the ‘first deadline’. After the first deadline, families have to pay full fees for ECEC. ACCS also stops unless families are receiving ACCS (Child Wellbeing). Once families confirm their income, CCS and ACCS payments restart </w:t>
      </w:r>
      <w:r w:rsidRPr="003139C7">
        <w:rPr>
          <w:rFonts w:ascii="Arial" w:hAnsi="Arial" w:cs="Arial"/>
        </w:rPr>
        <w:t>(DoE 2023b)</w:t>
      </w:r>
      <w:r>
        <w:t>.</w:t>
      </w:r>
    </w:p>
    <w:p w14:paraId="03D4BD17" w14:textId="77777777" w:rsidR="005E1B35" w:rsidRPr="005326C8" w:rsidRDefault="005E1B35" w:rsidP="00882158">
      <w:pPr>
        <w:pStyle w:val="BodyText"/>
        <w:rPr>
          <w:spacing w:val="-4"/>
        </w:rPr>
      </w:pPr>
      <w:r w:rsidRPr="005326C8">
        <w:rPr>
          <w:spacing w:val="-4"/>
        </w:rPr>
        <w:t xml:space="preserve">If families have not confirmed their income two years after the end of a financial year (the ‘second deadline’), they may have to repay any CCS they received for that financial year. Their CCS and ACCS, including ACCS (Child Wellbeing), will also be cancelled. Families need to reapply to receive CCS and ACCS again, which can only occur once they have confirmed their income and repaid any outstanding debt or entered into a payment arrangement. Backdated CCS cannot be paid for the period before income is confirmed </w:t>
      </w:r>
      <w:r w:rsidRPr="005326C8">
        <w:rPr>
          <w:rFonts w:cs="Arial"/>
          <w:spacing w:val="-4"/>
        </w:rPr>
        <w:t>(DoE 2023b)</w:t>
      </w:r>
      <w:r w:rsidRPr="005326C8">
        <w:rPr>
          <w:spacing w:val="-4"/>
        </w:rPr>
        <w:t>.</w:t>
      </w:r>
    </w:p>
    <w:p w14:paraId="1366D85A" w14:textId="77777777" w:rsidR="005E1B35" w:rsidRDefault="005E1B35" w:rsidP="00882158">
      <w:pPr>
        <w:pStyle w:val="Heading3"/>
      </w:pPr>
      <w:r>
        <w:lastRenderedPageBreak/>
        <w:t>Absences</w:t>
      </w:r>
    </w:p>
    <w:p w14:paraId="6B86A2A0" w14:textId="77777777" w:rsidR="005E1B35" w:rsidRDefault="005E1B35" w:rsidP="00882158">
      <w:pPr>
        <w:pStyle w:val="BodyText"/>
      </w:pPr>
      <w:r>
        <w:t xml:space="preserve">If a child is absent from ECEC, CCS may continue to be paid if the family has been charged by the service. Families are allowed 42 absence days per child, per financial year. Absences can be taken for any reason, such as illness or a family holiday </w:t>
      </w:r>
      <w:r w:rsidRPr="00491BBF">
        <w:rPr>
          <w:rFonts w:ascii="Arial" w:hAnsi="Arial" w:cs="Arial"/>
        </w:rPr>
        <w:t>(Services Australia 2023c)</w:t>
      </w:r>
      <w:r>
        <w:t>.</w:t>
      </w:r>
    </w:p>
    <w:p w14:paraId="2719BB3A" w14:textId="77777777" w:rsidR="005E1B35" w:rsidRDefault="005E1B35" w:rsidP="00882158">
      <w:pPr>
        <w:pStyle w:val="BodyText"/>
      </w:pPr>
      <w:r>
        <w:t>If a service is closed on public holidays and charges fees, children who would usually attend the service on these days can count them as absences. If a service does not charge fees on public holidays though, no CCS is payable, and a child’s non</w:t>
      </w:r>
      <w:r>
        <w:noBreakHyphen/>
        <w:t xml:space="preserve">attendance is not considered an absence. When a service closes on days they would normally be open that are not public holidays – for example, an extended shutdown during late December and early January – CCS is not paid and the days are therefore not counted as absences </w:t>
      </w:r>
      <w:r w:rsidRPr="003139C7">
        <w:rPr>
          <w:rFonts w:ascii="Arial" w:hAnsi="Arial" w:cs="Arial"/>
        </w:rPr>
        <w:t>(DoE 2023a, 2023d, pp. 41–42)</w:t>
      </w:r>
      <w:r>
        <w:t>.</w:t>
      </w:r>
    </w:p>
    <w:p w14:paraId="21307784" w14:textId="77777777" w:rsidR="005E1B35" w:rsidRDefault="005E1B35" w:rsidP="00882158">
      <w:pPr>
        <w:pStyle w:val="BodyText"/>
      </w:pPr>
      <w:r>
        <w:t xml:space="preserve">After a child’s 42 absences have been used, CCS can be continued to be paid if a suitable reason exists (for which families need to provide evidence – for example, by providing a medical certificate) </w:t>
      </w:r>
      <w:r w:rsidRPr="00491BBF">
        <w:rPr>
          <w:rFonts w:ascii="Arial" w:hAnsi="Arial" w:cs="Arial"/>
        </w:rPr>
        <w:t>(Services Australia 2023c)</w:t>
      </w:r>
      <w:r>
        <w:t>.</w:t>
      </w:r>
    </w:p>
    <w:p w14:paraId="5B65B574" w14:textId="77777777" w:rsidR="005E1B35" w:rsidRDefault="005E1B35" w:rsidP="00882158">
      <w:pPr>
        <w:pStyle w:val="Heading2"/>
        <w:numPr>
          <w:ilvl w:val="0"/>
          <w:numId w:val="0"/>
        </w:numPr>
      </w:pPr>
      <w:bookmarkStart w:id="27" w:name="_Toc172213580"/>
      <w:r>
        <w:t>D.4</w:t>
      </w:r>
      <w:r>
        <w:tab/>
        <w:t>Government expenditure on CCS and ACCS</w:t>
      </w:r>
      <w:bookmarkEnd w:id="27"/>
    </w:p>
    <w:p w14:paraId="67EF0D50" w14:textId="77777777" w:rsidR="005E1B35" w:rsidRDefault="005E1B35" w:rsidP="00882158">
      <w:pPr>
        <w:pStyle w:val="BodyText"/>
      </w:pPr>
      <w:r>
        <w:t>Total expenditure on the CCS program (including the ACCS) was $10.6 billion in 2022</w:t>
      </w:r>
      <w:r>
        <w:noBreakHyphen/>
        <w:t>23, up from $9.8 billion in 2021</w:t>
      </w:r>
      <w:r>
        <w:noBreakHyphen/>
        <w:t>22. The estimated outlay for 2023</w:t>
      </w:r>
      <w:r>
        <w:noBreakHyphen/>
        <w:t>24 is $12.7 billion (Australian Government Department of Education, sub. 90, p. 17).</w:t>
      </w:r>
    </w:p>
    <w:p w14:paraId="58DE9EA9" w14:textId="77777777" w:rsidR="005E1B35" w:rsidRDefault="005E1B35" w:rsidP="00882158">
      <w:pPr>
        <w:pStyle w:val="BodyText"/>
      </w:pPr>
      <w:r>
        <w:t>Per child expenditure on CCS (including HCCS) and its predecessors, CCB and CCR, has risen over time – in particular, it increased markedly throughout 2023, including following the July 2023 Cheaper Child Care reforms (figure D.9).</w:t>
      </w:r>
    </w:p>
    <w:p w14:paraId="6F79A91C" w14:textId="77777777" w:rsidR="005E1B35" w:rsidRPr="00146382" w:rsidRDefault="005E1B35">
      <w:pPr>
        <w:pStyle w:val="FigureTableHeading"/>
      </w:pPr>
      <w:r>
        <w:t xml:space="preserve">Figure </w:t>
      </w:r>
      <w:r>
        <w:rPr>
          <w:noProof/>
        </w:rPr>
        <w:t>D</w:t>
      </w:r>
      <w:r>
        <w:t>.</w:t>
      </w:r>
      <w:r>
        <w:rPr>
          <w:noProof/>
        </w:rPr>
        <w:t xml:space="preserve">9 </w:t>
      </w:r>
      <w:r>
        <w:t>– Per child spending on CCS has increased over time</w:t>
      </w:r>
      <w:r w:rsidRPr="00066CF5">
        <w:rPr>
          <w:vertAlign w:val="superscript"/>
        </w:rPr>
        <w:t>a,b</w:t>
      </w:r>
      <w:r>
        <w:rPr>
          <w:vertAlign w:val="superscript"/>
        </w:rPr>
        <w:t>,c,d,e</w:t>
      </w:r>
    </w:p>
    <w:p w14:paraId="295990B5" w14:textId="77777777" w:rsidR="005E1B35" w:rsidRDefault="005E1B35">
      <w:pPr>
        <w:pStyle w:val="FigureTableSubheading"/>
        <w:keepLines/>
      </w:pPr>
      <w:r>
        <w:t>Real per child quarterly government expenditure on CCS (including HCCS), CCB and CCR, September 2010 to December 2023 (December 2023 dollars)</w:t>
      </w:r>
    </w:p>
    <w:p w14:paraId="6C113B34" w14:textId="77777777" w:rsidR="005E1B35" w:rsidRDefault="005E1B35">
      <w:pPr>
        <w:pStyle w:val="Note"/>
        <w:keepLines/>
      </w:pPr>
      <w:r w:rsidRPr="00222398">
        <w:rPr>
          <w:noProof/>
        </w:rPr>
        <w:drawing>
          <wp:inline distT="0" distB="0" distL="0" distR="0" wp14:anchorId="19AF22AD" wp14:editId="6ED207A8">
            <wp:extent cx="6120130" cy="2842260"/>
            <wp:effectExtent l="0" t="0" r="0" b="0"/>
            <wp:docPr id="1892499518" name="Picture 6" descr="Figure D.9 – This is a line chart showing real per child expenditure on CCS and its predecessors (CCB and CCR) from September quarter 2010 to December quarter 2023. Real per child expenditure has been rising stead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99518" name="Picture 6" descr="Figure D.9 – This is a line chart showing real per child expenditure on CCS and its predecessors (CCB and CCR) from September quarter 2010 to December quarter 2023. Real per child expenditure has been rising steadily.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842260"/>
                    </a:xfrm>
                    <a:prstGeom prst="rect">
                      <a:avLst/>
                    </a:prstGeom>
                    <a:noFill/>
                    <a:ln>
                      <a:noFill/>
                    </a:ln>
                  </pic:spPr>
                </pic:pic>
              </a:graphicData>
            </a:graphic>
          </wp:inline>
        </w:drawing>
      </w:r>
    </w:p>
    <w:p w14:paraId="6C1936B8" w14:textId="77777777" w:rsidR="005E1B35" w:rsidRDefault="005E1B35">
      <w:pPr>
        <w:pStyle w:val="Note"/>
        <w:keepLines/>
      </w:pPr>
      <w:r w:rsidRPr="00180E66">
        <w:rPr>
          <w:b/>
          <w:bCs/>
        </w:rPr>
        <w:lastRenderedPageBreak/>
        <w:t>a.</w:t>
      </w:r>
      <w:r>
        <w:t xml:space="preserve"> </w:t>
      </w:r>
      <w:r w:rsidRPr="001120CE">
        <w:t xml:space="preserve">CCS was introduced in </w:t>
      </w:r>
      <w:r>
        <w:t xml:space="preserve">the </w:t>
      </w:r>
      <w:r w:rsidRPr="001120CE">
        <w:t>September 2018</w:t>
      </w:r>
      <w:r>
        <w:t xml:space="preserve"> quarter</w:t>
      </w:r>
      <w:r w:rsidRPr="001120CE">
        <w:t>, replacing CCB and CCR</w:t>
      </w:r>
      <w:r>
        <w:t>.</w:t>
      </w:r>
      <w:r w:rsidRPr="001120CE">
        <w:t xml:space="preserve"> </w:t>
      </w:r>
      <w:r>
        <w:rPr>
          <w:b/>
          <w:bCs/>
        </w:rPr>
        <w:t xml:space="preserve">b. </w:t>
      </w:r>
      <w:r>
        <w:t xml:space="preserve">Expenditure </w:t>
      </w:r>
      <w:r w:rsidRPr="0033799C">
        <w:t>for September 2010 quarter is calculated as a residual from the 2010</w:t>
      </w:r>
      <w:r>
        <w:noBreakHyphen/>
      </w:r>
      <w:r w:rsidRPr="0033799C">
        <w:t>11 financial year report as the quarterly report is not available online</w:t>
      </w:r>
      <w:r>
        <w:t xml:space="preserve">. </w:t>
      </w:r>
      <w:r>
        <w:rPr>
          <w:b/>
          <w:bCs/>
        </w:rPr>
        <w:t>c</w:t>
      </w:r>
      <w:r w:rsidRPr="00180E66">
        <w:rPr>
          <w:b/>
          <w:bCs/>
        </w:rPr>
        <w:t>.</w:t>
      </w:r>
      <w:r>
        <w:t> </w:t>
      </w:r>
      <w:r w:rsidRPr="00F90AD8">
        <w:t>CCS</w:t>
      </w:r>
      <w:r>
        <w:t xml:space="preserve"> expenditure </w:t>
      </w:r>
      <w:r w:rsidRPr="00F90AD8">
        <w:t>from September 2018 to June 2019 contain</w:t>
      </w:r>
      <w:r>
        <w:t>s</w:t>
      </w:r>
      <w:r w:rsidRPr="00F90AD8">
        <w:t xml:space="preserve"> ACCS </w:t>
      </w:r>
      <w:r>
        <w:t>expenditure</w:t>
      </w:r>
      <w:r w:rsidRPr="00F90AD8">
        <w:t xml:space="preserve"> as disaggregated figures are not available in quarterly reports.</w:t>
      </w:r>
      <w:r>
        <w:t xml:space="preserve"> </w:t>
      </w:r>
      <w:r>
        <w:rPr>
          <w:b/>
          <w:bCs/>
        </w:rPr>
        <w:t>d.</w:t>
      </w:r>
      <w:r>
        <w:t xml:space="preserve"> D</w:t>
      </w:r>
      <w:r w:rsidRPr="008A0471">
        <w:t>ata for June q</w:t>
      </w:r>
      <w:r>
        <w:t>uarter</w:t>
      </w:r>
      <w:r w:rsidRPr="008A0471">
        <w:t xml:space="preserve"> 2020</w:t>
      </w:r>
      <w:r w:rsidRPr="008A0471" w:rsidDel="00322D78">
        <w:t xml:space="preserve"> </w:t>
      </w:r>
      <w:r w:rsidRPr="008A0471">
        <w:t xml:space="preserve">is </w:t>
      </w:r>
      <w:r>
        <w:t>un</w:t>
      </w:r>
      <w:r w:rsidRPr="008A0471">
        <w:t xml:space="preserve">available </w:t>
      </w:r>
      <w:r>
        <w:t>d</w:t>
      </w:r>
      <w:r w:rsidRPr="008A0471">
        <w:t xml:space="preserve">ue to temporary measures implemented </w:t>
      </w:r>
      <w:r>
        <w:t xml:space="preserve">in response to </w:t>
      </w:r>
      <w:r w:rsidRPr="008A0471">
        <w:t>COVID</w:t>
      </w:r>
      <w:r>
        <w:noBreakHyphen/>
      </w:r>
      <w:r w:rsidRPr="008A0471">
        <w:t>19.</w:t>
      </w:r>
      <w:r>
        <w:t xml:space="preserve"> </w:t>
      </w:r>
      <w:r w:rsidDel="001D7074">
        <w:rPr>
          <w:b/>
          <w:bCs/>
        </w:rPr>
        <w:t>e</w:t>
      </w:r>
      <w:r>
        <w:rPr>
          <w:b/>
          <w:bCs/>
        </w:rPr>
        <w:t xml:space="preserve">. </w:t>
      </w:r>
      <w:bookmarkStart w:id="28" w:name="_Hlk147751248"/>
      <w:r>
        <w:t>Data is</w:t>
      </w:r>
      <w:r w:rsidRPr="00894949">
        <w:t xml:space="preserve"> adjusted </w:t>
      </w:r>
      <w:r w:rsidRPr="0075206D">
        <w:t xml:space="preserve">to </w:t>
      </w:r>
      <w:r>
        <w:t>December 2023</w:t>
      </w:r>
      <w:r w:rsidRPr="0075206D">
        <w:t xml:space="preserve"> dollars (</w:t>
      </w:r>
      <w:r w:rsidRPr="003D519E">
        <w:t>December</w:t>
      </w:r>
      <w:r>
        <w:t> </w:t>
      </w:r>
      <w:r w:rsidRPr="003D519E">
        <w:t>20</w:t>
      </w:r>
      <w:r w:rsidRPr="0075206D">
        <w:t>23=100) using</w:t>
      </w:r>
      <w:r w:rsidRPr="00FA5329">
        <w:t xml:space="preserve"> the </w:t>
      </w:r>
      <w:r>
        <w:t>GDP implicit price deflator</w:t>
      </w:r>
      <w:r w:rsidRPr="00FA5329">
        <w:t xml:space="preserve"> (</w:t>
      </w:r>
      <w:r>
        <w:t>general government – national; final consumption expenditure; non</w:t>
      </w:r>
      <w:r>
        <w:noBreakHyphen/>
        <w:t>defence</w:t>
      </w:r>
      <w:r w:rsidRPr="00FA5329">
        <w:t>).</w:t>
      </w:r>
    </w:p>
    <w:bookmarkEnd w:id="28"/>
    <w:p w14:paraId="1E55225D" w14:textId="77777777" w:rsidR="005E1B35" w:rsidRDefault="005E1B35" w:rsidP="00882158">
      <w:pPr>
        <w:pStyle w:val="Source"/>
      </w:pPr>
      <w:r w:rsidRPr="00696447">
        <w:t>Source:</w:t>
      </w:r>
      <w:r>
        <w:t xml:space="preserve"> Productivity Commission estimates using</w:t>
      </w:r>
      <w:r w:rsidRPr="00696447">
        <w:t xml:space="preserve"> </w:t>
      </w:r>
      <w:r>
        <w:t xml:space="preserve">DoE </w:t>
      </w:r>
      <w:r w:rsidRPr="00491BBF">
        <w:rPr>
          <w:rFonts w:cs="Arial"/>
        </w:rPr>
        <w:t>(2024b, table</w:t>
      </w:r>
      <w:r>
        <w:rPr>
          <w:rFonts w:cs="Arial"/>
        </w:rPr>
        <w:t> </w:t>
      </w:r>
      <w:r w:rsidRPr="00491BBF">
        <w:rPr>
          <w:rFonts w:cs="Arial"/>
        </w:rPr>
        <w:t>4.1)</w:t>
      </w:r>
      <w:r>
        <w:t xml:space="preserve"> (and previous quarters) and </w:t>
      </w:r>
      <w:r w:rsidRPr="003D519E">
        <w:t>ABS (December 2023) ‘Table</w:t>
      </w:r>
      <w:r>
        <w:t> </w:t>
      </w:r>
      <w:r w:rsidRPr="003D519E">
        <w:t xml:space="preserve">5. Expenditure on Gross Domestic Product (GDP), Implicit price deflators, series A2303936X’ [time series spreadsheet], </w:t>
      </w:r>
      <w:r w:rsidRPr="003D519E">
        <w:rPr>
          <w:i/>
        </w:rPr>
        <w:t>Australian National Accounts: National Income, Expenditure and Product</w:t>
      </w:r>
      <w:r w:rsidRPr="003D519E">
        <w:t>, accessed 28</w:t>
      </w:r>
      <w:r>
        <w:t> </w:t>
      </w:r>
      <w:r w:rsidRPr="003D519E">
        <w:t>March 2024.</w:t>
      </w:r>
    </w:p>
    <w:p w14:paraId="43140474" w14:textId="77777777" w:rsidR="005E1B35" w:rsidRPr="005326C8" w:rsidRDefault="005E1B35" w:rsidP="00882158">
      <w:pPr>
        <w:pStyle w:val="BodyText"/>
        <w:rPr>
          <w:spacing w:val="-4"/>
        </w:rPr>
      </w:pPr>
      <w:r w:rsidRPr="005326C8">
        <w:rPr>
          <w:spacing w:val="-4"/>
        </w:rPr>
        <w:t>Total per child spending on ACCS has increased in recent years (figure D.10). This increase has been driven by changes in per child spending on ACCS (Child Wellbeing) – the largest ACCS category (figures D.4 and D.10).</w:t>
      </w:r>
    </w:p>
    <w:p w14:paraId="71FBB898" w14:textId="77777777" w:rsidR="005E1B35" w:rsidRPr="00146382" w:rsidRDefault="005E1B35" w:rsidP="00882158">
      <w:pPr>
        <w:pStyle w:val="FigureTableHeading"/>
        <w:rPr>
          <w:vertAlign w:val="superscript"/>
        </w:rPr>
      </w:pPr>
      <w:r>
        <w:t xml:space="preserve">Figure </w:t>
      </w:r>
      <w:r>
        <w:rPr>
          <w:noProof/>
        </w:rPr>
        <w:t>D</w:t>
      </w:r>
      <w:r>
        <w:t>.</w:t>
      </w:r>
      <w:r>
        <w:rPr>
          <w:noProof/>
        </w:rPr>
        <w:t>10</w:t>
      </w:r>
      <w:r w:rsidRPr="7151DA51">
        <w:rPr>
          <w:noProof/>
        </w:rPr>
        <w:t xml:space="preserve"> </w:t>
      </w:r>
      <w:r>
        <w:t>– Per child spending on ACCS has increased in recent years</w:t>
      </w:r>
      <w:r w:rsidRPr="7151DA51">
        <w:rPr>
          <w:vertAlign w:val="superscript"/>
        </w:rPr>
        <w:t>a</w:t>
      </w:r>
      <w:r>
        <w:rPr>
          <w:vertAlign w:val="superscript"/>
        </w:rPr>
        <w:t>,b</w:t>
      </w:r>
    </w:p>
    <w:p w14:paraId="60E592FB" w14:textId="77777777" w:rsidR="005E1B35" w:rsidRDefault="005E1B35" w:rsidP="00882158">
      <w:pPr>
        <w:pStyle w:val="FigureTableSubheading"/>
        <w:keepLines/>
      </w:pPr>
      <w:r>
        <w:rPr>
          <w:lang w:val="en-US"/>
        </w:rPr>
        <w:t xml:space="preserve">Real per child quarterly </w:t>
      </w:r>
      <w:r w:rsidRPr="00E7654A">
        <w:rPr>
          <w:lang w:val="en-US"/>
        </w:rPr>
        <w:t xml:space="preserve">ACCS </w:t>
      </w:r>
      <w:r>
        <w:rPr>
          <w:lang w:val="en-US"/>
        </w:rPr>
        <w:t xml:space="preserve">amount </w:t>
      </w:r>
      <w:r w:rsidRPr="00E7654A">
        <w:rPr>
          <w:lang w:val="en-US"/>
        </w:rPr>
        <w:t xml:space="preserve">by category, </w:t>
      </w:r>
      <w:r>
        <w:t xml:space="preserve">September 2021 to December 2023 </w:t>
      </w:r>
      <w:r>
        <w:rPr>
          <w:lang w:val="en-US"/>
        </w:rPr>
        <w:t>(December 2023 dollars)</w:t>
      </w:r>
    </w:p>
    <w:p w14:paraId="62449973" w14:textId="77777777" w:rsidR="005E1B35" w:rsidRDefault="005E1B35" w:rsidP="00882158">
      <w:pPr>
        <w:pStyle w:val="Note"/>
        <w:keepLines/>
      </w:pPr>
      <w:r w:rsidRPr="000D4C50">
        <w:rPr>
          <w:noProof/>
        </w:rPr>
        <w:drawing>
          <wp:inline distT="0" distB="0" distL="0" distR="0" wp14:anchorId="0A7CBCCF" wp14:editId="6E63FF94">
            <wp:extent cx="6116955" cy="2869565"/>
            <wp:effectExtent l="0" t="0" r="0" b="0"/>
            <wp:docPr id="1717582050" name="Picture 1" descr="Figure D.10 – This is a line chart showing real per child expenditure on ACCS by category between September 2021 and December 2023. Total per child expenditure, the yellow line, ACCS Child Wellbeing per child expenditure, the light blue line, and ACCS Grandparent per child expenditure, the dark blue line, have risen steadily. Per child expenditure on ACCS Temporary Financial Hardship and ACCS Transition to Work has remained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82050" name="Picture 1" descr="Figure D.10 – This is a line chart showing real per child expenditure on ACCS by category between September 2021 and December 2023. Total per child expenditure, the yellow line, ACCS Child Wellbeing per child expenditure, the light blue line, and ACCS Grandparent per child expenditure, the dark blue line, have risen steadily. Per child expenditure on ACCS Temporary Financial Hardship and ACCS Transition to Work has remained relatively stable.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6955" cy="2869565"/>
                    </a:xfrm>
                    <a:prstGeom prst="rect">
                      <a:avLst/>
                    </a:prstGeom>
                    <a:noFill/>
                    <a:ln>
                      <a:noFill/>
                    </a:ln>
                  </pic:spPr>
                </pic:pic>
              </a:graphicData>
            </a:graphic>
          </wp:inline>
        </w:drawing>
      </w:r>
    </w:p>
    <w:p w14:paraId="7CBFAAB0" w14:textId="77777777" w:rsidR="005E1B35" w:rsidRPr="002F7991" w:rsidRDefault="005E1B35" w:rsidP="00882158">
      <w:pPr>
        <w:pStyle w:val="Note"/>
        <w:keepLines/>
      </w:pPr>
      <w:r w:rsidRPr="00810F43">
        <w:rPr>
          <w:b/>
          <w:bCs/>
        </w:rPr>
        <w:t>a.</w:t>
      </w:r>
      <w:r>
        <w:t xml:space="preserve"> Data is from September quarter 2021 (2021</w:t>
      </w:r>
      <w:r>
        <w:noBreakHyphen/>
        <w:t xml:space="preserve">22 financial year) onwards. </w:t>
      </w:r>
      <w:r w:rsidRPr="006F24A0">
        <w:t>ACCS subsidy amounts</w:t>
      </w:r>
      <w:r>
        <w:t xml:space="preserve"> from this quarter onwards</w:t>
      </w:r>
      <w:r w:rsidRPr="006F24A0">
        <w:t xml:space="preserve"> are not comparable with previous quarters due to a change in appropriation arrangements which took effect on 12</w:t>
      </w:r>
      <w:r>
        <w:t> </w:t>
      </w:r>
      <w:r w:rsidRPr="006F24A0">
        <w:t>July 2021.</w:t>
      </w:r>
      <w:r>
        <w:t xml:space="preserve"> </w:t>
      </w:r>
      <w:r>
        <w:rPr>
          <w:b/>
          <w:bCs/>
        </w:rPr>
        <w:t xml:space="preserve">b. </w:t>
      </w:r>
      <w:r w:rsidRPr="00A52B60">
        <w:t xml:space="preserve">Data is </w:t>
      </w:r>
      <w:r w:rsidRPr="0075206D">
        <w:t xml:space="preserve">adjusted to </w:t>
      </w:r>
      <w:r>
        <w:t>December 2023</w:t>
      </w:r>
      <w:r w:rsidRPr="0075206D">
        <w:t xml:space="preserve"> dollars (</w:t>
      </w:r>
      <w:r w:rsidRPr="000B4BA3">
        <w:t>December </w:t>
      </w:r>
      <w:r w:rsidRPr="0075206D">
        <w:t>2023=100) using</w:t>
      </w:r>
      <w:r w:rsidRPr="00A52B60">
        <w:t xml:space="preserve"> the GDP implicit price deflator (general government – national; final consumption expenditure; non</w:t>
      </w:r>
      <w:r>
        <w:noBreakHyphen/>
      </w:r>
      <w:r w:rsidRPr="00A52B60">
        <w:t>defence).</w:t>
      </w:r>
    </w:p>
    <w:p w14:paraId="600420F0" w14:textId="77777777" w:rsidR="005E1B35" w:rsidRDefault="005E1B35" w:rsidP="00882158">
      <w:pPr>
        <w:pStyle w:val="Source"/>
      </w:pPr>
      <w:r w:rsidRPr="00696447">
        <w:t xml:space="preserve">Source: </w:t>
      </w:r>
      <w:r>
        <w:t xml:space="preserve">Productivity Commission estimates using DoE </w:t>
      </w:r>
      <w:r w:rsidRPr="00491BBF">
        <w:rPr>
          <w:rFonts w:cs="Arial"/>
        </w:rPr>
        <w:t>(2024b, table</w:t>
      </w:r>
      <w:r>
        <w:rPr>
          <w:rFonts w:cs="Arial"/>
        </w:rPr>
        <w:t> </w:t>
      </w:r>
      <w:r w:rsidRPr="00491BBF">
        <w:rPr>
          <w:rFonts w:cs="Arial"/>
        </w:rPr>
        <w:t>4.3)</w:t>
      </w:r>
      <w:r>
        <w:t xml:space="preserve"> (and previous quarters) </w:t>
      </w:r>
      <w:r w:rsidRPr="00C803E8">
        <w:t xml:space="preserve">and </w:t>
      </w:r>
      <w:r w:rsidRPr="000B4BA3">
        <w:t xml:space="preserve">ABS (December 2023) ‘Table 5. Expenditure on Gross Domestic Product (GDP), Implicit price deflators, series A2303936X’ [time series spreadsheet], </w:t>
      </w:r>
      <w:r w:rsidRPr="000B4BA3">
        <w:rPr>
          <w:i/>
        </w:rPr>
        <w:t>Australian National Accounts: National Income, Expenditure and Product</w:t>
      </w:r>
      <w:r w:rsidRPr="000B4BA3">
        <w:t>, accessed 28</w:t>
      </w:r>
      <w:r>
        <w:t> </w:t>
      </w:r>
      <w:r w:rsidRPr="000B4BA3">
        <w:t>March 2024.</w:t>
      </w:r>
    </w:p>
    <w:p w14:paraId="197092E6" w14:textId="73EA227A" w:rsidR="005E1B35" w:rsidRDefault="005E1B35" w:rsidP="00882158">
      <w:pPr>
        <w:pStyle w:val="Heading2"/>
        <w:numPr>
          <w:ilvl w:val="0"/>
          <w:numId w:val="0"/>
        </w:numPr>
      </w:pPr>
      <w:bookmarkStart w:id="29" w:name="_Toc172213581"/>
      <w:r>
        <w:t>D.5</w:t>
      </w:r>
      <w:r>
        <w:tab/>
        <w:t>Children using CCS</w:t>
      </w:r>
      <w:r w:rsidR="00E61D4F">
        <w:t>-</w:t>
      </w:r>
      <w:r>
        <w:t>approved services</w:t>
      </w:r>
      <w:bookmarkEnd w:id="29"/>
    </w:p>
    <w:p w14:paraId="0EC030C3" w14:textId="77777777" w:rsidR="005E1B35" w:rsidRDefault="005E1B35" w:rsidP="00882158">
      <w:pPr>
        <w:pStyle w:val="BodyText"/>
      </w:pPr>
      <w:r>
        <w:t>More than 1.4 million children used CCS</w:t>
      </w:r>
      <w:r>
        <w:noBreakHyphen/>
        <w:t xml:space="preserve">approved ECEC services in the December quarter of 2023 </w:t>
      </w:r>
      <w:r w:rsidRPr="00491BBF">
        <w:rPr>
          <w:rFonts w:ascii="Arial" w:hAnsi="Arial" w:cs="Arial"/>
        </w:rPr>
        <w:t>(DoE 2024b, table</w:t>
      </w:r>
      <w:r>
        <w:rPr>
          <w:rFonts w:ascii="Arial" w:hAnsi="Arial" w:cs="Arial"/>
        </w:rPr>
        <w:t> </w:t>
      </w:r>
      <w:r w:rsidRPr="00491BBF">
        <w:rPr>
          <w:rFonts w:ascii="Arial" w:hAnsi="Arial" w:cs="Arial"/>
        </w:rPr>
        <w:t>1.1)</w:t>
      </w:r>
      <w:r>
        <w:t>. A relatively large proportion of children using CCS</w:t>
      </w:r>
      <w:r>
        <w:noBreakHyphen/>
        <w:t>approved services (60%) attended CBDCs (figure D.11). Use of CCS</w:t>
      </w:r>
      <w:r>
        <w:noBreakHyphen/>
        <w:t>approved services peaks at the age of three with noticeable drops at age five and six as children start school (figure D.12). Consistent with these attendance patterns, f</w:t>
      </w:r>
      <w:r w:rsidRPr="0024069D">
        <w:t>amilies with before school</w:t>
      </w:r>
      <w:r>
        <w:t xml:space="preserve"> </w:t>
      </w:r>
      <w:r w:rsidRPr="0024069D">
        <w:t>age children spend a larger share of their disposable income on ECEC</w:t>
      </w:r>
      <w:r>
        <w:t xml:space="preserve"> compared to families with school age children (figure D.13).</w:t>
      </w:r>
    </w:p>
    <w:p w14:paraId="7E1B6CF2" w14:textId="77777777" w:rsidR="005E1B35" w:rsidRDefault="005E1B35" w:rsidP="00882158">
      <w:pPr>
        <w:pStyle w:val="FigureTableHeading"/>
      </w:pPr>
      <w:r>
        <w:lastRenderedPageBreak/>
        <w:t xml:space="preserve">Figure </w:t>
      </w:r>
      <w:r>
        <w:rPr>
          <w:noProof/>
        </w:rPr>
        <w:t>D</w:t>
      </w:r>
      <w:r>
        <w:t>.</w:t>
      </w:r>
      <w:r>
        <w:rPr>
          <w:noProof/>
        </w:rPr>
        <w:t xml:space="preserve">11 </w:t>
      </w:r>
      <w:r>
        <w:t>– CBDCs account for the largest share of children using CCS</w:t>
      </w:r>
      <w:r>
        <w:noBreakHyphen/>
        <w:t>approved services</w:t>
      </w:r>
      <w:r>
        <w:rPr>
          <w:vertAlign w:val="superscript"/>
        </w:rPr>
        <w:t>a,b</w:t>
      </w:r>
    </w:p>
    <w:p w14:paraId="7D2F8462" w14:textId="77777777" w:rsidR="005E1B35" w:rsidRDefault="005E1B35" w:rsidP="00882158">
      <w:pPr>
        <w:pStyle w:val="FigureTableSubheading"/>
        <w:keepLines/>
      </w:pPr>
      <w:r>
        <w:t>Proportion of children using CCS</w:t>
      </w:r>
      <w:r>
        <w:noBreakHyphen/>
        <w:t>approved services by service type, December quarter 2023</w:t>
      </w:r>
    </w:p>
    <w:p w14:paraId="22F6A933" w14:textId="77777777" w:rsidR="005E1B35" w:rsidRDefault="005E1B35" w:rsidP="00882158">
      <w:pPr>
        <w:pStyle w:val="NoSpacing"/>
      </w:pPr>
      <w:r w:rsidRPr="00CE5B07">
        <w:rPr>
          <w:noProof/>
        </w:rPr>
        <w:drawing>
          <wp:inline distT="0" distB="0" distL="0" distR="0" wp14:anchorId="0D50BB51" wp14:editId="6D2ED14A">
            <wp:extent cx="6120130" cy="2698115"/>
            <wp:effectExtent l="0" t="0" r="0" b="0"/>
            <wp:docPr id="1519239496" name="Picture 13" descr="Figure D.11 – This is a bar chart that shows children in CCS-approved services broken down by service type in December quarter 2023. CBDC services account for 60% of children in CCS-approved services, OSHC services account for almost 40%, and FDC services account for the rema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39496" name="Picture 13" descr="Figure D.11 – This is a bar chart that shows children in CCS-approved services broken down by service type in December quarter 2023. CBDC services account for 60% of children in CCS-approved services, OSHC services account for almost 40%, and FDC services account for the remainder.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2698115"/>
                    </a:xfrm>
                    <a:prstGeom prst="rect">
                      <a:avLst/>
                    </a:prstGeom>
                    <a:noFill/>
                    <a:ln>
                      <a:noFill/>
                    </a:ln>
                  </pic:spPr>
                </pic:pic>
              </a:graphicData>
            </a:graphic>
          </wp:inline>
        </w:drawing>
      </w:r>
    </w:p>
    <w:p w14:paraId="6BC5DE45" w14:textId="77777777" w:rsidR="005E1B35" w:rsidRDefault="005E1B35" w:rsidP="00882158">
      <w:pPr>
        <w:pStyle w:val="Note"/>
        <w:keepLines/>
      </w:pPr>
      <w:r w:rsidRPr="00180E66">
        <w:rPr>
          <w:b/>
          <w:bCs/>
        </w:rPr>
        <w:t>a.</w:t>
      </w:r>
      <w:r>
        <w:t xml:space="preserve"> About 2000 children are in IHC, representing less than 1% of all at CCS</w:t>
      </w:r>
      <w:r>
        <w:noBreakHyphen/>
        <w:t xml:space="preserve">approved services. </w:t>
      </w:r>
      <w:r>
        <w:rPr>
          <w:b/>
          <w:bCs/>
        </w:rPr>
        <w:t xml:space="preserve">b. </w:t>
      </w:r>
      <w:r>
        <w:t xml:space="preserve">As children may use more than one service, and due </w:t>
      </w:r>
      <w:r w:rsidRPr="003F15A7">
        <w:t xml:space="preserve">to rounding, the </w:t>
      </w:r>
      <w:r>
        <w:t>sum of proportions exceeds 100%.</w:t>
      </w:r>
    </w:p>
    <w:p w14:paraId="20ECE79E" w14:textId="77777777" w:rsidR="005E1B35" w:rsidRDefault="005E1B35" w:rsidP="00882158">
      <w:pPr>
        <w:pStyle w:val="Source"/>
      </w:pPr>
      <w:r w:rsidRPr="00696447">
        <w:t>Source:</w:t>
      </w:r>
      <w:r>
        <w:t xml:space="preserve"> DoE </w:t>
      </w:r>
      <w:r w:rsidRPr="00491BBF">
        <w:rPr>
          <w:rFonts w:cs="Arial"/>
        </w:rPr>
        <w:t>(2024b, table</w:t>
      </w:r>
      <w:r>
        <w:rPr>
          <w:rFonts w:cs="Arial"/>
        </w:rPr>
        <w:t> </w:t>
      </w:r>
      <w:r w:rsidRPr="00491BBF">
        <w:rPr>
          <w:rFonts w:cs="Arial"/>
        </w:rPr>
        <w:t>1.2)</w:t>
      </w:r>
      <w:r w:rsidRPr="00696447">
        <w:t>.</w:t>
      </w:r>
    </w:p>
    <w:p w14:paraId="3B7E5744" w14:textId="77777777" w:rsidR="005E1B35" w:rsidRPr="003F5CB0" w:rsidRDefault="005E1B35" w:rsidP="00882158">
      <w:pPr>
        <w:pStyle w:val="FigureTableHeading"/>
        <w:rPr>
          <w:vertAlign w:val="superscript"/>
        </w:rPr>
      </w:pPr>
      <w:r>
        <w:t xml:space="preserve">Figure </w:t>
      </w:r>
      <w:r>
        <w:rPr>
          <w:noProof/>
        </w:rPr>
        <w:t>D</w:t>
      </w:r>
      <w:r>
        <w:t>.</w:t>
      </w:r>
      <w:r>
        <w:rPr>
          <w:noProof/>
        </w:rPr>
        <w:t xml:space="preserve">12 </w:t>
      </w:r>
      <w:r>
        <w:t>– The number and proportion of children using</w:t>
      </w:r>
      <w:r w:rsidRPr="00FD4D0D">
        <w:t xml:space="preserve"> CCS</w:t>
      </w:r>
      <w:r>
        <w:noBreakHyphen/>
      </w:r>
      <w:r w:rsidRPr="00FD4D0D">
        <w:t>approved services peaks when children are three</w:t>
      </w:r>
      <w:r>
        <w:t xml:space="preserve"> </w:t>
      </w:r>
      <w:r w:rsidRPr="00FD4D0D">
        <w:t>years</w:t>
      </w:r>
      <w:r>
        <w:t xml:space="preserve"> </w:t>
      </w:r>
      <w:r w:rsidRPr="00FD4D0D">
        <w:t>old</w:t>
      </w:r>
      <w:r>
        <w:rPr>
          <w:vertAlign w:val="superscript"/>
        </w:rPr>
        <w:t>a,b</w:t>
      </w:r>
    </w:p>
    <w:p w14:paraId="78E68E63" w14:textId="77777777" w:rsidR="005E1B35" w:rsidRDefault="005E1B35" w:rsidP="00882158">
      <w:pPr>
        <w:pStyle w:val="FigureTableSubheading"/>
        <w:keepLines/>
      </w:pPr>
      <w:r w:rsidRPr="00FD4D0D">
        <w:t xml:space="preserve">Number </w:t>
      </w:r>
      <w:r>
        <w:t xml:space="preserve">and proportion </w:t>
      </w:r>
      <w:r w:rsidRPr="00FD4D0D">
        <w:t>of children</w:t>
      </w:r>
      <w:r>
        <w:t xml:space="preserve"> in each age group</w:t>
      </w:r>
      <w:r w:rsidRPr="00FD4D0D">
        <w:t xml:space="preserve"> </w:t>
      </w:r>
      <w:r>
        <w:t>using</w:t>
      </w:r>
      <w:r w:rsidRPr="00FD4D0D">
        <w:t xml:space="preserve"> CCS</w:t>
      </w:r>
      <w:r>
        <w:noBreakHyphen/>
      </w:r>
      <w:r w:rsidRPr="00FD4D0D">
        <w:t>approved services, December quarter</w:t>
      </w:r>
      <w:r>
        <w:t xml:space="preserve"> 2023</w:t>
      </w:r>
    </w:p>
    <w:p w14:paraId="3FF15F21" w14:textId="77777777" w:rsidR="005E1B35" w:rsidRDefault="005E1B35" w:rsidP="00882158">
      <w:pPr>
        <w:pStyle w:val="Note"/>
        <w:keepLines/>
      </w:pPr>
      <w:r w:rsidRPr="00121BF2">
        <w:rPr>
          <w:noProof/>
        </w:rPr>
        <w:drawing>
          <wp:inline distT="0" distB="0" distL="0" distR="0" wp14:anchorId="381FECEF" wp14:editId="3BD159C7">
            <wp:extent cx="6115050" cy="2698750"/>
            <wp:effectExtent l="0" t="0" r="0" b="0"/>
            <wp:docPr id="1426359032" name="Picture 14" descr="Figure D.12 – This is a bar chart that shows the proportion of Australian children in CCS approved services broken down by their age in December quarter 2023. While only 6% (about 17,000 children) of children aged under one year are in CCS approved services, 41% (about 130,000 children) of children aged one are. Enrolment rates increase then peak at 67% (about 200,000 children) for children aged three. From age three onwards, enrolment rates dec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59032" name="Picture 14" descr="Figure D.12 – This is a bar chart that shows the proportion of Australian children in CCS approved services broken down by their age in December quarter 2023. While only 6% (about 17,000 children) of children aged under one year are in CCS approved services, 41% (about 130,000 children) of children aged one are. Enrolment rates increase then peak at 67% (about 200,000 children) for children aged three. From age three onwards, enrolment rates decline.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5050" cy="2698750"/>
                    </a:xfrm>
                    <a:prstGeom prst="rect">
                      <a:avLst/>
                    </a:prstGeom>
                    <a:noFill/>
                    <a:ln>
                      <a:noFill/>
                    </a:ln>
                  </pic:spPr>
                </pic:pic>
              </a:graphicData>
            </a:graphic>
          </wp:inline>
        </w:drawing>
      </w:r>
    </w:p>
    <w:p w14:paraId="29DB55DF" w14:textId="77777777" w:rsidR="005E1B35" w:rsidRDefault="005E1B35" w:rsidP="00882158">
      <w:pPr>
        <w:pStyle w:val="Note"/>
        <w:keepLines/>
      </w:pPr>
      <w:r w:rsidRPr="00180E66">
        <w:rPr>
          <w:b/>
          <w:bCs/>
        </w:rPr>
        <w:t>a.</w:t>
      </w:r>
      <w:r>
        <w:t xml:space="preserve"> Labels in parentheses represent the proportion of children in each age group using CCS</w:t>
      </w:r>
      <w:r>
        <w:noBreakHyphen/>
        <w:t xml:space="preserve">approved services. </w:t>
      </w:r>
      <w:r>
        <w:rPr>
          <w:b/>
          <w:bCs/>
        </w:rPr>
        <w:t xml:space="preserve">b. </w:t>
      </w:r>
      <w:r>
        <w:t>Data excludes 1,380 children aged 13 and older using CCS</w:t>
      </w:r>
      <w:r>
        <w:noBreakHyphen/>
        <w:t>approved services.</w:t>
      </w:r>
    </w:p>
    <w:p w14:paraId="5E7A2088" w14:textId="77777777" w:rsidR="005E1B35" w:rsidRDefault="005E1B35" w:rsidP="00882158">
      <w:pPr>
        <w:pStyle w:val="Source"/>
      </w:pPr>
      <w:r w:rsidRPr="00696447">
        <w:t xml:space="preserve">Source: </w:t>
      </w:r>
      <w:r>
        <w:t xml:space="preserve">DoE </w:t>
      </w:r>
      <w:r w:rsidRPr="00491BBF">
        <w:rPr>
          <w:rFonts w:cs="Arial"/>
        </w:rPr>
        <w:t>(2024b, table</w:t>
      </w:r>
      <w:r>
        <w:rPr>
          <w:rFonts w:cs="Arial"/>
        </w:rPr>
        <w:t> </w:t>
      </w:r>
      <w:r w:rsidRPr="00491BBF">
        <w:rPr>
          <w:rFonts w:cs="Arial"/>
        </w:rPr>
        <w:t>1.7)</w:t>
      </w:r>
      <w:r w:rsidRPr="00696447">
        <w:t>.</w:t>
      </w:r>
    </w:p>
    <w:p w14:paraId="0E3ED70D" w14:textId="77777777" w:rsidR="005E1B35" w:rsidRPr="00146382" w:rsidRDefault="005E1B35" w:rsidP="00882158">
      <w:pPr>
        <w:pStyle w:val="FigureTableHeading"/>
      </w:pPr>
      <w:r>
        <w:lastRenderedPageBreak/>
        <w:t xml:space="preserve">Figure </w:t>
      </w:r>
      <w:r>
        <w:rPr>
          <w:noProof/>
        </w:rPr>
        <w:t>D</w:t>
      </w:r>
      <w:r>
        <w:t>.</w:t>
      </w:r>
      <w:r>
        <w:rPr>
          <w:noProof/>
        </w:rPr>
        <w:t xml:space="preserve">13 </w:t>
      </w:r>
      <w:r>
        <w:t>– Families with before school aged children spend a larger share of their disposable income on ECEC</w:t>
      </w:r>
      <w:r w:rsidRPr="00066CF5">
        <w:rPr>
          <w:vertAlign w:val="superscript"/>
        </w:rPr>
        <w:t>a,b</w:t>
      </w:r>
      <w:r>
        <w:rPr>
          <w:vertAlign w:val="superscript"/>
        </w:rPr>
        <w:t>,c</w:t>
      </w:r>
    </w:p>
    <w:p w14:paraId="1BCCD8CE" w14:textId="77777777" w:rsidR="005E1B35" w:rsidRDefault="005E1B35" w:rsidP="00882158">
      <w:pPr>
        <w:pStyle w:val="FigureTableSubheading"/>
        <w:keepLines/>
      </w:pPr>
      <w:r>
        <w:t>Out</w:t>
      </w:r>
      <w:r>
        <w:noBreakHyphen/>
        <w:t>of</w:t>
      </w:r>
      <w:r>
        <w:noBreakHyphen/>
        <w:t>pocket expenses as a share of family after</w:t>
      </w:r>
      <w:r>
        <w:noBreakHyphen/>
        <w:t>tax income, by age of youngest child in ECEC and family income decile, fortnight to 26 Nov 2023</w:t>
      </w:r>
    </w:p>
    <w:p w14:paraId="1CA60A77" w14:textId="77777777" w:rsidR="005E1B35" w:rsidRDefault="005E1B35" w:rsidP="00882158">
      <w:pPr>
        <w:pStyle w:val="Note"/>
        <w:keepLines/>
        <w:rPr>
          <w:b/>
          <w:bCs/>
        </w:rPr>
      </w:pPr>
      <w:r w:rsidRPr="00DA7117">
        <w:rPr>
          <w:noProof/>
        </w:rPr>
        <w:drawing>
          <wp:inline distT="0" distB="0" distL="0" distR="0" wp14:anchorId="696DEFAC" wp14:editId="39908528">
            <wp:extent cx="5707380" cy="2703195"/>
            <wp:effectExtent l="0" t="0" r="7620" b="0"/>
            <wp:docPr id="1813767490" name="Picture 3" descr="Figure D.13 – This figure is a box plot that shows families’ out-of-pocket ECEC expenses as a proportion of disposable income split by families where the youngest child is before school-aged and school-aged in the fortnight to 26 November 2023. Out of pocket expenses for families where the youngest child is before school-aged is higher compared to families where the youngest child is school-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67490" name="Picture 3" descr="Figure D.13 – This figure is a box plot that shows families’ out-of-pocket ECEC expenses as a proportion of disposable income split by families where the youngest child is before school-aged and school-aged in the fortnight to 26 November 2023. Out of pocket expenses for families where the youngest child is before school-aged is higher compared to families where the youngest child is school-ag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07380" cy="2703195"/>
                    </a:xfrm>
                    <a:prstGeom prst="rect">
                      <a:avLst/>
                    </a:prstGeom>
                    <a:noFill/>
                    <a:ln>
                      <a:noFill/>
                    </a:ln>
                  </pic:spPr>
                </pic:pic>
              </a:graphicData>
            </a:graphic>
          </wp:inline>
        </w:drawing>
      </w:r>
    </w:p>
    <w:p w14:paraId="28EC307A" w14:textId="77777777" w:rsidR="005E1B35" w:rsidRDefault="005E1B35" w:rsidP="00882158">
      <w:pPr>
        <w:pStyle w:val="Note"/>
        <w:keepLines/>
      </w:pPr>
      <w:r w:rsidRPr="00180E66">
        <w:rPr>
          <w:b/>
          <w:bCs/>
        </w:rPr>
        <w:t>a.</w:t>
      </w:r>
      <w:r>
        <w:t xml:space="preserve"> </w:t>
      </w:r>
      <w:r w:rsidRPr="00C65C01">
        <w:t>Out</w:t>
      </w:r>
      <w:r>
        <w:noBreakHyphen/>
      </w:r>
      <w:r w:rsidRPr="00C65C01">
        <w:t>of</w:t>
      </w:r>
      <w:r>
        <w:noBreakHyphen/>
      </w:r>
      <w:r w:rsidRPr="00C65C01">
        <w:t>pocket expenses for each family were calculated as charged fees less CCS and ACCS. This accounts for any fees paid above the hourly rate cap. Family after</w:t>
      </w:r>
      <w:r>
        <w:noBreakHyphen/>
      </w:r>
      <w:r w:rsidRPr="00C65C01">
        <w:t xml:space="preserve">tax income is estimated by applying income tax rates to adjusted taxable income (ATI) as reported by parents and guardians, and adding estimated Family Tax Benefit. These income estimates may not be a precise reflection of families’ actual financial resources, for example due to: the exclusion of wealth as a resource and income sources excluded from ATI (such as rent assistance); differences between definitions of ATI and taxable income that mean that income tax estimates are overstated; and limitations in estimating Family Tax Benefit from data only on children who access Child Care Subsidy. </w:t>
      </w:r>
      <w:r w:rsidRPr="00EE2119">
        <w:rPr>
          <w:b/>
          <w:bCs/>
        </w:rPr>
        <w:t>b.</w:t>
      </w:r>
      <w:r w:rsidRPr="00C65C01">
        <w:t xml:space="preserve"> These box and whisker plots show the median (black horizontal line), two hinges at the 25th and 75th percentiles (top and bottom box edges), and two whiskers extending to the values no further than 1.5 times the interquartile range from the hinges. Outliers are omitted. </w:t>
      </w:r>
      <w:r w:rsidRPr="00EE2119">
        <w:rPr>
          <w:b/>
          <w:bCs/>
        </w:rPr>
        <w:t>c.</w:t>
      </w:r>
      <w:r>
        <w:t> </w:t>
      </w:r>
      <w:r w:rsidRPr="00C65C01">
        <w:t>Excludes In Home Care services.</w:t>
      </w:r>
    </w:p>
    <w:p w14:paraId="080C8979" w14:textId="77777777" w:rsidR="005E1B35" w:rsidRDefault="005E1B35" w:rsidP="00882158">
      <w:pPr>
        <w:pStyle w:val="Source"/>
      </w:pPr>
      <w:r w:rsidRPr="00696447">
        <w:t xml:space="preserve">Source: </w:t>
      </w:r>
      <w:r w:rsidRPr="00C65C01">
        <w:t xml:space="preserve">Productivity Commission estimates </w:t>
      </w:r>
      <w:r>
        <w:t>using</w:t>
      </w:r>
      <w:r w:rsidRPr="00C65C01">
        <w:t xml:space="preserve"> DoE administrative data (unpublished)</w:t>
      </w:r>
      <w:r w:rsidRPr="00696447">
        <w:t>.</w:t>
      </w:r>
    </w:p>
    <w:p w14:paraId="64028F91" w14:textId="77777777" w:rsidR="005E1B35" w:rsidRDefault="005E1B35" w:rsidP="00882158">
      <w:pPr>
        <w:pStyle w:val="BodyText"/>
      </w:pPr>
      <w:r>
        <w:t>The jurisdictions with the overall lowest average hours of attendance at CCS</w:t>
      </w:r>
      <w:r>
        <w:noBreakHyphen/>
        <w:t>approved services are South Australia and Tasmania (figure D.14). This likely reflects the relatively large share of children attending dedicated preschools (that are not eligible to receive CCS) in these jurisdictions. The Northern Territory has the highest average hours of attendance (figure D.14). Comparing by remoteness, total average hours attended per child are similar across Australia (figure D.15).</w:t>
      </w:r>
    </w:p>
    <w:p w14:paraId="514A98BF" w14:textId="77777777" w:rsidR="005E1B35" w:rsidRPr="00146382" w:rsidRDefault="005E1B35">
      <w:pPr>
        <w:pStyle w:val="FigureTableHeading"/>
      </w:pPr>
      <w:r>
        <w:lastRenderedPageBreak/>
        <w:t xml:space="preserve">Figure </w:t>
      </w:r>
      <w:r>
        <w:rPr>
          <w:noProof/>
        </w:rPr>
        <w:t>D</w:t>
      </w:r>
      <w:r>
        <w:t>.</w:t>
      </w:r>
      <w:r>
        <w:rPr>
          <w:noProof/>
        </w:rPr>
        <w:t xml:space="preserve">14 </w:t>
      </w:r>
      <w:r>
        <w:t xml:space="preserve">– </w:t>
      </w:r>
      <w:r w:rsidRPr="008906D3">
        <w:t xml:space="preserve">Average hours of attendance differ by </w:t>
      </w:r>
      <w:r>
        <w:t>jurisdiction</w:t>
      </w:r>
    </w:p>
    <w:p w14:paraId="35D2C6E2" w14:textId="77777777" w:rsidR="005E1B35" w:rsidRDefault="005E1B35">
      <w:pPr>
        <w:pStyle w:val="FigureTableSubheading"/>
        <w:keepLines/>
      </w:pPr>
      <w:r>
        <w:t>Average weekly hours of attendance per child at CCS</w:t>
      </w:r>
      <w:r>
        <w:noBreakHyphen/>
        <w:t>approved services by service type and jurisdiction, December quarter 2023</w:t>
      </w:r>
    </w:p>
    <w:p w14:paraId="72248A5D" w14:textId="77777777" w:rsidR="005E1B35" w:rsidRDefault="005E1B35">
      <w:pPr>
        <w:pStyle w:val="Note"/>
        <w:keepLines/>
      </w:pPr>
      <w:r w:rsidRPr="00E61660">
        <w:rPr>
          <w:noProof/>
        </w:rPr>
        <w:drawing>
          <wp:inline distT="0" distB="0" distL="0" distR="0" wp14:anchorId="78512A0B" wp14:editId="5CC6D205">
            <wp:extent cx="6118860" cy="2880360"/>
            <wp:effectExtent l="0" t="0" r="0" b="0"/>
            <wp:docPr id="1108082639" name="Picture 4" descr="Figure D.14 – This is a dot plot that visualises average weekly hours of attendance at CCS-approved services in each jurisdiction, broken down by service type, in December quarter 2023. Across all jurisdictions, attendance is shortest at OSHC services, the light purple dots, and highest at CBDC services, the light blue dots. Overall average weekly hours of attendance, the dark purple dots, are highest in the Northern Territory and Queensland and lowest in Tasmania and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82639" name="Picture 4" descr="Figure D.14 – This is a dot plot that visualises average weekly hours of attendance at CCS-approved services in each jurisdiction, broken down by service type, in December quarter 2023. Across all jurisdictions, attendance is shortest at OSHC services, the light purple dots, and highest at CBDC services, the light blue dots. Overall average weekly hours of attendance, the dark purple dots, are highest in the Northern Territory and Queensland and lowest in Tasmania and South Australia.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8860" cy="2880360"/>
                    </a:xfrm>
                    <a:prstGeom prst="rect">
                      <a:avLst/>
                    </a:prstGeom>
                    <a:noFill/>
                    <a:ln>
                      <a:noFill/>
                    </a:ln>
                  </pic:spPr>
                </pic:pic>
              </a:graphicData>
            </a:graphic>
          </wp:inline>
        </w:drawing>
      </w:r>
    </w:p>
    <w:p w14:paraId="7EDD0FD0" w14:textId="77777777" w:rsidR="005E1B35" w:rsidRDefault="005E1B35" w:rsidP="00882158">
      <w:pPr>
        <w:pStyle w:val="Source"/>
      </w:pPr>
      <w:r w:rsidRPr="00696447">
        <w:t>Source:</w:t>
      </w:r>
      <w:r>
        <w:t xml:space="preserve"> DoE </w:t>
      </w:r>
      <w:r w:rsidRPr="00491BBF">
        <w:rPr>
          <w:rFonts w:cs="Arial"/>
        </w:rPr>
        <w:t>(2024b, table</w:t>
      </w:r>
      <w:r>
        <w:rPr>
          <w:rFonts w:cs="Arial"/>
        </w:rPr>
        <w:t> </w:t>
      </w:r>
      <w:r w:rsidRPr="00491BBF">
        <w:rPr>
          <w:rFonts w:cs="Arial"/>
        </w:rPr>
        <w:t>6.2)</w:t>
      </w:r>
    </w:p>
    <w:p w14:paraId="01B48C7D" w14:textId="77777777" w:rsidR="005E1B35" w:rsidRPr="00146382" w:rsidRDefault="005E1B35">
      <w:pPr>
        <w:pStyle w:val="FigureTableHeading"/>
      </w:pPr>
      <w:r>
        <w:t xml:space="preserve">Figure </w:t>
      </w:r>
      <w:r>
        <w:rPr>
          <w:noProof/>
        </w:rPr>
        <w:t>D</w:t>
      </w:r>
      <w:r>
        <w:t>.</w:t>
      </w:r>
      <w:r>
        <w:rPr>
          <w:noProof/>
        </w:rPr>
        <w:t xml:space="preserve">15 </w:t>
      </w:r>
      <w:r>
        <w:t xml:space="preserve">– </w:t>
      </w:r>
      <w:r w:rsidRPr="008906D3">
        <w:t>Average hours of attendance</w:t>
      </w:r>
      <w:r>
        <w:t xml:space="preserve"> also</w:t>
      </w:r>
      <w:r w:rsidRPr="008906D3">
        <w:t xml:space="preserve"> differ by </w:t>
      </w:r>
      <w:r>
        <w:t>remoteness</w:t>
      </w:r>
    </w:p>
    <w:p w14:paraId="067E3682" w14:textId="77777777" w:rsidR="005E1B35" w:rsidRDefault="005E1B35">
      <w:pPr>
        <w:pStyle w:val="FigureTableSubheading"/>
        <w:keepLines/>
      </w:pPr>
      <w:r>
        <w:t>Average weekly hours of attendance per child at CCS</w:t>
      </w:r>
      <w:r>
        <w:noBreakHyphen/>
        <w:t>approved services by service type and remoteness, December quarter 2023</w:t>
      </w:r>
    </w:p>
    <w:p w14:paraId="32FDDB51" w14:textId="77777777" w:rsidR="005E1B35" w:rsidRDefault="005E1B35">
      <w:pPr>
        <w:pStyle w:val="Note"/>
        <w:keepLines/>
      </w:pPr>
      <w:r w:rsidRPr="004878E0">
        <w:rPr>
          <w:noProof/>
        </w:rPr>
        <w:drawing>
          <wp:inline distT="0" distB="0" distL="0" distR="0" wp14:anchorId="5273E48E" wp14:editId="4313F427">
            <wp:extent cx="6118860" cy="2880360"/>
            <wp:effectExtent l="0" t="0" r="0" b="0"/>
            <wp:docPr id="1305218607" name="Picture 5" descr="Figure D.15 – This is a dot plot that visualises average weekly hours of attendance at CCS-approved services at each level of geographical remoteness, broken down by service type, in December quarter 2023. Across all remoteness areas, attendance is shortest at OSHC services, the light purple dots, and highest at CBDC services, the light blue dots. Overall average weekly hours of attendance, the dark purple dots, are highest in major cities and lowest in inner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18607" name="Picture 5" descr="Figure D.15 – This is a dot plot that visualises average weekly hours of attendance at CCS-approved services at each level of geographical remoteness, broken down by service type, in December quarter 2023. Across all remoteness areas, attendance is shortest at OSHC services, the light purple dots, and highest at CBDC services, the light blue dots. Overall average weekly hours of attendance, the dark purple dots, are highest in major cities and lowest in inner regional are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18860" cy="2880360"/>
                    </a:xfrm>
                    <a:prstGeom prst="rect">
                      <a:avLst/>
                    </a:prstGeom>
                    <a:noFill/>
                    <a:ln>
                      <a:noFill/>
                    </a:ln>
                  </pic:spPr>
                </pic:pic>
              </a:graphicData>
            </a:graphic>
          </wp:inline>
        </w:drawing>
      </w:r>
    </w:p>
    <w:p w14:paraId="4FD384D6" w14:textId="77777777" w:rsidR="005E1B35" w:rsidRDefault="005E1B35" w:rsidP="00882158">
      <w:pPr>
        <w:pStyle w:val="Source"/>
      </w:pPr>
      <w:r w:rsidRPr="00696447">
        <w:t>Source:</w:t>
      </w:r>
      <w:r>
        <w:t xml:space="preserve"> DoE </w:t>
      </w:r>
      <w:r w:rsidRPr="00491BBF">
        <w:rPr>
          <w:rFonts w:cs="Arial"/>
        </w:rPr>
        <w:t>(2024b, table</w:t>
      </w:r>
      <w:r>
        <w:rPr>
          <w:rFonts w:cs="Arial"/>
        </w:rPr>
        <w:t> </w:t>
      </w:r>
      <w:r w:rsidRPr="00491BBF">
        <w:rPr>
          <w:rFonts w:cs="Arial"/>
        </w:rPr>
        <w:t>6.3)</w:t>
      </w:r>
      <w:r w:rsidRPr="00696447">
        <w:t>.</w:t>
      </w:r>
    </w:p>
    <w:p w14:paraId="009BEF35" w14:textId="77777777" w:rsidR="005E1B35" w:rsidRDefault="005E1B35" w:rsidP="00882158">
      <w:pPr>
        <w:pStyle w:val="BodyText"/>
      </w:pPr>
      <w:r w:rsidRPr="00D4459C">
        <w:t>In all service types except IHC, the majority of children attend CCS</w:t>
      </w:r>
      <w:r w:rsidRPr="00D4459C">
        <w:noBreakHyphen/>
        <w:t>approved services for three or fewer days</w:t>
      </w:r>
      <w:r w:rsidRPr="00D4459C" w:rsidDel="007460C5">
        <w:t xml:space="preserve"> </w:t>
      </w:r>
      <w:r w:rsidRPr="00D4459C">
        <w:t>each week. FDC and IHC have larger shares of children who attend for five or more days (figure D.1</w:t>
      </w:r>
      <w:r w:rsidRPr="00D4459C" w:rsidDel="00446E4F">
        <w:t>6</w:t>
      </w:r>
      <w:r w:rsidRPr="00D4459C">
        <w:t>).</w:t>
      </w:r>
    </w:p>
    <w:p w14:paraId="79347DCC" w14:textId="77777777" w:rsidR="005E1B35" w:rsidRPr="00146382" w:rsidRDefault="005E1B35">
      <w:pPr>
        <w:pStyle w:val="FigureTableHeading"/>
      </w:pPr>
      <w:r w:rsidRPr="00CE45AE">
        <w:lastRenderedPageBreak/>
        <w:t xml:space="preserve">Figure </w:t>
      </w:r>
      <w:r>
        <w:rPr>
          <w:noProof/>
        </w:rPr>
        <w:t>D</w:t>
      </w:r>
      <w:r w:rsidRPr="00CE45AE">
        <w:t>.</w:t>
      </w:r>
      <w:r>
        <w:rPr>
          <w:noProof/>
        </w:rPr>
        <w:t>16</w:t>
      </w:r>
      <w:r w:rsidRPr="00CE45AE">
        <w:rPr>
          <w:noProof/>
        </w:rPr>
        <w:t xml:space="preserve"> </w:t>
      </w:r>
      <w:r w:rsidRPr="00CE45AE">
        <w:t>– The majority of children attend CCS</w:t>
      </w:r>
      <w:r w:rsidRPr="00CE45AE">
        <w:noBreakHyphen/>
        <w:t>approved services for three or fewer days each week</w:t>
      </w:r>
      <w:r w:rsidRPr="00CE45AE">
        <w:rPr>
          <w:vertAlign w:val="superscript"/>
        </w:rPr>
        <w:t>a</w:t>
      </w:r>
    </w:p>
    <w:p w14:paraId="6DCAE821" w14:textId="77777777" w:rsidR="005E1B35" w:rsidRDefault="005E1B35" w:rsidP="00882158">
      <w:pPr>
        <w:pStyle w:val="FigureTableSubheading"/>
        <w:keepLines/>
      </w:pPr>
      <w:r>
        <w:t>Weekly days attended by service type, December quarter 2023</w:t>
      </w:r>
    </w:p>
    <w:p w14:paraId="1C382A75" w14:textId="77777777" w:rsidR="005E1B35" w:rsidRDefault="005E1B35" w:rsidP="00882158">
      <w:pPr>
        <w:pStyle w:val="Note"/>
        <w:keepLines/>
        <w:rPr>
          <w:noProof/>
        </w:rPr>
      </w:pPr>
      <w:r w:rsidRPr="008573E8">
        <w:rPr>
          <w:noProof/>
        </w:rPr>
        <w:drawing>
          <wp:inline distT="0" distB="0" distL="0" distR="0" wp14:anchorId="6F8A4A77" wp14:editId="2757B051">
            <wp:extent cx="6120130" cy="2869565"/>
            <wp:effectExtent l="0" t="0" r="0" b="0"/>
            <wp:docPr id="1418569034" name="Picture 9" descr="Figure D.16 – This is a stacked bar chart showing the proportion of children in CCS-approved services for a certain number of days, broken down by service type, in December quarter 2023. For each service type, the majority of children are enrolled for three or fewer days each week, represented by the light blue, dark blue and light purple segments. FDC and IHC services have larger shares of children who are enrolled for five or more days each week, represented by the yellow se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69034" name="Picture 9" descr="Figure D.16 – This is a stacked bar chart showing the proportion of children in CCS-approved services for a certain number of days, broken down by service type, in December quarter 2023. For each service type, the majority of children are enrolled for three or fewer days each week, represented by the light blue, dark blue and light purple segments. FDC and IHC services have larger shares of children who are enrolled for five or more days each week, represented by the yellow segment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31C196B5" w14:textId="77777777" w:rsidR="005E1B35" w:rsidRDefault="005E1B35" w:rsidP="00882158">
      <w:pPr>
        <w:pStyle w:val="Note"/>
        <w:keepLines/>
      </w:pPr>
      <w:r w:rsidRPr="00CE6B3D">
        <w:rPr>
          <w:b/>
          <w:bCs/>
        </w:rPr>
        <w:t>a.</w:t>
      </w:r>
      <w:r>
        <w:t xml:space="preserve"> Calculated as a percentage of child</w:t>
      </w:r>
      <w:r>
        <w:noBreakHyphen/>
        <w:t>week</w:t>
      </w:r>
      <w:r>
        <w:noBreakHyphen/>
        <w:t>service</w:t>
      </w:r>
      <w:r w:rsidRPr="001516EE">
        <w:t xml:space="preserve"> </w:t>
      </w:r>
      <w:r>
        <w:t>type combinations in the quarter.</w:t>
      </w:r>
    </w:p>
    <w:p w14:paraId="6ABF6D2D" w14:textId="77777777" w:rsidR="005E1B35" w:rsidRDefault="005E1B35" w:rsidP="00882158">
      <w:pPr>
        <w:pStyle w:val="Source"/>
      </w:pPr>
      <w:r w:rsidRPr="00696447">
        <w:t>Source:</w:t>
      </w:r>
      <w:r>
        <w:t xml:space="preserve"> </w:t>
      </w:r>
      <w:r w:rsidRPr="00A86B82">
        <w:t>Productivity Commission estimates using D</w:t>
      </w:r>
      <w:r>
        <w:t>oE</w:t>
      </w:r>
      <w:r w:rsidRPr="00A86B82">
        <w:t xml:space="preserve"> administrative data (unpublished).</w:t>
      </w:r>
    </w:p>
    <w:p w14:paraId="4CCC45DE" w14:textId="77777777" w:rsidR="005E1B35" w:rsidRPr="0021091A" w:rsidRDefault="005E1B35" w:rsidP="00882158">
      <w:pPr>
        <w:pStyle w:val="BodyText"/>
      </w:pPr>
      <w:r w:rsidRPr="0044614C">
        <w:t>Attending</w:t>
      </w:r>
      <w:r>
        <w:t xml:space="preserve"> two or</w:t>
      </w:r>
      <w:r w:rsidRPr="0044614C">
        <w:t xml:space="preserve"> three days a week for an average of seven to eight hours is most common for children attending CBDC. Two days a week with an average of six to eight hours is most common in FDC. However, attendance patterns vary greatly (figure D.1</w:t>
      </w:r>
      <w:r>
        <w:t>7</w:t>
      </w:r>
      <w:r w:rsidRPr="0044614C">
        <w:t>).</w:t>
      </w:r>
    </w:p>
    <w:p w14:paraId="53A12C6A" w14:textId="77777777" w:rsidR="005E1B35" w:rsidRPr="00146382" w:rsidRDefault="005E1B35" w:rsidP="00882158">
      <w:pPr>
        <w:pStyle w:val="FigureTableHeading"/>
      </w:pPr>
      <w:r w:rsidRPr="00EF1BC4">
        <w:lastRenderedPageBreak/>
        <w:t xml:space="preserve">Figure </w:t>
      </w:r>
      <w:r>
        <w:rPr>
          <w:noProof/>
        </w:rPr>
        <w:t>D</w:t>
      </w:r>
      <w:r w:rsidRPr="00EF1BC4">
        <w:t>.</w:t>
      </w:r>
      <w:r>
        <w:rPr>
          <w:noProof/>
        </w:rPr>
        <w:t>17</w:t>
      </w:r>
      <w:r w:rsidRPr="00EF1BC4">
        <w:rPr>
          <w:noProof/>
        </w:rPr>
        <w:t xml:space="preserve"> </w:t>
      </w:r>
      <w:r w:rsidRPr="00EF1BC4">
        <w:t>– There is a lot of variation in attendance patterns</w:t>
      </w:r>
      <w:r w:rsidRPr="00EF1BC4">
        <w:rPr>
          <w:vertAlign w:val="superscript"/>
        </w:rPr>
        <w:t>a,b</w:t>
      </w:r>
    </w:p>
    <w:p w14:paraId="6931C562" w14:textId="77777777" w:rsidR="005E1B35" w:rsidRDefault="005E1B35" w:rsidP="00882158">
      <w:pPr>
        <w:pStyle w:val="FigureTableSubheading"/>
        <w:keepLines/>
      </w:pPr>
      <w:r>
        <w:t>Attendance by days and hours, by service type, 2022</w:t>
      </w:r>
      <w:r>
        <w:noBreakHyphen/>
        <w:t>23</w:t>
      </w:r>
    </w:p>
    <w:p w14:paraId="356E2981" w14:textId="77777777" w:rsidR="005E1B35" w:rsidRDefault="005E1B35" w:rsidP="00882158">
      <w:pPr>
        <w:pStyle w:val="Note"/>
        <w:keepLines/>
        <w:rPr>
          <w:b/>
          <w:bCs/>
        </w:rPr>
      </w:pPr>
      <w:r w:rsidRPr="001E1D57">
        <w:rPr>
          <w:noProof/>
        </w:rPr>
        <w:drawing>
          <wp:inline distT="0" distB="0" distL="0" distR="0" wp14:anchorId="6A13DB48" wp14:editId="16D03A6A">
            <wp:extent cx="6120130" cy="4311650"/>
            <wp:effectExtent l="0" t="0" r="0" b="0"/>
            <wp:docPr id="2035155723" name="Picture 5" descr="Figure D.17 – This is a coloured two-way table that displays children’s weekly attendance at CCS-approved services in 2022 23 using weekly day and hour combinations. Number of days per week is on the x-axis and average hours per day is on the y-axis. Day and hour combinations that are observed less frequently are shown in blue, while those that are observed more frequently appear in yellow, orange and red. At CBDC services, children are most likely to attend for two or three days for seven or eight hours. At FDC services, children are most likely to attend for two days for six to eight hours. At IHC services, children are most likely to attend for five days for ten hours, and at OSHC services, children are mostly likely to attend for one, two or three days for one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55723" name="Picture 5" descr="Figure D.17 – This is a coloured two-way table that displays children’s weekly attendance at CCS-approved services in 2022 23 using weekly day and hour combinations. Number of days per week is on the x-axis and average hours per day is on the y-axis. Day and hour combinations that are observed less frequently are shown in blue, while those that are observed more frequently appear in yellow, orange and red. At CBDC services, children are most likely to attend for two or three days for seven or eight hours. At FDC services, children are most likely to attend for two days for six to eight hours. At IHC services, children are most likely to attend for five days for ten hours, and at OSHC services, children are mostly likely to attend for one, two or three days for one hour.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4311650"/>
                    </a:xfrm>
                    <a:prstGeom prst="rect">
                      <a:avLst/>
                    </a:prstGeom>
                    <a:noFill/>
                    <a:ln>
                      <a:noFill/>
                    </a:ln>
                  </pic:spPr>
                </pic:pic>
              </a:graphicData>
            </a:graphic>
          </wp:inline>
        </w:drawing>
      </w:r>
    </w:p>
    <w:p w14:paraId="5E3AF8BA" w14:textId="77777777" w:rsidR="005E1B35" w:rsidRDefault="005E1B35" w:rsidP="00882158">
      <w:pPr>
        <w:pStyle w:val="Note"/>
        <w:keepLines/>
      </w:pPr>
      <w:r w:rsidRPr="00CE6B3D">
        <w:rPr>
          <w:b/>
          <w:bCs/>
        </w:rPr>
        <w:t>a.</w:t>
      </w:r>
      <w:r>
        <w:t xml:space="preserve"> Numbers refer to percentage of child–week–service type combinations in the financial year. Combinations for which children did not attend any sessions are omitted. Redder areas indicate more common occurrences. </w:t>
      </w:r>
      <w:r w:rsidRPr="00574EDD">
        <w:rPr>
          <w:b/>
        </w:rPr>
        <w:t>b.</w:t>
      </w:r>
      <w:r>
        <w:t xml:space="preserve"> Attended hours per day are rounded down to the nearest hour. This means that ‘0’ refers to less than one hour attended. Data points that comprise 0.5% or less observations have been excluded from the chart.</w:t>
      </w:r>
    </w:p>
    <w:p w14:paraId="1764E09F" w14:textId="77777777" w:rsidR="005E1B35" w:rsidRDefault="005E1B35" w:rsidP="00882158">
      <w:pPr>
        <w:pStyle w:val="Source"/>
      </w:pPr>
      <w:r w:rsidRPr="00696447">
        <w:t xml:space="preserve">Source: </w:t>
      </w:r>
      <w:r>
        <w:t>Productivity Commission estimates using DoE administrative data (unpublished)</w:t>
      </w:r>
      <w:r w:rsidRPr="00696447">
        <w:t>.</w:t>
      </w:r>
    </w:p>
    <w:p w14:paraId="140A0091" w14:textId="77777777" w:rsidR="005E1B35" w:rsidRPr="00741784" w:rsidRDefault="005E1B35" w:rsidP="00882158">
      <w:pPr>
        <w:pStyle w:val="BodyText"/>
      </w:pPr>
      <w:r w:rsidRPr="00A84D55">
        <w:t>The total number of children attending ECEC tends to fall during school holiday periods (figure D.1</w:t>
      </w:r>
      <w:r>
        <w:t>8</w:t>
      </w:r>
      <w:r w:rsidRPr="00A84D55">
        <w:t>). Average hours attended during the year varies across service types, with hours at CBDCs typically dropping during Christmas and other school holiday periods, but hours at FDC, OSHC (which includes vacation care) and IHC typically rise during these periods (figure D.1</w:t>
      </w:r>
      <w:r>
        <w:t>9</w:t>
      </w:r>
      <w:r w:rsidRPr="00A84D55">
        <w:t>).</w:t>
      </w:r>
    </w:p>
    <w:p w14:paraId="5EC4751E" w14:textId="77777777" w:rsidR="005E1B35" w:rsidRDefault="005E1B35">
      <w:pPr>
        <w:pStyle w:val="FigureTableHeading"/>
      </w:pPr>
      <w:r w:rsidRPr="000032B3">
        <w:lastRenderedPageBreak/>
        <w:t xml:space="preserve">Figure </w:t>
      </w:r>
      <w:r>
        <w:rPr>
          <w:noProof/>
        </w:rPr>
        <w:t>D</w:t>
      </w:r>
      <w:r w:rsidRPr="000032B3">
        <w:t>.</w:t>
      </w:r>
      <w:r>
        <w:rPr>
          <w:noProof/>
        </w:rPr>
        <w:t>18</w:t>
      </w:r>
      <w:r w:rsidRPr="000032B3">
        <w:rPr>
          <w:noProof/>
        </w:rPr>
        <w:t xml:space="preserve"> </w:t>
      </w:r>
      <w:r w:rsidRPr="000032B3">
        <w:t>– The number of children attending CCS</w:t>
      </w:r>
      <w:r w:rsidRPr="000032B3">
        <w:noBreakHyphen/>
        <w:t>approved services fluctuates during the year</w:t>
      </w:r>
      <w:r w:rsidRPr="000032B3">
        <w:rPr>
          <w:vertAlign w:val="superscript"/>
        </w:rPr>
        <w:t>a,b</w:t>
      </w:r>
    </w:p>
    <w:p w14:paraId="31CDF3D0" w14:textId="77777777" w:rsidR="005E1B35" w:rsidRPr="0035768D" w:rsidRDefault="005E1B35" w:rsidP="00882158">
      <w:pPr>
        <w:pStyle w:val="FigureTableSubheading"/>
        <w:keepLines/>
      </w:pPr>
      <w:r>
        <w:t>Number of children attended per week by service type, 2019–23</w:t>
      </w:r>
    </w:p>
    <w:p w14:paraId="450F4C54" w14:textId="77777777" w:rsidR="005E1B35" w:rsidRDefault="005E1B35">
      <w:pPr>
        <w:pStyle w:val="FigureTableSubheading"/>
        <w:keepLines/>
      </w:pPr>
      <w:r w:rsidRPr="00D97270">
        <w:rPr>
          <w:noProof/>
        </w:rPr>
        <w:drawing>
          <wp:inline distT="0" distB="0" distL="0" distR="0" wp14:anchorId="4D5DC581" wp14:editId="216ECD44">
            <wp:extent cx="6119669" cy="2582333"/>
            <wp:effectExtent l="0" t="0" r="0" b="0"/>
            <wp:docPr id="1611971528" name="Picture 5" descr="Figure D.18 – This is a line graph showing the number of children attending CCS-approved services each week between 2019 and 2023, broken down by service type. For CBDC services, the light blue line, attendance is lowest in January then rises for the remainder of the year. Attendance at OSHC and FDC services, the light purple and dark blue lines respectively, falls during school holi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71528" name="Picture 5" descr="Figure D.18 – This is a line graph showing the number of children attending CCS-approved services each week between 2019 and 2023, broken down by service type. For CBDC services, the light blue line, attendance is lowest in January then rises for the remainder of the year. Attendance at OSHC and FDC services, the light purple and dark blue lines respectively, falls during school holidays.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1318"/>
                    <a:stretch/>
                  </pic:blipFill>
                  <pic:spPr bwMode="auto">
                    <a:xfrm>
                      <a:off x="0" y="0"/>
                      <a:ext cx="6120130" cy="2582527"/>
                    </a:xfrm>
                    <a:prstGeom prst="rect">
                      <a:avLst/>
                    </a:prstGeom>
                    <a:noFill/>
                    <a:ln>
                      <a:noFill/>
                    </a:ln>
                    <a:extLst>
                      <a:ext uri="{53640926-AAD7-44D8-BBD7-CCE9431645EC}">
                        <a14:shadowObscured xmlns:a14="http://schemas.microsoft.com/office/drawing/2010/main"/>
                      </a:ext>
                    </a:extLst>
                  </pic:spPr>
                </pic:pic>
              </a:graphicData>
            </a:graphic>
          </wp:inline>
        </w:drawing>
      </w:r>
    </w:p>
    <w:p w14:paraId="76EFFD37" w14:textId="77777777" w:rsidR="005E1B35" w:rsidRDefault="005E1B35" w:rsidP="00882158">
      <w:pPr>
        <w:pStyle w:val="Note"/>
        <w:keepLines/>
      </w:pPr>
      <w:r w:rsidRPr="00180E66">
        <w:rPr>
          <w:b/>
          <w:bCs/>
        </w:rPr>
        <w:t>a.</w:t>
      </w:r>
      <w:r>
        <w:t xml:space="preserve"> Data excludes IHC due to the small number of children attending IHC services. </w:t>
      </w:r>
      <w:r>
        <w:rPr>
          <w:b/>
          <w:bCs/>
        </w:rPr>
        <w:t xml:space="preserve">b. </w:t>
      </w:r>
      <w:r>
        <w:t>Excludes children with missing records on hours attended.</w:t>
      </w:r>
    </w:p>
    <w:p w14:paraId="6FD22ADA" w14:textId="77777777" w:rsidR="005E1B35" w:rsidRDefault="005E1B35" w:rsidP="00882158">
      <w:pPr>
        <w:pStyle w:val="Source"/>
      </w:pPr>
      <w:r w:rsidRPr="00696447">
        <w:t xml:space="preserve">Source: </w:t>
      </w:r>
      <w:r>
        <w:t>Productivity Commission estimates using DoE administrative data (unpublished)</w:t>
      </w:r>
      <w:r w:rsidRPr="00696447">
        <w:t>.</w:t>
      </w:r>
    </w:p>
    <w:p w14:paraId="6CC2E168" w14:textId="77777777" w:rsidR="005E1B35" w:rsidRPr="00615926" w:rsidRDefault="005E1B35">
      <w:pPr>
        <w:pStyle w:val="FigureTableHeading"/>
        <w:rPr>
          <w:vertAlign w:val="superscript"/>
        </w:rPr>
      </w:pPr>
      <w:r w:rsidRPr="00E109D4">
        <w:t xml:space="preserve">Figure </w:t>
      </w:r>
      <w:r>
        <w:rPr>
          <w:noProof/>
        </w:rPr>
        <w:t>D</w:t>
      </w:r>
      <w:r w:rsidRPr="00E109D4">
        <w:t>.</w:t>
      </w:r>
      <w:r>
        <w:rPr>
          <w:noProof/>
        </w:rPr>
        <w:t>19</w:t>
      </w:r>
      <w:r w:rsidRPr="00E109D4">
        <w:rPr>
          <w:noProof/>
        </w:rPr>
        <w:t xml:space="preserve"> </w:t>
      </w:r>
      <w:r w:rsidRPr="00E109D4">
        <w:t>– Attendance patterns change through the year</w:t>
      </w:r>
      <w:r w:rsidRPr="00E109D4">
        <w:rPr>
          <w:vertAlign w:val="superscript"/>
        </w:rPr>
        <w:t>a</w:t>
      </w:r>
    </w:p>
    <w:p w14:paraId="0B4E487F" w14:textId="77777777" w:rsidR="005E1B35" w:rsidRDefault="005E1B35">
      <w:pPr>
        <w:pStyle w:val="FigureTableSubheading"/>
        <w:keepLines/>
      </w:pPr>
      <w:r w:rsidRPr="00E81D30">
        <w:t>Average hours attended per week by service type, 2019</w:t>
      </w:r>
      <w:r>
        <w:t>–</w:t>
      </w:r>
      <w:r w:rsidRPr="00E81D30">
        <w:t>2</w:t>
      </w:r>
      <w:r>
        <w:t>3</w:t>
      </w:r>
    </w:p>
    <w:p w14:paraId="553FF166" w14:textId="77777777" w:rsidR="005E1B35" w:rsidRDefault="005E1B35">
      <w:pPr>
        <w:pStyle w:val="Note"/>
        <w:keepLines/>
      </w:pPr>
      <w:r w:rsidRPr="004159FD">
        <w:rPr>
          <w:noProof/>
        </w:rPr>
        <w:drawing>
          <wp:inline distT="0" distB="0" distL="0" distR="0" wp14:anchorId="32C576A8" wp14:editId="5C65D369">
            <wp:extent cx="6120130" cy="2633134"/>
            <wp:effectExtent l="0" t="0" r="0" b="0"/>
            <wp:docPr id="1074458403" name="Picture 6" descr="Figure D.19 – This is a line graph showing the children’s average hours of attendance at CCS-approved services each week between 2019 and 2023, broken down by service type. Hours of attendance at CBDC services, the light blue line, are relatively stable throughout each year but fall near the end and start of each year. Hours of attendance at OSHC and FDC services, the light purple and dark blue lines respectively, rise significantly during each school holiday period. Hours of attendance at IHC services, the dark purple line, are higher than other service types and exhibit less variability during th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58403" name="Picture 6" descr="Figure D.19 – This is a line graph showing the children’s average hours of attendance at CCS-approved services each week between 2019 and 2023, broken down by service type. Hours of attendance at CBDC services, the light blue line, are relatively stable throughout each year but fall near the end and start of each year. Hours of attendance at OSHC and FDC services, the light purple and dark blue lines respectively, rise significantly during each school holiday period. Hours of attendance at IHC services, the dark purple line, are higher than other service types and exhibit less variability during the year. "/>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0362"/>
                    <a:stretch/>
                  </pic:blipFill>
                  <pic:spPr bwMode="auto">
                    <a:xfrm>
                      <a:off x="0" y="0"/>
                      <a:ext cx="6120130" cy="2633134"/>
                    </a:xfrm>
                    <a:prstGeom prst="rect">
                      <a:avLst/>
                    </a:prstGeom>
                    <a:noFill/>
                    <a:ln>
                      <a:noFill/>
                    </a:ln>
                    <a:extLst>
                      <a:ext uri="{53640926-AAD7-44D8-BBD7-CCE9431645EC}">
                        <a14:shadowObscured xmlns:a14="http://schemas.microsoft.com/office/drawing/2010/main"/>
                      </a:ext>
                    </a:extLst>
                  </pic:spPr>
                </pic:pic>
              </a:graphicData>
            </a:graphic>
          </wp:inline>
        </w:drawing>
      </w:r>
    </w:p>
    <w:p w14:paraId="111CB7EA" w14:textId="77777777" w:rsidR="005E1B35" w:rsidRDefault="005E1B35" w:rsidP="00882158">
      <w:pPr>
        <w:pStyle w:val="Note"/>
        <w:keepLines/>
      </w:pPr>
      <w:r w:rsidRPr="00180E66">
        <w:rPr>
          <w:b/>
          <w:bCs/>
        </w:rPr>
        <w:t>a.</w:t>
      </w:r>
      <w:r>
        <w:t xml:space="preserve"> Excludes children with missing records on hours attended.</w:t>
      </w:r>
    </w:p>
    <w:p w14:paraId="15C84807" w14:textId="77777777" w:rsidR="005E1B35" w:rsidRDefault="005E1B35" w:rsidP="00882158">
      <w:pPr>
        <w:pStyle w:val="Source"/>
      </w:pPr>
      <w:r w:rsidRPr="00696447">
        <w:t xml:space="preserve">Source: </w:t>
      </w:r>
      <w:r>
        <w:t>Productivity Commission estimates using DoE administrative data (unpublished)</w:t>
      </w:r>
      <w:r w:rsidRPr="00696447">
        <w:t>.</w:t>
      </w:r>
    </w:p>
    <w:p w14:paraId="3F7FFAFA" w14:textId="77777777" w:rsidR="005E1B35" w:rsidRPr="008C6F44" w:rsidRDefault="005E1B35" w:rsidP="00882158">
      <w:pPr>
        <w:pStyle w:val="BodyText"/>
      </w:pPr>
      <w:r w:rsidRPr="008C6F44">
        <w:br w:type="page"/>
      </w:r>
    </w:p>
    <w:p w14:paraId="56AFAEF1" w14:textId="77777777" w:rsidR="00C04126" w:rsidRDefault="005E1B35" w:rsidP="00362C91">
      <w:pPr>
        <w:pStyle w:val="Heading2-nonumber"/>
        <w:sectPr w:rsidR="00C04126" w:rsidSect="00C04126">
          <w:headerReference w:type="default" r:id="rId75"/>
          <w:footnotePr>
            <w:numRestart w:val="eachSect"/>
          </w:footnotePr>
          <w:type w:val="oddPage"/>
          <w:pgSz w:w="11906" w:h="16838" w:code="9"/>
          <w:pgMar w:top="1134" w:right="1134" w:bottom="1134" w:left="1134" w:header="794" w:footer="510" w:gutter="0"/>
          <w:cols w:space="708"/>
          <w:docGrid w:linePitch="360"/>
        </w:sectPr>
      </w:pPr>
      <w:bookmarkStart w:id="30" w:name="_Toc172213582"/>
      <w:r>
        <w:lastRenderedPageBreak/>
        <w:t>References</w:t>
      </w:r>
      <w:bookmarkEnd w:id="30"/>
    </w:p>
    <w:p w14:paraId="3B7AEF00" w14:textId="77777777" w:rsidR="005E1B35" w:rsidRPr="00EE251F" w:rsidRDefault="005E1B35" w:rsidP="006D5403">
      <w:pPr>
        <w:pStyle w:val="Reference"/>
        <w:spacing w:after="50" w:line="194" w:lineRule="exact"/>
      </w:pPr>
      <w:r w:rsidRPr="00EE251F">
        <w:t xml:space="preserve">Abbott, T and Morrison, S (Australian Government Prime Minister and Australian Government Minister for Social Services) 2015, </w:t>
      </w:r>
      <w:r w:rsidRPr="00EE251F">
        <w:rPr>
          <w:i/>
          <w:iCs/>
        </w:rPr>
        <w:t>Jobs for Families Child Care Package delivers choice for families</w:t>
      </w:r>
      <w:r w:rsidRPr="00EE251F">
        <w:t>, Media release, 10 May.</w:t>
      </w:r>
    </w:p>
    <w:p w14:paraId="762F9622" w14:textId="77777777" w:rsidR="005E1B35" w:rsidRPr="00EE251F" w:rsidRDefault="005E1B35" w:rsidP="006D5403">
      <w:pPr>
        <w:pStyle w:val="Reference"/>
        <w:spacing w:after="50" w:line="194" w:lineRule="exact"/>
      </w:pPr>
      <w:r w:rsidRPr="00EE251F">
        <w:t xml:space="preserve">Australian Government 2016, </w:t>
      </w:r>
      <w:r w:rsidRPr="00EE251F">
        <w:rPr>
          <w:i/>
          <w:iCs/>
        </w:rPr>
        <w:t>Mid-Year Economic and Fiscal Outlook 2016-17</w:t>
      </w:r>
      <w:r w:rsidRPr="00EE251F">
        <w:t>.</w:t>
      </w:r>
    </w:p>
    <w:p w14:paraId="1A9F8CF7" w14:textId="2F51DA62" w:rsidR="005E1B35" w:rsidRPr="00EE251F" w:rsidRDefault="005E1B35" w:rsidP="006D5403">
      <w:pPr>
        <w:pStyle w:val="Reference"/>
        <w:spacing w:after="50" w:line="194" w:lineRule="exact"/>
      </w:pPr>
      <w:r w:rsidRPr="00EE251F">
        <w:t>——</w:t>
      </w:r>
      <w:r w:rsidR="00A4275B">
        <w:t> </w:t>
      </w:r>
      <w:r w:rsidRPr="00EE251F">
        <w:t xml:space="preserve">2023, </w:t>
      </w:r>
      <w:r w:rsidRPr="00EE251F">
        <w:rPr>
          <w:i/>
          <w:iCs/>
        </w:rPr>
        <w:t>Budget Paper No. 2</w:t>
      </w:r>
      <w:r w:rsidRPr="00EE251F">
        <w:t>, Budget Measures 2023–24.</w:t>
      </w:r>
    </w:p>
    <w:p w14:paraId="75EFA7E2" w14:textId="77777777" w:rsidR="005E1B35" w:rsidRPr="00EE251F" w:rsidRDefault="005E1B35" w:rsidP="006D5403">
      <w:pPr>
        <w:pStyle w:val="Reference"/>
        <w:spacing w:after="50" w:line="194" w:lineRule="exact"/>
      </w:pPr>
      <w:r w:rsidRPr="00EE251F">
        <w:t xml:space="preserve">Bray, J, Baxter, J, Hand, K, Gray, M, Carroll, M, Webster, R, Phillips, B, Budinski, M, Warren, D, Katz, I and Jones, A 2021, </w:t>
      </w:r>
      <w:r w:rsidRPr="00EE251F">
        <w:rPr>
          <w:i/>
          <w:iCs/>
        </w:rPr>
        <w:t>Child Care Package evaluation: final report</w:t>
      </w:r>
      <w:r w:rsidRPr="00EE251F">
        <w:t>, Australian Institute of Family Studies, Australian National University, Social Policy Research Centre, Social Research Centre.</w:t>
      </w:r>
    </w:p>
    <w:p w14:paraId="0608863C" w14:textId="77777777" w:rsidR="005E1B35" w:rsidRPr="00EE251F" w:rsidRDefault="005E1B35" w:rsidP="006D5403">
      <w:pPr>
        <w:pStyle w:val="Reference"/>
        <w:spacing w:after="50" w:line="194" w:lineRule="exact"/>
      </w:pPr>
      <w:r w:rsidRPr="00EE251F">
        <w:t xml:space="preserve">DoE (Australian Government Department of Education) 2015, </w:t>
      </w:r>
      <w:r w:rsidRPr="00EE251F">
        <w:rPr>
          <w:i/>
          <w:iCs/>
        </w:rPr>
        <w:t>What is the work, training, study test?</w:t>
      </w:r>
    </w:p>
    <w:p w14:paraId="10126C77" w14:textId="41EA9AEB" w:rsidR="005E1B35" w:rsidRPr="00EE251F" w:rsidRDefault="005E1B35" w:rsidP="006D5403">
      <w:pPr>
        <w:pStyle w:val="Reference"/>
        <w:spacing w:after="50" w:line="194" w:lineRule="exact"/>
      </w:pPr>
      <w:r w:rsidRPr="00EE251F">
        <w:t>——</w:t>
      </w:r>
      <w:r w:rsidR="00A4275B">
        <w:t> </w:t>
      </w:r>
      <w:r w:rsidRPr="00EE251F">
        <w:t xml:space="preserve">2019, </w:t>
      </w:r>
      <w:r w:rsidRPr="00EE251F">
        <w:rPr>
          <w:i/>
          <w:iCs/>
        </w:rPr>
        <w:t>Child Care Subsidy December quarter 2018 data tables</w:t>
      </w:r>
      <w:r w:rsidRPr="00EE251F">
        <w:t>, https://www.education.gov.au/early-childhood/early-childhood-data-and-reports/quarterly-reports-usage-services-fees-and-subsidies/child-care-australia-report-december-quarter-2018 (accessed 14 November 2023).</w:t>
      </w:r>
    </w:p>
    <w:p w14:paraId="2DD7BB57" w14:textId="78328915" w:rsidR="005E1B35" w:rsidRPr="00EE251F" w:rsidRDefault="005E1B35" w:rsidP="006D5403">
      <w:pPr>
        <w:pStyle w:val="Reference"/>
        <w:spacing w:after="50" w:line="194" w:lineRule="exact"/>
      </w:pPr>
      <w:r w:rsidRPr="00EE251F">
        <w:t>——</w:t>
      </w:r>
      <w:r w:rsidR="00A4275B">
        <w:t> </w:t>
      </w:r>
      <w:r w:rsidRPr="00EE251F">
        <w:t xml:space="preserve">2021, </w:t>
      </w:r>
      <w:r w:rsidRPr="00EE251F">
        <w:rPr>
          <w:i/>
          <w:iCs/>
        </w:rPr>
        <w:t>Higher CCS for multiple children and removal of annual cap</w:t>
      </w:r>
      <w:r w:rsidRPr="00EE251F">
        <w:t>, https://www.education.gov.au/early-childhood/announcements/higher-ccs-multiple-children-and-removal-annual-cap (accessed 13 September 2023).</w:t>
      </w:r>
    </w:p>
    <w:p w14:paraId="483AD597" w14:textId="374A2DF1" w:rsidR="005E1B35" w:rsidRPr="00EE251F" w:rsidRDefault="005E1B35" w:rsidP="006D5403">
      <w:pPr>
        <w:pStyle w:val="Reference"/>
        <w:spacing w:after="50" w:line="194" w:lineRule="exact"/>
      </w:pPr>
      <w:r w:rsidRPr="00EE251F">
        <w:t>——</w:t>
      </w:r>
      <w:r w:rsidR="00A4275B">
        <w:t> </w:t>
      </w:r>
      <w:r w:rsidRPr="00EE251F">
        <w:t xml:space="preserve">2023a, </w:t>
      </w:r>
      <w:r w:rsidRPr="00EE251F">
        <w:rPr>
          <w:i/>
          <w:iCs/>
        </w:rPr>
        <w:t>Absences from child care</w:t>
      </w:r>
      <w:r w:rsidRPr="00EE251F">
        <w:t>, https://www.education.gov.au/early-childhood/child-care-subsidy/absences (accessed 29 August 2023).</w:t>
      </w:r>
    </w:p>
    <w:p w14:paraId="1420EBA8" w14:textId="00593A41" w:rsidR="005E1B35" w:rsidRPr="00EE251F" w:rsidRDefault="005E1B35" w:rsidP="006D5403">
      <w:pPr>
        <w:pStyle w:val="Reference"/>
        <w:spacing w:after="50" w:line="194" w:lineRule="exact"/>
      </w:pPr>
      <w:r w:rsidRPr="00EE251F">
        <w:t>——</w:t>
      </w:r>
      <w:r w:rsidR="00A4275B">
        <w:t> </w:t>
      </w:r>
      <w:r w:rsidRPr="00EE251F">
        <w:t xml:space="preserve">2023b, </w:t>
      </w:r>
      <w:r w:rsidRPr="00EE251F">
        <w:rPr>
          <w:i/>
          <w:iCs/>
        </w:rPr>
        <w:t>Balancing Child Care Subsidy</w:t>
      </w:r>
      <w:r w:rsidRPr="00EE251F">
        <w:t>, https://www.education.gov.au/early-childhood/child-care-subsidy/balancing (accessed 27 July 2023).</w:t>
      </w:r>
    </w:p>
    <w:p w14:paraId="4DFD51CA" w14:textId="09F17ED6" w:rsidR="005E1B35" w:rsidRPr="00EE251F" w:rsidRDefault="005E1B35" w:rsidP="006D5403">
      <w:pPr>
        <w:pStyle w:val="Reference"/>
        <w:spacing w:after="50" w:line="194" w:lineRule="exact"/>
      </w:pPr>
      <w:r w:rsidRPr="00EE251F">
        <w:t>——</w:t>
      </w:r>
      <w:r w:rsidR="00A4275B">
        <w:t> </w:t>
      </w:r>
      <w:r w:rsidRPr="00EE251F">
        <w:t xml:space="preserve">2023c, </w:t>
      </w:r>
      <w:r w:rsidRPr="00EE251F">
        <w:rPr>
          <w:i/>
          <w:iCs/>
        </w:rPr>
        <w:t>Check your eligibility</w:t>
      </w:r>
      <w:r w:rsidRPr="00EE251F">
        <w:t>, https://www.education.gov.</w:t>
      </w:r>
      <w:r w:rsidR="00E67866">
        <w:br/>
      </w:r>
      <w:r w:rsidRPr="00EE251F">
        <w:t>au/early-childhood/approval/check-your-eligibility (accessed 2 November 2023).</w:t>
      </w:r>
    </w:p>
    <w:p w14:paraId="0A379059" w14:textId="4AE52CE9" w:rsidR="005E1B35" w:rsidRPr="00EE251F" w:rsidRDefault="005E1B35" w:rsidP="006D5403">
      <w:pPr>
        <w:pStyle w:val="Reference"/>
        <w:spacing w:after="50" w:line="194" w:lineRule="exact"/>
      </w:pPr>
      <w:r w:rsidRPr="00EE251F">
        <w:t>——</w:t>
      </w:r>
      <w:r w:rsidR="00A4275B">
        <w:t> </w:t>
      </w:r>
      <w:r w:rsidRPr="00EE251F">
        <w:t xml:space="preserve">2023d, </w:t>
      </w:r>
      <w:r w:rsidRPr="00EE251F">
        <w:rPr>
          <w:i/>
          <w:iCs/>
        </w:rPr>
        <w:t>Child care provider handbook - October 2023</w:t>
      </w:r>
      <w:r w:rsidRPr="00EE251F">
        <w:t>.</w:t>
      </w:r>
    </w:p>
    <w:p w14:paraId="10A95145" w14:textId="6539AF83" w:rsidR="005E1B35" w:rsidRPr="00EE251F" w:rsidRDefault="005E1B35" w:rsidP="006D5403">
      <w:pPr>
        <w:pStyle w:val="Reference"/>
        <w:spacing w:after="50" w:line="194" w:lineRule="exact"/>
      </w:pPr>
      <w:r w:rsidRPr="00EE251F">
        <w:t>——</w:t>
      </w:r>
      <w:r w:rsidR="00A4275B">
        <w:t> </w:t>
      </w:r>
      <w:r w:rsidRPr="00EE251F">
        <w:t xml:space="preserve">2024a, </w:t>
      </w:r>
      <w:r w:rsidRPr="00EE251F">
        <w:rPr>
          <w:i/>
          <w:iCs/>
        </w:rPr>
        <w:t>Budget Related Paper No. 1.5 - Education Portfolio</w:t>
      </w:r>
      <w:r w:rsidRPr="00EE251F">
        <w:t>, Portfolio Budget Statements 2024–25.</w:t>
      </w:r>
    </w:p>
    <w:p w14:paraId="4A9F7A9D" w14:textId="6B58903B" w:rsidR="005E1B35" w:rsidRPr="00EE251F" w:rsidRDefault="005E1B35" w:rsidP="006D5403">
      <w:pPr>
        <w:pStyle w:val="Reference"/>
        <w:spacing w:after="50" w:line="194" w:lineRule="exact"/>
      </w:pPr>
      <w:r w:rsidRPr="00EE251F">
        <w:t>——</w:t>
      </w:r>
      <w:r w:rsidR="00A4275B">
        <w:t> </w:t>
      </w:r>
      <w:r w:rsidRPr="00EE251F">
        <w:t xml:space="preserve">2024b, </w:t>
      </w:r>
      <w:r w:rsidRPr="00EE251F">
        <w:rPr>
          <w:i/>
          <w:iCs/>
        </w:rPr>
        <w:t>Child Care Subsidy December quarter 2023 data tables</w:t>
      </w:r>
      <w:r w:rsidRPr="00EE251F">
        <w:t>, https://www.education.gov.au/early-childhood/early-childhood-data-and-reports/quarterly-reports-usage-services-fees-and-subsidies/child-care-subsidy-data-report-december-quarter-2023 (accessed 28 March 2024).</w:t>
      </w:r>
    </w:p>
    <w:p w14:paraId="632FBBDD" w14:textId="77777777" w:rsidR="005E1B35" w:rsidRPr="00EE251F" w:rsidRDefault="005E1B35" w:rsidP="006D5403">
      <w:pPr>
        <w:pStyle w:val="Reference"/>
        <w:spacing w:after="50" w:line="194" w:lineRule="exact"/>
      </w:pPr>
      <w:r w:rsidRPr="00EE251F">
        <w:t xml:space="preserve">DSS (Australian Government Department of Social Services) 2015, </w:t>
      </w:r>
      <w:r w:rsidRPr="00EE251F">
        <w:rPr>
          <w:i/>
          <w:iCs/>
        </w:rPr>
        <w:t>Nanny Pilot Programme fact sheet</w:t>
      </w:r>
      <w:r w:rsidRPr="00EE251F">
        <w:t>.</w:t>
      </w:r>
    </w:p>
    <w:p w14:paraId="3946FD87" w14:textId="4A1F723D" w:rsidR="005E1B35" w:rsidRPr="00EE251F" w:rsidRDefault="005E1B35" w:rsidP="006D5403">
      <w:pPr>
        <w:pStyle w:val="Reference"/>
        <w:spacing w:after="50" w:line="194" w:lineRule="exact"/>
      </w:pPr>
      <w:r w:rsidRPr="00EE251F">
        <w:t>——</w:t>
      </w:r>
      <w:r w:rsidR="00A4275B">
        <w:t> </w:t>
      </w:r>
      <w:r w:rsidRPr="00EE251F">
        <w:t xml:space="preserve">2023a, </w:t>
      </w:r>
      <w:r w:rsidRPr="00EE251F">
        <w:rPr>
          <w:i/>
          <w:iCs/>
        </w:rPr>
        <w:t>3.5.2.10 CCS - activity test - general</w:t>
      </w:r>
      <w:r w:rsidRPr="00EE251F">
        <w:t>, Family Assistance Guide, https://guides.dss.gov.au/family-assistance-guide/3/5/2/10 (accessed 27 July 2023).</w:t>
      </w:r>
    </w:p>
    <w:p w14:paraId="737901A0" w14:textId="2DDAB6B3" w:rsidR="005E1B35" w:rsidRPr="00EE251F" w:rsidRDefault="005E1B35" w:rsidP="006D5403">
      <w:pPr>
        <w:pStyle w:val="Reference"/>
        <w:spacing w:after="50" w:line="194" w:lineRule="exact"/>
      </w:pPr>
      <w:r w:rsidRPr="00EE251F">
        <w:t>——</w:t>
      </w:r>
      <w:r w:rsidR="00A4275B">
        <w:t> </w:t>
      </w:r>
      <w:r w:rsidRPr="00EE251F">
        <w:t xml:space="preserve">2023b, </w:t>
      </w:r>
      <w:r w:rsidRPr="00EE251F">
        <w:rPr>
          <w:i/>
          <w:iCs/>
        </w:rPr>
        <w:t>3.5.2.20 CCS - activity test exemptions</w:t>
      </w:r>
      <w:r w:rsidRPr="00EE251F">
        <w:t>, Family Assistance Guide, https://guides.dss.gov.au/family-assistance-guide/3/5/2/20 (accessed 27 July 2023).</w:t>
      </w:r>
    </w:p>
    <w:p w14:paraId="04405250" w14:textId="1C707844" w:rsidR="005E1B35" w:rsidRPr="00EE251F" w:rsidRDefault="005E1B35" w:rsidP="006D5403">
      <w:pPr>
        <w:pStyle w:val="Reference"/>
        <w:spacing w:after="50" w:line="194" w:lineRule="exact"/>
      </w:pPr>
      <w:r w:rsidRPr="00EE251F">
        <w:t>——</w:t>
      </w:r>
      <w:r w:rsidR="00A4275B">
        <w:t> </w:t>
      </w:r>
      <w:r w:rsidRPr="00EE251F">
        <w:t xml:space="preserve">2023c, </w:t>
      </w:r>
      <w:r w:rsidRPr="00EE251F">
        <w:rPr>
          <w:i/>
          <w:iCs/>
        </w:rPr>
        <w:t>3.5.3 CCS - hourly rate caps</w:t>
      </w:r>
      <w:r w:rsidRPr="00EE251F">
        <w:t>, Family Assistance Guide, https://guides.dss.gov.au/family-assistance-guide/3/5/3 (accessed 15 November 2023).</w:t>
      </w:r>
    </w:p>
    <w:p w14:paraId="32A26BDA" w14:textId="40223FDA" w:rsidR="005E1B35" w:rsidRPr="00EE251F" w:rsidRDefault="005E1B35" w:rsidP="006D5403">
      <w:pPr>
        <w:pStyle w:val="Reference"/>
        <w:spacing w:after="50" w:line="194" w:lineRule="exact"/>
      </w:pPr>
      <w:r w:rsidRPr="00EE251F">
        <w:t>——</w:t>
      </w:r>
      <w:r w:rsidR="00A4275B">
        <w:t> </w:t>
      </w:r>
      <w:r w:rsidRPr="00EE251F">
        <w:t xml:space="preserve">2023d, </w:t>
      </w:r>
      <w:r w:rsidRPr="00EE251F">
        <w:rPr>
          <w:i/>
          <w:iCs/>
        </w:rPr>
        <w:t>7.2.10 Debt recovery of CCS/ACCS by offsetting - prior to reconciliation</w:t>
      </w:r>
      <w:r w:rsidRPr="00EE251F">
        <w:t>, Family Assistance Guide, https://guides.dss.gov.au/family-assistance-guide/7/2/10 (accessed 27 July 2023).</w:t>
      </w:r>
    </w:p>
    <w:p w14:paraId="3466088E" w14:textId="77777777" w:rsidR="005E1B35" w:rsidRPr="00283DDA" w:rsidRDefault="005E1B35" w:rsidP="006D5403">
      <w:pPr>
        <w:pStyle w:val="Reference"/>
        <w:spacing w:after="50" w:line="194" w:lineRule="exact"/>
        <w:rPr>
          <w:spacing w:val="-4"/>
        </w:rPr>
      </w:pPr>
      <w:r w:rsidRPr="00283DDA">
        <w:rPr>
          <w:spacing w:val="-4"/>
        </w:rPr>
        <w:t xml:space="preserve">Parliamentary Library 2019, </w:t>
      </w:r>
      <w:r w:rsidRPr="00283DDA">
        <w:rPr>
          <w:i/>
          <w:iCs/>
          <w:spacing w:val="-4"/>
        </w:rPr>
        <w:t>Impact of the new Child Care Subsidy</w:t>
      </w:r>
      <w:r w:rsidRPr="00283DDA">
        <w:rPr>
          <w:spacing w:val="-4"/>
        </w:rPr>
        <w:t>, https://www.aph.gov.au/About_Parliament/</w:t>
      </w:r>
      <w:r w:rsidRPr="00283DDA">
        <w:rPr>
          <w:spacing w:val="-4"/>
        </w:rPr>
        <w:br/>
        <w:t>Parliamentary_Departments/Parliamentary_Library/FlagPost/</w:t>
      </w:r>
      <w:r w:rsidRPr="00283DDA">
        <w:rPr>
          <w:spacing w:val="-4"/>
        </w:rPr>
        <w:br/>
        <w:t>2019/April/New_Child_Care_Subsidy (accessed 7 August 2023).</w:t>
      </w:r>
    </w:p>
    <w:p w14:paraId="4962FB0A" w14:textId="77777777" w:rsidR="005E1B35" w:rsidRPr="00EE251F" w:rsidRDefault="005E1B35" w:rsidP="006D5403">
      <w:pPr>
        <w:pStyle w:val="Reference"/>
        <w:spacing w:after="50" w:line="194" w:lineRule="exact"/>
      </w:pPr>
      <w:r w:rsidRPr="00EE251F">
        <w:t xml:space="preserve">PC (Productivity Commission) 2014, </w:t>
      </w:r>
      <w:r w:rsidRPr="00EE251F">
        <w:rPr>
          <w:i/>
          <w:iCs/>
        </w:rPr>
        <w:t xml:space="preserve">Childcare and </w:t>
      </w:r>
      <w:r>
        <w:rPr>
          <w:i/>
          <w:iCs/>
        </w:rPr>
        <w:t>e</w:t>
      </w:r>
      <w:r w:rsidRPr="00EE251F">
        <w:rPr>
          <w:i/>
          <w:iCs/>
        </w:rPr>
        <w:t xml:space="preserve">arly </w:t>
      </w:r>
      <w:r>
        <w:rPr>
          <w:i/>
          <w:iCs/>
        </w:rPr>
        <w:t>c</w:t>
      </w:r>
      <w:r w:rsidRPr="00EE251F">
        <w:rPr>
          <w:i/>
          <w:iCs/>
        </w:rPr>
        <w:t xml:space="preserve">hildhood </w:t>
      </w:r>
      <w:r>
        <w:rPr>
          <w:i/>
          <w:iCs/>
        </w:rPr>
        <w:t>l</w:t>
      </w:r>
      <w:r w:rsidRPr="00EE251F">
        <w:rPr>
          <w:i/>
          <w:iCs/>
        </w:rPr>
        <w:t>earning</w:t>
      </w:r>
      <w:r w:rsidRPr="00EE251F">
        <w:t>, Report no. 73.</w:t>
      </w:r>
    </w:p>
    <w:p w14:paraId="75458519" w14:textId="77777777" w:rsidR="005E1B35" w:rsidRPr="00EE251F" w:rsidRDefault="005E1B35" w:rsidP="006D5403">
      <w:pPr>
        <w:pStyle w:val="Reference"/>
        <w:spacing w:after="50" w:line="194" w:lineRule="exact"/>
      </w:pPr>
      <w:r w:rsidRPr="00EE251F">
        <w:t xml:space="preserve">Services Australia 2021, </w:t>
      </w:r>
      <w:r w:rsidRPr="00EE251F">
        <w:rPr>
          <w:i/>
          <w:iCs/>
        </w:rPr>
        <w:t>The Child Wellbeing Additional Child Care Subsidy</w:t>
      </w:r>
      <w:r w:rsidRPr="00EE251F">
        <w:t>, https://www.servicesaustralia.gov.au/child-wellbeing-subsidy?context=41866 (accessed 27 July 2023).</w:t>
      </w:r>
    </w:p>
    <w:p w14:paraId="07100174" w14:textId="627F3EA3" w:rsidR="005E1B35" w:rsidRPr="00EE251F" w:rsidRDefault="005E1B35" w:rsidP="006D5403">
      <w:pPr>
        <w:pStyle w:val="Reference"/>
        <w:spacing w:after="50" w:line="194" w:lineRule="exact"/>
      </w:pPr>
      <w:r w:rsidRPr="00EE251F">
        <w:t>——</w:t>
      </w:r>
      <w:r w:rsidR="00A4275B">
        <w:t> </w:t>
      </w:r>
      <w:r w:rsidRPr="00EE251F">
        <w:t xml:space="preserve">2022a, </w:t>
      </w:r>
      <w:r w:rsidRPr="00EE251F">
        <w:rPr>
          <w:i/>
          <w:iCs/>
        </w:rPr>
        <w:t>Activity level and subsidised care</w:t>
      </w:r>
      <w:r w:rsidRPr="00EE251F">
        <w:t>, https://www.servicesaustralia.gov.au/activity-level-and-subsidised-care-for-child-care-subsidy?context=41186 (accessed 9 November 2022).</w:t>
      </w:r>
    </w:p>
    <w:p w14:paraId="0C146BE0" w14:textId="09895B7C" w:rsidR="005E1B35" w:rsidRPr="00EE251F" w:rsidRDefault="005E1B35" w:rsidP="006D5403">
      <w:pPr>
        <w:pStyle w:val="Reference"/>
        <w:spacing w:after="50" w:line="194" w:lineRule="exact"/>
      </w:pPr>
      <w:r w:rsidRPr="00EE251F">
        <w:t>——</w:t>
      </w:r>
      <w:r w:rsidR="00A4275B">
        <w:t> </w:t>
      </w:r>
      <w:r w:rsidRPr="00EE251F">
        <w:t xml:space="preserve">2022b, </w:t>
      </w:r>
      <w:r w:rsidRPr="00EE251F">
        <w:rPr>
          <w:i/>
          <w:iCs/>
        </w:rPr>
        <w:t>Child Wellbeing subsidy amount</w:t>
      </w:r>
      <w:r w:rsidRPr="00EE251F">
        <w:t>, https://www.servicesaustralia.gov.au/child-wellbeing-subsidy-amount?context=41866 (accessed 5 September 2023).</w:t>
      </w:r>
    </w:p>
    <w:p w14:paraId="067B34B7" w14:textId="64DC39D9" w:rsidR="005E1B35" w:rsidRPr="00EE251F" w:rsidRDefault="005E1B35" w:rsidP="006D5403">
      <w:pPr>
        <w:pStyle w:val="Reference"/>
        <w:spacing w:after="50" w:line="194" w:lineRule="exact"/>
      </w:pPr>
      <w:r w:rsidRPr="00EE251F">
        <w:t>——</w:t>
      </w:r>
      <w:r w:rsidR="00A4275B">
        <w:t> </w:t>
      </w:r>
      <w:r w:rsidRPr="00EE251F">
        <w:t xml:space="preserve">2022c, </w:t>
      </w:r>
      <w:r w:rsidRPr="00EE251F">
        <w:rPr>
          <w:i/>
          <w:iCs/>
        </w:rPr>
        <w:t>Grandparent subsidy amount</w:t>
      </w:r>
      <w:r w:rsidRPr="00EE251F">
        <w:t>, https://www.servicesaustralia.gov.au/grandparent-additional-child-care-subsidy-amount?context=41866 (accessed 5 September 2023).</w:t>
      </w:r>
    </w:p>
    <w:p w14:paraId="3FA1F6C5" w14:textId="4640C1D4" w:rsidR="005E1B35" w:rsidRPr="00362C91" w:rsidRDefault="005E1B35" w:rsidP="006D5403">
      <w:pPr>
        <w:pStyle w:val="Reference"/>
        <w:spacing w:after="50" w:line="194" w:lineRule="exact"/>
        <w:rPr>
          <w:spacing w:val="-4"/>
        </w:rPr>
      </w:pPr>
      <w:r w:rsidRPr="00362C91">
        <w:rPr>
          <w:spacing w:val="-4"/>
        </w:rPr>
        <w:t>——</w:t>
      </w:r>
      <w:r w:rsidR="00A4275B" w:rsidRPr="00362C91">
        <w:rPr>
          <w:spacing w:val="-4"/>
        </w:rPr>
        <w:t> </w:t>
      </w:r>
      <w:r w:rsidRPr="00362C91">
        <w:rPr>
          <w:spacing w:val="-4"/>
        </w:rPr>
        <w:t xml:space="preserve">2022d, </w:t>
      </w:r>
      <w:r w:rsidRPr="00362C91">
        <w:rPr>
          <w:i/>
          <w:iCs/>
          <w:spacing w:val="-4"/>
        </w:rPr>
        <w:t>Recognised activities</w:t>
      </w:r>
      <w:r w:rsidRPr="00362C91">
        <w:rPr>
          <w:spacing w:val="-4"/>
        </w:rPr>
        <w:t>, https://www.services</w:t>
      </w:r>
      <w:r w:rsidR="00362C91">
        <w:rPr>
          <w:spacing w:val="-4"/>
        </w:rPr>
        <w:br/>
      </w:r>
      <w:r w:rsidRPr="00362C91">
        <w:rPr>
          <w:spacing w:val="-4"/>
        </w:rPr>
        <w:t>australia.gov.au/recognised-activities-for-child-care-subsidy?context=41186 (accessed 10 November 2022).</w:t>
      </w:r>
    </w:p>
    <w:p w14:paraId="4384B670" w14:textId="7A334C5F" w:rsidR="005E1B35" w:rsidRPr="00EE251F" w:rsidRDefault="005E1B35" w:rsidP="006D5403">
      <w:pPr>
        <w:pStyle w:val="Reference"/>
        <w:spacing w:after="50" w:line="194" w:lineRule="exact"/>
      </w:pPr>
      <w:r w:rsidRPr="00EE251F">
        <w:t>——</w:t>
      </w:r>
      <w:r w:rsidR="00A4275B">
        <w:t> </w:t>
      </w:r>
      <w:r w:rsidRPr="00EE251F">
        <w:t xml:space="preserve">2022e, </w:t>
      </w:r>
      <w:r w:rsidRPr="00EE251F">
        <w:rPr>
          <w:i/>
          <w:iCs/>
        </w:rPr>
        <w:t>Temporary Financial Hardship subsidy amount</w:t>
      </w:r>
      <w:r w:rsidRPr="00EE251F">
        <w:t>, https://www.servicesaustralia.gov.au/temporary-financial-hardship-additional-child-care-subsidy-amount?context=41866 (accessed 5 September 2023).</w:t>
      </w:r>
    </w:p>
    <w:p w14:paraId="5557BC7B" w14:textId="0332836C" w:rsidR="005E1B35" w:rsidRPr="00EE251F" w:rsidRDefault="005E1B35" w:rsidP="006D5403">
      <w:pPr>
        <w:pStyle w:val="Reference"/>
        <w:spacing w:after="50" w:line="194" w:lineRule="exact"/>
      </w:pPr>
      <w:r w:rsidRPr="00EE251F">
        <w:t>——</w:t>
      </w:r>
      <w:r w:rsidR="00A4275B">
        <w:t> </w:t>
      </w:r>
      <w:r w:rsidRPr="00EE251F">
        <w:t xml:space="preserve">2022f, </w:t>
      </w:r>
      <w:r w:rsidRPr="00EE251F">
        <w:rPr>
          <w:i/>
          <w:iCs/>
        </w:rPr>
        <w:t>The Grandparent Additional Child Care Subsidy</w:t>
      </w:r>
      <w:r w:rsidRPr="00EE251F">
        <w:t>, https://www.servicesaustralia.gov.au/grandparent-additional-child-care-subsidy?context=41866 (accessed 27 July 2023).</w:t>
      </w:r>
    </w:p>
    <w:p w14:paraId="21E693B3" w14:textId="494CE463" w:rsidR="005E1B35" w:rsidRPr="00EE251F" w:rsidRDefault="005E1B35" w:rsidP="006D5403">
      <w:pPr>
        <w:pStyle w:val="Reference"/>
        <w:spacing w:after="50" w:line="194" w:lineRule="exact"/>
      </w:pPr>
      <w:r w:rsidRPr="00EE251F">
        <w:t>——</w:t>
      </w:r>
      <w:r w:rsidR="00A4275B">
        <w:t> </w:t>
      </w:r>
      <w:r w:rsidRPr="00EE251F">
        <w:t xml:space="preserve">2022g, </w:t>
      </w:r>
      <w:r w:rsidRPr="00EE251F">
        <w:rPr>
          <w:i/>
          <w:iCs/>
        </w:rPr>
        <w:t>Transition to Work subsidy amount</w:t>
      </w:r>
      <w:r w:rsidRPr="00EE251F">
        <w:t>, https://www.servicesaustralia.gov.au/transition-to-work-additional-child-care-subsidy-amount?context=41866 (accessed 5 September 2023).</w:t>
      </w:r>
    </w:p>
    <w:p w14:paraId="25BD0BC7" w14:textId="7BA2A1A1" w:rsidR="005E1B35" w:rsidRPr="00EE251F" w:rsidRDefault="005E1B35" w:rsidP="006D5403">
      <w:pPr>
        <w:pStyle w:val="Reference"/>
        <w:spacing w:after="50" w:line="194" w:lineRule="exact"/>
      </w:pPr>
      <w:r w:rsidRPr="00EE251F">
        <w:t>——</w:t>
      </w:r>
      <w:r w:rsidR="00A4275B">
        <w:t> </w:t>
      </w:r>
      <w:r w:rsidRPr="00EE251F">
        <w:t xml:space="preserve">2023a, </w:t>
      </w:r>
      <w:r w:rsidRPr="00EE251F">
        <w:rPr>
          <w:i/>
          <w:iCs/>
        </w:rPr>
        <w:t>A guide to Australian Government payments: 20 September 2023 to 31 December 2023</w:t>
      </w:r>
      <w:r w:rsidRPr="00EE251F">
        <w:t>.</w:t>
      </w:r>
    </w:p>
    <w:p w14:paraId="60798B49" w14:textId="3B2575BE" w:rsidR="005E1B35" w:rsidRPr="00EE251F" w:rsidRDefault="005E1B35" w:rsidP="006D5403">
      <w:pPr>
        <w:pStyle w:val="Reference"/>
        <w:spacing w:after="50" w:line="194" w:lineRule="exact"/>
      </w:pPr>
      <w:r w:rsidRPr="00EE251F">
        <w:t>——</w:t>
      </w:r>
      <w:r w:rsidR="00A4275B">
        <w:t> </w:t>
      </w:r>
      <w:r w:rsidRPr="00EE251F">
        <w:t xml:space="preserve">2023b, </w:t>
      </w:r>
      <w:r w:rsidRPr="00EE251F">
        <w:rPr>
          <w:i/>
          <w:iCs/>
        </w:rPr>
        <w:t>Changes if you get family payments</w:t>
      </w:r>
      <w:r w:rsidRPr="00EE251F">
        <w:t>, https://www.servicesaustralia.gov.au/changes-if-you-get-family-payments?context=41186 (accessed 8 August 2023).</w:t>
      </w:r>
    </w:p>
    <w:p w14:paraId="31E15FFD" w14:textId="7A74E181" w:rsidR="005E1B35" w:rsidRPr="00EE251F" w:rsidRDefault="005E1B35" w:rsidP="006D5403">
      <w:pPr>
        <w:pStyle w:val="Reference"/>
        <w:spacing w:after="50" w:line="194" w:lineRule="exact"/>
      </w:pPr>
      <w:r w:rsidRPr="00EE251F">
        <w:t>——</w:t>
      </w:r>
      <w:r w:rsidR="00A4275B">
        <w:t> </w:t>
      </w:r>
      <w:r w:rsidRPr="00EE251F">
        <w:t xml:space="preserve">2023c, </w:t>
      </w:r>
      <w:r w:rsidRPr="00EE251F">
        <w:rPr>
          <w:i/>
          <w:iCs/>
        </w:rPr>
        <w:t>Child Care Subsidy if your child is absent from child care</w:t>
      </w:r>
      <w:r w:rsidRPr="00EE251F">
        <w:t>, https://www.servicesaustralia.gov.au/child-care-subsidy-if-your-child-absent-from-child-care?context=41186 (accessed 27 July 2023).</w:t>
      </w:r>
    </w:p>
    <w:p w14:paraId="2E2C390A" w14:textId="1A7361A2" w:rsidR="005E1B35" w:rsidRPr="00EE251F" w:rsidRDefault="005E1B35" w:rsidP="006D5403">
      <w:pPr>
        <w:pStyle w:val="Reference"/>
        <w:spacing w:after="50" w:line="194" w:lineRule="exact"/>
      </w:pPr>
      <w:r w:rsidRPr="00EE251F">
        <w:t>——</w:t>
      </w:r>
      <w:r w:rsidR="00A4275B">
        <w:t> </w:t>
      </w:r>
      <w:r w:rsidRPr="00EE251F">
        <w:t xml:space="preserve">2023d, </w:t>
      </w:r>
      <w:r w:rsidRPr="00EE251F">
        <w:rPr>
          <w:i/>
          <w:iCs/>
        </w:rPr>
        <w:t>The Temporary Financial Hardship Additional Child Care Subsidy</w:t>
      </w:r>
      <w:r w:rsidRPr="00EE251F">
        <w:t>, https://www.servicesaustralia.</w:t>
      </w:r>
      <w:r w:rsidR="00090304">
        <w:br/>
      </w:r>
      <w:r w:rsidRPr="00EE251F">
        <w:t>gov.au/temporary-financial-hardship-additional-child-care-subsidy?context=41866 (accessed 27 July 2023).</w:t>
      </w:r>
    </w:p>
    <w:p w14:paraId="7194FD16" w14:textId="3DFD4841" w:rsidR="005E1B35" w:rsidRPr="00EE251F" w:rsidRDefault="005E1B35" w:rsidP="006D5403">
      <w:pPr>
        <w:pStyle w:val="Reference"/>
        <w:spacing w:after="50" w:line="194" w:lineRule="exact"/>
      </w:pPr>
      <w:r w:rsidRPr="00EE251F">
        <w:t>——</w:t>
      </w:r>
      <w:r w:rsidR="00A4275B">
        <w:t> </w:t>
      </w:r>
      <w:r w:rsidRPr="00EE251F">
        <w:t xml:space="preserve">2023e, </w:t>
      </w:r>
      <w:r w:rsidRPr="00EE251F">
        <w:rPr>
          <w:i/>
          <w:iCs/>
        </w:rPr>
        <w:t>The Transition to Work Additional Child Care Subsidy</w:t>
      </w:r>
      <w:r w:rsidRPr="00EE251F">
        <w:t>, https://www.servicesaustralia.gov.au/transition-to-work-additional-child-care-subsidy?context=41866 (accessed 27 July 2023).</w:t>
      </w:r>
    </w:p>
    <w:p w14:paraId="7BBE27A1" w14:textId="2ED3D60A" w:rsidR="005E1B35" w:rsidRPr="00EE251F" w:rsidRDefault="005E1B35" w:rsidP="006D5403">
      <w:pPr>
        <w:pStyle w:val="Reference"/>
        <w:spacing w:after="50" w:line="194" w:lineRule="exact"/>
      </w:pPr>
      <w:r w:rsidRPr="00EE251F">
        <w:t>——</w:t>
      </w:r>
      <w:r w:rsidR="00A4275B">
        <w:t> </w:t>
      </w:r>
      <w:r w:rsidRPr="00EE251F">
        <w:t xml:space="preserve">2023f, </w:t>
      </w:r>
      <w:r w:rsidRPr="00EE251F">
        <w:rPr>
          <w:i/>
          <w:iCs/>
        </w:rPr>
        <w:t>The type of child care you use can affect Child Care Subsidy</w:t>
      </w:r>
      <w:r w:rsidRPr="00EE251F">
        <w:t>, https://www.servicesaustralia.gov.au/type-child-care-you-use-can-affect-child-care-subsidy?context=41186 (accessed 27 July 2023).</w:t>
      </w:r>
    </w:p>
    <w:p w14:paraId="49034865" w14:textId="60167A15" w:rsidR="005E1B35" w:rsidRPr="00EE251F" w:rsidRDefault="005E1B35" w:rsidP="006D5403">
      <w:pPr>
        <w:pStyle w:val="Reference"/>
        <w:spacing w:after="50" w:line="194" w:lineRule="exact"/>
      </w:pPr>
      <w:r w:rsidRPr="00EE251F">
        <w:t>——</w:t>
      </w:r>
      <w:r w:rsidR="00A4275B">
        <w:t> </w:t>
      </w:r>
      <w:r w:rsidRPr="00EE251F">
        <w:t xml:space="preserve">2023g, </w:t>
      </w:r>
      <w:r w:rsidRPr="00EE251F">
        <w:rPr>
          <w:i/>
          <w:iCs/>
        </w:rPr>
        <w:t>Who can get Child Care Subsidy</w:t>
      </w:r>
      <w:r w:rsidRPr="00EE251F">
        <w:t>, https://www.servicesaustralia.gov.au/who-can-get-child-care-subsidy?context=41186 (accessed 27 July 2023).</w:t>
      </w:r>
    </w:p>
    <w:p w14:paraId="1DFD1CBE" w14:textId="5FF8F4D5" w:rsidR="005E1B35" w:rsidRPr="00283DDA" w:rsidRDefault="005E1B35" w:rsidP="006D5403">
      <w:pPr>
        <w:pStyle w:val="Reference"/>
        <w:spacing w:after="50" w:line="194" w:lineRule="exact"/>
        <w:rPr>
          <w:spacing w:val="-4"/>
        </w:rPr>
      </w:pPr>
      <w:r w:rsidRPr="00283DDA">
        <w:rPr>
          <w:spacing w:val="-4"/>
        </w:rPr>
        <w:t>——</w:t>
      </w:r>
      <w:r w:rsidR="00A4275B" w:rsidRPr="00283DDA">
        <w:rPr>
          <w:spacing w:val="-4"/>
        </w:rPr>
        <w:t> </w:t>
      </w:r>
      <w:r w:rsidRPr="00283DDA">
        <w:rPr>
          <w:spacing w:val="-4"/>
        </w:rPr>
        <w:t xml:space="preserve">2023h, </w:t>
      </w:r>
      <w:r w:rsidRPr="00283DDA">
        <w:rPr>
          <w:i/>
          <w:iCs/>
          <w:spacing w:val="-4"/>
        </w:rPr>
        <w:t>Your income can affect it</w:t>
      </w:r>
      <w:r w:rsidRPr="00283DDA">
        <w:rPr>
          <w:spacing w:val="-4"/>
        </w:rPr>
        <w:t>, https://www.servicesaustralia.gov.au/your-income-can-affect-child-care-subsidy?context=41186 (accessed 7 November 2022).</w:t>
      </w:r>
    </w:p>
    <w:p w14:paraId="45D371F2" w14:textId="662A6E6F" w:rsidR="00546D48" w:rsidRDefault="005E1B35" w:rsidP="006D5403">
      <w:pPr>
        <w:pStyle w:val="Reference"/>
        <w:spacing w:after="50" w:line="194" w:lineRule="exact"/>
        <w:sectPr w:rsidR="00546D48" w:rsidSect="00C04126">
          <w:footnotePr>
            <w:numRestart w:val="eachSect"/>
          </w:footnotePr>
          <w:type w:val="continuous"/>
          <w:pgSz w:w="11906" w:h="16838" w:code="9"/>
          <w:pgMar w:top="1134" w:right="1134" w:bottom="1134" w:left="1134" w:header="794" w:footer="510" w:gutter="0"/>
          <w:cols w:num="2" w:space="708"/>
          <w:docGrid w:linePitch="360"/>
        </w:sectPr>
      </w:pPr>
      <w:r w:rsidRPr="00EE251F">
        <w:t>——</w:t>
      </w:r>
      <w:r w:rsidR="00A4275B">
        <w:t> </w:t>
      </w:r>
      <w:r w:rsidRPr="00EE251F">
        <w:t xml:space="preserve">2023i, </w:t>
      </w:r>
      <w:r w:rsidRPr="00EE251F">
        <w:rPr>
          <w:i/>
          <w:iCs/>
        </w:rPr>
        <w:t>Your number of children in care can affect your higher Child Care Subsidy</w:t>
      </w:r>
      <w:r w:rsidRPr="00EE251F">
        <w:t>, https://www.servicesaustralia.</w:t>
      </w:r>
      <w:r w:rsidR="00090304">
        <w:br/>
      </w:r>
      <w:r w:rsidRPr="00EE251F">
        <w:t>gov.au/your-number-children-care-can-affect-your-higher-child-care-subsidy?context=41186 (accessed 27 July 2023)</w:t>
      </w:r>
      <w:r w:rsidR="00546D48">
        <w:t>.</w:t>
      </w:r>
    </w:p>
    <w:p w14:paraId="6BF4AC93" w14:textId="77777777" w:rsidR="005E1B35" w:rsidRDefault="005E1B35" w:rsidP="002D7A38">
      <w:pPr>
        <w:pStyle w:val="BodyText"/>
        <w:spacing w:before="0" w:after="0"/>
      </w:pPr>
    </w:p>
    <w:p w14:paraId="2B74F02A" w14:textId="77777777" w:rsidR="005E1B35" w:rsidRDefault="005E1B35" w:rsidP="00882158">
      <w:pPr>
        <w:pStyle w:val="BodyText"/>
        <w:sectPr w:rsidR="005E1B35" w:rsidSect="00546D48">
          <w:footnotePr>
            <w:numRestart w:val="eachSect"/>
          </w:footnotePr>
          <w:type w:val="continuous"/>
          <w:pgSz w:w="11906" w:h="16838" w:code="9"/>
          <w:pgMar w:top="1134" w:right="1134" w:bottom="1134" w:left="1134" w:header="794" w:footer="510" w:gutter="0"/>
          <w:cols w:space="708"/>
          <w:docGrid w:linePitch="360"/>
        </w:sectPr>
      </w:pPr>
    </w:p>
    <w:p w14:paraId="116D9A0F" w14:textId="77777777" w:rsidR="005E1B35" w:rsidRDefault="005E1B35" w:rsidP="00882158">
      <w:pPr>
        <w:pStyle w:val="Heading-Appendix"/>
        <w:spacing w:after="240"/>
      </w:pPr>
      <w:bookmarkStart w:id="31" w:name="_Toc172213583"/>
      <w:r>
        <w:lastRenderedPageBreak/>
        <w:t>Preschool funding and reforms</w:t>
      </w:r>
      <w:bookmarkEnd w:id="31"/>
    </w:p>
    <w:p w14:paraId="34BBF9D5" w14:textId="77777777" w:rsidR="005E1B35" w:rsidRPr="008A38EA" w:rsidRDefault="005E1B35" w:rsidP="00882158">
      <w:pPr>
        <w:pStyle w:val="Heading2-Appendix"/>
        <w:spacing w:before="240"/>
      </w:pPr>
      <w:bookmarkStart w:id="32" w:name="_Toc172213584"/>
      <w:r w:rsidRPr="008A38EA">
        <w:t>Introduction</w:t>
      </w:r>
      <w:bookmarkEnd w:id="32"/>
    </w:p>
    <w:p w14:paraId="2A6C25B0" w14:textId="77777777" w:rsidR="005E1B35" w:rsidRDefault="005E1B35" w:rsidP="00882158">
      <w:pPr>
        <w:pStyle w:val="BodyText"/>
      </w:pPr>
      <w:r>
        <w:t>This appendix supplements the discussion of preschool funding and reforms in the main papers by providing an outline of current preschool funding arrangements, including state and territory funding, the Preschool Reform Agreement and the Child Care Subsidy (CCS). It also outlines recent state and territory reforms that will lead to changes in preschool funding and access in the future.</w:t>
      </w:r>
    </w:p>
    <w:p w14:paraId="11EEAB74" w14:textId="77777777" w:rsidR="005E1B35" w:rsidRDefault="005E1B35" w:rsidP="00882158">
      <w:pPr>
        <w:pStyle w:val="Heading3"/>
      </w:pPr>
      <w:r>
        <w:t>Definition of a preschool program</w:t>
      </w:r>
    </w:p>
    <w:p w14:paraId="0C3444CE" w14:textId="77777777" w:rsidR="005E1B35" w:rsidRDefault="005E1B35" w:rsidP="00882158">
      <w:pPr>
        <w:pStyle w:val="BodyText"/>
      </w:pPr>
      <w:r>
        <w:t>A preschool program is a structured, play</w:t>
      </w:r>
      <w:r>
        <w:noBreakHyphen/>
        <w:t>based learning program, delivered by a degree qualified teacher, aimed primarily at children in the year or two before they commence full</w:t>
      </w:r>
      <w:r>
        <w:noBreakHyphen/>
        <w:t xml:space="preserve">time schooling </w:t>
      </w:r>
      <w:r w:rsidRPr="0052725E">
        <w:rPr>
          <w:rFonts w:ascii="Arial" w:hAnsi="Arial" w:cs="Arial"/>
        </w:rPr>
        <w:t>(ABS 2024b)</w:t>
      </w:r>
      <w:r>
        <w:t>. The Australian Government’s preschool policy focuses on children in the year before full</w:t>
      </w:r>
      <w:r>
        <w:noBreakHyphen/>
        <w:t>time school (YBFS). Under the Preschool Reform Agreement, every child is entitled to 600 hours of preschool in the year before they start school, provided at a cost that does not present a barrier to participation.</w:t>
      </w:r>
    </w:p>
    <w:p w14:paraId="4C404723" w14:textId="7C267AD5" w:rsidR="005E1B35" w:rsidRPr="00A25DEA" w:rsidRDefault="005E1B35" w:rsidP="00882158">
      <w:pPr>
        <w:pStyle w:val="BodyText"/>
        <w:rPr>
          <w:spacing w:val="-4"/>
        </w:rPr>
      </w:pPr>
      <w:r w:rsidRPr="00A25DEA">
        <w:rPr>
          <w:spacing w:val="-4"/>
        </w:rPr>
        <w:t>Age cut</w:t>
      </w:r>
      <w:r w:rsidRPr="00A25DEA">
        <w:rPr>
          <w:spacing w:val="-4"/>
        </w:rPr>
        <w:noBreakHyphen/>
        <w:t>offs for the YBFS differ across states and territories (table E.1). Several state and territory governments are expanding preschool eligibility within their jurisdictions to include children in the two years before full</w:t>
      </w:r>
      <w:r w:rsidRPr="00A25DEA">
        <w:rPr>
          <w:spacing w:val="-4"/>
        </w:rPr>
        <w:noBreakHyphen/>
        <w:t>time school. For simplicity, this appendix uses the terms ‘four</w:t>
      </w:r>
      <w:r w:rsidRPr="00A25DEA">
        <w:rPr>
          <w:spacing w:val="-4"/>
        </w:rPr>
        <w:noBreakHyphen/>
        <w:t>year</w:t>
      </w:r>
      <w:r w:rsidRPr="00A25DEA">
        <w:rPr>
          <w:spacing w:val="-4"/>
        </w:rPr>
        <w:noBreakHyphen/>
        <w:t>old preschool’ and ‘three</w:t>
      </w:r>
      <w:r w:rsidRPr="00A25DEA">
        <w:rPr>
          <w:spacing w:val="-4"/>
        </w:rPr>
        <w:noBreakHyphen/>
        <w:t>year</w:t>
      </w:r>
      <w:r w:rsidRPr="00A25DEA">
        <w:rPr>
          <w:spacing w:val="-4"/>
        </w:rPr>
        <w:noBreakHyphen/>
        <w:t>old preschool’ when referring to preschool programs for children in the YBFS and the year before that, respectively.</w:t>
      </w:r>
    </w:p>
    <w:p w14:paraId="58F5DB50" w14:textId="77777777" w:rsidR="005E1B35" w:rsidRDefault="005E1B35" w:rsidP="00882158">
      <w:pPr>
        <w:pStyle w:val="BodyText"/>
      </w:pPr>
      <w:r>
        <w:t>Preschool programs are named ‘preschool’ or ‘kindergarten’ depending on the state or territory (table E.1). This appendix uses the term ‘preschool’ for consistency, unless referring to the names of specific state funding policies or reforms (for example, Victoria’s Free Kinder program).</w:t>
      </w:r>
    </w:p>
    <w:p w14:paraId="6AEB5E7B" w14:textId="77777777" w:rsidR="005E1B35" w:rsidRPr="00D336F5" w:rsidRDefault="005E1B35" w:rsidP="00882158">
      <w:pPr>
        <w:pStyle w:val="FigureTableHeading"/>
      </w:pPr>
      <w:r>
        <w:t xml:space="preserve">Table </w:t>
      </w:r>
      <w:r>
        <w:rPr>
          <w:noProof/>
        </w:rPr>
        <w:t>E</w:t>
      </w:r>
      <w:r>
        <w:t>.</w:t>
      </w:r>
      <w:r>
        <w:rPr>
          <w:noProof/>
        </w:rPr>
        <w:t xml:space="preserve">1 – Preschool age </w:t>
      </w:r>
      <w:r w:rsidRPr="3BB50B81">
        <w:rPr>
          <w:noProof/>
        </w:rPr>
        <w:t>cutoffs</w:t>
      </w:r>
      <w:r>
        <w:rPr>
          <w:noProof/>
        </w:rPr>
        <w:t xml:space="preserve"> (YBFS) and program names</w:t>
      </w:r>
      <w:r w:rsidRPr="00706BD1">
        <w:t xml:space="preserve"> var</w:t>
      </w:r>
      <w:r>
        <w:t>y</w:t>
      </w:r>
      <w:r w:rsidRPr="00706BD1">
        <w:t xml:space="preserve"> by </w:t>
      </w:r>
      <w:r>
        <w:t>state and territory</w:t>
      </w:r>
    </w:p>
    <w:p w14:paraId="62948D64" w14:textId="77777777" w:rsidR="005E1B35" w:rsidRDefault="005E1B35" w:rsidP="00882158">
      <w:pPr>
        <w:pStyle w:val="FigureTableSubheading"/>
      </w:pPr>
      <w:r>
        <w:t>Preschool program name and age of entry in a preschool program for children in the YBFS, by jurisdiction, 2023</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2317"/>
        <w:gridCol w:w="4109"/>
      </w:tblGrid>
      <w:tr w:rsidR="005E1B35" w:rsidRPr="00030C67" w14:paraId="25E72012" w14:textId="77777777" w:rsidTr="00882158">
        <w:trPr>
          <w:tblHeader/>
        </w:trPr>
        <w:tc>
          <w:tcPr>
            <w:tcW w:w="3212" w:type="dxa"/>
            <w:tcBorders>
              <w:bottom w:val="single" w:sz="4" w:space="0" w:color="B3B3B3"/>
            </w:tcBorders>
            <w:shd w:val="clear" w:color="000000" w:fill="auto"/>
            <w:vAlign w:val="bottom"/>
          </w:tcPr>
          <w:p w14:paraId="78012724" w14:textId="77777777" w:rsidR="005E1B35" w:rsidRPr="00030C67" w:rsidRDefault="005E1B35">
            <w:pPr>
              <w:spacing w:before="45" w:after="45"/>
              <w:ind w:right="108"/>
              <w:rPr>
                <w:rFonts w:ascii="Arial (Body)" w:hAnsi="Arial (Body)"/>
                <w:color w:val="265A9A"/>
              </w:rPr>
            </w:pPr>
          </w:p>
        </w:tc>
        <w:tc>
          <w:tcPr>
            <w:tcW w:w="2317" w:type="dxa"/>
            <w:tcBorders>
              <w:bottom w:val="single" w:sz="4" w:space="0" w:color="B3B3B3"/>
            </w:tcBorders>
            <w:shd w:val="clear" w:color="000000" w:fill="auto"/>
            <w:vAlign w:val="bottom"/>
          </w:tcPr>
          <w:p w14:paraId="5F478CE8" w14:textId="77777777" w:rsidR="005E1B35" w:rsidRPr="00030C67" w:rsidRDefault="005E1B35" w:rsidP="00882158">
            <w:pPr>
              <w:pStyle w:val="TableHeading"/>
              <w:ind w:left="0"/>
            </w:pPr>
            <w:r>
              <w:t xml:space="preserve">Program name </w:t>
            </w:r>
          </w:p>
        </w:tc>
        <w:tc>
          <w:tcPr>
            <w:tcW w:w="4109" w:type="dxa"/>
            <w:tcBorders>
              <w:bottom w:val="single" w:sz="4" w:space="0" w:color="B3B3B3"/>
            </w:tcBorders>
            <w:shd w:val="clear" w:color="000000" w:fill="auto"/>
            <w:vAlign w:val="bottom"/>
          </w:tcPr>
          <w:p w14:paraId="56F591CC" w14:textId="77777777" w:rsidR="005E1B35" w:rsidRPr="00030C67" w:rsidRDefault="005E1B35" w:rsidP="00882158">
            <w:pPr>
              <w:pStyle w:val="TableHeading"/>
              <w:ind w:left="0"/>
            </w:pPr>
            <w:r>
              <w:t>Age of entry in preschool program (YBFS)</w:t>
            </w:r>
          </w:p>
        </w:tc>
      </w:tr>
      <w:tr w:rsidR="005E1B35" w:rsidRPr="00030C67" w14:paraId="62995E36" w14:textId="77777777" w:rsidTr="00882158">
        <w:tc>
          <w:tcPr>
            <w:tcW w:w="3212" w:type="dxa"/>
            <w:tcBorders>
              <w:top w:val="single" w:sz="4" w:space="0" w:color="B3B3B3"/>
              <w:bottom w:val="nil"/>
            </w:tcBorders>
            <w:shd w:val="clear" w:color="000000" w:fill="F2F2F2"/>
          </w:tcPr>
          <w:p w14:paraId="2EC607AA" w14:textId="77777777" w:rsidR="005E1B35" w:rsidRPr="004F4666" w:rsidRDefault="005E1B35">
            <w:pPr>
              <w:pStyle w:val="TableHeading"/>
              <w:rPr>
                <w:vertAlign w:val="superscript"/>
              </w:rPr>
            </w:pPr>
            <w:r>
              <w:t>New South Wales</w:t>
            </w:r>
          </w:p>
        </w:tc>
        <w:tc>
          <w:tcPr>
            <w:tcW w:w="2317" w:type="dxa"/>
            <w:tcBorders>
              <w:top w:val="single" w:sz="4" w:space="0" w:color="B3B3B3"/>
              <w:bottom w:val="nil"/>
            </w:tcBorders>
            <w:shd w:val="clear" w:color="000000" w:fill="F2F2F2"/>
          </w:tcPr>
          <w:p w14:paraId="7E20D647"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Preschool</w:t>
            </w:r>
          </w:p>
        </w:tc>
        <w:tc>
          <w:tcPr>
            <w:tcW w:w="4109" w:type="dxa"/>
            <w:tcBorders>
              <w:top w:val="single" w:sz="4" w:space="0" w:color="B3B3B3"/>
              <w:bottom w:val="nil"/>
            </w:tcBorders>
            <w:shd w:val="clear" w:color="000000" w:fill="F2F2F2"/>
          </w:tcPr>
          <w:p w14:paraId="4CC9539C"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 xml:space="preserve">Generally aged 4 and 5 </w:t>
            </w:r>
          </w:p>
        </w:tc>
      </w:tr>
      <w:tr w:rsidR="005E1B35" w:rsidRPr="00030C67" w14:paraId="6C039B69" w14:textId="77777777" w:rsidTr="00882158">
        <w:tc>
          <w:tcPr>
            <w:tcW w:w="3212" w:type="dxa"/>
            <w:tcBorders>
              <w:top w:val="nil"/>
              <w:bottom w:val="nil"/>
            </w:tcBorders>
            <w:shd w:val="clear" w:color="000000" w:fill="auto"/>
          </w:tcPr>
          <w:p w14:paraId="30C035F4" w14:textId="77777777" w:rsidR="005E1B35" w:rsidRPr="004F4666" w:rsidRDefault="005E1B35">
            <w:pPr>
              <w:pStyle w:val="TableHeading"/>
              <w:rPr>
                <w:vertAlign w:val="superscript"/>
              </w:rPr>
            </w:pPr>
            <w:r>
              <w:t>Victoria</w:t>
            </w:r>
          </w:p>
        </w:tc>
        <w:tc>
          <w:tcPr>
            <w:tcW w:w="2317" w:type="dxa"/>
            <w:tcBorders>
              <w:top w:val="nil"/>
              <w:bottom w:val="nil"/>
            </w:tcBorders>
            <w:shd w:val="clear" w:color="000000" w:fill="auto"/>
          </w:tcPr>
          <w:p w14:paraId="58E2A08A"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Kindergarten</w:t>
            </w:r>
          </w:p>
        </w:tc>
        <w:tc>
          <w:tcPr>
            <w:tcW w:w="4109" w:type="dxa"/>
            <w:tcBorders>
              <w:top w:val="nil"/>
              <w:bottom w:val="nil"/>
            </w:tcBorders>
            <w:shd w:val="clear" w:color="000000" w:fill="auto"/>
          </w:tcPr>
          <w:p w14:paraId="0935B23E"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4 by 30 April</w:t>
            </w:r>
          </w:p>
        </w:tc>
      </w:tr>
      <w:tr w:rsidR="005E1B35" w:rsidRPr="00030C67" w14:paraId="4AE7F47D" w14:textId="77777777" w:rsidTr="00882158">
        <w:tc>
          <w:tcPr>
            <w:tcW w:w="3212" w:type="dxa"/>
            <w:shd w:val="clear" w:color="000000" w:fill="F2F2F2"/>
          </w:tcPr>
          <w:p w14:paraId="616DEF66" w14:textId="77777777" w:rsidR="005E1B35" w:rsidRPr="00030C67" w:rsidRDefault="005E1B35">
            <w:pPr>
              <w:pStyle w:val="TableHeading"/>
            </w:pPr>
            <w:r>
              <w:t>Queensland</w:t>
            </w:r>
          </w:p>
        </w:tc>
        <w:tc>
          <w:tcPr>
            <w:tcW w:w="2317" w:type="dxa"/>
            <w:shd w:val="clear" w:color="000000" w:fill="F2F2F2"/>
          </w:tcPr>
          <w:p w14:paraId="5185F764"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Kindergarten</w:t>
            </w:r>
          </w:p>
        </w:tc>
        <w:tc>
          <w:tcPr>
            <w:tcW w:w="4109" w:type="dxa"/>
            <w:shd w:val="clear" w:color="000000" w:fill="F2F2F2"/>
          </w:tcPr>
          <w:p w14:paraId="1B70A147" w14:textId="77777777" w:rsidR="005E1B35" w:rsidRPr="00030C67" w:rsidRDefault="005E1B35" w:rsidP="00882158">
            <w:pPr>
              <w:pStyle w:val="TableBody"/>
              <w:spacing w:before="45" w:after="45"/>
              <w:ind w:left="0" w:right="108"/>
              <w:rPr>
                <w:rFonts w:ascii="Arial (Body)" w:hAnsi="Arial (Body)"/>
                <w:color w:val="000000"/>
              </w:rPr>
            </w:pPr>
            <w:r>
              <w:rPr>
                <w:rFonts w:ascii="Arial (Body)" w:hAnsi="Arial (Body)"/>
                <w:color w:val="000000"/>
              </w:rPr>
              <w:t>4 by 30 June</w:t>
            </w:r>
          </w:p>
        </w:tc>
      </w:tr>
      <w:tr w:rsidR="005E1B35" w:rsidRPr="00030C67" w14:paraId="534A1EB2" w14:textId="77777777" w:rsidTr="00882158">
        <w:tc>
          <w:tcPr>
            <w:tcW w:w="3212" w:type="dxa"/>
            <w:shd w:val="clear" w:color="auto" w:fill="auto"/>
          </w:tcPr>
          <w:p w14:paraId="3F9B3521" w14:textId="77777777" w:rsidR="005E1B35" w:rsidRPr="00030C67" w:rsidRDefault="005E1B35">
            <w:pPr>
              <w:pStyle w:val="TableHeading"/>
            </w:pPr>
            <w:r>
              <w:t>Western Australia</w:t>
            </w:r>
          </w:p>
        </w:tc>
        <w:tc>
          <w:tcPr>
            <w:tcW w:w="2317" w:type="dxa"/>
            <w:shd w:val="clear" w:color="auto" w:fill="auto"/>
          </w:tcPr>
          <w:p w14:paraId="40520509"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Kindergarten</w:t>
            </w:r>
          </w:p>
        </w:tc>
        <w:tc>
          <w:tcPr>
            <w:tcW w:w="4109" w:type="dxa"/>
            <w:shd w:val="clear" w:color="auto" w:fill="auto"/>
          </w:tcPr>
          <w:p w14:paraId="25980024"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4 by 30 June</w:t>
            </w:r>
          </w:p>
        </w:tc>
      </w:tr>
      <w:tr w:rsidR="005E1B35" w:rsidRPr="00030C67" w14:paraId="37F878E3" w14:textId="77777777" w:rsidTr="00882158">
        <w:tc>
          <w:tcPr>
            <w:tcW w:w="3212" w:type="dxa"/>
            <w:shd w:val="clear" w:color="000000" w:fill="F2F2F2"/>
          </w:tcPr>
          <w:p w14:paraId="5D8886A7" w14:textId="77777777" w:rsidR="005E1B35" w:rsidRPr="00030C67" w:rsidRDefault="005E1B35">
            <w:pPr>
              <w:pStyle w:val="TableHeading"/>
            </w:pPr>
            <w:r>
              <w:t>South Australia</w:t>
            </w:r>
          </w:p>
        </w:tc>
        <w:tc>
          <w:tcPr>
            <w:tcW w:w="2317" w:type="dxa"/>
            <w:shd w:val="clear" w:color="000000" w:fill="F2F2F2"/>
          </w:tcPr>
          <w:p w14:paraId="59A29566"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Preschool</w:t>
            </w:r>
          </w:p>
        </w:tc>
        <w:tc>
          <w:tcPr>
            <w:tcW w:w="4109" w:type="dxa"/>
            <w:shd w:val="clear" w:color="000000" w:fill="F2F2F2"/>
          </w:tcPr>
          <w:p w14:paraId="4D4A5700"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4 by 1 May (Term 1); 4 by 31 October (Term 3)</w:t>
            </w:r>
            <w:r>
              <w:rPr>
                <w:rFonts w:ascii="Arial (Body)" w:hAnsi="Arial (Body)"/>
                <w:color w:val="000000"/>
                <w:vertAlign w:val="superscript"/>
              </w:rPr>
              <w:t>a</w:t>
            </w:r>
            <w:r>
              <w:rPr>
                <w:rFonts w:ascii="Arial (Body)" w:hAnsi="Arial (Body)"/>
                <w:color w:val="000000"/>
              </w:rPr>
              <w:t xml:space="preserve"> </w:t>
            </w:r>
          </w:p>
        </w:tc>
      </w:tr>
      <w:tr w:rsidR="005E1B35" w:rsidRPr="00030C67" w14:paraId="5D7BA126" w14:textId="77777777" w:rsidTr="00882158">
        <w:tc>
          <w:tcPr>
            <w:tcW w:w="3212" w:type="dxa"/>
            <w:shd w:val="clear" w:color="auto" w:fill="auto"/>
          </w:tcPr>
          <w:p w14:paraId="524266CB" w14:textId="77777777" w:rsidR="005E1B35" w:rsidRPr="00030C67" w:rsidRDefault="005E1B35">
            <w:pPr>
              <w:pStyle w:val="TableHeading"/>
            </w:pPr>
            <w:r>
              <w:t>Tasmania</w:t>
            </w:r>
          </w:p>
        </w:tc>
        <w:tc>
          <w:tcPr>
            <w:tcW w:w="2317" w:type="dxa"/>
            <w:shd w:val="clear" w:color="auto" w:fill="auto"/>
          </w:tcPr>
          <w:p w14:paraId="586E5AC7"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Kindergarten</w:t>
            </w:r>
          </w:p>
        </w:tc>
        <w:tc>
          <w:tcPr>
            <w:tcW w:w="4109" w:type="dxa"/>
            <w:shd w:val="clear" w:color="auto" w:fill="auto"/>
          </w:tcPr>
          <w:p w14:paraId="1C9D66C0"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4 by 1 January</w:t>
            </w:r>
          </w:p>
        </w:tc>
      </w:tr>
      <w:tr w:rsidR="005E1B35" w:rsidRPr="00030C67" w14:paraId="0F3C0099" w14:textId="77777777" w:rsidTr="00882158">
        <w:tc>
          <w:tcPr>
            <w:tcW w:w="3212" w:type="dxa"/>
            <w:shd w:val="clear" w:color="000000" w:fill="F2F2F2"/>
          </w:tcPr>
          <w:p w14:paraId="6AE220FE" w14:textId="77777777" w:rsidR="005E1B35" w:rsidRPr="00030C67" w:rsidRDefault="005E1B35">
            <w:pPr>
              <w:pStyle w:val="TableHeading"/>
            </w:pPr>
            <w:r>
              <w:t>Australian Capital Territory</w:t>
            </w:r>
          </w:p>
        </w:tc>
        <w:tc>
          <w:tcPr>
            <w:tcW w:w="2317" w:type="dxa"/>
            <w:shd w:val="clear" w:color="000000" w:fill="F2F2F2"/>
          </w:tcPr>
          <w:p w14:paraId="0018A996"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Preschool</w:t>
            </w:r>
          </w:p>
        </w:tc>
        <w:tc>
          <w:tcPr>
            <w:tcW w:w="4109" w:type="dxa"/>
            <w:shd w:val="clear" w:color="000000" w:fill="F2F2F2"/>
          </w:tcPr>
          <w:p w14:paraId="4D2E95F7"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4 by 30 April</w:t>
            </w:r>
          </w:p>
        </w:tc>
      </w:tr>
      <w:tr w:rsidR="005E1B35" w:rsidRPr="00030C67" w14:paraId="0A339DC4" w14:textId="77777777" w:rsidTr="00882158">
        <w:tc>
          <w:tcPr>
            <w:tcW w:w="3212" w:type="dxa"/>
            <w:tcBorders>
              <w:bottom w:val="single" w:sz="4" w:space="0" w:color="B3B3B3"/>
            </w:tcBorders>
            <w:shd w:val="clear" w:color="auto" w:fill="auto"/>
          </w:tcPr>
          <w:p w14:paraId="0BEFA2DC" w14:textId="77777777" w:rsidR="005E1B35" w:rsidRPr="00030C67" w:rsidRDefault="005E1B35">
            <w:pPr>
              <w:pStyle w:val="TableHeading"/>
            </w:pPr>
            <w:r>
              <w:t>Northern Territory</w:t>
            </w:r>
          </w:p>
        </w:tc>
        <w:tc>
          <w:tcPr>
            <w:tcW w:w="2317" w:type="dxa"/>
            <w:tcBorders>
              <w:bottom w:val="single" w:sz="4" w:space="0" w:color="B3B3B3"/>
            </w:tcBorders>
            <w:shd w:val="clear" w:color="auto" w:fill="auto"/>
          </w:tcPr>
          <w:p w14:paraId="03478B05"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Preschool</w:t>
            </w:r>
          </w:p>
        </w:tc>
        <w:tc>
          <w:tcPr>
            <w:tcW w:w="4109" w:type="dxa"/>
            <w:tcBorders>
              <w:bottom w:val="single" w:sz="4" w:space="0" w:color="B3B3B3"/>
            </w:tcBorders>
            <w:shd w:val="clear" w:color="auto" w:fill="auto"/>
          </w:tcPr>
          <w:p w14:paraId="6AAD0206" w14:textId="77777777" w:rsidR="005E1B35" w:rsidRDefault="005E1B35" w:rsidP="00882158">
            <w:pPr>
              <w:pStyle w:val="TableBody"/>
              <w:spacing w:before="45" w:after="45"/>
              <w:ind w:left="0" w:right="108"/>
              <w:rPr>
                <w:rFonts w:ascii="Arial (Body)" w:hAnsi="Arial (Body)"/>
                <w:color w:val="000000"/>
              </w:rPr>
            </w:pPr>
            <w:r>
              <w:rPr>
                <w:rFonts w:ascii="Arial (Body)" w:hAnsi="Arial (Body)"/>
                <w:color w:val="000000"/>
              </w:rPr>
              <w:t>4 by 30 June</w:t>
            </w:r>
          </w:p>
        </w:tc>
      </w:tr>
    </w:tbl>
    <w:p w14:paraId="79381CCD" w14:textId="77777777" w:rsidR="005E1B35" w:rsidRDefault="005E1B35" w:rsidP="00882158">
      <w:pPr>
        <w:pStyle w:val="Note"/>
      </w:pPr>
      <w:r w:rsidRPr="00D336F5">
        <w:rPr>
          <w:b/>
          <w:bCs/>
        </w:rPr>
        <w:t xml:space="preserve">a. </w:t>
      </w:r>
      <w:r w:rsidRPr="00D336F5">
        <w:t>South Australia has introduced a mid</w:t>
      </w:r>
      <w:r>
        <w:noBreakHyphen/>
      </w:r>
      <w:r w:rsidRPr="00D336F5">
        <w:t>year intake into preschools from 2023.</w:t>
      </w:r>
    </w:p>
    <w:p w14:paraId="78B5D1F1" w14:textId="77777777" w:rsidR="005E1B35" w:rsidRDefault="005E1B35" w:rsidP="00882158">
      <w:pPr>
        <w:pStyle w:val="Source"/>
      </w:pPr>
      <w:r w:rsidRPr="00C20295">
        <w:t xml:space="preserve">Source: </w:t>
      </w:r>
      <w:r>
        <w:t xml:space="preserve">SCRGSP </w:t>
      </w:r>
      <w:r w:rsidRPr="00E73209">
        <w:rPr>
          <w:rFonts w:ascii="Arial" w:hAnsi="Arial" w:cs="Arial"/>
        </w:rPr>
        <w:t>(2024a)</w:t>
      </w:r>
      <w:r>
        <w:t>.</w:t>
      </w:r>
    </w:p>
    <w:p w14:paraId="7243F2EC" w14:textId="77777777" w:rsidR="005E1B35" w:rsidRDefault="005E1B35" w:rsidP="00882158">
      <w:pPr>
        <w:pStyle w:val="Heading2-Appendix"/>
      </w:pPr>
      <w:bookmarkStart w:id="33" w:name="_Toc172213585"/>
      <w:r>
        <w:lastRenderedPageBreak/>
        <w:t xml:space="preserve">Children </w:t>
      </w:r>
      <w:r w:rsidRPr="007B3701">
        <w:t>attend</w:t>
      </w:r>
      <w:r>
        <w:t xml:space="preserve"> preschool in different settings across Australia</w:t>
      </w:r>
      <w:bookmarkEnd w:id="33"/>
    </w:p>
    <w:p w14:paraId="33CB48FD" w14:textId="77777777" w:rsidR="005E1B35" w:rsidRDefault="005E1B35" w:rsidP="00882158">
      <w:pPr>
        <w:pStyle w:val="BodyText"/>
      </w:pPr>
      <w:r>
        <w:t>Children attend preschool programs in different settings around the country (figure E.1). For example, preschool children in Victoria, New South Wales and Queensland are mainly enrolled in centre</w:t>
      </w:r>
      <w:r>
        <w:noBreakHyphen/>
        <w:t>based day care services (CBDC) and non</w:t>
      </w:r>
      <w:r>
        <w:noBreakHyphen/>
        <w:t>government dedicated preschools, with a smaller proportion enrolled in government</w:t>
      </w:r>
      <w:r>
        <w:noBreakHyphen/>
        <w:t>run dedicated preschools. In contrast, preschool children in the other states and territories are enrolled in government</w:t>
      </w:r>
      <w:r>
        <w:noBreakHyphen/>
        <w:t>run dedicated preschools in much higher proportions.</w:t>
      </w:r>
    </w:p>
    <w:p w14:paraId="18BBD220" w14:textId="77777777" w:rsidR="005E1B35" w:rsidRPr="00146382" w:rsidRDefault="005E1B35" w:rsidP="00882158">
      <w:pPr>
        <w:pStyle w:val="FigureTableHeading"/>
      </w:pPr>
      <w:r>
        <w:t xml:space="preserve">Figure </w:t>
      </w:r>
      <w:r>
        <w:rPr>
          <w:noProof/>
        </w:rPr>
        <w:t>E</w:t>
      </w:r>
      <w:r>
        <w:t>.</w:t>
      </w:r>
      <w:r>
        <w:rPr>
          <w:noProof/>
        </w:rPr>
        <w:t xml:space="preserve">1 </w:t>
      </w:r>
      <w:r>
        <w:t xml:space="preserve">– </w:t>
      </w:r>
      <w:r w:rsidRPr="007B3701">
        <w:t>Children attend prescho</w:t>
      </w:r>
      <w:r>
        <w:t>ol in different settings around the country</w:t>
      </w:r>
      <w:r w:rsidRPr="00066CF5">
        <w:rPr>
          <w:vertAlign w:val="superscript"/>
        </w:rPr>
        <w:t>a,b</w:t>
      </w:r>
      <w:r>
        <w:rPr>
          <w:vertAlign w:val="superscript"/>
        </w:rPr>
        <w:t>,c,d</w:t>
      </w:r>
    </w:p>
    <w:p w14:paraId="7878E2A6" w14:textId="77777777" w:rsidR="005E1B35" w:rsidRDefault="005E1B35" w:rsidP="00882158">
      <w:pPr>
        <w:pStyle w:val="FigureTableSubheading"/>
        <w:keepLines/>
      </w:pPr>
      <w:r>
        <w:t>Proportion of children enrolled in a preschool program in the YBFS, by setting, by jurisdiction, 2023</w:t>
      </w:r>
    </w:p>
    <w:p w14:paraId="509BF004" w14:textId="77777777" w:rsidR="005E1B35" w:rsidRPr="005550A0" w:rsidRDefault="005E1B35" w:rsidP="00882158">
      <w:pPr>
        <w:pStyle w:val="BodyText"/>
      </w:pPr>
      <w:r w:rsidRPr="00661A7B">
        <w:rPr>
          <w:noProof/>
        </w:rPr>
        <w:drawing>
          <wp:inline distT="0" distB="0" distL="0" distR="0" wp14:anchorId="68F3A62B" wp14:editId="663ABB1A">
            <wp:extent cx="6120130" cy="2872740"/>
            <wp:effectExtent l="0" t="0" r="0" b="0"/>
            <wp:docPr id="2002203286" name="Picture 1" descr="Figure E.1 – This is a stacked bar chart which shows the proportion of children enrolled in a preschool program in the year before full-time school in 2023 by setting and jurisdiction. It shows that in New South Wales, Victoria and Queensland, preschool children are mainly enrolled in centre-based day care services (CBDC) and non-government dedicated preschools, with a smaller proportion enrolled in government-run dedicated preschools. In contrast, preschool children in the other states and territories are enrolled in government-run dedicated preschools in much higher propor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03286" name="Picture 1" descr="Figure E.1 – This is a stacked bar chart which shows the proportion of children enrolled in a preschool program in the year before full-time school in 2023 by setting and jurisdiction. It shows that in New South Wales, Victoria and Queensland, preschool children are mainly enrolled in centre-based day care services (CBDC) and non-government dedicated preschools, with a smaller proportion enrolled in government-run dedicated preschools. In contrast, preschool children in the other states and territories are enrolled in government-run dedicated preschools in much higher proportions.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872740"/>
                    </a:xfrm>
                    <a:prstGeom prst="rect">
                      <a:avLst/>
                    </a:prstGeom>
                    <a:noFill/>
                    <a:ln>
                      <a:noFill/>
                    </a:ln>
                  </pic:spPr>
                </pic:pic>
              </a:graphicData>
            </a:graphic>
          </wp:inline>
        </w:drawing>
      </w:r>
    </w:p>
    <w:p w14:paraId="0953B115" w14:textId="77777777" w:rsidR="005E1B35" w:rsidRDefault="005E1B35" w:rsidP="00882158">
      <w:pPr>
        <w:pStyle w:val="Note"/>
        <w:keepLines/>
      </w:pPr>
      <w:r w:rsidRPr="00180E66">
        <w:rPr>
          <w:b/>
          <w:bCs/>
        </w:rPr>
        <w:t>a.</w:t>
      </w:r>
      <w:r>
        <w:t xml:space="preserve"> Data relates to children enrolled in a preschool program in the state</w:t>
      </w:r>
      <w:r>
        <w:noBreakHyphen/>
        <w:t>specific YBFS. This means certain cohorts of children, such as those attending three</w:t>
      </w:r>
      <w:r>
        <w:noBreakHyphen/>
        <w:t>year</w:t>
      </w:r>
      <w:r>
        <w:noBreakHyphen/>
        <w:t xml:space="preserve">old preschool, are not captured. </w:t>
      </w:r>
      <w:r>
        <w:rPr>
          <w:b/>
          <w:bCs/>
        </w:rPr>
        <w:t>b</w:t>
      </w:r>
      <w:r w:rsidRPr="00CB3BE2">
        <w:rPr>
          <w:b/>
          <w:bCs/>
        </w:rPr>
        <w:t>.</w:t>
      </w:r>
      <w:r>
        <w:t xml:space="preserve"> Dedicated preschools include standalone preschools and preschools attached to schools.</w:t>
      </w:r>
      <w:r w:rsidRPr="00532CC9">
        <w:rPr>
          <w:b/>
          <w:bCs/>
        </w:rPr>
        <w:t xml:space="preserve"> </w:t>
      </w:r>
      <w:r>
        <w:rPr>
          <w:b/>
          <w:bCs/>
        </w:rPr>
        <w:t>c</w:t>
      </w:r>
      <w:r w:rsidRPr="00180E66">
        <w:rPr>
          <w:b/>
          <w:bCs/>
        </w:rPr>
        <w:t>.</w:t>
      </w:r>
      <w:r>
        <w:t xml:space="preserve"> The multiple category shows children enrolled in multiple dedicated preschools or children enrolled in a dedicated preschool and a CBDC service. </w:t>
      </w:r>
      <w:r w:rsidRPr="00FB76CC">
        <w:rPr>
          <w:b/>
          <w:bCs/>
        </w:rPr>
        <w:t>d.</w:t>
      </w:r>
      <w:r>
        <w:t xml:space="preserve"> Children who are in the YBFS and attend CBDC services are assumed to be enrolled in a preschool program.</w:t>
      </w:r>
    </w:p>
    <w:p w14:paraId="6ABD2E1F" w14:textId="77777777" w:rsidR="005E1B35" w:rsidRDefault="005E1B35" w:rsidP="00882158">
      <w:pPr>
        <w:pStyle w:val="Source"/>
      </w:pPr>
      <w:r w:rsidRPr="00A94227">
        <w:t xml:space="preserve">Source: </w:t>
      </w:r>
      <w:r>
        <w:t xml:space="preserve">Productivity Commission estimates based on ABS (2024) </w:t>
      </w:r>
      <w:r>
        <w:rPr>
          <w:i/>
          <w:iCs/>
        </w:rPr>
        <w:t>Preschool Education 2023</w:t>
      </w:r>
      <w:r>
        <w:t>, accessed 5 April 2024.</w:t>
      </w:r>
    </w:p>
    <w:p w14:paraId="769F3DA4" w14:textId="77777777" w:rsidR="005E1B35" w:rsidRDefault="005E1B35" w:rsidP="00882158">
      <w:pPr>
        <w:pStyle w:val="BodyText"/>
        <w:keepNext/>
        <w:keepLines/>
      </w:pPr>
      <w:r>
        <w:lastRenderedPageBreak/>
        <w:t xml:space="preserve">Preschool programs are required to be delivered by an early childhood teacher (ECT) under the Preschool Reform </w:t>
      </w:r>
      <w:r w:rsidRPr="00B6289C">
        <w:t>Agreement. However, in practice,</w:t>
      </w:r>
      <w:r>
        <w:t xml:space="preserve"> </w:t>
      </w:r>
      <w:r w:rsidRPr="00E606F8">
        <w:t>for the purposes of performance measurement,</w:t>
      </w:r>
      <w:r>
        <w:t xml:space="preserve"> </w:t>
      </w:r>
      <w:r w:rsidRPr="00B6289C">
        <w:t xml:space="preserve">the agreement accepts preschool programs that align with the National Quality Framework (NQF), which requires services to </w:t>
      </w:r>
      <w:r w:rsidRPr="00B6289C" w:rsidDel="00C23270">
        <w:t xml:space="preserve">engage </w:t>
      </w:r>
      <w:r w:rsidRPr="00B6289C">
        <w:t xml:space="preserve">or have access to an ECT based on the number of children in attendance (but does not necessarily guarantee they deliver the preschool program) </w:t>
      </w:r>
      <w:r w:rsidRPr="2450DDA0">
        <w:rPr>
          <w:rFonts w:ascii="Arial" w:hAnsi="Arial" w:cs="Arial"/>
        </w:rPr>
        <w:t>(ACECQA 2023)</w:t>
      </w:r>
      <w:r w:rsidRPr="00B6289C">
        <w:t>.</w:t>
      </w:r>
      <w:r>
        <w:rPr>
          <w:rStyle w:val="FootnoteReference"/>
        </w:rPr>
        <w:footnoteReference w:id="19"/>
      </w:r>
      <w:r w:rsidRPr="00B6289C">
        <w:t xml:space="preserve"> As such, all children in the YBFS who attend a CBDC service are </w:t>
      </w:r>
      <w:r>
        <w:t>counted as</w:t>
      </w:r>
      <w:r w:rsidRPr="00B6289C">
        <w:t xml:space="preserve"> enrolled in a preschool program for the purposes of the </w:t>
      </w:r>
      <w:r w:rsidRPr="006006E9">
        <w:t>Preschool Reform Agreement.</w:t>
      </w:r>
      <w:r>
        <w:rPr>
          <w:rStyle w:val="FootnoteReference"/>
        </w:rPr>
        <w:footnoteReference w:id="20"/>
      </w:r>
      <w:r w:rsidRPr="006006E9">
        <w:t xml:space="preserve"> This stems from data collection limitations for preschool delivered in CBDC services</w:t>
      </w:r>
      <w:r w:rsidRPr="00572FE8">
        <w:t xml:space="preserve">. </w:t>
      </w:r>
      <w:r w:rsidRPr="00E8552C">
        <w:t xml:space="preserve">The Australian Government </w:t>
      </w:r>
      <w:r w:rsidRPr="00572FE8">
        <w:t xml:space="preserve">collects data on CBDCs through </w:t>
      </w:r>
      <w:r w:rsidRPr="00E8552C">
        <w:t>the Child Care Subsidy System (CCSS).</w:t>
      </w:r>
      <w:r>
        <w:t xml:space="preserve"> The CCSS captures</w:t>
      </w:r>
      <w:r w:rsidRPr="006006E9">
        <w:t xml:space="preserve"> </w:t>
      </w:r>
      <w:r>
        <w:t>data on services that are compliant with the NQF but does not collect data on preschool programs per se, including whether they are being delivered by an ECT. A consequence of the data limitations is that it is not clear how many hours of preschool children in CBDC settings receive directly from an ECT.</w:t>
      </w:r>
    </w:p>
    <w:p w14:paraId="560CA95F" w14:textId="77777777" w:rsidR="005E1B35" w:rsidRDefault="005E1B35" w:rsidP="00882158">
      <w:pPr>
        <w:pStyle w:val="BodyText"/>
      </w:pPr>
      <w:r>
        <w:t>Dedicated preschools include standalone preschools and preschools attached to schools. They provide programs that typically offer shorter or sessional hours during the school term. Preschool children in dedicated settings usually receive their 600</w:t>
      </w:r>
      <w:r>
        <w:noBreakHyphen/>
        <w:t>hour Preschool Reform Agreement entitlement as 15 hours per week over 40 weeks. In practice, delivery of this entitlement can vary for families in terms of the number of hours per day and number of days per week. The term ‘sessional preschool’ is sometimes used to describe dedicated preschools.</w:t>
      </w:r>
    </w:p>
    <w:p w14:paraId="3ECA97D3" w14:textId="77777777" w:rsidR="005E1B35" w:rsidRDefault="005E1B35" w:rsidP="00882158">
      <w:pPr>
        <w:pStyle w:val="Heading2-Appendix"/>
      </w:pPr>
      <w:bookmarkStart w:id="34" w:name="_Toc172213586"/>
      <w:r>
        <w:t>Current preschool funding arrangements</w:t>
      </w:r>
      <w:bookmarkEnd w:id="34"/>
    </w:p>
    <w:p w14:paraId="7D2F4C38" w14:textId="77777777" w:rsidR="005E1B35" w:rsidRDefault="005E1B35" w:rsidP="00882158">
      <w:pPr>
        <w:pStyle w:val="BodyText"/>
      </w:pPr>
      <w:r>
        <w:t>Preschool programs are funded from a range of sources (figure E.2).</w:t>
      </w:r>
    </w:p>
    <w:p w14:paraId="1A8C06FE" w14:textId="77777777" w:rsidR="005E1B35" w:rsidRDefault="005E1B35" w:rsidP="00882158">
      <w:pPr>
        <w:pStyle w:val="BodyText"/>
      </w:pPr>
      <w:r>
        <w:t xml:space="preserve">State and territory governments are responsible for ensuring all children have access to preschool in the YBFS as part of their commitments under the Preschool Reform Agreement. They are </w:t>
      </w:r>
      <w:r w:rsidRPr="00257315">
        <w:t xml:space="preserve">supported </w:t>
      </w:r>
      <w:r>
        <w:t xml:space="preserve">in meeting this commitment </w:t>
      </w:r>
      <w:r w:rsidRPr="00257315">
        <w:t xml:space="preserve">by funding </w:t>
      </w:r>
      <w:r>
        <w:t xml:space="preserve">contributions </w:t>
      </w:r>
      <w:r w:rsidRPr="00257315">
        <w:t>from the Australian Government</w:t>
      </w:r>
      <w:r>
        <w:t>. State and territory governments also contribute funding to preschool programs for younger children and some are working to extend the hours available to children in the YBFS (relevant reforms are discussed in section E.4).</w:t>
      </w:r>
    </w:p>
    <w:p w14:paraId="08F5017D" w14:textId="77777777" w:rsidR="005E1B35" w:rsidRDefault="005E1B35" w:rsidP="00882158">
      <w:pPr>
        <w:pStyle w:val="BodyText"/>
      </w:pPr>
      <w:r w:rsidRPr="002A742E">
        <w:t>Recurrent preschool funding across all states and territories totalled $2.47 billion (2022</w:t>
      </w:r>
      <w:r>
        <w:noBreakHyphen/>
      </w:r>
      <w:r w:rsidRPr="002A742E">
        <w:t>23 dollars) in the 2022</w:t>
      </w:r>
      <w:r w:rsidRPr="002A742E">
        <w:noBreakHyphen/>
        <w:t xml:space="preserve">23 financial year </w:t>
      </w:r>
      <w:r w:rsidRPr="00E73209">
        <w:rPr>
          <w:rFonts w:ascii="Arial" w:hAnsi="Arial" w:cs="Arial"/>
        </w:rPr>
        <w:t>(SCRGSP 2024b)</w:t>
      </w:r>
      <w:r w:rsidRPr="002A742E">
        <w:t xml:space="preserve"> (details are discussed below). This includes Australian Government funding provided to state and territory governments under the Preschool Reform Agreement. The Australian Government contributed $455.3 million (2022</w:t>
      </w:r>
      <w:r w:rsidRPr="002A742E">
        <w:noBreakHyphen/>
        <w:t>23 dollars) in total funding to all states and territories under the P</w:t>
      </w:r>
      <w:r>
        <w:t>reschool Reform Agreement</w:t>
      </w:r>
      <w:r w:rsidRPr="002A742E">
        <w:t xml:space="preserve"> in the 2022</w:t>
      </w:r>
      <w:r w:rsidRPr="002A742E">
        <w:noBreakHyphen/>
        <w:t>23 financial year.</w:t>
      </w:r>
    </w:p>
    <w:p w14:paraId="3A46C944" w14:textId="77777777" w:rsidR="005E1B35" w:rsidRDefault="005E1B35" w:rsidP="00882158">
      <w:pPr>
        <w:pStyle w:val="BodyText"/>
      </w:pPr>
      <w:r w:rsidRPr="00BE21F0">
        <w:t>The Australian Government also subsidises preschool fees for families with children attending preschool in CBDC services</w:t>
      </w:r>
      <w:r>
        <w:t xml:space="preserve"> through the CCS</w:t>
      </w:r>
      <w:r w:rsidRPr="00BE21F0">
        <w:t>.</w:t>
      </w:r>
      <w:r>
        <w:t xml:space="preserve"> Families may contribute to the costs of preschool through fees, which can vary based on the setting (box E.1).</w:t>
      </w:r>
    </w:p>
    <w:p w14:paraId="48A3F9AA" w14:textId="77777777" w:rsidR="005E1B35" w:rsidRPr="00146382" w:rsidRDefault="005E1B35" w:rsidP="00882158">
      <w:pPr>
        <w:pStyle w:val="FigureTableHeading"/>
      </w:pPr>
      <w:r>
        <w:lastRenderedPageBreak/>
        <w:t xml:space="preserve">Figure </w:t>
      </w:r>
      <w:r>
        <w:rPr>
          <w:noProof/>
        </w:rPr>
        <w:t>E</w:t>
      </w:r>
      <w:r>
        <w:t>.</w:t>
      </w:r>
      <w:r>
        <w:rPr>
          <w:noProof/>
        </w:rPr>
        <w:t xml:space="preserve">2 </w:t>
      </w:r>
      <w:r>
        <w:t>– A range of sources fund delivery of p</w:t>
      </w:r>
      <w:r w:rsidRPr="00DF29A9">
        <w:t xml:space="preserve">reschool </w:t>
      </w:r>
      <w:r>
        <w:t>for children in the YBFS</w:t>
      </w:r>
      <w:r w:rsidRPr="00066CF5">
        <w:rPr>
          <w:vertAlign w:val="superscript"/>
        </w:rPr>
        <w:t>a</w:t>
      </w:r>
    </w:p>
    <w:p w14:paraId="55ADBEEE" w14:textId="77777777" w:rsidR="005E1B35" w:rsidRDefault="005E1B35" w:rsidP="00882158">
      <w:pPr>
        <w:pStyle w:val="FigureTableSubheading"/>
        <w:keepLines/>
      </w:pPr>
      <w:r>
        <w:t>Australian, state and territory governments and families fund preschool programs</w:t>
      </w:r>
    </w:p>
    <w:p w14:paraId="058297F1" w14:textId="77777777" w:rsidR="005E1B35" w:rsidRPr="005550A0" w:rsidRDefault="005E1B35" w:rsidP="00882158">
      <w:pPr>
        <w:pStyle w:val="BodyText"/>
      </w:pPr>
      <w:r w:rsidRPr="00472878">
        <w:rPr>
          <w:noProof/>
        </w:rPr>
        <w:drawing>
          <wp:inline distT="0" distB="0" distL="0" distR="0" wp14:anchorId="7628BB78" wp14:editId="13ACE16F">
            <wp:extent cx="6120130" cy="2679065"/>
            <wp:effectExtent l="0" t="0" r="0" b="6985"/>
            <wp:docPr id="1392851111" name="Picture 2" descr="Figure E.2 – This is a flowchart that shows the ways in which the Australian, state and territory governments and families fund preschool programs for children in the year before full-time school. It shows that state and territory governments fund preschool in centre-based day care services (CBDC) and dedicated preschools with support from the Australian Government which provides funding contributions under the Preschool Reform Agreement. The Australian Government also subsidises preschool fees for families with children attending preschool in CBDC services through the Child Care Subsidy (CCS). Families may contribute to the costs of preschool through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51111" name="Picture 2" descr="Figure E.2 – This is a flowchart that shows the ways in which the Australian, state and territory governments and families fund preschool programs for children in the year before full-time school. It shows that state and territory governments fund preschool in centre-based day care services (CBDC) and dedicated preschools with support from the Australian Government which provides funding contributions under the Preschool Reform Agreement. The Australian Government also subsidises preschool fees for families with children attending preschool in CBDC services through the Child Care Subsidy (CCS). Families may contribute to the costs of preschool through fees.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2679065"/>
                    </a:xfrm>
                    <a:prstGeom prst="rect">
                      <a:avLst/>
                    </a:prstGeom>
                    <a:noFill/>
                    <a:ln>
                      <a:noFill/>
                    </a:ln>
                  </pic:spPr>
                </pic:pic>
              </a:graphicData>
            </a:graphic>
          </wp:inline>
        </w:drawing>
      </w:r>
    </w:p>
    <w:p w14:paraId="7E0BA61B" w14:textId="77777777" w:rsidR="005E1B35" w:rsidRDefault="005E1B35" w:rsidP="00882158">
      <w:pPr>
        <w:pStyle w:val="Source"/>
      </w:pPr>
      <w:r w:rsidRPr="002A742E">
        <w:rPr>
          <w:b/>
          <w:bCs/>
        </w:rPr>
        <w:t xml:space="preserve">a. </w:t>
      </w:r>
      <w:r w:rsidRPr="002A742E">
        <w:t>Dedicated preschool includes standalone preschools and preschools attached to schools.</w:t>
      </w:r>
    </w:p>
    <w:p w14:paraId="1FF0446F" w14:textId="77777777" w:rsidR="005E1B35" w:rsidRPr="00F82BD9" w:rsidRDefault="005E1B35" w:rsidP="00882158">
      <w:pPr>
        <w:pStyle w:val="NoSpacing"/>
      </w:pPr>
    </w:p>
    <w:tbl>
      <w:tblPr>
        <w:tblStyle w:val="Boxtable"/>
        <w:tblW w:w="5000" w:type="pct"/>
        <w:tblLook w:val="04A0" w:firstRow="1" w:lastRow="0" w:firstColumn="1" w:lastColumn="0" w:noHBand="0" w:noVBand="1"/>
      </w:tblPr>
      <w:tblGrid>
        <w:gridCol w:w="9638"/>
      </w:tblGrid>
      <w:tr w:rsidR="005E1B35" w14:paraId="04082F98" w14:textId="77777777" w:rsidTr="00882158">
        <w:trPr>
          <w:tblHeader/>
        </w:trPr>
        <w:tc>
          <w:tcPr>
            <w:tcW w:w="9638" w:type="dxa"/>
            <w:shd w:val="clear" w:color="auto" w:fill="EBEBEB"/>
            <w:tcMar>
              <w:top w:w="170" w:type="dxa"/>
              <w:left w:w="170" w:type="dxa"/>
              <w:bottom w:w="113" w:type="dxa"/>
              <w:right w:w="170" w:type="dxa"/>
            </w:tcMar>
            <w:hideMark/>
          </w:tcPr>
          <w:p w14:paraId="5F7E1C15" w14:textId="77777777" w:rsidR="005E1B35" w:rsidRDefault="005E1B35" w:rsidP="00882158">
            <w:pPr>
              <w:pStyle w:val="BoxHeading1"/>
            </w:pPr>
            <w:r w:rsidRPr="00006E86">
              <w:t xml:space="preserve">Box </w:t>
            </w:r>
            <w:r>
              <w:rPr>
                <w:noProof/>
              </w:rPr>
              <w:t>E</w:t>
            </w:r>
            <w:r w:rsidRPr="00006E86">
              <w:t>.</w:t>
            </w:r>
            <w:r>
              <w:rPr>
                <w:noProof/>
              </w:rPr>
              <w:t>1</w:t>
            </w:r>
            <w:r w:rsidRPr="00006E86">
              <w:t xml:space="preserve"> – Preschool out</w:t>
            </w:r>
            <w:r>
              <w:noBreakHyphen/>
            </w:r>
            <w:r w:rsidRPr="00006E86">
              <w:t>of</w:t>
            </w:r>
            <w:r>
              <w:noBreakHyphen/>
            </w:r>
            <w:r w:rsidRPr="00006E86">
              <w:t xml:space="preserve">pocket </w:t>
            </w:r>
            <w:r>
              <w:t>expenses</w:t>
            </w:r>
            <w:r w:rsidRPr="00006E86">
              <w:t xml:space="preserve"> for families depend on the </w:t>
            </w:r>
            <w:r>
              <w:t>program</w:t>
            </w:r>
            <w:r w:rsidRPr="00006E86">
              <w:t xml:space="preserve"> setting</w:t>
            </w:r>
            <w:r>
              <w:t xml:space="preserve"> and are difficult to compare</w:t>
            </w:r>
          </w:p>
        </w:tc>
      </w:tr>
      <w:tr w:rsidR="005E1B35" w14:paraId="49075938" w14:textId="77777777" w:rsidTr="00882158">
        <w:tc>
          <w:tcPr>
            <w:tcW w:w="9638" w:type="dxa"/>
            <w:shd w:val="clear" w:color="auto" w:fill="EBEBEB"/>
            <w:tcMar>
              <w:top w:w="28" w:type="dxa"/>
              <w:left w:w="170" w:type="dxa"/>
              <w:bottom w:w="170" w:type="dxa"/>
              <w:right w:w="170" w:type="dxa"/>
            </w:tcMar>
            <w:hideMark/>
          </w:tcPr>
          <w:p w14:paraId="49168527" w14:textId="77777777" w:rsidR="005E1B35" w:rsidRDefault="005E1B35" w:rsidP="00882158">
            <w:pPr>
              <w:pStyle w:val="BodyText"/>
            </w:pPr>
            <w:r w:rsidRPr="00E21B78">
              <w:t xml:space="preserve">Preschool </w:t>
            </w:r>
            <w:r>
              <w:t>out</w:t>
            </w:r>
            <w:r>
              <w:noBreakHyphen/>
              <w:t>of</w:t>
            </w:r>
            <w:r>
              <w:noBreakHyphen/>
              <w:t>pocket expenses</w:t>
            </w:r>
            <w:r w:rsidRPr="00E21B78">
              <w:t xml:space="preserve"> for families can vary based on the setting that their children attend.</w:t>
            </w:r>
          </w:p>
          <w:p w14:paraId="7FFF0613" w14:textId="77777777" w:rsidR="005E1B35" w:rsidRDefault="005E1B35" w:rsidP="00882158">
            <w:pPr>
              <w:pStyle w:val="BodyText"/>
            </w:pPr>
            <w:r>
              <w:t>H</w:t>
            </w:r>
            <w:r w:rsidRPr="00E21B78">
              <w:t xml:space="preserve">ourly </w:t>
            </w:r>
            <w:r>
              <w:t>out</w:t>
            </w:r>
            <w:r>
              <w:noBreakHyphen/>
              <w:t>of</w:t>
            </w:r>
            <w:r>
              <w:noBreakHyphen/>
              <w:t>pocket expenses</w:t>
            </w:r>
            <w:r w:rsidRPr="00E21B78">
              <w:t xml:space="preserve"> for families with children in </w:t>
            </w:r>
            <w:r>
              <w:t xml:space="preserve">dedicated </w:t>
            </w:r>
            <w:r w:rsidRPr="00E21B78">
              <w:t>preschools are mostly zero or</w:t>
            </w:r>
            <w:r>
              <w:t xml:space="preserve"> between $1</w:t>
            </w:r>
            <w:r>
              <w:noBreakHyphen/>
              <w:t>$4 per hour</w:t>
            </w:r>
            <w:r w:rsidRPr="00E21B78">
              <w:t xml:space="preserve"> across the states and territories</w:t>
            </w:r>
            <w:r>
              <w:t xml:space="preserve"> </w:t>
            </w:r>
            <w:r w:rsidRPr="0052725E">
              <w:rPr>
                <w:rFonts w:ascii="Arial" w:hAnsi="Arial" w:cs="Arial"/>
              </w:rPr>
              <w:t>(ABS 2024a)</w:t>
            </w:r>
            <w:r w:rsidRPr="00E21B78">
              <w:t xml:space="preserve">. </w:t>
            </w:r>
            <w:r>
              <w:t>However, dedicated preschools typically have shorter operating hours, which may not align with families’ working arrangements.</w:t>
            </w:r>
          </w:p>
          <w:p w14:paraId="75991018" w14:textId="77777777" w:rsidR="005E1B35" w:rsidRDefault="005E1B35" w:rsidP="00882158">
            <w:pPr>
              <w:pStyle w:val="BodyText"/>
            </w:pPr>
            <w:r>
              <w:t>In CBDC, families will often have to purchase a full day of ECEC, even if the ‘preschool’ component runs for a shorter period of time. If eligible, families can access the Child Care Subsidy to subsidise the cost of the full day and state and territory governments may also offer fee relief or program payments to services delivering a preschool program.</w:t>
            </w:r>
          </w:p>
          <w:p w14:paraId="0C0B590A" w14:textId="77777777" w:rsidR="005E1B35" w:rsidRDefault="005E1B35" w:rsidP="00882158">
            <w:pPr>
              <w:pStyle w:val="BodyText"/>
            </w:pPr>
            <w:r>
              <w:t>It is difficult to accurately determine out</w:t>
            </w:r>
            <w:r>
              <w:noBreakHyphen/>
              <w:t>of</w:t>
            </w:r>
            <w:r>
              <w:noBreakHyphen/>
              <w:t>pocket expenses for families whose children attend preschool in CBDC services. Data on preschool out</w:t>
            </w:r>
            <w:r>
              <w:noBreakHyphen/>
              <w:t>of</w:t>
            </w:r>
            <w:r>
              <w:noBreakHyphen/>
              <w:t>pocket expenses is published through the ABS Preschool Education data collection. The Australian Government Department of Education provides data to the ABS on CBDC out</w:t>
            </w:r>
            <w:r>
              <w:noBreakHyphen/>
              <w:t>of</w:t>
            </w:r>
            <w:r>
              <w:noBreakHyphen/>
              <w:t>pocket expenses for this purpose. This data covers all hours of enrolment in the CBDC service during the reference period, not just the ‘preschool’ component. Additionally, although the data reflects the out</w:t>
            </w:r>
            <w:r>
              <w:noBreakHyphen/>
              <w:t>of</w:t>
            </w:r>
            <w:r>
              <w:noBreakHyphen/>
              <w:t>pocket expense after CCS and ACCS (if relevant) are applied, it does not capture any state</w:t>
            </w:r>
            <w:r>
              <w:noBreakHyphen/>
              <w:t>based fee relief that is applied after the CCS, such as the Victorian Government’s Free Kinder program.</w:t>
            </w:r>
          </w:p>
          <w:p w14:paraId="2A6392E6" w14:textId="77777777" w:rsidR="005E1B35" w:rsidRPr="00411691" w:rsidRDefault="005E1B35" w:rsidP="00882158">
            <w:pPr>
              <w:pStyle w:val="BodyText"/>
              <w:rPr>
                <w:color w:val="000000" w:themeColor="text1"/>
              </w:rPr>
            </w:pPr>
            <w:r>
              <w:t>As a result of these data limitations, it is difficult to compare preschool out</w:t>
            </w:r>
            <w:r>
              <w:noBreakHyphen/>
              <w:t>of</w:t>
            </w:r>
            <w:r>
              <w:noBreakHyphen/>
              <w:t>pocket expenses for dedicated preschools and CBDC services.</w:t>
            </w:r>
          </w:p>
        </w:tc>
      </w:tr>
      <w:tr w:rsidR="005E1B35" w14:paraId="4675E158" w14:textId="77777777" w:rsidTr="00882158">
        <w:trPr>
          <w:hidden/>
        </w:trPr>
        <w:tc>
          <w:tcPr>
            <w:tcW w:w="9638" w:type="dxa"/>
            <w:shd w:val="clear" w:color="auto" w:fill="auto"/>
            <w:tcMar>
              <w:top w:w="0" w:type="dxa"/>
              <w:left w:w="170" w:type="dxa"/>
              <w:bottom w:w="0" w:type="dxa"/>
              <w:right w:w="170" w:type="dxa"/>
            </w:tcMar>
          </w:tcPr>
          <w:p w14:paraId="39F6A71D" w14:textId="77777777" w:rsidR="005E1B35" w:rsidRPr="00465191" w:rsidRDefault="005E1B35">
            <w:pPr>
              <w:pStyle w:val="BodyText"/>
              <w:spacing w:before="0" w:after="0" w:line="80" w:lineRule="atLeast"/>
              <w:rPr>
                <w:smallCaps/>
                <w:vanish/>
              </w:rPr>
            </w:pPr>
          </w:p>
        </w:tc>
      </w:tr>
    </w:tbl>
    <w:p w14:paraId="3352D6B2" w14:textId="77777777" w:rsidR="005E1B35" w:rsidRPr="008A071D" w:rsidRDefault="005E1B35" w:rsidP="00882158">
      <w:pPr>
        <w:pStyle w:val="Heading3"/>
      </w:pPr>
      <w:r>
        <w:lastRenderedPageBreak/>
        <w:t>State and territory funding arrangements</w:t>
      </w:r>
    </w:p>
    <w:p w14:paraId="0C032975" w14:textId="77777777" w:rsidR="005E1B35" w:rsidRDefault="005E1B35" w:rsidP="00882158">
      <w:pPr>
        <w:pStyle w:val="BodyText"/>
      </w:pPr>
      <w:r>
        <w:t>State and territory governments fund and deliver preschool in various ways, including:</w:t>
      </w:r>
    </w:p>
    <w:p w14:paraId="705A2938" w14:textId="77777777" w:rsidR="005E1B35" w:rsidRPr="00E45934" w:rsidRDefault="005E1B35" w:rsidP="00882158">
      <w:pPr>
        <w:pStyle w:val="ListBullet"/>
      </w:pPr>
      <w:r w:rsidRPr="00E45934">
        <w:t>government</w:t>
      </w:r>
      <w:r>
        <w:noBreakHyphen/>
        <w:t>run</w:t>
      </w:r>
      <w:r w:rsidRPr="00E45934">
        <w:t xml:space="preserve"> dedicated preschools that are delivered and funded by the states and territories</w:t>
      </w:r>
    </w:p>
    <w:p w14:paraId="4DEC40A1" w14:textId="77777777" w:rsidR="005E1B35" w:rsidRPr="00E45934" w:rsidRDefault="005E1B35" w:rsidP="00882158">
      <w:pPr>
        <w:pStyle w:val="ListBullet"/>
      </w:pPr>
      <w:r w:rsidRPr="00E45934">
        <w:t>funding provided to non</w:t>
      </w:r>
      <w:r w:rsidRPr="00E45934">
        <w:noBreakHyphen/>
        <w:t>government service providers, including CBDC services, community preschools,</w:t>
      </w:r>
      <w:r>
        <w:t xml:space="preserve"> </w:t>
      </w:r>
      <w:r w:rsidRPr="00E45934">
        <w:t xml:space="preserve">mobile preschools </w:t>
      </w:r>
      <w:r>
        <w:t>and non</w:t>
      </w:r>
      <w:r>
        <w:noBreakHyphen/>
        <w:t>government schools that deliver preschool</w:t>
      </w:r>
    </w:p>
    <w:p w14:paraId="7B7840EB" w14:textId="77777777" w:rsidR="005E1B35" w:rsidRDefault="005E1B35" w:rsidP="00882158">
      <w:pPr>
        <w:pStyle w:val="ListBullet"/>
      </w:pPr>
      <w:r w:rsidRPr="00E45934">
        <w:t>additional funding to improve access and outcomes for Aboriginal and Torres Strait Islander children, children who are experiencing vulnerability and disadvantage and children in rural and remote areas.</w:t>
      </w:r>
    </w:p>
    <w:p w14:paraId="4F5F6ECE" w14:textId="77777777" w:rsidR="005E1B35" w:rsidRDefault="005E1B35" w:rsidP="00882158">
      <w:pPr>
        <w:pStyle w:val="BodyText"/>
      </w:pPr>
      <w:r>
        <w:t>State and territory funding arrangements are determined by the main preschool delivery methods within each jurisdiction. For example, in Victoria, New South Wales and Queensland, where preschool is mainly delivered through CBDC services</w:t>
      </w:r>
      <w:r w:rsidRPr="00D62DFF">
        <w:t xml:space="preserve"> </w:t>
      </w:r>
      <w:r>
        <w:t>and non</w:t>
      </w:r>
      <w:r>
        <w:noBreakHyphen/>
        <w:t>government dedicated preschools, various subsidy programs allocate funding to private service providers (table E.2). In contrast, states like Western Australia and Tasmania predominantly fund and deliver preschool directly through their school systems.</w:t>
      </w:r>
    </w:p>
    <w:p w14:paraId="1B2AC35C" w14:textId="77777777" w:rsidR="005E1B35" w:rsidRDefault="005E1B35" w:rsidP="00882158">
      <w:pPr>
        <w:pStyle w:val="BodyText"/>
      </w:pPr>
      <w:r>
        <w:t>State and territory funding arrangements aimed at providing fee relief for families may be applied in conjunction with the CCS. If these state and territory payments are classified as prescribed third</w:t>
      </w:r>
      <w:r>
        <w:noBreakHyphen/>
        <w:t>party payments, the CCS is applied to families’ fees first, with fees then further reduced by state</w:t>
      </w:r>
      <w:r>
        <w:noBreakHyphen/>
        <w:t>based fee relief. Further discussion of this is provided in the CCS section of this appendix.</w:t>
      </w:r>
    </w:p>
    <w:p w14:paraId="529550D3" w14:textId="77777777" w:rsidR="005E1B35" w:rsidRDefault="005E1B35" w:rsidP="00882158">
      <w:pPr>
        <w:pStyle w:val="BodyText"/>
      </w:pPr>
      <w:r>
        <w:t>In addition, many state and territory governments have announced or are undertaking preschool reforms within their jurisdictions. These are discussed in section E.4 of this appendix.</w:t>
      </w:r>
    </w:p>
    <w:p w14:paraId="454A9587" w14:textId="77777777" w:rsidR="005E1B35" w:rsidRDefault="005E1B35">
      <w:pPr>
        <w:pStyle w:val="FigureTableHeading"/>
      </w:pPr>
      <w:r>
        <w:t xml:space="preserve">Table </w:t>
      </w:r>
      <w:r>
        <w:rPr>
          <w:noProof/>
        </w:rPr>
        <w:t>E</w:t>
      </w:r>
      <w:r>
        <w:t>.</w:t>
      </w:r>
      <w:r>
        <w:rPr>
          <w:noProof/>
        </w:rPr>
        <w:t xml:space="preserve">2 – </w:t>
      </w:r>
      <w:r>
        <w:t>Funding arrangements vary across the states and territories</w:t>
      </w:r>
      <w:r w:rsidRPr="00EC0C27">
        <w:rPr>
          <w:vertAlign w:val="superscript"/>
        </w:rPr>
        <w:t>a</w:t>
      </w:r>
      <w:r>
        <w:rPr>
          <w:vertAlign w:val="superscript"/>
        </w:rPr>
        <w:t>,b</w:t>
      </w:r>
    </w:p>
    <w:p w14:paraId="595744F1" w14:textId="77777777" w:rsidR="005E1B35" w:rsidRDefault="005E1B35">
      <w:pPr>
        <w:pStyle w:val="FigureTableSubheading"/>
      </w:pPr>
      <w:r>
        <w:t>Recurrent expenditure on preschool (2022</w:t>
      </w:r>
      <w:r>
        <w:noBreakHyphen/>
        <w:t>23 financial year) and key funding arrangements by jurisdiction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9"/>
        <w:gridCol w:w="2126"/>
        <w:gridCol w:w="6803"/>
      </w:tblGrid>
      <w:tr w:rsidR="005E1B35" w:rsidRPr="00030C67" w14:paraId="38BE5360" w14:textId="77777777" w:rsidTr="00882158">
        <w:trPr>
          <w:trHeight w:val="421"/>
          <w:tblHeader/>
        </w:trPr>
        <w:tc>
          <w:tcPr>
            <w:tcW w:w="709" w:type="dxa"/>
            <w:tcBorders>
              <w:bottom w:val="single" w:sz="4" w:space="0" w:color="B3B3B3"/>
            </w:tcBorders>
            <w:shd w:val="clear" w:color="auto" w:fill="auto"/>
            <w:vAlign w:val="bottom"/>
          </w:tcPr>
          <w:p w14:paraId="03FCB6C8" w14:textId="77777777" w:rsidR="005E1B35" w:rsidRPr="00030C67" w:rsidRDefault="005E1B35" w:rsidP="00882158">
            <w:pPr>
              <w:pStyle w:val="TableHeading"/>
              <w:ind w:left="0"/>
              <w:rPr>
                <w:rFonts w:ascii="Arial (Body)" w:hAnsi="Arial (Body)"/>
                <w:color w:val="265A9A"/>
              </w:rPr>
            </w:pPr>
          </w:p>
        </w:tc>
        <w:tc>
          <w:tcPr>
            <w:tcW w:w="2126" w:type="dxa"/>
            <w:tcBorders>
              <w:bottom w:val="single" w:sz="4" w:space="0" w:color="B3B3B3"/>
            </w:tcBorders>
            <w:shd w:val="clear" w:color="auto" w:fill="auto"/>
            <w:vAlign w:val="bottom"/>
          </w:tcPr>
          <w:p w14:paraId="10FCD958" w14:textId="77777777" w:rsidR="005E1B35" w:rsidRPr="00030C67" w:rsidRDefault="005E1B35" w:rsidP="003C7EED">
            <w:pPr>
              <w:pStyle w:val="TableHeading"/>
              <w:ind w:left="0" w:right="113"/>
              <w:jc w:val="right"/>
            </w:pPr>
            <w:r w:rsidRPr="000B382F">
              <w:t xml:space="preserve">Recurrent expenditure </w:t>
            </w:r>
            <w:r w:rsidRPr="000B382F">
              <w:br/>
              <w:t>(202</w:t>
            </w:r>
            <w:r>
              <w:t>2</w:t>
            </w:r>
            <w:r>
              <w:noBreakHyphen/>
            </w:r>
            <w:r w:rsidRPr="000B382F">
              <w:t>2</w:t>
            </w:r>
            <w:r>
              <w:t>3</w:t>
            </w:r>
            <w:r w:rsidRPr="000B382F">
              <w:t xml:space="preserve"> financial year) </w:t>
            </w:r>
          </w:p>
        </w:tc>
        <w:tc>
          <w:tcPr>
            <w:tcW w:w="6803" w:type="dxa"/>
            <w:tcBorders>
              <w:bottom w:val="single" w:sz="4" w:space="0" w:color="B3B3B3"/>
            </w:tcBorders>
            <w:shd w:val="clear" w:color="auto" w:fill="auto"/>
            <w:vAlign w:val="bottom"/>
          </w:tcPr>
          <w:p w14:paraId="4F2AD1C5" w14:textId="77777777" w:rsidR="005E1B35" w:rsidRPr="00030C67" w:rsidRDefault="005E1B35" w:rsidP="00882158">
            <w:pPr>
              <w:pStyle w:val="TableHeading"/>
              <w:ind w:left="0"/>
            </w:pPr>
            <w:r>
              <w:t>Key funding arrangements as at May 2024</w:t>
            </w:r>
            <w:r w:rsidRPr="00673012">
              <w:rPr>
                <w:vertAlign w:val="superscript"/>
              </w:rPr>
              <w:t>c</w:t>
            </w:r>
          </w:p>
        </w:tc>
      </w:tr>
      <w:tr w:rsidR="005E1B35" w:rsidRPr="00030C67" w14:paraId="260B133D" w14:textId="77777777" w:rsidTr="00882158">
        <w:trPr>
          <w:trHeight w:val="421"/>
        </w:trPr>
        <w:tc>
          <w:tcPr>
            <w:tcW w:w="709" w:type="dxa"/>
            <w:tcBorders>
              <w:top w:val="single" w:sz="4" w:space="0" w:color="B3B3B3"/>
              <w:bottom w:val="nil"/>
            </w:tcBorders>
            <w:shd w:val="clear" w:color="auto" w:fill="F2F2F2" w:themeFill="background1" w:themeFillShade="F2"/>
          </w:tcPr>
          <w:p w14:paraId="7891576C" w14:textId="77777777" w:rsidR="005E1B35" w:rsidRPr="00030C67" w:rsidRDefault="005E1B35">
            <w:pPr>
              <w:pStyle w:val="TableHeading"/>
            </w:pPr>
            <w:r>
              <w:t>NSW</w:t>
            </w:r>
          </w:p>
        </w:tc>
        <w:tc>
          <w:tcPr>
            <w:tcW w:w="2126" w:type="dxa"/>
            <w:tcBorders>
              <w:top w:val="single" w:sz="4" w:space="0" w:color="B3B3B3"/>
              <w:bottom w:val="nil"/>
            </w:tcBorders>
            <w:shd w:val="clear" w:color="auto" w:fill="F2F2F2" w:themeFill="background1" w:themeFillShade="F2"/>
          </w:tcPr>
          <w:p w14:paraId="7AD3CA5C" w14:textId="77777777" w:rsidR="005E1B35" w:rsidRPr="00030C67" w:rsidRDefault="005E1B35" w:rsidP="003C7EED">
            <w:pPr>
              <w:pStyle w:val="TableBody"/>
              <w:ind w:left="0" w:right="113"/>
              <w:jc w:val="right"/>
            </w:pPr>
            <w:r>
              <w:t>$577,765,000</w:t>
            </w:r>
          </w:p>
        </w:tc>
        <w:tc>
          <w:tcPr>
            <w:tcW w:w="6803" w:type="dxa"/>
            <w:tcBorders>
              <w:top w:val="single" w:sz="4" w:space="0" w:color="B3B3B3"/>
              <w:bottom w:val="nil"/>
            </w:tcBorders>
            <w:shd w:val="clear" w:color="auto" w:fill="F2F2F2" w:themeFill="background1" w:themeFillShade="F2"/>
          </w:tcPr>
          <w:p w14:paraId="2A071CA4" w14:textId="77777777" w:rsidR="005E1B35" w:rsidRDefault="005E1B35" w:rsidP="00882158">
            <w:pPr>
              <w:pStyle w:val="TableBody"/>
              <w:ind w:left="0"/>
            </w:pPr>
            <w:r w:rsidRPr="0010086C">
              <w:t xml:space="preserve">The NSW Government’s Start Strong program provides funding to </w:t>
            </w:r>
            <w:r>
              <w:t>CBDC</w:t>
            </w:r>
            <w:r w:rsidRPr="0010086C">
              <w:t xml:space="preserve"> services and community preschools as two components – program funding and fee relief. Program funding must be spent on costs associated with running a preschool program, whilst</w:t>
            </w:r>
            <w:r>
              <w:t xml:space="preserve"> </w:t>
            </w:r>
            <w:r w:rsidRPr="0010086C">
              <w:t>fee relief must be passed on to families as a reduction to their enrolment fees</w:t>
            </w:r>
            <w:r>
              <w:t xml:space="preserve"> (after the CCS has been applied)</w:t>
            </w:r>
            <w:r w:rsidRPr="0010086C">
              <w:t xml:space="preserve">. Both program funding and fee relief are provided on a per enrolment basis for eligible children. Children </w:t>
            </w:r>
            <w:r>
              <w:t>are eligible if they attend four</w:t>
            </w:r>
            <w:r>
              <w:noBreakHyphen/>
              <w:t>year</w:t>
            </w:r>
            <w:r>
              <w:noBreakHyphen/>
              <w:t>old preschool in CBDC services</w:t>
            </w:r>
            <w:r w:rsidRPr="0010086C">
              <w:t xml:space="preserve"> </w:t>
            </w:r>
            <w:r>
              <w:t>or</w:t>
            </w:r>
            <w:r w:rsidRPr="0010086C">
              <w:t xml:space="preserve"> </w:t>
            </w:r>
            <w:r>
              <w:t>three</w:t>
            </w:r>
            <w:r>
              <w:noBreakHyphen/>
              <w:t>year</w:t>
            </w:r>
            <w:r>
              <w:noBreakHyphen/>
              <w:t xml:space="preserve">old preschool and above for </w:t>
            </w:r>
            <w:r w:rsidRPr="0010086C">
              <w:t xml:space="preserve">community preschools. </w:t>
            </w:r>
            <w:r w:rsidRPr="008305D2">
              <w:t>A trial that provides program funding and fee relief for three</w:t>
            </w:r>
            <w:r>
              <w:noBreakHyphen/>
            </w:r>
            <w:r w:rsidRPr="008305D2">
              <w:t>year</w:t>
            </w:r>
            <w:r>
              <w:noBreakHyphen/>
            </w:r>
            <w:r w:rsidRPr="008305D2">
              <w:t>old preschool in CBDC services is</w:t>
            </w:r>
            <w:r>
              <w:t xml:space="preserve"> also underway (further details are discussed in section E.4).</w:t>
            </w:r>
          </w:p>
          <w:p w14:paraId="6DE284BC" w14:textId="77777777" w:rsidR="005E1B35" w:rsidRPr="0010086C" w:rsidRDefault="005E1B35" w:rsidP="00882158">
            <w:pPr>
              <w:pStyle w:val="TableBody"/>
              <w:ind w:left="0"/>
            </w:pPr>
            <w:r w:rsidRPr="0010086C">
              <w:t>In addition, the NSW Department of Education operates 101 preschools</w:t>
            </w:r>
            <w:r>
              <w:t>,</w:t>
            </w:r>
            <w:r w:rsidRPr="0010086C">
              <w:t xml:space="preserve"> which provide </w:t>
            </w:r>
            <w:r>
              <w:t>600 hours per year of free</w:t>
            </w:r>
            <w:r w:rsidRPr="0010086C">
              <w:t xml:space="preserve"> preschool for children </w:t>
            </w:r>
            <w:r>
              <w:t>in four</w:t>
            </w:r>
            <w:r>
              <w:noBreakHyphen/>
              <w:t>year</w:t>
            </w:r>
            <w:r>
              <w:noBreakHyphen/>
              <w:t>old preschool</w:t>
            </w:r>
            <w:r w:rsidRPr="0010086C">
              <w:t xml:space="preserve">. These preschools </w:t>
            </w:r>
            <w:r>
              <w:t>aim to cater for</w:t>
            </w:r>
            <w:r w:rsidRPr="0010086C">
              <w:t xml:space="preserve"> specific cohorts of children, including Aboriginal children and children experiencing vulnerability and disadvantage.</w:t>
            </w:r>
            <w:r>
              <w:t xml:space="preserve"> </w:t>
            </w:r>
          </w:p>
        </w:tc>
      </w:tr>
      <w:tr w:rsidR="005E1B35" w:rsidRPr="00030C67" w14:paraId="571757AC" w14:textId="77777777" w:rsidTr="00882158">
        <w:trPr>
          <w:trHeight w:val="421"/>
        </w:trPr>
        <w:tc>
          <w:tcPr>
            <w:tcW w:w="709" w:type="dxa"/>
            <w:tcBorders>
              <w:top w:val="nil"/>
              <w:bottom w:val="nil"/>
            </w:tcBorders>
            <w:shd w:val="clear" w:color="auto" w:fill="auto"/>
          </w:tcPr>
          <w:p w14:paraId="11EDD737" w14:textId="2B640CDB" w:rsidR="005E1B35" w:rsidRPr="00030C67" w:rsidRDefault="005E1B35" w:rsidP="00882158">
            <w:pPr>
              <w:pStyle w:val="TableHeading"/>
              <w:keepNext/>
            </w:pPr>
            <w:r>
              <w:lastRenderedPageBreak/>
              <w:t>V</w:t>
            </w:r>
            <w:r w:rsidR="00FA6910">
              <w:t>ic</w:t>
            </w:r>
          </w:p>
        </w:tc>
        <w:tc>
          <w:tcPr>
            <w:tcW w:w="2126" w:type="dxa"/>
            <w:tcBorders>
              <w:top w:val="nil"/>
              <w:bottom w:val="nil"/>
            </w:tcBorders>
            <w:shd w:val="clear" w:color="auto" w:fill="auto"/>
          </w:tcPr>
          <w:p w14:paraId="6C661A77" w14:textId="77777777" w:rsidR="005E1B35" w:rsidRPr="00030C67" w:rsidRDefault="005E1B35" w:rsidP="003C7EED">
            <w:pPr>
              <w:pStyle w:val="TableBody"/>
              <w:keepNext/>
              <w:ind w:left="0" w:right="113"/>
              <w:jc w:val="right"/>
            </w:pPr>
            <w:r>
              <w:t>$912,793,000</w:t>
            </w:r>
          </w:p>
        </w:tc>
        <w:tc>
          <w:tcPr>
            <w:tcW w:w="6803" w:type="dxa"/>
            <w:tcBorders>
              <w:top w:val="nil"/>
              <w:bottom w:val="nil"/>
            </w:tcBorders>
            <w:shd w:val="clear" w:color="auto" w:fill="auto"/>
          </w:tcPr>
          <w:p w14:paraId="24123DFE" w14:textId="77777777" w:rsidR="005E1B35" w:rsidRDefault="005E1B35" w:rsidP="00882158">
            <w:pPr>
              <w:pStyle w:val="TableBody"/>
              <w:keepNext/>
              <w:ind w:left="0"/>
            </w:pPr>
            <w:r>
              <w:t xml:space="preserve">Kindergarten per capita funding is provided to dedicated preschools and CBDC services as a contribution toward the cost of running a preschool program. </w:t>
            </w:r>
            <w:r w:rsidRPr="003B0458">
              <w:t>The funding is available to all service providers</w:t>
            </w:r>
            <w:r>
              <w:t>, but f</w:t>
            </w:r>
            <w:r w:rsidRPr="0081343E">
              <w:t xml:space="preserve">unding rates vary based on the location of the service, the service setting and the type of industrial award or agreement that educators are employed under. </w:t>
            </w:r>
            <w:r w:rsidRPr="002826FF">
              <w:t>Service providers receive a per enrolment amount for eligible children</w:t>
            </w:r>
            <w:r>
              <w:t>. Children in both four</w:t>
            </w:r>
            <w:r>
              <w:noBreakHyphen/>
              <w:t>year</w:t>
            </w:r>
            <w:r>
              <w:noBreakHyphen/>
              <w:t>old and three</w:t>
            </w:r>
            <w:r>
              <w:noBreakHyphen/>
              <w:t>year</w:t>
            </w:r>
            <w:r>
              <w:noBreakHyphen/>
              <w:t>old preschool are eligible for funding but have different requirements regarding hours of enrolment. Children in four</w:t>
            </w:r>
            <w:r>
              <w:noBreakHyphen/>
              <w:t>year</w:t>
            </w:r>
            <w:r>
              <w:noBreakHyphen/>
              <w:t>old preschool must be enrolled for 15 hours per week whilst children in three</w:t>
            </w:r>
            <w:r>
              <w:noBreakHyphen/>
              <w:t>year</w:t>
            </w:r>
            <w:r>
              <w:noBreakHyphen/>
              <w:t>old preschool currently only need to be enrolled for 5</w:t>
            </w:r>
            <w:r>
              <w:noBreakHyphen/>
              <w:t>15 hours per week.</w:t>
            </w:r>
          </w:p>
          <w:p w14:paraId="6AE10F5D" w14:textId="77777777" w:rsidR="005E1B35" w:rsidRPr="00030C67" w:rsidRDefault="005E1B35" w:rsidP="00882158">
            <w:pPr>
              <w:pStyle w:val="TableBody"/>
              <w:keepNext/>
              <w:ind w:left="0"/>
            </w:pPr>
            <w:r>
              <w:t>Additionally, t</w:t>
            </w:r>
            <w:r w:rsidRPr="00E97A19">
              <w:t xml:space="preserve">he Free Kinder program </w:t>
            </w:r>
            <w:r>
              <w:t>allocates</w:t>
            </w:r>
            <w:r w:rsidRPr="00E97A19">
              <w:t xml:space="preserve"> funding </w:t>
            </w:r>
            <w:r>
              <w:t>to provide fee relief for families with preschool children</w:t>
            </w:r>
            <w:r w:rsidRPr="00E97A19">
              <w:t xml:space="preserve">. </w:t>
            </w:r>
            <w:r>
              <w:t>The funding is provided to dedicated preschools and CBDC services who choose to opt into the program. Service providers who opt into the program and receive funding must meet specific conditions. For instance, dedicated preschools</w:t>
            </w:r>
            <w:r w:rsidRPr="00E97A19">
              <w:t xml:space="preserve"> </w:t>
            </w:r>
            <w:r>
              <w:t>must</w:t>
            </w:r>
            <w:r w:rsidRPr="00E97A19">
              <w:t xml:space="preserve"> deliver a free </w:t>
            </w:r>
            <w:r>
              <w:t>15 hour per week</w:t>
            </w:r>
            <w:r w:rsidRPr="00E97A19">
              <w:t xml:space="preserve"> </w:t>
            </w:r>
            <w:r>
              <w:t xml:space="preserve">preschool </w:t>
            </w:r>
            <w:r w:rsidRPr="00E97A19">
              <w:t xml:space="preserve">program </w:t>
            </w:r>
            <w:r>
              <w:t>for</w:t>
            </w:r>
            <w:r w:rsidRPr="00E97A19">
              <w:t xml:space="preserve"> </w:t>
            </w:r>
            <w:r>
              <w:t>children in four</w:t>
            </w:r>
            <w:r>
              <w:noBreakHyphen/>
              <w:t>year</w:t>
            </w:r>
            <w:r>
              <w:noBreakHyphen/>
              <w:t>old preschool</w:t>
            </w:r>
            <w:r w:rsidRPr="00E97A19">
              <w:t xml:space="preserve"> and a free </w:t>
            </w:r>
            <w:r>
              <w:t>5</w:t>
            </w:r>
            <w:r>
              <w:noBreakHyphen/>
              <w:t>15 hour per week</w:t>
            </w:r>
            <w:r w:rsidRPr="00E97A19">
              <w:t xml:space="preserve"> program for </w:t>
            </w:r>
            <w:r>
              <w:t>children in three</w:t>
            </w:r>
            <w:r>
              <w:noBreakHyphen/>
              <w:t>year</w:t>
            </w:r>
            <w:r>
              <w:noBreakHyphen/>
              <w:t>old preschool</w:t>
            </w:r>
            <w:r w:rsidRPr="00E97A19">
              <w:t xml:space="preserve">. </w:t>
            </w:r>
            <w:r>
              <w:t>Services may offer programs with greater hours and can charge families for those additional hours.</w:t>
            </w:r>
            <w:r w:rsidRPr="00E97A19">
              <w:t xml:space="preserve"> </w:t>
            </w:r>
            <w:r>
              <w:t>CBDC</w:t>
            </w:r>
            <w:r w:rsidRPr="00E97A19">
              <w:t xml:space="preserve"> services </w:t>
            </w:r>
            <w:r>
              <w:t xml:space="preserve">are not required to provide a free preschool program but </w:t>
            </w:r>
            <w:r w:rsidRPr="00E97A19">
              <w:t>must</w:t>
            </w:r>
            <w:r>
              <w:t xml:space="preserve"> simply</w:t>
            </w:r>
            <w:r w:rsidRPr="00E97A19">
              <w:t xml:space="preserve"> </w:t>
            </w:r>
            <w:r>
              <w:t>offset the full funding amount they receive from</w:t>
            </w:r>
            <w:r w:rsidRPr="00E97A19">
              <w:t xml:space="preserve"> families</w:t>
            </w:r>
            <w:r>
              <w:t>’ preschool</w:t>
            </w:r>
            <w:r w:rsidRPr="00E97A19">
              <w:t xml:space="preserve"> fees</w:t>
            </w:r>
            <w:r>
              <w:t xml:space="preserve"> (after the CCS has been applied). As such, some families may still face out</w:t>
            </w:r>
            <w:r>
              <w:noBreakHyphen/>
              <w:t>of</w:t>
            </w:r>
            <w:r>
              <w:noBreakHyphen/>
              <w:t xml:space="preserve">pocket expenses depending on the fees they are charged by CBDC services. </w:t>
            </w:r>
            <w:r w:rsidRPr="00E97A19">
              <w:t>Service providers may receive both funding from the Free Kinder program and kindergarten per capita funding.</w:t>
            </w:r>
          </w:p>
        </w:tc>
      </w:tr>
      <w:tr w:rsidR="005E1B35" w:rsidRPr="00030C67" w14:paraId="20D61A5B" w14:textId="77777777" w:rsidTr="00882158">
        <w:trPr>
          <w:trHeight w:val="421"/>
        </w:trPr>
        <w:tc>
          <w:tcPr>
            <w:tcW w:w="709" w:type="dxa"/>
            <w:shd w:val="clear" w:color="auto" w:fill="F2F2F2" w:themeFill="background1" w:themeFillShade="F2"/>
          </w:tcPr>
          <w:p w14:paraId="358B491C" w14:textId="63A3465B" w:rsidR="005E1B35" w:rsidRPr="00030C67" w:rsidRDefault="005E1B35">
            <w:pPr>
              <w:pStyle w:val="TableHeading"/>
            </w:pPr>
            <w:r>
              <w:t>Q</w:t>
            </w:r>
            <w:r w:rsidR="00FA6910">
              <w:t>ld</w:t>
            </w:r>
          </w:p>
        </w:tc>
        <w:tc>
          <w:tcPr>
            <w:tcW w:w="2126" w:type="dxa"/>
            <w:shd w:val="clear" w:color="auto" w:fill="F2F2F2" w:themeFill="background1" w:themeFillShade="F2"/>
          </w:tcPr>
          <w:p w14:paraId="3B809907" w14:textId="77777777" w:rsidR="005E1B35" w:rsidRPr="00030C67" w:rsidRDefault="005E1B35" w:rsidP="003C7EED">
            <w:pPr>
              <w:pStyle w:val="TableBody"/>
              <w:ind w:left="0" w:right="113"/>
              <w:jc w:val="right"/>
            </w:pPr>
            <w:r>
              <w:t>$256,862,000</w:t>
            </w:r>
          </w:p>
        </w:tc>
        <w:tc>
          <w:tcPr>
            <w:tcW w:w="6803" w:type="dxa"/>
            <w:shd w:val="clear" w:color="auto" w:fill="F2F2F2" w:themeFill="background1" w:themeFillShade="F2"/>
          </w:tcPr>
          <w:p w14:paraId="4F7B83EC" w14:textId="77777777" w:rsidR="005E1B35" w:rsidRPr="003C7EED" w:rsidRDefault="005E1B35" w:rsidP="00882158">
            <w:pPr>
              <w:pStyle w:val="TableBody"/>
              <w:ind w:left="0"/>
              <w:rPr>
                <w:spacing w:val="-4"/>
                <w:szCs w:val="18"/>
              </w:rPr>
            </w:pPr>
            <w:r w:rsidRPr="003C7EED">
              <w:rPr>
                <w:spacing w:val="-4"/>
              </w:rPr>
              <w:t>The Queensland Government funds four</w:t>
            </w:r>
            <w:r w:rsidRPr="003C7EED">
              <w:rPr>
                <w:spacing w:val="-4"/>
              </w:rPr>
              <w:noBreakHyphen/>
              <w:t>year</w:t>
            </w:r>
            <w:r w:rsidRPr="003C7EED">
              <w:rPr>
                <w:spacing w:val="-4"/>
              </w:rPr>
              <w:noBreakHyphen/>
              <w:t xml:space="preserve">old preschool in CBDC services and dedicated preschools through various subsidies and grants. The gap fee / free kindy subsidy is provided for service providers that opt into the Free Kindy program. This subsidy </w:t>
            </w:r>
            <w:r w:rsidRPr="003C7EED">
              <w:rPr>
                <w:spacing w:val="-4"/>
                <w:szCs w:val="18"/>
              </w:rPr>
              <w:t>covers any remaining preschool fees for families (after CCS has been applied) for 600 hours per year. For services that opt in to Free Kindy,</w:t>
            </w:r>
            <w:r w:rsidRPr="003C7EED">
              <w:rPr>
                <w:spacing w:val="-4"/>
              </w:rPr>
              <w:t xml:space="preserve"> a base subsidy is provided to cover the cost of delivering a preschool program, provided as a per enrolment amount.</w:t>
            </w:r>
            <w:r w:rsidRPr="003C7EED">
              <w:rPr>
                <w:spacing w:val="-4"/>
                <w:szCs w:val="18"/>
              </w:rPr>
              <w:t xml:space="preserve"> Services opting in to Free Kindy are also eligible for a service location subsidy, which is provided for each eligible child from a regional or remote area.</w:t>
            </w:r>
          </w:p>
          <w:p w14:paraId="5080E188" w14:textId="77777777" w:rsidR="005E1B35" w:rsidRDefault="005E1B35" w:rsidP="00882158">
            <w:pPr>
              <w:pStyle w:val="TableBody"/>
              <w:ind w:left="0"/>
              <w:rPr>
                <w:szCs w:val="18"/>
              </w:rPr>
            </w:pPr>
            <w:r>
              <w:rPr>
                <w:szCs w:val="18"/>
              </w:rPr>
              <w:t>Alternative per capita funding is provided for service providers that do not opt into the Free Kindy program.</w:t>
            </w:r>
          </w:p>
          <w:p w14:paraId="7B58EE5A" w14:textId="77777777" w:rsidR="005E1B35" w:rsidRPr="003C7EED" w:rsidRDefault="005E1B35" w:rsidP="00882158">
            <w:pPr>
              <w:pStyle w:val="TableBody"/>
              <w:ind w:left="0"/>
              <w:rPr>
                <w:szCs w:val="18"/>
              </w:rPr>
            </w:pPr>
            <w:r w:rsidRPr="003C7EED">
              <w:rPr>
                <w:szCs w:val="18"/>
              </w:rPr>
              <w:t>Additionally, targeted subsidies are provided to service providers including:</w:t>
            </w:r>
          </w:p>
          <w:p w14:paraId="1DBCEBA2" w14:textId="77777777" w:rsidR="005E1B35" w:rsidRPr="003C7EED" w:rsidRDefault="005E1B35" w:rsidP="00882158">
            <w:pPr>
              <w:pStyle w:val="TableListBullet"/>
              <w:rPr>
                <w:sz w:val="18"/>
                <w:szCs w:val="18"/>
              </w:rPr>
            </w:pPr>
            <w:r w:rsidRPr="003C7EED">
              <w:rPr>
                <w:sz w:val="18"/>
                <w:szCs w:val="18"/>
              </w:rPr>
              <w:t>Kindy Uplift – provided to respond to children’s learning and developmental needs</w:t>
            </w:r>
          </w:p>
          <w:p w14:paraId="73A85FEB" w14:textId="77777777" w:rsidR="005E1B35" w:rsidRPr="003C7EED" w:rsidRDefault="005E1B35" w:rsidP="00882158">
            <w:pPr>
              <w:pStyle w:val="TableListBullet"/>
              <w:rPr>
                <w:sz w:val="18"/>
                <w:szCs w:val="18"/>
              </w:rPr>
            </w:pPr>
            <w:r w:rsidRPr="003C7EED">
              <w:rPr>
                <w:sz w:val="18"/>
                <w:szCs w:val="18"/>
              </w:rPr>
              <w:t>inclusion ready subsidy – to support inclusion of children from diverse backgrounds and with additional needs.</w:t>
            </w:r>
          </w:p>
          <w:p w14:paraId="1D74B1CF" w14:textId="77777777" w:rsidR="005E1B35" w:rsidRPr="00030C67" w:rsidRDefault="005E1B35" w:rsidP="00882158">
            <w:pPr>
              <w:pStyle w:val="TableBody"/>
              <w:ind w:left="0"/>
            </w:pPr>
            <w:r>
              <w:t xml:space="preserve">The Queensland Government also funds </w:t>
            </w:r>
            <w:r w:rsidRPr="00E21C06">
              <w:t xml:space="preserve">136 state delivered </w:t>
            </w:r>
            <w:r>
              <w:t>preschool</w:t>
            </w:r>
            <w:r w:rsidRPr="00E21C06">
              <w:t xml:space="preserve"> programs in 118 remote state schools or their campuses, including 31 programs in </w:t>
            </w:r>
            <w:r>
              <w:t>certain</w:t>
            </w:r>
            <w:r w:rsidRPr="00E21C06">
              <w:t xml:space="preserve"> Aboriginal and Torres Strait Islander remote communities.</w:t>
            </w:r>
            <w:r>
              <w:t xml:space="preserve"> </w:t>
            </w:r>
          </w:p>
        </w:tc>
      </w:tr>
      <w:tr w:rsidR="005E1B35" w:rsidRPr="00030C67" w14:paraId="74DFBDC7" w14:textId="77777777" w:rsidTr="00882158">
        <w:trPr>
          <w:trHeight w:val="421"/>
        </w:trPr>
        <w:tc>
          <w:tcPr>
            <w:tcW w:w="709" w:type="dxa"/>
            <w:shd w:val="clear" w:color="auto" w:fill="auto"/>
          </w:tcPr>
          <w:p w14:paraId="50BDEBD3" w14:textId="77777777" w:rsidR="005E1B35" w:rsidRDefault="005E1B35" w:rsidP="00882158">
            <w:pPr>
              <w:pStyle w:val="TableHeading"/>
              <w:keepNext/>
            </w:pPr>
            <w:r>
              <w:lastRenderedPageBreak/>
              <w:t>WA</w:t>
            </w:r>
          </w:p>
        </w:tc>
        <w:tc>
          <w:tcPr>
            <w:tcW w:w="2126" w:type="dxa"/>
            <w:shd w:val="clear" w:color="auto" w:fill="auto"/>
          </w:tcPr>
          <w:p w14:paraId="210CE488" w14:textId="77777777" w:rsidR="005E1B35" w:rsidRDefault="005E1B35" w:rsidP="003C7EED">
            <w:pPr>
              <w:pStyle w:val="TableBody"/>
              <w:keepNext/>
              <w:ind w:left="0" w:right="113"/>
              <w:jc w:val="right"/>
            </w:pPr>
            <w:r>
              <w:t>$376,778,000</w:t>
            </w:r>
          </w:p>
        </w:tc>
        <w:tc>
          <w:tcPr>
            <w:tcW w:w="6803" w:type="dxa"/>
            <w:shd w:val="clear" w:color="auto" w:fill="auto"/>
          </w:tcPr>
          <w:p w14:paraId="06A7F7F2" w14:textId="77777777" w:rsidR="005E1B35" w:rsidRDefault="005E1B35" w:rsidP="00882158">
            <w:pPr>
              <w:pStyle w:val="TableBody"/>
              <w:keepNext/>
              <w:ind w:left="0"/>
            </w:pPr>
            <w:r w:rsidRPr="005F564C">
              <w:t xml:space="preserve">Preschool is mainly </w:t>
            </w:r>
            <w:r>
              <w:t xml:space="preserve">provided </w:t>
            </w:r>
            <w:r w:rsidRPr="005F564C">
              <w:t>through the school system</w:t>
            </w:r>
            <w:r>
              <w:t>. Western Australia provides preschool for 600 hours per year in public schools, community preschools, Catholic and Independent schools, with four hours per week funded by the Australian Government.</w:t>
            </w:r>
          </w:p>
        </w:tc>
      </w:tr>
      <w:tr w:rsidR="005E1B35" w:rsidRPr="00030C67" w14:paraId="7EBDE5C4" w14:textId="77777777" w:rsidTr="00882158">
        <w:trPr>
          <w:trHeight w:val="421"/>
        </w:trPr>
        <w:tc>
          <w:tcPr>
            <w:tcW w:w="709" w:type="dxa"/>
            <w:shd w:val="clear" w:color="auto" w:fill="F2F2F2" w:themeFill="background1" w:themeFillShade="F2"/>
          </w:tcPr>
          <w:p w14:paraId="46806458" w14:textId="77777777" w:rsidR="005E1B35" w:rsidRDefault="005E1B35" w:rsidP="00882158">
            <w:pPr>
              <w:pStyle w:val="TableHeading"/>
              <w:keepNext/>
            </w:pPr>
            <w:r>
              <w:t>SA</w:t>
            </w:r>
          </w:p>
        </w:tc>
        <w:tc>
          <w:tcPr>
            <w:tcW w:w="2126" w:type="dxa"/>
            <w:shd w:val="clear" w:color="auto" w:fill="F2F2F2" w:themeFill="background1" w:themeFillShade="F2"/>
          </w:tcPr>
          <w:p w14:paraId="469650EC" w14:textId="77777777" w:rsidR="005E1B35" w:rsidRDefault="005E1B35" w:rsidP="003C7EED">
            <w:pPr>
              <w:pStyle w:val="TableBody"/>
              <w:keepNext/>
              <w:ind w:left="0" w:right="113"/>
              <w:jc w:val="right"/>
            </w:pPr>
            <w:r>
              <w:t>$217,896,000</w:t>
            </w:r>
          </w:p>
        </w:tc>
        <w:tc>
          <w:tcPr>
            <w:tcW w:w="6803" w:type="dxa"/>
            <w:shd w:val="clear" w:color="auto" w:fill="F2F2F2" w:themeFill="background1" w:themeFillShade="F2"/>
          </w:tcPr>
          <w:p w14:paraId="0FAB361E" w14:textId="77777777" w:rsidR="005E1B35" w:rsidRDefault="005E1B35" w:rsidP="00882158">
            <w:pPr>
              <w:pStyle w:val="TableBody"/>
              <w:keepNext/>
              <w:ind w:left="0"/>
            </w:pPr>
            <w:r w:rsidRPr="00504138">
              <w:t xml:space="preserve">The South Australian Government funds </w:t>
            </w:r>
            <w:r>
              <w:t>480 hours per year</w:t>
            </w:r>
            <w:r w:rsidRPr="00504138">
              <w:t xml:space="preserve"> of preschool </w:t>
            </w:r>
            <w:r>
              <w:t>for</w:t>
            </w:r>
            <w:r w:rsidRPr="00504138">
              <w:t xml:space="preserve"> </w:t>
            </w:r>
            <w:r>
              <w:t>children in four</w:t>
            </w:r>
            <w:r>
              <w:noBreakHyphen/>
              <w:t>year</w:t>
            </w:r>
            <w:r>
              <w:noBreakHyphen/>
              <w:t>old preschool</w:t>
            </w:r>
            <w:r w:rsidRPr="00504138">
              <w:t xml:space="preserve"> and </w:t>
            </w:r>
            <w:r>
              <w:t>certain cohorts of children in three</w:t>
            </w:r>
            <w:r>
              <w:noBreakHyphen/>
              <w:t>year</w:t>
            </w:r>
            <w:r>
              <w:noBreakHyphen/>
              <w:t xml:space="preserve">old preschool </w:t>
            </w:r>
            <w:r w:rsidRPr="00504138">
              <w:t>in government</w:t>
            </w:r>
            <w:r>
              <w:noBreakHyphen/>
              <w:t>run</w:t>
            </w:r>
            <w:r w:rsidRPr="00504138">
              <w:t xml:space="preserve"> </w:t>
            </w:r>
            <w:r>
              <w:t xml:space="preserve">dedicated </w:t>
            </w:r>
            <w:r w:rsidRPr="00504138">
              <w:t xml:space="preserve">preschools. </w:t>
            </w:r>
            <w:r>
              <w:t>Children in three</w:t>
            </w:r>
            <w:r>
              <w:noBreakHyphen/>
              <w:t>year</w:t>
            </w:r>
            <w:r>
              <w:noBreakHyphen/>
              <w:t>old preschool that are eligible include Aboriginal children and children in out</w:t>
            </w:r>
            <w:r>
              <w:noBreakHyphen/>
              <w:t>of</w:t>
            </w:r>
            <w:r>
              <w:noBreakHyphen/>
              <w:t xml:space="preserve">home care. </w:t>
            </w:r>
            <w:r w:rsidRPr="00504138">
              <w:t xml:space="preserve">Preschool provision is increased to </w:t>
            </w:r>
            <w:r>
              <w:t>600 hours per year</w:t>
            </w:r>
            <w:r w:rsidRPr="00504138">
              <w:t xml:space="preserve"> </w:t>
            </w:r>
            <w:r>
              <w:t>for children in four</w:t>
            </w:r>
            <w:r>
              <w:noBreakHyphen/>
              <w:t>year</w:t>
            </w:r>
            <w:r>
              <w:noBreakHyphen/>
              <w:t xml:space="preserve">old preschool </w:t>
            </w:r>
            <w:r w:rsidRPr="00504138">
              <w:t>through funding from the Australian Government.</w:t>
            </w:r>
          </w:p>
          <w:p w14:paraId="3647E235" w14:textId="77777777" w:rsidR="005E1B35" w:rsidRPr="00504138" w:rsidRDefault="005E1B35" w:rsidP="00882158">
            <w:pPr>
              <w:pStyle w:val="TableBody"/>
              <w:keepNext/>
              <w:ind w:left="0"/>
            </w:pPr>
            <w:r>
              <w:t>In addition, CBDC services, non</w:t>
            </w:r>
            <w:r>
              <w:noBreakHyphen/>
              <w:t>government schools and non</w:t>
            </w:r>
            <w:r>
              <w:noBreakHyphen/>
              <w:t>government dedicated preschools receive funding subsidies on an application basis which can be used to offset the costs of running a preschool program. Non</w:t>
            </w:r>
            <w:r>
              <w:noBreakHyphen/>
              <w:t xml:space="preserve">government services can also access targeted additional subsidies to offset the costs of delivering preschool to children experiencing disadvantage, Aboriginal children and children with disabilities. </w:t>
            </w:r>
          </w:p>
        </w:tc>
      </w:tr>
      <w:tr w:rsidR="005E1B35" w:rsidRPr="00030C67" w14:paraId="049B5697" w14:textId="77777777" w:rsidTr="00882158">
        <w:trPr>
          <w:trHeight w:val="421"/>
        </w:trPr>
        <w:tc>
          <w:tcPr>
            <w:tcW w:w="709" w:type="dxa"/>
            <w:shd w:val="clear" w:color="auto" w:fill="auto"/>
          </w:tcPr>
          <w:p w14:paraId="56247A3A" w14:textId="24793E0A" w:rsidR="005E1B35" w:rsidRDefault="005E1B35" w:rsidP="00882158">
            <w:pPr>
              <w:pStyle w:val="TableHeading"/>
              <w:keepNext/>
            </w:pPr>
            <w:r>
              <w:t>T</w:t>
            </w:r>
            <w:r w:rsidR="00FA6910">
              <w:t>as</w:t>
            </w:r>
          </w:p>
        </w:tc>
        <w:tc>
          <w:tcPr>
            <w:tcW w:w="2126" w:type="dxa"/>
            <w:shd w:val="clear" w:color="auto" w:fill="auto"/>
          </w:tcPr>
          <w:p w14:paraId="5071DDCF" w14:textId="77777777" w:rsidR="005E1B35" w:rsidRDefault="005E1B35" w:rsidP="003C7EED">
            <w:pPr>
              <w:pStyle w:val="TableBody"/>
              <w:keepNext/>
              <w:ind w:left="0" w:right="113"/>
              <w:jc w:val="right"/>
            </w:pPr>
            <w:r>
              <w:t>$39,713,000</w:t>
            </w:r>
          </w:p>
        </w:tc>
        <w:tc>
          <w:tcPr>
            <w:tcW w:w="6803" w:type="dxa"/>
            <w:shd w:val="clear" w:color="auto" w:fill="auto"/>
          </w:tcPr>
          <w:p w14:paraId="3B5726C4" w14:textId="77777777" w:rsidR="005E1B35" w:rsidRDefault="005E1B35" w:rsidP="00882158">
            <w:pPr>
              <w:pStyle w:val="TableBody"/>
              <w:keepNext/>
              <w:ind w:left="0"/>
            </w:pPr>
            <w:r w:rsidRPr="00B618A9">
              <w:t>Preschool in Tasmania is delivered and funded through the school system.</w:t>
            </w:r>
            <w:r w:rsidRPr="00BE70B4">
              <w:t xml:space="preserve"> The Tasmanian Government funds</w:t>
            </w:r>
            <w:r w:rsidRPr="00D6168F">
              <w:t xml:space="preserve"> </w:t>
            </w:r>
            <w:r>
              <w:t>10 hours per week</w:t>
            </w:r>
            <w:r w:rsidRPr="00BE70B4">
              <w:t xml:space="preserve"> of preschool for </w:t>
            </w:r>
            <w:r>
              <w:t>children in four</w:t>
            </w:r>
            <w:r>
              <w:noBreakHyphen/>
              <w:t>year</w:t>
            </w:r>
            <w:r>
              <w:noBreakHyphen/>
              <w:t>old preschool</w:t>
            </w:r>
            <w:r w:rsidRPr="00BE70B4">
              <w:t xml:space="preserve"> in government schools and not</w:t>
            </w:r>
            <w:r w:rsidRPr="00BE70B4">
              <w:noBreakHyphen/>
              <w:t>for</w:t>
            </w:r>
            <w:r w:rsidRPr="00BE70B4">
              <w:noBreakHyphen/>
              <w:t>profit non</w:t>
            </w:r>
            <w:r w:rsidRPr="00BE70B4">
              <w:noBreakHyphen/>
              <w:t xml:space="preserve">government schools. Additional funding to reach </w:t>
            </w:r>
            <w:r>
              <w:t>15 hours per week</w:t>
            </w:r>
            <w:r w:rsidRPr="00BE70B4">
              <w:t xml:space="preserve"> is provided by the Australian Government.</w:t>
            </w:r>
          </w:p>
          <w:p w14:paraId="1976FB82" w14:textId="77777777" w:rsidR="005E1B35" w:rsidRDefault="005E1B35" w:rsidP="00882158">
            <w:pPr>
              <w:pStyle w:val="TableBody"/>
              <w:keepNext/>
              <w:ind w:left="0"/>
            </w:pPr>
            <w:r w:rsidRPr="00BE70B4">
              <w:t>CBDC services must register as non</w:t>
            </w:r>
            <w:r w:rsidRPr="00BE70B4">
              <w:noBreakHyphen/>
              <w:t>government schools to deliver preschool in Tasmania. Registering as a non</w:t>
            </w:r>
            <w:r w:rsidRPr="00BE70B4">
              <w:noBreakHyphen/>
              <w:t xml:space="preserve">government school </w:t>
            </w:r>
            <w:r>
              <w:t>allows</w:t>
            </w:r>
            <w:r w:rsidRPr="00BE70B4">
              <w:t xml:space="preserve"> these services to be eligible for Australian Government funding</w:t>
            </w:r>
            <w:r>
              <w:t xml:space="preserve"> through the Preschool Reform Agreement</w:t>
            </w:r>
            <w:r w:rsidRPr="00BE70B4">
              <w:t>, regardless of profit status. However, for</w:t>
            </w:r>
            <w:r w:rsidRPr="00BE70B4">
              <w:noBreakHyphen/>
              <w:t xml:space="preserve">profit CBDC services delivering preschool </w:t>
            </w:r>
            <w:r>
              <w:t>are</w:t>
            </w:r>
            <w:r w:rsidRPr="00BE70B4">
              <w:t xml:space="preserve"> ineligible for state funding</w:t>
            </w:r>
            <w:r>
              <w:t xml:space="preserve"> </w:t>
            </w:r>
            <w:r w:rsidRPr="00BE70B4">
              <w:t>under the Tasmanian Education Act 2016. This legislation does not allow state funding to go to for</w:t>
            </w:r>
            <w:r w:rsidRPr="00BE70B4">
              <w:noBreakHyphen/>
              <w:t xml:space="preserve">profit </w:t>
            </w:r>
            <w:r>
              <w:t>services</w:t>
            </w:r>
            <w:r w:rsidRPr="00BE70B4">
              <w:t>.</w:t>
            </w:r>
            <w:r>
              <w:t xml:space="preserve"> There were no CBDC services registered to deliver preschool in Tasmania in 2022 (although ABS data collection assumes preschool</w:t>
            </w:r>
            <w:r>
              <w:noBreakHyphen/>
              <w:t xml:space="preserve">age children in CBDC services are enrolled in a preschool program). </w:t>
            </w:r>
          </w:p>
        </w:tc>
      </w:tr>
      <w:tr w:rsidR="005E1B35" w:rsidRPr="00030C67" w14:paraId="60AF4E98" w14:textId="77777777" w:rsidTr="00882158">
        <w:trPr>
          <w:trHeight w:val="421"/>
        </w:trPr>
        <w:tc>
          <w:tcPr>
            <w:tcW w:w="709" w:type="dxa"/>
            <w:shd w:val="clear" w:color="auto" w:fill="F2F2F2" w:themeFill="background1" w:themeFillShade="F2"/>
          </w:tcPr>
          <w:p w14:paraId="56558059" w14:textId="77777777" w:rsidR="005E1B35" w:rsidRDefault="005E1B35">
            <w:pPr>
              <w:pStyle w:val="TableHeading"/>
            </w:pPr>
            <w:r>
              <w:t>ACT</w:t>
            </w:r>
          </w:p>
        </w:tc>
        <w:tc>
          <w:tcPr>
            <w:tcW w:w="2126" w:type="dxa"/>
            <w:shd w:val="clear" w:color="auto" w:fill="F2F2F2" w:themeFill="background1" w:themeFillShade="F2"/>
          </w:tcPr>
          <w:p w14:paraId="2929B797" w14:textId="77777777" w:rsidR="005E1B35" w:rsidRDefault="005E1B35" w:rsidP="003C7EED">
            <w:pPr>
              <w:pStyle w:val="TableBody"/>
              <w:ind w:left="0" w:right="113"/>
              <w:jc w:val="right"/>
            </w:pPr>
            <w:r>
              <w:t>$46,605,000</w:t>
            </w:r>
          </w:p>
        </w:tc>
        <w:tc>
          <w:tcPr>
            <w:tcW w:w="6803" w:type="dxa"/>
            <w:shd w:val="clear" w:color="auto" w:fill="F2F2F2" w:themeFill="background1" w:themeFillShade="F2"/>
          </w:tcPr>
          <w:p w14:paraId="4074ECDA" w14:textId="77777777" w:rsidR="005E1B35" w:rsidRDefault="005E1B35" w:rsidP="00882158">
            <w:pPr>
              <w:pStyle w:val="TableBody"/>
              <w:ind w:left="0"/>
            </w:pPr>
            <w:r w:rsidRPr="00FF72AD">
              <w:t xml:space="preserve">The ACT Government is the primary funder of </w:t>
            </w:r>
            <w:r>
              <w:t>600 hours per year of preschool</w:t>
            </w:r>
            <w:r w:rsidRPr="00FF72AD">
              <w:t xml:space="preserve"> </w:t>
            </w:r>
            <w:r>
              <w:t>for children in four</w:t>
            </w:r>
            <w:r>
              <w:noBreakHyphen/>
              <w:t>year</w:t>
            </w:r>
            <w:r>
              <w:noBreakHyphen/>
              <w:t xml:space="preserve">old preschool </w:t>
            </w:r>
            <w:r w:rsidRPr="00FF72AD">
              <w:t>in government</w:t>
            </w:r>
            <w:r>
              <w:noBreakHyphen/>
              <w:t>run dedicated</w:t>
            </w:r>
            <w:r w:rsidRPr="00FF72AD">
              <w:t xml:space="preserve"> preschools.</w:t>
            </w:r>
            <w:r>
              <w:t xml:space="preserve"> The ACT Government also provides funding to eligible </w:t>
            </w:r>
            <w:r w:rsidRPr="00A561F7">
              <w:t>ECEC services (excludes ACT public preschools)</w:t>
            </w:r>
            <w:r>
              <w:t xml:space="preserve"> to support the delivery of free three</w:t>
            </w:r>
            <w:r>
              <w:noBreakHyphen/>
              <w:t>year old preschool for 300 hours per year. This is provided on a per enrolment basis as two components – program funding and funding that is passed on to families as fee relief (after CCS is applied). In addition, t</w:t>
            </w:r>
            <w:r w:rsidRPr="00FF72AD">
              <w:t xml:space="preserve">he Koori Preschool </w:t>
            </w:r>
            <w:r>
              <w:t>p</w:t>
            </w:r>
            <w:r w:rsidRPr="00FF72AD">
              <w:t xml:space="preserve">rogram provides Aboriginal and Torres Strait Islander children </w:t>
            </w:r>
            <w:r>
              <w:t>in three</w:t>
            </w:r>
            <w:r>
              <w:noBreakHyphen/>
              <w:t>year</w:t>
            </w:r>
            <w:r>
              <w:noBreakHyphen/>
              <w:t>old preschool and above with 600 hours per year</w:t>
            </w:r>
            <w:r w:rsidRPr="00FF72AD">
              <w:t xml:space="preserve"> of free culturally safe </w:t>
            </w:r>
            <w:r>
              <w:t>preschool</w:t>
            </w:r>
            <w:r w:rsidRPr="00FF72AD">
              <w:t>.</w:t>
            </w:r>
            <w:r>
              <w:t xml:space="preserve"> Children experiencing disadvantage and vulnerability are eligible for two days per week of free three</w:t>
            </w:r>
            <w:r>
              <w:noBreakHyphen/>
              <w:t>year</w:t>
            </w:r>
            <w:r>
              <w:noBreakHyphen/>
              <w:t xml:space="preserve">old preschool in ECEC services. </w:t>
            </w:r>
            <w:r w:rsidRPr="006E4C11">
              <w:t xml:space="preserve">As part of its commitments under the Preschool Reform Agreement, the ACT Government </w:t>
            </w:r>
            <w:r>
              <w:t>agreed to implement</w:t>
            </w:r>
            <w:r w:rsidRPr="006E4C11">
              <w:t xml:space="preserve"> funding mechanisms to distribute </w:t>
            </w:r>
            <w:r>
              <w:t xml:space="preserve">Preschool Reform Agreement </w:t>
            </w:r>
            <w:r w:rsidRPr="006E4C11">
              <w:t>funding to non</w:t>
            </w:r>
            <w:r w:rsidRPr="006E4C11">
              <w:noBreakHyphen/>
              <w:t>government school based preschool sectors</w:t>
            </w:r>
            <w:r>
              <w:t xml:space="preserve"> and to invest Preschool Reform Agreement funding in quality improvement strategies for the long day care sector</w:t>
            </w:r>
            <w:r w:rsidRPr="006E4C11">
              <w:t xml:space="preserve">. </w:t>
            </w:r>
          </w:p>
        </w:tc>
      </w:tr>
      <w:tr w:rsidR="005E1B35" w:rsidRPr="00030C67" w14:paraId="3FEB4BD6" w14:textId="77777777" w:rsidTr="00882158">
        <w:trPr>
          <w:trHeight w:val="421"/>
        </w:trPr>
        <w:tc>
          <w:tcPr>
            <w:tcW w:w="709" w:type="dxa"/>
            <w:tcBorders>
              <w:bottom w:val="single" w:sz="4" w:space="0" w:color="B3B3B3"/>
            </w:tcBorders>
            <w:shd w:val="clear" w:color="auto" w:fill="auto"/>
          </w:tcPr>
          <w:p w14:paraId="40671089" w14:textId="77777777" w:rsidR="005E1B35" w:rsidRDefault="005E1B35" w:rsidP="00882158">
            <w:pPr>
              <w:pStyle w:val="TableHeading"/>
              <w:keepNext/>
            </w:pPr>
            <w:r>
              <w:lastRenderedPageBreak/>
              <w:t>NT</w:t>
            </w:r>
          </w:p>
        </w:tc>
        <w:tc>
          <w:tcPr>
            <w:tcW w:w="2126" w:type="dxa"/>
            <w:tcBorders>
              <w:bottom w:val="single" w:sz="4" w:space="0" w:color="B3B3B3"/>
            </w:tcBorders>
            <w:shd w:val="clear" w:color="auto" w:fill="auto"/>
          </w:tcPr>
          <w:p w14:paraId="4CF22026" w14:textId="77777777" w:rsidR="005E1B35" w:rsidRDefault="005E1B35" w:rsidP="003C7EED">
            <w:pPr>
              <w:pStyle w:val="TableBody"/>
              <w:keepNext/>
              <w:ind w:left="0" w:right="113"/>
              <w:jc w:val="right"/>
            </w:pPr>
            <w:r>
              <w:t>$39,412,000</w:t>
            </w:r>
          </w:p>
        </w:tc>
        <w:tc>
          <w:tcPr>
            <w:tcW w:w="6803" w:type="dxa"/>
            <w:tcBorders>
              <w:bottom w:val="single" w:sz="4" w:space="0" w:color="B3B3B3"/>
            </w:tcBorders>
            <w:shd w:val="clear" w:color="auto" w:fill="auto"/>
          </w:tcPr>
          <w:p w14:paraId="7FC83D79" w14:textId="77777777" w:rsidR="005E1B35" w:rsidRDefault="005E1B35" w:rsidP="00882158">
            <w:pPr>
              <w:pStyle w:val="TableBody"/>
              <w:keepNext/>
              <w:ind w:left="0"/>
            </w:pPr>
            <w:r>
              <w:t>The Northern Territory Government funds 490 hours per year of preschool for eligible children in government schools. Children are eligible if they are in four</w:t>
            </w:r>
            <w:r>
              <w:noBreakHyphen/>
              <w:t>year</w:t>
            </w:r>
            <w:r>
              <w:noBreakHyphen/>
              <w:t>old preschool, or if they are in three</w:t>
            </w:r>
            <w:r>
              <w:noBreakHyphen/>
              <w:t>year</w:t>
            </w:r>
            <w:r>
              <w:noBreakHyphen/>
              <w:t xml:space="preserve">old preschool </w:t>
            </w:r>
            <w:r w:rsidRPr="00D17B98">
              <w:t>in very remote locations</w:t>
            </w:r>
            <w:r>
              <w:t>. The</w:t>
            </w:r>
            <w:r w:rsidRPr="00D17B98">
              <w:t xml:space="preserve"> </w:t>
            </w:r>
            <w:r>
              <w:t>remaining funding to reach 600 hours per year is provided by the Australian Government (for four</w:t>
            </w:r>
            <w:r>
              <w:noBreakHyphen/>
              <w:t>year</w:t>
            </w:r>
            <w:r>
              <w:noBreakHyphen/>
              <w:t>old preschool). The Northern Territory Government also provides funding on a per enrolment basis to remote non</w:t>
            </w:r>
            <w:r>
              <w:noBreakHyphen/>
              <w:t>government schools where there is no government preschool provision. As part of its commitments under the Preschool Reform Agreement, the Northern Territory Government will support access to preschool programs regardless of service type, including government and non</w:t>
            </w:r>
            <w:r>
              <w:noBreakHyphen/>
              <w:t xml:space="preserve">government schools and CBDC services. </w:t>
            </w:r>
          </w:p>
        </w:tc>
      </w:tr>
    </w:tbl>
    <w:p w14:paraId="40C91467" w14:textId="77777777" w:rsidR="005E1B35" w:rsidRDefault="005E1B35">
      <w:pPr>
        <w:pStyle w:val="Note"/>
      </w:pPr>
      <w:r w:rsidRPr="00C36914">
        <w:rPr>
          <w:b/>
          <w:bCs/>
        </w:rPr>
        <w:t>a.</w:t>
      </w:r>
      <w:r w:rsidRPr="00C36914">
        <w:t xml:space="preserve"> </w:t>
      </w:r>
      <w:r>
        <w:t xml:space="preserve">Recurrent expenditure includes </w:t>
      </w:r>
      <w:r w:rsidRPr="00527709">
        <w:t>state and territory expenditure funded by the Australian Government</w:t>
      </w:r>
      <w:r>
        <w:t xml:space="preserve"> under the Preschool Reform Agreement. It excludes capital expenditure. Amounts are adjusted to 2022</w:t>
      </w:r>
      <w:r>
        <w:noBreakHyphen/>
        <w:t>23 dollars (that is, 2022</w:t>
      </w:r>
      <w:r>
        <w:noBreakHyphen/>
        <w:t>23=100) using the General Government Final Consumption Expenditure (GGFCE) chain price deflator</w:t>
      </w:r>
      <w:r w:rsidDel="00707F1A">
        <w:t xml:space="preserve"> (table</w:t>
      </w:r>
      <w:r>
        <w:t> </w:t>
      </w:r>
      <w:r w:rsidDel="00707F1A">
        <w:t>2A.26)</w:t>
      </w:r>
      <w:r>
        <w:t xml:space="preserve">. </w:t>
      </w:r>
      <w:r w:rsidRPr="00133523">
        <w:rPr>
          <w:b/>
          <w:bCs/>
        </w:rPr>
        <w:t>b.</w:t>
      </w:r>
      <w:r>
        <w:rPr>
          <w:b/>
          <w:bCs/>
        </w:rPr>
        <w:t xml:space="preserve"> </w:t>
      </w:r>
      <w:r w:rsidRPr="00133523">
        <w:t>T</w:t>
      </w:r>
      <w:r>
        <w:t>he key funding arrangements column shows policies implemented as at May 2024, however the recurrent expenditure figures are from the 2022</w:t>
      </w:r>
      <w:r>
        <w:noBreakHyphen/>
        <w:t xml:space="preserve">23 financial year, which are the latest available. Therefore, the recurrent expenditure figures will not include expenditure for policies implemented after 30 June 2023, such as the Queensland Government’s Free Kindy program. Furthermore, the key current funding arrangements do not detail preschool reforms due to be implemented after May 2024, these reforms are discussed in section E.4 of this appendix. </w:t>
      </w:r>
      <w:r>
        <w:rPr>
          <w:b/>
          <w:bCs/>
        </w:rPr>
        <w:t xml:space="preserve">c. </w:t>
      </w:r>
      <w:r>
        <w:t>Key funding arrangements include broad</w:t>
      </w:r>
      <w:r>
        <w:noBreakHyphen/>
        <w:t xml:space="preserve">based preschool funding arrangements implemented by each state and territory as at May 2024. Additional funding arrangements not covered in the table include funding for </w:t>
      </w:r>
      <w:r w:rsidRPr="000E1DCE">
        <w:t>inclusion support programs, playgroups and other programs that cater to the needs of specific cohorts of preschool children.</w:t>
      </w:r>
    </w:p>
    <w:p w14:paraId="7D208E14" w14:textId="77777777" w:rsidR="005E1B35" w:rsidRDefault="005E1B35" w:rsidP="00882158">
      <w:pPr>
        <w:pStyle w:val="Note"/>
      </w:pPr>
      <w:r w:rsidRPr="00696447">
        <w:t xml:space="preserve">Source: </w:t>
      </w:r>
      <w:r>
        <w:t xml:space="preserve">ACT Education Directorate </w:t>
      </w:r>
      <w:r w:rsidRPr="006000FA">
        <w:rPr>
          <w:rFonts w:ascii="Arial" w:hAnsi="Arial" w:cs="Arial"/>
        </w:rPr>
        <w:t>(2023b, 2024a, 2024b)</w:t>
      </w:r>
      <w:r>
        <w:t xml:space="preserve">, Australian Capital Territory and Commonwealth of Australia </w:t>
      </w:r>
      <w:r w:rsidRPr="00D54C6C">
        <w:rPr>
          <w:rFonts w:ascii="Arial" w:hAnsi="Arial" w:cs="Arial"/>
        </w:rPr>
        <w:t>(2023)</w:t>
      </w:r>
      <w:r>
        <w:t xml:space="preserve">, Northern Territory and Commonwealth of Australia </w:t>
      </w:r>
      <w:r w:rsidRPr="00D54C6C">
        <w:rPr>
          <w:rFonts w:ascii="Arial" w:hAnsi="Arial" w:cs="Arial"/>
        </w:rPr>
        <w:t>(2023)</w:t>
      </w:r>
      <w:r>
        <w:t>,</w:t>
      </w:r>
      <w:r w:rsidRPr="00696447">
        <w:t xml:space="preserve"> </w:t>
      </w:r>
      <w:r>
        <w:t xml:space="preserve">NSW DoE </w:t>
      </w:r>
      <w:r w:rsidRPr="00D000D7">
        <w:rPr>
          <w:rFonts w:ascii="Arial" w:hAnsi="Arial" w:cs="Arial"/>
        </w:rPr>
        <w:t>(2023a, 2023f)</w:t>
      </w:r>
      <w:r>
        <w:t xml:space="preserve">, Queensland DoE </w:t>
      </w:r>
      <w:r w:rsidRPr="00720027">
        <w:rPr>
          <w:rFonts w:ascii="Arial" w:hAnsi="Arial" w:cs="Arial"/>
        </w:rPr>
        <w:t>(2024)</w:t>
      </w:r>
      <w:r>
        <w:t xml:space="preserve">, SA Department for Education </w:t>
      </w:r>
      <w:r w:rsidRPr="001949D1">
        <w:rPr>
          <w:rFonts w:ascii="Arial" w:hAnsi="Arial" w:cs="Arial"/>
        </w:rPr>
        <w:t>(2023)</w:t>
      </w:r>
      <w:r>
        <w:t xml:space="preserve">, SCRGSP </w:t>
      </w:r>
      <w:r w:rsidRPr="00E73209">
        <w:rPr>
          <w:rFonts w:ascii="Arial" w:hAnsi="Arial" w:cs="Arial"/>
        </w:rPr>
        <w:t>(2024b)</w:t>
      </w:r>
      <w:r>
        <w:t xml:space="preserve">, State of Queensland and Commonwealth of Australia </w:t>
      </w:r>
      <w:r w:rsidRPr="001949D1">
        <w:rPr>
          <w:rFonts w:ascii="Arial" w:hAnsi="Arial" w:cs="Arial"/>
        </w:rPr>
        <w:t>(2023)</w:t>
      </w:r>
      <w:r>
        <w:t xml:space="preserve">, State of South Australia and Commonwealth of Australia </w:t>
      </w:r>
      <w:r w:rsidRPr="001949D1">
        <w:rPr>
          <w:rFonts w:ascii="Arial" w:hAnsi="Arial" w:cs="Arial"/>
        </w:rPr>
        <w:t>(2023)</w:t>
      </w:r>
      <w:r>
        <w:t xml:space="preserve">, State of Tasmania and Commonwealth of Australia </w:t>
      </w:r>
      <w:r w:rsidRPr="001949D1">
        <w:rPr>
          <w:rFonts w:ascii="Arial" w:hAnsi="Arial" w:cs="Arial"/>
        </w:rPr>
        <w:t>(2023)</w:t>
      </w:r>
      <w:r>
        <w:t xml:space="preserve">, State of Western Australia and Commonwealth of Australia </w:t>
      </w:r>
      <w:r w:rsidRPr="001949D1">
        <w:rPr>
          <w:rFonts w:ascii="Arial" w:hAnsi="Arial" w:cs="Arial"/>
        </w:rPr>
        <w:t>(2023)</w:t>
      </w:r>
      <w:r>
        <w:t xml:space="preserve">, Victorian DoE </w:t>
      </w:r>
      <w:r w:rsidRPr="00693DF6">
        <w:rPr>
          <w:rFonts w:ascii="Arial" w:hAnsi="Arial" w:cs="Arial"/>
        </w:rPr>
        <w:t>(2023)</w:t>
      </w:r>
      <w:r>
        <w:t>.</w:t>
      </w:r>
    </w:p>
    <w:p w14:paraId="64F78D39" w14:textId="77777777" w:rsidR="005E1B35" w:rsidRDefault="005E1B35" w:rsidP="00882158">
      <w:pPr>
        <w:pStyle w:val="Heading3"/>
      </w:pPr>
      <w:r>
        <w:t>Australian Government involvement in preschool funding</w:t>
      </w:r>
    </w:p>
    <w:p w14:paraId="07F1BC92" w14:textId="77777777" w:rsidR="005E1B35" w:rsidRDefault="005E1B35" w:rsidP="00882158">
      <w:pPr>
        <w:pStyle w:val="BodyText"/>
      </w:pPr>
      <w:r w:rsidRPr="00E24DBB">
        <w:t xml:space="preserve">The Australian Government’s role in preschool funding has shifted over time. Funding </w:t>
      </w:r>
      <w:r>
        <w:t xml:space="preserve">began </w:t>
      </w:r>
      <w:r w:rsidRPr="00E24DBB">
        <w:t>in the early 1970s. By the mid</w:t>
      </w:r>
      <w:r>
        <w:noBreakHyphen/>
      </w:r>
      <w:r w:rsidRPr="00E24DBB">
        <w:t>1970s, the Australian Government was providing the majority of preschool funding, with state and territory governments contributing the balance</w:t>
      </w:r>
      <w:r>
        <w:t xml:space="preserve"> </w:t>
      </w:r>
      <w:r w:rsidRPr="00233932">
        <w:rPr>
          <w:rFonts w:ascii="Arial" w:hAnsi="Arial" w:cs="Arial"/>
          <w:szCs w:val="24"/>
        </w:rPr>
        <w:t>(Elliot 2006, p. 4)</w:t>
      </w:r>
      <w:r>
        <w:t>.</w:t>
      </w:r>
      <w:r w:rsidRPr="00E24DBB">
        <w:t xml:space="preserve"> This changed in the mid</w:t>
      </w:r>
      <w:r>
        <w:noBreakHyphen/>
      </w:r>
      <w:r w:rsidRPr="00E24DBB">
        <w:t xml:space="preserve">1980s when funding was rolled into Financial Assistance Grants to state and territory governments, removing direct funding of preschools by the Australian Government </w:t>
      </w:r>
      <w:r w:rsidRPr="00E24DBB">
        <w:rPr>
          <w:rFonts w:ascii="Arial" w:hAnsi="Arial" w:cs="Arial"/>
          <w:szCs w:val="24"/>
        </w:rPr>
        <w:t>(Elliot 2006, p. 11)</w:t>
      </w:r>
      <w:r w:rsidRPr="00E24DBB">
        <w:t>. The Australian Government’s role shifted again when it signed the National Partnership Agreement (NPA) on Early Childhood Education (2009–2013) with state and territory governments.</w:t>
      </w:r>
    </w:p>
    <w:p w14:paraId="5FDBDFFD" w14:textId="77777777" w:rsidR="005E1B35" w:rsidRDefault="005E1B35" w:rsidP="00882158">
      <w:pPr>
        <w:pStyle w:val="BodyText"/>
      </w:pPr>
      <w:r>
        <w:t xml:space="preserve">The NPA on Early Childhood Education aimed to ensure children had universal access to a preschool program. Under the agreement, </w:t>
      </w:r>
      <w:r w:rsidRPr="004F1FE0">
        <w:t>universal access</w:t>
      </w:r>
      <w:r>
        <w:t xml:space="preserve"> was defined as every child in the YBFS having access to a preschool program for 15 hours per week, for 40 weeks per year. The program was to be delivered by a four</w:t>
      </w:r>
      <w:r>
        <w:noBreakHyphen/>
        <w:t>year degree qualified ECT and provided at a cost that did not present a barrier to participation.</w:t>
      </w:r>
    </w:p>
    <w:p w14:paraId="112CDA89" w14:textId="77777777" w:rsidR="005E1B35" w:rsidRDefault="005E1B35" w:rsidP="00882158">
      <w:pPr>
        <w:pStyle w:val="BodyText"/>
      </w:pPr>
      <w:r>
        <w:t xml:space="preserve">Prior to the NPA on Early Childhood Education, when preschool provision was the responsibility of state and territory governments, the level </w:t>
      </w:r>
      <w:r w:rsidRPr="004952C3">
        <w:t xml:space="preserve">of </w:t>
      </w:r>
      <w:r>
        <w:t xml:space="preserve">provision could differ by jurisdiction </w:t>
      </w:r>
      <w:r w:rsidRPr="001949D1">
        <w:rPr>
          <w:rFonts w:ascii="Arial" w:hAnsi="Arial" w:cs="Arial"/>
          <w:szCs w:val="24"/>
        </w:rPr>
        <w:t>(Australian National Audit Office 2011, p. 13)</w:t>
      </w:r>
      <w:r w:rsidRPr="00BB1005">
        <w:t>.</w:t>
      </w:r>
      <w:r w:rsidRPr="00322E51">
        <w:t xml:space="preserve"> </w:t>
      </w:r>
      <w:r w:rsidRPr="004952C3">
        <w:t>A</w:t>
      </w:r>
      <w:r>
        <w:t xml:space="preserve"> principal aim of the agreement was to introduce nationally consistent universal access </w:t>
      </w:r>
      <w:r w:rsidRPr="001949D1">
        <w:rPr>
          <w:rFonts w:ascii="Arial" w:hAnsi="Arial" w:cs="Arial"/>
          <w:szCs w:val="24"/>
        </w:rPr>
        <w:t>(COAG Education Council 2020, p. 18)</w:t>
      </w:r>
      <w:r>
        <w:t>. The Australian Government provided contributions to state and territory governments and they were then responsible for allocating this funding within their jurisdictions to work towards this objective.</w:t>
      </w:r>
    </w:p>
    <w:p w14:paraId="00C86349" w14:textId="77777777" w:rsidR="005E1B35" w:rsidRDefault="005E1B35" w:rsidP="00882158">
      <w:pPr>
        <w:pStyle w:val="BodyText"/>
      </w:pPr>
      <w:r>
        <w:lastRenderedPageBreak/>
        <w:t>Between 2013 and 2021, the NPA on Universal Access to Early Childhood Education (UANP) and its successive extensions maintained funding for universal access, with some changes</w:t>
      </w:r>
      <w:r w:rsidRPr="003D1EBF">
        <w:t xml:space="preserve">. </w:t>
      </w:r>
      <w:r>
        <w:t>The definition of u</w:t>
      </w:r>
      <w:r w:rsidRPr="003D1EBF">
        <w:t xml:space="preserve">niversal access </w:t>
      </w:r>
      <w:r>
        <w:t xml:space="preserve">was changed </w:t>
      </w:r>
      <w:r w:rsidRPr="003D1EBF">
        <w:t>to 600</w:t>
      </w:r>
      <w:r>
        <w:t> </w:t>
      </w:r>
      <w:r w:rsidRPr="003D1EBF">
        <w:t>hours of preschool in the YBFS.</w:t>
      </w:r>
      <w:r>
        <w:t xml:space="preserve"> The change to an annual hours quota allowed preschool providers more flexibility in the delivery of programs. The UANP also required ECT qualifications to be in line with the NQF as a precondition for funding.</w:t>
      </w:r>
    </w:p>
    <w:p w14:paraId="22958CC3" w14:textId="77777777" w:rsidR="005E1B35" w:rsidRDefault="005E1B35" w:rsidP="00882158">
      <w:pPr>
        <w:pStyle w:val="BodyText"/>
      </w:pPr>
      <w:r w:rsidRPr="007557DB">
        <w:t>The COAG Education Council commissioned an independent review of the UANP in 2019</w:t>
      </w:r>
      <w:r>
        <w:t xml:space="preserve">. </w:t>
      </w:r>
      <w:r w:rsidRPr="007557DB">
        <w:t>The review found that</w:t>
      </w:r>
      <w:r>
        <w:t>:</w:t>
      </w:r>
    </w:p>
    <w:p w14:paraId="5E45D2E1" w14:textId="77777777" w:rsidR="005E1B35" w:rsidRDefault="005E1B35" w:rsidP="00882158">
      <w:pPr>
        <w:pStyle w:val="ListBullet"/>
      </w:pPr>
      <w:r>
        <w:t xml:space="preserve">the UANP had </w:t>
      </w:r>
      <w:r w:rsidRPr="007557DB">
        <w:t xml:space="preserve">increased participation in quality preschool by children in the YBFS but some children, particularly Aboriginal </w:t>
      </w:r>
      <w:r>
        <w:t>and Torres Strait Islander</w:t>
      </w:r>
      <w:r w:rsidRPr="007557DB">
        <w:t xml:space="preserve"> children and children experiencing vulnerability and disadvantage, were missing out</w:t>
      </w:r>
    </w:p>
    <w:p w14:paraId="37B7F65D" w14:textId="77777777" w:rsidR="005E1B35" w:rsidRPr="003C7EED" w:rsidRDefault="005E1B35" w:rsidP="00882158">
      <w:pPr>
        <w:pStyle w:val="ListBullet"/>
        <w:rPr>
          <w:spacing w:val="-4"/>
        </w:rPr>
      </w:pPr>
      <w:r w:rsidRPr="003C7EED">
        <w:rPr>
          <w:spacing w:val="-4"/>
        </w:rPr>
        <w:t>the UANP established a national system, while preserving state and territory autonomy to meet local needs</w:t>
      </w:r>
    </w:p>
    <w:p w14:paraId="2773303E" w14:textId="77777777" w:rsidR="005E1B35" w:rsidRDefault="005E1B35" w:rsidP="00882158">
      <w:pPr>
        <w:pStyle w:val="ListBullet"/>
      </w:pPr>
      <w:r>
        <w:t>f</w:t>
      </w:r>
      <w:r w:rsidRPr="007557DB">
        <w:t xml:space="preserve">unding flexibility </w:t>
      </w:r>
      <w:r>
        <w:t xml:space="preserve">from the UANP should </w:t>
      </w:r>
      <w:r w:rsidRPr="007557DB">
        <w:t>be retained but variations in state and territory investment warranted further consideration</w:t>
      </w:r>
    </w:p>
    <w:p w14:paraId="090E87EE" w14:textId="77777777" w:rsidR="005E1B35" w:rsidRDefault="005E1B35" w:rsidP="00882158">
      <w:pPr>
        <w:pStyle w:val="ListBullet"/>
      </w:pPr>
      <w:r w:rsidRPr="007557DB">
        <w:t>Australian Government funding and national coordination should continue</w:t>
      </w:r>
    </w:p>
    <w:p w14:paraId="0D815AEE" w14:textId="77777777" w:rsidR="005E1B35" w:rsidRDefault="005E1B35" w:rsidP="00882158">
      <w:pPr>
        <w:pStyle w:val="ListBullet"/>
      </w:pPr>
      <w:r w:rsidRPr="007557DB">
        <w:t>governments</w:t>
      </w:r>
      <w:r>
        <w:t xml:space="preserve"> should</w:t>
      </w:r>
      <w:r w:rsidRPr="007557DB">
        <w:t xml:space="preserve"> enter into a new five</w:t>
      </w:r>
      <w:r w:rsidRPr="007557DB">
        <w:noBreakHyphen/>
        <w:t>year National Partnership from 2021 to 202</w:t>
      </w:r>
      <w:r>
        <w:t>5</w:t>
      </w:r>
      <w:r w:rsidRPr="007557DB">
        <w:t xml:space="preserve"> and transition to a National Agreement from 2026 onwards</w:t>
      </w:r>
    </w:p>
    <w:p w14:paraId="368A090B" w14:textId="77777777" w:rsidR="005E1B35" w:rsidRDefault="005E1B35" w:rsidP="00882158">
      <w:pPr>
        <w:pStyle w:val="ListBullet"/>
      </w:pPr>
      <w:r>
        <w:t xml:space="preserve">a </w:t>
      </w:r>
      <w:r w:rsidRPr="007557DB">
        <w:t>minority of funding under the new National Partnership should be performance</w:t>
      </w:r>
      <w:r w:rsidRPr="007557DB">
        <w:noBreakHyphen/>
        <w:t>based</w:t>
      </w:r>
      <w:r>
        <w:t xml:space="preserve"> </w:t>
      </w:r>
      <w:r w:rsidRPr="00076E7C">
        <w:t>(COAG Education Council 2020, p. 1)</w:t>
      </w:r>
      <w:r w:rsidRPr="007557DB">
        <w:t>.</w:t>
      </w:r>
    </w:p>
    <w:p w14:paraId="6889C7C1" w14:textId="77777777" w:rsidR="005E1B35" w:rsidRDefault="005E1B35" w:rsidP="00882158">
      <w:pPr>
        <w:pStyle w:val="BodyText"/>
      </w:pPr>
      <w:r w:rsidRPr="00C549C4">
        <w:t>In 2021, the UANP expired and was</w:t>
      </w:r>
      <w:r>
        <w:t xml:space="preserve"> superseded by the Preschool Reform Agreement (2022–2025).</w:t>
      </w:r>
    </w:p>
    <w:p w14:paraId="08C13260" w14:textId="77777777" w:rsidR="005E1B35" w:rsidRDefault="005E1B35" w:rsidP="00882158">
      <w:pPr>
        <w:pStyle w:val="Heading3"/>
      </w:pPr>
      <w:r>
        <w:t>Preschool Reform Agreement (2022–2025)</w:t>
      </w:r>
    </w:p>
    <w:p w14:paraId="76B638A1" w14:textId="77777777" w:rsidR="005E1B35" w:rsidRPr="00E95C6C" w:rsidRDefault="005E1B35" w:rsidP="00882158">
      <w:pPr>
        <w:pStyle w:val="BodyText"/>
      </w:pPr>
      <w:r>
        <w:t>The Preschool Reform Agreement aims to ensure children have universal access (as set out in previous agreements) to a preschool program for 15 hours per week or 600 hours per year, delivered by a degree qualified ECT in the YBFS.</w:t>
      </w:r>
    </w:p>
    <w:p w14:paraId="47A77BB0" w14:textId="47A0AE67" w:rsidR="005E1B35" w:rsidRDefault="005E1B35" w:rsidP="00882158">
      <w:pPr>
        <w:pStyle w:val="BodyText"/>
      </w:pPr>
      <w:r>
        <w:t>Funding allocations under the Preschool Reform Agreement are calculated by multiplying the annual YBFS populations of the states and territories (based on the latest ABS data projections) by a specified per</w:t>
      </w:r>
      <w:r>
        <w:noBreakHyphen/>
        <w:t>child amount. The per</w:t>
      </w:r>
      <w:r>
        <w:noBreakHyphen/>
        <w:t>child amount for 2024 is $1,410.90. Over the course of the agreement, the Australian Government will provide an estimated $1.84 billion of funding to state and territory governments.</w:t>
      </w:r>
      <w:r>
        <w:rPr>
          <w:rStyle w:val="FootnoteReference"/>
        </w:rPr>
        <w:footnoteReference w:id="21"/>
      </w:r>
    </w:p>
    <w:p w14:paraId="7F40EADF" w14:textId="77777777" w:rsidR="005E1B35" w:rsidRDefault="005E1B35" w:rsidP="00882158">
      <w:pPr>
        <w:pStyle w:val="Heading4"/>
      </w:pPr>
      <w:r>
        <w:t>Key reforms</w:t>
      </w:r>
    </w:p>
    <w:p w14:paraId="787F6857" w14:textId="77777777" w:rsidR="005E1B35" w:rsidRDefault="005E1B35" w:rsidP="00882158">
      <w:pPr>
        <w:pStyle w:val="Heading5"/>
      </w:pPr>
      <w:r>
        <w:t>Australian Government funding follows children at the setting level</w:t>
      </w:r>
    </w:p>
    <w:p w14:paraId="4AD2D135" w14:textId="77777777" w:rsidR="005E1B35" w:rsidRDefault="005E1B35" w:rsidP="00882158">
      <w:pPr>
        <w:pStyle w:val="BodyText"/>
      </w:pPr>
      <w:r>
        <w:t>The Preschool Reform Agreement requires that funding from the Australian Government is passed on to benefit children in the setting in which they attend preschool. This could be through reduced out</w:t>
      </w:r>
      <w:r>
        <w:noBreakHyphen/>
        <w:t>of</w:t>
      </w:r>
      <w:r>
        <w:noBreakHyphen/>
        <w:t>pocket expenses for families and/or improvements to quality, such as through the employment of additional ECTs beyond the requirements of the NQF.</w:t>
      </w:r>
    </w:p>
    <w:p w14:paraId="14B0C4FC" w14:textId="77777777" w:rsidR="005E1B35" w:rsidRDefault="005E1B35" w:rsidP="00882158">
      <w:pPr>
        <w:pStyle w:val="BodyText"/>
      </w:pPr>
      <w:r>
        <w:t xml:space="preserve">However, unlike CCS funding, funding from the Preschool Reform Agreement is only required to follow the child to the type of setting they attend, not the individual service. Funding is not attached to each individual child or family but is calculated at an aggregate level. State and territory governments must identify the total number of children attending preschool in each setting in the YBFS and then allocate funding to each setting type by multiplying these totals by the Australian Government per child contribution. As such, if a child attends a particular service, the service itself will not necessarily receive funding, but funding will be </w:t>
      </w:r>
      <w:r>
        <w:lastRenderedPageBreak/>
        <w:t>allocated to the setting type. Funding is reconciled at the end of the year to ensure it is accurately allocated to the setting type that children attend.</w:t>
      </w:r>
    </w:p>
    <w:p w14:paraId="5C81AC25" w14:textId="77777777" w:rsidR="005E1B35" w:rsidRDefault="005E1B35" w:rsidP="00882158">
      <w:pPr>
        <w:pStyle w:val="BodyText"/>
      </w:pPr>
      <w:r>
        <w:t xml:space="preserve">State and territory governments could previously use Australian Government funding more flexibly to support the provision of universal access. In its 2014 inquiry, the Productivity Commission noted that state and territory governments varied </w:t>
      </w:r>
      <w:r w:rsidRPr="00DE39F0">
        <w:t>widely</w:t>
      </w:r>
      <w:r>
        <w:t xml:space="preserve"> on whether they passed on Australian Government funding to CBDC services and non</w:t>
      </w:r>
      <w:r>
        <w:noBreakHyphen/>
        <w:t xml:space="preserve">government dedicated preschools </w:t>
      </w:r>
      <w:r w:rsidRPr="00A34A8C">
        <w:rPr>
          <w:rFonts w:ascii="Arial" w:hAnsi="Arial" w:cs="Arial"/>
          <w:szCs w:val="24"/>
        </w:rPr>
        <w:t>(PC 2014, p. 647)</w:t>
      </w:r>
      <w:r>
        <w:t>. Subsequently, the Commission recommended that the Australian Government require state and territory governments to direct these payments to the approved preschool service nominated by the family. However, Australian Government funding currently follows children to the setting type, as discussed above.</w:t>
      </w:r>
    </w:p>
    <w:p w14:paraId="75B5F4E9" w14:textId="77777777" w:rsidR="005E1B35" w:rsidRDefault="005E1B35" w:rsidP="00882158">
      <w:pPr>
        <w:pStyle w:val="Heading5"/>
      </w:pPr>
      <w:r>
        <w:t>New national preschool enrolment and attendance measures</w:t>
      </w:r>
    </w:p>
    <w:p w14:paraId="608176F1" w14:textId="77777777" w:rsidR="005E1B35" w:rsidRDefault="005E1B35" w:rsidP="00882158">
      <w:pPr>
        <w:pStyle w:val="BodyText"/>
      </w:pPr>
      <w:r>
        <w:t>The Australian, state and territory governments have developed new national preschool enrolment and attendance measures. The new measures underpin a key objective of the Preschool Reform Agreement to improve participation in preschool programs, raising both enrolment and attendance, rather than focusing on enrolment as has previously been the case.</w:t>
      </w:r>
    </w:p>
    <w:p w14:paraId="61BCF5C2" w14:textId="77777777" w:rsidR="005E1B35" w:rsidRDefault="005E1B35" w:rsidP="00882158">
      <w:pPr>
        <w:pStyle w:val="BodyText"/>
      </w:pPr>
      <w:r>
        <w:t xml:space="preserve">The design of the measures, including data definitions and the implementation approach, was agreed upon by </w:t>
      </w:r>
      <w:r w:rsidRPr="00DB6CE4">
        <w:t>Australia</w:t>
      </w:r>
      <w:r w:rsidRPr="00133523">
        <w:t>n, s</w:t>
      </w:r>
      <w:r w:rsidRPr="00DB6CE4">
        <w:t>tate</w:t>
      </w:r>
      <w:r w:rsidRPr="00133523">
        <w:t xml:space="preserve"> and territory</w:t>
      </w:r>
      <w:r w:rsidRPr="00DB6CE4">
        <w:t xml:space="preserve"> </w:t>
      </w:r>
      <w:r w:rsidRPr="00133523">
        <w:t>government</w:t>
      </w:r>
      <w:r w:rsidRPr="00393238">
        <w:t xml:space="preserve"> </w:t>
      </w:r>
      <w:r w:rsidRPr="00DB6CE4">
        <w:t>Education Ministers</w:t>
      </w:r>
      <w:r>
        <w:t xml:space="preserve"> in 2023</w:t>
      </w:r>
      <w:r w:rsidRPr="00DB6CE4">
        <w:t>.</w:t>
      </w:r>
      <w:r>
        <w:rPr>
          <w:rStyle w:val="FootnoteReference"/>
        </w:rPr>
        <w:footnoteReference w:id="22"/>
      </w:r>
      <w:r w:rsidRPr="00DB6CE4">
        <w:t xml:space="preserve"> Baseline (initial) data for the measu</w:t>
      </w:r>
      <w:r>
        <w:t>res will be provided by the state and territory governments to the ABS in 2024.</w:t>
      </w:r>
    </w:p>
    <w:p w14:paraId="292CF722" w14:textId="77777777" w:rsidR="005E1B35" w:rsidRDefault="005E1B35" w:rsidP="00882158">
      <w:pPr>
        <w:pStyle w:val="BodyText"/>
      </w:pPr>
      <w:r>
        <w:t xml:space="preserve">State performance will be measured against enrolment and attendance targets, </w:t>
      </w:r>
      <w:r w:rsidRPr="001D602B">
        <w:t>which will be</w:t>
      </w:r>
      <w:r w:rsidRPr="00E8552C">
        <w:t xml:space="preserve"> </w:t>
      </w:r>
      <w:r>
        <w:t>negotiated bilaterally between the Australian and the state or territory government, taking into consideration factors such as differing state circumstances and baseline data. The targets will become applicable from 2025.</w:t>
      </w:r>
    </w:p>
    <w:p w14:paraId="3D119D28" w14:textId="77777777" w:rsidR="005E1B35" w:rsidRDefault="005E1B35" w:rsidP="00882158">
      <w:pPr>
        <w:pStyle w:val="Heading5"/>
      </w:pPr>
      <w:r>
        <w:t>New national preschool outcomes measure</w:t>
      </w:r>
    </w:p>
    <w:p w14:paraId="67C6DE25" w14:textId="77777777" w:rsidR="005E1B35" w:rsidRDefault="005E1B35" w:rsidP="00882158">
      <w:pPr>
        <w:pStyle w:val="BodyText"/>
      </w:pPr>
      <w:r>
        <w:t>As part of the Preschool Reform Agreement, governments agreed to develop a new national preschool outcomes measure. This underpins another key objective of the Preschool Reform Agreement – maximising the benefit of the preschool year by improving outcomes for children.</w:t>
      </w:r>
    </w:p>
    <w:p w14:paraId="534530BE" w14:textId="77777777" w:rsidR="005E1B35" w:rsidRDefault="005E1B35" w:rsidP="00882158">
      <w:pPr>
        <w:pStyle w:val="BodyText"/>
      </w:pPr>
      <w:r>
        <w:t>The measure will include three parts:</w:t>
      </w:r>
    </w:p>
    <w:p w14:paraId="206BDA2B" w14:textId="77777777" w:rsidR="005E1B35" w:rsidRDefault="005E1B35" w:rsidP="00882158">
      <w:pPr>
        <w:pStyle w:val="ListBullet"/>
      </w:pPr>
      <w:r>
        <w:t>a new national formative assessment tool</w:t>
      </w:r>
    </w:p>
    <w:p w14:paraId="649D61BC" w14:textId="77777777" w:rsidR="005E1B35" w:rsidRDefault="005E1B35" w:rsidP="00882158">
      <w:pPr>
        <w:pStyle w:val="ListBullet"/>
      </w:pPr>
      <w:r>
        <w:t>a focus on national learning progressions in two domains: executive function and oral language and literacy</w:t>
      </w:r>
    </w:p>
    <w:p w14:paraId="04BB5965" w14:textId="77777777" w:rsidR="005E1B35" w:rsidRDefault="005E1B35">
      <w:pPr>
        <w:pStyle w:val="ListBullet"/>
      </w:pPr>
      <w:r>
        <w:t xml:space="preserve">criteria and processes for aligning existing tools to the learning progressions </w:t>
      </w:r>
      <w:r w:rsidRPr="00D8406E">
        <w:rPr>
          <w:rFonts w:ascii="Arial" w:hAnsi="Arial" w:cs="Arial"/>
        </w:rPr>
        <w:t>(DoE 2023a)</w:t>
      </w:r>
      <w:r>
        <w:t>.</w:t>
      </w:r>
    </w:p>
    <w:p w14:paraId="226120FB" w14:textId="77777777" w:rsidR="005E1B35" w:rsidRDefault="005E1B35" w:rsidP="00882158">
      <w:pPr>
        <w:pStyle w:val="BodyText"/>
      </w:pPr>
      <w:r>
        <w:t xml:space="preserve">Consultation with teachers, educators and other stakeholders was due to be undertaken in 2024. Advice </w:t>
      </w:r>
      <w:r w:rsidRPr="00E8552C">
        <w:t>was</w:t>
      </w:r>
      <w:r w:rsidRPr="00ED0C92">
        <w:t xml:space="preserve"> also </w:t>
      </w:r>
      <w:r>
        <w:t xml:space="preserve">provided by an expert advisory group convened by the Australian Government </w:t>
      </w:r>
      <w:r w:rsidRPr="003B3A99">
        <w:rPr>
          <w:rFonts w:ascii="Arial" w:hAnsi="Arial" w:cs="Arial"/>
          <w:szCs w:val="24"/>
        </w:rPr>
        <w:t>(DoE 2021)</w:t>
      </w:r>
      <w:r>
        <w:t>.</w:t>
      </w:r>
    </w:p>
    <w:p w14:paraId="033AF3E3" w14:textId="77777777" w:rsidR="005E1B35" w:rsidRDefault="005E1B35" w:rsidP="00882158">
      <w:pPr>
        <w:pStyle w:val="BodyText"/>
      </w:pPr>
      <w:r>
        <w:t xml:space="preserve">The proposed design of the outcomes measure will be trialled and validated prior to becoming applicable, with a national trial commencing in 2025 </w:t>
      </w:r>
      <w:r w:rsidRPr="00D8406E">
        <w:rPr>
          <w:rFonts w:ascii="Arial" w:hAnsi="Arial" w:cs="Arial"/>
        </w:rPr>
        <w:t>(DoE 2023b)</w:t>
      </w:r>
      <w:r>
        <w:t>. Upon completion, the trial will be independently evaluated and outcomes of the evaluation will be used to inform decisions about its potential future implementation.</w:t>
      </w:r>
    </w:p>
    <w:p w14:paraId="07AAEF82" w14:textId="77777777" w:rsidR="005E1B35" w:rsidRDefault="005E1B35" w:rsidP="00882158">
      <w:pPr>
        <w:pStyle w:val="Heading3"/>
      </w:pPr>
      <w:r>
        <w:t>Child Care Subsidy</w:t>
      </w:r>
    </w:p>
    <w:p w14:paraId="43B30FDE" w14:textId="77777777" w:rsidR="005E1B35" w:rsidRDefault="005E1B35" w:rsidP="00882158">
      <w:pPr>
        <w:pStyle w:val="BodyText"/>
      </w:pPr>
      <w:r>
        <w:t>As noted above, the Australian Government provides funding through the CCS to reduce out</w:t>
      </w:r>
      <w:r>
        <w:noBreakHyphen/>
        <w:t>of</w:t>
      </w:r>
      <w:r>
        <w:noBreakHyphen/>
        <w:t>pocket expenses for families attending CCS</w:t>
      </w:r>
      <w:r>
        <w:noBreakHyphen/>
        <w:t>approved services (appendix D</w:t>
      </w:r>
      <w:r w:rsidRPr="00864BF1">
        <w:t xml:space="preserve">). </w:t>
      </w:r>
      <w:r>
        <w:t>The amount that CCS</w:t>
      </w:r>
      <w:r>
        <w:noBreakHyphen/>
        <w:t xml:space="preserve">approved service providers charge to families is the fee less the subsidy. </w:t>
      </w:r>
      <w:r w:rsidRPr="00864BF1">
        <w:t>To receive</w:t>
      </w:r>
      <w:r>
        <w:t xml:space="preserve"> the subsidy, families must have a </w:t>
      </w:r>
      <w:r>
        <w:lastRenderedPageBreak/>
        <w:t>child who attends a CBDC, family day care, outside school hours care (OSHC) or In Home Care service. Families with children attending a preschool program in a CBDC service are eligible to receive the CCS.</w:t>
      </w:r>
    </w:p>
    <w:p w14:paraId="4774869D" w14:textId="77777777" w:rsidR="005E1B35" w:rsidRDefault="005E1B35" w:rsidP="00882158">
      <w:pPr>
        <w:pStyle w:val="BodyText"/>
      </w:pPr>
      <w:r>
        <w:t>Under Family Assistance Law, families are only entitled to the CCS in relation to fees they are charged, meaning any third</w:t>
      </w:r>
      <w:r>
        <w:noBreakHyphen/>
        <w:t>party payments must be deducted from fees prior to assessing CCS. However, some third</w:t>
      </w:r>
      <w:r>
        <w:noBreakHyphen/>
        <w:t xml:space="preserve">party payments prescribed under the </w:t>
      </w:r>
      <w:r w:rsidRPr="000D09AA">
        <w:t>Child Care Subsidy Minister’s Rules 2017</w:t>
      </w:r>
      <w:r>
        <w:t xml:space="preserve"> (Cth)</w:t>
      </w:r>
      <w:r>
        <w:rPr>
          <w:i/>
          <w:iCs/>
        </w:rPr>
        <w:t xml:space="preserve"> </w:t>
      </w:r>
      <w:r>
        <w:t>do not affect CCS and will reduce fees after CCS has been applied.</w:t>
      </w:r>
    </w:p>
    <w:p w14:paraId="5C5D10D2" w14:textId="77777777" w:rsidR="005E1B35" w:rsidRPr="00FF44E1" w:rsidRDefault="005E1B35" w:rsidP="00882158">
      <w:pPr>
        <w:pStyle w:val="BodyText"/>
      </w:pPr>
      <w:r>
        <w:t xml:space="preserve">Some payments made by state and territory governments are prescribed. </w:t>
      </w:r>
      <w:r w:rsidRPr="00FB030F">
        <w:t xml:space="preserve">Under the </w:t>
      </w:r>
      <w:r w:rsidRPr="000D09AA">
        <w:rPr>
          <w:iCs/>
        </w:rPr>
        <w:t>Child Care Subsidy Minister’s Rules 2017</w:t>
      </w:r>
      <w:r>
        <w:rPr>
          <w:iCs/>
        </w:rPr>
        <w:t xml:space="preserve"> (Cth)</w:t>
      </w:r>
      <w:r w:rsidRPr="00FB030F">
        <w:rPr>
          <w:iCs/>
        </w:rPr>
        <w:t xml:space="preserve"> </w:t>
      </w:r>
      <w:r w:rsidRPr="00FB030F">
        <w:t xml:space="preserve">(s. 16A(3D)), these payments include contributions made to reduce session fees for a child attending a preschool program in a CBDC between 1 January 2023 and 31 December 2025. The preschool program must be aimed at children in the two or three years before grade one of </w:t>
      </w:r>
      <w:r w:rsidRPr="00FF44E1">
        <w:t>school.</w:t>
      </w:r>
    </w:p>
    <w:p w14:paraId="795B35AE" w14:textId="77777777" w:rsidR="005E1B35" w:rsidRDefault="005E1B35" w:rsidP="00882158">
      <w:pPr>
        <w:pStyle w:val="BodyText"/>
      </w:pPr>
      <w:r>
        <w:t>In practice, this means that some families may see their preschool fees reduced to zero through a combination of the CCS and fee relief measures provided by state and territory governments. However, this will depend on the fees that families are being charged by service providers, the number of hours per week their children attend preschool and the state or territory they reside in.</w:t>
      </w:r>
    </w:p>
    <w:p w14:paraId="3B275BE8" w14:textId="77777777" w:rsidR="005E1B35" w:rsidRDefault="005E1B35" w:rsidP="00882158">
      <w:pPr>
        <w:pStyle w:val="BodyText"/>
      </w:pPr>
      <w:r>
        <w:t>The number of subsidised hours that a family is eligible for under the CCS is based on parents’ or guardians’ hours of recognised activities, measured on a fortnightly basis. Recognised activities include, for instance, paid work and studying an approved course. However, families with preschool children may receive an exemption and be eligible for 36 hours of subsidised care per fortnight without having to meet the test. To be eligible for the exemption, families must have preschool children attending a CBDC service in the YBFS and must be eligible for less than 36 hours per fortnight of subsidised care based on their current activity levels.</w:t>
      </w:r>
    </w:p>
    <w:p w14:paraId="6FFDAB52" w14:textId="77777777" w:rsidR="005E1B35" w:rsidRPr="00683468" w:rsidRDefault="005E1B35" w:rsidP="00882158">
      <w:pPr>
        <w:pStyle w:val="Heading2-Appendix"/>
      </w:pPr>
      <w:bookmarkStart w:id="35" w:name="_Toc172213587"/>
      <w:r>
        <w:t>State and territory reforms</w:t>
      </w:r>
      <w:bookmarkEnd w:id="35"/>
    </w:p>
    <w:p w14:paraId="71A25309" w14:textId="77777777" w:rsidR="005E1B35" w:rsidRDefault="005E1B35" w:rsidP="00882158">
      <w:pPr>
        <w:pStyle w:val="BodyText"/>
      </w:pPr>
      <w:r>
        <w:t>Most state and territory governments have announced or are undertaking preschool reforms within their jurisdictions. These reforms vary in terms of focus and scope and include funding commitments for:</w:t>
      </w:r>
    </w:p>
    <w:p w14:paraId="7B586FFC" w14:textId="77777777" w:rsidR="005E1B35" w:rsidRDefault="005E1B35" w:rsidP="00882158">
      <w:pPr>
        <w:pStyle w:val="ListBullet"/>
      </w:pPr>
      <w:r>
        <w:t>reducing fees or expanding hours of enrolment for four</w:t>
      </w:r>
      <w:r>
        <w:noBreakHyphen/>
        <w:t>year</w:t>
      </w:r>
      <w:r>
        <w:noBreakHyphen/>
        <w:t>old preschool</w:t>
      </w:r>
    </w:p>
    <w:p w14:paraId="0ACD1029" w14:textId="77777777" w:rsidR="005E1B35" w:rsidRDefault="005E1B35" w:rsidP="00882158">
      <w:pPr>
        <w:pStyle w:val="ListBullet"/>
      </w:pPr>
      <w:r>
        <w:t>trialling or continuing state</w:t>
      </w:r>
      <w:r>
        <w:noBreakHyphen/>
        <w:t>wide rollouts of three</w:t>
      </w:r>
      <w:r>
        <w:noBreakHyphen/>
        <w:t>year</w:t>
      </w:r>
      <w:r>
        <w:noBreakHyphen/>
        <w:t>old preschool</w:t>
      </w:r>
    </w:p>
    <w:p w14:paraId="77F1A0E0" w14:textId="77777777" w:rsidR="005E1B35" w:rsidRDefault="005E1B35" w:rsidP="00882158">
      <w:pPr>
        <w:pStyle w:val="ListBullet"/>
      </w:pPr>
      <w:r>
        <w:t>investing in preschool workforce and infrastructure</w:t>
      </w:r>
    </w:p>
    <w:p w14:paraId="0BB5A31F" w14:textId="77777777" w:rsidR="005E1B35" w:rsidRDefault="005E1B35" w:rsidP="00882158">
      <w:pPr>
        <w:pStyle w:val="ListBullet"/>
      </w:pPr>
      <w:r>
        <w:t>conducting state</w:t>
      </w:r>
      <w:r>
        <w:noBreakHyphen/>
        <w:t>wide reviews of preschool provision with the aim of guiding future policy considerations.</w:t>
      </w:r>
    </w:p>
    <w:p w14:paraId="523F858C" w14:textId="77777777" w:rsidR="005E1B35" w:rsidRDefault="005E1B35" w:rsidP="00882158">
      <w:pPr>
        <w:pStyle w:val="BodyText"/>
      </w:pPr>
      <w:r>
        <w:t>These reforms will impact preschool funding arrangements and the ECEC sector more broadly</w:t>
      </w:r>
      <w:r w:rsidDel="00A55C2C">
        <w:t>,</w:t>
      </w:r>
      <w:r>
        <w:t xml:space="preserve"> in the future.</w:t>
      </w:r>
    </w:p>
    <w:p w14:paraId="69F328EB" w14:textId="77777777" w:rsidR="005E1B35" w:rsidRDefault="005E1B35" w:rsidP="00882158">
      <w:pPr>
        <w:pStyle w:val="BodyText"/>
      </w:pPr>
      <w:r>
        <w:t>Some of these reforms will also change entitlements to three</w:t>
      </w:r>
      <w:r>
        <w:noBreakHyphen/>
        <w:t xml:space="preserve"> and four</w:t>
      </w:r>
      <w:r>
        <w:noBreakHyphen/>
        <w:t>year</w:t>
      </w:r>
      <w:r>
        <w:noBreakHyphen/>
        <w:t>old preschool in the long</w:t>
      </w:r>
      <w:r>
        <w:noBreakHyphen/>
        <w:t>term (table E.3) (further details provided below).</w:t>
      </w:r>
    </w:p>
    <w:p w14:paraId="3075B024" w14:textId="77777777" w:rsidR="005E1B35" w:rsidRDefault="005E1B35" w:rsidP="00882158">
      <w:pPr>
        <w:pStyle w:val="BodyText"/>
      </w:pPr>
      <w:r>
        <w:t>The below discussion reflects information available publicly as at June</w:t>
      </w:r>
      <w:r w:rsidRPr="00715B8D">
        <w:t xml:space="preserve"> 202</w:t>
      </w:r>
      <w:r>
        <w:t>4</w:t>
      </w:r>
      <w:r w:rsidRPr="00715B8D">
        <w:t>.</w:t>
      </w:r>
    </w:p>
    <w:p w14:paraId="2DF316B7" w14:textId="77777777" w:rsidR="005E1B35" w:rsidRDefault="005E1B35">
      <w:pPr>
        <w:spacing w:before="0" w:after="160" w:line="259" w:lineRule="auto"/>
        <w:rPr>
          <w:rFonts w:asciiTheme="majorHAnsi" w:hAnsiTheme="majorHAnsi"/>
          <w:iCs/>
          <w:color w:val="000000" w:themeColor="text1"/>
          <w:szCs w:val="18"/>
        </w:rPr>
      </w:pPr>
      <w:r>
        <w:br w:type="page"/>
      </w:r>
    </w:p>
    <w:p w14:paraId="61BB48D0" w14:textId="77777777" w:rsidR="005E1B35" w:rsidRPr="00C52E36" w:rsidRDefault="005E1B35">
      <w:pPr>
        <w:pStyle w:val="FigureTableHeading"/>
        <w:rPr>
          <w:vertAlign w:val="superscript"/>
        </w:rPr>
      </w:pPr>
      <w:r w:rsidRPr="000544FE">
        <w:lastRenderedPageBreak/>
        <w:t xml:space="preserve">Table </w:t>
      </w:r>
      <w:r w:rsidRPr="000544FE">
        <w:rPr>
          <w:noProof/>
        </w:rPr>
        <w:t>E</w:t>
      </w:r>
      <w:r w:rsidRPr="000544FE">
        <w:t>.</w:t>
      </w:r>
      <w:r w:rsidRPr="000544FE">
        <w:rPr>
          <w:noProof/>
        </w:rPr>
        <w:t xml:space="preserve">3 – </w:t>
      </w:r>
      <w:r w:rsidRPr="00820965">
        <w:rPr>
          <w:noProof/>
        </w:rPr>
        <w:t xml:space="preserve">State and territory reforms will change preschool </w:t>
      </w:r>
      <w:r w:rsidRPr="00E8552C" w:rsidDel="00E119E6">
        <w:t>entitlements</w:t>
      </w:r>
    </w:p>
    <w:p w14:paraId="68E547B3" w14:textId="77777777" w:rsidR="005E1B35" w:rsidRDefault="005E1B35">
      <w:pPr>
        <w:pStyle w:val="FigureTableSubheading"/>
      </w:pPr>
      <w:r>
        <w:t>State and territory commitments to three</w:t>
      </w:r>
      <w:r>
        <w:noBreakHyphen/>
        <w:t xml:space="preserve"> and four</w:t>
      </w:r>
      <w:r>
        <w:noBreakHyphen/>
        <w:t>year</w:t>
      </w:r>
      <w:r>
        <w:noBreakHyphen/>
        <w:t>old preschool</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4394"/>
        <w:gridCol w:w="4394"/>
      </w:tblGrid>
      <w:tr w:rsidR="005E1B35" w:rsidRPr="00D126B3" w14:paraId="179A1B62" w14:textId="77777777" w:rsidTr="00882158">
        <w:trPr>
          <w:tblHeader/>
        </w:trPr>
        <w:tc>
          <w:tcPr>
            <w:tcW w:w="851" w:type="dxa"/>
            <w:tcBorders>
              <w:bottom w:val="single" w:sz="4" w:space="0" w:color="B3B3B3"/>
            </w:tcBorders>
            <w:shd w:val="clear" w:color="auto" w:fill="auto"/>
            <w:vAlign w:val="bottom"/>
          </w:tcPr>
          <w:p w14:paraId="3EFC8CB2" w14:textId="77777777" w:rsidR="005E1B35" w:rsidRPr="00D126B3" w:rsidRDefault="005E1B35">
            <w:pPr>
              <w:spacing w:before="45" w:after="45"/>
              <w:ind w:left="57" w:right="108"/>
              <w:rPr>
                <w:rFonts w:ascii="Arial (Body)" w:hAnsi="Arial (Body)"/>
                <w:b/>
                <w:color w:val="265A9A"/>
                <w:sz w:val="18"/>
              </w:rPr>
            </w:pPr>
          </w:p>
        </w:tc>
        <w:tc>
          <w:tcPr>
            <w:tcW w:w="4394" w:type="dxa"/>
            <w:tcBorders>
              <w:bottom w:val="single" w:sz="4" w:space="0" w:color="B3B3B3"/>
            </w:tcBorders>
            <w:shd w:val="clear" w:color="auto" w:fill="auto"/>
            <w:vAlign w:val="bottom"/>
          </w:tcPr>
          <w:p w14:paraId="79AE6D5D" w14:textId="77777777" w:rsidR="005E1B35" w:rsidRPr="00D126B3" w:rsidRDefault="005E1B35">
            <w:pPr>
              <w:pStyle w:val="TableHeading"/>
              <w:spacing w:before="45" w:after="45"/>
              <w:ind w:right="108"/>
              <w:rPr>
                <w:rFonts w:ascii="Arial (Body)" w:hAnsi="Arial (Body)"/>
                <w:color w:val="265A9A"/>
              </w:rPr>
            </w:pPr>
            <w:r>
              <w:rPr>
                <w:rFonts w:ascii="Arial (Body)" w:hAnsi="Arial (Body)"/>
                <w:color w:val="265A9A"/>
              </w:rPr>
              <w:t>Four</w:t>
            </w:r>
            <w:r>
              <w:rPr>
                <w:rFonts w:ascii="Arial (Body)" w:hAnsi="Arial (Body)"/>
                <w:color w:val="265A9A"/>
              </w:rPr>
              <w:noBreakHyphen/>
              <w:t>year</w:t>
            </w:r>
            <w:r>
              <w:rPr>
                <w:rFonts w:ascii="Arial (Body)" w:hAnsi="Arial (Body)"/>
                <w:color w:val="265A9A"/>
              </w:rPr>
              <w:noBreakHyphen/>
              <w:t>old preschool</w:t>
            </w:r>
          </w:p>
        </w:tc>
        <w:tc>
          <w:tcPr>
            <w:tcW w:w="4394" w:type="dxa"/>
            <w:tcBorders>
              <w:bottom w:val="single" w:sz="4" w:space="0" w:color="B3B3B3"/>
            </w:tcBorders>
            <w:shd w:val="clear" w:color="auto" w:fill="auto"/>
            <w:vAlign w:val="bottom"/>
          </w:tcPr>
          <w:p w14:paraId="33A68DC9" w14:textId="77777777" w:rsidR="005E1B35" w:rsidRPr="00D126B3" w:rsidRDefault="005E1B35">
            <w:pPr>
              <w:pStyle w:val="TableHeading"/>
              <w:spacing w:before="45" w:after="45"/>
              <w:ind w:right="108"/>
              <w:rPr>
                <w:rFonts w:ascii="Arial (Body)" w:hAnsi="Arial (Body)"/>
                <w:color w:val="265A9A"/>
              </w:rPr>
            </w:pPr>
            <w:r>
              <w:rPr>
                <w:rFonts w:ascii="Arial (Body)" w:hAnsi="Arial (Body)"/>
                <w:color w:val="265A9A"/>
              </w:rPr>
              <w:t>Three</w:t>
            </w:r>
            <w:r>
              <w:rPr>
                <w:rFonts w:ascii="Arial (Body)" w:hAnsi="Arial (Body)"/>
                <w:color w:val="265A9A"/>
              </w:rPr>
              <w:noBreakHyphen/>
              <w:t>year</w:t>
            </w:r>
            <w:r>
              <w:rPr>
                <w:rFonts w:ascii="Arial (Body)" w:hAnsi="Arial (Body)"/>
                <w:color w:val="265A9A"/>
              </w:rPr>
              <w:noBreakHyphen/>
              <w:t>old preschool</w:t>
            </w:r>
          </w:p>
        </w:tc>
      </w:tr>
      <w:tr w:rsidR="005E1B35" w:rsidRPr="00D126B3" w14:paraId="3D5F788B" w14:textId="77777777" w:rsidTr="00882158">
        <w:tc>
          <w:tcPr>
            <w:tcW w:w="851" w:type="dxa"/>
            <w:tcBorders>
              <w:top w:val="single" w:sz="4" w:space="0" w:color="B3B3B3"/>
              <w:bottom w:val="nil"/>
            </w:tcBorders>
            <w:shd w:val="clear" w:color="auto" w:fill="F2F2F2" w:themeFill="background1" w:themeFillShade="F2"/>
          </w:tcPr>
          <w:p w14:paraId="0E193D65" w14:textId="77777777" w:rsidR="005E1B35" w:rsidRPr="00D126B3" w:rsidRDefault="005E1B35">
            <w:pPr>
              <w:pStyle w:val="TableHeading"/>
              <w:spacing w:before="45" w:after="45"/>
              <w:ind w:right="108"/>
              <w:rPr>
                <w:rFonts w:ascii="Arial (Body)" w:hAnsi="Arial (Body)"/>
                <w:color w:val="265A9A"/>
              </w:rPr>
            </w:pPr>
            <w:r>
              <w:rPr>
                <w:rFonts w:ascii="Arial (Body)" w:hAnsi="Arial (Body)"/>
                <w:color w:val="265A9A"/>
              </w:rPr>
              <w:t>NSW</w:t>
            </w:r>
          </w:p>
        </w:tc>
        <w:tc>
          <w:tcPr>
            <w:tcW w:w="4394" w:type="dxa"/>
            <w:tcBorders>
              <w:top w:val="single" w:sz="4" w:space="0" w:color="B3B3B3"/>
              <w:bottom w:val="nil"/>
            </w:tcBorders>
            <w:shd w:val="clear" w:color="auto" w:fill="F2F2F2" w:themeFill="background1" w:themeFillShade="F2"/>
          </w:tcPr>
          <w:p w14:paraId="79550768" w14:textId="77777777" w:rsidR="005E1B35" w:rsidRDefault="005E1B35" w:rsidP="00882158">
            <w:pPr>
              <w:pStyle w:val="TableListBullet"/>
            </w:pPr>
            <w:r>
              <w:t>15 hours per week currently available</w:t>
            </w:r>
          </w:p>
          <w:p w14:paraId="4E0A1811" w14:textId="77777777" w:rsidR="005E1B35" w:rsidRPr="00D126B3" w:rsidRDefault="005E1B35" w:rsidP="00882158">
            <w:pPr>
              <w:pStyle w:val="TableListBullet"/>
            </w:pPr>
            <w:r>
              <w:t>Up to five days per week by 2030</w:t>
            </w:r>
            <w:r>
              <w:rPr>
                <w:vertAlign w:val="superscript"/>
              </w:rPr>
              <w:t>a</w:t>
            </w:r>
          </w:p>
        </w:tc>
        <w:tc>
          <w:tcPr>
            <w:tcW w:w="4394" w:type="dxa"/>
            <w:tcBorders>
              <w:top w:val="single" w:sz="4" w:space="0" w:color="B3B3B3"/>
              <w:bottom w:val="nil"/>
            </w:tcBorders>
            <w:shd w:val="clear" w:color="auto" w:fill="F2F2F2" w:themeFill="background1" w:themeFillShade="F2"/>
          </w:tcPr>
          <w:p w14:paraId="744A249B" w14:textId="77777777" w:rsidR="005E1B35" w:rsidRPr="00623982" w:rsidRDefault="005E1B35" w:rsidP="00882158">
            <w:pPr>
              <w:pStyle w:val="TableListBullet"/>
            </w:pPr>
            <w:r w:rsidRPr="00623982">
              <w:t>15 hours per week currently available in community and mobile preschools</w:t>
            </w:r>
          </w:p>
          <w:p w14:paraId="5B6B45BE" w14:textId="77777777" w:rsidR="005E1B35" w:rsidRPr="00623982" w:rsidRDefault="005E1B35" w:rsidP="00882158">
            <w:pPr>
              <w:pStyle w:val="TableListBullet"/>
            </w:pPr>
            <w:r w:rsidRPr="00623982">
              <w:t>Two</w:t>
            </w:r>
            <w:r>
              <w:noBreakHyphen/>
            </w:r>
            <w:r w:rsidRPr="00623982">
              <w:t>year trial in CBDC services</w:t>
            </w:r>
          </w:p>
        </w:tc>
      </w:tr>
      <w:tr w:rsidR="005E1B35" w:rsidRPr="00D126B3" w14:paraId="12FB0050" w14:textId="77777777" w:rsidTr="00882158">
        <w:tc>
          <w:tcPr>
            <w:tcW w:w="851" w:type="dxa"/>
            <w:tcBorders>
              <w:top w:val="nil"/>
              <w:bottom w:val="nil"/>
            </w:tcBorders>
            <w:shd w:val="clear" w:color="auto" w:fill="auto"/>
          </w:tcPr>
          <w:p w14:paraId="12A04344" w14:textId="679DB371" w:rsidR="005E1B35" w:rsidRPr="00D126B3" w:rsidRDefault="005E1B35">
            <w:pPr>
              <w:pStyle w:val="TableHeading"/>
              <w:spacing w:before="45" w:after="45"/>
              <w:ind w:right="108"/>
              <w:rPr>
                <w:rFonts w:ascii="Arial (Body)" w:hAnsi="Arial (Body)"/>
                <w:color w:val="265A9A"/>
              </w:rPr>
            </w:pPr>
            <w:r>
              <w:rPr>
                <w:rFonts w:ascii="Arial (Body)" w:hAnsi="Arial (Body)"/>
                <w:color w:val="265A9A"/>
              </w:rPr>
              <w:t>V</w:t>
            </w:r>
            <w:r w:rsidR="001B47B2">
              <w:rPr>
                <w:rFonts w:ascii="Arial (Body)" w:hAnsi="Arial (Body)"/>
                <w:color w:val="265A9A"/>
              </w:rPr>
              <w:t>ic</w:t>
            </w:r>
          </w:p>
        </w:tc>
        <w:tc>
          <w:tcPr>
            <w:tcW w:w="4394" w:type="dxa"/>
            <w:tcBorders>
              <w:top w:val="nil"/>
              <w:bottom w:val="nil"/>
            </w:tcBorders>
            <w:shd w:val="clear" w:color="auto" w:fill="auto"/>
          </w:tcPr>
          <w:p w14:paraId="487C4EE1" w14:textId="39E3E91A" w:rsidR="005E1B35" w:rsidRDefault="005E1B35" w:rsidP="003C7EED">
            <w:pPr>
              <w:pStyle w:val="TableListBullet"/>
            </w:pPr>
            <w:r>
              <w:t>15 hours per week currently available</w:t>
            </w:r>
          </w:p>
          <w:p w14:paraId="63EAF2F7" w14:textId="77777777" w:rsidR="005E1B35" w:rsidRPr="00D126B3" w:rsidRDefault="005E1B35" w:rsidP="00882158">
            <w:pPr>
              <w:pStyle w:val="TableListBullet"/>
            </w:pPr>
            <w:r>
              <w:t xml:space="preserve">30 hours per week by 2036, rolled out gradually from </w:t>
            </w:r>
            <w:r w:rsidRPr="007D478E">
              <w:t>2025</w:t>
            </w:r>
          </w:p>
        </w:tc>
        <w:tc>
          <w:tcPr>
            <w:tcW w:w="4394" w:type="dxa"/>
            <w:tcBorders>
              <w:top w:val="nil"/>
              <w:bottom w:val="nil"/>
            </w:tcBorders>
            <w:shd w:val="clear" w:color="auto" w:fill="auto"/>
          </w:tcPr>
          <w:p w14:paraId="4777D6C8" w14:textId="77777777" w:rsidR="005E1B35" w:rsidRPr="003C7EED" w:rsidRDefault="005E1B35" w:rsidP="00882158">
            <w:pPr>
              <w:pStyle w:val="TableListBullet"/>
              <w:rPr>
                <w:rFonts w:ascii="Arial (Body)" w:hAnsi="Arial (Body)"/>
                <w:color w:val="000000"/>
                <w:spacing w:val="-4"/>
              </w:rPr>
            </w:pPr>
            <w:r w:rsidRPr="003C7EED">
              <w:rPr>
                <w:spacing w:val="-4"/>
              </w:rPr>
              <w:t>15 hours per week by 2029, rolled out from 2020. Currently between 5</w:t>
            </w:r>
            <w:r w:rsidRPr="003C7EED">
              <w:rPr>
                <w:spacing w:val="-4"/>
              </w:rPr>
              <w:noBreakHyphen/>
              <w:t>15 hours are available, depending on the what the service offers</w:t>
            </w:r>
          </w:p>
          <w:p w14:paraId="5B778375" w14:textId="77777777" w:rsidR="005E1B35" w:rsidRPr="00623982" w:rsidRDefault="005E1B35" w:rsidP="00882158">
            <w:pPr>
              <w:pStyle w:val="TableListBullet"/>
              <w:rPr>
                <w:rFonts w:ascii="Arial (Body)" w:hAnsi="Arial (Body)"/>
                <w:color w:val="000000"/>
              </w:rPr>
            </w:pPr>
            <w:r w:rsidRPr="007D478E">
              <w:t>Children from refugee or asylum seeker backgrounds, Aboriginal and Torres Strait islander children and children from families who have had contact with child protection are currently eligible for 15 hours</w:t>
            </w:r>
            <w:r>
              <w:t xml:space="preserve"> per week </w:t>
            </w:r>
          </w:p>
        </w:tc>
      </w:tr>
      <w:tr w:rsidR="005E1B35" w:rsidRPr="00D126B3" w14:paraId="5DC7B9C5" w14:textId="77777777" w:rsidTr="00882158">
        <w:tc>
          <w:tcPr>
            <w:tcW w:w="851" w:type="dxa"/>
            <w:shd w:val="clear" w:color="auto" w:fill="F2F2F2" w:themeFill="background1" w:themeFillShade="F2"/>
          </w:tcPr>
          <w:p w14:paraId="4247CA9D" w14:textId="7103B11B" w:rsidR="005E1B35" w:rsidRPr="00D126B3" w:rsidRDefault="005E1B35">
            <w:pPr>
              <w:pStyle w:val="TableHeading"/>
              <w:spacing w:before="45" w:after="45"/>
              <w:ind w:right="108"/>
              <w:rPr>
                <w:rFonts w:ascii="Arial (Body)" w:hAnsi="Arial (Body)"/>
                <w:color w:val="265A9A"/>
              </w:rPr>
            </w:pPr>
            <w:r>
              <w:rPr>
                <w:rFonts w:ascii="Arial (Body)" w:hAnsi="Arial (Body)"/>
                <w:color w:val="265A9A"/>
              </w:rPr>
              <w:t>Q</w:t>
            </w:r>
            <w:r w:rsidR="001B47B2">
              <w:rPr>
                <w:rFonts w:ascii="Arial (Body)" w:hAnsi="Arial (Body)"/>
                <w:color w:val="265A9A"/>
              </w:rPr>
              <w:t>ld</w:t>
            </w:r>
          </w:p>
        </w:tc>
        <w:tc>
          <w:tcPr>
            <w:tcW w:w="4394" w:type="dxa"/>
            <w:shd w:val="clear" w:color="auto" w:fill="F2F2F2" w:themeFill="background1" w:themeFillShade="F2"/>
          </w:tcPr>
          <w:p w14:paraId="5734C2CC" w14:textId="77777777" w:rsidR="005E1B35" w:rsidRDefault="005E1B35" w:rsidP="00882158">
            <w:pPr>
              <w:pStyle w:val="TableListBullet"/>
            </w:pPr>
            <w:r w:rsidRPr="007D478E">
              <w:t>15 hours per week</w:t>
            </w:r>
          </w:p>
          <w:p w14:paraId="1E21FD2E" w14:textId="77777777" w:rsidR="005E1B35" w:rsidRPr="007D478E" w:rsidRDefault="005E1B35" w:rsidP="00882158">
            <w:pPr>
              <w:pStyle w:val="TableListBullet"/>
            </w:pPr>
            <w:r>
              <w:t>Announced up to 30 hours per week will be available for children in certain communities</w:t>
            </w:r>
          </w:p>
        </w:tc>
        <w:tc>
          <w:tcPr>
            <w:tcW w:w="4394" w:type="dxa"/>
            <w:shd w:val="clear" w:color="auto" w:fill="F2F2F2" w:themeFill="background1" w:themeFillShade="F2"/>
          </w:tcPr>
          <w:p w14:paraId="18FA84DC" w14:textId="77777777" w:rsidR="005E1B35" w:rsidRPr="00D126B3" w:rsidRDefault="005E1B35">
            <w:pPr>
              <w:pStyle w:val="TableBody"/>
              <w:spacing w:before="45" w:after="45"/>
              <w:ind w:right="108"/>
              <w:rPr>
                <w:rFonts w:ascii="Arial (Body)" w:hAnsi="Arial (Body)"/>
                <w:color w:val="000000"/>
              </w:rPr>
            </w:pPr>
          </w:p>
        </w:tc>
      </w:tr>
      <w:tr w:rsidR="005E1B35" w:rsidRPr="00D126B3" w14:paraId="4E579CDB" w14:textId="77777777" w:rsidTr="00882158">
        <w:tc>
          <w:tcPr>
            <w:tcW w:w="851" w:type="dxa"/>
            <w:shd w:val="clear" w:color="auto" w:fill="auto"/>
          </w:tcPr>
          <w:p w14:paraId="522EB034"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WA</w:t>
            </w:r>
          </w:p>
        </w:tc>
        <w:tc>
          <w:tcPr>
            <w:tcW w:w="4394" w:type="dxa"/>
            <w:shd w:val="clear" w:color="auto" w:fill="auto"/>
          </w:tcPr>
          <w:p w14:paraId="642A9B79" w14:textId="77777777" w:rsidR="005E1B35" w:rsidRPr="007D478E" w:rsidRDefault="005E1B35" w:rsidP="00882158">
            <w:pPr>
              <w:pStyle w:val="TableListBullet"/>
            </w:pPr>
            <w:r w:rsidRPr="007D478E">
              <w:t xml:space="preserve">15 hours per week </w:t>
            </w:r>
          </w:p>
        </w:tc>
        <w:tc>
          <w:tcPr>
            <w:tcW w:w="4394" w:type="dxa"/>
            <w:shd w:val="clear" w:color="auto" w:fill="auto"/>
          </w:tcPr>
          <w:p w14:paraId="519B4FF7" w14:textId="77777777" w:rsidR="005E1B35" w:rsidRPr="00D126B3" w:rsidRDefault="005E1B35">
            <w:pPr>
              <w:pStyle w:val="TableBody"/>
              <w:spacing w:before="45" w:after="45"/>
              <w:ind w:right="108"/>
              <w:rPr>
                <w:rFonts w:ascii="Arial (Body)" w:hAnsi="Arial (Body)"/>
                <w:color w:val="000000"/>
              </w:rPr>
            </w:pPr>
          </w:p>
        </w:tc>
      </w:tr>
      <w:tr w:rsidR="005E1B35" w:rsidRPr="00D126B3" w14:paraId="0DC6DEC6" w14:textId="77777777" w:rsidTr="00882158">
        <w:tc>
          <w:tcPr>
            <w:tcW w:w="851" w:type="dxa"/>
            <w:shd w:val="clear" w:color="auto" w:fill="F2F2F2" w:themeFill="background1" w:themeFillShade="F2"/>
          </w:tcPr>
          <w:p w14:paraId="12296D81"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SA</w:t>
            </w:r>
          </w:p>
        </w:tc>
        <w:tc>
          <w:tcPr>
            <w:tcW w:w="4394" w:type="dxa"/>
            <w:shd w:val="clear" w:color="auto" w:fill="F2F2F2" w:themeFill="background1" w:themeFillShade="F2"/>
          </w:tcPr>
          <w:p w14:paraId="5A5AAF93" w14:textId="77777777" w:rsidR="005E1B35" w:rsidRDefault="005E1B35" w:rsidP="00882158">
            <w:pPr>
              <w:pStyle w:val="TableListBullet"/>
            </w:pPr>
            <w:r w:rsidRPr="00F7286F">
              <w:t>15 hours per week, with measures put in place between 2026 and 2032 so that children most at risk of developmental vulnerability can access up to 30</w:t>
            </w:r>
            <w:r>
              <w:t> </w:t>
            </w:r>
            <w:r w:rsidRPr="00F7286F">
              <w:t>hours</w:t>
            </w:r>
            <w:r>
              <w:t xml:space="preserve"> per week</w:t>
            </w:r>
          </w:p>
          <w:p w14:paraId="640E7FB4" w14:textId="77777777" w:rsidR="005E1B35" w:rsidRPr="00F7286F" w:rsidRDefault="005E1B35" w:rsidP="00882158">
            <w:pPr>
              <w:pStyle w:val="TableListBullet"/>
              <w:numPr>
                <w:ilvl w:val="0"/>
                <w:numId w:val="0"/>
              </w:numPr>
              <w:ind w:left="170" w:hanging="113"/>
            </w:pPr>
          </w:p>
        </w:tc>
        <w:tc>
          <w:tcPr>
            <w:tcW w:w="4394" w:type="dxa"/>
            <w:shd w:val="clear" w:color="auto" w:fill="F2F2F2" w:themeFill="background1" w:themeFillShade="F2"/>
          </w:tcPr>
          <w:p w14:paraId="1B460C69" w14:textId="77777777" w:rsidR="005E1B35" w:rsidRDefault="005E1B35" w:rsidP="00882158">
            <w:pPr>
              <w:pStyle w:val="TableListBullet"/>
            </w:pPr>
            <w:r w:rsidRPr="00F7286F">
              <w:t>15 hours per week currently available for Aboriginal children and children in care</w:t>
            </w:r>
          </w:p>
          <w:p w14:paraId="6956E0D3" w14:textId="77777777" w:rsidR="005E1B35" w:rsidRDefault="005E1B35" w:rsidP="00882158">
            <w:pPr>
              <w:pStyle w:val="TableListBullet"/>
            </w:pPr>
            <w:r w:rsidRPr="00F7286F">
              <w:t>15 hours per week will be available across the state by 2032, rolled out in stages from 2026.</w:t>
            </w:r>
          </w:p>
          <w:p w14:paraId="44FBDFD6" w14:textId="77777777" w:rsidR="005E1B35" w:rsidRPr="00F7286F" w:rsidRDefault="005E1B35" w:rsidP="00882158">
            <w:pPr>
              <w:pStyle w:val="TableListBullet"/>
            </w:pPr>
            <w:r w:rsidRPr="00F7286F">
              <w:t>Between 2026 and 2032, the SA Government will put in place measures so that children most at risk of developmental vulnerability can access up to 30</w:t>
            </w:r>
            <w:r>
              <w:t> </w:t>
            </w:r>
            <w:r w:rsidRPr="00F7286F">
              <w:t xml:space="preserve">hours per week </w:t>
            </w:r>
          </w:p>
        </w:tc>
      </w:tr>
      <w:tr w:rsidR="005E1B35" w:rsidRPr="00D126B3" w14:paraId="0849867D" w14:textId="77777777" w:rsidTr="00882158">
        <w:tc>
          <w:tcPr>
            <w:tcW w:w="851" w:type="dxa"/>
            <w:shd w:val="clear" w:color="auto" w:fill="auto"/>
          </w:tcPr>
          <w:p w14:paraId="215D1717"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Tas</w:t>
            </w:r>
          </w:p>
        </w:tc>
        <w:tc>
          <w:tcPr>
            <w:tcW w:w="4394" w:type="dxa"/>
            <w:shd w:val="clear" w:color="auto" w:fill="auto"/>
          </w:tcPr>
          <w:p w14:paraId="0B4B99F0" w14:textId="77777777" w:rsidR="005E1B35" w:rsidRPr="00F7286F" w:rsidRDefault="005E1B35" w:rsidP="00882158">
            <w:pPr>
              <w:pStyle w:val="TableListBullet"/>
            </w:pPr>
            <w:r w:rsidRPr="00F7286F">
              <w:t xml:space="preserve">15 hours per week </w:t>
            </w:r>
          </w:p>
        </w:tc>
        <w:tc>
          <w:tcPr>
            <w:tcW w:w="4394" w:type="dxa"/>
            <w:shd w:val="clear" w:color="auto" w:fill="auto"/>
          </w:tcPr>
          <w:p w14:paraId="6E5D31B9" w14:textId="77777777" w:rsidR="005E1B35" w:rsidRPr="00F7286F" w:rsidRDefault="005E1B35" w:rsidP="00882158">
            <w:pPr>
              <w:pStyle w:val="TableListBullet"/>
            </w:pPr>
            <w:r w:rsidRPr="00F7286F">
              <w:t>Committed to three</w:t>
            </w:r>
            <w:r>
              <w:noBreakHyphen/>
            </w:r>
            <w:r w:rsidRPr="00F7286F">
              <w:t>year</w:t>
            </w:r>
            <w:r>
              <w:noBreakHyphen/>
            </w:r>
            <w:r w:rsidRPr="00F7286F">
              <w:t>old preschool,</w:t>
            </w:r>
            <w:r>
              <w:t xml:space="preserve"> </w:t>
            </w:r>
            <w:r w:rsidRPr="00F7286F">
              <w:t>currently trialling in five communities</w:t>
            </w:r>
            <w:r>
              <w:t xml:space="preserve"> </w:t>
            </w:r>
          </w:p>
        </w:tc>
      </w:tr>
      <w:tr w:rsidR="005E1B35" w:rsidRPr="00D126B3" w14:paraId="54E6C31E" w14:textId="77777777" w:rsidTr="00882158">
        <w:tc>
          <w:tcPr>
            <w:tcW w:w="851" w:type="dxa"/>
            <w:shd w:val="clear" w:color="auto" w:fill="F2F2F2" w:themeFill="background1" w:themeFillShade="F2"/>
          </w:tcPr>
          <w:p w14:paraId="07B91BB1"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NT</w:t>
            </w:r>
          </w:p>
        </w:tc>
        <w:tc>
          <w:tcPr>
            <w:tcW w:w="4394" w:type="dxa"/>
            <w:shd w:val="clear" w:color="auto" w:fill="F2F2F2" w:themeFill="background1" w:themeFillShade="F2"/>
          </w:tcPr>
          <w:p w14:paraId="63680434" w14:textId="77777777" w:rsidR="005E1B35" w:rsidRPr="005D279E" w:rsidRDefault="005E1B35" w:rsidP="00882158">
            <w:pPr>
              <w:pStyle w:val="TableListBullet"/>
            </w:pPr>
            <w:r w:rsidRPr="005D279E">
              <w:t xml:space="preserve">15 hours per week </w:t>
            </w:r>
          </w:p>
        </w:tc>
        <w:tc>
          <w:tcPr>
            <w:tcW w:w="4394" w:type="dxa"/>
            <w:shd w:val="clear" w:color="auto" w:fill="F2F2F2" w:themeFill="background1" w:themeFillShade="F2"/>
          </w:tcPr>
          <w:p w14:paraId="287633DB" w14:textId="77777777" w:rsidR="005E1B35" w:rsidRDefault="005E1B35" w:rsidP="00882158">
            <w:pPr>
              <w:pStyle w:val="TableListBullet"/>
            </w:pPr>
            <w:r>
              <w:t>490 hours per year currently available for children in very remote areas (must be accompanied until they are 3.5 years)</w:t>
            </w:r>
          </w:p>
          <w:p w14:paraId="59B020CA" w14:textId="77777777" w:rsidR="005E1B35" w:rsidRPr="00D126B3" w:rsidRDefault="005E1B35" w:rsidP="00882158">
            <w:pPr>
              <w:pStyle w:val="TableListBullet"/>
            </w:pPr>
            <w:r>
              <w:t xml:space="preserve">Conducting a trial in six schools </w:t>
            </w:r>
          </w:p>
        </w:tc>
      </w:tr>
      <w:tr w:rsidR="005E1B35" w:rsidRPr="00D126B3" w14:paraId="11EC6FEA" w14:textId="77777777" w:rsidTr="00882158">
        <w:tc>
          <w:tcPr>
            <w:tcW w:w="851" w:type="dxa"/>
            <w:tcBorders>
              <w:bottom w:val="single" w:sz="4" w:space="0" w:color="B3B3B3"/>
            </w:tcBorders>
            <w:shd w:val="clear" w:color="auto" w:fill="auto"/>
          </w:tcPr>
          <w:p w14:paraId="33D838A8" w14:textId="77777777" w:rsidR="005E1B35" w:rsidRPr="00D126B3" w:rsidDel="008E7D2A" w:rsidRDefault="005E1B35">
            <w:pPr>
              <w:pStyle w:val="TableHeading"/>
              <w:spacing w:before="45" w:after="45"/>
              <w:ind w:right="108"/>
              <w:rPr>
                <w:rFonts w:ascii="Arial (Body)" w:hAnsi="Arial (Body)"/>
                <w:color w:val="265A9A"/>
              </w:rPr>
            </w:pPr>
            <w:r>
              <w:rPr>
                <w:rFonts w:ascii="Arial (Body)" w:hAnsi="Arial (Body)"/>
                <w:color w:val="265A9A"/>
              </w:rPr>
              <w:t>ACT</w:t>
            </w:r>
          </w:p>
        </w:tc>
        <w:tc>
          <w:tcPr>
            <w:tcW w:w="4394" w:type="dxa"/>
            <w:tcBorders>
              <w:bottom w:val="single" w:sz="4" w:space="0" w:color="B3B3B3"/>
            </w:tcBorders>
            <w:shd w:val="clear" w:color="auto" w:fill="auto"/>
          </w:tcPr>
          <w:p w14:paraId="090247F2" w14:textId="77777777" w:rsidR="005E1B35" w:rsidRPr="005D279E" w:rsidRDefault="005E1B35" w:rsidP="00882158">
            <w:pPr>
              <w:pStyle w:val="TableListBullet"/>
            </w:pPr>
            <w:r w:rsidRPr="005D279E">
              <w:t xml:space="preserve">15 hours per week </w:t>
            </w:r>
          </w:p>
        </w:tc>
        <w:tc>
          <w:tcPr>
            <w:tcW w:w="4394" w:type="dxa"/>
            <w:tcBorders>
              <w:bottom w:val="single" w:sz="4" w:space="0" w:color="B3B3B3"/>
            </w:tcBorders>
            <w:shd w:val="clear" w:color="auto" w:fill="auto"/>
          </w:tcPr>
          <w:p w14:paraId="378ECA42" w14:textId="77777777" w:rsidR="005E1B35" w:rsidRDefault="005E1B35" w:rsidP="00882158">
            <w:pPr>
              <w:pStyle w:val="TableListBullet"/>
            </w:pPr>
            <w:r>
              <w:t>One day per week currently available across the territory, with two days per week available for up to 500 children experiencing disadvantage and vulnerability and up to 100 Aboriginal and Torres Strait Islander children</w:t>
            </w:r>
          </w:p>
          <w:p w14:paraId="7BF21A6B" w14:textId="77777777" w:rsidR="005E1B35" w:rsidRPr="00D126B3" w:rsidRDefault="005E1B35" w:rsidP="00882158">
            <w:pPr>
              <w:pStyle w:val="TableListBullet"/>
            </w:pPr>
            <w:r w:rsidRPr="00F7286F">
              <w:t xml:space="preserve">Aims to make 600 hours per year available </w:t>
            </w:r>
          </w:p>
        </w:tc>
      </w:tr>
    </w:tbl>
    <w:p w14:paraId="368E0CFF" w14:textId="77777777" w:rsidR="005E1B35" w:rsidRDefault="005E1B35" w:rsidP="00882158">
      <w:pPr>
        <w:pStyle w:val="Note"/>
      </w:pPr>
      <w:r w:rsidRPr="00754724">
        <w:rPr>
          <w:b/>
          <w:bCs/>
        </w:rPr>
        <w:t xml:space="preserve">a. </w:t>
      </w:r>
      <w:r>
        <w:t>Reflects information as at the 2022</w:t>
      </w:r>
      <w:r>
        <w:noBreakHyphen/>
        <w:t>23 state budget.</w:t>
      </w:r>
    </w:p>
    <w:p w14:paraId="029553D4" w14:textId="77777777" w:rsidR="005E1B35" w:rsidRDefault="005E1B35" w:rsidP="00882158">
      <w:pPr>
        <w:pStyle w:val="Source"/>
      </w:pPr>
      <w:r w:rsidRPr="00696447">
        <w:t>Source:</w:t>
      </w:r>
      <w:r>
        <w:t xml:space="preserve"> ACT Education Directorate </w:t>
      </w:r>
      <w:r w:rsidRPr="006000FA">
        <w:rPr>
          <w:rFonts w:ascii="Arial" w:hAnsi="Arial" w:cs="Arial"/>
        </w:rPr>
        <w:t>(2023a, 2024a)</w:t>
      </w:r>
      <w:r>
        <w:t xml:space="preserve">, Australian Capital Territory and Commonwealth of Australia </w:t>
      </w:r>
      <w:r w:rsidRPr="00D54C6C">
        <w:rPr>
          <w:rFonts w:ascii="Arial" w:hAnsi="Arial" w:cs="Arial"/>
        </w:rPr>
        <w:t>(2023)</w:t>
      </w:r>
      <w:r>
        <w:t xml:space="preserve">, Gunner </w:t>
      </w:r>
      <w:r w:rsidRPr="00CF67FF">
        <w:rPr>
          <w:rFonts w:ascii="Arial" w:hAnsi="Arial" w:cs="Arial"/>
        </w:rPr>
        <w:t>(2022)</w:t>
      </w:r>
      <w:r>
        <w:t xml:space="preserve">, Northern Territory and Commonwealth of Australia </w:t>
      </w:r>
      <w:r w:rsidRPr="00D54C6C">
        <w:rPr>
          <w:rFonts w:ascii="Arial" w:hAnsi="Arial" w:cs="Arial"/>
        </w:rPr>
        <w:t>(2023)</w:t>
      </w:r>
      <w:r>
        <w:t xml:space="preserve">, NSW Department of Education </w:t>
      </w:r>
      <w:r w:rsidRPr="00A62F2E">
        <w:rPr>
          <w:rFonts w:ascii="Arial" w:hAnsi="Arial" w:cs="Arial"/>
        </w:rPr>
        <w:t>(2023f)</w:t>
      </w:r>
      <w:r>
        <w:t xml:space="preserve">, NSW Government </w:t>
      </w:r>
      <w:r w:rsidRPr="00083114">
        <w:rPr>
          <w:rFonts w:ascii="Arial" w:hAnsi="Arial" w:cs="Arial"/>
        </w:rPr>
        <w:t>(2022b)</w:t>
      </w:r>
      <w:r>
        <w:t xml:space="preserve">, Queensland Government </w:t>
      </w:r>
      <w:r w:rsidRPr="00D03FDD">
        <w:rPr>
          <w:rFonts w:ascii="Arial" w:hAnsi="Arial" w:cs="Arial"/>
        </w:rPr>
        <w:t>(2024)</w:t>
      </w:r>
      <w:r>
        <w:t>,</w:t>
      </w:r>
      <w:r w:rsidRPr="00696447">
        <w:t xml:space="preserve"> </w:t>
      </w:r>
      <w:r>
        <w:t xml:space="preserve">SA Government </w:t>
      </w:r>
      <w:r w:rsidRPr="005A22A2">
        <w:rPr>
          <w:rFonts w:ascii="Arial" w:hAnsi="Arial" w:cs="Arial"/>
        </w:rPr>
        <w:t>(2024b)</w:t>
      </w:r>
      <w:r>
        <w:t xml:space="preserve">, State of New South Wales and Commonwealth of Australia </w:t>
      </w:r>
      <w:r w:rsidRPr="000165AC">
        <w:rPr>
          <w:rFonts w:ascii="Arial" w:hAnsi="Arial" w:cs="Arial"/>
        </w:rPr>
        <w:t>(2023)</w:t>
      </w:r>
      <w:r>
        <w:t xml:space="preserve">, State of Queensland and Commonwealth of Australia </w:t>
      </w:r>
      <w:r w:rsidRPr="001949D1">
        <w:rPr>
          <w:rFonts w:ascii="Arial" w:hAnsi="Arial" w:cs="Arial"/>
        </w:rPr>
        <w:t>(2023)</w:t>
      </w:r>
      <w:r>
        <w:t xml:space="preserve">, State of South Australia and Commonwealth of Australia </w:t>
      </w:r>
      <w:r w:rsidRPr="001949D1">
        <w:rPr>
          <w:rFonts w:ascii="Arial" w:hAnsi="Arial" w:cs="Arial"/>
        </w:rPr>
        <w:t>(2023)</w:t>
      </w:r>
      <w:r>
        <w:t xml:space="preserve">, State of Tasmania and Commonwealth of Australia </w:t>
      </w:r>
      <w:r w:rsidRPr="001949D1">
        <w:rPr>
          <w:rFonts w:ascii="Arial" w:hAnsi="Arial" w:cs="Arial"/>
        </w:rPr>
        <w:t>(2023)</w:t>
      </w:r>
      <w:r>
        <w:t xml:space="preserve">, State of Victoria and Commonwealth of Australia </w:t>
      </w:r>
      <w:r w:rsidRPr="00112943">
        <w:rPr>
          <w:rFonts w:ascii="Arial" w:hAnsi="Arial" w:cs="Arial"/>
        </w:rPr>
        <w:t>(2023)</w:t>
      </w:r>
      <w:r>
        <w:t xml:space="preserve">, State of Western Australia and Commonwealth of Australia </w:t>
      </w:r>
      <w:r w:rsidRPr="001949D1">
        <w:rPr>
          <w:rFonts w:ascii="Arial" w:hAnsi="Arial" w:cs="Arial"/>
        </w:rPr>
        <w:t>(2023)</w:t>
      </w:r>
      <w:r>
        <w:t xml:space="preserve">, Victorian Government </w:t>
      </w:r>
      <w:r w:rsidRPr="00126449">
        <w:rPr>
          <w:rFonts w:ascii="Arial" w:hAnsi="Arial" w:cs="Arial"/>
        </w:rPr>
        <w:t>(2023b, 2023a, 2024a)</w:t>
      </w:r>
      <w:r>
        <w:t>.</w:t>
      </w:r>
    </w:p>
    <w:p w14:paraId="35BDA08B" w14:textId="77777777" w:rsidR="005E1B35" w:rsidRDefault="005E1B35" w:rsidP="00882158">
      <w:pPr>
        <w:pStyle w:val="Heading3"/>
      </w:pPr>
      <w:r>
        <w:lastRenderedPageBreak/>
        <w:t>New South Wales</w:t>
      </w:r>
    </w:p>
    <w:p w14:paraId="46C4B4A3" w14:textId="7F75ED44" w:rsidR="005E1B35" w:rsidRDefault="005E1B35" w:rsidP="00882158">
      <w:pPr>
        <w:pStyle w:val="Heading4"/>
      </w:pPr>
      <w:r>
        <w:t>Universal pre</w:t>
      </w:r>
      <w:r w:rsidR="00FE6366">
        <w:t>-</w:t>
      </w:r>
      <w:r>
        <w:t>kindergarten</w:t>
      </w:r>
    </w:p>
    <w:p w14:paraId="0352AE48" w14:textId="77777777" w:rsidR="005E1B35" w:rsidRDefault="005E1B35" w:rsidP="00882158">
      <w:pPr>
        <w:pStyle w:val="BodyText"/>
      </w:pPr>
      <w:r>
        <w:t>In the 2022</w:t>
      </w:r>
      <w:r>
        <w:noBreakHyphen/>
        <w:t>23 state budget, the NSW Government committed to introducing a ‘universal pre</w:t>
      </w:r>
      <w:r>
        <w:noBreakHyphen/>
        <w:t>kindergarten year’ in the YBFS by 2030</w:t>
      </w:r>
      <w:r w:rsidRPr="005D4EF5">
        <w:t xml:space="preserve"> </w:t>
      </w:r>
      <w:r w:rsidRPr="004947B2">
        <w:rPr>
          <w:rFonts w:ascii="Arial" w:hAnsi="Arial" w:cs="Arial"/>
        </w:rPr>
        <w:t>(NSW Government 2022a, pp. 2–4)</w:t>
      </w:r>
      <w:r>
        <w:t xml:space="preserve">, involving up to five days of preschool a week at low or no cost </w:t>
      </w:r>
      <w:r w:rsidRPr="00085288">
        <w:rPr>
          <w:rFonts w:ascii="Arial" w:hAnsi="Arial" w:cs="Arial"/>
          <w:szCs w:val="24"/>
        </w:rPr>
        <w:t>(NSW Government 2022b, p. 53)</w:t>
      </w:r>
      <w:r>
        <w:t xml:space="preserve">. $5.7 billion over 10 years was earmarked for this purpose </w:t>
      </w:r>
      <w:r w:rsidRPr="008E6FDD">
        <w:rPr>
          <w:rFonts w:ascii="Arial" w:hAnsi="Arial" w:cs="Arial"/>
          <w:szCs w:val="24"/>
        </w:rPr>
        <w:t xml:space="preserve">(NSW Government 2022a, </w:t>
      </w:r>
      <w:r>
        <w:rPr>
          <w:rFonts w:ascii="Arial" w:hAnsi="Arial" w:cs="Arial"/>
          <w:szCs w:val="24"/>
        </w:rPr>
        <w:t>p</w:t>
      </w:r>
      <w:r w:rsidRPr="008E6FDD">
        <w:rPr>
          <w:rFonts w:ascii="Arial" w:hAnsi="Arial" w:cs="Arial"/>
          <w:szCs w:val="24"/>
        </w:rPr>
        <w:t>p. 2</w:t>
      </w:r>
      <w:r>
        <w:rPr>
          <w:rFonts w:ascii="Arial" w:hAnsi="Arial" w:cs="Arial"/>
          <w:szCs w:val="24"/>
        </w:rPr>
        <w:t>–</w:t>
      </w:r>
      <w:r w:rsidRPr="008E6FDD">
        <w:rPr>
          <w:rFonts w:ascii="Arial" w:hAnsi="Arial" w:cs="Arial"/>
          <w:szCs w:val="24"/>
        </w:rPr>
        <w:t>4)</w:t>
      </w:r>
      <w:r>
        <w:t>.</w:t>
      </w:r>
    </w:p>
    <w:p w14:paraId="15F4A433" w14:textId="77777777" w:rsidR="005E1B35" w:rsidRDefault="005E1B35" w:rsidP="00882158">
      <w:pPr>
        <w:pStyle w:val="BodyText"/>
      </w:pPr>
      <w:r w:rsidRPr="00BC3140">
        <w:t>As a first step, the</w:t>
      </w:r>
      <w:r>
        <w:t xml:space="preserve"> 2022</w:t>
      </w:r>
      <w:r>
        <w:noBreakHyphen/>
        <w:t xml:space="preserve">23 state budget provided $40.2 million for planning, consultation and early steps in the implementation of this program </w:t>
      </w:r>
      <w:r w:rsidRPr="00172391">
        <w:rPr>
          <w:rFonts w:ascii="Arial" w:hAnsi="Arial" w:cs="Arial"/>
          <w:szCs w:val="24"/>
        </w:rPr>
        <w:t xml:space="preserve">(NSW Government 2022a, </w:t>
      </w:r>
      <w:r>
        <w:rPr>
          <w:rFonts w:ascii="Arial" w:hAnsi="Arial" w:cs="Arial"/>
          <w:szCs w:val="24"/>
        </w:rPr>
        <w:t>p</w:t>
      </w:r>
      <w:r w:rsidRPr="00172391">
        <w:rPr>
          <w:rFonts w:ascii="Arial" w:hAnsi="Arial" w:cs="Arial"/>
          <w:szCs w:val="24"/>
        </w:rPr>
        <w:t>p. 2</w:t>
      </w:r>
      <w:r>
        <w:rPr>
          <w:rFonts w:ascii="Arial" w:hAnsi="Arial" w:cs="Arial"/>
          <w:szCs w:val="24"/>
        </w:rPr>
        <w:t>–</w:t>
      </w:r>
      <w:r w:rsidRPr="00172391">
        <w:rPr>
          <w:rFonts w:ascii="Arial" w:hAnsi="Arial" w:cs="Arial"/>
          <w:szCs w:val="24"/>
        </w:rPr>
        <w:t>4)</w:t>
      </w:r>
      <w:r>
        <w:t>.</w:t>
      </w:r>
    </w:p>
    <w:p w14:paraId="654BFA2A" w14:textId="77777777" w:rsidR="005E1B35" w:rsidRPr="003C7EED" w:rsidRDefault="005E1B35" w:rsidP="00882158">
      <w:pPr>
        <w:pStyle w:val="BodyText"/>
        <w:rPr>
          <w:spacing w:val="-2"/>
        </w:rPr>
      </w:pPr>
      <w:r w:rsidRPr="003C7EED">
        <w:rPr>
          <w:spacing w:val="-2"/>
        </w:rPr>
        <w:t>The 2023</w:t>
      </w:r>
      <w:r w:rsidRPr="003C7EED">
        <w:rPr>
          <w:spacing w:val="-2"/>
        </w:rPr>
        <w:noBreakHyphen/>
        <w:t xml:space="preserve">24 state budget maintained $5.7 billion in funding over 10 years for ‘universal preschool access’ </w:t>
      </w:r>
      <w:r w:rsidRPr="003C7EED">
        <w:rPr>
          <w:rFonts w:cs="Arial"/>
          <w:spacing w:val="-2"/>
        </w:rPr>
        <w:t>(NSW Government 2023, pp. 1–10)</w:t>
      </w:r>
      <w:r w:rsidRPr="003C7EED">
        <w:rPr>
          <w:spacing w:val="-2"/>
        </w:rPr>
        <w:t>. In addition, the NSW Government committed to deliver 100 preschools on NSW public school sites and 50 new or upgraded preschool facilities on non</w:t>
      </w:r>
      <w:r w:rsidRPr="003C7EED">
        <w:rPr>
          <w:spacing w:val="-2"/>
        </w:rPr>
        <w:noBreakHyphen/>
        <w:t xml:space="preserve">government school sites </w:t>
      </w:r>
      <w:r w:rsidRPr="003C7EED">
        <w:rPr>
          <w:rFonts w:cs="Arial"/>
          <w:spacing w:val="-2"/>
          <w:szCs w:val="24"/>
        </w:rPr>
        <w:t>(NSW DoE 2023b)</w:t>
      </w:r>
      <w:r w:rsidRPr="003C7EED">
        <w:rPr>
          <w:spacing w:val="-2"/>
        </w:rPr>
        <w:t>. All new public primary schools built in New South Wales will have a preschool on their grounds.</w:t>
      </w:r>
    </w:p>
    <w:p w14:paraId="2EC91299" w14:textId="547DCF9A" w:rsidR="005E1B35" w:rsidRDefault="005E1B35" w:rsidP="00882158">
      <w:pPr>
        <w:pStyle w:val="Heading4"/>
      </w:pPr>
      <w:r>
        <w:t>Three</w:t>
      </w:r>
      <w:r w:rsidR="00E61D4F">
        <w:t>-</w:t>
      </w:r>
      <w:r>
        <w:t>year</w:t>
      </w:r>
      <w:r w:rsidR="00E61D4F">
        <w:t>-</w:t>
      </w:r>
      <w:r>
        <w:t>old preschool</w:t>
      </w:r>
    </w:p>
    <w:p w14:paraId="72DB3C4A" w14:textId="77777777" w:rsidR="005E1B35" w:rsidRDefault="005E1B35" w:rsidP="00882158">
      <w:pPr>
        <w:pStyle w:val="BodyText"/>
      </w:pPr>
      <w:r>
        <w:t>The 2022</w:t>
      </w:r>
      <w:r>
        <w:noBreakHyphen/>
        <w:t>23 NSW budget provided funding to trial three</w:t>
      </w:r>
      <w:r>
        <w:noBreakHyphen/>
        <w:t>year</w:t>
      </w:r>
      <w:r>
        <w:noBreakHyphen/>
        <w:t xml:space="preserve">old preschool in CBDC services </w:t>
      </w:r>
      <w:r w:rsidRPr="004622B8">
        <w:rPr>
          <w:rFonts w:ascii="Arial" w:hAnsi="Arial" w:cs="Arial"/>
          <w:szCs w:val="24"/>
        </w:rPr>
        <w:t xml:space="preserve">(NSW Government 2022a, p. 2 </w:t>
      </w:r>
      <w:r>
        <w:rPr>
          <w:rFonts w:ascii="Arial" w:hAnsi="Arial" w:cs="Arial"/>
          <w:szCs w:val="24"/>
        </w:rPr>
        <w:noBreakHyphen/>
      </w:r>
      <w:r w:rsidRPr="004622B8">
        <w:rPr>
          <w:rFonts w:ascii="Arial" w:hAnsi="Arial" w:cs="Arial"/>
          <w:szCs w:val="24"/>
        </w:rPr>
        <w:t xml:space="preserve"> 4)</w:t>
      </w:r>
      <w:r>
        <w:t>. The two</w:t>
      </w:r>
      <w:r>
        <w:noBreakHyphen/>
        <w:t>year trial commenced in 2023 as part of the broader Start Strong program (discussed in section E.3).</w:t>
      </w:r>
    </w:p>
    <w:p w14:paraId="5FA4D260" w14:textId="77777777" w:rsidR="005E1B35" w:rsidRDefault="005E1B35" w:rsidP="00882158">
      <w:pPr>
        <w:pStyle w:val="BodyText"/>
      </w:pPr>
      <w:r>
        <w:t>As part of the trial, eligible CBDC services receive funding on a per</w:t>
      </w:r>
      <w:r>
        <w:noBreakHyphen/>
        <w:t>child basis for children enrolled in three</w:t>
      </w:r>
      <w:r>
        <w:noBreakHyphen/>
        <w:t>year</w:t>
      </w:r>
      <w:r>
        <w:noBreakHyphen/>
        <w:t xml:space="preserve">old preschool </w:t>
      </w:r>
      <w:r w:rsidRPr="00D000D7">
        <w:rPr>
          <w:rFonts w:ascii="Arial" w:hAnsi="Arial" w:cs="Arial"/>
        </w:rPr>
        <w:t>(NSW DoE 2023e)</w:t>
      </w:r>
      <w:r>
        <w:t>. Services are eligible if they deliver a three</w:t>
      </w:r>
      <w:r>
        <w:noBreakHyphen/>
        <w:t>year</w:t>
      </w:r>
      <w:r>
        <w:noBreakHyphen/>
        <w:t xml:space="preserve">old preschool program </w:t>
      </w:r>
      <w:r w:rsidRPr="008F467C">
        <w:t xml:space="preserve">and </w:t>
      </w:r>
      <w:r>
        <w:t>meet the eligibility requirements under the broader</w:t>
      </w:r>
      <w:r w:rsidRPr="008F467C">
        <w:t xml:space="preserve"> Start Strong </w:t>
      </w:r>
      <w:r>
        <w:t xml:space="preserve">for Long Day Care </w:t>
      </w:r>
      <w:r w:rsidRPr="008F467C">
        <w:t>program.</w:t>
      </w:r>
    </w:p>
    <w:p w14:paraId="51279181" w14:textId="77777777" w:rsidR="005E1B35" w:rsidRDefault="005E1B35" w:rsidP="00882158">
      <w:pPr>
        <w:pStyle w:val="BodyText"/>
      </w:pPr>
      <w:r w:rsidDel="00C9304E">
        <w:t>In addition, the NSW Government has committed $64 million over two years to provide fee relief for families with children in three</w:t>
      </w:r>
      <w:r w:rsidDel="00C9304E">
        <w:noBreakHyphen/>
        <w:t>year</w:t>
      </w:r>
      <w:r w:rsidDel="00C9304E">
        <w:noBreakHyphen/>
        <w:t>old preschool as part of the 2023</w:t>
      </w:r>
      <w:r w:rsidDel="00C9304E">
        <w:noBreakHyphen/>
        <w:t xml:space="preserve">24 budget </w:t>
      </w:r>
      <w:r w:rsidRPr="00E053B2" w:rsidDel="00C9304E">
        <w:rPr>
          <w:rFonts w:ascii="Arial" w:hAnsi="Arial" w:cs="Arial"/>
          <w:szCs w:val="24"/>
        </w:rPr>
        <w:t>(NSW DoE 2023c)</w:t>
      </w:r>
      <w:r w:rsidDel="00C9304E">
        <w:t xml:space="preserve">. </w:t>
      </w:r>
      <w:r>
        <w:t>From 2024, f</w:t>
      </w:r>
      <w:r w:rsidDel="00C9304E">
        <w:t>amilies with children attending three</w:t>
      </w:r>
      <w:r w:rsidDel="00C9304E">
        <w:noBreakHyphen/>
        <w:t>year</w:t>
      </w:r>
      <w:r w:rsidDel="00C9304E">
        <w:noBreakHyphen/>
        <w:t>old preschool in CBDC services receive $500 of annual fee relief per child.</w:t>
      </w:r>
    </w:p>
    <w:p w14:paraId="7605D987" w14:textId="77777777" w:rsidR="005E1B35" w:rsidRDefault="005E1B35" w:rsidP="00882158">
      <w:pPr>
        <w:pStyle w:val="BodyText"/>
      </w:pPr>
      <w:r>
        <w:t>These changes build on the commitment announced in the 2018</w:t>
      </w:r>
      <w:r>
        <w:noBreakHyphen/>
        <w:t>19 NSW budget to provide funding for three</w:t>
      </w:r>
      <w:r>
        <w:noBreakHyphen/>
        <w:t>year</w:t>
      </w:r>
      <w:r>
        <w:noBreakHyphen/>
        <w:t xml:space="preserve">old preschool programs in community preschools, which was implemented from 2019 </w:t>
      </w:r>
      <w:r w:rsidRPr="00D000D7">
        <w:rPr>
          <w:rFonts w:ascii="Arial" w:hAnsi="Arial" w:cs="Arial"/>
        </w:rPr>
        <w:t>(NSW DoE 2023d)</w:t>
      </w:r>
      <w:r>
        <w:t>.</w:t>
      </w:r>
    </w:p>
    <w:p w14:paraId="5976FDD0" w14:textId="77777777" w:rsidR="005E1B35" w:rsidRPr="0002104A" w:rsidRDefault="005E1B35" w:rsidP="00882158">
      <w:pPr>
        <w:pStyle w:val="Heading3"/>
      </w:pPr>
      <w:r>
        <w:t>Victoria</w:t>
      </w:r>
    </w:p>
    <w:p w14:paraId="44F3F273" w14:textId="77777777" w:rsidR="005E1B35" w:rsidRDefault="005E1B35" w:rsidP="00882158">
      <w:r>
        <w:t>The Victorian Government has committed funding towards the Best Start, Best Life reform package, including expanding the provision of preschool across the state (Victorian Government Department of Education, sub. 146, p. 17). In addition to providing the Free Kinder program for three</w:t>
      </w:r>
      <w:r>
        <w:noBreakHyphen/>
        <w:t xml:space="preserve"> and four</w:t>
      </w:r>
      <w:r>
        <w:noBreakHyphen/>
        <w:t>year</w:t>
      </w:r>
      <w:r>
        <w:noBreakHyphen/>
        <w:t>old preschool at participating services from 2023 (discussed in section E.3), the Best Start, Best Life reform package includes:</w:t>
      </w:r>
    </w:p>
    <w:p w14:paraId="5DA8F01B" w14:textId="77777777" w:rsidR="005E1B35" w:rsidRDefault="005E1B35" w:rsidP="00882158">
      <w:pPr>
        <w:pStyle w:val="ListBullet"/>
      </w:pPr>
      <w:r>
        <w:t>transitioning four</w:t>
      </w:r>
      <w:r>
        <w:noBreakHyphen/>
        <w:t>year</w:t>
      </w:r>
      <w:r>
        <w:noBreakHyphen/>
        <w:t>old preschool to ‘Pre</w:t>
      </w:r>
      <w:r>
        <w:noBreakHyphen/>
        <w:t>Prep’ by 2036</w:t>
      </w:r>
    </w:p>
    <w:p w14:paraId="35101CD7" w14:textId="77777777" w:rsidR="005E1B35" w:rsidRDefault="005E1B35" w:rsidP="00882158">
      <w:pPr>
        <w:pStyle w:val="ListBullet"/>
      </w:pPr>
      <w:r>
        <w:t>rolling out three</w:t>
      </w:r>
      <w:r>
        <w:noBreakHyphen/>
        <w:t>year</w:t>
      </w:r>
      <w:r>
        <w:noBreakHyphen/>
        <w:t>old preschool across the state by 2029</w:t>
      </w:r>
    </w:p>
    <w:p w14:paraId="462F4690" w14:textId="77777777" w:rsidR="005E1B35" w:rsidRDefault="005E1B35" w:rsidP="00882158">
      <w:pPr>
        <w:pStyle w:val="ListBullet"/>
      </w:pPr>
      <w:r>
        <w:t>establishing government</w:t>
      </w:r>
      <w:r>
        <w:noBreakHyphen/>
        <w:t>owned and operated early learning centres</w:t>
      </w:r>
    </w:p>
    <w:p w14:paraId="1EB2CFB7" w14:textId="77777777" w:rsidR="005E1B35" w:rsidRDefault="005E1B35" w:rsidP="00882158">
      <w:pPr>
        <w:pStyle w:val="ListBullet"/>
      </w:pPr>
      <w:r>
        <w:t>funding other measures related to preschool infrastructure and workforce.</w:t>
      </w:r>
    </w:p>
    <w:p w14:paraId="4CD76B4F" w14:textId="77777777" w:rsidR="005E1B35" w:rsidRDefault="005E1B35" w:rsidP="00882158">
      <w:r>
        <w:t>As part of the 2024</w:t>
      </w:r>
      <w:r>
        <w:noBreakHyphen/>
        <w:t xml:space="preserve">25 state budget, the Victorian Government has committed additional </w:t>
      </w:r>
      <w:r w:rsidRPr="007D478E">
        <w:t>funding for</w:t>
      </w:r>
      <w:r>
        <w:t xml:space="preserve"> Free Kinder and to continue the statewide rollout of three</w:t>
      </w:r>
      <w:r>
        <w:noBreakHyphen/>
        <w:t>year</w:t>
      </w:r>
      <w:r>
        <w:noBreakHyphen/>
        <w:t xml:space="preserve">old preschool </w:t>
      </w:r>
      <w:r w:rsidRPr="00E154C8">
        <w:rPr>
          <w:rFonts w:ascii="Arial" w:hAnsi="Arial" w:cs="Arial"/>
        </w:rPr>
        <w:t>(Victorian Government 2024b, p. 9)</w:t>
      </w:r>
      <w:r>
        <w:t>.</w:t>
      </w:r>
    </w:p>
    <w:p w14:paraId="7F3C88A4" w14:textId="340D0965" w:rsidR="005E1B35" w:rsidRDefault="005E1B35" w:rsidP="00882158">
      <w:pPr>
        <w:pStyle w:val="Heading4"/>
      </w:pPr>
      <w:r>
        <w:lastRenderedPageBreak/>
        <w:t>Pre</w:t>
      </w:r>
      <w:r w:rsidR="00FE6366">
        <w:t>-</w:t>
      </w:r>
      <w:r>
        <w:t>prep</w:t>
      </w:r>
    </w:p>
    <w:p w14:paraId="5052FEB4" w14:textId="77777777" w:rsidR="005E1B35" w:rsidRDefault="005E1B35" w:rsidP="00882158">
      <w:pPr>
        <w:pStyle w:val="BodyText"/>
      </w:pPr>
      <w:r>
        <w:t>The Victorian Government has committed to introducing a universal 30 hours per week of play</w:t>
      </w:r>
      <w:r>
        <w:noBreakHyphen/>
        <w:t>based learning (Pre</w:t>
      </w:r>
      <w:r>
        <w:noBreakHyphen/>
        <w:t xml:space="preserve">Prep) in the YBFS </w:t>
      </w:r>
      <w:r w:rsidRPr="00AB1889">
        <w:rPr>
          <w:rFonts w:ascii="Arial" w:hAnsi="Arial" w:cs="Arial"/>
        </w:rPr>
        <w:t>(Victorian Government 2023b)</w:t>
      </w:r>
      <w:r>
        <w:t>. The program will be delivered through dedicated preschools and CBDC services and remain optional for children to participate in.</w:t>
      </w:r>
    </w:p>
    <w:p w14:paraId="1B021470" w14:textId="77777777" w:rsidR="005E1B35" w:rsidRPr="00983AA9" w:rsidRDefault="005E1B35" w:rsidP="00882158">
      <w:pPr>
        <w:pStyle w:val="BodyText"/>
      </w:pPr>
      <w:r>
        <w:t>Four</w:t>
      </w:r>
      <w:r>
        <w:noBreakHyphen/>
        <w:t>year</w:t>
      </w:r>
      <w:r>
        <w:noBreakHyphen/>
        <w:t>old preschool will begin transitioning to ‘Pre</w:t>
      </w:r>
      <w:r>
        <w:noBreakHyphen/>
        <w:t xml:space="preserve">Prep’ in stages from 2025. The rollout will initially prioritise preschool in parts of regional Victoria, followed by Aboriginal children and children experiencing vulnerability across the state and then children experiencing disadvantage across the state. The program will expand to all Victorian children by 2036 </w:t>
      </w:r>
      <w:r w:rsidRPr="00E154C8">
        <w:rPr>
          <w:rFonts w:ascii="Arial" w:hAnsi="Arial" w:cs="Arial"/>
        </w:rPr>
        <w:t>(Victorian Government 2024a)</w:t>
      </w:r>
      <w:r>
        <w:t>.</w:t>
      </w:r>
    </w:p>
    <w:p w14:paraId="39D6C662" w14:textId="22209ACB" w:rsidR="005E1B35" w:rsidRDefault="005E1B35" w:rsidP="00882158">
      <w:pPr>
        <w:pStyle w:val="Heading4"/>
      </w:pPr>
      <w:r>
        <w:t>Three</w:t>
      </w:r>
      <w:r w:rsidR="00E61D4F">
        <w:t>-</w:t>
      </w:r>
      <w:r>
        <w:t>year</w:t>
      </w:r>
      <w:r w:rsidR="00E61D4F">
        <w:t>-</w:t>
      </w:r>
      <w:r>
        <w:t>old preschool rollout</w:t>
      </w:r>
    </w:p>
    <w:p w14:paraId="7F857231" w14:textId="77777777" w:rsidR="005E1B35" w:rsidRDefault="005E1B35" w:rsidP="00882158">
      <w:pPr>
        <w:pStyle w:val="BodyText"/>
        <w:rPr>
          <w:color w:val="000000" w:themeColor="text1"/>
        </w:rPr>
      </w:pPr>
      <w:r>
        <w:t>The Victorian Government has committed to funding 15 hours per week of three</w:t>
      </w:r>
      <w:r>
        <w:noBreakHyphen/>
        <w:t>year</w:t>
      </w:r>
      <w:r>
        <w:noBreakHyphen/>
        <w:t xml:space="preserve">old preschool for children in dedicated preschools and CBDC services by 2029 </w:t>
      </w:r>
      <w:r w:rsidRPr="00AB1889">
        <w:rPr>
          <w:rFonts w:ascii="Arial" w:hAnsi="Arial" w:cs="Arial"/>
        </w:rPr>
        <w:t>(Victorian Government 2023b)</w:t>
      </w:r>
      <w:r>
        <w:t>. The program launched in 2019 and will be rolled out in stages over 10 years. In 2020, funding was provided to support 5</w:t>
      </w:r>
      <w:r>
        <w:noBreakHyphen/>
        <w:t>15 hours per week of three</w:t>
      </w:r>
      <w:r>
        <w:noBreakHyphen/>
        <w:t>year</w:t>
      </w:r>
      <w:r>
        <w:noBreakHyphen/>
        <w:t>old preschool in six regional local government areas, which was expanded to</w:t>
      </w:r>
      <w:r w:rsidRPr="00797AD7">
        <w:t xml:space="preserve"> </w:t>
      </w:r>
      <w:r>
        <w:t>21</w:t>
      </w:r>
      <w:r w:rsidRPr="00797AD7">
        <w:t xml:space="preserve"> </w:t>
      </w:r>
      <w:r>
        <w:t>local government</w:t>
      </w:r>
      <w:r w:rsidRPr="00797AD7">
        <w:t xml:space="preserve"> areas</w:t>
      </w:r>
      <w:r>
        <w:t xml:space="preserve"> in 2021 </w:t>
      </w:r>
      <w:r w:rsidRPr="001A5B20">
        <w:rPr>
          <w:rFonts w:ascii="Arial" w:hAnsi="Arial" w:cs="Arial"/>
          <w:szCs w:val="24"/>
        </w:rPr>
        <w:t>(Victorian Government 2022)</w:t>
      </w:r>
      <w:r>
        <w:t>. In 2022, services across the state received funding to deliver five hours per week of three</w:t>
      </w:r>
      <w:r>
        <w:noBreakHyphen/>
        <w:t>year</w:t>
      </w:r>
      <w:r>
        <w:noBreakHyphen/>
        <w:t>old preschool, before this was extended to 5</w:t>
      </w:r>
      <w:r>
        <w:noBreakHyphen/>
        <w:t>15 hours per week across the state in 2023</w:t>
      </w:r>
      <w:r w:rsidRPr="00133523">
        <w:rPr>
          <w:color w:val="000000" w:themeColor="text1"/>
        </w:rPr>
        <w:t>.</w:t>
      </w:r>
    </w:p>
    <w:p w14:paraId="3D7AC4C7" w14:textId="77777777" w:rsidR="005E1B35" w:rsidRDefault="005E1B35" w:rsidP="00882158">
      <w:pPr>
        <w:pStyle w:val="Heading4"/>
      </w:pPr>
      <w:r>
        <w:t>Other measures</w:t>
      </w:r>
    </w:p>
    <w:p w14:paraId="29DBCD40" w14:textId="77777777" w:rsidR="005E1B35" w:rsidRDefault="005E1B35" w:rsidP="00882158">
      <w:pPr>
        <w:pStyle w:val="BodyText"/>
      </w:pPr>
      <w:r>
        <w:t>Additional funding as part of the Best Start, Best Life reform package includes:</w:t>
      </w:r>
    </w:p>
    <w:p w14:paraId="705DEA9C" w14:textId="77777777" w:rsidR="005E1B35" w:rsidRDefault="005E1B35" w:rsidP="00882158">
      <w:pPr>
        <w:pStyle w:val="ListBullet"/>
      </w:pPr>
      <w:r>
        <w:t>establishing 50 government</w:t>
      </w:r>
      <w:r>
        <w:noBreakHyphen/>
        <w:t xml:space="preserve">owned and operated early learning centres in areas of greatest need, with the first 30 of these centres expected to be available in 2028 and an additional five opening every year until 2032 </w:t>
      </w:r>
      <w:r w:rsidRPr="00E154C8">
        <w:rPr>
          <w:rFonts w:ascii="Arial" w:hAnsi="Arial" w:cs="Arial"/>
        </w:rPr>
        <w:t>(Victorian Government 2024a)</w:t>
      </w:r>
    </w:p>
    <w:p w14:paraId="5DFE651F" w14:textId="77777777" w:rsidR="005E1B35" w:rsidRPr="00A53FE7" w:rsidRDefault="005E1B35" w:rsidP="00882158">
      <w:pPr>
        <w:pStyle w:val="ListBullet"/>
      </w:pPr>
      <w:r>
        <w:t xml:space="preserve">investing in preschool infrastructure and workforce, including grants to build, expand and maintain kindergarten services and scholarships, incentives, traineeships and career advancement programs for educators </w:t>
      </w:r>
      <w:r w:rsidRPr="00AB1889">
        <w:rPr>
          <w:rFonts w:ascii="Arial" w:hAnsi="Arial" w:cs="Arial"/>
        </w:rPr>
        <w:t>(Victorian Government 2023b)</w:t>
      </w:r>
      <w:r>
        <w:t>.</w:t>
      </w:r>
    </w:p>
    <w:p w14:paraId="037A393F" w14:textId="77777777" w:rsidR="005E1B35" w:rsidRDefault="005E1B35" w:rsidP="00882158">
      <w:pPr>
        <w:pStyle w:val="Heading3"/>
      </w:pPr>
      <w:r>
        <w:t>Queensland</w:t>
      </w:r>
    </w:p>
    <w:p w14:paraId="02F2D758" w14:textId="77777777" w:rsidR="005E1B35" w:rsidRDefault="005E1B35" w:rsidP="00882158">
      <w:pPr>
        <w:pStyle w:val="BodyText"/>
      </w:pPr>
      <w:r>
        <w:t>The Queensland Government introduced its Free Kindy program from 1 January 2024, which provides free four</w:t>
      </w:r>
      <w:r>
        <w:noBreakHyphen/>
        <w:t>year</w:t>
      </w:r>
      <w:r>
        <w:noBreakHyphen/>
        <w:t xml:space="preserve">old preschool for eligible children </w:t>
      </w:r>
      <w:r w:rsidRPr="00D000D7">
        <w:rPr>
          <w:rFonts w:ascii="Arial" w:hAnsi="Arial" w:cs="Arial"/>
        </w:rPr>
        <w:t>(Queensland DoE 2023)</w:t>
      </w:r>
      <w:r>
        <w:t xml:space="preserve"> (details discussed in section E.3)</w:t>
      </w:r>
      <w:r w:rsidRPr="00334D5B">
        <w:t>.</w:t>
      </w:r>
      <w:r>
        <w:t xml:space="preserve"> For preschool children in CBDC services, only the preschool component of their attendance will be free, comprising 15 hours per week, 40 weeks per year.</w:t>
      </w:r>
    </w:p>
    <w:p w14:paraId="393BF9F3" w14:textId="77777777" w:rsidR="005E1B35" w:rsidRDefault="005E1B35" w:rsidP="00882158">
      <w:pPr>
        <w:pStyle w:val="BodyText"/>
      </w:pPr>
      <w:r>
        <w:t>As part of the 2024</w:t>
      </w:r>
      <w:r>
        <w:noBreakHyphen/>
        <w:t>25 state budget, the Queensland Government committed $26.2 million to extend Free Kindy up to 30 hours per week for children in four</w:t>
      </w:r>
      <w:r>
        <w:noBreakHyphen/>
        <w:t>year</w:t>
      </w:r>
      <w:r>
        <w:noBreakHyphen/>
        <w:t xml:space="preserve">old preschool in certain communities </w:t>
      </w:r>
      <w:r w:rsidRPr="001F46C6">
        <w:rPr>
          <w:rFonts w:ascii="Arial" w:hAnsi="Arial" w:cs="Arial"/>
        </w:rPr>
        <w:t>(Queensland Government 2024, p. 42)</w:t>
      </w:r>
      <w:r>
        <w:t>.</w:t>
      </w:r>
    </w:p>
    <w:p w14:paraId="4CF0B4D9" w14:textId="77777777" w:rsidR="005E1B35" w:rsidRDefault="005E1B35" w:rsidP="00882158">
      <w:pPr>
        <w:pStyle w:val="Heading3"/>
      </w:pPr>
      <w:r w:rsidRPr="00970D0B">
        <w:t>South Australia</w:t>
      </w:r>
    </w:p>
    <w:p w14:paraId="4956C3F2" w14:textId="77777777" w:rsidR="005E1B35" w:rsidRDefault="005E1B35" w:rsidP="00882158">
      <w:pPr>
        <w:pStyle w:val="BodyText"/>
      </w:pPr>
      <w:r>
        <w:t>On 16 October 2022</w:t>
      </w:r>
      <w:r w:rsidRPr="00C659CB">
        <w:t>,</w:t>
      </w:r>
      <w:r>
        <w:t xml:space="preserve"> the South Australian Government established a Royal Commission into Early Childhood Education and Care. The Royal Commission was asked to consider a range of matters, including how universal quality preschool programs for three</w:t>
      </w:r>
      <w:r>
        <w:noBreakHyphen/>
        <w:t xml:space="preserve"> and four</w:t>
      </w:r>
      <w:r>
        <w:noBreakHyphen/>
        <w:t>year</w:t>
      </w:r>
      <w:r>
        <w:noBreakHyphen/>
        <w:t>old children can be delivered.</w:t>
      </w:r>
    </w:p>
    <w:p w14:paraId="20A7EFF6" w14:textId="77777777" w:rsidR="005E1B35" w:rsidRPr="006D5000" w:rsidRDefault="005E1B35" w:rsidP="00882158">
      <w:pPr>
        <w:pStyle w:val="BodyText"/>
        <w:rPr>
          <w:spacing w:val="-2"/>
        </w:rPr>
      </w:pPr>
      <w:r>
        <w:t xml:space="preserve">The Royal Commission’s final report was released in August 2023 and made 43 recommendations, including </w:t>
      </w:r>
      <w:r w:rsidRPr="006D5000">
        <w:rPr>
          <w:spacing w:val="-2"/>
        </w:rPr>
        <w:t>several recommendations and findings in relation to three</w:t>
      </w:r>
      <w:r w:rsidRPr="006D5000">
        <w:rPr>
          <w:spacing w:val="-2"/>
        </w:rPr>
        <w:noBreakHyphen/>
        <w:t xml:space="preserve"> and four</w:t>
      </w:r>
      <w:r w:rsidRPr="006D5000">
        <w:rPr>
          <w:spacing w:val="-2"/>
        </w:rPr>
        <w:noBreakHyphen/>
        <w:t>year</w:t>
      </w:r>
      <w:r w:rsidRPr="006D5000">
        <w:rPr>
          <w:spacing w:val="-2"/>
        </w:rPr>
        <w:noBreakHyphen/>
        <w:t xml:space="preserve">old preschool </w:t>
      </w:r>
      <w:r w:rsidRPr="006D5000">
        <w:rPr>
          <w:rFonts w:cs="Arial"/>
          <w:spacing w:val="-2"/>
        </w:rPr>
        <w:t>(SA Government 2023)</w:t>
      </w:r>
      <w:r w:rsidRPr="006D5000">
        <w:rPr>
          <w:spacing w:val="-2"/>
        </w:rPr>
        <w:t>.</w:t>
      </w:r>
    </w:p>
    <w:p w14:paraId="65AD6A0F" w14:textId="77777777" w:rsidR="005E1B35" w:rsidRDefault="005E1B35" w:rsidP="00882158">
      <w:pPr>
        <w:pStyle w:val="BodyText"/>
      </w:pPr>
      <w:r>
        <w:lastRenderedPageBreak/>
        <w:t>In response to the Royal Commission, the South Australian Government has made a range of commitments, including as part of the 2024</w:t>
      </w:r>
      <w:r>
        <w:noBreakHyphen/>
        <w:t>25 state budget. Key commitments are discussed below.</w:t>
      </w:r>
    </w:p>
    <w:p w14:paraId="48CABC68" w14:textId="6E27B8E0" w:rsidR="005E1B35" w:rsidRDefault="005E1B35" w:rsidP="00882158">
      <w:pPr>
        <w:pStyle w:val="Heading4"/>
      </w:pPr>
      <w:r>
        <w:t>Three</w:t>
      </w:r>
      <w:r w:rsidR="00E61D4F">
        <w:t>-</w:t>
      </w:r>
      <w:r>
        <w:t>year</w:t>
      </w:r>
      <w:r w:rsidR="00E61D4F">
        <w:t>-</w:t>
      </w:r>
      <w:r>
        <w:t>old preschool</w:t>
      </w:r>
    </w:p>
    <w:p w14:paraId="24AABE65" w14:textId="77777777" w:rsidR="005E1B35" w:rsidRDefault="005E1B35" w:rsidP="00882158">
      <w:pPr>
        <w:pStyle w:val="BodyText"/>
      </w:pPr>
      <w:r>
        <w:t>The South Australian Government has committed $339.7 million over five years to deliver universal three</w:t>
      </w:r>
      <w:r>
        <w:noBreakHyphen/>
        <w:t>year</w:t>
      </w:r>
      <w:r>
        <w:noBreakHyphen/>
        <w:t>old preschool – which will provide 15 hours per week of three</w:t>
      </w:r>
      <w:r>
        <w:noBreakHyphen/>
        <w:t>year</w:t>
      </w:r>
      <w:r>
        <w:noBreakHyphen/>
        <w:t xml:space="preserve">old preschool in CBDC and dedicated settings </w:t>
      </w:r>
      <w:r w:rsidRPr="005A22A2">
        <w:rPr>
          <w:rFonts w:ascii="Arial" w:hAnsi="Arial" w:cs="Arial"/>
        </w:rPr>
        <w:t>(SA Government 2024b, p. 11)</w:t>
      </w:r>
      <w:r>
        <w:t xml:space="preserve">. Participation and hours will increase progressively as part of a staged rollout which will commence in 2026 and be completed by 2032 </w:t>
      </w:r>
      <w:r w:rsidRPr="005A22A2">
        <w:rPr>
          <w:rFonts w:ascii="Arial" w:hAnsi="Arial" w:cs="Arial"/>
        </w:rPr>
        <w:t>(SA Government 2024b, p. 13)</w:t>
      </w:r>
      <w:r>
        <w:t>.</w:t>
      </w:r>
    </w:p>
    <w:p w14:paraId="4556EFA6" w14:textId="77777777" w:rsidR="005E1B35" w:rsidRDefault="005E1B35" w:rsidP="00882158">
      <w:pPr>
        <w:pStyle w:val="BodyText"/>
      </w:pPr>
      <w:r>
        <w:t>Investments to support this commitment will include:</w:t>
      </w:r>
    </w:p>
    <w:p w14:paraId="33348DAB" w14:textId="77777777" w:rsidR="005E1B35" w:rsidRDefault="005E1B35" w:rsidP="00882158">
      <w:pPr>
        <w:pStyle w:val="ListBullet"/>
      </w:pPr>
      <w:r>
        <w:t>upgrading and expanding capacity in government dedicated preschools to ensure readiness for three</w:t>
      </w:r>
      <w:r>
        <w:noBreakHyphen/>
        <w:t>year</w:t>
      </w:r>
      <w:r>
        <w:noBreakHyphen/>
        <w:t>old enrolments</w:t>
      </w:r>
    </w:p>
    <w:p w14:paraId="022BB536" w14:textId="77777777" w:rsidR="005E1B35" w:rsidRDefault="005E1B35" w:rsidP="00882158">
      <w:pPr>
        <w:pStyle w:val="ListBullet"/>
      </w:pPr>
      <w:r>
        <w:t>a grant program to incentivise non</w:t>
      </w:r>
      <w:r>
        <w:noBreakHyphen/>
        <w:t>government providers to create additional places</w:t>
      </w:r>
    </w:p>
    <w:p w14:paraId="61D39528" w14:textId="77777777" w:rsidR="005E1B35" w:rsidRDefault="005E1B35" w:rsidP="00882158">
      <w:pPr>
        <w:pStyle w:val="ListBullet"/>
      </w:pPr>
      <w:r>
        <w:t>integrated hubs to be co</w:t>
      </w:r>
      <w:r>
        <w:noBreakHyphen/>
        <w:t xml:space="preserve">designed with local communities </w:t>
      </w:r>
      <w:r w:rsidRPr="005A22A2">
        <w:rPr>
          <w:rFonts w:ascii="Arial" w:hAnsi="Arial" w:cs="Arial"/>
        </w:rPr>
        <w:t>(SA Government 2024b, p. 11)</w:t>
      </w:r>
      <w:r>
        <w:t>.</w:t>
      </w:r>
    </w:p>
    <w:p w14:paraId="0D0E16BF" w14:textId="77777777" w:rsidR="005E1B35" w:rsidRDefault="005E1B35" w:rsidP="00882158">
      <w:pPr>
        <w:pStyle w:val="Heading4"/>
      </w:pPr>
      <w:r>
        <w:t>Additional preschool hours for children at risk of developmental vulnerability</w:t>
      </w:r>
    </w:p>
    <w:p w14:paraId="708B677D" w14:textId="77777777" w:rsidR="005E1B35" w:rsidRDefault="005E1B35" w:rsidP="00882158">
      <w:pPr>
        <w:pStyle w:val="BodyText"/>
      </w:pPr>
      <w:r w:rsidRPr="00B04A12">
        <w:t xml:space="preserve">The South Australian Government has committed $127.3 million over four years to support increased preschool </w:t>
      </w:r>
      <w:r>
        <w:t>hours</w:t>
      </w:r>
      <w:r w:rsidRPr="00B04A12">
        <w:t xml:space="preserve"> for children at risk of developmental vulnerability </w:t>
      </w:r>
      <w:r w:rsidRPr="005A22A2">
        <w:rPr>
          <w:rFonts w:ascii="Arial" w:hAnsi="Arial" w:cs="Arial"/>
        </w:rPr>
        <w:t>(SA Government 2024b, p. 11)</w:t>
      </w:r>
      <w:r w:rsidRPr="00B04A12">
        <w:t>. Between 2026 and 2032, measures will be put in place so that up to 2,000 three</w:t>
      </w:r>
      <w:r w:rsidRPr="00B04A12">
        <w:noBreakHyphen/>
        <w:t xml:space="preserve"> and four</w:t>
      </w:r>
      <w:r w:rsidRPr="00B04A12">
        <w:noBreakHyphen/>
        <w:t>year</w:t>
      </w:r>
      <w:r w:rsidRPr="00B04A12">
        <w:noBreakHyphen/>
        <w:t>old children who are most at risk of development vulnerability can access up to 30 hours per week of preschool</w:t>
      </w:r>
      <w:r w:rsidRPr="007D478E">
        <w:t xml:space="preserve"> </w:t>
      </w:r>
      <w:r w:rsidRPr="00B04A12">
        <w:rPr>
          <w:rFonts w:ascii="Arial" w:hAnsi="Arial" w:cs="Arial"/>
        </w:rPr>
        <w:t>(SA Office for Early Childhood Development 2024)</w:t>
      </w:r>
      <w:r w:rsidRPr="00B04A12">
        <w:t>.</w:t>
      </w:r>
    </w:p>
    <w:p w14:paraId="2F0E18E7" w14:textId="77777777" w:rsidR="005E1B35" w:rsidRDefault="005E1B35" w:rsidP="00882158">
      <w:pPr>
        <w:pStyle w:val="Heading4"/>
      </w:pPr>
      <w:r>
        <w:t>Other measures</w:t>
      </w:r>
    </w:p>
    <w:p w14:paraId="4ADE1E60" w14:textId="77777777" w:rsidR="005E1B35" w:rsidRDefault="005E1B35" w:rsidP="00882158">
      <w:pPr>
        <w:pStyle w:val="BodyText"/>
      </w:pPr>
      <w:r>
        <w:t>Other commitments in response to the Royal Commission include:</w:t>
      </w:r>
    </w:p>
    <w:p w14:paraId="46401527" w14:textId="77777777" w:rsidR="005E1B35" w:rsidRDefault="005E1B35" w:rsidP="00882158">
      <w:pPr>
        <w:pStyle w:val="ListBullet"/>
      </w:pPr>
      <w:r w:rsidRPr="00EB23D2">
        <w:t>from 2024, expanding access to three</w:t>
      </w:r>
      <w:r>
        <w:noBreakHyphen/>
      </w:r>
      <w:r w:rsidRPr="00EB23D2">
        <w:t>year</w:t>
      </w:r>
      <w:r>
        <w:noBreakHyphen/>
      </w:r>
      <w:r w:rsidRPr="00EB23D2">
        <w:t>old preschool from 12 to 15 hours per week for Aboriginal and Torres Strait Islander children and children in care in government</w:t>
      </w:r>
      <w:r>
        <w:noBreakHyphen/>
      </w:r>
      <w:r w:rsidRPr="00EB23D2">
        <w:t>run dedicated preschools</w:t>
      </w:r>
    </w:p>
    <w:p w14:paraId="23784F90" w14:textId="77777777" w:rsidR="005E1B35" w:rsidRDefault="005E1B35" w:rsidP="00882158">
      <w:pPr>
        <w:pStyle w:val="ListBullet"/>
      </w:pPr>
      <w:r w:rsidRPr="00BC1948">
        <w:t>trialling out of hours care at 20 government</w:t>
      </w:r>
      <w:r w:rsidRPr="00BC1948">
        <w:noBreakHyphen/>
        <w:t>run preschools in 2024</w:t>
      </w:r>
      <w:r>
        <w:t xml:space="preserve"> </w:t>
      </w:r>
      <w:r w:rsidRPr="003B1A42">
        <w:rPr>
          <w:rFonts w:ascii="Arial" w:hAnsi="Arial" w:cs="Arial"/>
        </w:rPr>
        <w:t>(SA Department for Education 2024)</w:t>
      </w:r>
      <w:r w:rsidRPr="00BC1948">
        <w:t>.</w:t>
      </w:r>
    </w:p>
    <w:p w14:paraId="59910B59" w14:textId="77777777" w:rsidR="005E1B35" w:rsidRPr="00BC1948" w:rsidRDefault="005E1B35" w:rsidP="00882158">
      <w:pPr>
        <w:pStyle w:val="BodyText"/>
      </w:pPr>
      <w:r w:rsidRPr="00BC1948">
        <w:t>In addition, the South Australian Government will introduce a new preschool model for three</w:t>
      </w:r>
      <w:r>
        <w:noBreakHyphen/>
      </w:r>
      <w:r w:rsidRPr="00BC1948">
        <w:t xml:space="preserve"> and four</w:t>
      </w:r>
      <w:r>
        <w:noBreakHyphen/>
      </w:r>
      <w:r w:rsidRPr="00BC1948">
        <w:t>year</w:t>
      </w:r>
      <w:r>
        <w:noBreakHyphen/>
      </w:r>
      <w:r w:rsidRPr="00BC1948">
        <w:t>old children which will include:</w:t>
      </w:r>
    </w:p>
    <w:p w14:paraId="2C6D2C7A" w14:textId="77777777" w:rsidR="005E1B35" w:rsidRDefault="005E1B35" w:rsidP="00882158">
      <w:pPr>
        <w:pStyle w:val="ListBullet"/>
      </w:pPr>
      <w:r w:rsidRPr="00BC1948">
        <w:t>a teacher led quality preschool program</w:t>
      </w:r>
    </w:p>
    <w:p w14:paraId="7350014F" w14:textId="77777777" w:rsidR="005E1B35" w:rsidRDefault="005E1B35" w:rsidP="00882158">
      <w:pPr>
        <w:pStyle w:val="ListBullet"/>
      </w:pPr>
      <w:r w:rsidRPr="00BC1948">
        <w:t>support for allied health and other professionals</w:t>
      </w:r>
    </w:p>
    <w:p w14:paraId="5F4F2E5B" w14:textId="77777777" w:rsidR="005E1B35" w:rsidRDefault="005E1B35" w:rsidP="00882158">
      <w:pPr>
        <w:pStyle w:val="ListBullet"/>
      </w:pPr>
      <w:r w:rsidRPr="00BC1948">
        <w:t>early identification of child’s developmental needs on site, with organised pathways to interventions</w:t>
      </w:r>
    </w:p>
    <w:p w14:paraId="7BB2403B" w14:textId="77777777" w:rsidR="005E1B35" w:rsidRDefault="005E1B35" w:rsidP="00882158">
      <w:pPr>
        <w:pStyle w:val="ListBullet"/>
      </w:pPr>
      <w:r w:rsidRPr="00BC1948">
        <w:t>organised family and community support for those who need it</w:t>
      </w:r>
      <w:r>
        <w:t xml:space="preserve"> </w:t>
      </w:r>
      <w:r w:rsidRPr="005A22A2">
        <w:rPr>
          <w:rFonts w:ascii="Arial" w:hAnsi="Arial" w:cs="Arial"/>
        </w:rPr>
        <w:t>(SA Government 2024a)</w:t>
      </w:r>
      <w:r>
        <w:t>.</w:t>
      </w:r>
    </w:p>
    <w:p w14:paraId="00571C36" w14:textId="77777777" w:rsidR="005E1B35" w:rsidRDefault="005E1B35" w:rsidP="00882158">
      <w:pPr>
        <w:pStyle w:val="Heading3"/>
      </w:pPr>
      <w:r>
        <w:t>Tasmania</w:t>
      </w:r>
    </w:p>
    <w:p w14:paraId="28E1F200" w14:textId="77777777" w:rsidR="005E1B35" w:rsidRDefault="005E1B35" w:rsidP="00882158">
      <w:pPr>
        <w:pStyle w:val="BodyText"/>
      </w:pPr>
      <w:r>
        <w:t>In August 2022, the Tasmanian Government announced its intention to provide universal access to early learning for three</w:t>
      </w:r>
      <w:r>
        <w:noBreakHyphen/>
        <w:t>year</w:t>
      </w:r>
      <w:r>
        <w:noBreakHyphen/>
        <w:t xml:space="preserve">old children in the year before preschool </w:t>
      </w:r>
      <w:r w:rsidRPr="00FA6175">
        <w:t>(</w:t>
      </w:r>
      <w:r>
        <w:t xml:space="preserve">Tasmanian </w:t>
      </w:r>
      <w:r w:rsidRPr="00FA6175">
        <w:t>Department for Education, Children and Young People, sub.</w:t>
      </w:r>
      <w:r>
        <w:t> </w:t>
      </w:r>
      <w:r w:rsidRPr="00FA6175">
        <w:t>159</w:t>
      </w:r>
      <w:r>
        <w:t>, p. 6</w:t>
      </w:r>
      <w:r w:rsidRPr="00FA6175">
        <w:t>)</w:t>
      </w:r>
      <w:r>
        <w:t>.</w:t>
      </w:r>
    </w:p>
    <w:p w14:paraId="7F0DAE2F" w14:textId="77777777" w:rsidR="005E1B35" w:rsidRPr="00972BC7" w:rsidRDefault="005E1B35" w:rsidP="00882158">
      <w:pPr>
        <w:pStyle w:val="BodyText"/>
      </w:pPr>
      <w:r>
        <w:t>To deliver the first stage of this long</w:t>
      </w:r>
      <w:r>
        <w:noBreakHyphen/>
        <w:t>term goal, the 2023</w:t>
      </w:r>
      <w:r>
        <w:noBreakHyphen/>
        <w:t>24 state budget provided $6.04 million over four years to establish trial sites for delivery of three</w:t>
      </w:r>
      <w:r>
        <w:noBreakHyphen/>
        <w:t>year</w:t>
      </w:r>
      <w:r>
        <w:noBreakHyphen/>
        <w:t xml:space="preserve">old preschool </w:t>
      </w:r>
      <w:r w:rsidRPr="00FA6175">
        <w:t>(</w:t>
      </w:r>
      <w:r>
        <w:t xml:space="preserve">Tasmanian </w:t>
      </w:r>
      <w:r w:rsidRPr="00FA6175">
        <w:t>Department for Education, Children and Young People, sub.</w:t>
      </w:r>
      <w:r>
        <w:t> </w:t>
      </w:r>
      <w:r w:rsidRPr="00FA6175">
        <w:t>159</w:t>
      </w:r>
      <w:r>
        <w:t>, p. 6</w:t>
      </w:r>
      <w:r w:rsidRPr="00FA6175">
        <w:t>)</w:t>
      </w:r>
      <w:r>
        <w:t>. Trial sites commenced service delivery from 2024, with ECEC services as the preferred provider. Findings of the trials will inform the approach to broader implementation of universal access to preschool for three</w:t>
      </w:r>
      <w:r>
        <w:noBreakHyphen/>
        <w:t>year</w:t>
      </w:r>
      <w:r>
        <w:noBreakHyphen/>
        <w:t>old children in the future.</w:t>
      </w:r>
    </w:p>
    <w:p w14:paraId="4AE0348A" w14:textId="77777777" w:rsidR="005E1B35" w:rsidRDefault="005E1B35" w:rsidP="00882158">
      <w:pPr>
        <w:pStyle w:val="Heading3"/>
      </w:pPr>
      <w:r>
        <w:lastRenderedPageBreak/>
        <w:t>Australian Capital Territory</w:t>
      </w:r>
    </w:p>
    <w:p w14:paraId="164C6887" w14:textId="77777777" w:rsidR="005E1B35" w:rsidRDefault="005E1B35" w:rsidP="00882158">
      <w:pPr>
        <w:pStyle w:val="BodyText"/>
        <w:rPr>
          <w:rFonts w:ascii="Arial (Body)" w:hAnsi="Arial (Body)"/>
          <w:color w:val="000000"/>
          <w:szCs w:val="22"/>
        </w:rPr>
      </w:pPr>
      <w:r>
        <w:rPr>
          <w:rFonts w:ascii="Arial (Body)" w:hAnsi="Arial (Body)"/>
          <w:color w:val="000000"/>
          <w:szCs w:val="22"/>
        </w:rPr>
        <w:t xml:space="preserve">The </w:t>
      </w:r>
      <w:r w:rsidRPr="002F78F5">
        <w:rPr>
          <w:rFonts w:ascii="Arial (Body)" w:hAnsi="Arial (Body)"/>
          <w:color w:val="000000"/>
          <w:szCs w:val="22"/>
        </w:rPr>
        <w:t>ACT Government</w:t>
      </w:r>
      <w:r>
        <w:rPr>
          <w:rFonts w:ascii="Arial (Body)" w:hAnsi="Arial (Body)"/>
          <w:color w:val="000000"/>
          <w:szCs w:val="22"/>
        </w:rPr>
        <w:t xml:space="preserve"> launched </w:t>
      </w:r>
      <w:r w:rsidRPr="00710E89">
        <w:rPr>
          <w:rFonts w:ascii="Arial (Body)" w:hAnsi="Arial (Body)"/>
          <w:i/>
          <w:color w:val="000000"/>
          <w:szCs w:val="22"/>
        </w:rPr>
        <w:t>Set up for Success: An Early Childhood Strategy for the ACT</w:t>
      </w:r>
      <w:r w:rsidRPr="002F78F5">
        <w:rPr>
          <w:rFonts w:ascii="Arial (Body)" w:hAnsi="Arial (Body)"/>
          <w:color w:val="000000"/>
          <w:szCs w:val="22"/>
        </w:rPr>
        <w:t xml:space="preserve"> </w:t>
      </w:r>
      <w:r>
        <w:rPr>
          <w:rFonts w:ascii="Arial (Body)" w:hAnsi="Arial (Body)"/>
          <w:color w:val="000000"/>
          <w:szCs w:val="22"/>
        </w:rPr>
        <w:t>in 2020, a 10</w:t>
      </w:r>
      <w:r>
        <w:rPr>
          <w:rFonts w:ascii="Arial (Body)" w:hAnsi="Arial (Body)"/>
          <w:color w:val="000000"/>
          <w:szCs w:val="22"/>
        </w:rPr>
        <w:noBreakHyphen/>
        <w:t>year plan for ECEC reforms in the territory. As part of this initiative, the ACT Government aims to provide</w:t>
      </w:r>
      <w:r w:rsidRPr="002F78F5">
        <w:rPr>
          <w:rFonts w:ascii="Arial (Body)" w:hAnsi="Arial (Body)"/>
          <w:color w:val="000000"/>
          <w:szCs w:val="22"/>
        </w:rPr>
        <w:t xml:space="preserve"> </w:t>
      </w:r>
      <w:r>
        <w:rPr>
          <w:rFonts w:ascii="Arial (Body)" w:hAnsi="Arial (Body)"/>
          <w:color w:val="000000"/>
          <w:szCs w:val="22"/>
        </w:rPr>
        <w:t>600 hours per year</w:t>
      </w:r>
      <w:r w:rsidRPr="002F78F5">
        <w:rPr>
          <w:rFonts w:ascii="Arial (Body)" w:hAnsi="Arial (Body)"/>
          <w:color w:val="000000"/>
          <w:szCs w:val="22"/>
        </w:rPr>
        <w:t xml:space="preserve"> of free </w:t>
      </w:r>
      <w:r>
        <w:rPr>
          <w:rFonts w:ascii="Arial (Body)" w:hAnsi="Arial (Body)"/>
          <w:color w:val="000000"/>
          <w:szCs w:val="22"/>
        </w:rPr>
        <w:t>preschool</w:t>
      </w:r>
      <w:r w:rsidRPr="002F78F5">
        <w:rPr>
          <w:rFonts w:ascii="Arial (Body)" w:hAnsi="Arial (Body)"/>
          <w:color w:val="000000"/>
          <w:szCs w:val="22"/>
        </w:rPr>
        <w:t xml:space="preserve"> for all three</w:t>
      </w:r>
      <w:r>
        <w:rPr>
          <w:rFonts w:ascii="Arial (Body)" w:hAnsi="Arial (Body)"/>
          <w:color w:val="000000"/>
          <w:szCs w:val="22"/>
        </w:rPr>
        <w:noBreakHyphen/>
      </w:r>
      <w:r w:rsidRPr="002F78F5">
        <w:rPr>
          <w:rFonts w:ascii="Arial (Body)" w:hAnsi="Arial (Body)"/>
          <w:color w:val="000000"/>
          <w:szCs w:val="22"/>
        </w:rPr>
        <w:t>year</w:t>
      </w:r>
      <w:r>
        <w:rPr>
          <w:rFonts w:ascii="Arial (Body)" w:hAnsi="Arial (Body)"/>
          <w:color w:val="000000"/>
          <w:szCs w:val="22"/>
        </w:rPr>
        <w:noBreakHyphen/>
      </w:r>
      <w:r w:rsidRPr="002F78F5">
        <w:rPr>
          <w:rFonts w:ascii="Arial (Body)" w:hAnsi="Arial (Body)"/>
          <w:color w:val="000000"/>
          <w:szCs w:val="22"/>
        </w:rPr>
        <w:t>old children</w:t>
      </w:r>
      <w:r>
        <w:rPr>
          <w:rFonts w:ascii="Arial (Body)" w:hAnsi="Arial (Body)"/>
          <w:color w:val="000000"/>
          <w:szCs w:val="22"/>
        </w:rPr>
        <w:t xml:space="preserve"> in the Australian Capital Territory</w:t>
      </w:r>
      <w:r w:rsidRPr="002F78F5">
        <w:rPr>
          <w:rFonts w:ascii="Arial (Body)" w:hAnsi="Arial (Body)"/>
          <w:color w:val="000000"/>
          <w:szCs w:val="22"/>
        </w:rPr>
        <w:t>.</w:t>
      </w:r>
    </w:p>
    <w:p w14:paraId="0C52C715" w14:textId="77777777" w:rsidR="005E1B35" w:rsidRDefault="005E1B35" w:rsidP="00882158">
      <w:pPr>
        <w:pStyle w:val="BodyText"/>
        <w:rPr>
          <w:rFonts w:ascii="Arial (Body)" w:hAnsi="Arial (Body)"/>
          <w:color w:val="000000"/>
          <w:szCs w:val="22"/>
        </w:rPr>
      </w:pPr>
      <w:r w:rsidRPr="002D1353">
        <w:rPr>
          <w:rFonts w:ascii="Arial (Body)" w:hAnsi="Arial (Body)"/>
          <w:color w:val="000000"/>
          <w:szCs w:val="22"/>
        </w:rPr>
        <w:t xml:space="preserve">As part of the first phase, </w:t>
      </w:r>
      <w:r>
        <w:rPr>
          <w:rFonts w:ascii="Arial (Body)" w:hAnsi="Arial (Body)"/>
          <w:color w:val="000000"/>
          <w:szCs w:val="22"/>
        </w:rPr>
        <w:t>two days per week of free preschool is available for certain cohorts of children in three</w:t>
      </w:r>
      <w:r>
        <w:rPr>
          <w:rFonts w:ascii="Arial (Body)" w:hAnsi="Arial (Body)"/>
          <w:color w:val="000000"/>
          <w:szCs w:val="22"/>
        </w:rPr>
        <w:noBreakHyphen/>
        <w:t>year</w:t>
      </w:r>
      <w:r>
        <w:rPr>
          <w:rFonts w:ascii="Arial (Body)" w:hAnsi="Arial (Body)"/>
          <w:color w:val="000000"/>
          <w:szCs w:val="22"/>
        </w:rPr>
        <w:noBreakHyphen/>
        <w:t xml:space="preserve">old preschool in participating services </w:t>
      </w:r>
      <w:r w:rsidRPr="006000FA">
        <w:rPr>
          <w:rFonts w:ascii="Arial (Body)" w:hAnsi="Arial (Body)" w:cs="Times New Roman"/>
        </w:rPr>
        <w:t>(ACT Education Directorate 2024a)</w:t>
      </w:r>
      <w:r>
        <w:rPr>
          <w:rFonts w:ascii="Arial (Body)" w:hAnsi="Arial (Body)"/>
          <w:color w:val="000000"/>
          <w:szCs w:val="22"/>
        </w:rPr>
        <w:t xml:space="preserve">. Up to 500 places </w:t>
      </w:r>
      <w:r w:rsidDel="00120AF6">
        <w:rPr>
          <w:rFonts w:ascii="Arial (Body)" w:hAnsi="Arial (Body)"/>
          <w:color w:val="000000"/>
          <w:szCs w:val="22"/>
        </w:rPr>
        <w:t xml:space="preserve">are </w:t>
      </w:r>
      <w:r>
        <w:rPr>
          <w:rFonts w:ascii="Arial (Body)" w:hAnsi="Arial (Body)"/>
          <w:color w:val="000000"/>
          <w:szCs w:val="22"/>
        </w:rPr>
        <w:t xml:space="preserve">available for </w:t>
      </w:r>
      <w:r w:rsidRPr="002F78F5">
        <w:rPr>
          <w:rFonts w:ascii="Arial (Body)" w:hAnsi="Arial (Body)"/>
          <w:color w:val="000000"/>
          <w:szCs w:val="22"/>
        </w:rPr>
        <w:t xml:space="preserve">children experiencing vulnerability </w:t>
      </w:r>
      <w:r>
        <w:rPr>
          <w:rFonts w:ascii="Arial (Body)" w:hAnsi="Arial (Body)"/>
          <w:color w:val="000000"/>
          <w:szCs w:val="22"/>
        </w:rPr>
        <w:t xml:space="preserve">and </w:t>
      </w:r>
      <w:r w:rsidRPr="002F78F5">
        <w:rPr>
          <w:rFonts w:ascii="Arial (Body)" w:hAnsi="Arial (Body)"/>
          <w:color w:val="000000"/>
          <w:szCs w:val="22"/>
        </w:rPr>
        <w:t>disadvantage</w:t>
      </w:r>
      <w:r>
        <w:rPr>
          <w:rFonts w:ascii="Arial (Body)" w:hAnsi="Arial (Body)"/>
          <w:color w:val="000000"/>
          <w:szCs w:val="22"/>
        </w:rPr>
        <w:t xml:space="preserve"> in participating education and care services and up to 100</w:t>
      </w:r>
      <w:r>
        <w:rPr>
          <w:rFonts w:ascii="Arial (Body)" w:hAnsi="Arial (Body)" w:hint="eastAsia"/>
          <w:color w:val="000000"/>
          <w:szCs w:val="22"/>
        </w:rPr>
        <w:t> </w:t>
      </w:r>
      <w:r>
        <w:rPr>
          <w:rFonts w:ascii="Arial (Body)" w:hAnsi="Arial (Body)"/>
          <w:color w:val="000000"/>
          <w:szCs w:val="22"/>
        </w:rPr>
        <w:t xml:space="preserve">places are available for </w:t>
      </w:r>
      <w:r w:rsidRPr="002F78F5">
        <w:rPr>
          <w:rFonts w:ascii="Arial (Body)" w:hAnsi="Arial (Body)"/>
          <w:color w:val="000000"/>
          <w:szCs w:val="22"/>
        </w:rPr>
        <w:t>Aboriginal and Torres Strait Islander</w:t>
      </w:r>
      <w:r>
        <w:rPr>
          <w:rFonts w:ascii="Arial (Body)" w:hAnsi="Arial (Body)"/>
          <w:color w:val="000000"/>
          <w:szCs w:val="22"/>
        </w:rPr>
        <w:t xml:space="preserve"> children in government</w:t>
      </w:r>
      <w:r>
        <w:rPr>
          <w:rFonts w:ascii="Arial (Body)" w:hAnsi="Arial (Body)"/>
          <w:color w:val="000000"/>
          <w:szCs w:val="22"/>
        </w:rPr>
        <w:noBreakHyphen/>
        <w:t>run Koori Preschools.</w:t>
      </w:r>
    </w:p>
    <w:p w14:paraId="5EAC2168" w14:textId="77777777" w:rsidR="005E1B35" w:rsidRDefault="005E1B35" w:rsidP="00882158">
      <w:pPr>
        <w:pStyle w:val="BodyText"/>
        <w:rPr>
          <w:rFonts w:ascii="Arial (Body)" w:hAnsi="Arial (Body)"/>
          <w:color w:val="000000"/>
          <w:szCs w:val="22"/>
        </w:rPr>
      </w:pPr>
      <w:r>
        <w:rPr>
          <w:rFonts w:ascii="Arial (Body)" w:hAnsi="Arial (Body)"/>
          <w:color w:val="000000"/>
          <w:szCs w:val="22"/>
        </w:rPr>
        <w:t>In addition, the 2023</w:t>
      </w:r>
      <w:r>
        <w:rPr>
          <w:rFonts w:ascii="Arial (Body)" w:hAnsi="Arial (Body)"/>
          <w:color w:val="000000"/>
          <w:szCs w:val="22"/>
        </w:rPr>
        <w:noBreakHyphen/>
        <w:t>24 budget provided $56.1 million over four years to fund three</w:t>
      </w:r>
      <w:r>
        <w:rPr>
          <w:rFonts w:ascii="Arial (Body)" w:hAnsi="Arial (Body)"/>
          <w:color w:val="000000"/>
          <w:szCs w:val="22"/>
        </w:rPr>
        <w:noBreakHyphen/>
        <w:t>year</w:t>
      </w:r>
      <w:r>
        <w:rPr>
          <w:rFonts w:ascii="Arial (Body)" w:hAnsi="Arial (Body)"/>
          <w:color w:val="000000"/>
          <w:szCs w:val="22"/>
        </w:rPr>
        <w:noBreakHyphen/>
        <w:t xml:space="preserve">old preschool across the territory from 2024 </w:t>
      </w:r>
      <w:r w:rsidRPr="00550415">
        <w:rPr>
          <w:rFonts w:ascii="Arial (Body)" w:hAnsi="Arial (Body)" w:cs="Times New Roman"/>
        </w:rPr>
        <w:t>(ACT Government 2023, p. 61)</w:t>
      </w:r>
      <w:r>
        <w:rPr>
          <w:rFonts w:ascii="Arial (Body)" w:hAnsi="Arial (Body)"/>
          <w:color w:val="000000"/>
          <w:szCs w:val="22"/>
        </w:rPr>
        <w:t>, with children able to access 300 hours of free three</w:t>
      </w:r>
      <w:r>
        <w:rPr>
          <w:rFonts w:ascii="Arial (Body)" w:hAnsi="Arial (Body)"/>
          <w:color w:val="000000"/>
          <w:szCs w:val="22"/>
        </w:rPr>
        <w:noBreakHyphen/>
        <w:t xml:space="preserve">year old preschool per year or one day per week over 40 weeks </w:t>
      </w:r>
      <w:r w:rsidRPr="00AB1F52">
        <w:rPr>
          <w:rFonts w:ascii="Arial (Body)" w:hAnsi="Arial (Body)" w:cs="Times New Roman"/>
        </w:rPr>
        <w:t>(ACT Education Directorate 2023a)</w:t>
      </w:r>
      <w:r w:rsidRPr="00322E51">
        <w:rPr>
          <w:rFonts w:ascii="Arial (Body)" w:hAnsi="Arial (Body)"/>
          <w:szCs w:val="22"/>
        </w:rPr>
        <w:t xml:space="preserve"> </w:t>
      </w:r>
      <w:r>
        <w:rPr>
          <w:rFonts w:ascii="Arial (Body)" w:hAnsi="Arial (Body)"/>
          <w:color w:val="000000"/>
          <w:szCs w:val="22"/>
        </w:rPr>
        <w:t>(details discussed in section E.3).</w:t>
      </w:r>
    </w:p>
    <w:p w14:paraId="0C8A7624" w14:textId="77777777" w:rsidR="005E1B35" w:rsidRDefault="005E1B35" w:rsidP="00882158">
      <w:pPr>
        <w:pStyle w:val="Heading3"/>
      </w:pPr>
      <w:r>
        <w:t>Northern Territory</w:t>
      </w:r>
    </w:p>
    <w:p w14:paraId="36E2F103" w14:textId="77777777" w:rsidR="005E1B35" w:rsidRDefault="005E1B35" w:rsidP="00882158">
      <w:pPr>
        <w:pStyle w:val="BodyText"/>
      </w:pPr>
      <w:r>
        <w:t xml:space="preserve">The Northern Territory Department of Education commissioned a review of preschool as part of the broader early childhood system in the Northern Territory </w:t>
      </w:r>
      <w:r w:rsidRPr="00222734">
        <w:rPr>
          <w:rFonts w:ascii="Arial" w:hAnsi="Arial" w:cs="Arial"/>
          <w:szCs w:val="24"/>
        </w:rPr>
        <w:t>(Nous Group 2023)</w:t>
      </w:r>
      <w:r>
        <w:t>. The review, which began in October 2022, considered various matters, including effective preschool delivery models for the Northern Territory and measures to expand access, simplify funding and support providers. The final report was due to be delivered to the Northern Territory Government in June 2023. Findings of the review are intended to shape the future of preschool delivery in the Northern Territory.</w:t>
      </w:r>
    </w:p>
    <w:p w14:paraId="5C845381" w14:textId="68F12A81" w:rsidR="003C7EED" w:rsidRDefault="005E1B35" w:rsidP="003C7EED">
      <w:pPr>
        <w:pStyle w:val="BodyText"/>
      </w:pPr>
      <w:r>
        <w:rPr>
          <w:rFonts w:ascii="Arial (Body)" w:hAnsi="Arial (Body)"/>
          <w:color w:val="000000"/>
          <w:szCs w:val="22"/>
        </w:rPr>
        <w:t>In addition, as at 2022, six Northern Territory government schools were participating in a trial of three</w:t>
      </w:r>
      <w:r>
        <w:rPr>
          <w:rFonts w:ascii="Arial (Body)" w:hAnsi="Arial (Body)"/>
          <w:color w:val="000000"/>
          <w:szCs w:val="22"/>
        </w:rPr>
        <w:noBreakHyphen/>
        <w:t>year</w:t>
      </w:r>
      <w:r>
        <w:rPr>
          <w:rFonts w:ascii="Arial (Body)" w:hAnsi="Arial (Body)"/>
          <w:color w:val="000000"/>
          <w:szCs w:val="22"/>
        </w:rPr>
        <w:noBreakHyphen/>
        <w:t xml:space="preserve">old preschool </w:t>
      </w:r>
      <w:r w:rsidRPr="00710E89">
        <w:rPr>
          <w:rFonts w:ascii="Arial (Body)" w:hAnsi="Arial (Body)" w:cs="Times New Roman"/>
          <w:szCs w:val="24"/>
        </w:rPr>
        <w:t>(Gunner 2022)</w:t>
      </w:r>
      <w:r>
        <w:rPr>
          <w:rFonts w:ascii="Arial (Body)" w:hAnsi="Arial (Body)"/>
          <w:color w:val="000000"/>
          <w:szCs w:val="22"/>
        </w:rPr>
        <w:t>. The trial complements existing policies in the Northern Territory that enable three</w:t>
      </w:r>
      <w:r>
        <w:rPr>
          <w:rFonts w:ascii="Arial (Body)" w:hAnsi="Arial (Body)"/>
          <w:color w:val="000000"/>
          <w:szCs w:val="22"/>
        </w:rPr>
        <w:noBreakHyphen/>
        <w:t>year</w:t>
      </w:r>
      <w:r>
        <w:rPr>
          <w:rFonts w:ascii="Arial (Body)" w:hAnsi="Arial (Body)"/>
          <w:color w:val="000000"/>
          <w:szCs w:val="22"/>
        </w:rPr>
        <w:noBreakHyphen/>
        <w:t xml:space="preserve">old children in very remote areas to access preschool in government schools (as discussed in section E.3). </w:t>
      </w:r>
      <w:r>
        <w:br w:type="page"/>
      </w:r>
    </w:p>
    <w:p w14:paraId="2435CD5F" w14:textId="439F9783" w:rsidR="005E1B35" w:rsidRPr="003C7EED" w:rsidRDefault="005E1B35" w:rsidP="003C7EED">
      <w:pPr>
        <w:pStyle w:val="Heading2-nonumber"/>
      </w:pPr>
      <w:bookmarkStart w:id="36" w:name="_Toc172213588"/>
      <w:r w:rsidRPr="003C7EED">
        <w:lastRenderedPageBreak/>
        <w:t>References</w:t>
      </w:r>
      <w:bookmarkEnd w:id="36"/>
    </w:p>
    <w:p w14:paraId="3F147952" w14:textId="77777777" w:rsidR="005E1B35" w:rsidRDefault="005E1B35" w:rsidP="00882158">
      <w:pPr>
        <w:pStyle w:val="Reference"/>
        <w:sectPr w:rsidR="005E1B35" w:rsidSect="00C60428">
          <w:headerReference w:type="default" r:id="rId78"/>
          <w:footnotePr>
            <w:numRestart w:val="eachSect"/>
          </w:footnotePr>
          <w:type w:val="oddPage"/>
          <w:pgSz w:w="11906" w:h="16838" w:code="9"/>
          <w:pgMar w:top="1134" w:right="1134" w:bottom="1134" w:left="1134" w:header="794" w:footer="510" w:gutter="0"/>
          <w:cols w:space="708"/>
          <w:docGrid w:linePitch="360"/>
        </w:sectPr>
      </w:pPr>
    </w:p>
    <w:p w14:paraId="0F7F2764" w14:textId="320D87FF" w:rsidR="005E1B35" w:rsidRDefault="005E1B35" w:rsidP="00882158">
      <w:pPr>
        <w:pStyle w:val="Reference"/>
      </w:pPr>
      <w:r>
        <w:t xml:space="preserve">ABS (Australian Bureau of Statistics) 2024a, </w:t>
      </w:r>
      <w:r>
        <w:rPr>
          <w:i/>
          <w:iCs/>
        </w:rPr>
        <w:t>Preschool education, 2023</w:t>
      </w:r>
      <w:r>
        <w:t>, https://www.abs.gov.au/statistics/</w:t>
      </w:r>
      <w:r w:rsidR="00560D7A">
        <w:br/>
      </w:r>
      <w:r>
        <w:t>people/education/preschool-education/latest-release (accessed 5 April 2024).</w:t>
      </w:r>
    </w:p>
    <w:p w14:paraId="1C16F0AF" w14:textId="2734FD5C" w:rsidR="005E1B35" w:rsidRDefault="005E1B35" w:rsidP="00882158">
      <w:pPr>
        <w:pStyle w:val="Reference"/>
      </w:pPr>
      <w:r>
        <w:t>——</w:t>
      </w:r>
      <w:r w:rsidR="00A4275B">
        <w:t> </w:t>
      </w:r>
      <w:r>
        <w:t xml:space="preserve">2024b, </w:t>
      </w:r>
      <w:r>
        <w:rPr>
          <w:i/>
          <w:iCs/>
        </w:rPr>
        <w:t>Preschool education methodology, 2023 | Australian Bureau of Statistics</w:t>
      </w:r>
      <w:r>
        <w:t>, https://www.abs.gov.au/</w:t>
      </w:r>
      <w:r w:rsidR="00560D7A">
        <w:br/>
      </w:r>
      <w:r>
        <w:t>methodologies/preschool-education-methodology/2023 (accessed 6 May 2024).</w:t>
      </w:r>
    </w:p>
    <w:p w14:paraId="371C3CBF" w14:textId="36E87555" w:rsidR="005E1B35" w:rsidRDefault="005E1B35" w:rsidP="00882158">
      <w:pPr>
        <w:pStyle w:val="Reference"/>
      </w:pPr>
      <w:r>
        <w:t xml:space="preserve">ACECQA (Australian Children’s Education and Care Quality Authority) 2023, </w:t>
      </w:r>
      <w:r>
        <w:rPr>
          <w:i/>
          <w:iCs/>
        </w:rPr>
        <w:t>Qualifications for centre-based services with children preschool age or under</w:t>
      </w:r>
      <w:r>
        <w:t>, https://www.acecqa.gov.au/</w:t>
      </w:r>
      <w:r w:rsidR="00560D7A">
        <w:br/>
      </w:r>
      <w:r>
        <w:t>qualifications/requirements/children-preschool-age-or-under (accessed 7 November 2023).</w:t>
      </w:r>
    </w:p>
    <w:p w14:paraId="515336B0" w14:textId="13579289" w:rsidR="005E1B35" w:rsidRPr="00560D7A" w:rsidRDefault="005E1B35" w:rsidP="00882158">
      <w:pPr>
        <w:pStyle w:val="Reference"/>
        <w:rPr>
          <w:spacing w:val="-4"/>
        </w:rPr>
      </w:pPr>
      <w:r w:rsidRPr="00560D7A">
        <w:rPr>
          <w:spacing w:val="-4"/>
        </w:rPr>
        <w:t xml:space="preserve">ACT Education Directorate 2023a, </w:t>
      </w:r>
      <w:r w:rsidRPr="00560D7A">
        <w:rPr>
          <w:i/>
          <w:iCs/>
          <w:spacing w:val="-4"/>
        </w:rPr>
        <w:t>Coming soon: free three-year-old preschool - education</w:t>
      </w:r>
      <w:r w:rsidRPr="00560D7A">
        <w:rPr>
          <w:spacing w:val="-4"/>
        </w:rPr>
        <w:t>, https://www.education.act.gov.au/</w:t>
      </w:r>
      <w:r w:rsidR="00560D7A" w:rsidRPr="00560D7A">
        <w:rPr>
          <w:spacing w:val="-4"/>
        </w:rPr>
        <w:br/>
      </w:r>
      <w:r w:rsidRPr="00560D7A">
        <w:rPr>
          <w:spacing w:val="-4"/>
        </w:rPr>
        <w:t>early-childhood/coming-soon-free-three-year-old-preschool (accessed 3 July 2023).</w:t>
      </w:r>
    </w:p>
    <w:p w14:paraId="0065ECD6" w14:textId="5990AC0D" w:rsidR="005E1B35" w:rsidRDefault="005E1B35" w:rsidP="00882158">
      <w:pPr>
        <w:pStyle w:val="Reference"/>
      </w:pPr>
      <w:r>
        <w:t>——</w:t>
      </w:r>
      <w:r w:rsidR="00A4275B">
        <w:t> </w:t>
      </w:r>
      <w:r>
        <w:t xml:space="preserve">2023b, </w:t>
      </w:r>
      <w:r>
        <w:rPr>
          <w:i/>
          <w:iCs/>
        </w:rPr>
        <w:t>Koori preschools - education</w:t>
      </w:r>
      <w:r>
        <w:t>, https://www.education.act.gov.au/public-school-life/public-schools-in-the-act/koori-preschools (accessed 30 October 2023).</w:t>
      </w:r>
    </w:p>
    <w:p w14:paraId="613B7A9F" w14:textId="18BC3E36" w:rsidR="005E1B35" w:rsidRDefault="005E1B35" w:rsidP="00882158">
      <w:pPr>
        <w:pStyle w:val="Reference"/>
      </w:pPr>
      <w:r>
        <w:t>——</w:t>
      </w:r>
      <w:r w:rsidR="00A4275B">
        <w:t> </w:t>
      </w:r>
      <w:r>
        <w:t xml:space="preserve">2024a, </w:t>
      </w:r>
      <w:r>
        <w:rPr>
          <w:i/>
          <w:iCs/>
        </w:rPr>
        <w:t>Quality early childhood education for three year-olds</w:t>
      </w:r>
      <w:r>
        <w:t>, https://www.education.act.gov.au/early-childhood/set-up-for-success-an-early-childhood-strategy-for-the-act/quality-early-childhood-education-for-three-year-olds (accessed 13 June 2023).</w:t>
      </w:r>
    </w:p>
    <w:p w14:paraId="41DC1E66" w14:textId="2EA65F27" w:rsidR="005E1B35" w:rsidRDefault="005E1B35" w:rsidP="00882158">
      <w:pPr>
        <w:pStyle w:val="Reference"/>
      </w:pPr>
      <w:r>
        <w:t>——</w:t>
      </w:r>
      <w:r w:rsidR="00A4275B">
        <w:t> </w:t>
      </w:r>
      <w:r>
        <w:t xml:space="preserve">2024b, </w:t>
      </w:r>
      <w:r>
        <w:rPr>
          <w:i/>
          <w:iCs/>
        </w:rPr>
        <w:t>Three-year-old preschool program guide</w:t>
      </w:r>
      <w:r>
        <w:t>, https://www.education.act.gov.au/__data/assets/pdf_file/0011/2353988/Three-year-preschool-program-guidelines-V.4.pdf (accessed 5 April 2024).</w:t>
      </w:r>
    </w:p>
    <w:p w14:paraId="348701DA" w14:textId="77777777" w:rsidR="005E1B35" w:rsidRDefault="005E1B35" w:rsidP="00882158">
      <w:pPr>
        <w:pStyle w:val="Reference"/>
      </w:pPr>
      <w:r>
        <w:t xml:space="preserve">ACT Government 2023, </w:t>
      </w:r>
      <w:r>
        <w:rPr>
          <w:i/>
          <w:iCs/>
        </w:rPr>
        <w:t>Australian Capital Territory budget 2023-24 - budget outlook</w:t>
      </w:r>
      <w:r>
        <w:t>.</w:t>
      </w:r>
    </w:p>
    <w:p w14:paraId="3A5ED705" w14:textId="77777777" w:rsidR="005E1B35" w:rsidRDefault="005E1B35" w:rsidP="00882158">
      <w:pPr>
        <w:pStyle w:val="Reference"/>
      </w:pPr>
      <w:r>
        <w:t xml:space="preserve">Australian Capital Territory and Commonwealth of Australia 2023, </w:t>
      </w:r>
      <w:r>
        <w:rPr>
          <w:i/>
          <w:iCs/>
        </w:rPr>
        <w:t>Australian Capital Territory: Implementation Plan and Performance Report - 2023, Preschool Reform Agreement</w:t>
      </w:r>
      <w:r>
        <w:t>.</w:t>
      </w:r>
    </w:p>
    <w:p w14:paraId="636BB7F3" w14:textId="77777777" w:rsidR="005E1B35" w:rsidRDefault="005E1B35" w:rsidP="00882158">
      <w:pPr>
        <w:pStyle w:val="Reference"/>
      </w:pPr>
      <w:r>
        <w:t xml:space="preserve">Australian National Audit Office 2011, </w:t>
      </w:r>
      <w:r>
        <w:rPr>
          <w:i/>
          <w:iCs/>
        </w:rPr>
        <w:t>Administration of the National Partnership on Early Childhood Education</w:t>
      </w:r>
      <w:r>
        <w:t>.</w:t>
      </w:r>
    </w:p>
    <w:p w14:paraId="367CDD03" w14:textId="77777777" w:rsidR="005E1B35" w:rsidRDefault="005E1B35" w:rsidP="00882158">
      <w:pPr>
        <w:pStyle w:val="Reference"/>
      </w:pPr>
      <w:r>
        <w:t xml:space="preserve">COAG Education Council 2020, </w:t>
      </w:r>
      <w:r>
        <w:rPr>
          <w:i/>
          <w:iCs/>
        </w:rPr>
        <w:t>UANP review: final review report</w:t>
      </w:r>
      <w:r>
        <w:t>.</w:t>
      </w:r>
    </w:p>
    <w:p w14:paraId="6F379FF7" w14:textId="77777777" w:rsidR="005E1B35" w:rsidRDefault="005E1B35" w:rsidP="00882158">
      <w:pPr>
        <w:pStyle w:val="Reference"/>
      </w:pPr>
      <w:r>
        <w:t xml:space="preserve">DoE (Australian Government Department of Education) 2021, </w:t>
      </w:r>
      <w:r>
        <w:rPr>
          <w:i/>
          <w:iCs/>
        </w:rPr>
        <w:t>Terms of reference - preschool outcomes measure ministerial expert advisory group</w:t>
      </w:r>
      <w:r>
        <w:t>, https://www.education.gov.au/early-childhood/resources/preschool-outcomes-measure-expert-advisory-group-terms-reference (accessed 19 July 2023).</w:t>
      </w:r>
    </w:p>
    <w:p w14:paraId="4400CBCE" w14:textId="099F713E" w:rsidR="005E1B35" w:rsidRDefault="005E1B35" w:rsidP="00882158">
      <w:pPr>
        <w:pStyle w:val="Reference"/>
      </w:pPr>
      <w:r>
        <w:t>——</w:t>
      </w:r>
      <w:r w:rsidR="00A4275B">
        <w:t> </w:t>
      </w:r>
      <w:r>
        <w:t xml:space="preserve">2023a, </w:t>
      </w:r>
      <w:r>
        <w:rPr>
          <w:i/>
          <w:iCs/>
        </w:rPr>
        <w:t>Factsheet for preschool services about the preschool outcomes measure</w:t>
      </w:r>
      <w:r>
        <w:t>, https://www.education.gov.au/</w:t>
      </w:r>
      <w:r w:rsidR="00560D7A">
        <w:br/>
      </w:r>
      <w:r>
        <w:t>early-childhood/resources/factsheet-preschool-services-about-preschool-outcomes-measure (accessed 30 April 2024).</w:t>
      </w:r>
    </w:p>
    <w:p w14:paraId="6D976816" w14:textId="44C7FF4F" w:rsidR="005E1B35" w:rsidRDefault="005E1B35" w:rsidP="00882158">
      <w:pPr>
        <w:pStyle w:val="Reference"/>
      </w:pPr>
      <w:r>
        <w:t>——</w:t>
      </w:r>
      <w:r w:rsidR="00A4275B">
        <w:t> </w:t>
      </w:r>
      <w:r>
        <w:t xml:space="preserve">2023b, </w:t>
      </w:r>
      <w:r>
        <w:rPr>
          <w:i/>
          <w:iCs/>
        </w:rPr>
        <w:t>Preschool outcomes measure</w:t>
      </w:r>
      <w:r>
        <w:t>, https://www.education.gov.au/early-childhood/preschool/</w:t>
      </w:r>
      <w:r w:rsidR="00560D7A">
        <w:br/>
      </w:r>
      <w:r>
        <w:t>preschool-outcomes-measure (accessed 30 October 2023).</w:t>
      </w:r>
    </w:p>
    <w:p w14:paraId="6481146B" w14:textId="77777777" w:rsidR="005E1B35" w:rsidRDefault="005E1B35" w:rsidP="00882158">
      <w:pPr>
        <w:pStyle w:val="Reference"/>
      </w:pPr>
      <w:r>
        <w:t xml:space="preserve">Elliot, A 2006, </w:t>
      </w:r>
      <w:r>
        <w:rPr>
          <w:i/>
          <w:iCs/>
        </w:rPr>
        <w:t>Early Childhood Education: Pathways to Quality and Equity for All Children</w:t>
      </w:r>
      <w:r>
        <w:t>, Australian Council for Educational Research, Sydney.</w:t>
      </w:r>
    </w:p>
    <w:p w14:paraId="46F93399" w14:textId="77777777" w:rsidR="005E1B35" w:rsidRDefault="005E1B35" w:rsidP="00882158">
      <w:pPr>
        <w:pStyle w:val="Reference"/>
      </w:pPr>
      <w:r>
        <w:t xml:space="preserve">Gunner, M (Northern Territory Government Office of the Chief Minister) 2022, </w:t>
      </w:r>
      <w:r>
        <w:rPr>
          <w:i/>
          <w:iCs/>
        </w:rPr>
        <w:t>Three-year-old preschool delivering for Territory kids</w:t>
      </w:r>
      <w:r>
        <w:t>, Media release, https://newsroom.nt.gov.au/article/_nocache?id=2037a3bf3d784143ac4352feec9f98d5 (accessed 30 October 2023).</w:t>
      </w:r>
    </w:p>
    <w:p w14:paraId="613D4F8B" w14:textId="77777777" w:rsidR="005E1B35" w:rsidRDefault="005E1B35" w:rsidP="00882158">
      <w:pPr>
        <w:pStyle w:val="Reference"/>
      </w:pPr>
      <w:r>
        <w:t xml:space="preserve">Northern Territory and Commonwealth of Australia 2023, </w:t>
      </w:r>
      <w:r>
        <w:rPr>
          <w:i/>
          <w:iCs/>
        </w:rPr>
        <w:t>Northern Territory: Implementation Plan and Performance Report - 2023, Preschool Reform Agreement</w:t>
      </w:r>
      <w:r>
        <w:t>.</w:t>
      </w:r>
    </w:p>
    <w:p w14:paraId="082174F8" w14:textId="77777777" w:rsidR="005E1B35" w:rsidRDefault="005E1B35" w:rsidP="00882158">
      <w:pPr>
        <w:pStyle w:val="Reference"/>
      </w:pPr>
      <w:r>
        <w:t xml:space="preserve">Nous Group 2023, </w:t>
      </w:r>
      <w:r>
        <w:rPr>
          <w:i/>
          <w:iCs/>
        </w:rPr>
        <w:t>NT preschool review - discussion paper</w:t>
      </w:r>
      <w:r>
        <w:t>, 31 March.</w:t>
      </w:r>
    </w:p>
    <w:p w14:paraId="06911009" w14:textId="189C518C" w:rsidR="005E1B35" w:rsidRDefault="005E1B35" w:rsidP="00882158">
      <w:pPr>
        <w:pStyle w:val="Reference"/>
      </w:pPr>
      <w:r>
        <w:t xml:space="preserve">NSW DoE (NSW Department of Education) 2023a, </w:t>
      </w:r>
      <w:r>
        <w:rPr>
          <w:i/>
          <w:iCs/>
        </w:rPr>
        <w:t>Department preschools</w:t>
      </w:r>
      <w:r>
        <w:t>, https://education.nsw.gov.au/</w:t>
      </w:r>
      <w:r w:rsidR="00560D7A">
        <w:br/>
      </w:r>
      <w:r>
        <w:t>teaching-and-learning/curriculum/early-learning/department-preschools.html (accessed 24 August 2023).</w:t>
      </w:r>
    </w:p>
    <w:p w14:paraId="0620D6C1" w14:textId="6004FEDD" w:rsidR="005E1B35" w:rsidRDefault="005E1B35" w:rsidP="00882158">
      <w:pPr>
        <w:pStyle w:val="Reference"/>
      </w:pPr>
      <w:r>
        <w:t>——</w:t>
      </w:r>
      <w:r w:rsidR="00A4275B">
        <w:t> </w:t>
      </w:r>
      <w:r>
        <w:t xml:space="preserve">2023b, </w:t>
      </w:r>
      <w:r>
        <w:rPr>
          <w:i/>
          <w:iCs/>
        </w:rPr>
        <w:t>Families in focus for NSW preschool expansion</w:t>
      </w:r>
      <w:r>
        <w:t>, https://education.nsw.gov.au/news/latest-news/families-in-focus-for-nsw-preschool-expansion.html (accessed 8 September 2023).</w:t>
      </w:r>
    </w:p>
    <w:p w14:paraId="34DB6768" w14:textId="676CF099" w:rsidR="005E1B35" w:rsidRDefault="005E1B35" w:rsidP="00882158">
      <w:pPr>
        <w:pStyle w:val="Reference"/>
      </w:pPr>
      <w:r>
        <w:t>——</w:t>
      </w:r>
      <w:r w:rsidR="00A4275B">
        <w:t> </w:t>
      </w:r>
      <w:r>
        <w:t xml:space="preserve">2023c, </w:t>
      </w:r>
      <w:r>
        <w:rPr>
          <w:i/>
          <w:iCs/>
        </w:rPr>
        <w:t>Families to benefit from $500 of preschool fee relief</w:t>
      </w:r>
      <w:r>
        <w:t>, https://education.nsw.gov.au/news/latest-news/families-to-benefit-from--500-of-preschool-fee-relief.html (accessed 14 September 2023).</w:t>
      </w:r>
    </w:p>
    <w:p w14:paraId="601ACA96" w14:textId="7D6C41B5" w:rsidR="005E1B35" w:rsidRDefault="005E1B35" w:rsidP="00882158">
      <w:pPr>
        <w:pStyle w:val="Reference"/>
      </w:pPr>
      <w:r>
        <w:t>——</w:t>
      </w:r>
      <w:r w:rsidR="00A4275B">
        <w:t> </w:t>
      </w:r>
      <w:r>
        <w:t xml:space="preserve">2023d, </w:t>
      </w:r>
      <w:r>
        <w:rPr>
          <w:i/>
          <w:iCs/>
        </w:rPr>
        <w:t>Start Strong for community preschools funding information 2017-2022</w:t>
      </w:r>
      <w:r>
        <w:t>, https://education.nsw.gov.au/early-childhood-education/operating-an-early-childhood-education-service/grants-and-funded-programs/start-strong-funding/start-strong-for-community-preschools/start-strong-for-community-preschools-funding-information-2017-2.html (accessed 17 October 2023).</w:t>
      </w:r>
    </w:p>
    <w:p w14:paraId="7EDAB31B" w14:textId="7CBECE87" w:rsidR="005E1B35" w:rsidRDefault="005E1B35" w:rsidP="00882158">
      <w:pPr>
        <w:pStyle w:val="Reference"/>
      </w:pPr>
      <w:r>
        <w:t>——</w:t>
      </w:r>
      <w:r w:rsidR="00A4275B">
        <w:t> </w:t>
      </w:r>
      <w:r>
        <w:t xml:space="preserve">2023e, </w:t>
      </w:r>
      <w:r>
        <w:rPr>
          <w:i/>
          <w:iCs/>
        </w:rPr>
        <w:t>Start Strong for long day care program guidelines - appendix 1: 3 year old trial</w:t>
      </w:r>
      <w:r>
        <w:t>, https://education.nsw.gov.au/</w:t>
      </w:r>
      <w:r w:rsidR="00560D7A">
        <w:br/>
      </w:r>
      <w:r>
        <w:t>early-childhood-education/operating-an-early-childhood-education-service/grants-and-funded-programs/start-strong-funding/start-strong-for-long-day-care/2023-start-strong-for-long-day-care-program-guidelines/appendix-1--3-year-old-trial.html (accessed 12 June 2023).</w:t>
      </w:r>
    </w:p>
    <w:p w14:paraId="2716121D" w14:textId="3A0259C7" w:rsidR="005E1B35" w:rsidRDefault="005E1B35" w:rsidP="00882158">
      <w:pPr>
        <w:pStyle w:val="Reference"/>
      </w:pPr>
      <w:r>
        <w:t>——</w:t>
      </w:r>
      <w:r w:rsidR="00A4275B">
        <w:t> </w:t>
      </w:r>
      <w:r>
        <w:t xml:space="preserve">2023f, </w:t>
      </w:r>
      <w:r>
        <w:rPr>
          <w:i/>
          <w:iCs/>
        </w:rPr>
        <w:t>Start Strong overview</w:t>
      </w:r>
      <w:r>
        <w:t>, https://education.nsw.gov.au/early-childhood-education/operating-an-early-childhood-education-service/grants-and-funded-programs/start-strong-funding/start-strong-overview (accessed 26 June 2023).</w:t>
      </w:r>
    </w:p>
    <w:p w14:paraId="14C1AD64" w14:textId="77777777" w:rsidR="005E1B35" w:rsidRDefault="005E1B35" w:rsidP="00882158">
      <w:pPr>
        <w:pStyle w:val="Reference"/>
      </w:pPr>
      <w:r>
        <w:t xml:space="preserve">NSW Government 2022a, </w:t>
      </w:r>
      <w:r>
        <w:rPr>
          <w:i/>
          <w:iCs/>
        </w:rPr>
        <w:t>NSW budget - outcomes statement 2022-23</w:t>
      </w:r>
      <w:r>
        <w:t>.</w:t>
      </w:r>
    </w:p>
    <w:p w14:paraId="65259A69" w14:textId="7E9E7BE6" w:rsidR="005E1B35" w:rsidRDefault="005E1B35" w:rsidP="00882158">
      <w:pPr>
        <w:pStyle w:val="Reference"/>
      </w:pPr>
      <w:r>
        <w:t>——</w:t>
      </w:r>
      <w:r w:rsidR="00A4275B">
        <w:t> </w:t>
      </w:r>
      <w:r>
        <w:t xml:space="preserve">2022b, </w:t>
      </w:r>
      <w:r>
        <w:rPr>
          <w:i/>
          <w:iCs/>
        </w:rPr>
        <w:t>NSW budget - women’s opportunity statement 2022-23</w:t>
      </w:r>
      <w:r>
        <w:t>.</w:t>
      </w:r>
    </w:p>
    <w:p w14:paraId="6EA19A1D" w14:textId="35DFC2C7" w:rsidR="005E1B35" w:rsidRDefault="005E1B35" w:rsidP="00882158">
      <w:pPr>
        <w:pStyle w:val="Reference"/>
      </w:pPr>
      <w:r>
        <w:t>——</w:t>
      </w:r>
      <w:r w:rsidR="00A4275B">
        <w:t> </w:t>
      </w:r>
      <w:r>
        <w:t xml:space="preserve">2023, </w:t>
      </w:r>
      <w:r>
        <w:rPr>
          <w:i/>
          <w:iCs/>
        </w:rPr>
        <w:t>NSW budget paper no.1 2023-24</w:t>
      </w:r>
      <w:r>
        <w:t>.</w:t>
      </w:r>
    </w:p>
    <w:p w14:paraId="48A240EC" w14:textId="77777777" w:rsidR="005E1B35" w:rsidRDefault="005E1B35" w:rsidP="00882158">
      <w:pPr>
        <w:pStyle w:val="Reference"/>
      </w:pPr>
      <w:r>
        <w:t xml:space="preserve">PC (Productivity Commission) 2014, </w:t>
      </w:r>
      <w:r>
        <w:rPr>
          <w:i/>
          <w:iCs/>
        </w:rPr>
        <w:t>Childcare and Early Childhood Learning</w:t>
      </w:r>
      <w:r>
        <w:t>, Report no. 73, Canberra.</w:t>
      </w:r>
    </w:p>
    <w:p w14:paraId="13A17747" w14:textId="77777777" w:rsidR="005E1B35" w:rsidRDefault="005E1B35" w:rsidP="00882158">
      <w:pPr>
        <w:pStyle w:val="Reference"/>
      </w:pPr>
      <w:r>
        <w:t xml:space="preserve">Queensland DoE (Queensland Department of Education) 2023, </w:t>
      </w:r>
      <w:r>
        <w:rPr>
          <w:i/>
          <w:iCs/>
        </w:rPr>
        <w:t>Free Kindy</w:t>
      </w:r>
      <w:r>
        <w:t>, https://earlychildhood.qld.gov.au/freekindy/Pages/default.aspx (accessed 30 October 2023).</w:t>
      </w:r>
    </w:p>
    <w:p w14:paraId="34699498" w14:textId="32E43C9A" w:rsidR="005E1B35" w:rsidRPr="00FE165A" w:rsidRDefault="005E1B35" w:rsidP="00882158">
      <w:pPr>
        <w:pStyle w:val="Reference"/>
        <w:rPr>
          <w:spacing w:val="-4"/>
        </w:rPr>
      </w:pPr>
      <w:r w:rsidRPr="00FE165A">
        <w:rPr>
          <w:spacing w:val="-4"/>
        </w:rPr>
        <w:t>——</w:t>
      </w:r>
      <w:r w:rsidR="00A4275B" w:rsidRPr="00FE165A">
        <w:rPr>
          <w:spacing w:val="-4"/>
        </w:rPr>
        <w:t> </w:t>
      </w:r>
      <w:r w:rsidRPr="00FE165A">
        <w:rPr>
          <w:spacing w:val="-4"/>
        </w:rPr>
        <w:t xml:space="preserve">2024, </w:t>
      </w:r>
      <w:r w:rsidRPr="00FE165A">
        <w:rPr>
          <w:i/>
          <w:iCs/>
          <w:spacing w:val="-4"/>
        </w:rPr>
        <w:t>Queensland kindergarten funding: funding category guidelines</w:t>
      </w:r>
      <w:r w:rsidRPr="00FE165A">
        <w:rPr>
          <w:spacing w:val="-4"/>
        </w:rPr>
        <w:t>, https://earlychildhood.qld.gov.au/fundingAndSupport/</w:t>
      </w:r>
      <w:r w:rsidR="00FE165A">
        <w:rPr>
          <w:spacing w:val="-4"/>
        </w:rPr>
        <w:br/>
      </w:r>
      <w:r w:rsidRPr="00FE165A">
        <w:rPr>
          <w:spacing w:val="-4"/>
        </w:rPr>
        <w:t>Documents/kindy-funding-guidelines.pdf (accessed 23 April 2024).</w:t>
      </w:r>
    </w:p>
    <w:p w14:paraId="51764EBA" w14:textId="77777777" w:rsidR="005E1B35" w:rsidRDefault="005E1B35" w:rsidP="00882158">
      <w:pPr>
        <w:pStyle w:val="Reference"/>
      </w:pPr>
      <w:r>
        <w:t xml:space="preserve">Queensland Government 2024, </w:t>
      </w:r>
      <w:r>
        <w:rPr>
          <w:i/>
          <w:iCs/>
        </w:rPr>
        <w:t>Queensland budget 2024-25 - budget overview</w:t>
      </w:r>
      <w:r>
        <w:t>.</w:t>
      </w:r>
    </w:p>
    <w:p w14:paraId="42B728A9" w14:textId="77777777" w:rsidR="005E1B35" w:rsidRDefault="005E1B35" w:rsidP="00882158">
      <w:pPr>
        <w:pStyle w:val="Reference"/>
      </w:pPr>
      <w:r>
        <w:t xml:space="preserve">SA Department for Education 2023, </w:t>
      </w:r>
      <w:r>
        <w:rPr>
          <w:i/>
          <w:iCs/>
        </w:rPr>
        <w:t>When your child can start preschool</w:t>
      </w:r>
      <w:r>
        <w:t>, https://www.education.sa.gov.au/parents-and-families/enrol-school-or-preschool/preschool-and-kindergarten-enrolment/when-your-child-can-start-preschool#school-age-calculator (accessed 20 June 2023).</w:t>
      </w:r>
    </w:p>
    <w:p w14:paraId="079FB53D" w14:textId="1C76FBF1" w:rsidR="005E1B35" w:rsidRDefault="005E1B35" w:rsidP="00882158">
      <w:pPr>
        <w:pStyle w:val="Reference"/>
      </w:pPr>
      <w:r>
        <w:t>——</w:t>
      </w:r>
      <w:r w:rsidR="00A4275B">
        <w:t> </w:t>
      </w:r>
      <w:r>
        <w:t xml:space="preserve">2024, </w:t>
      </w:r>
      <w:r>
        <w:rPr>
          <w:i/>
          <w:iCs/>
        </w:rPr>
        <w:t>Royal Commission into early childhood education and care</w:t>
      </w:r>
      <w:r>
        <w:t>, https://www.education.sa.gov.au/department/</w:t>
      </w:r>
      <w:r w:rsidR="00FE165A">
        <w:br/>
      </w:r>
      <w:r>
        <w:lastRenderedPageBreak/>
        <w:t>research-and-statistics/reviews-and-responses/royal-commission-into-early-childhood-education-and-care (accessed 7 June 2024).</w:t>
      </w:r>
    </w:p>
    <w:p w14:paraId="14F89079" w14:textId="77777777" w:rsidR="005E1B35" w:rsidRDefault="005E1B35" w:rsidP="00882158">
      <w:pPr>
        <w:pStyle w:val="Reference"/>
      </w:pPr>
      <w:r>
        <w:t xml:space="preserve">SA Government 2023, </w:t>
      </w:r>
      <w:r>
        <w:rPr>
          <w:i/>
          <w:iCs/>
        </w:rPr>
        <w:t>Royal Commission into early childhood education and care: final report</w:t>
      </w:r>
      <w:r>
        <w:t>.</w:t>
      </w:r>
    </w:p>
    <w:p w14:paraId="1ECB24FC" w14:textId="38945203" w:rsidR="005E1B35" w:rsidRDefault="005E1B35" w:rsidP="00882158">
      <w:pPr>
        <w:pStyle w:val="Reference"/>
      </w:pPr>
      <w:r>
        <w:t>——</w:t>
      </w:r>
      <w:r w:rsidR="00A4275B">
        <w:t> </w:t>
      </w:r>
      <w:r>
        <w:t xml:space="preserve">2024a, </w:t>
      </w:r>
      <w:r>
        <w:rPr>
          <w:i/>
          <w:iCs/>
        </w:rPr>
        <w:t>Getting your service 3-year-old preschool ready</w:t>
      </w:r>
      <w:r>
        <w:t>, https://www.earlychildhood.sa.gov.au/for-providers/getting-your-service-3-year-old-preschool-ready (accessed 14 June 2024).</w:t>
      </w:r>
    </w:p>
    <w:p w14:paraId="7256A5C5" w14:textId="0C0A613C" w:rsidR="005E1B35" w:rsidRDefault="005E1B35" w:rsidP="00882158">
      <w:pPr>
        <w:pStyle w:val="Reference"/>
      </w:pPr>
      <w:r>
        <w:t>——</w:t>
      </w:r>
      <w:r w:rsidR="00A4275B">
        <w:t> </w:t>
      </w:r>
      <w:r>
        <w:t xml:space="preserve">2024b, </w:t>
      </w:r>
      <w:r>
        <w:rPr>
          <w:i/>
          <w:iCs/>
        </w:rPr>
        <w:t>State budget 2024-25 - budget paper 1: budget overview</w:t>
      </w:r>
      <w:r>
        <w:t>.</w:t>
      </w:r>
    </w:p>
    <w:p w14:paraId="012268B0" w14:textId="77777777" w:rsidR="005E1B35" w:rsidRDefault="005E1B35" w:rsidP="00882158">
      <w:pPr>
        <w:pStyle w:val="Reference"/>
      </w:pPr>
      <w:r>
        <w:t xml:space="preserve">SA Office for Early Childhood Development 2024, </w:t>
      </w:r>
      <w:r>
        <w:rPr>
          <w:i/>
          <w:iCs/>
        </w:rPr>
        <w:t>Universal preschool</w:t>
      </w:r>
      <w:r>
        <w:t>, https://www.earlychildhood.sa.gov.au/whats-changing/universal-preschool-explained (accessed 7 June 2024).</w:t>
      </w:r>
    </w:p>
    <w:p w14:paraId="2016CDA1" w14:textId="77777777" w:rsidR="005E1B35" w:rsidRDefault="005E1B35" w:rsidP="00882158">
      <w:pPr>
        <w:pStyle w:val="Reference"/>
      </w:pPr>
      <w:r>
        <w:t xml:space="preserve">SCRGSP (Steering Committee for the Review of Government Service Provision) 2024a, </w:t>
      </w:r>
      <w:r>
        <w:rPr>
          <w:i/>
          <w:iCs/>
        </w:rPr>
        <w:t>3 Early childhood education and care - Report on Government Services 2024</w:t>
      </w:r>
      <w:r>
        <w:t>, https://www.pc.gov.au/ongoing/report-on-government-services/2024/child-care-education-and-training/early-childhood-education-and-care (accessed 19 June 2024).</w:t>
      </w:r>
    </w:p>
    <w:p w14:paraId="25DB5AFB" w14:textId="10974AE4" w:rsidR="005E1B35" w:rsidRDefault="005E1B35" w:rsidP="00882158">
      <w:pPr>
        <w:pStyle w:val="Reference"/>
      </w:pPr>
      <w:r>
        <w:t>——</w:t>
      </w:r>
      <w:r w:rsidR="00A4275B">
        <w:t> </w:t>
      </w:r>
      <w:r>
        <w:t xml:space="preserve">2024b, </w:t>
      </w:r>
      <w:r>
        <w:rPr>
          <w:i/>
          <w:iCs/>
        </w:rPr>
        <w:t>Report on Government Services 2024 - Child care, education and training (part B)</w:t>
      </w:r>
      <w:r>
        <w:t>, Productivity Commission, Canberra.</w:t>
      </w:r>
    </w:p>
    <w:p w14:paraId="6B3E04B8" w14:textId="77777777" w:rsidR="005E1B35" w:rsidRDefault="005E1B35" w:rsidP="00882158">
      <w:pPr>
        <w:pStyle w:val="Reference"/>
      </w:pPr>
      <w:r>
        <w:t xml:space="preserve">State of New South Wales and Commonwealth of Australia 2023, </w:t>
      </w:r>
      <w:r>
        <w:rPr>
          <w:i/>
          <w:iCs/>
        </w:rPr>
        <w:t>New South Wales: Implementation Plan and Performance Report - 2023, Preschool Reform Agreement</w:t>
      </w:r>
      <w:r>
        <w:t>.</w:t>
      </w:r>
    </w:p>
    <w:p w14:paraId="4547EB83" w14:textId="77777777" w:rsidR="005E1B35" w:rsidRDefault="005E1B35" w:rsidP="00882158">
      <w:pPr>
        <w:pStyle w:val="Reference"/>
      </w:pPr>
      <w:r>
        <w:t xml:space="preserve">State of Queensland and Commonwealth of Australia 2023, </w:t>
      </w:r>
      <w:r>
        <w:rPr>
          <w:i/>
          <w:iCs/>
        </w:rPr>
        <w:t>Queensland: Implementation Plan and Performance Report - 2023, Preschool Reform Agreement</w:t>
      </w:r>
      <w:r>
        <w:t>.</w:t>
      </w:r>
    </w:p>
    <w:p w14:paraId="7322C898" w14:textId="77777777" w:rsidR="005E1B35" w:rsidRDefault="005E1B35" w:rsidP="00882158">
      <w:pPr>
        <w:pStyle w:val="Reference"/>
      </w:pPr>
      <w:r>
        <w:t xml:space="preserve">State of South Australia and Commonwealth of Australia 2023, </w:t>
      </w:r>
      <w:r>
        <w:rPr>
          <w:i/>
          <w:iCs/>
        </w:rPr>
        <w:t>South Australia: Implementation Plan and Performance Report - 2023, Preschool Reform Agreement</w:t>
      </w:r>
      <w:r>
        <w:t>.</w:t>
      </w:r>
    </w:p>
    <w:p w14:paraId="18765E6A" w14:textId="77777777" w:rsidR="005E1B35" w:rsidRDefault="005E1B35" w:rsidP="00882158">
      <w:pPr>
        <w:pStyle w:val="Reference"/>
      </w:pPr>
      <w:r>
        <w:t xml:space="preserve">State of Tasmania and Commonwealth of Australia 2023, </w:t>
      </w:r>
      <w:r>
        <w:rPr>
          <w:i/>
          <w:iCs/>
        </w:rPr>
        <w:t>Tasmania: Implementation Plan and Performance Report - 2023, Preschool Reform Agreement</w:t>
      </w:r>
      <w:r>
        <w:t>.</w:t>
      </w:r>
    </w:p>
    <w:p w14:paraId="1010D144" w14:textId="77777777" w:rsidR="005E1B35" w:rsidRDefault="005E1B35" w:rsidP="00882158">
      <w:pPr>
        <w:pStyle w:val="Reference"/>
      </w:pPr>
      <w:r>
        <w:t xml:space="preserve">State of Victoria and Commonwealth of Australia 2023, </w:t>
      </w:r>
      <w:r>
        <w:rPr>
          <w:i/>
          <w:iCs/>
        </w:rPr>
        <w:t>Victoria: Implementation Plan and Performance Report - 2023, Preschool Reform Agreement</w:t>
      </w:r>
      <w:r>
        <w:t>.</w:t>
      </w:r>
    </w:p>
    <w:p w14:paraId="7038DF7D" w14:textId="77777777" w:rsidR="005E1B35" w:rsidRDefault="005E1B35" w:rsidP="00882158">
      <w:pPr>
        <w:pStyle w:val="Reference"/>
      </w:pPr>
      <w:r>
        <w:t xml:space="preserve">State of Western Australia and Commonwealth of Australia 2023, </w:t>
      </w:r>
      <w:r>
        <w:rPr>
          <w:i/>
          <w:iCs/>
        </w:rPr>
        <w:t>Western Australia: Implementation Plan and Performance Report - 2023, Preschool Reform Agreement</w:t>
      </w:r>
      <w:r>
        <w:t>.</w:t>
      </w:r>
    </w:p>
    <w:p w14:paraId="50E2AAAE" w14:textId="77777777" w:rsidR="005E1B35" w:rsidRDefault="005E1B35" w:rsidP="00882158">
      <w:pPr>
        <w:pStyle w:val="Reference"/>
      </w:pPr>
      <w:r>
        <w:t xml:space="preserve">Victorian Government 2022, </w:t>
      </w:r>
      <w:r>
        <w:rPr>
          <w:i/>
          <w:iCs/>
        </w:rPr>
        <w:t>Rolling out three-year-old kindergarten</w:t>
      </w:r>
      <w:r>
        <w:t>, https://www.vic.gov.au/rolling-out-three-year-old-kinder (accessed 14 November 2023).</w:t>
      </w:r>
    </w:p>
    <w:p w14:paraId="22BAC12F" w14:textId="3755F79E" w:rsidR="005E1B35" w:rsidRDefault="005E1B35" w:rsidP="00882158">
      <w:pPr>
        <w:pStyle w:val="Reference"/>
      </w:pPr>
      <w:r>
        <w:t>——</w:t>
      </w:r>
      <w:r w:rsidR="00A4275B">
        <w:t> </w:t>
      </w:r>
      <w:r>
        <w:t xml:space="preserve">2023a, </w:t>
      </w:r>
      <w:r>
        <w:rPr>
          <w:i/>
          <w:iCs/>
        </w:rPr>
        <w:t>Early Start Kindergarten</w:t>
      </w:r>
      <w:r>
        <w:t>, https://www.vic.gov.au/</w:t>
      </w:r>
      <w:r w:rsidR="00FE165A">
        <w:br/>
      </w:r>
      <w:r>
        <w:t>early-start-kindergarten (accessed 7 May 2024).</w:t>
      </w:r>
    </w:p>
    <w:p w14:paraId="7191F818" w14:textId="06AA1706" w:rsidR="005E1B35" w:rsidRDefault="005E1B35" w:rsidP="00882158">
      <w:pPr>
        <w:pStyle w:val="Reference"/>
      </w:pPr>
      <w:r>
        <w:t>——</w:t>
      </w:r>
      <w:r w:rsidR="00A4275B">
        <w:t> </w:t>
      </w:r>
      <w:r>
        <w:t xml:space="preserve">2023b, </w:t>
      </w:r>
      <w:r>
        <w:rPr>
          <w:i/>
          <w:iCs/>
        </w:rPr>
        <w:t>The best start for Victoria | Victorian Government</w:t>
      </w:r>
      <w:r>
        <w:t>, https://www.vic.gov.au/best-start-best-life-reforms (accessed 12 June 2023).</w:t>
      </w:r>
    </w:p>
    <w:p w14:paraId="07E7B0A0" w14:textId="22186CB3" w:rsidR="005E1B35" w:rsidRDefault="005E1B35" w:rsidP="00882158">
      <w:pPr>
        <w:pStyle w:val="Reference"/>
      </w:pPr>
      <w:r>
        <w:t>——</w:t>
      </w:r>
      <w:r w:rsidR="00A4275B">
        <w:t> </w:t>
      </w:r>
      <w:r>
        <w:t xml:space="preserve">2024a, </w:t>
      </w:r>
      <w:r>
        <w:rPr>
          <w:i/>
          <w:iCs/>
        </w:rPr>
        <w:t>Sensible and disciplined decisions</w:t>
      </w:r>
      <w:r>
        <w:t>, https://www.budget.vic.gov.au/sensible-and-disciplined-decisions (accessed 8 May 2024).</w:t>
      </w:r>
    </w:p>
    <w:p w14:paraId="5E6F9FFF" w14:textId="4C11166D" w:rsidR="005E1B35" w:rsidRDefault="005E1B35" w:rsidP="00882158">
      <w:pPr>
        <w:pStyle w:val="Reference"/>
      </w:pPr>
      <w:r>
        <w:t>——</w:t>
      </w:r>
      <w:r w:rsidR="00A4275B">
        <w:t> </w:t>
      </w:r>
      <w:r>
        <w:t xml:space="preserve">2024b, </w:t>
      </w:r>
      <w:r>
        <w:rPr>
          <w:i/>
          <w:iCs/>
        </w:rPr>
        <w:t>Victorian budget - strategy and outlook 2024-25</w:t>
      </w:r>
      <w:r>
        <w:t>.</w:t>
      </w:r>
    </w:p>
    <w:p w14:paraId="70680E5C" w14:textId="77777777" w:rsidR="00D9700D" w:rsidRDefault="005E1B35" w:rsidP="00882158">
      <w:pPr>
        <w:pStyle w:val="Reference"/>
        <w:sectPr w:rsidR="00D9700D" w:rsidSect="00D9700D">
          <w:footnotePr>
            <w:numRestart w:val="eachSect"/>
          </w:footnotePr>
          <w:type w:val="continuous"/>
          <w:pgSz w:w="11906" w:h="16838" w:code="9"/>
          <w:pgMar w:top="1134" w:right="1134" w:bottom="1134" w:left="1134" w:header="794" w:footer="510" w:gutter="0"/>
          <w:cols w:num="2" w:space="708"/>
          <w:docGrid w:linePitch="360"/>
        </w:sectPr>
      </w:pPr>
      <w:r>
        <w:t xml:space="preserve">Victorian Government Department of Education 2023, </w:t>
      </w:r>
      <w:r>
        <w:rPr>
          <w:i/>
          <w:iCs/>
        </w:rPr>
        <w:t>Kindergarten funding guide</w:t>
      </w:r>
      <w:r>
        <w:t>, https://www.education.vic.gov.au/Documents/childhood/providers/funding/J641-Kindergarten-Funding-Guide-v6.pdf (accessed 24 August 2023)</w:t>
      </w:r>
      <w:r w:rsidR="00D9700D">
        <w:t>.</w:t>
      </w:r>
    </w:p>
    <w:p w14:paraId="75DC32D2" w14:textId="116BC3B2" w:rsidR="005E1B35" w:rsidRDefault="005E1B35" w:rsidP="00882158">
      <w:pPr>
        <w:pStyle w:val="Reference"/>
      </w:pPr>
    </w:p>
    <w:p w14:paraId="7286CE0C" w14:textId="77777777" w:rsidR="00D9700D" w:rsidRDefault="00D9700D" w:rsidP="00882158">
      <w:pPr>
        <w:pStyle w:val="Reference"/>
      </w:pPr>
    </w:p>
    <w:p w14:paraId="7B59EA7A" w14:textId="77777777" w:rsidR="00D9700D" w:rsidRDefault="00D9700D" w:rsidP="00882158">
      <w:pPr>
        <w:pStyle w:val="Reference"/>
        <w:sectPr w:rsidR="00D9700D" w:rsidSect="001B7B00">
          <w:footnotePr>
            <w:numRestart w:val="eachSect"/>
          </w:footnotePr>
          <w:type w:val="continuous"/>
          <w:pgSz w:w="11906" w:h="16838" w:code="9"/>
          <w:pgMar w:top="1134" w:right="1134" w:bottom="1134" w:left="1134" w:header="794" w:footer="510" w:gutter="0"/>
          <w:cols w:space="708"/>
          <w:docGrid w:linePitch="360"/>
        </w:sectPr>
      </w:pPr>
    </w:p>
    <w:p w14:paraId="085746BC" w14:textId="77777777" w:rsidR="00CF51C5" w:rsidRDefault="00CF51C5" w:rsidP="006510ED">
      <w:pPr>
        <w:pStyle w:val="Heading-Appendix"/>
        <w:numPr>
          <w:ilvl w:val="0"/>
          <w:numId w:val="25"/>
        </w:numPr>
      </w:pPr>
      <w:bookmarkStart w:id="37" w:name="_Toc172213589"/>
      <w:r>
        <w:lastRenderedPageBreak/>
        <w:t>Workforce disincentive rates</w:t>
      </w:r>
      <w:bookmarkEnd w:id="37"/>
    </w:p>
    <w:p w14:paraId="17414AA1" w14:textId="77777777" w:rsidR="00CF51C5" w:rsidRDefault="00CF51C5" w:rsidP="00882158">
      <w:pPr>
        <w:pStyle w:val="BodyText"/>
      </w:pPr>
      <w:r>
        <w:t>A workforce disincentive rate (WDR) measures the proportion of</w:t>
      </w:r>
      <w:r w:rsidDel="00BA5697">
        <w:t xml:space="preserve"> </w:t>
      </w:r>
      <w:r>
        <w:t xml:space="preserve">earnings from an extra day of work </w:t>
      </w:r>
      <w:r w:rsidDel="003D448B">
        <w:t xml:space="preserve">that </w:t>
      </w:r>
      <w:r>
        <w:t>goes to the tax and transfer system (via increased income taxes and reduced transfer payments) and to increased out</w:t>
      </w:r>
      <w:r>
        <w:noBreakHyphen/>
        <w:t>of</w:t>
      </w:r>
      <w:r>
        <w:noBreakHyphen/>
        <w:t>pocket early childhood education and care (ECEC) expenses where a family uses ECEC.</w:t>
      </w:r>
    </w:p>
    <w:p w14:paraId="3ED8BC09" w14:textId="77777777" w:rsidR="00CF51C5" w:rsidRDefault="00CF51C5" w:rsidP="00882158">
      <w:pPr>
        <w:pStyle w:val="BodyText"/>
      </w:pPr>
      <w:r>
        <w:t xml:space="preserve">WDRs are similar to effective marginal tax rates (EMTRs). </w:t>
      </w:r>
      <w:r w:rsidRPr="00E96F7E">
        <w:t>The term WDR was first used in</w:t>
      </w:r>
      <w:r>
        <w:t xml:space="preserve"> a KPMG </w:t>
      </w:r>
      <w:r w:rsidRPr="00EF1969">
        <w:rPr>
          <w:rFonts w:ascii="Arial" w:hAnsi="Arial" w:cs="Arial"/>
        </w:rPr>
        <w:t>(2018)</w:t>
      </w:r>
      <w:r>
        <w:t xml:space="preserve"> report,</w:t>
      </w:r>
      <w:r w:rsidRPr="00E96F7E">
        <w:t xml:space="preserve"> </w:t>
      </w:r>
      <w:r w:rsidRPr="00FF2209">
        <w:rPr>
          <w:i/>
          <w:iCs/>
        </w:rPr>
        <w:t xml:space="preserve">The cost of coming back: </w:t>
      </w:r>
      <w:r>
        <w:rPr>
          <w:i/>
          <w:iCs/>
        </w:rPr>
        <w:t>a</w:t>
      </w:r>
      <w:r w:rsidRPr="00FF2209">
        <w:rPr>
          <w:i/>
          <w:iCs/>
        </w:rPr>
        <w:t>chieving a better deal for working mothers</w:t>
      </w:r>
      <w:r w:rsidRPr="00E96F7E">
        <w:t>.</w:t>
      </w:r>
      <w:r>
        <w:t xml:space="preserve"> The WDRs reported included out</w:t>
      </w:r>
      <w:r>
        <w:noBreakHyphen/>
        <w:t>of</w:t>
      </w:r>
      <w:r>
        <w:noBreakHyphen/>
        <w:t xml:space="preserve">pocket ECEC expenses (whereas EMTRs historically did not) and measured the effect on additional earnings from an extra day of work (whereas EMTRs historically were based on </w:t>
      </w:r>
      <w:r w:rsidRPr="003945D7">
        <w:t>an additional $1 earned</w:t>
      </w:r>
      <w:r>
        <w:t>)</w:t>
      </w:r>
      <w:r w:rsidRPr="003945D7">
        <w:t>.</w:t>
      </w:r>
      <w:r>
        <w:t xml:space="preserve"> However, </w:t>
      </w:r>
      <w:r w:rsidRPr="003945D7">
        <w:t xml:space="preserve">EMTRs have evolved to be a </w:t>
      </w:r>
      <w:r>
        <w:t>general</w:t>
      </w:r>
      <w:r w:rsidRPr="003945D7">
        <w:t xml:space="preserve"> measure of additional earnings</w:t>
      </w:r>
      <w:r>
        <w:t>,</w:t>
      </w:r>
      <w:r w:rsidRPr="003945D7">
        <w:t xml:space="preserve"> such as those from an extra day</w:t>
      </w:r>
      <w:r>
        <w:t xml:space="preserve"> of</w:t>
      </w:r>
      <w:r w:rsidRPr="003945D7">
        <w:t xml:space="preserve"> work</w:t>
      </w:r>
      <w:r>
        <w:t xml:space="preserve">, and can </w:t>
      </w:r>
      <w:r w:rsidRPr="003945D7">
        <w:t>also</w:t>
      </w:r>
      <w:r w:rsidDel="005E7989">
        <w:t xml:space="preserve"> </w:t>
      </w:r>
      <w:r>
        <w:t>account for</w:t>
      </w:r>
      <w:r w:rsidRPr="003945D7">
        <w:t xml:space="preserve"> out</w:t>
      </w:r>
      <w:r>
        <w:noBreakHyphen/>
      </w:r>
      <w:r w:rsidRPr="003945D7">
        <w:t>of</w:t>
      </w:r>
      <w:r>
        <w:noBreakHyphen/>
      </w:r>
      <w:r w:rsidRPr="003945D7">
        <w:t xml:space="preserve">pocket ECEC expenses. The terms EMTRs and </w:t>
      </w:r>
      <w:r>
        <w:t xml:space="preserve">WDRs </w:t>
      </w:r>
      <w:r w:rsidRPr="003945D7">
        <w:t xml:space="preserve">are </w:t>
      </w:r>
      <w:r>
        <w:t xml:space="preserve">now </w:t>
      </w:r>
      <w:r w:rsidRPr="003945D7">
        <w:t>sometimes used interchangeably.</w:t>
      </w:r>
    </w:p>
    <w:p w14:paraId="1BB26BEE" w14:textId="77777777" w:rsidR="00CF51C5" w:rsidRDefault="00CF51C5" w:rsidP="00882158">
      <w:pPr>
        <w:pStyle w:val="Heading2-nonumber"/>
        <w:ind w:left="851" w:hanging="851"/>
      </w:pPr>
      <w:bookmarkStart w:id="38" w:name="_Toc172213590"/>
      <w:r>
        <w:t>F.1</w:t>
      </w:r>
      <w:r>
        <w:tab/>
        <w:t>Assumptions for workforce disincentive rate calculations</w:t>
      </w:r>
      <w:bookmarkEnd w:id="38"/>
    </w:p>
    <w:p w14:paraId="26E347F4" w14:textId="77777777" w:rsidR="00CF51C5" w:rsidRDefault="00CF51C5" w:rsidP="00882158">
      <w:pPr>
        <w:pStyle w:val="BodyText"/>
      </w:pPr>
      <w:r>
        <w:t>WDRs are calculated in this appendix for hypothetical families. The hypothetical families analysed differ based on family type (sole earner or coupled earners), family size (one or two children) and earnings.</w:t>
      </w:r>
      <w:r>
        <w:rPr>
          <w:rStyle w:val="FootnoteReference"/>
        </w:rPr>
        <w:footnoteReference w:id="23"/>
      </w:r>
    </w:p>
    <w:p w14:paraId="784C21D8" w14:textId="77777777" w:rsidR="00CF51C5" w:rsidRPr="00E61748" w:rsidRDefault="00CF51C5" w:rsidP="00882158">
      <w:pPr>
        <w:pStyle w:val="BodyText"/>
      </w:pPr>
      <w:r>
        <w:t>The 2019</w:t>
      </w:r>
      <w:r>
        <w:noBreakHyphen/>
        <w:t>20 Survey of Income and Housing (SIH), which represented an estimated 1.4 million coupled and sole earner families with children aged five or under, highlights that some family compositions are more common than others. About 60% of families were coupled earners with one child aged five or under, while families with more than two children aged five or under were less common (table F.1).</w:t>
      </w:r>
    </w:p>
    <w:p w14:paraId="1BBB633E" w14:textId="77777777" w:rsidR="00CF51C5" w:rsidRPr="00FE165A" w:rsidRDefault="00CF51C5" w:rsidP="00882158">
      <w:pPr>
        <w:pStyle w:val="BodyText"/>
        <w:rPr>
          <w:spacing w:val="-4"/>
        </w:rPr>
      </w:pPr>
      <w:r w:rsidRPr="00FE165A">
        <w:rPr>
          <w:spacing w:val="-4"/>
        </w:rPr>
        <w:t>In each scenario, children are aged five or under and attend centre</w:t>
      </w:r>
      <w:r w:rsidRPr="00FE165A">
        <w:rPr>
          <w:spacing w:val="-4"/>
        </w:rPr>
        <w:noBreakHyphen/>
        <w:t xml:space="preserve">based day care (CBDC) for 48 weeks per year. Gross CBDC fees are assumed to be $12.80 per hour (the mean hourly CBDC fee in the September 2023 quarter) </w:t>
      </w:r>
      <w:r w:rsidRPr="00FE165A">
        <w:rPr>
          <w:rFonts w:cs="Arial"/>
          <w:spacing w:val="-4"/>
        </w:rPr>
        <w:t>(DoE 2023)</w:t>
      </w:r>
      <w:r w:rsidRPr="00FE165A">
        <w:rPr>
          <w:spacing w:val="-4"/>
        </w:rPr>
        <w:t>. One ten</w:t>
      </w:r>
      <w:r w:rsidRPr="00FE165A">
        <w:rPr>
          <w:spacing w:val="-4"/>
        </w:rPr>
        <w:noBreakHyphen/>
        <w:t>hour day of CBDC is used for each additional day of work (for example, when a sole earner or secondary earner works for three days, children are enrolled for 30 hours).</w:t>
      </w:r>
    </w:p>
    <w:p w14:paraId="7EDAFA17" w14:textId="77777777" w:rsidR="00CF51C5" w:rsidRDefault="00CF51C5" w:rsidP="00882158">
      <w:pPr>
        <w:pStyle w:val="BodyText"/>
      </w:pPr>
      <w:r>
        <w:t>For the scenarios modelled in this appendix, sole earner families are assumed to earn $60,000, $80,000 or $100,000 when working full</w:t>
      </w:r>
      <w:r>
        <w:noBreakHyphen/>
        <w:t>time (five days per week).</w:t>
      </w:r>
      <w:r>
        <w:rPr>
          <w:rStyle w:val="FootnoteReference"/>
        </w:rPr>
        <w:footnoteReference w:id="24"/>
      </w:r>
      <w:r>
        <w:t xml:space="preserve"> Coupled earner families are assumed to either:</w:t>
      </w:r>
    </w:p>
    <w:p w14:paraId="31B949E1" w14:textId="77777777" w:rsidR="00CF51C5" w:rsidRDefault="00CF51C5" w:rsidP="00882158">
      <w:pPr>
        <w:pStyle w:val="ListBullet"/>
      </w:pPr>
      <w:r>
        <w:t>each earn $60,000, $100,000, $120,000 or $140,000 when working full</w:t>
      </w:r>
      <w:r>
        <w:noBreakHyphen/>
        <w:t>time</w:t>
      </w:r>
    </w:p>
    <w:p w14:paraId="2C540A97" w14:textId="77777777" w:rsidR="00CF51C5" w:rsidRDefault="00CF51C5" w:rsidP="00882158">
      <w:pPr>
        <w:pStyle w:val="ListBullet"/>
      </w:pPr>
      <w:r>
        <w:t>have a primary earner earning $120,000 when working full</w:t>
      </w:r>
      <w:r>
        <w:noBreakHyphen/>
        <w:t>time, and a secondary earner earning $60,000, $80,000 or $100,000 when working full</w:t>
      </w:r>
      <w:r>
        <w:noBreakHyphen/>
        <w:t>time.</w:t>
      </w:r>
    </w:p>
    <w:p w14:paraId="2F271222" w14:textId="77777777" w:rsidR="00CF51C5" w:rsidRDefault="00CF51C5" w:rsidP="00882158">
      <w:pPr>
        <w:pStyle w:val="BodyText"/>
      </w:pPr>
      <w:r>
        <w:lastRenderedPageBreak/>
        <w:t>For each scenario, five WDRs are calculated – representing the WDR for each additional day worked in a week by sole and secondary earners.</w:t>
      </w:r>
      <w:r>
        <w:rPr>
          <w:rStyle w:val="FootnoteReference"/>
        </w:rPr>
        <w:footnoteReference w:id="25"/>
      </w:r>
      <w:r>
        <w:t xml:space="preserve"> WDRs are calculated using the cameo version of the Australian Government Treasury’s Comparative Analysis of Personal Income Tax and Transfers in Australia (CAPITA) microsimulation model. CAPITA incorporates a comprehensive suite of Australian personal income taxes and transfer payments – further detail on the model is available in </w:t>
      </w:r>
      <w:r w:rsidRPr="00C51FBD">
        <w:rPr>
          <w:rFonts w:ascii="Arial" w:hAnsi="Arial" w:cs="Arial"/>
        </w:rPr>
        <w:t>Stevenson et al. </w:t>
      </w:r>
      <w:r>
        <w:rPr>
          <w:rFonts w:ascii="Arial" w:hAnsi="Arial" w:cs="Arial"/>
        </w:rPr>
        <w:t>(</w:t>
      </w:r>
      <w:r w:rsidRPr="00C51FBD">
        <w:rPr>
          <w:rFonts w:ascii="Arial" w:hAnsi="Arial" w:cs="Arial"/>
        </w:rPr>
        <w:t>2017)</w:t>
      </w:r>
      <w:r>
        <w:t>.</w:t>
      </w:r>
    </w:p>
    <w:p w14:paraId="08EF5C93" w14:textId="77777777" w:rsidR="00CF51C5" w:rsidRDefault="00CF51C5">
      <w:pPr>
        <w:pStyle w:val="FigureTableHeading"/>
      </w:pPr>
      <w:r>
        <w:t xml:space="preserve">Table </w:t>
      </w:r>
      <w:r>
        <w:rPr>
          <w:noProof/>
        </w:rPr>
        <w:t>F</w:t>
      </w:r>
      <w:r>
        <w:t>.</w:t>
      </w:r>
      <w:r>
        <w:rPr>
          <w:noProof/>
        </w:rPr>
        <w:t>1 – Some family compositions are more common than others</w:t>
      </w:r>
      <w:r w:rsidRPr="00EC0C27">
        <w:rPr>
          <w:vertAlign w:val="superscript"/>
        </w:rPr>
        <w:t>a,b</w:t>
      </w:r>
    </w:p>
    <w:p w14:paraId="61BF2C0C" w14:textId="77777777" w:rsidR="00CF51C5" w:rsidRDefault="00CF51C5">
      <w:pPr>
        <w:pStyle w:val="FigureTableSubheading"/>
      </w:pPr>
      <w:r>
        <w:t>Weighted proportion of families with children aged five and under by family composition, 2019</w:t>
      </w:r>
      <w:r>
        <w:noBreakHyphen/>
        <w:t>20</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2268"/>
        <w:gridCol w:w="2693"/>
        <w:gridCol w:w="2268"/>
      </w:tblGrid>
      <w:tr w:rsidR="00CF51C5" w:rsidRPr="00030C67" w14:paraId="29EB0BA2" w14:textId="77777777">
        <w:trPr>
          <w:tblHeader/>
        </w:trPr>
        <w:tc>
          <w:tcPr>
            <w:tcW w:w="2410" w:type="dxa"/>
            <w:tcBorders>
              <w:bottom w:val="single" w:sz="4" w:space="0" w:color="B3B3B3"/>
            </w:tcBorders>
            <w:shd w:val="clear" w:color="000000" w:fill="auto"/>
            <w:vAlign w:val="bottom"/>
          </w:tcPr>
          <w:p w14:paraId="7E09AE7C" w14:textId="77777777" w:rsidR="00CF51C5" w:rsidRPr="00030C67" w:rsidRDefault="00CF51C5">
            <w:pPr>
              <w:spacing w:before="45" w:after="45"/>
              <w:ind w:right="108"/>
              <w:rPr>
                <w:rFonts w:ascii="Arial (Body)" w:hAnsi="Arial (Body)"/>
                <w:color w:val="265A9A"/>
              </w:rPr>
            </w:pPr>
          </w:p>
        </w:tc>
        <w:tc>
          <w:tcPr>
            <w:tcW w:w="2268" w:type="dxa"/>
            <w:tcBorders>
              <w:bottom w:val="single" w:sz="4" w:space="0" w:color="B3B3B3"/>
            </w:tcBorders>
            <w:shd w:val="clear" w:color="000000" w:fill="auto"/>
            <w:vAlign w:val="bottom"/>
          </w:tcPr>
          <w:p w14:paraId="5477BAFD" w14:textId="77777777" w:rsidR="00CF51C5" w:rsidRPr="00030C67" w:rsidRDefault="00CF51C5">
            <w:pPr>
              <w:pStyle w:val="TableHeading"/>
            </w:pPr>
            <w:r>
              <w:t>One child</w:t>
            </w:r>
          </w:p>
        </w:tc>
        <w:tc>
          <w:tcPr>
            <w:tcW w:w="2693" w:type="dxa"/>
            <w:tcBorders>
              <w:bottom w:val="single" w:sz="4" w:space="0" w:color="B3B3B3"/>
            </w:tcBorders>
            <w:shd w:val="clear" w:color="000000" w:fill="auto"/>
            <w:vAlign w:val="bottom"/>
          </w:tcPr>
          <w:p w14:paraId="104D6423" w14:textId="77777777" w:rsidR="00CF51C5" w:rsidRDefault="00CF51C5">
            <w:pPr>
              <w:pStyle w:val="TableHeading"/>
            </w:pPr>
            <w:r>
              <w:t>Two children</w:t>
            </w:r>
          </w:p>
        </w:tc>
        <w:tc>
          <w:tcPr>
            <w:tcW w:w="2268" w:type="dxa"/>
            <w:tcBorders>
              <w:bottom w:val="single" w:sz="4" w:space="0" w:color="B3B3B3"/>
            </w:tcBorders>
            <w:shd w:val="clear" w:color="000000" w:fill="auto"/>
            <w:vAlign w:val="bottom"/>
          </w:tcPr>
          <w:p w14:paraId="04075F98" w14:textId="77777777" w:rsidR="00CF51C5" w:rsidRPr="00030C67" w:rsidRDefault="00CF51C5">
            <w:pPr>
              <w:pStyle w:val="TableHeading"/>
            </w:pPr>
            <w:r>
              <w:rPr>
                <w:bCs/>
              </w:rPr>
              <w:t>More than</w:t>
            </w:r>
            <w:r>
              <w:t xml:space="preserve"> two children</w:t>
            </w:r>
          </w:p>
        </w:tc>
      </w:tr>
      <w:tr w:rsidR="00CF51C5" w:rsidRPr="00030C67" w14:paraId="79802763" w14:textId="77777777" w:rsidTr="00A81036">
        <w:tc>
          <w:tcPr>
            <w:tcW w:w="2410" w:type="dxa"/>
            <w:tcBorders>
              <w:top w:val="single" w:sz="4" w:space="0" w:color="B3B3B3"/>
              <w:bottom w:val="nil"/>
            </w:tcBorders>
            <w:shd w:val="clear" w:color="000000" w:fill="F2F2F2"/>
          </w:tcPr>
          <w:p w14:paraId="392A0F48" w14:textId="77777777" w:rsidR="00CF51C5" w:rsidRPr="00030C67" w:rsidRDefault="00CF51C5">
            <w:pPr>
              <w:pStyle w:val="TableHeading"/>
            </w:pPr>
            <w:r>
              <w:t>Sole earner families</w:t>
            </w:r>
          </w:p>
        </w:tc>
        <w:tc>
          <w:tcPr>
            <w:tcW w:w="2268" w:type="dxa"/>
            <w:tcBorders>
              <w:top w:val="single" w:sz="4" w:space="0" w:color="B3B3B3"/>
              <w:bottom w:val="nil"/>
            </w:tcBorders>
            <w:shd w:val="clear" w:color="000000" w:fill="F2F2F2"/>
          </w:tcPr>
          <w:p w14:paraId="1D99174C"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10%</w:t>
            </w:r>
          </w:p>
        </w:tc>
        <w:tc>
          <w:tcPr>
            <w:tcW w:w="2693" w:type="dxa"/>
            <w:tcBorders>
              <w:top w:val="single" w:sz="4" w:space="0" w:color="B3B3B3"/>
              <w:bottom w:val="nil"/>
            </w:tcBorders>
            <w:shd w:val="clear" w:color="000000" w:fill="F2F2F2"/>
          </w:tcPr>
          <w:p w14:paraId="151F85CB"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3%</w:t>
            </w:r>
          </w:p>
        </w:tc>
        <w:tc>
          <w:tcPr>
            <w:tcW w:w="2268" w:type="dxa"/>
            <w:vMerge w:val="restart"/>
            <w:tcBorders>
              <w:top w:val="single" w:sz="4" w:space="0" w:color="B3B3B3"/>
            </w:tcBorders>
            <w:shd w:val="clear" w:color="auto" w:fill="F2F2F2" w:themeFill="background1" w:themeFillShade="F2"/>
            <w:vAlign w:val="center"/>
          </w:tcPr>
          <w:p w14:paraId="755C85A6"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2%</w:t>
            </w:r>
          </w:p>
        </w:tc>
      </w:tr>
      <w:tr w:rsidR="00CF51C5" w:rsidRPr="00030C67" w14:paraId="7B204A30" w14:textId="77777777" w:rsidTr="00A81036">
        <w:tc>
          <w:tcPr>
            <w:tcW w:w="2410" w:type="dxa"/>
            <w:tcBorders>
              <w:bottom w:val="single" w:sz="4" w:space="0" w:color="B3B3B3"/>
            </w:tcBorders>
            <w:shd w:val="clear" w:color="auto" w:fill="auto"/>
          </w:tcPr>
          <w:p w14:paraId="44740B5C" w14:textId="77777777" w:rsidR="00CF51C5" w:rsidRPr="00030C67" w:rsidRDefault="00CF51C5">
            <w:pPr>
              <w:pStyle w:val="TableHeading"/>
            </w:pPr>
            <w:r>
              <w:t>Coupled earner families</w:t>
            </w:r>
          </w:p>
        </w:tc>
        <w:tc>
          <w:tcPr>
            <w:tcW w:w="2268" w:type="dxa"/>
            <w:tcBorders>
              <w:bottom w:val="single" w:sz="4" w:space="0" w:color="B3B3B3"/>
            </w:tcBorders>
            <w:shd w:val="clear" w:color="auto" w:fill="auto"/>
          </w:tcPr>
          <w:p w14:paraId="32E48EC8"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61%</w:t>
            </w:r>
          </w:p>
        </w:tc>
        <w:tc>
          <w:tcPr>
            <w:tcW w:w="2693" w:type="dxa"/>
            <w:tcBorders>
              <w:bottom w:val="single" w:sz="4" w:space="0" w:color="B3B3B3"/>
            </w:tcBorders>
            <w:shd w:val="clear" w:color="auto" w:fill="auto"/>
          </w:tcPr>
          <w:p w14:paraId="054657A4"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24%</w:t>
            </w:r>
          </w:p>
        </w:tc>
        <w:tc>
          <w:tcPr>
            <w:tcW w:w="2268" w:type="dxa"/>
            <w:vMerge/>
            <w:tcBorders>
              <w:bottom w:val="single" w:sz="4" w:space="0" w:color="B3B3B3"/>
            </w:tcBorders>
            <w:shd w:val="clear" w:color="auto" w:fill="F2F2F2" w:themeFill="background1" w:themeFillShade="F2"/>
          </w:tcPr>
          <w:p w14:paraId="769CDEE7" w14:textId="77777777" w:rsidR="00CF51C5" w:rsidRPr="00030C67" w:rsidRDefault="00CF51C5">
            <w:pPr>
              <w:pStyle w:val="TableBody"/>
              <w:spacing w:before="45" w:after="45"/>
              <w:ind w:right="108"/>
              <w:rPr>
                <w:rFonts w:ascii="Arial (Body)" w:hAnsi="Arial (Body)"/>
                <w:color w:val="000000"/>
              </w:rPr>
            </w:pPr>
          </w:p>
        </w:tc>
      </w:tr>
    </w:tbl>
    <w:p w14:paraId="20CB0076" w14:textId="77777777" w:rsidR="00CF51C5" w:rsidRDefault="00CF51C5">
      <w:pPr>
        <w:pStyle w:val="Note"/>
      </w:pPr>
      <w:r w:rsidRPr="00C36914">
        <w:rPr>
          <w:b/>
          <w:bCs/>
        </w:rPr>
        <w:t>a.</w:t>
      </w:r>
      <w:r w:rsidRPr="00C36914">
        <w:t xml:space="preserve"> </w:t>
      </w:r>
      <w:r w:rsidRPr="007547AC">
        <w:t xml:space="preserve">Values in the </w:t>
      </w:r>
      <w:r>
        <w:t>right column</w:t>
      </w:r>
      <w:r w:rsidRPr="007547AC">
        <w:t xml:space="preserve"> (dark grey) are suppressed due to the small number of observations in the corresponding cells</w:t>
      </w:r>
      <w:r>
        <w:t>.</w:t>
      </w:r>
      <w:r w:rsidRPr="00C36914">
        <w:t xml:space="preserve"> </w:t>
      </w:r>
      <w:r w:rsidRPr="00C36914">
        <w:rPr>
          <w:b/>
          <w:bCs/>
        </w:rPr>
        <w:t>b.</w:t>
      </w:r>
      <w:r w:rsidRPr="00C36914">
        <w:t xml:space="preserve"> </w:t>
      </w:r>
      <w:r>
        <w:t>Income unit weights from the SIH were applied</w:t>
      </w:r>
      <w:r w:rsidRPr="00C36914">
        <w:t>.</w:t>
      </w:r>
    </w:p>
    <w:p w14:paraId="26DD6D6F" w14:textId="77777777" w:rsidR="00CF51C5" w:rsidRDefault="00CF51C5" w:rsidP="00882158">
      <w:pPr>
        <w:pStyle w:val="Source"/>
      </w:pPr>
      <w:r w:rsidRPr="00696447">
        <w:t xml:space="preserve">Source: </w:t>
      </w:r>
      <w:r>
        <w:t>Productivity Commission estimates using ABS 2019</w:t>
      </w:r>
      <w:r>
        <w:noBreakHyphen/>
        <w:t>20 SIH</w:t>
      </w:r>
      <w:r w:rsidRPr="00696447">
        <w:t>.</w:t>
      </w:r>
    </w:p>
    <w:p w14:paraId="17BC0881" w14:textId="77777777" w:rsidR="00CF51C5" w:rsidRPr="00A81036" w:rsidRDefault="00CF51C5" w:rsidP="00882158">
      <w:pPr>
        <w:pStyle w:val="BodyText"/>
        <w:rPr>
          <w:spacing w:val="-2"/>
        </w:rPr>
      </w:pPr>
      <w:r w:rsidRPr="00A81036">
        <w:rPr>
          <w:spacing w:val="-2"/>
        </w:rPr>
        <w:t>The scenarios do not represent the income positions of all families. As illustrated in section F.3, about 60% of sole earner families (such as those included in figure F.1) have a full</w:t>
      </w:r>
      <w:r w:rsidRPr="00A81036">
        <w:rPr>
          <w:spacing w:val="-2"/>
        </w:rPr>
        <w:noBreakHyphen/>
        <w:t>time equivalent (FTE) income within the $60,000 to $100,000 range. Incomes of coupled earner families can vary widely. Some families have similar levels of FTE income for each member of the couple, like the families included in figure F.2. For other families, such as those included in figure F.3, incomes are more asymmetric. About half of coupled earner families with young children are not well</w:t>
      </w:r>
      <w:r w:rsidRPr="00A81036">
        <w:rPr>
          <w:spacing w:val="-2"/>
        </w:rPr>
        <w:noBreakHyphen/>
        <w:t>represented by the set of hypothetical families in this analysis (table F.4).</w:t>
      </w:r>
    </w:p>
    <w:p w14:paraId="239EF3CA" w14:textId="05D67955" w:rsidR="00CF51C5" w:rsidRDefault="00CF51C5" w:rsidP="00882158">
      <w:pPr>
        <w:pStyle w:val="BodyText"/>
      </w:pPr>
      <w:r>
        <w:t>For all the scenarios presented, tax rates and thresholds reflect the 2023</w:t>
      </w:r>
      <w:r>
        <w:noBreakHyphen/>
        <w:t>24 personal income tax schedule,</w:t>
      </w:r>
      <w:r w:rsidDel="007351AA">
        <w:t xml:space="preserve"> </w:t>
      </w:r>
      <w:r>
        <w:t>and transfer payment rates and associated thresholds reflect the 2023</w:t>
      </w:r>
      <w:r>
        <w:noBreakHyphen/>
        <w:t>24 transfer payment system.</w:t>
      </w:r>
      <w:r>
        <w:rPr>
          <w:rStyle w:val="FootnoteReference"/>
        </w:rPr>
        <w:footnoteReference w:id="26"/>
      </w:r>
      <w:r>
        <w:t xml:space="preserve"> What differs across the scenarios are the Child Care Subsidy (CCS) rates and associated means testing income thresholds. Some scenarios reflect previous and current policy settings, for example, before and after the July 2023 Cheaper Child Care reforms.</w:t>
      </w:r>
    </w:p>
    <w:p w14:paraId="23FB4555" w14:textId="77777777" w:rsidR="00CF51C5" w:rsidRDefault="00CF51C5" w:rsidP="00882158">
      <w:pPr>
        <w:pStyle w:val="BodyText"/>
      </w:pPr>
      <w:r>
        <w:t>After the Cheaper Child Care reforms, families with an adjusted taxable income</w:t>
      </w:r>
      <w:r>
        <w:rPr>
          <w:rStyle w:val="FootnoteReference"/>
        </w:rPr>
        <w:footnoteReference w:id="27"/>
      </w:r>
      <w:r>
        <w:t xml:space="preserve"> up to $80,000 are eligible for a 90% CCS rate for their first child, with the subsidy rate tapering down by 1 percentage point (ppt) for every $5,000 a family earns above $80,000. Previously, the maximum CCS rate for a family’s first child was 85%, and taper rates were more complex. Subsidy rates for the higher CCS (HCCS) remained largely unchanged after the Cheaper Child Care reforms. However, for families with incomes above $362,408, HCCS rates increased for second and subsequent children to be the same as the family’s CCS rate for their first </w:t>
      </w:r>
      <w:r w:rsidDel="00B716A8">
        <w:t>child</w:t>
      </w:r>
      <w:r>
        <w:t>. Further detail on CCS rates is provided in appendix D.</w:t>
      </w:r>
    </w:p>
    <w:p w14:paraId="799F8326" w14:textId="77777777" w:rsidR="00CF51C5" w:rsidRDefault="00CF51C5" w:rsidP="00882158">
      <w:pPr>
        <w:pStyle w:val="BodyText"/>
      </w:pPr>
      <w:r>
        <w:t>Other scenarios represent potential policy reforms considered in paper 6 (table F.2).</w:t>
      </w:r>
      <w:r>
        <w:rPr>
          <w:rStyle w:val="FootnoteReference"/>
        </w:rPr>
        <w:footnoteReference w:id="28"/>
      </w:r>
      <w:r>
        <w:t xml:space="preserve"> The differences in subsidy rates and thresholds result in differences in WDRs.</w:t>
      </w:r>
      <w:r w:rsidRPr="0021764A" w:rsidDel="00C5230B">
        <w:t xml:space="preserve"> </w:t>
      </w:r>
      <w:r>
        <w:t xml:space="preserve">Reforms that involve relaxing or abolishing the activity test do not impact WDRs. This is because when calculating WDRs, ECEC use is assumed to increase proportionally as hours of work rise. Therefore, if the activity test were retained or relaxed, the </w:t>
      </w:r>
      <w:r>
        <w:lastRenderedPageBreak/>
        <w:t>family’s activity test result would be such that for any additional day of work, all hours of ECEC would be subsidised. If the activity test were abolished, all hours of ECEC would also be subsidised.</w:t>
      </w:r>
    </w:p>
    <w:p w14:paraId="77774EA0" w14:textId="77777777" w:rsidR="00CF51C5" w:rsidRDefault="00CF51C5" w:rsidP="00882158">
      <w:pPr>
        <w:pStyle w:val="FigureTableHeading"/>
      </w:pPr>
      <w:r>
        <w:t xml:space="preserve">Table </w:t>
      </w:r>
      <w:r>
        <w:rPr>
          <w:noProof/>
        </w:rPr>
        <w:t>F</w:t>
      </w:r>
      <w:r>
        <w:t>.</w:t>
      </w:r>
      <w:r>
        <w:rPr>
          <w:noProof/>
        </w:rPr>
        <w:t>2 – Modelled CCS policy options</w:t>
      </w:r>
    </w:p>
    <w:tbl>
      <w:tblPr>
        <w:tblpPr w:leftFromText="180" w:rightFromText="180" w:vertAnchor="text" w:tblpY="1"/>
        <w:tblOverlap w:val="neve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124"/>
        <w:gridCol w:w="2271"/>
        <w:gridCol w:w="2976"/>
        <w:gridCol w:w="2267"/>
      </w:tblGrid>
      <w:tr w:rsidR="00CF51C5" w:rsidRPr="00D562BD" w14:paraId="78479CDA" w14:textId="77777777" w:rsidTr="00882158">
        <w:trPr>
          <w:trHeight w:val="594"/>
          <w:tblHeader/>
        </w:trPr>
        <w:tc>
          <w:tcPr>
            <w:tcW w:w="1102" w:type="pct"/>
            <w:tcBorders>
              <w:bottom w:val="single" w:sz="4" w:space="0" w:color="B3B3B3"/>
            </w:tcBorders>
            <w:shd w:val="clear" w:color="auto" w:fill="auto"/>
            <w:tcMar>
              <w:top w:w="15" w:type="dxa"/>
              <w:left w:w="15" w:type="dxa"/>
              <w:bottom w:w="0" w:type="dxa"/>
              <w:right w:w="15" w:type="dxa"/>
            </w:tcMar>
            <w:hideMark/>
          </w:tcPr>
          <w:p w14:paraId="371039DA" w14:textId="77777777" w:rsidR="00CF51C5" w:rsidRPr="00D562BD" w:rsidRDefault="00CF51C5">
            <w:pPr>
              <w:pStyle w:val="BodyText"/>
              <w:spacing w:before="45" w:after="45"/>
              <w:ind w:left="57" w:right="108"/>
              <w:rPr>
                <w:rFonts w:ascii="Arial (Body)" w:hAnsi="Arial (Body)"/>
                <w:b/>
                <w:color w:val="265A9A"/>
                <w:sz w:val="18"/>
              </w:rPr>
            </w:pPr>
            <w:r>
              <w:rPr>
                <w:rFonts w:ascii="Arial (Body)" w:hAnsi="Arial (Body)"/>
                <w:b/>
                <w:bCs/>
                <w:color w:val="265A9A"/>
                <w:sz w:val="18"/>
              </w:rPr>
              <w:t>Options</w:t>
            </w:r>
          </w:p>
        </w:tc>
        <w:tc>
          <w:tcPr>
            <w:tcW w:w="1178" w:type="pct"/>
            <w:tcBorders>
              <w:bottom w:val="single" w:sz="4" w:space="0" w:color="B3B3B3"/>
            </w:tcBorders>
            <w:shd w:val="clear" w:color="auto" w:fill="auto"/>
            <w:tcMar>
              <w:top w:w="15" w:type="dxa"/>
              <w:left w:w="15" w:type="dxa"/>
              <w:bottom w:w="0" w:type="dxa"/>
              <w:right w:w="15" w:type="dxa"/>
            </w:tcMar>
            <w:hideMark/>
          </w:tcPr>
          <w:p w14:paraId="04881F10" w14:textId="77777777" w:rsidR="00CF51C5" w:rsidRPr="00D562BD" w:rsidRDefault="00CF51C5">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rate</w:t>
            </w:r>
          </w:p>
        </w:tc>
        <w:tc>
          <w:tcPr>
            <w:tcW w:w="1544" w:type="pct"/>
            <w:tcBorders>
              <w:bottom w:val="single" w:sz="4" w:space="0" w:color="B3B3B3"/>
            </w:tcBorders>
            <w:shd w:val="clear" w:color="auto" w:fill="auto"/>
            <w:tcMar>
              <w:top w:w="15" w:type="dxa"/>
              <w:left w:w="15" w:type="dxa"/>
              <w:bottom w:w="0" w:type="dxa"/>
              <w:right w:w="15" w:type="dxa"/>
            </w:tcMar>
            <w:hideMark/>
          </w:tcPr>
          <w:p w14:paraId="751C6B7F" w14:textId="77777777" w:rsidR="00CF51C5" w:rsidRPr="00D562BD" w:rsidRDefault="00CF51C5">
            <w:pPr>
              <w:pStyle w:val="BodyText"/>
              <w:spacing w:before="45" w:after="45"/>
              <w:ind w:left="57" w:right="108"/>
              <w:rPr>
                <w:rFonts w:ascii="Arial (Body)" w:hAnsi="Arial (Body)"/>
                <w:b/>
                <w:color w:val="265A9A"/>
                <w:sz w:val="18"/>
              </w:rPr>
            </w:pPr>
            <w:r w:rsidRPr="00D562BD">
              <w:rPr>
                <w:rFonts w:ascii="Arial (Body)" w:hAnsi="Arial (Body)"/>
                <w:b/>
                <w:bCs/>
                <w:color w:val="265A9A"/>
                <w:sz w:val="18"/>
              </w:rPr>
              <w:t>HCCS rate</w:t>
            </w:r>
          </w:p>
        </w:tc>
        <w:tc>
          <w:tcPr>
            <w:tcW w:w="1176" w:type="pct"/>
            <w:tcBorders>
              <w:bottom w:val="single" w:sz="4" w:space="0" w:color="B3B3B3"/>
            </w:tcBorders>
            <w:shd w:val="clear" w:color="auto" w:fill="auto"/>
            <w:tcMar>
              <w:top w:w="15" w:type="dxa"/>
              <w:left w:w="15" w:type="dxa"/>
              <w:bottom w:w="0" w:type="dxa"/>
              <w:right w:w="15" w:type="dxa"/>
            </w:tcMar>
            <w:hideMark/>
          </w:tcPr>
          <w:p w14:paraId="5E54DA4D" w14:textId="77777777" w:rsidR="00CF51C5" w:rsidRPr="00D562BD" w:rsidRDefault="00CF51C5">
            <w:pPr>
              <w:pStyle w:val="BodyText"/>
              <w:spacing w:before="45" w:after="45"/>
              <w:ind w:left="57" w:right="108"/>
              <w:rPr>
                <w:rFonts w:ascii="Arial (Body)" w:hAnsi="Arial (Body)"/>
                <w:b/>
                <w:color w:val="265A9A"/>
                <w:sz w:val="18"/>
              </w:rPr>
            </w:pPr>
            <w:r w:rsidRPr="00D562BD">
              <w:rPr>
                <w:rFonts w:ascii="Arial (Body)" w:hAnsi="Arial (Body)"/>
                <w:b/>
                <w:bCs/>
                <w:color w:val="265A9A"/>
                <w:sz w:val="18"/>
              </w:rPr>
              <w:t>Activity test</w:t>
            </w:r>
          </w:p>
        </w:tc>
      </w:tr>
      <w:tr w:rsidR="00CF51C5" w:rsidRPr="00D562BD" w14:paraId="7FEDD760" w14:textId="77777777" w:rsidTr="00882158">
        <w:trPr>
          <w:trHeight w:val="1295"/>
        </w:trPr>
        <w:tc>
          <w:tcPr>
            <w:tcW w:w="1102"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6E595213" w14:textId="77777777" w:rsidR="00CF51C5" w:rsidRPr="00D562BD" w:rsidRDefault="00CF51C5">
            <w:pPr>
              <w:pStyle w:val="BodyText"/>
              <w:spacing w:before="45" w:after="45"/>
              <w:ind w:left="57" w:right="108"/>
              <w:rPr>
                <w:rFonts w:ascii="Arial (Body)" w:hAnsi="Arial (Body)"/>
                <w:b/>
                <w:color w:val="265A9A"/>
                <w:sz w:val="18"/>
              </w:rPr>
            </w:pPr>
            <w:r>
              <w:rPr>
                <w:rFonts w:ascii="Arial (Body)" w:hAnsi="Arial (Body)"/>
                <w:b/>
                <w:bCs/>
                <w:color w:val="265A9A"/>
                <w:sz w:val="18"/>
              </w:rPr>
              <w:t xml:space="preserve">One / A: Remove the activity test and increase the subsidy rate </w:t>
            </w:r>
            <w:r w:rsidRPr="00AC4EC9">
              <w:rPr>
                <w:rFonts w:ascii="Arial (Body)" w:hAnsi="Arial (Body)"/>
                <w:b/>
                <w:bCs/>
                <w:color w:val="265A9A"/>
                <w:sz w:val="18"/>
              </w:rPr>
              <w:t>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tc>
        <w:tc>
          <w:tcPr>
            <w:tcW w:w="1178"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73AE9EE8"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0D131BCD"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544"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311E4225"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70DC4188" w14:textId="77777777" w:rsidR="00CF51C5" w:rsidRDefault="00CF51C5">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$140,000</w:t>
            </w:r>
          </w:p>
          <w:p w14:paraId="4CCAF22C"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1176"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20B94DE4"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w:t>
            </w:r>
            <w:r>
              <w:rPr>
                <w:rFonts w:ascii="Arial (Body)" w:hAnsi="Arial (Body)" w:hint="eastAsia"/>
                <w:color w:val="000000"/>
                <w:sz w:val="18"/>
              </w:rPr>
              <w:t> </w:t>
            </w:r>
            <w:r>
              <w:rPr>
                <w:rFonts w:ascii="Arial (Body)" w:hAnsi="Arial (Body)"/>
                <w:color w:val="000000"/>
                <w:sz w:val="18"/>
              </w:rPr>
              <w:t>subsidised hours of ECEC per week (100</w:t>
            </w:r>
            <w:r>
              <w:rPr>
                <w:rFonts w:ascii="Arial (Body)" w:hAnsi="Arial (Body)" w:hint="eastAsia"/>
                <w:color w:val="000000"/>
                <w:sz w:val="18"/>
              </w:rPr>
              <w:t> </w:t>
            </w:r>
            <w:r>
              <w:rPr>
                <w:rFonts w:ascii="Arial (Body)" w:hAnsi="Arial (Body)"/>
                <w:color w:val="000000"/>
                <w:sz w:val="18"/>
              </w:rPr>
              <w:t>hours per fortnight)</w:t>
            </w:r>
          </w:p>
        </w:tc>
      </w:tr>
      <w:tr w:rsidR="00CF51C5" w:rsidRPr="00A26FFC" w14:paraId="7CF27909" w14:textId="77777777" w:rsidTr="00882158">
        <w:trPr>
          <w:trHeight w:val="78"/>
        </w:trPr>
        <w:tc>
          <w:tcPr>
            <w:tcW w:w="1102" w:type="pct"/>
            <w:tcBorders>
              <w:top w:val="nil"/>
              <w:bottom w:val="nil"/>
            </w:tcBorders>
            <w:shd w:val="clear" w:color="auto" w:fill="auto"/>
            <w:tcMar>
              <w:top w:w="15" w:type="dxa"/>
              <w:left w:w="15" w:type="dxa"/>
              <w:bottom w:w="0" w:type="dxa"/>
              <w:right w:w="15" w:type="dxa"/>
            </w:tcMar>
          </w:tcPr>
          <w:p w14:paraId="626C7CE0" w14:textId="77777777" w:rsidR="00CF51C5" w:rsidRPr="00722B27" w:rsidRDefault="00CF51C5">
            <w:pPr>
              <w:pStyle w:val="BodyText"/>
              <w:spacing w:before="45" w:after="45"/>
              <w:ind w:left="57" w:right="108"/>
              <w:rPr>
                <w:rFonts w:ascii="Arial (Body)" w:hAnsi="Arial (Body)"/>
                <w:b/>
                <w:bCs/>
                <w:color w:val="265A9A"/>
                <w:sz w:val="18"/>
              </w:rPr>
            </w:pPr>
            <w:r>
              <w:rPr>
                <w:rFonts w:ascii="Arial (Body)" w:hAnsi="Arial (Body)"/>
                <w:b/>
                <w:bCs/>
                <w:color w:val="265A9A"/>
                <w:sz w:val="18"/>
              </w:rPr>
              <w:t>Two:</w:t>
            </w:r>
            <w:r>
              <w:t xml:space="preserve"> </w:t>
            </w:r>
            <w:r w:rsidRPr="00AE0407">
              <w:rPr>
                <w:rFonts w:ascii="Arial (Body)" w:hAnsi="Arial (Body)"/>
                <w:b/>
                <w:bCs/>
                <w:color w:val="265A9A"/>
                <w:sz w:val="18"/>
              </w:rPr>
              <w:t>Increase the subsidy rate to 100% for low</w:t>
            </w:r>
            <w:r>
              <w:rPr>
                <w:rFonts w:ascii="Arial (Body)" w:hAnsi="Arial (Body)"/>
                <w:b/>
                <w:bCs/>
                <w:color w:val="265A9A"/>
                <w:sz w:val="18"/>
              </w:rPr>
              <w:t>er</w:t>
            </w:r>
            <w:r>
              <w:rPr>
                <w:rFonts w:ascii="Arial (Body)" w:hAnsi="Arial (Body)"/>
                <w:b/>
                <w:bCs/>
                <w:color w:val="265A9A"/>
                <w:sz w:val="18"/>
              </w:rPr>
              <w:noBreakHyphen/>
            </w:r>
            <w:r w:rsidRPr="00AE0407">
              <w:rPr>
                <w:rFonts w:ascii="Arial (Body)" w:hAnsi="Arial (Body)"/>
                <w:b/>
                <w:bCs/>
                <w:color w:val="265A9A"/>
                <w:sz w:val="18"/>
              </w:rPr>
              <w:t>income families</w:t>
            </w:r>
          </w:p>
        </w:tc>
        <w:tc>
          <w:tcPr>
            <w:tcW w:w="1178" w:type="pct"/>
            <w:tcBorders>
              <w:top w:val="nil"/>
              <w:bottom w:val="nil"/>
            </w:tcBorders>
            <w:shd w:val="clear" w:color="auto" w:fill="auto"/>
            <w:tcMar>
              <w:top w:w="15" w:type="dxa"/>
              <w:left w:w="15" w:type="dxa"/>
              <w:bottom w:w="0" w:type="dxa"/>
              <w:right w:w="15" w:type="dxa"/>
            </w:tcMar>
          </w:tcPr>
          <w:p w14:paraId="76FF9914"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46A09032"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544" w:type="pct"/>
            <w:tcBorders>
              <w:top w:val="nil"/>
              <w:bottom w:val="nil"/>
            </w:tcBorders>
            <w:shd w:val="clear" w:color="auto" w:fill="auto"/>
            <w:tcMar>
              <w:top w:w="15" w:type="dxa"/>
              <w:left w:w="15" w:type="dxa"/>
              <w:bottom w:w="0" w:type="dxa"/>
              <w:right w:w="15" w:type="dxa"/>
            </w:tcMar>
          </w:tcPr>
          <w:p w14:paraId="18C8B8CA"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 HCCS rate tapers down from 100% by 1ppt for every $5,000 over $140,000</w:t>
            </w:r>
          </w:p>
          <w:p w14:paraId="6765E310"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1176" w:type="pct"/>
            <w:tcBorders>
              <w:top w:val="nil"/>
              <w:bottom w:val="nil"/>
            </w:tcBorders>
            <w:shd w:val="clear" w:color="auto" w:fill="auto"/>
            <w:tcMar>
              <w:top w:w="15" w:type="dxa"/>
              <w:left w:w="15" w:type="dxa"/>
              <w:bottom w:w="0" w:type="dxa"/>
              <w:right w:w="15" w:type="dxa"/>
            </w:tcMar>
          </w:tcPr>
          <w:p w14:paraId="4AC4DA2B" w14:textId="77777777" w:rsidR="00CF51C5" w:rsidRDefault="00CF51C5">
            <w:pPr>
              <w:pStyle w:val="BodyText"/>
              <w:spacing w:before="45" w:after="45"/>
              <w:ind w:left="57" w:right="108"/>
              <w:rPr>
                <w:rFonts w:ascii="Arial (Body)" w:hAnsi="Arial (Body)"/>
                <w:color w:val="000000"/>
                <w:sz w:val="18"/>
              </w:rPr>
            </w:pPr>
            <w:r>
              <w:rPr>
                <w:rFonts w:ascii="Arial (Body)" w:hAnsi="Arial (Body)"/>
                <w:color w:val="000000"/>
                <w:sz w:val="18"/>
              </w:rPr>
              <w:t>No change</w:t>
            </w:r>
          </w:p>
        </w:tc>
      </w:tr>
      <w:tr w:rsidR="00CF51C5" w:rsidRPr="00A26FFC" w14:paraId="1C34F1BC" w14:textId="77777777" w:rsidTr="00882158">
        <w:trPr>
          <w:trHeight w:val="1605"/>
        </w:trPr>
        <w:tc>
          <w:tcPr>
            <w:tcW w:w="1102" w:type="pct"/>
            <w:tcBorders>
              <w:bottom w:val="nil"/>
            </w:tcBorders>
            <w:shd w:val="clear" w:color="auto" w:fill="F2F2F2" w:themeFill="background1" w:themeFillShade="F2"/>
            <w:tcMar>
              <w:top w:w="15" w:type="dxa"/>
              <w:left w:w="15" w:type="dxa"/>
              <w:bottom w:w="0" w:type="dxa"/>
              <w:right w:w="15" w:type="dxa"/>
            </w:tcMar>
            <w:hideMark/>
          </w:tcPr>
          <w:p w14:paraId="7D1A512A" w14:textId="77777777" w:rsidR="00CF51C5" w:rsidRPr="00D562BD" w:rsidRDefault="00CF51C5">
            <w:pPr>
              <w:pStyle w:val="BodyText"/>
              <w:spacing w:before="45" w:after="45"/>
              <w:ind w:left="57" w:right="108"/>
              <w:rPr>
                <w:rFonts w:ascii="Arial (Body)" w:hAnsi="Arial (Body)"/>
                <w:b/>
                <w:color w:val="265A9A"/>
                <w:sz w:val="18"/>
              </w:rPr>
            </w:pPr>
            <w:r>
              <w:rPr>
                <w:rFonts w:ascii="Arial (Body)" w:hAnsi="Arial (Body)"/>
                <w:b/>
                <w:bCs/>
                <w:color w:val="265A9A"/>
                <w:sz w:val="18"/>
              </w:rPr>
              <w:t>Three: Remove the activity test for all families and retain income testing</w:t>
            </w:r>
          </w:p>
        </w:tc>
        <w:tc>
          <w:tcPr>
            <w:tcW w:w="1178" w:type="pct"/>
            <w:tcBorders>
              <w:bottom w:val="nil"/>
            </w:tcBorders>
            <w:shd w:val="clear" w:color="auto" w:fill="F2F2F2" w:themeFill="background1" w:themeFillShade="F2"/>
            <w:tcMar>
              <w:top w:w="15" w:type="dxa"/>
              <w:left w:w="15" w:type="dxa"/>
              <w:bottom w:w="0" w:type="dxa"/>
              <w:right w:w="15" w:type="dxa"/>
            </w:tcMar>
            <w:hideMark/>
          </w:tcPr>
          <w:p w14:paraId="75A8C50C"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1544" w:type="pct"/>
            <w:tcBorders>
              <w:bottom w:val="nil"/>
            </w:tcBorders>
            <w:shd w:val="clear" w:color="auto" w:fill="F2F2F2" w:themeFill="background1" w:themeFillShade="F2"/>
            <w:tcMar>
              <w:top w:w="15" w:type="dxa"/>
              <w:left w:w="15" w:type="dxa"/>
              <w:bottom w:w="0" w:type="dxa"/>
              <w:right w:w="15" w:type="dxa"/>
            </w:tcMar>
            <w:hideMark/>
          </w:tcPr>
          <w:p w14:paraId="669C42E3"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1176" w:type="pct"/>
            <w:tcBorders>
              <w:bottom w:val="nil"/>
            </w:tcBorders>
            <w:shd w:val="clear" w:color="auto" w:fill="F2F2F2" w:themeFill="background1" w:themeFillShade="F2"/>
            <w:tcMar>
              <w:top w:w="15" w:type="dxa"/>
              <w:left w:w="15" w:type="dxa"/>
              <w:bottom w:w="0" w:type="dxa"/>
              <w:right w:w="15" w:type="dxa"/>
            </w:tcMar>
            <w:hideMark/>
          </w:tcPr>
          <w:p w14:paraId="13BEDD1A"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w:t>
            </w:r>
            <w:r>
              <w:rPr>
                <w:rFonts w:ascii="Arial (Body)" w:hAnsi="Arial (Body)" w:hint="eastAsia"/>
                <w:color w:val="000000"/>
                <w:sz w:val="18"/>
              </w:rPr>
              <w:t> </w:t>
            </w:r>
            <w:r>
              <w:rPr>
                <w:rFonts w:ascii="Arial (Body)" w:hAnsi="Arial (Body)"/>
                <w:color w:val="000000"/>
                <w:sz w:val="18"/>
              </w:rPr>
              <w:t>subsidised hours of ECEC per week (100</w:t>
            </w:r>
            <w:r>
              <w:rPr>
                <w:rFonts w:ascii="Arial (Body)" w:hAnsi="Arial (Body)" w:hint="eastAsia"/>
                <w:color w:val="000000"/>
                <w:sz w:val="18"/>
              </w:rPr>
              <w:t> </w:t>
            </w:r>
            <w:r>
              <w:rPr>
                <w:rFonts w:ascii="Arial (Body)" w:hAnsi="Arial (Body)"/>
                <w:color w:val="000000"/>
                <w:sz w:val="18"/>
              </w:rPr>
              <w:t>hours per fortnight)</w:t>
            </w:r>
          </w:p>
        </w:tc>
      </w:tr>
      <w:tr w:rsidR="00CF51C5" w:rsidRPr="00A26FFC" w14:paraId="7D89612F" w14:textId="77777777" w:rsidTr="00882158">
        <w:trPr>
          <w:trHeight w:val="668"/>
        </w:trPr>
        <w:tc>
          <w:tcPr>
            <w:tcW w:w="1102" w:type="pct"/>
            <w:tcBorders>
              <w:top w:val="nil"/>
              <w:bottom w:val="nil"/>
            </w:tcBorders>
            <w:shd w:val="clear" w:color="auto" w:fill="auto"/>
            <w:tcMar>
              <w:top w:w="15" w:type="dxa"/>
              <w:left w:w="15" w:type="dxa"/>
              <w:bottom w:w="0" w:type="dxa"/>
              <w:right w:w="15" w:type="dxa"/>
            </w:tcMar>
            <w:hideMark/>
          </w:tcPr>
          <w:p w14:paraId="362A711F" w14:textId="77777777" w:rsidR="00CF51C5" w:rsidRPr="00D562BD" w:rsidRDefault="00CF51C5">
            <w:pPr>
              <w:pStyle w:val="BodyText"/>
              <w:spacing w:before="45" w:after="45"/>
              <w:ind w:left="57" w:right="108"/>
              <w:rPr>
                <w:rFonts w:ascii="Arial (Body)" w:hAnsi="Arial (Body)"/>
                <w:b/>
                <w:color w:val="265A9A"/>
                <w:sz w:val="18"/>
              </w:rPr>
            </w:pPr>
            <w:r>
              <w:rPr>
                <w:rFonts w:ascii="Arial (Body)" w:hAnsi="Arial (Body)"/>
                <w:b/>
                <w:bCs/>
                <w:color w:val="265A9A"/>
                <w:sz w:val="18"/>
              </w:rPr>
              <w:t>Four: Relax the activity test and increase the subsidy rate</w:t>
            </w:r>
            <w:r w:rsidRPr="00AC4EC9">
              <w:rPr>
                <w:rFonts w:ascii="Arial (Body)" w:hAnsi="Arial (Body)"/>
                <w:b/>
                <w:bCs/>
                <w:color w:val="265A9A"/>
                <w:sz w:val="18"/>
              </w:rPr>
              <w:t xml:space="preserve"> 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tc>
        <w:tc>
          <w:tcPr>
            <w:tcW w:w="1178" w:type="pct"/>
            <w:tcBorders>
              <w:top w:val="nil"/>
              <w:bottom w:val="nil"/>
            </w:tcBorders>
            <w:shd w:val="clear" w:color="auto" w:fill="auto"/>
            <w:tcMar>
              <w:top w:w="15" w:type="dxa"/>
              <w:left w:w="15" w:type="dxa"/>
              <w:bottom w:w="0" w:type="dxa"/>
              <w:right w:w="15" w:type="dxa"/>
            </w:tcMar>
            <w:hideMark/>
          </w:tcPr>
          <w:p w14:paraId="1542721B"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31201FFF" w14:textId="77777777" w:rsidR="00CF51C5" w:rsidRPr="00D562BD" w:rsidRDefault="00CF51C5">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544" w:type="pct"/>
            <w:tcBorders>
              <w:top w:val="nil"/>
              <w:bottom w:val="nil"/>
            </w:tcBorders>
            <w:shd w:val="clear" w:color="auto" w:fill="auto"/>
            <w:tcMar>
              <w:top w:w="15" w:type="dxa"/>
              <w:left w:w="15" w:type="dxa"/>
              <w:bottom w:w="0" w:type="dxa"/>
              <w:right w:w="15" w:type="dxa"/>
            </w:tcMar>
            <w:hideMark/>
          </w:tcPr>
          <w:p w14:paraId="3878373B" w14:textId="77777777" w:rsidR="00CF51C5"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76EB91BF" w14:textId="77777777" w:rsidR="00CF51C5" w:rsidRDefault="00CF51C5">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$140,000</w:t>
            </w:r>
          </w:p>
          <w:p w14:paraId="464338E2" w14:textId="77777777" w:rsidR="00CF51C5" w:rsidRPr="00B50357" w:rsidRDefault="00CF51C5">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1176" w:type="pct"/>
            <w:tcBorders>
              <w:top w:val="nil"/>
              <w:bottom w:val="nil"/>
            </w:tcBorders>
            <w:shd w:val="clear" w:color="auto" w:fill="auto"/>
            <w:tcMar>
              <w:top w:w="15" w:type="dxa"/>
              <w:left w:w="15" w:type="dxa"/>
              <w:bottom w:w="0" w:type="dxa"/>
              <w:right w:w="15" w:type="dxa"/>
            </w:tcMar>
            <w:hideMark/>
          </w:tcPr>
          <w:p w14:paraId="1BEA108B" w14:textId="77777777" w:rsidR="00CF51C5" w:rsidRPr="00D562BD" w:rsidRDefault="00CF51C5">
            <w:pPr>
              <w:pStyle w:val="BodyText"/>
              <w:spacing w:before="45" w:after="45"/>
              <w:ind w:left="57" w:right="108"/>
              <w:rPr>
                <w:rFonts w:ascii="Arial (Body)" w:hAnsi="Arial (Body)"/>
                <w:color w:val="000000"/>
                <w:sz w:val="18"/>
              </w:rPr>
            </w:pPr>
            <w:r w:rsidRPr="00D562BD">
              <w:rPr>
                <w:rFonts w:ascii="Arial (Body)" w:hAnsi="Arial (Body)"/>
                <w:color w:val="000000"/>
                <w:sz w:val="18"/>
              </w:rPr>
              <w:t>None for three days of ECEC</w:t>
            </w:r>
            <w:r>
              <w:rPr>
                <w:rFonts w:ascii="Arial (Body)" w:hAnsi="Arial (Body)"/>
                <w:color w:val="000000"/>
                <w:sz w:val="18"/>
              </w:rPr>
              <w:t xml:space="preserve"> per week</w:t>
            </w:r>
            <w:r w:rsidRPr="00D562BD">
              <w:rPr>
                <w:rFonts w:ascii="Arial (Body)" w:hAnsi="Arial (Body)"/>
                <w:color w:val="000000"/>
                <w:sz w:val="18"/>
              </w:rPr>
              <w:t xml:space="preserve"> (</w:t>
            </w:r>
            <w:r w:rsidRPr="00CF6DDF">
              <w:rPr>
                <w:rFonts w:ascii="Arial (Body)" w:hAnsi="Arial (Body)"/>
                <w:color w:val="000000"/>
                <w:sz w:val="18"/>
              </w:rPr>
              <w:t>72</w:t>
            </w:r>
            <w:r>
              <w:rPr>
                <w:rFonts w:ascii="Arial (Body)" w:hAnsi="Arial (Body)" w:hint="eastAsia"/>
                <w:color w:val="000000"/>
                <w:sz w:val="18"/>
              </w:rPr>
              <w:t> </w:t>
            </w:r>
            <w:r w:rsidRPr="00D562BD">
              <w:rPr>
                <w:rFonts w:ascii="Arial (Body)" w:hAnsi="Arial (Body)"/>
                <w:color w:val="000000"/>
                <w:sz w:val="18"/>
              </w:rPr>
              <w:t>hours per fortnight)</w:t>
            </w:r>
            <w:r>
              <w:rPr>
                <w:rFonts w:ascii="Arial (Body)" w:hAnsi="Arial (Body)"/>
                <w:color w:val="000000"/>
                <w:sz w:val="18"/>
              </w:rPr>
              <w:t>, and n</w:t>
            </w:r>
            <w:r w:rsidRPr="00D562BD">
              <w:rPr>
                <w:rFonts w:ascii="Arial (Body)" w:hAnsi="Arial (Body)"/>
                <w:color w:val="000000"/>
                <w:sz w:val="18"/>
              </w:rPr>
              <w:t>o change for days four and five</w:t>
            </w:r>
          </w:p>
        </w:tc>
      </w:tr>
      <w:tr w:rsidR="00CF51C5" w14:paraId="42C9B838" w14:textId="77777777" w:rsidTr="00882158">
        <w:trPr>
          <w:trHeight w:val="668"/>
        </w:trPr>
        <w:tc>
          <w:tcPr>
            <w:tcW w:w="1102" w:type="pct"/>
            <w:tcBorders>
              <w:bottom w:val="nil"/>
            </w:tcBorders>
            <w:shd w:val="clear" w:color="auto" w:fill="F2F2F2" w:themeFill="background1" w:themeFillShade="F2"/>
            <w:tcMar>
              <w:top w:w="15" w:type="dxa"/>
              <w:left w:w="15" w:type="dxa"/>
              <w:bottom w:w="0" w:type="dxa"/>
              <w:right w:w="15" w:type="dxa"/>
            </w:tcMar>
          </w:tcPr>
          <w:p w14:paraId="1A624D39" w14:textId="77777777" w:rsidR="00CF51C5" w:rsidRDefault="00CF51C5">
            <w:pPr>
              <w:pStyle w:val="BodyText"/>
              <w:spacing w:before="45" w:after="45"/>
              <w:ind w:left="57" w:right="108"/>
              <w:rPr>
                <w:rFonts w:ascii="Arial (Body)" w:hAnsi="Arial (Body)"/>
                <w:b/>
                <w:bCs/>
                <w:color w:val="265A9A"/>
                <w:sz w:val="18"/>
              </w:rPr>
            </w:pPr>
            <w:r>
              <w:rPr>
                <w:rFonts w:ascii="Arial (Body)" w:hAnsi="Arial (Body)"/>
                <w:b/>
                <w:bCs/>
                <w:color w:val="265A9A"/>
                <w:sz w:val="18"/>
              </w:rPr>
              <w:t>Five / B</w:t>
            </w:r>
            <w:r w:rsidRPr="00D562BD">
              <w:rPr>
                <w:rFonts w:ascii="Arial (Body)" w:hAnsi="Arial (Body)"/>
                <w:b/>
                <w:bCs/>
                <w:color w:val="265A9A"/>
                <w:sz w:val="18"/>
              </w:rPr>
              <w:t>:</w:t>
            </w:r>
            <w:r>
              <w:rPr>
                <w:rFonts w:ascii="Arial (Body)" w:hAnsi="Arial (Body)"/>
                <w:b/>
                <w:bCs/>
                <w:color w:val="265A9A"/>
                <w:sz w:val="18"/>
              </w:rPr>
              <w:t xml:space="preserve"> </w:t>
            </w:r>
            <w:r w:rsidRPr="009F52F1">
              <w:rPr>
                <w:rFonts w:ascii="Arial (Body)" w:hAnsi="Arial (Body)"/>
                <w:b/>
                <w:bCs/>
                <w:color w:val="265A9A"/>
                <w:sz w:val="18"/>
              </w:rPr>
              <w:t>90% subsidy for all families</w:t>
            </w:r>
            <w:r>
              <w:rPr>
                <w:rFonts w:ascii="Arial (Body)" w:hAnsi="Arial (Body)"/>
                <w:b/>
                <w:bCs/>
                <w:color w:val="265A9A"/>
                <w:sz w:val="18"/>
              </w:rPr>
              <w:t xml:space="preserve"> and retain activity test</w:t>
            </w:r>
          </w:p>
        </w:tc>
        <w:tc>
          <w:tcPr>
            <w:tcW w:w="1178" w:type="pct"/>
            <w:tcBorders>
              <w:bottom w:val="nil"/>
            </w:tcBorders>
            <w:shd w:val="clear" w:color="auto" w:fill="F2F2F2" w:themeFill="background1" w:themeFillShade="F2"/>
            <w:tcMar>
              <w:top w:w="15" w:type="dxa"/>
              <w:left w:w="15" w:type="dxa"/>
              <w:bottom w:w="0" w:type="dxa"/>
              <w:right w:w="15" w:type="dxa"/>
            </w:tcMar>
          </w:tcPr>
          <w:p w14:paraId="48395501" w14:textId="77777777" w:rsidR="00CF51C5" w:rsidDel="00135A53" w:rsidRDefault="00CF51C5">
            <w:pPr>
              <w:pStyle w:val="BodyText"/>
              <w:spacing w:before="45" w:after="45"/>
              <w:ind w:left="57" w:right="108"/>
              <w:rPr>
                <w:rFonts w:ascii="Arial (Body)" w:hAnsi="Arial (Body)"/>
                <w:color w:val="000000"/>
                <w:sz w:val="18"/>
                <w:szCs w:val="18"/>
              </w:rPr>
            </w:pPr>
            <w:r w:rsidRPr="0090065D">
              <w:rPr>
                <w:rFonts w:ascii="Arial (Body)" w:hAnsi="Arial (Body)"/>
                <w:color w:val="000000"/>
                <w:sz w:val="18"/>
              </w:rPr>
              <w:t>90% for all families</w:t>
            </w:r>
          </w:p>
        </w:tc>
        <w:tc>
          <w:tcPr>
            <w:tcW w:w="1544" w:type="pct"/>
            <w:tcBorders>
              <w:bottom w:val="nil"/>
            </w:tcBorders>
            <w:shd w:val="clear" w:color="auto" w:fill="F2F2F2" w:themeFill="background1" w:themeFillShade="F2"/>
            <w:tcMar>
              <w:top w:w="15" w:type="dxa"/>
              <w:left w:w="15" w:type="dxa"/>
              <w:bottom w:w="0" w:type="dxa"/>
              <w:right w:w="15" w:type="dxa"/>
            </w:tcMar>
          </w:tcPr>
          <w:p w14:paraId="5A7EE446" w14:textId="77777777" w:rsidR="00CF51C5" w:rsidDel="00135A53" w:rsidRDefault="00CF51C5">
            <w:pPr>
              <w:pStyle w:val="BodyText"/>
              <w:spacing w:before="45" w:after="45"/>
              <w:ind w:left="57" w:right="108"/>
              <w:rPr>
                <w:rFonts w:ascii="Arial (Body)" w:hAnsi="Arial (Body)"/>
                <w:color w:val="000000"/>
                <w:sz w:val="18"/>
              </w:rPr>
            </w:pPr>
            <w:r>
              <w:rPr>
                <w:rFonts w:ascii="Arial (Body)" w:hAnsi="Arial (Body)"/>
                <w:color w:val="000000"/>
                <w:sz w:val="18"/>
              </w:rPr>
              <w:t>Families remain receiving the HCCS rate if they are eligible for a rate greater than 90%</w:t>
            </w:r>
          </w:p>
        </w:tc>
        <w:tc>
          <w:tcPr>
            <w:tcW w:w="1176" w:type="pct"/>
            <w:tcBorders>
              <w:bottom w:val="nil"/>
            </w:tcBorders>
            <w:shd w:val="clear" w:color="auto" w:fill="F2F2F2" w:themeFill="background1" w:themeFillShade="F2"/>
            <w:tcMar>
              <w:top w:w="15" w:type="dxa"/>
              <w:left w:w="15" w:type="dxa"/>
              <w:bottom w:w="0" w:type="dxa"/>
              <w:right w:w="15" w:type="dxa"/>
            </w:tcMar>
          </w:tcPr>
          <w:p w14:paraId="51083442" w14:textId="77777777" w:rsidR="00CF51C5" w:rsidRDefault="00CF51C5">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r>
      <w:tr w:rsidR="00CF51C5" w:rsidRPr="005917E4" w14:paraId="615A6484" w14:textId="77777777" w:rsidTr="00882158">
        <w:trPr>
          <w:trHeight w:val="668"/>
        </w:trPr>
        <w:tc>
          <w:tcPr>
            <w:tcW w:w="1102" w:type="pct"/>
            <w:tcBorders>
              <w:top w:val="nil"/>
            </w:tcBorders>
            <w:shd w:val="clear" w:color="auto" w:fill="auto"/>
            <w:tcMar>
              <w:top w:w="15" w:type="dxa"/>
              <w:left w:w="15" w:type="dxa"/>
              <w:bottom w:w="0" w:type="dxa"/>
              <w:right w:w="15" w:type="dxa"/>
            </w:tcMar>
          </w:tcPr>
          <w:p w14:paraId="4FAD19EE" w14:textId="77777777" w:rsidR="00CF51C5" w:rsidRDefault="00CF51C5">
            <w:pPr>
              <w:pStyle w:val="BodyText"/>
              <w:spacing w:before="45" w:after="45"/>
              <w:ind w:left="57" w:right="108"/>
              <w:rPr>
                <w:rFonts w:ascii="Arial (Body)" w:hAnsi="Arial (Body)"/>
                <w:b/>
                <w:bCs/>
                <w:color w:val="265A9A"/>
                <w:sz w:val="18"/>
              </w:rPr>
            </w:pPr>
            <w:r>
              <w:rPr>
                <w:rFonts w:ascii="Arial (Body)" w:hAnsi="Arial (Body)"/>
                <w:b/>
                <w:bCs/>
                <w:color w:val="265A9A"/>
                <w:sz w:val="18"/>
              </w:rPr>
              <w:t>Six / C: Flat fee ECEC expense of $10 per day and remove activity test</w:t>
            </w:r>
          </w:p>
        </w:tc>
        <w:tc>
          <w:tcPr>
            <w:tcW w:w="1178" w:type="pct"/>
            <w:tcBorders>
              <w:top w:val="nil"/>
            </w:tcBorders>
            <w:shd w:val="clear" w:color="auto" w:fill="auto"/>
            <w:tcMar>
              <w:top w:w="15" w:type="dxa"/>
              <w:left w:w="15" w:type="dxa"/>
              <w:bottom w:w="0" w:type="dxa"/>
              <w:right w:w="15" w:type="dxa"/>
            </w:tcMar>
          </w:tcPr>
          <w:p w14:paraId="3EC89448" w14:textId="77777777" w:rsidR="00CF51C5" w:rsidRPr="00D562BD" w:rsidDel="00BB3D22" w:rsidRDefault="00CF51C5">
            <w:pPr>
              <w:pStyle w:val="BodyText"/>
              <w:spacing w:before="45" w:after="45"/>
              <w:ind w:left="57" w:right="108"/>
              <w:rPr>
                <w:rFonts w:ascii="Arial (Body)" w:hAnsi="Arial (Body)"/>
                <w:color w:val="000000"/>
                <w:sz w:val="18"/>
              </w:rPr>
            </w:pPr>
            <w:r>
              <w:rPr>
                <w:rFonts w:ascii="Arial (Body)" w:hAnsi="Arial (Body)"/>
                <w:color w:val="000000"/>
                <w:sz w:val="18"/>
              </w:rPr>
              <w:t>Remove the CCS and replace with a $10 flat fee out</w:t>
            </w:r>
            <w:r>
              <w:rPr>
                <w:rFonts w:ascii="Arial (Body)" w:hAnsi="Arial (Body)"/>
                <w:color w:val="000000"/>
                <w:sz w:val="18"/>
              </w:rPr>
              <w:noBreakHyphen/>
              <w:t>of</w:t>
            </w:r>
            <w:r>
              <w:rPr>
                <w:rFonts w:ascii="Arial (Body)" w:hAnsi="Arial (Body)"/>
                <w:color w:val="000000"/>
                <w:sz w:val="18"/>
              </w:rPr>
              <w:noBreakHyphen/>
              <w:t>pocket expense per day for each child</w:t>
            </w:r>
          </w:p>
        </w:tc>
        <w:tc>
          <w:tcPr>
            <w:tcW w:w="1544" w:type="pct"/>
            <w:tcBorders>
              <w:top w:val="nil"/>
            </w:tcBorders>
            <w:shd w:val="clear" w:color="auto" w:fill="auto"/>
            <w:tcMar>
              <w:top w:w="15" w:type="dxa"/>
              <w:left w:w="15" w:type="dxa"/>
              <w:bottom w:w="0" w:type="dxa"/>
              <w:right w:w="15" w:type="dxa"/>
            </w:tcMar>
          </w:tcPr>
          <w:p w14:paraId="2FED5950" w14:textId="77777777" w:rsidR="00CF51C5" w:rsidRPr="00D562BD" w:rsidDel="00FD40F0" w:rsidRDefault="00CF51C5">
            <w:pPr>
              <w:pStyle w:val="BodyText"/>
              <w:spacing w:before="45" w:after="45"/>
              <w:ind w:left="57" w:right="108"/>
              <w:rPr>
                <w:rFonts w:ascii="Arial (Body)" w:hAnsi="Arial (Body)"/>
                <w:color w:val="000000"/>
                <w:sz w:val="18"/>
              </w:rPr>
            </w:pPr>
            <w:r>
              <w:rPr>
                <w:rFonts w:ascii="Arial (Body)" w:hAnsi="Arial (Body)"/>
                <w:color w:val="000000"/>
                <w:sz w:val="18"/>
              </w:rPr>
              <w:t>Remove</w:t>
            </w:r>
          </w:p>
        </w:tc>
        <w:tc>
          <w:tcPr>
            <w:tcW w:w="1176" w:type="pct"/>
            <w:tcBorders>
              <w:top w:val="nil"/>
            </w:tcBorders>
            <w:shd w:val="clear" w:color="auto" w:fill="auto"/>
            <w:tcMar>
              <w:top w:w="15" w:type="dxa"/>
              <w:left w:w="15" w:type="dxa"/>
              <w:bottom w:w="0" w:type="dxa"/>
              <w:right w:w="15" w:type="dxa"/>
            </w:tcMar>
          </w:tcPr>
          <w:p w14:paraId="3F880CA8" w14:textId="77777777" w:rsidR="00CF51C5" w:rsidRDefault="00CF51C5">
            <w:pPr>
              <w:pStyle w:val="BodyText"/>
              <w:spacing w:before="45" w:after="45"/>
              <w:ind w:left="57" w:right="108"/>
              <w:rPr>
                <w:rFonts w:ascii="Arial (Body)" w:hAnsi="Arial (Body)"/>
                <w:color w:val="000000"/>
                <w:sz w:val="18"/>
              </w:rPr>
            </w:pPr>
            <w:r>
              <w:rPr>
                <w:rFonts w:ascii="Arial (Body)" w:hAnsi="Arial (Body)"/>
                <w:color w:val="000000"/>
                <w:sz w:val="18"/>
              </w:rPr>
              <w:t>Remove so that all families eligible to receive 50</w:t>
            </w:r>
            <w:r>
              <w:rPr>
                <w:rFonts w:ascii="Arial (Body)" w:hAnsi="Arial (Body)" w:hint="eastAsia"/>
                <w:color w:val="000000"/>
                <w:sz w:val="18"/>
              </w:rPr>
              <w:t> </w:t>
            </w:r>
            <w:r>
              <w:rPr>
                <w:rFonts w:ascii="Arial (Body)" w:hAnsi="Arial (Body)"/>
                <w:color w:val="000000"/>
                <w:sz w:val="18"/>
              </w:rPr>
              <w:t>hours of subsidised ECEC per week</w:t>
            </w:r>
          </w:p>
        </w:tc>
      </w:tr>
    </w:tbl>
    <w:p w14:paraId="63CF13D6" w14:textId="77777777" w:rsidR="00CF51C5" w:rsidRDefault="00CF51C5" w:rsidP="00882158">
      <w:pPr>
        <w:pStyle w:val="Heading2-nonumber"/>
        <w:ind w:left="851" w:hanging="851"/>
      </w:pPr>
      <w:bookmarkStart w:id="39" w:name="_Toc172213591"/>
      <w:r>
        <w:lastRenderedPageBreak/>
        <w:t>F.2</w:t>
      </w:r>
      <w:r>
        <w:tab/>
        <w:t>Main findings</w:t>
      </w:r>
      <w:bookmarkEnd w:id="39"/>
    </w:p>
    <w:p w14:paraId="1A38EA90" w14:textId="77777777" w:rsidR="00CF51C5" w:rsidRDefault="00CF51C5" w:rsidP="00882158">
      <w:pPr>
        <w:pStyle w:val="BodyText"/>
      </w:pPr>
      <w:r>
        <w:t>For sole earners and lower</w:t>
      </w:r>
      <w:r>
        <w:noBreakHyphen/>
        <w:t xml:space="preserve">income coupled earners with broadly equal FTE incomes, where </w:t>
      </w:r>
      <w:r w:rsidRPr="008B6447">
        <w:t xml:space="preserve">WDRs are </w:t>
      </w:r>
      <w:r>
        <w:t xml:space="preserve">relatively </w:t>
      </w:r>
      <w:r w:rsidRPr="008B6447">
        <w:t xml:space="preserve">high </w:t>
      </w:r>
      <w:r>
        <w:t>it is</w:t>
      </w:r>
      <w:r w:rsidRPr="008B6447">
        <w:t xml:space="preserve"> </w:t>
      </w:r>
      <w:r>
        <w:t>primarily because of the tax and transfer system, not out</w:t>
      </w:r>
      <w:r>
        <w:noBreakHyphen/>
        <w:t>of</w:t>
      </w:r>
      <w:r>
        <w:noBreakHyphen/>
        <w:t xml:space="preserve">pocket ECEC expenses </w:t>
      </w:r>
      <w:r w:rsidRPr="001254B7">
        <w:t>(</w:t>
      </w:r>
      <w:r w:rsidRPr="003052CF">
        <w:t>figures</w:t>
      </w:r>
      <w:r>
        <w:t> F</w:t>
      </w:r>
      <w:r w:rsidRPr="003052CF">
        <w:t>.1</w:t>
      </w:r>
      <w:r>
        <w:t xml:space="preserve"> and</w:t>
      </w:r>
      <w:r w:rsidRPr="003052CF">
        <w:t xml:space="preserve"> </w:t>
      </w:r>
      <w:r>
        <w:t>F</w:t>
      </w:r>
      <w:r w:rsidRPr="003052CF">
        <w:t>.2</w:t>
      </w:r>
      <w:r w:rsidRPr="001254B7">
        <w:t>).</w:t>
      </w:r>
      <w:r>
        <w:t xml:space="preserve"> For higher</w:t>
      </w:r>
      <w:r>
        <w:noBreakHyphen/>
        <w:t>income coupled earners with equal or unequal FTE incomes, out</w:t>
      </w:r>
      <w:r>
        <w:noBreakHyphen/>
        <w:t>of</w:t>
      </w:r>
      <w:r>
        <w:noBreakHyphen/>
        <w:t>pocket ECEC expenses make up a larger proportion of WDRs (figures F.2 and F.3). Their average overall WDRs, however, are lower compared to the lower</w:t>
      </w:r>
      <w:r>
        <w:noBreakHyphen/>
        <w:t>income coupled earners included in this analysis.</w:t>
      </w:r>
    </w:p>
    <w:p w14:paraId="148B466B" w14:textId="77777777" w:rsidR="00CF51C5" w:rsidRDefault="00CF51C5" w:rsidP="00882158">
      <w:pPr>
        <w:pStyle w:val="BodyText"/>
      </w:pPr>
      <w:r>
        <w:t>Both before and after the Cheaper Child Care reforms, a</w:t>
      </w:r>
      <w:r w:rsidRPr="00CE1565">
        <w:t xml:space="preserve"> sole earner</w:t>
      </w:r>
      <w:r>
        <w:t xml:space="preserve"> </w:t>
      </w:r>
      <w:r w:rsidRPr="00453451">
        <w:t>famil</w:t>
      </w:r>
      <w:r>
        <w:t>y</w:t>
      </w:r>
      <w:r w:rsidRPr="00453451">
        <w:t xml:space="preserve"> with two children </w:t>
      </w:r>
      <w:r>
        <w:t>earning</w:t>
      </w:r>
      <w:r w:rsidRPr="00453451">
        <w:t xml:space="preserve"> $100,000 FTE</w:t>
      </w:r>
      <w:r w:rsidRPr="00CE1565">
        <w:t xml:space="preserve"> </w:t>
      </w:r>
      <w:r>
        <w:t>faced the highest WDRs (with an average</w:t>
      </w:r>
      <w:r w:rsidRPr="00954378">
        <w:t xml:space="preserve"> </w:t>
      </w:r>
      <w:r>
        <w:t xml:space="preserve">(mean) </w:t>
      </w:r>
      <w:r w:rsidRPr="00954378">
        <w:t>of single</w:t>
      </w:r>
      <w:r>
        <w:noBreakHyphen/>
      </w:r>
      <w:r w:rsidRPr="00954378">
        <w:t xml:space="preserve">day increment </w:t>
      </w:r>
      <w:r>
        <w:t>WDR</w:t>
      </w:r>
      <w:r w:rsidRPr="00954378">
        <w:t>s</w:t>
      </w:r>
      <w:r>
        <w:t xml:space="preserve"> of 70%) </w:t>
      </w:r>
      <w:r w:rsidRPr="00CE1565">
        <w:t>(</w:t>
      </w:r>
      <w:r>
        <w:t>figure F</w:t>
      </w:r>
      <w:r w:rsidRPr="00453451">
        <w:t>.1</w:t>
      </w:r>
      <w:r w:rsidRPr="00CE1565">
        <w:t>).</w:t>
      </w:r>
      <w:r>
        <w:t xml:space="preserve"> Among coupled earners, the highest average WDR (</w:t>
      </w:r>
      <w:r w:rsidRPr="00444852">
        <w:t xml:space="preserve">about </w:t>
      </w:r>
      <w:r>
        <w:t>7</w:t>
      </w:r>
      <w:r w:rsidRPr="00453451">
        <w:t>0%</w:t>
      </w:r>
      <w:r w:rsidRPr="00444852">
        <w:t xml:space="preserve">) was for </w:t>
      </w:r>
      <w:r w:rsidRPr="00453451">
        <w:t xml:space="preserve">a family with two children </w:t>
      </w:r>
      <w:r>
        <w:t xml:space="preserve">with each individual </w:t>
      </w:r>
      <w:r w:rsidRPr="00453451">
        <w:t>earning $</w:t>
      </w:r>
      <w:r>
        <w:t>6</w:t>
      </w:r>
      <w:r w:rsidRPr="00453451">
        <w:t xml:space="preserve">0,000 FTE </w:t>
      </w:r>
      <w:r w:rsidRPr="00444852">
        <w:t>(</w:t>
      </w:r>
      <w:r>
        <w:t>figure F</w:t>
      </w:r>
      <w:r w:rsidRPr="00444852">
        <w:t>.2).</w:t>
      </w:r>
    </w:p>
    <w:p w14:paraId="3E1941E0" w14:textId="77777777" w:rsidR="00CF51C5" w:rsidRDefault="00CF51C5" w:rsidP="00882158">
      <w:pPr>
        <w:pStyle w:val="BodyText"/>
      </w:pPr>
      <w:r>
        <w:t>Comparing across scenarios, the Cheaper Child Care reforms reduced average WDRs for all hypothetical families considered in this analysis. The Productivity Commission’s recommended CCS and HCCS reforms would reduce mean WDRs further (figures F.1 to F.3).</w:t>
      </w:r>
    </w:p>
    <w:p w14:paraId="6A010165" w14:textId="77777777" w:rsidR="00CF51C5" w:rsidRPr="00146382" w:rsidRDefault="00CF51C5">
      <w:pPr>
        <w:pStyle w:val="FigureTableHeading"/>
      </w:pPr>
      <w:r>
        <w:t xml:space="preserve">Figure </w:t>
      </w:r>
      <w:r>
        <w:rPr>
          <w:noProof/>
        </w:rPr>
        <w:t>F</w:t>
      </w:r>
      <w:r>
        <w:t>.</w:t>
      </w:r>
      <w:r>
        <w:rPr>
          <w:noProof/>
        </w:rPr>
        <w:t xml:space="preserve">1 </w:t>
      </w:r>
      <w:r>
        <w:t xml:space="preserve">– </w:t>
      </w:r>
      <w:r w:rsidRPr="001C7A1F">
        <w:t>WDRs for sole earners are high mainly because of the tax and transfer system</w:t>
      </w:r>
      <w:r w:rsidRPr="00066CF5">
        <w:rPr>
          <w:vertAlign w:val="superscript"/>
        </w:rPr>
        <w:t>a</w:t>
      </w:r>
      <w:r>
        <w:rPr>
          <w:vertAlign w:val="superscript"/>
        </w:rPr>
        <w:t>,b</w:t>
      </w:r>
    </w:p>
    <w:p w14:paraId="439F636C" w14:textId="77777777" w:rsidR="00CF51C5" w:rsidRPr="00B75D3C" w:rsidRDefault="00CF51C5" w:rsidP="00882158">
      <w:pPr>
        <w:pStyle w:val="FigureTableSubheading"/>
      </w:pPr>
      <w:r>
        <w:t>M</w:t>
      </w:r>
      <w:r w:rsidRPr="001C7A1F">
        <w:t>ean</w:t>
      </w:r>
      <w:r>
        <w:t xml:space="preserve"> of single</w:t>
      </w:r>
      <w:r>
        <w:noBreakHyphen/>
        <w:t>day increment</w:t>
      </w:r>
      <w:r w:rsidRPr="001C7A1F">
        <w:t xml:space="preserve"> WDRs</w:t>
      </w:r>
    </w:p>
    <w:p w14:paraId="54B5F702" w14:textId="77777777" w:rsidR="00CF51C5" w:rsidRDefault="00CF51C5">
      <w:pPr>
        <w:pStyle w:val="Note"/>
        <w:keepLines/>
        <w:rPr>
          <w:noProof/>
        </w:rPr>
      </w:pPr>
      <w:r w:rsidRPr="00A854B9">
        <w:rPr>
          <w:noProof/>
        </w:rPr>
        <w:drawing>
          <wp:inline distT="0" distB="0" distL="0" distR="0" wp14:anchorId="669D298F" wp14:editId="36503F39">
            <wp:extent cx="6120130" cy="3101975"/>
            <wp:effectExtent l="0" t="0" r="0" b="0"/>
            <wp:docPr id="1042518967" name="Picture 1" descr="Figure F.1 – This is a series of clustered stacked bar charts. The mean of sole parent families’ single day increment WDRs is shown for before and after the Cheaper Child Care reforms, and for the Commission’s recommended changes to CCS and HCCS. The WDRs are decomposed into contributions from the tax and transfer system and out of pocket ECEC expenses. For all families, WDRs exceed 50%, mostly due to the tax and transf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18967" name="Picture 1" descr="Figure F.1 – This is a series of clustered stacked bar charts. The mean of sole parent families’ single day increment WDRs is shown for before and after the Cheaper Child Care reforms, and for the Commission’s recommended changes to CCS and HCCS. The WDRs are decomposed into contributions from the tax and transfer system and out of pocket ECEC expenses. For all families, WDRs exceed 50%, mostly due to the tax and transfer syste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3101975"/>
                    </a:xfrm>
                    <a:prstGeom prst="rect">
                      <a:avLst/>
                    </a:prstGeom>
                    <a:noFill/>
                    <a:ln>
                      <a:noFill/>
                    </a:ln>
                  </pic:spPr>
                </pic:pic>
              </a:graphicData>
            </a:graphic>
          </wp:inline>
        </w:drawing>
      </w:r>
    </w:p>
    <w:p w14:paraId="63D1DA39" w14:textId="77777777" w:rsidR="00CF51C5" w:rsidRDefault="00CF51C5">
      <w:pPr>
        <w:pStyle w:val="Note"/>
        <w:keepLines/>
      </w:pPr>
      <w:r w:rsidRPr="00180E66">
        <w:rPr>
          <w:b/>
          <w:bCs/>
        </w:rPr>
        <w:t>a.</w:t>
      </w:r>
      <w:r w:rsidRPr="007A669D">
        <w:t xml:space="preserve"> </w:t>
      </w:r>
      <w:r>
        <w:t>The mean of single</w:t>
      </w:r>
      <w:r>
        <w:noBreakHyphen/>
        <w:t xml:space="preserve">day increment WDRs has been calculated by averaging the WDR obtained for each additional day of work. </w:t>
      </w:r>
      <w:r>
        <w:rPr>
          <w:b/>
          <w:bCs/>
        </w:rPr>
        <w:t>b. </w:t>
      </w:r>
      <w:r>
        <w:t>OOP = out</w:t>
      </w:r>
      <w:r>
        <w:noBreakHyphen/>
        <w:t>of</w:t>
      </w:r>
      <w:r>
        <w:noBreakHyphen/>
        <w:t>pocket.</w:t>
      </w:r>
    </w:p>
    <w:p w14:paraId="04AD9607" w14:textId="77777777" w:rsidR="00CF51C5" w:rsidRDefault="00CF51C5" w:rsidP="00882158">
      <w:pPr>
        <w:pStyle w:val="Source"/>
      </w:pPr>
      <w:r w:rsidRPr="00696447">
        <w:t xml:space="preserve">Source: </w:t>
      </w:r>
      <w:r>
        <w:t>Productivity Commission estimates using CAPITA v230518</w:t>
      </w:r>
      <w:r w:rsidRPr="00696447">
        <w:t>.</w:t>
      </w:r>
    </w:p>
    <w:p w14:paraId="12612B71" w14:textId="77777777" w:rsidR="00CF51C5" w:rsidRPr="00146382" w:rsidRDefault="00CF51C5">
      <w:pPr>
        <w:pStyle w:val="FigureTableHeading"/>
      </w:pPr>
      <w:r>
        <w:lastRenderedPageBreak/>
        <w:t xml:space="preserve">Figure </w:t>
      </w:r>
      <w:r>
        <w:rPr>
          <w:noProof/>
        </w:rPr>
        <w:t>F</w:t>
      </w:r>
      <w:r>
        <w:t>.</w:t>
      </w:r>
      <w:r>
        <w:rPr>
          <w:noProof/>
        </w:rPr>
        <w:t xml:space="preserve">2 </w:t>
      </w:r>
      <w:r>
        <w:t xml:space="preserve">– Where </w:t>
      </w:r>
      <w:r w:rsidRPr="001C7A1F">
        <w:t xml:space="preserve">WDRs for </w:t>
      </w:r>
      <w:r>
        <w:t>coupled</w:t>
      </w:r>
      <w:r w:rsidRPr="001C7A1F">
        <w:t xml:space="preserve"> earners</w:t>
      </w:r>
      <w:r>
        <w:t xml:space="preserve"> with equal FTE incomes</w:t>
      </w:r>
      <w:r w:rsidRPr="001C7A1F">
        <w:t xml:space="preserve"> are</w:t>
      </w:r>
      <w:r>
        <w:t xml:space="preserve"> relatively </w:t>
      </w:r>
      <w:r w:rsidRPr="001C7A1F">
        <w:t>high</w:t>
      </w:r>
      <w:r>
        <w:t>,</w:t>
      </w:r>
      <w:r w:rsidRPr="001C7A1F">
        <w:t xml:space="preserve"> </w:t>
      </w:r>
      <w:r>
        <w:t xml:space="preserve">it is </w:t>
      </w:r>
      <w:r w:rsidRPr="001C7A1F">
        <w:t>mainly because of the tax and transfer system</w:t>
      </w:r>
      <w:r w:rsidRPr="00066CF5">
        <w:rPr>
          <w:vertAlign w:val="superscript"/>
        </w:rPr>
        <w:t>a</w:t>
      </w:r>
    </w:p>
    <w:p w14:paraId="34CC3790" w14:textId="77777777" w:rsidR="00CF51C5" w:rsidRPr="00697B0D" w:rsidRDefault="00CF51C5" w:rsidP="00882158">
      <w:pPr>
        <w:pStyle w:val="FigureTableSubheading"/>
        <w:keepLines/>
      </w:pPr>
      <w:r w:rsidRPr="00697B0D">
        <w:t>Mean of single</w:t>
      </w:r>
      <w:r w:rsidRPr="00697B0D">
        <w:noBreakHyphen/>
        <w:t>day increment WDRs</w:t>
      </w:r>
    </w:p>
    <w:p w14:paraId="197C5AEB" w14:textId="77777777" w:rsidR="00CF51C5" w:rsidRDefault="00CF51C5">
      <w:pPr>
        <w:pStyle w:val="Note"/>
        <w:keepLines/>
        <w:rPr>
          <w:noProof/>
        </w:rPr>
      </w:pPr>
      <w:r w:rsidRPr="00CD612C">
        <w:rPr>
          <w:noProof/>
        </w:rPr>
        <w:drawing>
          <wp:inline distT="0" distB="0" distL="0" distR="0" wp14:anchorId="3F96333E" wp14:editId="00389A95">
            <wp:extent cx="6120130" cy="2943225"/>
            <wp:effectExtent l="0" t="0" r="0" b="0"/>
            <wp:docPr id="1264589209" name="Picture 4" descr="Figure F.2 – This is a series of clustered stacked bar charts. The mean of couple parent families’ single day increment WDRs is shown for before and after the Cheaper Child Care reforms, and for the Commission’s recommended changes to CCS and HCCS. The WDRs are decomposed into contributions from the tax and transfer system and out of pocket ECEC expenses. Mean WDRs are generally lower than for sole parent families and tend to decline as family income 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89209" name="Picture 4" descr="Figure F.2 – This is a series of clustered stacked bar charts. The mean of couple parent families’ single day increment WDRs is shown for before and after the Cheaper Child Care reforms, and for the Commission’s recommended changes to CCS and HCCS. The WDRs are decomposed into contributions from the tax and transfer system and out of pocket ECEC expenses. Mean WDRs are generally lower than for sole parent families and tend to decline as family income ris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2943225"/>
                    </a:xfrm>
                    <a:prstGeom prst="rect">
                      <a:avLst/>
                    </a:prstGeom>
                    <a:noFill/>
                    <a:ln>
                      <a:noFill/>
                    </a:ln>
                  </pic:spPr>
                </pic:pic>
              </a:graphicData>
            </a:graphic>
          </wp:inline>
        </w:drawing>
      </w:r>
    </w:p>
    <w:p w14:paraId="52B8A769" w14:textId="77777777" w:rsidR="00CF51C5" w:rsidRPr="007A669D" w:rsidRDefault="00CF51C5">
      <w:pPr>
        <w:pStyle w:val="Note"/>
        <w:keepLines/>
      </w:pPr>
      <w:r w:rsidRPr="00180E66">
        <w:rPr>
          <w:b/>
          <w:bCs/>
        </w:rPr>
        <w:t>a.</w:t>
      </w:r>
      <w:r w:rsidRPr="007A669D">
        <w:t xml:space="preserve"> </w:t>
      </w:r>
      <w:r w:rsidRPr="001254B7">
        <w:t xml:space="preserve">The primary earner is </w:t>
      </w:r>
      <w:r>
        <w:t xml:space="preserve">assumed to </w:t>
      </w:r>
      <w:r w:rsidRPr="001254B7">
        <w:t>earn a full</w:t>
      </w:r>
      <w:r w:rsidRPr="001254B7">
        <w:noBreakHyphen/>
        <w:t>time salary at the rate of the scenario, with the secondary earner earning the same annual rate when working full</w:t>
      </w:r>
      <w:r w:rsidRPr="001254B7">
        <w:noBreakHyphen/>
        <w:t>time (their income increases proportionally with days worked)</w:t>
      </w:r>
      <w:r>
        <w:t>.</w:t>
      </w:r>
    </w:p>
    <w:p w14:paraId="10FB5046" w14:textId="77777777" w:rsidR="00CF51C5" w:rsidRDefault="00CF51C5" w:rsidP="00882158">
      <w:pPr>
        <w:pStyle w:val="Source"/>
      </w:pPr>
      <w:r w:rsidRPr="00696447">
        <w:t xml:space="preserve">Source: </w:t>
      </w:r>
      <w:r>
        <w:t>Productivity Commission estimates using CAPITA v230518</w:t>
      </w:r>
      <w:r w:rsidRPr="00696447">
        <w:t>.</w:t>
      </w:r>
    </w:p>
    <w:p w14:paraId="14433AD7" w14:textId="77777777" w:rsidR="00CF51C5" w:rsidRPr="00146382" w:rsidRDefault="00CF51C5">
      <w:pPr>
        <w:pStyle w:val="FigureTableHeading"/>
      </w:pPr>
      <w:r>
        <w:t xml:space="preserve">Figure </w:t>
      </w:r>
      <w:r>
        <w:rPr>
          <w:noProof/>
        </w:rPr>
        <w:t>F</w:t>
      </w:r>
      <w:r>
        <w:t>.</w:t>
      </w:r>
      <w:r>
        <w:rPr>
          <w:noProof/>
        </w:rPr>
        <w:t xml:space="preserve">3 </w:t>
      </w:r>
      <w:r>
        <w:t xml:space="preserve">– ECEC expenses make up a larger proportion of </w:t>
      </w:r>
      <w:r w:rsidRPr="001C7A1F">
        <w:t xml:space="preserve">WDRs for </w:t>
      </w:r>
      <w:r>
        <w:t>coupled</w:t>
      </w:r>
      <w:r w:rsidRPr="001C7A1F">
        <w:t xml:space="preserve"> earners </w:t>
      </w:r>
      <w:r>
        <w:t>with unequal FTE incomes</w:t>
      </w:r>
      <w:r w:rsidRPr="00066CF5">
        <w:rPr>
          <w:vertAlign w:val="superscript"/>
        </w:rPr>
        <w:t>a</w:t>
      </w:r>
    </w:p>
    <w:p w14:paraId="7235006D" w14:textId="77777777" w:rsidR="00CF51C5" w:rsidRPr="007A669D" w:rsidRDefault="00CF51C5" w:rsidP="00882158">
      <w:pPr>
        <w:pStyle w:val="FigureTableSubheading"/>
        <w:keepLines/>
      </w:pPr>
      <w:r w:rsidRPr="00697B0D">
        <w:t>Mean of single</w:t>
      </w:r>
      <w:r w:rsidRPr="00697B0D">
        <w:noBreakHyphen/>
        <w:t>day increment</w:t>
      </w:r>
      <w:r w:rsidRPr="007A669D">
        <w:t xml:space="preserve"> WDRs</w:t>
      </w:r>
    </w:p>
    <w:p w14:paraId="765E49E2" w14:textId="77777777" w:rsidR="00CF51C5" w:rsidRDefault="00CF51C5">
      <w:pPr>
        <w:pStyle w:val="Note"/>
        <w:keepLines/>
        <w:rPr>
          <w:b/>
          <w:bCs/>
        </w:rPr>
      </w:pPr>
      <w:r w:rsidRPr="000327C2">
        <w:rPr>
          <w:noProof/>
        </w:rPr>
        <w:drawing>
          <wp:inline distT="0" distB="0" distL="0" distR="0" wp14:anchorId="168EFD6E" wp14:editId="069D1A64">
            <wp:extent cx="6120130" cy="3007360"/>
            <wp:effectExtent l="0" t="0" r="0" b="0"/>
            <wp:docPr id="682827712" name="Picture 5" descr="Figure F.3 – This is a series of clustered stacked bar charts. The mean of couple parent families’ single day increment WDRs is shown for before and after the Cheaper Child Care reforms, and for the Commission’s recommended changes to CCS and HCCS. The WDRs are decomposed into contributions from the tax and transfer system and out of pocket ECEC expenses. Although mean WDRs are lower for higher-income families with unequal FTE income, out-of-pocket ECEC expenses are a more prominent contributor to WDRs for these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27712" name="Picture 5" descr="Figure F.3 – This is a series of clustered stacked bar charts. The mean of couple parent families’ single day increment WDRs is shown for before and after the Cheaper Child Care reforms, and for the Commission’s recommended changes to CCS and HCCS. The WDRs are decomposed into contributions from the tax and transfer system and out of pocket ECEC expenses. Although mean WDRs are lower for higher-income families with unequal FTE income, out-of-pocket ECEC expenses are a more prominent contributor to WDRs for these famili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3007360"/>
                    </a:xfrm>
                    <a:prstGeom prst="rect">
                      <a:avLst/>
                    </a:prstGeom>
                    <a:noFill/>
                    <a:ln>
                      <a:noFill/>
                    </a:ln>
                  </pic:spPr>
                </pic:pic>
              </a:graphicData>
            </a:graphic>
          </wp:inline>
        </w:drawing>
      </w:r>
    </w:p>
    <w:p w14:paraId="1A455FB6" w14:textId="77777777" w:rsidR="00CF51C5" w:rsidRPr="007A669D" w:rsidRDefault="00CF51C5">
      <w:pPr>
        <w:pStyle w:val="Note"/>
        <w:keepLines/>
      </w:pPr>
      <w:r w:rsidRPr="00180E66">
        <w:rPr>
          <w:b/>
          <w:bCs/>
        </w:rPr>
        <w:t>a.</w:t>
      </w:r>
      <w:r w:rsidRPr="007A669D">
        <w:t xml:space="preserve"> </w:t>
      </w:r>
      <w:r w:rsidRPr="001254B7">
        <w:t xml:space="preserve">The primary earner is </w:t>
      </w:r>
      <w:r>
        <w:t>assumed to</w:t>
      </w:r>
      <w:r w:rsidRPr="001254B7">
        <w:t xml:space="preserve"> earn a full</w:t>
      </w:r>
      <w:r w:rsidRPr="001254B7">
        <w:noBreakHyphen/>
        <w:t xml:space="preserve">time salary </w:t>
      </w:r>
      <w:r>
        <w:t>of $120,000</w:t>
      </w:r>
      <w:r w:rsidRPr="001254B7">
        <w:t>, with the secondary earner earning the</w:t>
      </w:r>
      <w:r>
        <w:t xml:space="preserve">ir relevant </w:t>
      </w:r>
      <w:r w:rsidRPr="001254B7">
        <w:t>annual rate</w:t>
      </w:r>
      <w:r>
        <w:t xml:space="preserve"> as per the scenario</w:t>
      </w:r>
      <w:r w:rsidRPr="001254B7">
        <w:t xml:space="preserve"> when working full</w:t>
      </w:r>
      <w:r w:rsidRPr="001254B7">
        <w:noBreakHyphen/>
        <w:t>time (their income increases proportionally with days worked)</w:t>
      </w:r>
      <w:r>
        <w:t>.</w:t>
      </w:r>
    </w:p>
    <w:p w14:paraId="72757F4A" w14:textId="77777777" w:rsidR="00CF51C5" w:rsidRDefault="00CF51C5" w:rsidP="00882158">
      <w:pPr>
        <w:pStyle w:val="Source"/>
      </w:pPr>
      <w:r w:rsidRPr="00696447">
        <w:t xml:space="preserve">Source: </w:t>
      </w:r>
      <w:r>
        <w:t>Productivity Commission estimates using CAPITA v230518</w:t>
      </w:r>
      <w:r w:rsidRPr="00696447">
        <w:t>.</w:t>
      </w:r>
    </w:p>
    <w:p w14:paraId="20A1203D" w14:textId="77777777" w:rsidR="00CF51C5" w:rsidRDefault="00CF51C5" w:rsidP="00882158">
      <w:pPr>
        <w:pStyle w:val="BodyText"/>
      </w:pPr>
      <w:r>
        <w:lastRenderedPageBreak/>
        <w:t>WDRs presented above are the means of single</w:t>
      </w:r>
      <w:r>
        <w:noBreakHyphen/>
        <w:t xml:space="preserve">day increments for families across five days. Looking at estimates for each day worked, WDRs can vary significantly with the number of days </w:t>
      </w:r>
      <w:r w:rsidRPr="00C40BD9">
        <w:t>worked (</w:t>
      </w:r>
      <w:r w:rsidRPr="003052CF">
        <w:t>figures</w:t>
      </w:r>
      <w:r>
        <w:t> F</w:t>
      </w:r>
      <w:r w:rsidRPr="003052CF">
        <w:t xml:space="preserve">.4 to </w:t>
      </w:r>
      <w:r>
        <w:t>F</w:t>
      </w:r>
      <w:r w:rsidRPr="003052CF">
        <w:t>.</w:t>
      </w:r>
      <w:r>
        <w:t>9</w:t>
      </w:r>
      <w:r w:rsidRPr="00C40BD9">
        <w:t>). Generally, though, WDRs rise as sole or secondary earners increase their days of work (</w:t>
      </w:r>
      <w:r>
        <w:t>figure F</w:t>
      </w:r>
      <w:r w:rsidRPr="003052CF">
        <w:t>.</w:t>
      </w:r>
      <w:r>
        <w:t>10</w:t>
      </w:r>
      <w:r w:rsidRPr="00C40BD9">
        <w:t>).</w:t>
      </w:r>
    </w:p>
    <w:p w14:paraId="605E7C6E" w14:textId="77777777" w:rsidR="00CF51C5" w:rsidRDefault="00CF51C5" w:rsidP="00882158">
      <w:pPr>
        <w:pStyle w:val="BodyText"/>
      </w:pPr>
      <w:r>
        <w:t xml:space="preserve">Comparing across family types, </w:t>
      </w:r>
      <w:r w:rsidRPr="00CC62A5">
        <w:t>WDRs are high for sole earners</w:t>
      </w:r>
      <w:r>
        <w:t xml:space="preserve">, particularly for the second to fifth days of </w:t>
      </w:r>
      <w:r w:rsidRPr="00F52C3D">
        <w:t>work (</w:t>
      </w:r>
      <w:r w:rsidRPr="003052CF">
        <w:t>figures</w:t>
      </w:r>
      <w:r>
        <w:t> F</w:t>
      </w:r>
      <w:r w:rsidRPr="003052CF">
        <w:t xml:space="preserve">.4 and </w:t>
      </w:r>
      <w:r>
        <w:t>F</w:t>
      </w:r>
      <w:r w:rsidRPr="003052CF">
        <w:t>.5</w:t>
      </w:r>
      <w:r w:rsidRPr="00F52C3D">
        <w:t>). Likewise, for lower</w:t>
      </w:r>
      <w:r w:rsidRPr="00F52C3D">
        <w:noBreakHyphen/>
        <w:t xml:space="preserve">income couples, WDRs tend to be high and increase with days </w:t>
      </w:r>
      <w:r>
        <w:t xml:space="preserve">of work </w:t>
      </w:r>
      <w:r w:rsidRPr="00F52C3D">
        <w:t>(</w:t>
      </w:r>
      <w:r>
        <w:t>figure F</w:t>
      </w:r>
      <w:r w:rsidRPr="003052CF">
        <w:t>.6</w:t>
      </w:r>
      <w:r w:rsidRPr="00F52C3D">
        <w:t>).</w:t>
      </w:r>
    </w:p>
    <w:p w14:paraId="23D8719D" w14:textId="77777777" w:rsidR="00CF51C5" w:rsidRDefault="00CF51C5" w:rsidP="00882158">
      <w:pPr>
        <w:pStyle w:val="BodyText"/>
      </w:pPr>
      <w:r>
        <w:t>WDRs are generally lower for higher</w:t>
      </w:r>
      <w:r>
        <w:noBreakHyphen/>
        <w:t>income couple families with equal FTE incomes. However, for these families, a larger proportion of WDRs is attributable to out</w:t>
      </w:r>
      <w:r>
        <w:noBreakHyphen/>
        <w:t>of</w:t>
      </w:r>
      <w:r>
        <w:noBreakHyphen/>
        <w:t xml:space="preserve">pocket ECEC </w:t>
      </w:r>
      <w:r w:rsidRPr="00D35553">
        <w:t>expenses (</w:t>
      </w:r>
      <w:r>
        <w:t>figures F.6 and F</w:t>
      </w:r>
      <w:r w:rsidRPr="003052CF">
        <w:t>.7</w:t>
      </w:r>
      <w:r w:rsidRPr="00D35553">
        <w:t>).</w:t>
      </w:r>
      <w:r>
        <w:t xml:space="preserve"> While these families are in higher income tax brackets, they are less affected by reduced </w:t>
      </w:r>
      <w:r w:rsidRPr="00836D13">
        <w:t>transfer payments</w:t>
      </w:r>
      <w:r>
        <w:t xml:space="preserve"> but receive</w:t>
      </w:r>
      <w:r w:rsidRPr="000B23B7">
        <w:t xml:space="preserve"> lower C</w:t>
      </w:r>
      <w:r w:rsidRPr="00836D13">
        <w:t xml:space="preserve">CS </w:t>
      </w:r>
      <w:r w:rsidRPr="000B23B7">
        <w:t>rates.</w:t>
      </w:r>
    </w:p>
    <w:p w14:paraId="418B4BDB" w14:textId="77777777" w:rsidR="00CF51C5" w:rsidRDefault="00CF51C5" w:rsidP="00882158">
      <w:pPr>
        <w:pStyle w:val="BodyText"/>
      </w:pPr>
      <w:r>
        <w:t>The contribution of out</w:t>
      </w:r>
      <w:r>
        <w:noBreakHyphen/>
        <w:t>of</w:t>
      </w:r>
      <w:r>
        <w:noBreakHyphen/>
        <w:t>pocket ECEC expenses to WDRs is also significant for higher</w:t>
      </w:r>
      <w:r>
        <w:noBreakHyphen/>
        <w:t xml:space="preserve">income couples with unequal FTE incomes (for example, a primary earner earning $120,000 FTE and a secondary earner earning $60,000 FTE). Additionally, overall WDRs for these families tend to </w:t>
      </w:r>
      <w:r w:rsidRPr="0074082C">
        <w:t>be low for the first few days of work, then increase</w:t>
      </w:r>
      <w:r>
        <w:t xml:space="preserve"> markedly</w:t>
      </w:r>
      <w:r w:rsidRPr="0074082C">
        <w:t xml:space="preserve"> with days </w:t>
      </w:r>
      <w:r w:rsidRPr="00D35553">
        <w:t>worked (</w:t>
      </w:r>
      <w:r>
        <w:t>figures F</w:t>
      </w:r>
      <w:r w:rsidRPr="003052CF">
        <w:t>.8</w:t>
      </w:r>
      <w:r>
        <w:t xml:space="preserve"> and F.9</w:t>
      </w:r>
      <w:r w:rsidRPr="00D35553">
        <w:t>).</w:t>
      </w:r>
      <w:r>
        <w:t xml:space="preserve"> This is not surprising. Because of the primary earner’s higher income, the family would be receiving limited transfer payments even before the secondary earner’s first day of work. They will also face a lower CCS rate and therefore have higher out</w:t>
      </w:r>
      <w:r>
        <w:noBreakHyphen/>
        <w:t>of</w:t>
      </w:r>
      <w:r>
        <w:noBreakHyphen/>
        <w:t>pocket ECEC expenses. The CCS subsidy rate then declines further as the family’s income rises with more days worked by the secondary earner.</w:t>
      </w:r>
    </w:p>
    <w:p w14:paraId="17E9F6C3" w14:textId="68D4FDA4" w:rsidR="00CF51C5" w:rsidRPr="00A81036" w:rsidRDefault="00CF51C5" w:rsidP="00882158">
      <w:pPr>
        <w:pStyle w:val="BodyText"/>
        <w:rPr>
          <w:spacing w:val="-4"/>
        </w:rPr>
      </w:pPr>
      <w:r w:rsidRPr="00A81036">
        <w:rPr>
          <w:spacing w:val="-4"/>
        </w:rPr>
        <w:t>Broadly, WDRs are higher when families have a second child (figures F.4 to F.9). One reason for this is that Family Tax Benefit A</w:t>
      </w:r>
      <w:r w:rsidRPr="00D13425">
        <w:rPr>
          <w:rStyle w:val="FootnoteReference"/>
          <w:sz w:val="18"/>
        </w:rPr>
        <w:footnoteReference w:id="29"/>
      </w:r>
      <w:r w:rsidRPr="00A81036">
        <w:rPr>
          <w:spacing w:val="-4"/>
        </w:rPr>
        <w:t xml:space="preserve"> is higher for families with multiple children, so the dollar value reduction in family payments as the secondary earner’s income increases is larger </w:t>
      </w:r>
      <w:r w:rsidRPr="00A81036">
        <w:rPr>
          <w:rFonts w:cs="Arial"/>
          <w:spacing w:val="-4"/>
        </w:rPr>
        <w:t>(Wood et al. 2020, p. 27)</w:t>
      </w:r>
      <w:r w:rsidRPr="00A81036">
        <w:rPr>
          <w:spacing w:val="-4"/>
        </w:rPr>
        <w:t>.</w:t>
      </w:r>
      <w:r w:rsidRPr="00D13425">
        <w:rPr>
          <w:rStyle w:val="FootnoteReference"/>
          <w:sz w:val="18"/>
        </w:rPr>
        <w:footnoteReference w:id="30"/>
      </w:r>
      <w:r w:rsidRPr="00A81036">
        <w:rPr>
          <w:spacing w:val="-4"/>
        </w:rPr>
        <w:t xml:space="preserve"> The out</w:t>
      </w:r>
      <w:r w:rsidRPr="00A81036">
        <w:rPr>
          <w:spacing w:val="-4"/>
        </w:rPr>
        <w:noBreakHyphen/>
        <w:t>of</w:t>
      </w:r>
      <w:r w:rsidRPr="00A81036">
        <w:rPr>
          <w:spacing w:val="-4"/>
        </w:rPr>
        <w:noBreakHyphen/>
        <w:t>pocket ECEC expenses incurred for additional children also increases WDRs for families with two children.</w:t>
      </w:r>
    </w:p>
    <w:p w14:paraId="05AC6764" w14:textId="77777777" w:rsidR="00CF51C5" w:rsidRDefault="00CF51C5" w:rsidP="00882158">
      <w:pPr>
        <w:pStyle w:val="BodyText"/>
      </w:pPr>
      <w:r>
        <w:t>Comparing the two leftmost columns in figures F.4 to F.9 highlights that the Cheaper Child Care reforms reduced the increase in out</w:t>
      </w:r>
      <w:r>
        <w:noBreakHyphen/>
        <w:t>of</w:t>
      </w:r>
      <w:r>
        <w:noBreakHyphen/>
        <w:t>pocket ECEC expenses associated with additional days of work, and therefore WDRs on most days, for all hypothetical families analysed.</w:t>
      </w:r>
    </w:p>
    <w:p w14:paraId="420724EB" w14:textId="77777777" w:rsidR="00CF51C5" w:rsidRDefault="00CF51C5" w:rsidP="00882158">
      <w:pPr>
        <w:pStyle w:val="BodyText"/>
      </w:pPr>
      <w:r>
        <w:t>Under the Commission’s recommended CCS and HCCS settings (the middle columns in figures F.4 to F.9), WDRs are further reduced relative to the Cheaper Child Care reforms as increases in families’ out</w:t>
      </w:r>
      <w:r>
        <w:noBreakHyphen/>
        <w:t>of</w:t>
      </w:r>
      <w:r>
        <w:noBreakHyphen/>
        <w:t>pocket ECEC expenses incurred for extra days of work are lower. Furthermore, for days where a family’s income is $80,000 or less (meaning they would be eligible for a 100% subsidy rate), the contribution of out</w:t>
      </w:r>
      <w:r>
        <w:noBreakHyphen/>
        <w:t>of</w:t>
      </w:r>
      <w:r>
        <w:noBreakHyphen/>
        <w:t>pocket ECEC expenses to WDRs is zero. However, some families may experience an increase in WDRs for some days worked (box F.1) because of changes in HCCS subsidy rates.</w:t>
      </w:r>
    </w:p>
    <w:p w14:paraId="2720310D" w14:textId="77777777" w:rsidR="00CF51C5" w:rsidRDefault="00CF51C5" w:rsidP="00882158">
      <w:pPr>
        <w:pStyle w:val="BodyText"/>
      </w:pPr>
      <w:r>
        <w:t xml:space="preserve">The results for a 90% universal CCS or $10 flat fee system (the two rightmost columns in </w:t>
      </w:r>
      <w:r w:rsidRPr="00FE14D8">
        <w:t>figures</w:t>
      </w:r>
      <w:r>
        <w:t> F</w:t>
      </w:r>
      <w:r w:rsidRPr="003052CF">
        <w:t xml:space="preserve">.4 to </w:t>
      </w:r>
      <w:r>
        <w:t>F</w:t>
      </w:r>
      <w:r w:rsidRPr="003052CF">
        <w:t>.</w:t>
      </w:r>
      <w:r>
        <w:t>9</w:t>
      </w:r>
      <w:r w:rsidRPr="00FE14D8">
        <w:t>) reveal that higher</w:t>
      </w:r>
      <w:r w:rsidRPr="00FE14D8">
        <w:noBreakHyphen/>
        <w:t xml:space="preserve">income families, who are currently eligible for </w:t>
      </w:r>
      <w:r>
        <w:t xml:space="preserve">lower subsidy </w:t>
      </w:r>
      <w:r w:rsidRPr="00FE14D8">
        <w:t>rates, would experience relatively</w:t>
      </w:r>
      <w:r>
        <w:t xml:space="preserve"> larger falls in their WDRs if either of these reforms were adopted.</w:t>
      </w:r>
    </w:p>
    <w:tbl>
      <w:tblPr>
        <w:tblStyle w:val="Boxtable"/>
        <w:tblW w:w="5000" w:type="pct"/>
        <w:tblLook w:val="04A0" w:firstRow="1" w:lastRow="0" w:firstColumn="1" w:lastColumn="0" w:noHBand="0" w:noVBand="1"/>
      </w:tblPr>
      <w:tblGrid>
        <w:gridCol w:w="9638"/>
      </w:tblGrid>
      <w:tr w:rsidR="00CF51C5" w14:paraId="2A49FD00" w14:textId="77777777" w:rsidTr="00882158">
        <w:trPr>
          <w:tblHeader/>
        </w:trPr>
        <w:tc>
          <w:tcPr>
            <w:tcW w:w="9638" w:type="dxa"/>
            <w:shd w:val="clear" w:color="auto" w:fill="EBEBEB"/>
            <w:tcMar>
              <w:top w:w="170" w:type="dxa"/>
              <w:left w:w="170" w:type="dxa"/>
              <w:bottom w:w="113" w:type="dxa"/>
              <w:right w:w="170" w:type="dxa"/>
            </w:tcMar>
            <w:hideMark/>
          </w:tcPr>
          <w:p w14:paraId="190685DC" w14:textId="77777777" w:rsidR="00CF51C5" w:rsidRDefault="00CF51C5">
            <w:pPr>
              <w:pStyle w:val="BoxHeading1"/>
            </w:pPr>
            <w:r>
              <w:lastRenderedPageBreak/>
              <w:t xml:space="preserve">Box </w:t>
            </w:r>
            <w:r>
              <w:rPr>
                <w:noProof/>
              </w:rPr>
              <w:t>F</w:t>
            </w:r>
            <w:r>
              <w:t>.</w:t>
            </w:r>
            <w:r>
              <w:rPr>
                <w:noProof/>
              </w:rPr>
              <w:t>1</w:t>
            </w:r>
            <w:r>
              <w:t xml:space="preserve"> – Some families would experience an increase in workforce disincentive rates under the Commission’s recommended changes to subsidies</w:t>
            </w:r>
          </w:p>
        </w:tc>
      </w:tr>
      <w:tr w:rsidR="00CF51C5" w:rsidRPr="001F7381" w14:paraId="6EACA309" w14:textId="77777777">
        <w:tc>
          <w:tcPr>
            <w:tcW w:w="9638" w:type="dxa"/>
            <w:shd w:val="clear" w:color="auto" w:fill="EBEBEB"/>
            <w:tcMar>
              <w:top w:w="28" w:type="dxa"/>
              <w:left w:w="170" w:type="dxa"/>
              <w:bottom w:w="170" w:type="dxa"/>
              <w:right w:w="170" w:type="dxa"/>
            </w:tcMar>
            <w:hideMark/>
          </w:tcPr>
          <w:p w14:paraId="737BA5B0" w14:textId="77777777" w:rsidR="00CF51C5" w:rsidRDefault="00CF51C5">
            <w:pPr>
              <w:pStyle w:val="BoxHeading3"/>
              <w:rPr>
                <w:b w:val="0"/>
                <w:i w:val="0"/>
              </w:rPr>
            </w:pPr>
            <w:r>
              <w:rPr>
                <w:b w:val="0"/>
                <w:i w:val="0"/>
              </w:rPr>
              <w:t>Although subsidy rates would increase for almost all families under the Commission’s recommended changes to the Child Care Subsidy (CCS) and higher Child Care Subsidy (HCCS) (option one / option A), some families would experience an increase in workforce disincentive rates (WDRs) if these changes were implemented. This is driven by two factors.</w:t>
            </w:r>
          </w:p>
          <w:p w14:paraId="69905615" w14:textId="77777777" w:rsidR="00CF51C5" w:rsidRDefault="00CF51C5">
            <w:pPr>
              <w:pStyle w:val="ListBullet"/>
            </w:pPr>
            <w:r>
              <w:t>The recommended changes to the HCCS in option one include removing ‘flat’ sections of the subsidy schedule to create a smooth taper.</w:t>
            </w:r>
          </w:p>
          <w:p w14:paraId="61435B4A" w14:textId="77777777" w:rsidR="00CF51C5" w:rsidRDefault="00CF51C5">
            <w:pPr>
              <w:pStyle w:val="ListBullet"/>
            </w:pPr>
            <w:r>
              <w:t xml:space="preserve">The early childhood education and care (ECEC) component of WDRs is calculated by comparing the </w:t>
            </w:r>
            <w:r w:rsidRPr="00F114DB">
              <w:rPr>
                <w:i/>
                <w:iCs/>
              </w:rPr>
              <w:t>change in out</w:t>
            </w:r>
            <w:r w:rsidRPr="00F114DB">
              <w:rPr>
                <w:i/>
                <w:iCs/>
              </w:rPr>
              <w:noBreakHyphen/>
              <w:t>of</w:t>
            </w:r>
            <w:r w:rsidRPr="00F114DB">
              <w:rPr>
                <w:i/>
                <w:iCs/>
              </w:rPr>
              <w:noBreakHyphen/>
              <w:t>pocket ECEC expenses</w:t>
            </w:r>
            <w:r>
              <w:t xml:space="preserve"> from an additional day of work to the </w:t>
            </w:r>
            <w:r w:rsidRPr="00F114DB">
              <w:rPr>
                <w:i/>
                <w:iCs/>
              </w:rPr>
              <w:t>change in earned income</w:t>
            </w:r>
            <w:r>
              <w:t xml:space="preserve"> from an additional day of work.</w:t>
            </w:r>
          </w:p>
          <w:p w14:paraId="701202CB" w14:textId="77777777" w:rsidR="00CF51C5" w:rsidRDefault="00CF51C5">
            <w:r>
              <w:t>As an example, consider a coupled earner family with two children where both individuals earn $120,000 FTE (figure F.7). When the family’s secondary earner moves from four to five days of work, they face a higher WDR under the Commission’s recommended changes to the CCS and HCCS than after the Cheaper Child Care reforms, despite receiving higher CCS and HCCS subsidy rates.</w:t>
            </w:r>
          </w:p>
          <w:p w14:paraId="7E020893" w14:textId="77777777" w:rsidR="00CF51C5" w:rsidRDefault="00CF51C5" w:rsidP="00882158">
            <w:r>
              <w:t>The table below highlights that the family’s absolute out</w:t>
            </w:r>
            <w:r>
              <w:noBreakHyphen/>
              <w:t>of</w:t>
            </w:r>
            <w:r>
              <w:noBreakHyphen/>
              <w:t xml:space="preserve">pocket ECEC expenses are lower under the Commission’s recommended changes to the CCS and HCCS (for example, expenses fall from about $19,000 if both individuals work five days a week to about $16,000). WDRs, however, focus on the </w:t>
            </w:r>
            <w:r>
              <w:rPr>
                <w:i/>
                <w:iCs/>
              </w:rPr>
              <w:t>change</w:t>
            </w:r>
            <w:r>
              <w:t xml:space="preserve"> in tax and transfer payments and out</w:t>
            </w:r>
            <w:r>
              <w:noBreakHyphen/>
              <w:t>of</w:t>
            </w:r>
            <w:r>
              <w:noBreakHyphen/>
              <w:t>pocket ECEC expenses from an additional day of work.</w:t>
            </w:r>
          </w:p>
          <w:p w14:paraId="2F0FDFB9" w14:textId="77777777" w:rsidR="00CF51C5" w:rsidRDefault="00CF51C5" w:rsidP="00882158">
            <w:r>
              <w:t>As shown in the table, after the Cheaper Child Care reforms, the family’s income on both the fourth and fifth days of work were in the ‘flat’ section of HCCS subsidy rate schedule – their HCCS rate was constant at 80% despite the secondary earner moving from four to five days of work. Hence, the family’s WDR after the Cheaper Child Care reforms only reflected the need to pay for an additional day of ECEC at the same 80% HCCS rate.</w:t>
            </w:r>
          </w:p>
          <w:p w14:paraId="06954BA1" w14:textId="77777777" w:rsidR="00CF51C5" w:rsidRPr="00133C2B" w:rsidRDefault="00CF51C5" w:rsidP="00A2365D">
            <w:pPr>
              <w:pStyle w:val="FigureTableHeading"/>
              <w:spacing w:before="360"/>
              <w:rPr>
                <w:vertAlign w:val="superscript"/>
              </w:rPr>
            </w:pPr>
            <w:r>
              <w:t>Contribution of ECEC out</w:t>
            </w:r>
            <w:r>
              <w:noBreakHyphen/>
              <w:t>of</w:t>
            </w:r>
            <w:r>
              <w:noBreakHyphen/>
              <w:t>pocket expenses to WDRs</w:t>
            </w:r>
            <w:r>
              <w:rPr>
                <w:vertAlign w:val="superscript"/>
              </w:rPr>
              <w:t>a,b</w:t>
            </w:r>
          </w:p>
          <w:tbl>
            <w:tblPr>
              <w:tblW w:w="932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36"/>
              <w:gridCol w:w="1314"/>
              <w:gridCol w:w="1156"/>
              <w:gridCol w:w="1155"/>
              <w:gridCol w:w="1156"/>
              <w:gridCol w:w="1155"/>
              <w:gridCol w:w="1156"/>
            </w:tblGrid>
            <w:tr w:rsidR="00CF51C5" w:rsidRPr="00D126B3" w14:paraId="11CD808C" w14:textId="77777777" w:rsidTr="00A81036">
              <w:trPr>
                <w:tblHeader/>
              </w:trPr>
              <w:tc>
                <w:tcPr>
                  <w:tcW w:w="2236" w:type="dxa"/>
                  <w:tcBorders>
                    <w:bottom w:val="single" w:sz="4" w:space="0" w:color="B3B3B3"/>
                  </w:tcBorders>
                  <w:shd w:val="clear" w:color="auto" w:fill="auto"/>
                  <w:vAlign w:val="bottom"/>
                </w:tcPr>
                <w:p w14:paraId="28830089" w14:textId="77777777" w:rsidR="00CF51C5" w:rsidRPr="00D126B3" w:rsidRDefault="00CF51C5" w:rsidP="00882158">
                  <w:pPr>
                    <w:spacing w:before="45" w:after="45"/>
                    <w:ind w:left="57" w:right="108"/>
                    <w:rPr>
                      <w:rFonts w:ascii="Arial (Body)" w:hAnsi="Arial (Body)"/>
                      <w:b/>
                      <w:color w:val="265A9A"/>
                      <w:sz w:val="18"/>
                    </w:rPr>
                  </w:pPr>
                </w:p>
              </w:tc>
              <w:tc>
                <w:tcPr>
                  <w:tcW w:w="3625" w:type="dxa"/>
                  <w:gridSpan w:val="3"/>
                  <w:tcBorders>
                    <w:bottom w:val="single" w:sz="4" w:space="0" w:color="B3B3B3"/>
                  </w:tcBorders>
                  <w:shd w:val="clear" w:color="auto" w:fill="auto"/>
                  <w:vAlign w:val="bottom"/>
                </w:tcPr>
                <w:p w14:paraId="44B83F37" w14:textId="64FA2D17" w:rsidR="00CF51C5" w:rsidRPr="00E0681D" w:rsidRDefault="00CF51C5" w:rsidP="00882158">
                  <w:pPr>
                    <w:pStyle w:val="TableHeading"/>
                    <w:spacing w:before="45" w:after="45"/>
                    <w:ind w:right="108"/>
                    <w:jc w:val="center"/>
                    <w:rPr>
                      <w:rFonts w:ascii="Arial (Body)" w:hAnsi="Arial (Body)"/>
                      <w:color w:val="auto"/>
                    </w:rPr>
                  </w:pPr>
                  <w:r w:rsidRPr="00E0681D">
                    <w:rPr>
                      <w:rFonts w:ascii="Arial (Body)" w:hAnsi="Arial (Body)"/>
                      <w:color w:val="auto"/>
                    </w:rPr>
                    <w:t>After Cheaper Child Care</w:t>
                  </w:r>
                  <w:r w:rsidR="00DE2BF1">
                    <w:rPr>
                      <w:rFonts w:ascii="Arial (Body)" w:hAnsi="Arial (Body)"/>
                      <w:color w:val="auto"/>
                    </w:rPr>
                    <w:br/>
                  </w:r>
                  <w:r w:rsidRPr="00E0681D">
                    <w:rPr>
                      <w:rFonts w:ascii="Arial (Body)" w:hAnsi="Arial (Body)"/>
                      <w:color w:val="auto"/>
                    </w:rPr>
                    <w:t xml:space="preserve">(option </w:t>
                  </w:r>
                  <w:r>
                    <w:rPr>
                      <w:rFonts w:ascii="Arial (Body)" w:hAnsi="Arial (Body)"/>
                      <w:color w:val="auto"/>
                    </w:rPr>
                    <w:t>three</w:t>
                  </w:r>
                  <w:r w:rsidRPr="00E0681D">
                    <w:rPr>
                      <w:rFonts w:ascii="Arial (Body)" w:hAnsi="Arial (Body)"/>
                      <w:color w:val="auto"/>
                    </w:rPr>
                    <w:t>)</w:t>
                  </w:r>
                </w:p>
              </w:tc>
              <w:tc>
                <w:tcPr>
                  <w:tcW w:w="3467" w:type="dxa"/>
                  <w:gridSpan w:val="3"/>
                  <w:tcBorders>
                    <w:bottom w:val="single" w:sz="4" w:space="0" w:color="B3B3B3"/>
                  </w:tcBorders>
                  <w:shd w:val="clear" w:color="auto" w:fill="auto"/>
                  <w:vAlign w:val="bottom"/>
                </w:tcPr>
                <w:p w14:paraId="6B5E0AB4" w14:textId="031B7BD7" w:rsidR="00CF51C5" w:rsidRPr="00E0681D" w:rsidRDefault="00CF51C5" w:rsidP="00882158">
                  <w:pPr>
                    <w:pStyle w:val="TableHeading"/>
                    <w:spacing w:before="45" w:after="45"/>
                    <w:ind w:right="108"/>
                    <w:jc w:val="center"/>
                    <w:rPr>
                      <w:rFonts w:ascii="Arial (Body)" w:hAnsi="Arial (Body)"/>
                      <w:color w:val="auto"/>
                    </w:rPr>
                  </w:pPr>
                  <w:r w:rsidRPr="00E0681D">
                    <w:rPr>
                      <w:rFonts w:ascii="Arial (Body)" w:hAnsi="Arial (Body)"/>
                      <w:color w:val="auto"/>
                    </w:rPr>
                    <w:t>Increase CCS and HCCS</w:t>
                  </w:r>
                  <w:r w:rsidR="00DE2BF1">
                    <w:rPr>
                      <w:rFonts w:ascii="Arial (Body)" w:hAnsi="Arial (Body)"/>
                      <w:color w:val="auto"/>
                    </w:rPr>
                    <w:br/>
                  </w:r>
                  <w:r w:rsidRPr="00E0681D">
                    <w:rPr>
                      <w:rFonts w:ascii="Arial (Body)" w:hAnsi="Arial (Body)"/>
                      <w:color w:val="auto"/>
                    </w:rPr>
                    <w:t xml:space="preserve">(option </w:t>
                  </w:r>
                  <w:r>
                    <w:rPr>
                      <w:rFonts w:ascii="Arial (Body)" w:hAnsi="Arial (Body)"/>
                      <w:color w:val="auto"/>
                    </w:rPr>
                    <w:t>one</w:t>
                  </w:r>
                  <w:r w:rsidRPr="00E0681D">
                    <w:rPr>
                      <w:rFonts w:ascii="Arial (Body)" w:hAnsi="Arial (Body)"/>
                      <w:color w:val="auto"/>
                    </w:rPr>
                    <w:t xml:space="preserve"> / A)</w:t>
                  </w:r>
                </w:p>
              </w:tc>
            </w:tr>
            <w:tr w:rsidR="00CF51C5" w:rsidRPr="00D126B3" w14:paraId="56992BEC" w14:textId="77777777" w:rsidTr="00A81036">
              <w:trPr>
                <w:tblHeader/>
              </w:trPr>
              <w:tc>
                <w:tcPr>
                  <w:tcW w:w="2236" w:type="dxa"/>
                  <w:tcBorders>
                    <w:bottom w:val="single" w:sz="4" w:space="0" w:color="B3B3B3"/>
                  </w:tcBorders>
                  <w:shd w:val="clear" w:color="auto" w:fill="auto"/>
                  <w:vAlign w:val="bottom"/>
                </w:tcPr>
                <w:p w14:paraId="13C936BB" w14:textId="77777777" w:rsidR="00CF51C5" w:rsidRPr="00D126B3" w:rsidRDefault="00CF51C5" w:rsidP="00882158">
                  <w:pPr>
                    <w:spacing w:before="45" w:after="45"/>
                    <w:ind w:left="57" w:right="108"/>
                    <w:rPr>
                      <w:rFonts w:ascii="Arial (Body)" w:hAnsi="Arial (Body)"/>
                      <w:b/>
                      <w:color w:val="265A9A"/>
                      <w:sz w:val="18"/>
                    </w:rPr>
                  </w:pPr>
                </w:p>
              </w:tc>
              <w:tc>
                <w:tcPr>
                  <w:tcW w:w="1314" w:type="dxa"/>
                  <w:tcBorders>
                    <w:bottom w:val="single" w:sz="4" w:space="0" w:color="B3B3B3"/>
                  </w:tcBorders>
                  <w:shd w:val="clear" w:color="auto" w:fill="auto"/>
                  <w:vAlign w:val="bottom"/>
                </w:tcPr>
                <w:p w14:paraId="29455C6E"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Fourth day of work</w:t>
                  </w:r>
                </w:p>
              </w:tc>
              <w:tc>
                <w:tcPr>
                  <w:tcW w:w="1156" w:type="dxa"/>
                  <w:tcBorders>
                    <w:bottom w:val="single" w:sz="4" w:space="0" w:color="B3B3B3"/>
                  </w:tcBorders>
                  <w:shd w:val="clear" w:color="auto" w:fill="auto"/>
                  <w:vAlign w:val="bottom"/>
                </w:tcPr>
                <w:p w14:paraId="64F7C026"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Fifth day of work</w:t>
                  </w:r>
                </w:p>
              </w:tc>
              <w:tc>
                <w:tcPr>
                  <w:tcW w:w="1155" w:type="dxa"/>
                  <w:tcBorders>
                    <w:bottom w:val="single" w:sz="4" w:space="0" w:color="B3B3B3"/>
                  </w:tcBorders>
                  <w:shd w:val="clear" w:color="auto" w:fill="auto"/>
                </w:tcPr>
                <w:p w14:paraId="0F9369FE"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Change</w:t>
                  </w:r>
                </w:p>
              </w:tc>
              <w:tc>
                <w:tcPr>
                  <w:tcW w:w="1156" w:type="dxa"/>
                  <w:tcBorders>
                    <w:bottom w:val="single" w:sz="4" w:space="0" w:color="B3B3B3"/>
                  </w:tcBorders>
                  <w:shd w:val="clear" w:color="auto" w:fill="auto"/>
                  <w:vAlign w:val="bottom"/>
                </w:tcPr>
                <w:p w14:paraId="2555F63D"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Fourth day of work</w:t>
                  </w:r>
                </w:p>
              </w:tc>
              <w:tc>
                <w:tcPr>
                  <w:tcW w:w="1155" w:type="dxa"/>
                  <w:tcBorders>
                    <w:bottom w:val="single" w:sz="4" w:space="0" w:color="B3B3B3"/>
                  </w:tcBorders>
                  <w:shd w:val="clear" w:color="auto" w:fill="auto"/>
                  <w:vAlign w:val="bottom"/>
                </w:tcPr>
                <w:p w14:paraId="6DD44824"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Fifth day of work</w:t>
                  </w:r>
                </w:p>
              </w:tc>
              <w:tc>
                <w:tcPr>
                  <w:tcW w:w="1156" w:type="dxa"/>
                  <w:tcBorders>
                    <w:bottom w:val="single" w:sz="4" w:space="0" w:color="B3B3B3"/>
                  </w:tcBorders>
                  <w:shd w:val="clear" w:color="auto" w:fill="auto"/>
                </w:tcPr>
                <w:p w14:paraId="03E07FF2"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Change</w:t>
                  </w:r>
                </w:p>
              </w:tc>
            </w:tr>
            <w:tr w:rsidR="00CF51C5" w:rsidRPr="00D126B3" w14:paraId="4D7EE3CE" w14:textId="77777777">
              <w:tc>
                <w:tcPr>
                  <w:tcW w:w="9328" w:type="dxa"/>
                  <w:gridSpan w:val="7"/>
                  <w:tcBorders>
                    <w:top w:val="single" w:sz="4" w:space="0" w:color="B3B3B3"/>
                    <w:bottom w:val="nil"/>
                  </w:tcBorders>
                  <w:shd w:val="clear" w:color="auto" w:fill="CBDDF2" w:themeFill="background2" w:themeFillTint="33"/>
                </w:tcPr>
                <w:p w14:paraId="4D36E1BD" w14:textId="77777777" w:rsidR="00CF51C5" w:rsidRPr="00E0681D" w:rsidRDefault="00CF51C5" w:rsidP="00882158">
                  <w:pPr>
                    <w:pStyle w:val="TableBody"/>
                    <w:spacing w:before="45" w:after="45"/>
                    <w:ind w:right="108"/>
                    <w:jc w:val="center"/>
                    <w:rPr>
                      <w:rFonts w:ascii="Arial (Body)" w:hAnsi="Arial (Body)"/>
                      <w:b/>
                      <w:bCs/>
                    </w:rPr>
                  </w:pPr>
                  <w:r w:rsidRPr="00E0681D">
                    <w:rPr>
                      <w:rFonts w:ascii="Arial (Body)" w:hAnsi="Arial (Body)"/>
                      <w:b/>
                      <w:bCs/>
                    </w:rPr>
                    <w:t>Income (annual)</w:t>
                  </w:r>
                </w:p>
              </w:tc>
            </w:tr>
            <w:tr w:rsidR="00CF51C5" w:rsidRPr="00D126B3" w14:paraId="235E1F63" w14:textId="77777777" w:rsidTr="001C3D42">
              <w:tc>
                <w:tcPr>
                  <w:tcW w:w="2236" w:type="dxa"/>
                  <w:tcBorders>
                    <w:top w:val="nil"/>
                    <w:bottom w:val="nil"/>
                  </w:tcBorders>
                  <w:shd w:val="clear" w:color="auto" w:fill="F2F2F2" w:themeFill="background1" w:themeFillShade="F2"/>
                </w:tcPr>
                <w:p w14:paraId="17F62F01" w14:textId="77777777" w:rsidR="00CF51C5" w:rsidRPr="00D126B3" w:rsidRDefault="00CF51C5" w:rsidP="00882158">
                  <w:pPr>
                    <w:pStyle w:val="TableHeading"/>
                    <w:spacing w:before="45" w:after="45"/>
                    <w:ind w:right="108"/>
                    <w:rPr>
                      <w:rFonts w:ascii="Arial (Body)" w:hAnsi="Arial (Body)"/>
                      <w:color w:val="265A9A"/>
                    </w:rPr>
                  </w:pPr>
                  <w:r>
                    <w:rPr>
                      <w:rFonts w:ascii="Arial (Body)" w:hAnsi="Arial (Body)"/>
                      <w:color w:val="265A9A"/>
                    </w:rPr>
                    <w:t>Primary earner income</w:t>
                  </w:r>
                </w:p>
              </w:tc>
              <w:tc>
                <w:tcPr>
                  <w:tcW w:w="1314" w:type="dxa"/>
                  <w:tcBorders>
                    <w:top w:val="nil"/>
                    <w:bottom w:val="nil"/>
                  </w:tcBorders>
                  <w:shd w:val="clear" w:color="auto" w:fill="F2F2F2" w:themeFill="background1" w:themeFillShade="F2"/>
                </w:tcPr>
                <w:p w14:paraId="5A75F2A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6" w:type="dxa"/>
                  <w:tcBorders>
                    <w:top w:val="nil"/>
                    <w:bottom w:val="nil"/>
                  </w:tcBorders>
                  <w:shd w:val="clear" w:color="auto" w:fill="F2F2F2" w:themeFill="background1" w:themeFillShade="F2"/>
                </w:tcPr>
                <w:p w14:paraId="79EBFBB0"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5" w:type="dxa"/>
                  <w:tcBorders>
                    <w:top w:val="nil"/>
                    <w:bottom w:val="nil"/>
                  </w:tcBorders>
                  <w:shd w:val="clear" w:color="auto" w:fill="F2F2F2" w:themeFill="background1" w:themeFillShade="F2"/>
                </w:tcPr>
                <w:p w14:paraId="6D238027"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$0</w:t>
                  </w:r>
                </w:p>
              </w:tc>
              <w:tc>
                <w:tcPr>
                  <w:tcW w:w="1156" w:type="dxa"/>
                  <w:tcBorders>
                    <w:top w:val="nil"/>
                    <w:bottom w:val="nil"/>
                  </w:tcBorders>
                  <w:shd w:val="clear" w:color="auto" w:fill="F2F2F2" w:themeFill="background1" w:themeFillShade="F2"/>
                </w:tcPr>
                <w:p w14:paraId="05F843B2"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5" w:type="dxa"/>
                  <w:tcBorders>
                    <w:top w:val="nil"/>
                    <w:bottom w:val="nil"/>
                  </w:tcBorders>
                  <w:shd w:val="clear" w:color="auto" w:fill="F2F2F2" w:themeFill="background1" w:themeFillShade="F2"/>
                </w:tcPr>
                <w:p w14:paraId="2049A9F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6" w:type="dxa"/>
                  <w:tcBorders>
                    <w:top w:val="nil"/>
                    <w:bottom w:val="nil"/>
                  </w:tcBorders>
                  <w:shd w:val="clear" w:color="auto" w:fill="F2F2F2" w:themeFill="background1" w:themeFillShade="F2"/>
                </w:tcPr>
                <w:p w14:paraId="4509C883"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$0</w:t>
                  </w:r>
                </w:p>
              </w:tc>
            </w:tr>
            <w:tr w:rsidR="00CF51C5" w:rsidRPr="00D126B3" w14:paraId="455D5194" w14:textId="77777777" w:rsidTr="00A81036">
              <w:tc>
                <w:tcPr>
                  <w:tcW w:w="2236" w:type="dxa"/>
                  <w:tcBorders>
                    <w:top w:val="nil"/>
                    <w:bottom w:val="nil"/>
                  </w:tcBorders>
                  <w:shd w:val="clear" w:color="auto" w:fill="auto"/>
                </w:tcPr>
                <w:p w14:paraId="6CE6CB9D"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Secondary earner income</w:t>
                  </w:r>
                </w:p>
              </w:tc>
              <w:tc>
                <w:tcPr>
                  <w:tcW w:w="1314" w:type="dxa"/>
                  <w:tcBorders>
                    <w:top w:val="nil"/>
                    <w:bottom w:val="nil"/>
                  </w:tcBorders>
                  <w:shd w:val="clear" w:color="auto" w:fill="auto"/>
                </w:tcPr>
                <w:p w14:paraId="6D1E3E25"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$96,000</w:t>
                  </w:r>
                </w:p>
              </w:tc>
              <w:tc>
                <w:tcPr>
                  <w:tcW w:w="1156" w:type="dxa"/>
                  <w:tcBorders>
                    <w:top w:val="nil"/>
                    <w:bottom w:val="nil"/>
                  </w:tcBorders>
                  <w:shd w:val="clear" w:color="auto" w:fill="auto"/>
                </w:tcPr>
                <w:p w14:paraId="3C42F1E0"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5" w:type="dxa"/>
                  <w:tcBorders>
                    <w:top w:val="nil"/>
                    <w:bottom w:val="nil"/>
                  </w:tcBorders>
                  <w:shd w:val="clear" w:color="auto" w:fill="auto"/>
                </w:tcPr>
                <w:p w14:paraId="6F45EF85" w14:textId="77777777" w:rsidR="00CF51C5" w:rsidRPr="00FF6C01" w:rsidRDefault="00CF51C5" w:rsidP="00882158">
                  <w:pPr>
                    <w:pStyle w:val="TableBody"/>
                    <w:spacing w:before="45" w:after="45"/>
                    <w:ind w:right="108"/>
                    <w:jc w:val="right"/>
                    <w:rPr>
                      <w:rFonts w:ascii="Arial (Body)" w:hAnsi="Arial (Body)"/>
                      <w:b/>
                      <w:bCs/>
                      <w:color w:val="000000"/>
                    </w:rPr>
                  </w:pPr>
                  <w:r w:rsidRPr="00FF6C01">
                    <w:rPr>
                      <w:rFonts w:ascii="Arial (Body)" w:hAnsi="Arial (Body)"/>
                      <w:b/>
                      <w:bCs/>
                      <w:color w:val="000000"/>
                    </w:rPr>
                    <w:t>$24,000</w:t>
                  </w:r>
                </w:p>
              </w:tc>
              <w:tc>
                <w:tcPr>
                  <w:tcW w:w="1156" w:type="dxa"/>
                  <w:tcBorders>
                    <w:top w:val="nil"/>
                    <w:bottom w:val="nil"/>
                  </w:tcBorders>
                  <w:shd w:val="clear" w:color="auto" w:fill="auto"/>
                </w:tcPr>
                <w:p w14:paraId="6902B6A7"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$96,000</w:t>
                  </w:r>
                </w:p>
              </w:tc>
              <w:tc>
                <w:tcPr>
                  <w:tcW w:w="1155" w:type="dxa"/>
                  <w:tcBorders>
                    <w:top w:val="nil"/>
                    <w:bottom w:val="nil"/>
                  </w:tcBorders>
                  <w:shd w:val="clear" w:color="auto" w:fill="auto"/>
                </w:tcPr>
                <w:p w14:paraId="28260FE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$120,000</w:t>
                  </w:r>
                </w:p>
              </w:tc>
              <w:tc>
                <w:tcPr>
                  <w:tcW w:w="1156" w:type="dxa"/>
                  <w:tcBorders>
                    <w:top w:val="nil"/>
                    <w:bottom w:val="nil"/>
                  </w:tcBorders>
                  <w:shd w:val="clear" w:color="auto" w:fill="auto"/>
                </w:tcPr>
                <w:p w14:paraId="573C74E5" w14:textId="77777777" w:rsidR="00CF51C5" w:rsidRPr="00FF6C01" w:rsidRDefault="00CF51C5" w:rsidP="00882158">
                  <w:pPr>
                    <w:pStyle w:val="TableBody"/>
                    <w:spacing w:before="45" w:after="45"/>
                    <w:ind w:right="108"/>
                    <w:jc w:val="right"/>
                    <w:rPr>
                      <w:rFonts w:ascii="Arial (Body)" w:hAnsi="Arial (Body)"/>
                      <w:b/>
                      <w:bCs/>
                      <w:color w:val="000000"/>
                    </w:rPr>
                  </w:pPr>
                  <w:r w:rsidRPr="00FF6C01">
                    <w:rPr>
                      <w:rFonts w:ascii="Arial (Body)" w:hAnsi="Arial (Body)"/>
                      <w:b/>
                      <w:bCs/>
                      <w:color w:val="000000"/>
                    </w:rPr>
                    <w:t>$24,000</w:t>
                  </w:r>
                </w:p>
              </w:tc>
            </w:tr>
            <w:tr w:rsidR="00CF51C5" w:rsidRPr="00D126B3" w14:paraId="03CB4C32" w14:textId="77777777" w:rsidTr="001C3D42">
              <w:tc>
                <w:tcPr>
                  <w:tcW w:w="2236" w:type="dxa"/>
                  <w:tcBorders>
                    <w:top w:val="nil"/>
                    <w:bottom w:val="nil"/>
                  </w:tcBorders>
                  <w:shd w:val="clear" w:color="auto" w:fill="F2F2F2" w:themeFill="background1" w:themeFillShade="F2"/>
                </w:tcPr>
                <w:p w14:paraId="280F732F" w14:textId="77777777" w:rsidR="00CF51C5" w:rsidRPr="00D33191" w:rsidRDefault="00CF51C5" w:rsidP="00882158">
                  <w:pPr>
                    <w:pStyle w:val="TableHeading"/>
                    <w:spacing w:before="45" w:after="45"/>
                    <w:ind w:right="108"/>
                    <w:rPr>
                      <w:rFonts w:ascii="Arial (Body)" w:hAnsi="Arial (Body)"/>
                      <w:color w:val="265A9A"/>
                      <w:vertAlign w:val="superscript"/>
                    </w:rPr>
                  </w:pPr>
                  <w:r>
                    <w:rPr>
                      <w:rFonts w:ascii="Arial (Body)" w:hAnsi="Arial (Body)"/>
                      <w:color w:val="265A9A"/>
                    </w:rPr>
                    <w:t>Family income</w:t>
                  </w:r>
                  <w:r>
                    <w:rPr>
                      <w:rFonts w:ascii="Arial (Body)" w:hAnsi="Arial (Body)"/>
                      <w:color w:val="265A9A"/>
                      <w:vertAlign w:val="superscript"/>
                    </w:rPr>
                    <w:t>a</w:t>
                  </w:r>
                </w:p>
              </w:tc>
              <w:tc>
                <w:tcPr>
                  <w:tcW w:w="1314" w:type="dxa"/>
                  <w:tcBorders>
                    <w:top w:val="nil"/>
                    <w:bottom w:val="nil"/>
                  </w:tcBorders>
                  <w:shd w:val="clear" w:color="auto" w:fill="F2F2F2" w:themeFill="background1" w:themeFillShade="F2"/>
                </w:tcPr>
                <w:p w14:paraId="73C2926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$216,000</w:t>
                  </w:r>
                </w:p>
              </w:tc>
              <w:tc>
                <w:tcPr>
                  <w:tcW w:w="1156" w:type="dxa"/>
                  <w:tcBorders>
                    <w:top w:val="nil"/>
                    <w:bottom w:val="nil"/>
                  </w:tcBorders>
                  <w:shd w:val="clear" w:color="auto" w:fill="F2F2F2" w:themeFill="background1" w:themeFillShade="F2"/>
                </w:tcPr>
                <w:p w14:paraId="0A78ADA7"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$240,000</w:t>
                  </w:r>
                </w:p>
              </w:tc>
              <w:tc>
                <w:tcPr>
                  <w:tcW w:w="1155" w:type="dxa"/>
                  <w:tcBorders>
                    <w:top w:val="nil"/>
                    <w:bottom w:val="nil"/>
                  </w:tcBorders>
                  <w:shd w:val="clear" w:color="auto" w:fill="F2F2F2" w:themeFill="background1" w:themeFillShade="F2"/>
                </w:tcPr>
                <w:p w14:paraId="52AAA6ED"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$24,000</w:t>
                  </w:r>
                </w:p>
              </w:tc>
              <w:tc>
                <w:tcPr>
                  <w:tcW w:w="1156" w:type="dxa"/>
                  <w:tcBorders>
                    <w:top w:val="nil"/>
                    <w:bottom w:val="nil"/>
                  </w:tcBorders>
                  <w:shd w:val="clear" w:color="auto" w:fill="F2F2F2" w:themeFill="background1" w:themeFillShade="F2"/>
                </w:tcPr>
                <w:p w14:paraId="77D2A1F8" w14:textId="77777777" w:rsidR="00CF51C5" w:rsidRDefault="00CF51C5" w:rsidP="00882158">
                  <w:pPr>
                    <w:pStyle w:val="TableBody"/>
                    <w:spacing w:before="45" w:after="45"/>
                    <w:ind w:right="108"/>
                    <w:jc w:val="right"/>
                    <w:rPr>
                      <w:rFonts w:ascii="Arial (Body)" w:hAnsi="Arial (Body)"/>
                      <w:color w:val="000000"/>
                    </w:rPr>
                  </w:pPr>
                  <w:r>
                    <w:rPr>
                      <w:rFonts w:ascii="Arial (Body)" w:hAnsi="Arial (Body)"/>
                      <w:color w:val="000000"/>
                    </w:rPr>
                    <w:t>$216,000</w:t>
                  </w:r>
                </w:p>
              </w:tc>
              <w:tc>
                <w:tcPr>
                  <w:tcW w:w="1155" w:type="dxa"/>
                  <w:tcBorders>
                    <w:top w:val="nil"/>
                    <w:bottom w:val="nil"/>
                  </w:tcBorders>
                  <w:shd w:val="clear" w:color="auto" w:fill="F2F2F2" w:themeFill="background1" w:themeFillShade="F2"/>
                </w:tcPr>
                <w:p w14:paraId="669C990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$240,000</w:t>
                  </w:r>
                </w:p>
              </w:tc>
              <w:tc>
                <w:tcPr>
                  <w:tcW w:w="1156" w:type="dxa"/>
                  <w:tcBorders>
                    <w:top w:val="nil"/>
                    <w:bottom w:val="nil"/>
                  </w:tcBorders>
                  <w:shd w:val="clear" w:color="auto" w:fill="F2F2F2" w:themeFill="background1" w:themeFillShade="F2"/>
                </w:tcPr>
                <w:p w14:paraId="20A8B8EE"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$24,000</w:t>
                  </w:r>
                </w:p>
              </w:tc>
            </w:tr>
            <w:tr w:rsidR="00CF51C5" w:rsidRPr="00D126B3" w14:paraId="34F4EFD7" w14:textId="77777777">
              <w:tc>
                <w:tcPr>
                  <w:tcW w:w="9328" w:type="dxa"/>
                  <w:gridSpan w:val="7"/>
                  <w:tcBorders>
                    <w:top w:val="nil"/>
                    <w:bottom w:val="nil"/>
                  </w:tcBorders>
                  <w:shd w:val="clear" w:color="auto" w:fill="CBDDF2" w:themeFill="background2" w:themeFillTint="33"/>
                </w:tcPr>
                <w:p w14:paraId="2936C374" w14:textId="77777777" w:rsidR="00CF51C5" w:rsidRPr="00D33191" w:rsidRDefault="00CF51C5" w:rsidP="00882158">
                  <w:pPr>
                    <w:pStyle w:val="TableBody"/>
                    <w:spacing w:before="45" w:after="45"/>
                    <w:ind w:right="108"/>
                    <w:jc w:val="center"/>
                    <w:rPr>
                      <w:rFonts w:ascii="Arial (Body)" w:hAnsi="Arial (Body)"/>
                      <w:b/>
                      <w:bCs/>
                    </w:rPr>
                  </w:pPr>
                  <w:r w:rsidRPr="00D33191">
                    <w:rPr>
                      <w:rFonts w:ascii="Arial (Body)" w:hAnsi="Arial (Body)"/>
                      <w:b/>
                      <w:bCs/>
                    </w:rPr>
                    <w:t>ECEC</w:t>
                  </w:r>
                  <w:r>
                    <w:rPr>
                      <w:rFonts w:ascii="Arial (Body)" w:hAnsi="Arial (Body)"/>
                      <w:b/>
                      <w:bCs/>
                    </w:rPr>
                    <w:t xml:space="preserve"> out</w:t>
                  </w:r>
                  <w:r>
                    <w:rPr>
                      <w:rFonts w:ascii="Arial (Body)" w:hAnsi="Arial (Body)"/>
                      <w:b/>
                      <w:bCs/>
                    </w:rPr>
                    <w:noBreakHyphen/>
                    <w:t>of</w:t>
                  </w:r>
                  <w:r>
                    <w:rPr>
                      <w:rFonts w:ascii="Arial (Body)" w:hAnsi="Arial (Body)"/>
                      <w:b/>
                      <w:bCs/>
                    </w:rPr>
                    <w:noBreakHyphen/>
                    <w:t>pocket expenses</w:t>
                  </w:r>
                  <w:r w:rsidRPr="00D33191">
                    <w:rPr>
                      <w:rFonts w:ascii="Arial (Body)" w:hAnsi="Arial (Body)"/>
                      <w:b/>
                      <w:bCs/>
                    </w:rPr>
                    <w:t xml:space="preserve"> (annual)</w:t>
                  </w:r>
                </w:p>
              </w:tc>
            </w:tr>
            <w:tr w:rsidR="00CF51C5" w:rsidRPr="00D126B3" w14:paraId="60417D19" w14:textId="77777777" w:rsidTr="001C3D42">
              <w:tc>
                <w:tcPr>
                  <w:tcW w:w="2236" w:type="dxa"/>
                  <w:tcBorders>
                    <w:top w:val="nil"/>
                    <w:bottom w:val="nil"/>
                  </w:tcBorders>
                  <w:shd w:val="clear" w:color="auto" w:fill="F2F2F2" w:themeFill="background1" w:themeFillShade="F2"/>
                </w:tcPr>
                <w:p w14:paraId="33A1D583" w14:textId="77777777" w:rsidR="00CF51C5" w:rsidRPr="00C875B7" w:rsidRDefault="00CF51C5" w:rsidP="00882158">
                  <w:pPr>
                    <w:pStyle w:val="TableHeading"/>
                    <w:spacing w:before="45" w:after="45"/>
                    <w:ind w:right="108"/>
                    <w:rPr>
                      <w:rFonts w:ascii="Arial (Body)" w:hAnsi="Arial (Body)"/>
                      <w:color w:val="265A9A"/>
                      <w:vertAlign w:val="superscript"/>
                    </w:rPr>
                  </w:pPr>
                  <w:r>
                    <w:rPr>
                      <w:rFonts w:ascii="Arial (Body)" w:hAnsi="Arial (Body)"/>
                      <w:color w:val="265A9A"/>
                    </w:rPr>
                    <w:t>Fees charged (child one)</w:t>
                  </w:r>
                  <w:r>
                    <w:rPr>
                      <w:rFonts w:ascii="Arial (Body)" w:hAnsi="Arial (Body)"/>
                      <w:color w:val="265A9A"/>
                      <w:vertAlign w:val="superscript"/>
                    </w:rPr>
                    <w:t>b</w:t>
                  </w:r>
                </w:p>
              </w:tc>
              <w:tc>
                <w:tcPr>
                  <w:tcW w:w="1314" w:type="dxa"/>
                  <w:tcBorders>
                    <w:top w:val="nil"/>
                    <w:bottom w:val="nil"/>
                  </w:tcBorders>
                  <w:shd w:val="clear" w:color="auto" w:fill="F2F2F2" w:themeFill="background1" w:themeFillShade="F2"/>
                </w:tcPr>
                <w:p w14:paraId="6288C43A"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$24,576</w:t>
                  </w:r>
                </w:p>
              </w:tc>
              <w:tc>
                <w:tcPr>
                  <w:tcW w:w="1156" w:type="dxa"/>
                  <w:tcBorders>
                    <w:top w:val="nil"/>
                    <w:bottom w:val="nil"/>
                  </w:tcBorders>
                  <w:shd w:val="clear" w:color="auto" w:fill="F2F2F2" w:themeFill="background1" w:themeFillShade="F2"/>
                </w:tcPr>
                <w:p w14:paraId="33DCC368"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$30,720</w:t>
                  </w:r>
                </w:p>
              </w:tc>
              <w:tc>
                <w:tcPr>
                  <w:tcW w:w="1155" w:type="dxa"/>
                  <w:tcBorders>
                    <w:top w:val="nil"/>
                    <w:bottom w:val="nil"/>
                  </w:tcBorders>
                  <w:shd w:val="clear" w:color="auto" w:fill="F2F2F2" w:themeFill="background1" w:themeFillShade="F2"/>
                </w:tcPr>
                <w:p w14:paraId="37413A8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c>
                <w:tcPr>
                  <w:tcW w:w="1156" w:type="dxa"/>
                  <w:tcBorders>
                    <w:top w:val="nil"/>
                    <w:bottom w:val="nil"/>
                  </w:tcBorders>
                  <w:shd w:val="clear" w:color="auto" w:fill="F2F2F2" w:themeFill="background1" w:themeFillShade="F2"/>
                </w:tcPr>
                <w:p w14:paraId="5C704841"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$24,576</w:t>
                  </w:r>
                </w:p>
              </w:tc>
              <w:tc>
                <w:tcPr>
                  <w:tcW w:w="1155" w:type="dxa"/>
                  <w:tcBorders>
                    <w:top w:val="nil"/>
                    <w:bottom w:val="nil"/>
                  </w:tcBorders>
                  <w:shd w:val="clear" w:color="auto" w:fill="F2F2F2" w:themeFill="background1" w:themeFillShade="F2"/>
                </w:tcPr>
                <w:p w14:paraId="5A90CA51"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$30,720</w:t>
                  </w:r>
                </w:p>
              </w:tc>
              <w:tc>
                <w:tcPr>
                  <w:tcW w:w="1156" w:type="dxa"/>
                  <w:tcBorders>
                    <w:top w:val="nil"/>
                    <w:bottom w:val="nil"/>
                  </w:tcBorders>
                  <w:shd w:val="clear" w:color="auto" w:fill="F2F2F2" w:themeFill="background1" w:themeFillShade="F2"/>
                </w:tcPr>
                <w:p w14:paraId="7FAE640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r>
            <w:tr w:rsidR="00CF51C5" w:rsidRPr="00D126B3" w14:paraId="4AD1B13A" w14:textId="77777777" w:rsidTr="00A81036">
              <w:tc>
                <w:tcPr>
                  <w:tcW w:w="2236" w:type="dxa"/>
                  <w:tcBorders>
                    <w:top w:val="nil"/>
                    <w:bottom w:val="nil"/>
                  </w:tcBorders>
                  <w:shd w:val="clear" w:color="auto" w:fill="auto"/>
                </w:tcPr>
                <w:p w14:paraId="4B69066B" w14:textId="77777777" w:rsidR="00CF51C5" w:rsidRPr="00C875B7" w:rsidRDefault="00CF51C5" w:rsidP="00882158">
                  <w:pPr>
                    <w:pStyle w:val="TableHeading"/>
                    <w:spacing w:before="45" w:after="45"/>
                    <w:ind w:right="108"/>
                    <w:rPr>
                      <w:rFonts w:ascii="Arial (Body)" w:hAnsi="Arial (Body)"/>
                      <w:color w:val="265A9A"/>
                      <w:vertAlign w:val="superscript"/>
                    </w:rPr>
                  </w:pPr>
                  <w:r>
                    <w:rPr>
                      <w:rFonts w:ascii="Arial (Body)" w:hAnsi="Arial (Body)"/>
                      <w:color w:val="265A9A"/>
                    </w:rPr>
                    <w:lastRenderedPageBreak/>
                    <w:t>Fees charged (child two)</w:t>
                  </w:r>
                  <w:r>
                    <w:rPr>
                      <w:rFonts w:ascii="Arial (Body)" w:hAnsi="Arial (Body)"/>
                      <w:color w:val="265A9A"/>
                      <w:vertAlign w:val="superscript"/>
                    </w:rPr>
                    <w:t>b</w:t>
                  </w:r>
                </w:p>
              </w:tc>
              <w:tc>
                <w:tcPr>
                  <w:tcW w:w="1314" w:type="dxa"/>
                  <w:tcBorders>
                    <w:top w:val="nil"/>
                    <w:bottom w:val="nil"/>
                  </w:tcBorders>
                  <w:shd w:val="clear" w:color="auto" w:fill="auto"/>
                </w:tcPr>
                <w:p w14:paraId="172804A6"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$24,576</w:t>
                  </w:r>
                </w:p>
              </w:tc>
              <w:tc>
                <w:tcPr>
                  <w:tcW w:w="1156" w:type="dxa"/>
                  <w:tcBorders>
                    <w:top w:val="nil"/>
                    <w:bottom w:val="nil"/>
                  </w:tcBorders>
                  <w:shd w:val="clear" w:color="auto" w:fill="auto"/>
                </w:tcPr>
                <w:p w14:paraId="75471C9C"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$30,720</w:t>
                  </w:r>
                </w:p>
              </w:tc>
              <w:tc>
                <w:tcPr>
                  <w:tcW w:w="1155" w:type="dxa"/>
                  <w:tcBorders>
                    <w:top w:val="nil"/>
                    <w:bottom w:val="nil"/>
                  </w:tcBorders>
                  <w:shd w:val="clear" w:color="auto" w:fill="auto"/>
                </w:tcPr>
                <w:p w14:paraId="44217160"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c>
                <w:tcPr>
                  <w:tcW w:w="1156" w:type="dxa"/>
                  <w:tcBorders>
                    <w:top w:val="nil"/>
                    <w:bottom w:val="nil"/>
                  </w:tcBorders>
                  <w:shd w:val="clear" w:color="auto" w:fill="auto"/>
                </w:tcPr>
                <w:p w14:paraId="52074E82"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$24,576</w:t>
                  </w:r>
                </w:p>
              </w:tc>
              <w:tc>
                <w:tcPr>
                  <w:tcW w:w="1155" w:type="dxa"/>
                  <w:tcBorders>
                    <w:top w:val="nil"/>
                    <w:bottom w:val="nil"/>
                  </w:tcBorders>
                  <w:shd w:val="clear" w:color="auto" w:fill="auto"/>
                </w:tcPr>
                <w:p w14:paraId="7D5BBAD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$30,720</w:t>
                  </w:r>
                </w:p>
              </w:tc>
              <w:tc>
                <w:tcPr>
                  <w:tcW w:w="1156" w:type="dxa"/>
                  <w:tcBorders>
                    <w:top w:val="nil"/>
                    <w:bottom w:val="nil"/>
                  </w:tcBorders>
                  <w:shd w:val="clear" w:color="auto" w:fill="auto"/>
                </w:tcPr>
                <w:p w14:paraId="431D018F"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r>
            <w:tr w:rsidR="00CF51C5" w:rsidRPr="00D126B3" w14:paraId="29D5D657" w14:textId="77777777" w:rsidTr="001C3D42">
              <w:tc>
                <w:tcPr>
                  <w:tcW w:w="2236" w:type="dxa"/>
                  <w:tcBorders>
                    <w:top w:val="nil"/>
                    <w:bottom w:val="nil"/>
                  </w:tcBorders>
                  <w:shd w:val="clear" w:color="auto" w:fill="F2F2F2" w:themeFill="background1" w:themeFillShade="F2"/>
                </w:tcPr>
                <w:p w14:paraId="6988D596"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Fees charged (total)</w:t>
                  </w:r>
                </w:p>
              </w:tc>
              <w:tc>
                <w:tcPr>
                  <w:tcW w:w="1314" w:type="dxa"/>
                  <w:tcBorders>
                    <w:top w:val="nil"/>
                    <w:bottom w:val="nil"/>
                  </w:tcBorders>
                  <w:shd w:val="clear" w:color="auto" w:fill="F2F2F2" w:themeFill="background1" w:themeFillShade="F2"/>
                </w:tcPr>
                <w:p w14:paraId="4176BB53"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$49,152</w:t>
                  </w:r>
                </w:p>
              </w:tc>
              <w:tc>
                <w:tcPr>
                  <w:tcW w:w="1156" w:type="dxa"/>
                  <w:tcBorders>
                    <w:top w:val="nil"/>
                    <w:bottom w:val="nil"/>
                  </w:tcBorders>
                  <w:shd w:val="clear" w:color="auto" w:fill="F2F2F2" w:themeFill="background1" w:themeFillShade="F2"/>
                </w:tcPr>
                <w:p w14:paraId="02FD4535"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$61,440</w:t>
                  </w:r>
                </w:p>
              </w:tc>
              <w:tc>
                <w:tcPr>
                  <w:tcW w:w="1155" w:type="dxa"/>
                  <w:tcBorders>
                    <w:top w:val="nil"/>
                    <w:bottom w:val="nil"/>
                  </w:tcBorders>
                  <w:shd w:val="clear" w:color="auto" w:fill="F2F2F2" w:themeFill="background1" w:themeFillShade="F2"/>
                </w:tcPr>
                <w:p w14:paraId="4954C4DD"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$12,288</w:t>
                  </w:r>
                </w:p>
              </w:tc>
              <w:tc>
                <w:tcPr>
                  <w:tcW w:w="1156" w:type="dxa"/>
                  <w:tcBorders>
                    <w:top w:val="nil"/>
                    <w:bottom w:val="nil"/>
                  </w:tcBorders>
                  <w:shd w:val="clear" w:color="auto" w:fill="F2F2F2" w:themeFill="background1" w:themeFillShade="F2"/>
                </w:tcPr>
                <w:p w14:paraId="54113E7C"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$49,152</w:t>
                  </w:r>
                </w:p>
              </w:tc>
              <w:tc>
                <w:tcPr>
                  <w:tcW w:w="1155" w:type="dxa"/>
                  <w:tcBorders>
                    <w:top w:val="nil"/>
                    <w:bottom w:val="nil"/>
                  </w:tcBorders>
                  <w:shd w:val="clear" w:color="auto" w:fill="F2F2F2" w:themeFill="background1" w:themeFillShade="F2"/>
                </w:tcPr>
                <w:p w14:paraId="3496F09E"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$61,440</w:t>
                  </w:r>
                </w:p>
              </w:tc>
              <w:tc>
                <w:tcPr>
                  <w:tcW w:w="1156" w:type="dxa"/>
                  <w:tcBorders>
                    <w:top w:val="nil"/>
                    <w:bottom w:val="nil"/>
                  </w:tcBorders>
                  <w:shd w:val="clear" w:color="auto" w:fill="F2F2F2" w:themeFill="background1" w:themeFillShade="F2"/>
                </w:tcPr>
                <w:p w14:paraId="1D99A183"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$12,288</w:t>
                  </w:r>
                </w:p>
              </w:tc>
            </w:tr>
            <w:tr w:rsidR="00CF51C5" w:rsidRPr="00D126B3" w14:paraId="2A5A6398" w14:textId="77777777" w:rsidTr="00A81036">
              <w:tc>
                <w:tcPr>
                  <w:tcW w:w="2236" w:type="dxa"/>
                  <w:tcBorders>
                    <w:top w:val="nil"/>
                    <w:bottom w:val="nil"/>
                  </w:tcBorders>
                  <w:shd w:val="clear" w:color="auto" w:fill="auto"/>
                </w:tcPr>
                <w:p w14:paraId="0B8C807B"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CCS rate (child one)</w:t>
                  </w:r>
                </w:p>
              </w:tc>
              <w:tc>
                <w:tcPr>
                  <w:tcW w:w="1314" w:type="dxa"/>
                  <w:tcBorders>
                    <w:top w:val="nil"/>
                    <w:bottom w:val="nil"/>
                  </w:tcBorders>
                  <w:shd w:val="clear" w:color="auto" w:fill="auto"/>
                </w:tcPr>
                <w:p w14:paraId="28299CFE"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62.8%</w:t>
                  </w:r>
                </w:p>
              </w:tc>
              <w:tc>
                <w:tcPr>
                  <w:tcW w:w="1156" w:type="dxa"/>
                  <w:tcBorders>
                    <w:top w:val="nil"/>
                    <w:bottom w:val="nil"/>
                  </w:tcBorders>
                  <w:shd w:val="clear" w:color="auto" w:fill="auto"/>
                </w:tcPr>
                <w:p w14:paraId="5F78797D"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58%</w:t>
                  </w:r>
                </w:p>
              </w:tc>
              <w:tc>
                <w:tcPr>
                  <w:tcW w:w="1155" w:type="dxa"/>
                  <w:tcBorders>
                    <w:top w:val="nil"/>
                    <w:bottom w:val="nil"/>
                  </w:tcBorders>
                  <w:shd w:val="clear" w:color="auto" w:fill="auto"/>
                </w:tcPr>
                <w:p w14:paraId="2BD9999C"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noBreakHyphen/>
                    <w:t>5%</w:t>
                  </w:r>
                </w:p>
              </w:tc>
              <w:tc>
                <w:tcPr>
                  <w:tcW w:w="1156" w:type="dxa"/>
                  <w:tcBorders>
                    <w:top w:val="nil"/>
                    <w:bottom w:val="nil"/>
                  </w:tcBorders>
                  <w:shd w:val="clear" w:color="auto" w:fill="auto"/>
                </w:tcPr>
                <w:p w14:paraId="55E6D069" w14:textId="77777777" w:rsidR="00CF51C5" w:rsidRPr="001B04C4" w:rsidRDefault="00CF51C5" w:rsidP="00882158">
                  <w:pPr>
                    <w:pStyle w:val="TableBody"/>
                    <w:spacing w:before="45" w:after="45"/>
                    <w:ind w:right="108"/>
                    <w:jc w:val="right"/>
                    <w:rPr>
                      <w:rFonts w:ascii="Arial (Body)" w:hAnsi="Arial (Body)"/>
                      <w:color w:val="000000"/>
                    </w:rPr>
                  </w:pPr>
                  <w:r w:rsidRPr="001B04C4">
                    <w:rPr>
                      <w:rFonts w:ascii="Arial (Body)" w:hAnsi="Arial (Body)"/>
                      <w:color w:val="000000"/>
                    </w:rPr>
                    <w:t>72.8%</w:t>
                  </w:r>
                </w:p>
              </w:tc>
              <w:tc>
                <w:tcPr>
                  <w:tcW w:w="1155" w:type="dxa"/>
                  <w:tcBorders>
                    <w:top w:val="nil"/>
                    <w:bottom w:val="nil"/>
                  </w:tcBorders>
                  <w:shd w:val="clear" w:color="auto" w:fill="auto"/>
                </w:tcPr>
                <w:p w14:paraId="12D624B6"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68%</w:t>
                  </w:r>
                </w:p>
              </w:tc>
              <w:tc>
                <w:tcPr>
                  <w:tcW w:w="1156" w:type="dxa"/>
                  <w:tcBorders>
                    <w:top w:val="nil"/>
                    <w:bottom w:val="nil"/>
                  </w:tcBorders>
                  <w:shd w:val="clear" w:color="auto" w:fill="auto"/>
                </w:tcPr>
                <w:p w14:paraId="3C4B286B"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noBreakHyphen/>
                    <w:t>5%</w:t>
                  </w:r>
                </w:p>
              </w:tc>
            </w:tr>
            <w:tr w:rsidR="00CF51C5" w:rsidRPr="00D126B3" w14:paraId="73BE2A17" w14:textId="77777777" w:rsidTr="001C3D42">
              <w:tc>
                <w:tcPr>
                  <w:tcW w:w="2236" w:type="dxa"/>
                  <w:tcBorders>
                    <w:top w:val="nil"/>
                    <w:bottom w:val="nil"/>
                  </w:tcBorders>
                  <w:shd w:val="clear" w:color="auto" w:fill="F2F2F2" w:themeFill="background1" w:themeFillShade="F2"/>
                </w:tcPr>
                <w:p w14:paraId="68AB8613"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HCCS rate (child two)</w:t>
                  </w:r>
                </w:p>
              </w:tc>
              <w:tc>
                <w:tcPr>
                  <w:tcW w:w="1314" w:type="dxa"/>
                  <w:tcBorders>
                    <w:top w:val="nil"/>
                    <w:bottom w:val="nil"/>
                  </w:tcBorders>
                  <w:shd w:val="clear" w:color="auto" w:fill="F2F2F2" w:themeFill="background1" w:themeFillShade="F2"/>
                </w:tcPr>
                <w:p w14:paraId="17436829"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80%</w:t>
                  </w:r>
                </w:p>
              </w:tc>
              <w:tc>
                <w:tcPr>
                  <w:tcW w:w="1156" w:type="dxa"/>
                  <w:tcBorders>
                    <w:top w:val="nil"/>
                    <w:bottom w:val="nil"/>
                  </w:tcBorders>
                  <w:shd w:val="clear" w:color="auto" w:fill="F2F2F2" w:themeFill="background1" w:themeFillShade="F2"/>
                </w:tcPr>
                <w:p w14:paraId="0FFFBDE5"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80%</w:t>
                  </w:r>
                </w:p>
              </w:tc>
              <w:tc>
                <w:tcPr>
                  <w:tcW w:w="1155" w:type="dxa"/>
                  <w:tcBorders>
                    <w:top w:val="nil"/>
                    <w:bottom w:val="nil"/>
                  </w:tcBorders>
                  <w:shd w:val="clear" w:color="auto" w:fill="F2F2F2" w:themeFill="background1" w:themeFillShade="F2"/>
                </w:tcPr>
                <w:p w14:paraId="6124BB3A"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0%</w:t>
                  </w:r>
                </w:p>
              </w:tc>
              <w:tc>
                <w:tcPr>
                  <w:tcW w:w="1156" w:type="dxa"/>
                  <w:tcBorders>
                    <w:top w:val="nil"/>
                    <w:bottom w:val="nil"/>
                  </w:tcBorders>
                  <w:shd w:val="clear" w:color="auto" w:fill="F2F2F2" w:themeFill="background1" w:themeFillShade="F2"/>
                </w:tcPr>
                <w:p w14:paraId="592F9362" w14:textId="77777777" w:rsidR="00CF51C5" w:rsidRPr="001B04C4" w:rsidRDefault="00CF51C5" w:rsidP="00882158">
                  <w:pPr>
                    <w:pStyle w:val="TableBody"/>
                    <w:spacing w:before="45" w:after="45"/>
                    <w:ind w:right="108"/>
                    <w:jc w:val="right"/>
                    <w:rPr>
                      <w:rFonts w:ascii="Arial (Body)" w:hAnsi="Arial (Body)"/>
                      <w:color w:val="000000"/>
                    </w:rPr>
                  </w:pPr>
                  <w:r w:rsidRPr="001B04C4">
                    <w:rPr>
                      <w:rFonts w:ascii="Arial (Body)" w:hAnsi="Arial (Body)"/>
                      <w:color w:val="000000"/>
                    </w:rPr>
                    <w:t>85%</w:t>
                  </w:r>
                </w:p>
              </w:tc>
              <w:tc>
                <w:tcPr>
                  <w:tcW w:w="1155" w:type="dxa"/>
                  <w:tcBorders>
                    <w:top w:val="nil"/>
                    <w:bottom w:val="nil"/>
                  </w:tcBorders>
                  <w:shd w:val="clear" w:color="auto" w:fill="F2F2F2" w:themeFill="background1" w:themeFillShade="F2"/>
                </w:tcPr>
                <w:p w14:paraId="11360559"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80%</w:t>
                  </w:r>
                </w:p>
              </w:tc>
              <w:tc>
                <w:tcPr>
                  <w:tcW w:w="1156" w:type="dxa"/>
                  <w:tcBorders>
                    <w:top w:val="nil"/>
                    <w:bottom w:val="nil"/>
                  </w:tcBorders>
                  <w:shd w:val="clear" w:color="auto" w:fill="F2F2F2" w:themeFill="background1" w:themeFillShade="F2"/>
                </w:tcPr>
                <w:p w14:paraId="6077ECA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noBreakHyphen/>
                    <w:t>5%</w:t>
                  </w:r>
                </w:p>
              </w:tc>
            </w:tr>
            <w:tr w:rsidR="00CF51C5" w:rsidRPr="00D126B3" w14:paraId="6DAEEC11" w14:textId="77777777" w:rsidTr="00A81036">
              <w:tc>
                <w:tcPr>
                  <w:tcW w:w="2236" w:type="dxa"/>
                  <w:tcBorders>
                    <w:top w:val="nil"/>
                    <w:bottom w:val="nil"/>
                  </w:tcBorders>
                  <w:shd w:val="clear" w:color="auto" w:fill="auto"/>
                </w:tcPr>
                <w:p w14:paraId="61619E61"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Out</w:t>
                  </w:r>
                  <w:r>
                    <w:rPr>
                      <w:rFonts w:ascii="Arial (Body)" w:hAnsi="Arial (Body)"/>
                      <w:color w:val="265A9A"/>
                    </w:rPr>
                    <w:noBreakHyphen/>
                    <w:t>of</w:t>
                  </w:r>
                  <w:r>
                    <w:rPr>
                      <w:rFonts w:ascii="Arial (Body)" w:hAnsi="Arial (Body)"/>
                      <w:color w:val="265A9A"/>
                    </w:rPr>
                    <w:noBreakHyphen/>
                    <w:t>pocket expenses (child one)</w:t>
                  </w:r>
                </w:p>
              </w:tc>
              <w:tc>
                <w:tcPr>
                  <w:tcW w:w="1314" w:type="dxa"/>
                  <w:tcBorders>
                    <w:top w:val="nil"/>
                    <w:bottom w:val="nil"/>
                  </w:tcBorders>
                  <w:shd w:val="clear" w:color="auto" w:fill="auto"/>
                </w:tcPr>
                <w:p w14:paraId="7905C9F9"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$9,142</w:t>
                  </w:r>
                </w:p>
              </w:tc>
              <w:tc>
                <w:tcPr>
                  <w:tcW w:w="1156" w:type="dxa"/>
                  <w:tcBorders>
                    <w:top w:val="nil"/>
                    <w:bottom w:val="nil"/>
                  </w:tcBorders>
                  <w:shd w:val="clear" w:color="auto" w:fill="auto"/>
                </w:tcPr>
                <w:p w14:paraId="6E225462"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$12,902</w:t>
                  </w:r>
                </w:p>
              </w:tc>
              <w:tc>
                <w:tcPr>
                  <w:tcW w:w="1155" w:type="dxa"/>
                  <w:tcBorders>
                    <w:top w:val="nil"/>
                    <w:bottom w:val="nil"/>
                  </w:tcBorders>
                  <w:shd w:val="clear" w:color="auto" w:fill="auto"/>
                </w:tcPr>
                <w:p w14:paraId="360C286A"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$3,760</w:t>
                  </w:r>
                </w:p>
              </w:tc>
              <w:tc>
                <w:tcPr>
                  <w:tcW w:w="1156" w:type="dxa"/>
                  <w:tcBorders>
                    <w:top w:val="nil"/>
                    <w:bottom w:val="nil"/>
                  </w:tcBorders>
                  <w:shd w:val="clear" w:color="auto" w:fill="auto"/>
                </w:tcPr>
                <w:p w14:paraId="0B774B3E" w14:textId="77777777" w:rsidR="00CF51C5" w:rsidRPr="001B04C4" w:rsidRDefault="00CF51C5" w:rsidP="00882158">
                  <w:pPr>
                    <w:pStyle w:val="TableBody"/>
                    <w:spacing w:before="45" w:after="45"/>
                    <w:ind w:right="108"/>
                    <w:jc w:val="right"/>
                    <w:rPr>
                      <w:rFonts w:ascii="Arial (Body)" w:hAnsi="Arial (Body)"/>
                      <w:color w:val="000000"/>
                    </w:rPr>
                  </w:pPr>
                  <w:r w:rsidRPr="001B04C4">
                    <w:rPr>
                      <w:rFonts w:ascii="Arial (Body)" w:hAnsi="Arial (Body)"/>
                      <w:color w:val="000000"/>
                    </w:rPr>
                    <w:t>$6,685</w:t>
                  </w:r>
                </w:p>
              </w:tc>
              <w:tc>
                <w:tcPr>
                  <w:tcW w:w="1155" w:type="dxa"/>
                  <w:tcBorders>
                    <w:top w:val="nil"/>
                    <w:bottom w:val="nil"/>
                  </w:tcBorders>
                  <w:shd w:val="clear" w:color="auto" w:fill="auto"/>
                </w:tcPr>
                <w:p w14:paraId="7A8E501A"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$9,830</w:t>
                  </w:r>
                </w:p>
              </w:tc>
              <w:tc>
                <w:tcPr>
                  <w:tcW w:w="1156" w:type="dxa"/>
                  <w:tcBorders>
                    <w:top w:val="nil"/>
                    <w:bottom w:val="nil"/>
                  </w:tcBorders>
                  <w:shd w:val="clear" w:color="auto" w:fill="auto"/>
                </w:tcPr>
                <w:p w14:paraId="40A3F9B2"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$3,145</w:t>
                  </w:r>
                </w:p>
              </w:tc>
            </w:tr>
            <w:tr w:rsidR="00CF51C5" w:rsidRPr="00D126B3" w14:paraId="0163DE5B" w14:textId="77777777" w:rsidTr="001C3D42">
              <w:tc>
                <w:tcPr>
                  <w:tcW w:w="2236" w:type="dxa"/>
                  <w:tcBorders>
                    <w:top w:val="nil"/>
                    <w:bottom w:val="nil"/>
                  </w:tcBorders>
                  <w:shd w:val="clear" w:color="auto" w:fill="F2F2F2" w:themeFill="background1" w:themeFillShade="F2"/>
                </w:tcPr>
                <w:p w14:paraId="6AA3302D"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Out</w:t>
                  </w:r>
                  <w:r>
                    <w:rPr>
                      <w:rFonts w:ascii="Arial (Body)" w:hAnsi="Arial (Body)"/>
                      <w:color w:val="265A9A"/>
                    </w:rPr>
                    <w:noBreakHyphen/>
                    <w:t>of</w:t>
                  </w:r>
                  <w:r>
                    <w:rPr>
                      <w:rFonts w:ascii="Arial (Body)" w:hAnsi="Arial (Body)"/>
                      <w:color w:val="265A9A"/>
                    </w:rPr>
                    <w:noBreakHyphen/>
                    <w:t>pocket expenses (child two)</w:t>
                  </w:r>
                </w:p>
              </w:tc>
              <w:tc>
                <w:tcPr>
                  <w:tcW w:w="1314" w:type="dxa"/>
                  <w:tcBorders>
                    <w:top w:val="nil"/>
                    <w:bottom w:val="nil"/>
                  </w:tcBorders>
                  <w:shd w:val="clear" w:color="auto" w:fill="F2F2F2" w:themeFill="background1" w:themeFillShade="F2"/>
                </w:tcPr>
                <w:p w14:paraId="117C0CAF"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$4,915</w:t>
                  </w:r>
                </w:p>
              </w:tc>
              <w:tc>
                <w:tcPr>
                  <w:tcW w:w="1156" w:type="dxa"/>
                  <w:tcBorders>
                    <w:top w:val="nil"/>
                    <w:bottom w:val="nil"/>
                  </w:tcBorders>
                  <w:shd w:val="clear" w:color="auto" w:fill="F2F2F2" w:themeFill="background1" w:themeFillShade="F2"/>
                </w:tcPr>
                <w:p w14:paraId="5EFF6359"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c>
                <w:tcPr>
                  <w:tcW w:w="1155" w:type="dxa"/>
                  <w:tcBorders>
                    <w:top w:val="nil"/>
                    <w:bottom w:val="nil"/>
                  </w:tcBorders>
                  <w:shd w:val="clear" w:color="auto" w:fill="F2F2F2" w:themeFill="background1" w:themeFillShade="F2"/>
                </w:tcPr>
                <w:p w14:paraId="06933C01"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$1,229</w:t>
                  </w:r>
                </w:p>
              </w:tc>
              <w:tc>
                <w:tcPr>
                  <w:tcW w:w="1156" w:type="dxa"/>
                  <w:tcBorders>
                    <w:top w:val="nil"/>
                    <w:bottom w:val="nil"/>
                  </w:tcBorders>
                  <w:shd w:val="clear" w:color="auto" w:fill="F2F2F2" w:themeFill="background1" w:themeFillShade="F2"/>
                </w:tcPr>
                <w:p w14:paraId="5971B0B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$3,686</w:t>
                  </w:r>
                </w:p>
              </w:tc>
              <w:tc>
                <w:tcPr>
                  <w:tcW w:w="1155" w:type="dxa"/>
                  <w:tcBorders>
                    <w:top w:val="nil"/>
                    <w:bottom w:val="nil"/>
                  </w:tcBorders>
                  <w:shd w:val="clear" w:color="auto" w:fill="F2F2F2" w:themeFill="background1" w:themeFillShade="F2"/>
                </w:tcPr>
                <w:p w14:paraId="7994C806"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$6,144</w:t>
                  </w:r>
                </w:p>
              </w:tc>
              <w:tc>
                <w:tcPr>
                  <w:tcW w:w="1156" w:type="dxa"/>
                  <w:tcBorders>
                    <w:top w:val="nil"/>
                    <w:bottom w:val="nil"/>
                  </w:tcBorders>
                  <w:shd w:val="clear" w:color="auto" w:fill="F2F2F2" w:themeFill="background1" w:themeFillShade="F2"/>
                </w:tcPr>
                <w:p w14:paraId="5BCA77D4"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$2,458</w:t>
                  </w:r>
                </w:p>
              </w:tc>
            </w:tr>
            <w:tr w:rsidR="00CF51C5" w:rsidRPr="00D126B3" w14:paraId="62138E00" w14:textId="77777777" w:rsidTr="00A81036">
              <w:tc>
                <w:tcPr>
                  <w:tcW w:w="2236" w:type="dxa"/>
                  <w:tcBorders>
                    <w:top w:val="nil"/>
                    <w:bottom w:val="nil"/>
                  </w:tcBorders>
                  <w:shd w:val="clear" w:color="auto" w:fill="auto"/>
                </w:tcPr>
                <w:p w14:paraId="6F55F078" w14:textId="77777777" w:rsidR="00CF51C5" w:rsidRDefault="00CF51C5" w:rsidP="00882158">
                  <w:pPr>
                    <w:pStyle w:val="TableHeading"/>
                    <w:spacing w:before="45" w:after="45"/>
                    <w:ind w:right="108"/>
                    <w:rPr>
                      <w:rFonts w:ascii="Arial (Body)" w:hAnsi="Arial (Body)"/>
                      <w:color w:val="265A9A"/>
                    </w:rPr>
                  </w:pPr>
                  <w:r>
                    <w:rPr>
                      <w:rFonts w:ascii="Arial (Body)" w:hAnsi="Arial (Body)"/>
                      <w:color w:val="265A9A"/>
                    </w:rPr>
                    <w:t>Out</w:t>
                  </w:r>
                  <w:r>
                    <w:rPr>
                      <w:rFonts w:ascii="Arial (Body)" w:hAnsi="Arial (Body)"/>
                      <w:color w:val="265A9A"/>
                    </w:rPr>
                    <w:noBreakHyphen/>
                    <w:t>of</w:t>
                  </w:r>
                  <w:r>
                    <w:rPr>
                      <w:rFonts w:ascii="Arial (Body)" w:hAnsi="Arial (Body)"/>
                      <w:color w:val="265A9A"/>
                    </w:rPr>
                    <w:noBreakHyphen/>
                    <w:t>pocket expenses (total)</w:t>
                  </w:r>
                </w:p>
              </w:tc>
              <w:tc>
                <w:tcPr>
                  <w:tcW w:w="1314" w:type="dxa"/>
                  <w:tcBorders>
                    <w:top w:val="nil"/>
                    <w:bottom w:val="nil"/>
                  </w:tcBorders>
                  <w:shd w:val="clear" w:color="auto" w:fill="auto"/>
                </w:tcPr>
                <w:p w14:paraId="4EF71A43" w14:textId="77777777" w:rsidR="00CF51C5" w:rsidRPr="003434ED" w:rsidRDefault="00CF51C5" w:rsidP="00882158">
                  <w:pPr>
                    <w:pStyle w:val="TableBody"/>
                    <w:spacing w:before="45" w:after="45"/>
                    <w:ind w:right="108"/>
                    <w:jc w:val="right"/>
                    <w:rPr>
                      <w:rFonts w:ascii="Arial (Body)" w:hAnsi="Arial (Body)"/>
                      <w:color w:val="000000"/>
                    </w:rPr>
                  </w:pPr>
                  <w:r w:rsidRPr="003434ED">
                    <w:rPr>
                      <w:rFonts w:ascii="Arial (Body)" w:hAnsi="Arial (Body)"/>
                      <w:color w:val="000000"/>
                    </w:rPr>
                    <w:t>$14,057</w:t>
                  </w:r>
                </w:p>
              </w:tc>
              <w:tc>
                <w:tcPr>
                  <w:tcW w:w="1156" w:type="dxa"/>
                  <w:tcBorders>
                    <w:top w:val="nil"/>
                    <w:bottom w:val="nil"/>
                  </w:tcBorders>
                  <w:shd w:val="clear" w:color="auto" w:fill="auto"/>
                </w:tcPr>
                <w:p w14:paraId="78B76CA7" w14:textId="77777777" w:rsidR="00CF51C5" w:rsidRPr="00D126B3" w:rsidRDefault="00CF51C5" w:rsidP="00882158">
                  <w:pPr>
                    <w:pStyle w:val="TableBody"/>
                    <w:spacing w:before="45" w:after="45"/>
                    <w:ind w:right="108"/>
                    <w:jc w:val="right"/>
                    <w:rPr>
                      <w:rFonts w:ascii="Arial (Body)" w:hAnsi="Arial (Body)"/>
                      <w:color w:val="000000"/>
                    </w:rPr>
                  </w:pPr>
                  <w:r>
                    <w:rPr>
                      <w:rFonts w:ascii="Arial (Body)" w:hAnsi="Arial (Body)"/>
                      <w:color w:val="000000"/>
                    </w:rPr>
                    <w:t>$19,046</w:t>
                  </w:r>
                </w:p>
              </w:tc>
              <w:tc>
                <w:tcPr>
                  <w:tcW w:w="1155" w:type="dxa"/>
                  <w:tcBorders>
                    <w:top w:val="nil"/>
                    <w:bottom w:val="nil"/>
                  </w:tcBorders>
                  <w:shd w:val="clear" w:color="auto" w:fill="auto"/>
                </w:tcPr>
                <w:p w14:paraId="2FD04D96" w14:textId="77777777" w:rsidR="00CF51C5" w:rsidRPr="00FF6C01" w:rsidRDefault="00CF51C5" w:rsidP="00882158">
                  <w:pPr>
                    <w:pStyle w:val="TableBody"/>
                    <w:spacing w:before="45" w:after="45"/>
                    <w:ind w:right="108"/>
                    <w:jc w:val="right"/>
                    <w:rPr>
                      <w:rFonts w:ascii="Arial (Body)" w:hAnsi="Arial (Body)"/>
                      <w:b/>
                      <w:bCs/>
                      <w:color w:val="000000"/>
                    </w:rPr>
                  </w:pPr>
                  <w:r w:rsidRPr="00FF6C01">
                    <w:rPr>
                      <w:rFonts w:ascii="Arial (Body)" w:hAnsi="Arial (Body)"/>
                      <w:b/>
                      <w:bCs/>
                      <w:color w:val="000000"/>
                    </w:rPr>
                    <w:t>$</w:t>
                  </w:r>
                  <w:r>
                    <w:rPr>
                      <w:rFonts w:ascii="Arial (Body)" w:hAnsi="Arial (Body)"/>
                      <w:b/>
                      <w:bCs/>
                      <w:color w:val="000000"/>
                    </w:rPr>
                    <w:t>4,989</w:t>
                  </w:r>
                </w:p>
              </w:tc>
              <w:tc>
                <w:tcPr>
                  <w:tcW w:w="1156" w:type="dxa"/>
                  <w:tcBorders>
                    <w:top w:val="nil"/>
                    <w:bottom w:val="nil"/>
                  </w:tcBorders>
                  <w:shd w:val="clear" w:color="auto" w:fill="auto"/>
                </w:tcPr>
                <w:p w14:paraId="653D4456" w14:textId="77777777" w:rsidR="00CF51C5" w:rsidRPr="00AE71F4" w:rsidRDefault="00CF51C5" w:rsidP="00882158">
                  <w:pPr>
                    <w:pStyle w:val="TableBody"/>
                    <w:spacing w:before="45" w:after="45"/>
                    <w:ind w:right="108"/>
                    <w:jc w:val="right"/>
                    <w:rPr>
                      <w:rFonts w:ascii="Arial (Body)" w:hAnsi="Arial (Body)"/>
                      <w:color w:val="000000"/>
                    </w:rPr>
                  </w:pPr>
                  <w:r w:rsidRPr="00AE71F4">
                    <w:rPr>
                      <w:rFonts w:ascii="Arial (Body)" w:hAnsi="Arial (Body)"/>
                      <w:color w:val="000000"/>
                    </w:rPr>
                    <w:t>$10,371</w:t>
                  </w:r>
                </w:p>
              </w:tc>
              <w:tc>
                <w:tcPr>
                  <w:tcW w:w="1155" w:type="dxa"/>
                  <w:tcBorders>
                    <w:top w:val="nil"/>
                    <w:bottom w:val="nil"/>
                  </w:tcBorders>
                  <w:shd w:val="clear" w:color="auto" w:fill="auto"/>
                </w:tcPr>
                <w:p w14:paraId="7A739711" w14:textId="77777777" w:rsidR="00CF51C5" w:rsidRPr="00AE71F4" w:rsidRDefault="00CF51C5" w:rsidP="00882158">
                  <w:pPr>
                    <w:pStyle w:val="TableBody"/>
                    <w:spacing w:before="45" w:after="45"/>
                    <w:ind w:right="108"/>
                    <w:jc w:val="right"/>
                    <w:rPr>
                      <w:rFonts w:ascii="Arial (Body)" w:hAnsi="Arial (Body)"/>
                      <w:color w:val="000000"/>
                    </w:rPr>
                  </w:pPr>
                  <w:r w:rsidRPr="00AE71F4">
                    <w:rPr>
                      <w:rFonts w:ascii="Arial (Body)" w:hAnsi="Arial (Body)"/>
                      <w:color w:val="000000"/>
                    </w:rPr>
                    <w:t>$15,974</w:t>
                  </w:r>
                </w:p>
              </w:tc>
              <w:tc>
                <w:tcPr>
                  <w:tcW w:w="1156" w:type="dxa"/>
                  <w:tcBorders>
                    <w:top w:val="nil"/>
                    <w:bottom w:val="nil"/>
                  </w:tcBorders>
                  <w:shd w:val="clear" w:color="auto" w:fill="auto"/>
                </w:tcPr>
                <w:p w14:paraId="3F7762BC" w14:textId="77777777" w:rsidR="00CF51C5" w:rsidRPr="00FF6C01" w:rsidRDefault="00CF51C5" w:rsidP="00882158">
                  <w:pPr>
                    <w:pStyle w:val="TableBody"/>
                    <w:spacing w:before="45" w:after="45"/>
                    <w:ind w:right="108"/>
                    <w:jc w:val="right"/>
                    <w:rPr>
                      <w:rFonts w:ascii="Arial (Body)" w:hAnsi="Arial (Body)"/>
                      <w:b/>
                      <w:bCs/>
                      <w:color w:val="000000"/>
                    </w:rPr>
                  </w:pPr>
                  <w:r w:rsidRPr="00FF6C01">
                    <w:rPr>
                      <w:rFonts w:ascii="Arial (Body)" w:hAnsi="Arial (Body)"/>
                      <w:b/>
                      <w:bCs/>
                      <w:color w:val="000000"/>
                    </w:rPr>
                    <w:t>$5,6</w:t>
                  </w:r>
                  <w:r>
                    <w:rPr>
                      <w:rFonts w:ascii="Arial (Body)" w:hAnsi="Arial (Body)"/>
                      <w:b/>
                      <w:bCs/>
                      <w:color w:val="000000"/>
                    </w:rPr>
                    <w:t>03</w:t>
                  </w:r>
                </w:p>
              </w:tc>
            </w:tr>
            <w:tr w:rsidR="00CF51C5" w:rsidRPr="00D126B3" w14:paraId="3F0405D0" w14:textId="77777777">
              <w:tc>
                <w:tcPr>
                  <w:tcW w:w="9328" w:type="dxa"/>
                  <w:gridSpan w:val="7"/>
                  <w:tcBorders>
                    <w:top w:val="nil"/>
                    <w:bottom w:val="nil"/>
                  </w:tcBorders>
                  <w:shd w:val="clear" w:color="auto" w:fill="CBDDF2" w:themeFill="background2" w:themeFillTint="33"/>
                </w:tcPr>
                <w:p w14:paraId="233B8FB0" w14:textId="77777777" w:rsidR="00CF51C5" w:rsidRPr="007B5386" w:rsidRDefault="00CF51C5" w:rsidP="00882158">
                  <w:pPr>
                    <w:pStyle w:val="TableBody"/>
                    <w:spacing w:before="45" w:after="45"/>
                    <w:ind w:right="108"/>
                    <w:jc w:val="center"/>
                    <w:rPr>
                      <w:rFonts w:ascii="Arial (Body)" w:hAnsi="Arial (Body)"/>
                      <w:b/>
                      <w:bCs/>
                      <w:color w:val="000000"/>
                      <w:sz w:val="17"/>
                      <w:szCs w:val="17"/>
                    </w:rPr>
                  </w:pPr>
                  <w:r w:rsidRPr="007B5386">
                    <w:rPr>
                      <w:rFonts w:ascii="Arial (Body)" w:hAnsi="Arial (Body)"/>
                      <w:b/>
                      <w:bCs/>
                      <w:color w:val="000000"/>
                      <w:sz w:val="17"/>
                      <w:szCs w:val="17"/>
                    </w:rPr>
                    <w:t>ECEC component of WDR (</w:t>
                  </w:r>
                  <w:r w:rsidRPr="00AB2F9E">
                    <w:rPr>
                      <w:rFonts w:ascii="Arial (Body)" w:hAnsi="Arial (Body)"/>
                      <w:b/>
                      <w:bCs/>
                      <w:i/>
                      <w:iCs/>
                      <w:color w:val="000000"/>
                      <w:sz w:val="17"/>
                      <w:szCs w:val="17"/>
                    </w:rPr>
                    <w:t>change</w:t>
                  </w:r>
                  <w:r w:rsidRPr="007B5386">
                    <w:rPr>
                      <w:rFonts w:ascii="Arial (Body)" w:hAnsi="Arial (Body)"/>
                      <w:b/>
                      <w:bCs/>
                      <w:color w:val="000000"/>
                      <w:sz w:val="17"/>
                      <w:szCs w:val="17"/>
                    </w:rPr>
                    <w:t xml:space="preserve"> in out</w:t>
                  </w:r>
                  <w:r w:rsidRPr="007B5386">
                    <w:rPr>
                      <w:rFonts w:ascii="Arial (Body)" w:hAnsi="Arial (Body)"/>
                      <w:b/>
                      <w:bCs/>
                      <w:color w:val="000000"/>
                      <w:sz w:val="17"/>
                      <w:szCs w:val="17"/>
                    </w:rPr>
                    <w:noBreakHyphen/>
                    <w:t>of</w:t>
                  </w:r>
                  <w:r w:rsidRPr="007B5386">
                    <w:rPr>
                      <w:rFonts w:ascii="Arial (Body)" w:hAnsi="Arial (Body)"/>
                      <w:b/>
                      <w:bCs/>
                      <w:color w:val="000000"/>
                      <w:sz w:val="17"/>
                      <w:szCs w:val="17"/>
                    </w:rPr>
                    <w:noBreakHyphen/>
                    <w:t xml:space="preserve">pocket ECEC expenses / </w:t>
                  </w:r>
                  <w:r w:rsidRPr="00AB2F9E">
                    <w:rPr>
                      <w:rFonts w:ascii="Arial (Body)" w:hAnsi="Arial (Body)"/>
                      <w:b/>
                      <w:bCs/>
                      <w:i/>
                      <w:iCs/>
                      <w:color w:val="000000"/>
                      <w:sz w:val="17"/>
                      <w:szCs w:val="17"/>
                    </w:rPr>
                    <w:t>change</w:t>
                  </w:r>
                  <w:r w:rsidRPr="007B5386">
                    <w:rPr>
                      <w:rFonts w:ascii="Arial (Body)" w:hAnsi="Arial (Body)"/>
                      <w:b/>
                      <w:bCs/>
                      <w:color w:val="000000"/>
                      <w:sz w:val="17"/>
                      <w:szCs w:val="17"/>
                    </w:rPr>
                    <w:t xml:space="preserve"> in secondary earner’s income)</w:t>
                  </w:r>
                </w:p>
              </w:tc>
            </w:tr>
            <w:tr w:rsidR="00CF51C5" w:rsidRPr="00D126B3" w14:paraId="6E6B7648" w14:textId="77777777" w:rsidTr="0006400D">
              <w:tc>
                <w:tcPr>
                  <w:tcW w:w="2236" w:type="dxa"/>
                  <w:tcBorders>
                    <w:bottom w:val="single" w:sz="4" w:space="0" w:color="B3B3B3"/>
                  </w:tcBorders>
                  <w:shd w:val="clear" w:color="auto" w:fill="auto"/>
                </w:tcPr>
                <w:p w14:paraId="185FE338" w14:textId="77777777" w:rsidR="00CF51C5" w:rsidRPr="00D126B3" w:rsidRDefault="00CF51C5" w:rsidP="00882158">
                  <w:pPr>
                    <w:pStyle w:val="TableHeading"/>
                    <w:spacing w:before="45" w:after="45"/>
                    <w:ind w:right="108"/>
                    <w:rPr>
                      <w:rFonts w:ascii="Arial (Body)" w:hAnsi="Arial (Body)"/>
                      <w:color w:val="265A9A"/>
                    </w:rPr>
                  </w:pPr>
                  <w:r>
                    <w:rPr>
                      <w:rFonts w:ascii="Arial (Body)" w:hAnsi="Arial (Body)"/>
                      <w:color w:val="265A9A"/>
                    </w:rPr>
                    <w:t>Contribution of ECEC to WDR</w:t>
                  </w:r>
                </w:p>
              </w:tc>
              <w:tc>
                <w:tcPr>
                  <w:tcW w:w="3625" w:type="dxa"/>
                  <w:gridSpan w:val="3"/>
                  <w:tcBorders>
                    <w:bottom w:val="single" w:sz="4" w:space="0" w:color="B3B3B3"/>
                  </w:tcBorders>
                  <w:shd w:val="clear" w:color="auto" w:fill="auto"/>
                </w:tcPr>
                <w:p w14:paraId="319C88FA" w14:textId="77777777" w:rsidR="00CF51C5" w:rsidRPr="00D126B3" w:rsidRDefault="00CF51C5" w:rsidP="00882158">
                  <w:pPr>
                    <w:pStyle w:val="TableBody"/>
                    <w:spacing w:before="45" w:after="45"/>
                    <w:ind w:right="108"/>
                    <w:jc w:val="center"/>
                    <w:rPr>
                      <w:rFonts w:ascii="Arial (Body)" w:hAnsi="Arial (Body)"/>
                      <w:color w:val="000000"/>
                    </w:rPr>
                  </w:pPr>
                  <w:r>
                    <w:rPr>
                      <w:rFonts w:ascii="Arial (Body)" w:hAnsi="Arial (Body)"/>
                      <w:color w:val="000000"/>
                    </w:rPr>
                    <w:t xml:space="preserve">$4,989/$24,000 = </w:t>
                  </w:r>
                  <w:r w:rsidRPr="00AB2F9E">
                    <w:rPr>
                      <w:rFonts w:ascii="Arial (Body)" w:hAnsi="Arial (Body)"/>
                      <w:b/>
                      <w:bCs/>
                      <w:color w:val="000000"/>
                    </w:rPr>
                    <w:t>21%</w:t>
                  </w:r>
                </w:p>
              </w:tc>
              <w:tc>
                <w:tcPr>
                  <w:tcW w:w="3467" w:type="dxa"/>
                  <w:gridSpan w:val="3"/>
                  <w:tcBorders>
                    <w:bottom w:val="single" w:sz="4" w:space="0" w:color="B3B3B3"/>
                  </w:tcBorders>
                  <w:shd w:val="clear" w:color="auto" w:fill="auto"/>
                </w:tcPr>
                <w:p w14:paraId="5D3FAA0C" w14:textId="77777777" w:rsidR="00CF51C5" w:rsidRPr="00D126B3" w:rsidRDefault="00CF51C5" w:rsidP="00882158">
                  <w:pPr>
                    <w:pStyle w:val="TableBody"/>
                    <w:spacing w:before="45" w:after="45"/>
                    <w:ind w:right="108"/>
                    <w:jc w:val="center"/>
                    <w:rPr>
                      <w:rFonts w:ascii="Arial (Body)" w:hAnsi="Arial (Body)"/>
                      <w:color w:val="000000"/>
                    </w:rPr>
                  </w:pPr>
                  <w:r>
                    <w:rPr>
                      <w:rFonts w:ascii="Arial (Body)" w:hAnsi="Arial (Body)"/>
                      <w:color w:val="000000"/>
                    </w:rPr>
                    <w:t>$5,603/$24,000=</w:t>
                  </w:r>
                  <w:r w:rsidRPr="00AB2F9E">
                    <w:rPr>
                      <w:rFonts w:ascii="Arial (Body)" w:hAnsi="Arial (Body)"/>
                      <w:b/>
                      <w:bCs/>
                      <w:color w:val="000000"/>
                    </w:rPr>
                    <w:t>2</w:t>
                  </w:r>
                  <w:r>
                    <w:rPr>
                      <w:rFonts w:ascii="Arial (Body)" w:hAnsi="Arial (Body)"/>
                      <w:b/>
                      <w:bCs/>
                      <w:color w:val="000000"/>
                    </w:rPr>
                    <w:t>3</w:t>
                  </w:r>
                  <w:r w:rsidRPr="00AB2F9E">
                    <w:rPr>
                      <w:rFonts w:ascii="Arial (Body)" w:hAnsi="Arial (Body)"/>
                      <w:b/>
                      <w:bCs/>
                      <w:color w:val="000000"/>
                    </w:rPr>
                    <w:t>%</w:t>
                  </w:r>
                </w:p>
              </w:tc>
            </w:tr>
          </w:tbl>
          <w:p w14:paraId="2BA5A5E3" w14:textId="77777777" w:rsidR="00CF51C5" w:rsidRDefault="00CF51C5">
            <w:pPr>
              <w:pStyle w:val="Note"/>
            </w:pPr>
            <w:r w:rsidRPr="00C36914">
              <w:rPr>
                <w:b/>
                <w:bCs/>
              </w:rPr>
              <w:t>a.</w:t>
            </w:r>
            <w:r w:rsidRPr="00C36914">
              <w:t xml:space="preserve"> </w:t>
            </w:r>
            <w:r>
              <w:t xml:space="preserve">A family’s CCS and HCCS rates are determined by adjusted taxable income (section F.4). Here, for simplicity, the family’s adjusted taxable income is assumed to be equal to their employee income. </w:t>
            </w:r>
            <w:r w:rsidRPr="00C36914">
              <w:rPr>
                <w:b/>
                <w:bCs/>
              </w:rPr>
              <w:t>b.</w:t>
            </w:r>
            <w:r w:rsidRPr="00C36914">
              <w:t xml:space="preserve"> </w:t>
            </w:r>
            <w:r>
              <w:t>Fees are calculated as $12.80 per hour x ten hour day x four or five days per week x 48 weeks per year</w:t>
            </w:r>
            <w:r w:rsidRPr="00C36914">
              <w:t>.</w:t>
            </w:r>
          </w:p>
          <w:p w14:paraId="0901C34C" w14:textId="77777777" w:rsidR="00CF51C5" w:rsidRDefault="00CF51C5">
            <w:pPr>
              <w:pStyle w:val="Source"/>
            </w:pPr>
            <w:r w:rsidRPr="00696447">
              <w:t xml:space="preserve">Source: </w:t>
            </w:r>
            <w:r>
              <w:t>Productivity Commission estimates.</w:t>
            </w:r>
          </w:p>
          <w:p w14:paraId="5D79548D" w14:textId="77777777" w:rsidR="001218C9" w:rsidRDefault="001218C9" w:rsidP="001218C9">
            <w:r>
              <w:t>However, under the Commission’s recommended changes to the CCS and HCCS, the WDR reflects the additional day of out</w:t>
            </w:r>
            <w:r>
              <w:noBreakHyphen/>
              <w:t>of</w:t>
            </w:r>
            <w:r>
              <w:noBreakHyphen/>
              <w:t xml:space="preserve">pocket ECEC expenses </w:t>
            </w:r>
            <w:r w:rsidRPr="001F7381">
              <w:rPr>
                <w:i/>
                <w:iCs/>
              </w:rPr>
              <w:t>and</w:t>
            </w:r>
            <w:r>
              <w:t xml:space="preserve"> the fact that, when the secondary earner works a fifth day, the family faces a HCCS rate that is 5% lower for </w:t>
            </w:r>
            <w:r w:rsidRPr="001F7381">
              <w:rPr>
                <w:i/>
                <w:iCs/>
              </w:rPr>
              <w:t>all</w:t>
            </w:r>
            <w:r>
              <w:t xml:space="preserve"> days of ECEC.</w:t>
            </w:r>
          </w:p>
          <w:p w14:paraId="12AD9E29" w14:textId="77777777" w:rsidR="00CF51C5" w:rsidRDefault="00CF51C5" w:rsidP="00882158">
            <w:r>
              <w:t>Ultimately, although the family’s absolute out</w:t>
            </w:r>
            <w:r>
              <w:noBreakHyphen/>
              <w:t>of</w:t>
            </w:r>
            <w:r>
              <w:noBreakHyphen/>
              <w:t xml:space="preserve">pocket ECEC expenses are lower under the Commission’s recommended changes to the CCS and HCCS compared to after the Cheaper Child Care reforms, the new smooth HCCS taper means that the </w:t>
            </w:r>
            <w:r>
              <w:rPr>
                <w:iCs/>
              </w:rPr>
              <w:t>increase</w:t>
            </w:r>
            <w:r>
              <w:t xml:space="preserve"> in out</w:t>
            </w:r>
            <w:r>
              <w:noBreakHyphen/>
              <w:t>of</w:t>
            </w:r>
            <w:r>
              <w:noBreakHyphen/>
              <w:t>pocket ECEC expenses, and therefore the WDR, is relatively larger between the secondary earner’s fourth and fifth days of work.</w:t>
            </w:r>
          </w:p>
          <w:p w14:paraId="1F7BE27D" w14:textId="76E688EC" w:rsidR="00CF51C5" w:rsidRPr="006A511D" w:rsidRDefault="00CF51C5">
            <w:r>
              <w:t>The same principles can be applied to families in figures F.7 and F.9 who experienced an increase in WDRs on some days after the Cheaper Child Care reforms (comparing the two left</w:t>
            </w:r>
            <w:r>
              <w:noBreakHyphen/>
              <w:t>most columns). In this case, ‘flat’ sections of the CCS rate schedule were replaced with a smooth taper down.</w:t>
            </w:r>
          </w:p>
        </w:tc>
      </w:tr>
    </w:tbl>
    <w:p w14:paraId="6FF77100" w14:textId="77777777" w:rsidR="00CF51C5" w:rsidRPr="00DC713D" w:rsidRDefault="00CF51C5">
      <w:pPr>
        <w:pStyle w:val="FigureTableHeading"/>
        <w:rPr>
          <w:vertAlign w:val="superscript"/>
        </w:rPr>
      </w:pPr>
      <w:r>
        <w:lastRenderedPageBreak/>
        <w:t xml:space="preserve">Figure </w:t>
      </w:r>
      <w:r>
        <w:rPr>
          <w:noProof/>
        </w:rPr>
        <w:t>F</w:t>
      </w:r>
      <w:r>
        <w:t>.</w:t>
      </w:r>
      <w:r>
        <w:rPr>
          <w:noProof/>
        </w:rPr>
        <w:t xml:space="preserve">4 </w:t>
      </w:r>
      <w:r>
        <w:t>– WDRs are high for lower</w:t>
      </w:r>
      <w:r>
        <w:noBreakHyphen/>
        <w:t>income sole earners</w:t>
      </w:r>
      <w:r>
        <w:rPr>
          <w:vertAlign w:val="superscript"/>
        </w:rPr>
        <w:t>a</w:t>
      </w:r>
    </w:p>
    <w:p w14:paraId="02B6FA06" w14:textId="77777777" w:rsidR="00CF51C5" w:rsidRDefault="00CF51C5" w:rsidP="00882158">
      <w:pPr>
        <w:pStyle w:val="FigureTableSubheading"/>
        <w:keepLines/>
        <w:rPr>
          <w:noProof/>
        </w:rPr>
      </w:pPr>
      <w:r w:rsidRPr="00697B0D">
        <w:t>Single</w:t>
      </w:r>
      <w:r w:rsidRPr="00697B0D">
        <w:noBreakHyphen/>
        <w:t>day increment WDRs</w:t>
      </w:r>
    </w:p>
    <w:p w14:paraId="40A276BF" w14:textId="77777777" w:rsidR="00CF51C5" w:rsidRDefault="00CF51C5" w:rsidP="00882158">
      <w:pPr>
        <w:pStyle w:val="FigureTableSubheading"/>
        <w:keepLines/>
      </w:pPr>
      <w:r w:rsidRPr="009B5AC1">
        <w:rPr>
          <w:noProof/>
        </w:rPr>
        <w:drawing>
          <wp:inline distT="0" distB="0" distL="0" distR="0" wp14:anchorId="540A1D5D" wp14:editId="23155D2C">
            <wp:extent cx="6120130" cy="7416165"/>
            <wp:effectExtent l="0" t="0" r="0" b="0"/>
            <wp:docPr id="65169317" name="Picture 6" descr="Figure F.4 – This is a series of clustered stacked bar charts. Sole parent families’ single day increment WDRs are shown for all the options presented in table F.2. The WDRs are decomposed into contributions from the tax and transfer system and out of pocket ECEC expenses. WDRs are high and tend to rise markedly for the second day of work and bey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9317" name="Picture 6" descr="Figure F.4 – This is a series of clustered stacked bar charts. Sole parent families’ single day increment WDRs are shown for all the options presented in table F.2. The WDRs are decomposed into contributions from the tax and transfer system and out of pocket ECEC expenses. WDRs are high and tend to rise markedly for the second day of work and beyond.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7416165"/>
                    </a:xfrm>
                    <a:prstGeom prst="rect">
                      <a:avLst/>
                    </a:prstGeom>
                    <a:noFill/>
                    <a:ln>
                      <a:noFill/>
                    </a:ln>
                  </pic:spPr>
                </pic:pic>
              </a:graphicData>
            </a:graphic>
          </wp:inline>
        </w:drawing>
      </w:r>
    </w:p>
    <w:p w14:paraId="33B24A91" w14:textId="77777777" w:rsidR="00CF51C5" w:rsidRDefault="00CF51C5" w:rsidP="00882158">
      <w:pPr>
        <w:pStyle w:val="Note"/>
      </w:pPr>
      <w:r>
        <w:rPr>
          <w:b/>
          <w:bCs/>
        </w:rPr>
        <w:t>a. </w:t>
      </w:r>
      <w:r>
        <w:t>OOP = out</w:t>
      </w:r>
      <w:r>
        <w:noBreakHyphen/>
        <w:t>of</w:t>
      </w:r>
      <w:r>
        <w:noBreakHyphen/>
        <w:t>pocket.</w:t>
      </w:r>
    </w:p>
    <w:p w14:paraId="59E36A9A" w14:textId="77777777" w:rsidR="00CF51C5" w:rsidRDefault="00CF51C5" w:rsidP="00882158">
      <w:pPr>
        <w:pStyle w:val="Source"/>
      </w:pPr>
      <w:r w:rsidRPr="00696447">
        <w:t xml:space="preserve">Source: </w:t>
      </w:r>
      <w:r>
        <w:t>Productivity Commission estimates using CAPITA v230518</w:t>
      </w:r>
      <w:r w:rsidRPr="00696447">
        <w:t>.</w:t>
      </w:r>
    </w:p>
    <w:p w14:paraId="047D6C31" w14:textId="77777777" w:rsidR="00CF51C5" w:rsidRPr="00146382" w:rsidRDefault="00CF51C5" w:rsidP="00882158">
      <w:pPr>
        <w:pStyle w:val="FigureTableHeading"/>
      </w:pPr>
      <w:r>
        <w:lastRenderedPageBreak/>
        <w:t xml:space="preserve">Figure </w:t>
      </w:r>
      <w:r>
        <w:rPr>
          <w:noProof/>
        </w:rPr>
        <w:t>F</w:t>
      </w:r>
      <w:r>
        <w:t>.</w:t>
      </w:r>
      <w:r>
        <w:rPr>
          <w:noProof/>
        </w:rPr>
        <w:t xml:space="preserve">5 </w:t>
      </w:r>
      <w:r>
        <w:t xml:space="preserve">– </w:t>
      </w:r>
      <w:r w:rsidRPr="00351EA3">
        <w:t>WDRs are also high for sole earners with higher incomes</w:t>
      </w:r>
    </w:p>
    <w:p w14:paraId="5AAC49E6" w14:textId="77777777" w:rsidR="00CF51C5" w:rsidRPr="00697B0D" w:rsidRDefault="00CF51C5" w:rsidP="00882158">
      <w:pPr>
        <w:pStyle w:val="FigureTableSubheading"/>
        <w:keepLines/>
      </w:pPr>
      <w:r w:rsidRPr="00697B0D">
        <w:t>Single</w:t>
      </w:r>
      <w:r w:rsidRPr="00697B0D">
        <w:noBreakHyphen/>
        <w:t>day increment WDRs</w:t>
      </w:r>
    </w:p>
    <w:p w14:paraId="1E9BDBF1" w14:textId="77777777" w:rsidR="00CF51C5" w:rsidRDefault="00CF51C5" w:rsidP="00882158">
      <w:pPr>
        <w:pStyle w:val="Note"/>
        <w:keepLines/>
      </w:pPr>
      <w:r w:rsidRPr="0075510D">
        <w:rPr>
          <w:noProof/>
        </w:rPr>
        <w:drawing>
          <wp:inline distT="0" distB="0" distL="0" distR="0" wp14:anchorId="05A42B9E" wp14:editId="0629FC95">
            <wp:extent cx="6120130" cy="4761230"/>
            <wp:effectExtent l="0" t="0" r="0" b="0"/>
            <wp:docPr id="1144026663" name="Picture 7" descr="Figure F.5 – This is a series of clustered stacked bar charts. Sole earner families’ single day increment WDRs are shown for all the options presented in table F.2. The WDRs are decomposed into contributions from the tax and transfer system and out of pocket ECEC expenses. WDRs are generally lower than in figure F.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6663" name="Picture 7" descr="Figure F.5 – This is a series of clustered stacked bar charts. Sole earner families’ single day increment WDRs are shown for all the options presented in table F.2. The WDRs are decomposed into contributions from the tax and transfer system and out of pocket ECEC expenses. WDRs are generally lower than in figure F.4.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4761230"/>
                    </a:xfrm>
                    <a:prstGeom prst="rect">
                      <a:avLst/>
                    </a:prstGeom>
                    <a:noFill/>
                    <a:ln>
                      <a:noFill/>
                    </a:ln>
                  </pic:spPr>
                </pic:pic>
              </a:graphicData>
            </a:graphic>
          </wp:inline>
        </w:drawing>
      </w:r>
    </w:p>
    <w:p w14:paraId="5C5168CB" w14:textId="77777777" w:rsidR="00CF51C5" w:rsidRDefault="00CF51C5" w:rsidP="00882158">
      <w:pPr>
        <w:pStyle w:val="Source"/>
      </w:pPr>
      <w:r w:rsidRPr="00696447">
        <w:t xml:space="preserve">Source: </w:t>
      </w:r>
      <w:r>
        <w:t>Productivity Commission estimates using CAPITA v230518</w:t>
      </w:r>
      <w:r w:rsidRPr="00696447">
        <w:t>.</w:t>
      </w:r>
    </w:p>
    <w:p w14:paraId="3A2E0F16" w14:textId="77777777" w:rsidR="00CF51C5" w:rsidRPr="00146382" w:rsidRDefault="00CF51C5" w:rsidP="00882158">
      <w:pPr>
        <w:pStyle w:val="FigureTableHeading"/>
      </w:pPr>
      <w:r>
        <w:lastRenderedPageBreak/>
        <w:t xml:space="preserve">Figure </w:t>
      </w:r>
      <w:r>
        <w:rPr>
          <w:noProof/>
        </w:rPr>
        <w:t>F</w:t>
      </w:r>
      <w:r>
        <w:t>.</w:t>
      </w:r>
      <w:r>
        <w:rPr>
          <w:noProof/>
        </w:rPr>
        <w:t xml:space="preserve">6 </w:t>
      </w:r>
      <w:r>
        <w:t>– WDRs are high for secondary earners in lower</w:t>
      </w:r>
      <w:r>
        <w:noBreakHyphen/>
        <w:t>income couples …</w:t>
      </w:r>
    </w:p>
    <w:p w14:paraId="14058295" w14:textId="77777777" w:rsidR="00CF51C5" w:rsidRDefault="00CF51C5" w:rsidP="00882158">
      <w:pPr>
        <w:pStyle w:val="FigureTableSubheading"/>
        <w:keepLines/>
      </w:pPr>
      <w:r w:rsidRPr="00697B0D">
        <w:t>Single</w:t>
      </w:r>
      <w:r w:rsidRPr="00697B0D">
        <w:noBreakHyphen/>
        <w:t>day increment</w:t>
      </w:r>
      <w:r w:rsidRPr="007A669D">
        <w:t xml:space="preserve"> WDRs</w:t>
      </w:r>
    </w:p>
    <w:p w14:paraId="326F3B76" w14:textId="77777777" w:rsidR="00CF51C5" w:rsidRDefault="00CF51C5" w:rsidP="00882158">
      <w:pPr>
        <w:pStyle w:val="Note"/>
        <w:keepLines/>
      </w:pPr>
      <w:r w:rsidRPr="00D93F1F">
        <w:rPr>
          <w:noProof/>
        </w:rPr>
        <w:drawing>
          <wp:inline distT="0" distB="0" distL="0" distR="0" wp14:anchorId="13CB8BBD" wp14:editId="02BCA090">
            <wp:extent cx="6120130" cy="7426960"/>
            <wp:effectExtent l="0" t="0" r="0" b="0"/>
            <wp:docPr id="1106698185" name="Picture 8" descr="Figure F.6 – This is a series of clustered stacked bar charts. Coupled earner families’ single day increment WDRs are shown for all the options presented in table F.2. The WDRs are decomposed into contributions from the tax and transfer system and out of pocket ECEC expenses. WDRs tend to rise with days worked by the secondary ea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98185" name="Picture 8" descr="Figure F.6 – This is a series of clustered stacked bar charts. Coupled earner families’ single day increment WDRs are shown for all the options presented in table F.2. The WDRs are decomposed into contributions from the tax and transfer system and out of pocket ECEC expenses. WDRs tend to rise with days worked by the secondary earner.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7426960"/>
                    </a:xfrm>
                    <a:prstGeom prst="rect">
                      <a:avLst/>
                    </a:prstGeom>
                    <a:noFill/>
                    <a:ln>
                      <a:noFill/>
                    </a:ln>
                  </pic:spPr>
                </pic:pic>
              </a:graphicData>
            </a:graphic>
          </wp:inline>
        </w:drawing>
      </w:r>
    </w:p>
    <w:p w14:paraId="7048F395" w14:textId="77777777" w:rsidR="00CF51C5" w:rsidRDefault="00CF51C5" w:rsidP="00882158">
      <w:pPr>
        <w:pStyle w:val="Source"/>
      </w:pPr>
      <w:r w:rsidRPr="00696447">
        <w:t xml:space="preserve">Source: </w:t>
      </w:r>
      <w:r>
        <w:t>Productivity Commission estimates using CAPITA v230518</w:t>
      </w:r>
      <w:r w:rsidRPr="00696447">
        <w:t>.</w:t>
      </w:r>
    </w:p>
    <w:p w14:paraId="39B5938A" w14:textId="77777777" w:rsidR="00CF51C5" w:rsidRPr="00146382" w:rsidRDefault="00CF51C5" w:rsidP="00882158">
      <w:pPr>
        <w:pStyle w:val="FigureTableHeading"/>
      </w:pPr>
      <w:r>
        <w:lastRenderedPageBreak/>
        <w:t xml:space="preserve">Figure </w:t>
      </w:r>
      <w:r>
        <w:rPr>
          <w:noProof/>
        </w:rPr>
        <w:t>F</w:t>
      </w:r>
      <w:r>
        <w:t>.</w:t>
      </w:r>
      <w:r>
        <w:rPr>
          <w:noProof/>
        </w:rPr>
        <w:t xml:space="preserve">7 </w:t>
      </w:r>
      <w:r>
        <w:t>– … and WDRs are lower for secondary earners in higher</w:t>
      </w:r>
      <w:r>
        <w:noBreakHyphen/>
        <w:t>income couples</w:t>
      </w:r>
    </w:p>
    <w:p w14:paraId="05E9EB14" w14:textId="77777777" w:rsidR="00CF51C5" w:rsidRDefault="00CF51C5" w:rsidP="00882158">
      <w:pPr>
        <w:pStyle w:val="FigureTableSubheading"/>
        <w:keepLines/>
      </w:pPr>
      <w:r w:rsidRPr="00697B0D">
        <w:t>Single</w:t>
      </w:r>
      <w:r w:rsidRPr="00697B0D">
        <w:noBreakHyphen/>
        <w:t>day increment</w:t>
      </w:r>
      <w:r w:rsidRPr="007A669D">
        <w:t xml:space="preserve"> WDRs</w:t>
      </w:r>
    </w:p>
    <w:p w14:paraId="79EC1EDA" w14:textId="77777777" w:rsidR="00CF51C5" w:rsidRDefault="00CF51C5" w:rsidP="00882158">
      <w:pPr>
        <w:pStyle w:val="Note"/>
        <w:keepLines/>
      </w:pPr>
      <w:r w:rsidRPr="00D93F1F">
        <w:rPr>
          <w:noProof/>
        </w:rPr>
        <w:drawing>
          <wp:inline distT="0" distB="0" distL="0" distR="0" wp14:anchorId="1968720E" wp14:editId="56EC5057">
            <wp:extent cx="6120130" cy="7258050"/>
            <wp:effectExtent l="0" t="0" r="0" b="0"/>
            <wp:docPr id="1702140216" name="Picture 9" descr="Figure F.7 – This is a series of clustered stacked bar charts. Coupled earner families’ single day increment WDRs are shown for all the options presented in table F.2. The WDRs are decomposed into contributions from the tax and transfer system and out of pocket ECEC expenses. WDRs are generally lower than in figures F.4 to F.6 and increase with days worked by the secondary ea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40216" name="Picture 9" descr="Figure F.7 – This is a series of clustered stacked bar charts. Coupled earner families’ single day increment WDRs are shown for all the options presented in table F.2. The WDRs are decomposed into contributions from the tax and transfer system and out of pocket ECEC expenses. WDRs are generally lower than in figures F.4 to F.6 and increase with days worked by the secondary earner.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7258050"/>
                    </a:xfrm>
                    <a:prstGeom prst="rect">
                      <a:avLst/>
                    </a:prstGeom>
                    <a:noFill/>
                    <a:ln>
                      <a:noFill/>
                    </a:ln>
                  </pic:spPr>
                </pic:pic>
              </a:graphicData>
            </a:graphic>
          </wp:inline>
        </w:drawing>
      </w:r>
    </w:p>
    <w:p w14:paraId="7268810F" w14:textId="77777777" w:rsidR="00CF51C5" w:rsidRDefault="00CF51C5" w:rsidP="00882158">
      <w:pPr>
        <w:pStyle w:val="Source"/>
      </w:pPr>
      <w:r w:rsidRPr="00696447">
        <w:t xml:space="preserve">Source: </w:t>
      </w:r>
      <w:r>
        <w:t>Productivity Commission estimates using CAPITA v230518</w:t>
      </w:r>
      <w:r w:rsidRPr="00696447">
        <w:t>.</w:t>
      </w:r>
    </w:p>
    <w:p w14:paraId="2E2C23FF" w14:textId="77777777" w:rsidR="00CF51C5" w:rsidRPr="00146382" w:rsidRDefault="00CF51C5" w:rsidP="00882158">
      <w:pPr>
        <w:pStyle w:val="FigureTableHeading"/>
      </w:pPr>
      <w:r>
        <w:lastRenderedPageBreak/>
        <w:t xml:space="preserve">Figure </w:t>
      </w:r>
      <w:r>
        <w:rPr>
          <w:noProof/>
        </w:rPr>
        <w:t>F</w:t>
      </w:r>
      <w:r>
        <w:t>.</w:t>
      </w:r>
      <w:r>
        <w:rPr>
          <w:noProof/>
        </w:rPr>
        <w:t xml:space="preserve">8 </w:t>
      </w:r>
      <w:r>
        <w:t>– Out</w:t>
      </w:r>
      <w:r>
        <w:noBreakHyphen/>
        <w:t>of</w:t>
      </w:r>
      <w:r>
        <w:noBreakHyphen/>
        <w:t>pocket ECEC expenses make a relatively large contribution to WDRs for secondary earners in higher</w:t>
      </w:r>
      <w:r>
        <w:noBreakHyphen/>
        <w:t>income couples with unequal FTE incomes …</w:t>
      </w:r>
    </w:p>
    <w:p w14:paraId="6E6DB7BD" w14:textId="77777777" w:rsidR="00CF51C5" w:rsidRPr="00697B0D" w:rsidRDefault="00CF51C5" w:rsidP="00882158">
      <w:pPr>
        <w:pStyle w:val="FigureTableSubheading"/>
        <w:keepLines/>
      </w:pPr>
      <w:r w:rsidRPr="00697B0D">
        <w:t>Single</w:t>
      </w:r>
      <w:r w:rsidRPr="00697B0D">
        <w:noBreakHyphen/>
        <w:t>day increment WDRs</w:t>
      </w:r>
    </w:p>
    <w:p w14:paraId="022EC028" w14:textId="77777777" w:rsidR="00CF51C5" w:rsidRDefault="00CF51C5" w:rsidP="00882158">
      <w:pPr>
        <w:pStyle w:val="Note"/>
        <w:keepLines/>
      </w:pPr>
      <w:r w:rsidRPr="00773879">
        <w:rPr>
          <w:noProof/>
        </w:rPr>
        <w:drawing>
          <wp:inline distT="0" distB="0" distL="0" distR="0" wp14:anchorId="42D2EE80" wp14:editId="3114769F">
            <wp:extent cx="6120130" cy="7405370"/>
            <wp:effectExtent l="0" t="0" r="0" b="0"/>
            <wp:docPr id="437960316" name="Picture 10" descr="Figure F.8 – This is a series of clustered stacked bar charts. Coupled earner families’ single day increment WDRs are shown for all the options presented in table F.2. The WDRs are decomposed into contributions from the tax and transfer system and out of pocket ECEC expenses. WDRs for higher-income couples with unequal FTE incomes tend to rise markedly for the secondary earner’s third day of work and beyond. For these families, a 90% universal subsidy or flat fee system would lead to a much larger fall in WDRs than for other families considered in this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60316" name="Picture 10" descr="Figure F.8 – This is a series of clustered stacked bar charts. Coupled earner families’ single day increment WDRs are shown for all the options presented in table F.2. The WDRs are decomposed into contributions from the tax and transfer system and out of pocket ECEC expenses. WDRs for higher-income couples with unequal FTE incomes tend to rise markedly for the secondary earner’s third day of work and beyond. For these families, a 90% universal subsidy or flat fee system would lead to a much larger fall in WDRs than for other families considered in this analysis.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7405370"/>
                    </a:xfrm>
                    <a:prstGeom prst="rect">
                      <a:avLst/>
                    </a:prstGeom>
                    <a:noFill/>
                    <a:ln>
                      <a:noFill/>
                    </a:ln>
                  </pic:spPr>
                </pic:pic>
              </a:graphicData>
            </a:graphic>
          </wp:inline>
        </w:drawing>
      </w:r>
    </w:p>
    <w:p w14:paraId="568E609F" w14:textId="77777777" w:rsidR="00CF51C5" w:rsidRDefault="00CF51C5" w:rsidP="00882158">
      <w:pPr>
        <w:pStyle w:val="Source"/>
      </w:pPr>
      <w:r w:rsidRPr="00696447">
        <w:t xml:space="preserve">Source: </w:t>
      </w:r>
      <w:r>
        <w:t>Productivity Commission estimates using CAPITA v230518</w:t>
      </w:r>
      <w:r w:rsidRPr="00696447">
        <w:t>.</w:t>
      </w:r>
    </w:p>
    <w:p w14:paraId="2F1DA668" w14:textId="77777777" w:rsidR="00CF51C5" w:rsidRPr="00146382" w:rsidRDefault="00CF51C5" w:rsidP="00882158">
      <w:pPr>
        <w:pStyle w:val="FigureTableHeading"/>
      </w:pPr>
      <w:r>
        <w:lastRenderedPageBreak/>
        <w:t xml:space="preserve">Figure </w:t>
      </w:r>
      <w:r>
        <w:rPr>
          <w:noProof/>
        </w:rPr>
        <w:t>F</w:t>
      </w:r>
      <w:r>
        <w:t>.</w:t>
      </w:r>
      <w:r>
        <w:rPr>
          <w:noProof/>
        </w:rPr>
        <w:t xml:space="preserve">9 </w:t>
      </w:r>
      <w:r>
        <w:t>– … and WDRs tend to rise markedly with days of work for these families</w:t>
      </w:r>
    </w:p>
    <w:p w14:paraId="1F85AAD1" w14:textId="77777777" w:rsidR="00CF51C5" w:rsidRDefault="00CF51C5" w:rsidP="00882158">
      <w:pPr>
        <w:pStyle w:val="FigureTableSubheading"/>
        <w:keepLines/>
      </w:pPr>
      <w:r>
        <w:t>Single</w:t>
      </w:r>
      <w:r>
        <w:noBreakHyphen/>
        <w:t>day increment WDRs</w:t>
      </w:r>
    </w:p>
    <w:p w14:paraId="65F6CEE4" w14:textId="77777777" w:rsidR="00CF51C5" w:rsidRDefault="00CF51C5" w:rsidP="00882158">
      <w:pPr>
        <w:pStyle w:val="Note"/>
        <w:keepLines/>
        <w:rPr>
          <w:noProof/>
        </w:rPr>
      </w:pPr>
      <w:r w:rsidRPr="00773879">
        <w:rPr>
          <w:noProof/>
        </w:rPr>
        <w:drawing>
          <wp:inline distT="0" distB="0" distL="0" distR="0" wp14:anchorId="79178E98" wp14:editId="17C65F72">
            <wp:extent cx="6120130" cy="4877435"/>
            <wp:effectExtent l="0" t="0" r="0" b="0"/>
            <wp:docPr id="1760395774" name="Picture 11" descr="Figure F.9 – This is a series of clustered stacked bar charts. Coupled earner families’ single day increment WDRs are shown for all the options presented in table F.2. The WDRs are decomposed into contributions from the tax and transfer system and out of pocket ECEC expenses. Patterns in WDRs are similar to those in figure 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95774" name="Picture 11" descr="Figure F.9 – This is a series of clustered stacked bar charts. Coupled earner families’ single day increment WDRs are shown for all the options presented in table F.2. The WDRs are decomposed into contributions from the tax and transfer system and out of pocket ECEC expenses. Patterns in WDRs are similar to those in figure F.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4877435"/>
                    </a:xfrm>
                    <a:prstGeom prst="rect">
                      <a:avLst/>
                    </a:prstGeom>
                    <a:noFill/>
                    <a:ln>
                      <a:noFill/>
                    </a:ln>
                  </pic:spPr>
                </pic:pic>
              </a:graphicData>
            </a:graphic>
          </wp:inline>
        </w:drawing>
      </w:r>
    </w:p>
    <w:p w14:paraId="486BFF28" w14:textId="77777777" w:rsidR="00CF51C5" w:rsidRDefault="00CF51C5" w:rsidP="00882158">
      <w:pPr>
        <w:pStyle w:val="Source"/>
      </w:pPr>
      <w:r w:rsidRPr="00696447">
        <w:t xml:space="preserve">Source: </w:t>
      </w:r>
      <w:r>
        <w:t>Productivity Commission estimates using CAPITA v230518</w:t>
      </w:r>
      <w:r w:rsidRPr="00696447">
        <w:t>.</w:t>
      </w:r>
    </w:p>
    <w:p w14:paraId="722884CF" w14:textId="77777777" w:rsidR="00CF51C5" w:rsidRPr="00146382" w:rsidRDefault="00CF51C5">
      <w:pPr>
        <w:pStyle w:val="FigureTableHeading"/>
      </w:pPr>
      <w:r>
        <w:lastRenderedPageBreak/>
        <w:t xml:space="preserve">Figure </w:t>
      </w:r>
      <w:r>
        <w:rPr>
          <w:noProof/>
        </w:rPr>
        <w:t>F</w:t>
      </w:r>
      <w:r>
        <w:t>.</w:t>
      </w:r>
      <w:r>
        <w:rPr>
          <w:noProof/>
        </w:rPr>
        <w:t xml:space="preserve">10 </w:t>
      </w:r>
      <w:r>
        <w:t>– WDRs tend to be higher for the third day of work and beyond</w:t>
      </w:r>
    </w:p>
    <w:p w14:paraId="177BECE4" w14:textId="77777777" w:rsidR="00CF51C5" w:rsidRDefault="00CF51C5">
      <w:pPr>
        <w:pStyle w:val="FigureTableSubheading"/>
        <w:keepLines/>
      </w:pPr>
      <w:r>
        <w:t>Single</w:t>
      </w:r>
      <w:r>
        <w:noBreakHyphen/>
        <w:t>day increment WDRs and contribution of ECEC expenses to these WDRs</w:t>
      </w:r>
    </w:p>
    <w:p w14:paraId="083BABB1" w14:textId="77777777" w:rsidR="00CF51C5" w:rsidRDefault="00CF51C5">
      <w:pPr>
        <w:pStyle w:val="FigureTableSubheading"/>
        <w:keepLines/>
      </w:pPr>
      <w:r w:rsidRPr="00BD140C">
        <w:rPr>
          <w:noProof/>
        </w:rPr>
        <w:drawing>
          <wp:inline distT="0" distB="0" distL="0" distR="0" wp14:anchorId="30486691" wp14:editId="64938D75">
            <wp:extent cx="6120130" cy="5161915"/>
            <wp:effectExtent l="0" t="0" r="0" b="0"/>
            <wp:docPr id="417409951" name="Picture 13" descr="Figure F.10 – This figure shows the daily WDR and contribution of ECEC expenses to these WDRs in a scatter plot for a range of hypothetical families. It shows that WDRs remain above 60% for days three to five for sole earners, but that ECEC expenses are a small contribution to these WDRs. It also shows that ECEC expenses remain a relatively large contributor to high WDRs for secondary earners with multiple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09951" name="Picture 13" descr="Figure F.10 – This figure shows the daily WDR and contribution of ECEC expenses to these WDRs in a scatter plot for a range of hypothetical families. It shows that WDRs remain above 60% for days three to five for sole earners, but that ECEC expenses are a small contribution to these WDRs. It also shows that ECEC expenses remain a relatively large contributor to high WDRs for secondary earners with multiple children.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5161915"/>
                    </a:xfrm>
                    <a:prstGeom prst="rect">
                      <a:avLst/>
                    </a:prstGeom>
                    <a:noFill/>
                    <a:ln>
                      <a:noFill/>
                    </a:ln>
                  </pic:spPr>
                </pic:pic>
              </a:graphicData>
            </a:graphic>
          </wp:inline>
        </w:drawing>
      </w:r>
    </w:p>
    <w:p w14:paraId="74365600" w14:textId="77777777" w:rsidR="00CF51C5" w:rsidRDefault="00CF51C5" w:rsidP="00882158">
      <w:pPr>
        <w:pStyle w:val="Source"/>
      </w:pPr>
      <w:r w:rsidRPr="00696447">
        <w:t xml:space="preserve">Source: </w:t>
      </w:r>
      <w:r>
        <w:t>Productivity Commission estimates using CAPITA v230518</w:t>
      </w:r>
      <w:r w:rsidRPr="00696447">
        <w:t>.</w:t>
      </w:r>
    </w:p>
    <w:p w14:paraId="638E40BF" w14:textId="77777777" w:rsidR="00CF51C5" w:rsidRDefault="00CF51C5" w:rsidP="00882158">
      <w:pPr>
        <w:pStyle w:val="Heading3"/>
      </w:pPr>
      <w:r>
        <w:t>Comparisons to previous work on workforce disincentive rates</w:t>
      </w:r>
    </w:p>
    <w:p w14:paraId="6356DE3D" w14:textId="77777777" w:rsidR="00CF51C5" w:rsidRDefault="00CF51C5" w:rsidP="00882158">
      <w:pPr>
        <w:pStyle w:val="BodyText"/>
      </w:pPr>
      <w:r>
        <w:t>Broadly, trends in the WDRs presented above are consistent with those in Bray et al. </w:t>
      </w:r>
      <w:r w:rsidRPr="00CB1B77">
        <w:rPr>
          <w:rFonts w:ascii="Arial" w:hAnsi="Arial" w:cs="Arial"/>
        </w:rPr>
        <w:t>(2021)</w:t>
      </w:r>
      <w:r>
        <w:t xml:space="preserve"> and Wood et al. </w:t>
      </w:r>
      <w:r w:rsidRPr="00CB1B77">
        <w:rPr>
          <w:rFonts w:ascii="Arial" w:hAnsi="Arial" w:cs="Arial"/>
        </w:rPr>
        <w:t>(2020)</w:t>
      </w:r>
      <w:r>
        <w:t xml:space="preserve">, although the absolute values of WDRs in these publications are generally higher. One explanation for this is that WDRs in both Bray et al. </w:t>
      </w:r>
      <w:r w:rsidRPr="00CB1B77">
        <w:rPr>
          <w:rFonts w:ascii="Arial" w:hAnsi="Arial" w:cs="Arial"/>
        </w:rPr>
        <w:t>(2021)</w:t>
      </w:r>
      <w:r>
        <w:t xml:space="preserve"> and Wood et al. </w:t>
      </w:r>
      <w:r w:rsidRPr="00CB1B77">
        <w:rPr>
          <w:rFonts w:ascii="Arial" w:hAnsi="Arial" w:cs="Arial"/>
        </w:rPr>
        <w:t>(2020)</w:t>
      </w:r>
      <w:r>
        <w:t xml:space="preserve"> were calculated prior to several ECEC policy reforms that have been incorporated in the above WDRs. These reforms – the removal of the CCS cap (2021), the introduction of the HCCS (2022) and the Cheaper Child Care reforms (2023) – have reduced the contribution of out</w:t>
      </w:r>
      <w:r>
        <w:noBreakHyphen/>
        <w:t>of</w:t>
      </w:r>
      <w:r>
        <w:noBreakHyphen/>
        <w:t xml:space="preserve">pocket ECEC expenses to WDRs, as well as reducing WDRs overall </w:t>
      </w:r>
      <w:r w:rsidRPr="00687787">
        <w:rPr>
          <w:rFonts w:ascii="Arial" w:hAnsi="Arial" w:cs="Arial"/>
        </w:rPr>
        <w:t>(Australian Government 2022, p. 1; Hume 2021)</w:t>
      </w:r>
      <w:r>
        <w:t>.</w:t>
      </w:r>
    </w:p>
    <w:p w14:paraId="1698B7DC" w14:textId="77777777" w:rsidR="00CF51C5" w:rsidRDefault="00CF51C5" w:rsidP="00882158">
      <w:pPr>
        <w:pStyle w:val="BodyText"/>
      </w:pPr>
      <w:r>
        <w:t>More specifically, trends in the WDRs above are more similar to those in Bray et al. </w:t>
      </w:r>
      <w:r w:rsidRPr="00CB1B77">
        <w:rPr>
          <w:rFonts w:ascii="Arial" w:hAnsi="Arial" w:cs="Arial"/>
        </w:rPr>
        <w:t>(2021)</w:t>
      </w:r>
      <w:r>
        <w:t xml:space="preserve"> than Wood et al. </w:t>
      </w:r>
      <w:r w:rsidRPr="00CB1B77">
        <w:rPr>
          <w:rFonts w:ascii="Arial" w:hAnsi="Arial" w:cs="Arial"/>
        </w:rPr>
        <w:t>(2020)</w:t>
      </w:r>
      <w:r>
        <w:t xml:space="preserve">. Similarities with Bray et al. </w:t>
      </w:r>
      <w:r w:rsidRPr="0022451B">
        <w:rPr>
          <w:rFonts w:ascii="Arial" w:hAnsi="Arial" w:cs="Arial"/>
        </w:rPr>
        <w:t>(2021)</w:t>
      </w:r>
      <w:r>
        <w:t xml:space="preserve"> are expected because Bray et al.’s </w:t>
      </w:r>
      <w:r w:rsidRPr="0022451B">
        <w:rPr>
          <w:rFonts w:ascii="Arial" w:hAnsi="Arial" w:cs="Arial"/>
        </w:rPr>
        <w:t>(2021)</w:t>
      </w:r>
      <w:r>
        <w:t xml:space="preserve"> WDRs were calculated using PolicyMod, a model that accounts for the same components of the tax and transfer system as CAPITA, which was used to calculate the above WDRs.</w:t>
      </w:r>
    </w:p>
    <w:p w14:paraId="7BD22366" w14:textId="77777777" w:rsidR="00CF51C5" w:rsidRDefault="00CF51C5" w:rsidP="00882158">
      <w:pPr>
        <w:pStyle w:val="BodyText"/>
      </w:pPr>
      <w:r>
        <w:lastRenderedPageBreak/>
        <w:t xml:space="preserve">In comparison, WDRs in Wood et al. </w:t>
      </w:r>
      <w:r w:rsidRPr="00CB1B77">
        <w:rPr>
          <w:rFonts w:ascii="Arial" w:hAnsi="Arial" w:cs="Arial"/>
        </w:rPr>
        <w:t>(2020)</w:t>
      </w:r>
      <w:r>
        <w:t xml:space="preserve"> are in some cases significantly higher than those presented above. In addition to the impact of the ECEC policy reforms referenced above, another reason for these differences is that Wood et al.’s </w:t>
      </w:r>
      <w:r w:rsidRPr="0022451B">
        <w:rPr>
          <w:rFonts w:ascii="Arial" w:hAnsi="Arial" w:cs="Arial"/>
        </w:rPr>
        <w:t>(2020)</w:t>
      </w:r>
      <w:r>
        <w:t xml:space="preserve"> WDRs include the impact of the withdrawal of Rent Assistance, whereas the above WDRs have been calculated without an assumption </w:t>
      </w:r>
      <w:r w:rsidRPr="00381091">
        <w:t>that families are renters.</w:t>
      </w:r>
      <w:r>
        <w:rPr>
          <w:rStyle w:val="FootnoteReference"/>
        </w:rPr>
        <w:footnoteReference w:id="31"/>
      </w:r>
      <w:r>
        <w:t xml:space="preserve"> Families receiving Rent Assistance would face higher WDRs – but this would reflect an additional contribution of the tax and transfer system, rather than out</w:t>
      </w:r>
      <w:r>
        <w:noBreakHyphen/>
        <w:t>of</w:t>
      </w:r>
      <w:r>
        <w:noBreakHyphen/>
        <w:t>pocket ECEC expenses, to WDRs.</w:t>
      </w:r>
    </w:p>
    <w:p w14:paraId="47A4EDE6" w14:textId="77777777" w:rsidR="00CF51C5" w:rsidRPr="00FF78F6" w:rsidRDefault="00CF51C5" w:rsidP="00882158">
      <w:pPr>
        <w:pStyle w:val="Heading2-nonumber"/>
        <w:ind w:left="851" w:hanging="851"/>
      </w:pPr>
      <w:bookmarkStart w:id="40" w:name="_Toc172213592"/>
      <w:r>
        <w:t>F.3</w:t>
      </w:r>
      <w:r>
        <w:tab/>
        <w:t>Some family income compositions are more common than others</w:t>
      </w:r>
      <w:bookmarkEnd w:id="40"/>
    </w:p>
    <w:p w14:paraId="1D47757C" w14:textId="77777777" w:rsidR="00CF51C5" w:rsidRDefault="00CF51C5" w:rsidP="00882158">
      <w:pPr>
        <w:pStyle w:val="BodyText"/>
      </w:pPr>
      <w:r>
        <w:t>It is helpful to understand what proportion of families live in similar circumstances to the families for which WDRs have been calculated.</w:t>
      </w:r>
    </w:p>
    <w:p w14:paraId="5972E339" w14:textId="31D0A352" w:rsidR="00CF51C5" w:rsidRDefault="00CF51C5" w:rsidP="00882158">
      <w:pPr>
        <w:pStyle w:val="BodyText"/>
      </w:pPr>
      <w:r>
        <w:t xml:space="preserve">In the analysis of family incomes that follows, </w:t>
      </w:r>
      <w:r w:rsidRPr="00944505">
        <w:t>individuals’ full</w:t>
      </w:r>
      <w:r w:rsidRPr="00944505">
        <w:noBreakHyphen/>
        <w:t>time equivalent (FTE) employee incomes have been used. Specifically, incomes are based on a variable from the SIH that measures ‘total (gross)</w:t>
      </w:r>
      <w:r>
        <w:t xml:space="preserve"> current employee income’. Other sources of income, such as government payments, are not included. To calculate FTE incomes, w</w:t>
      </w:r>
      <w:r w:rsidRPr="0054167B">
        <w:t>here an individual reported a ‘working full time’ labour force status</w:t>
      </w:r>
      <w:r>
        <w:t xml:space="preserve"> in the SIH</w:t>
      </w:r>
      <w:r w:rsidRPr="0054167B">
        <w:t>, their reported income was taken as an FTE income. For other individuals,</w:t>
      </w:r>
      <w:r>
        <w:t xml:space="preserve"> FTE income was estimated by applying</w:t>
      </w:r>
      <w:r w:rsidRPr="0054167B">
        <w:t xml:space="preserve"> a multiplier based on</w:t>
      </w:r>
      <w:r>
        <w:t xml:space="preserve"> an individual’s </w:t>
      </w:r>
      <w:r w:rsidRPr="0054167B">
        <w:t>reported working hours to</w:t>
      </w:r>
      <w:r>
        <w:t xml:space="preserve"> their</w:t>
      </w:r>
      <w:r w:rsidRPr="0054167B">
        <w:t xml:space="preserve"> reported income</w:t>
      </w:r>
      <w:r>
        <w:t>.</w:t>
      </w:r>
      <w:r>
        <w:rPr>
          <w:rStyle w:val="FootnoteReference"/>
        </w:rPr>
        <w:footnoteReference w:id="32"/>
      </w:r>
      <w:r w:rsidRPr="0009382B">
        <w:rPr>
          <w:vertAlign w:val="superscript"/>
        </w:rPr>
        <w:t>,</w:t>
      </w:r>
      <w:r>
        <w:rPr>
          <w:rStyle w:val="FootnoteReference"/>
        </w:rPr>
        <w:footnoteReference w:id="33"/>
      </w:r>
    </w:p>
    <w:p w14:paraId="2783DEFF" w14:textId="77777777" w:rsidR="00CF51C5" w:rsidRDefault="00CF51C5" w:rsidP="00882158">
      <w:pPr>
        <w:pStyle w:val="BodyText"/>
      </w:pPr>
      <w:r>
        <w:t>This aligns with how the WDRs have been calculated and presented above, with families categorised based on their FTE employee incomes. This method allows for differentiation between, for example, a sole earner working five days per week for $60,000 ($60,000 FTE income) and a sole earner working three days per week for $60,000 ($100,000 FTE income). There is an insufficient number of observations in the SIH to disaggregate this analysis further – for example, by calculating what proportion of sole earner households earning $100,000 FTE income are currently working one day per week compared to five days.</w:t>
      </w:r>
    </w:p>
    <w:p w14:paraId="090E9596" w14:textId="77777777" w:rsidR="00CF51C5" w:rsidRDefault="00CF51C5" w:rsidP="00882158">
      <w:pPr>
        <w:pStyle w:val="BodyText"/>
      </w:pPr>
      <w:r>
        <w:t>I</w:t>
      </w:r>
      <w:r w:rsidRPr="00EB5CB6">
        <w:t>n</w:t>
      </w:r>
      <w:r w:rsidRPr="00EB5CB6" w:rsidDel="00C455E8">
        <w:t xml:space="preserve"> August 2023, median yearly earnings from an individual’s main job was about $88,000 for Australian men working full</w:t>
      </w:r>
      <w:r>
        <w:noBreakHyphen/>
      </w:r>
      <w:r w:rsidRPr="00EB5CB6" w:rsidDel="00C455E8">
        <w:t>time, $78,000 for Australian women working full time and about $83,000 across all Australians working full</w:t>
      </w:r>
      <w:r>
        <w:noBreakHyphen/>
      </w:r>
      <w:r w:rsidRPr="00EB5CB6" w:rsidDel="00C455E8">
        <w:t xml:space="preserve">time </w:t>
      </w:r>
      <w:r w:rsidRPr="00CC095C">
        <w:rPr>
          <w:rFonts w:ascii="Arial" w:hAnsi="Arial" w:cs="Arial"/>
        </w:rPr>
        <w:t>(Productivity Commission estimates using ABS 2023)</w:t>
      </w:r>
      <w:r w:rsidRPr="00EB5CB6">
        <w:t>.</w:t>
      </w:r>
    </w:p>
    <w:p w14:paraId="0F8D50C5" w14:textId="77777777" w:rsidR="00CF51C5" w:rsidRPr="00F459E0" w:rsidRDefault="00CF51C5" w:rsidP="00882158">
      <w:pPr>
        <w:pStyle w:val="BodyText"/>
      </w:pPr>
      <w:r>
        <w:t>Using the SIH, sole earner family FTE incomes are generally between $40,000 and $100,000 (about 70% earn $80,000 FTE or less</w:t>
      </w:r>
      <w:r>
        <w:rPr>
          <w:rStyle w:val="FootnoteReference"/>
        </w:rPr>
        <w:footnoteReference w:id="34"/>
      </w:r>
      <w:r>
        <w:t xml:space="preserve">) (figure F.11 </w:t>
      </w:r>
      <w:r w:rsidRPr="0051768C">
        <w:t xml:space="preserve">and </w:t>
      </w:r>
      <w:r>
        <w:t>table F</w:t>
      </w:r>
      <w:r w:rsidRPr="0051768C">
        <w:t>.</w:t>
      </w:r>
      <w:r>
        <w:t>3</w:t>
      </w:r>
      <w:r w:rsidRPr="0051768C">
        <w:t>). Coupled earner family</w:t>
      </w:r>
      <w:r>
        <w:t xml:space="preserve"> FTE incomes </w:t>
      </w:r>
      <w:r w:rsidRPr="0051768C">
        <w:t xml:space="preserve">tend to be much higher, </w:t>
      </w:r>
      <w:r>
        <w:t>between $100,000 and $250,000 (figure F.12 and table F.4</w:t>
      </w:r>
      <w:r w:rsidRPr="0051768C">
        <w:t>).</w:t>
      </w:r>
    </w:p>
    <w:p w14:paraId="3B604EAA" w14:textId="77777777" w:rsidR="00CF51C5" w:rsidRPr="00146382" w:rsidRDefault="00CF51C5">
      <w:pPr>
        <w:pStyle w:val="FigureTableHeading"/>
      </w:pPr>
      <w:r>
        <w:lastRenderedPageBreak/>
        <w:t xml:space="preserve">Figure </w:t>
      </w:r>
      <w:r>
        <w:rPr>
          <w:noProof/>
        </w:rPr>
        <w:t>F</w:t>
      </w:r>
      <w:r>
        <w:t>.</w:t>
      </w:r>
      <w:r>
        <w:rPr>
          <w:noProof/>
        </w:rPr>
        <w:t xml:space="preserve">11 </w:t>
      </w:r>
      <w:r>
        <w:t>– The majority of sole earner families earn an FTE income between $40,000 and $100,000</w:t>
      </w:r>
      <w:r w:rsidRPr="00066CF5">
        <w:rPr>
          <w:vertAlign w:val="superscript"/>
        </w:rPr>
        <w:t>a,b</w:t>
      </w:r>
    </w:p>
    <w:p w14:paraId="78B692F7" w14:textId="77777777" w:rsidR="00CF51C5" w:rsidRDefault="00CF51C5">
      <w:pPr>
        <w:pStyle w:val="FigureTableSubheading"/>
        <w:keepLines/>
      </w:pPr>
      <w:r>
        <w:t>FTE income distribution for sole earner families with one or two children</w:t>
      </w:r>
    </w:p>
    <w:p w14:paraId="0F310B50" w14:textId="77777777" w:rsidR="00CF51C5" w:rsidRDefault="00CF51C5">
      <w:pPr>
        <w:pStyle w:val="Note"/>
        <w:keepLines/>
        <w:rPr>
          <w:noProof/>
        </w:rPr>
      </w:pPr>
      <w:r w:rsidRPr="00874DA5">
        <w:rPr>
          <w:noProof/>
        </w:rPr>
        <w:drawing>
          <wp:inline distT="0" distB="0" distL="0" distR="0" wp14:anchorId="0BA6B7F8" wp14:editId="15EC5F3E">
            <wp:extent cx="6120130" cy="3491865"/>
            <wp:effectExtent l="0" t="0" r="0" b="0"/>
            <wp:docPr id="935804306" name="Picture 2" descr="Figure F.11 – This is a histogram showing the distribution of sole earners’ FTE incomes. Most families earn between $40,000 and $100,000, with a small group also earning about $12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04306" name="Picture 2" descr="Figure F.11 – This is a histogram showing the distribution of sole earners’ FTE incomes. Most families earn between $40,000 and $100,000, with a small group also earning about $125,000.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3491865"/>
                    </a:xfrm>
                    <a:prstGeom prst="rect">
                      <a:avLst/>
                    </a:prstGeom>
                    <a:noFill/>
                    <a:ln>
                      <a:noFill/>
                    </a:ln>
                  </pic:spPr>
                </pic:pic>
              </a:graphicData>
            </a:graphic>
          </wp:inline>
        </w:drawing>
      </w:r>
    </w:p>
    <w:p w14:paraId="678BC005" w14:textId="77777777" w:rsidR="00CF51C5" w:rsidRDefault="00CF51C5">
      <w:pPr>
        <w:pStyle w:val="Note"/>
        <w:keepLines/>
      </w:pPr>
      <w:r w:rsidRPr="00180E66">
        <w:rPr>
          <w:b/>
          <w:bCs/>
        </w:rPr>
        <w:t>a.</w:t>
      </w:r>
      <w:r>
        <w:t xml:space="preserve"> Where an individual reported a ‘working full</w:t>
      </w:r>
      <w:r>
        <w:noBreakHyphen/>
        <w:t xml:space="preserve">time’ labour force status, their reported income was taken as an FTE income. For other individuals, a multiplier based on reported working hours was applied to reported income to estimate FTE income. For example, an individual who reported working 20 hours per week had their income multiplied by two to provide an estimated FTE (40 hours per week) income. </w:t>
      </w:r>
      <w:r w:rsidRPr="00180E66">
        <w:rPr>
          <w:b/>
          <w:bCs/>
        </w:rPr>
        <w:t>b.</w:t>
      </w:r>
      <w:r>
        <w:t xml:space="preserve"> Income unit weights from the SIH were applied.</w:t>
      </w:r>
    </w:p>
    <w:p w14:paraId="7752765A" w14:textId="77777777" w:rsidR="00CF51C5" w:rsidRDefault="00CF51C5" w:rsidP="00882158">
      <w:pPr>
        <w:pStyle w:val="Source"/>
      </w:pPr>
      <w:r w:rsidRPr="00696447">
        <w:t xml:space="preserve">Source: </w:t>
      </w:r>
      <w:r>
        <w:t>Productivity Commission estimates using ABS 2019</w:t>
      </w:r>
      <w:r>
        <w:noBreakHyphen/>
        <w:t>20 SIH</w:t>
      </w:r>
      <w:r w:rsidRPr="00696447">
        <w:t>.</w:t>
      </w:r>
    </w:p>
    <w:p w14:paraId="3193422C" w14:textId="77777777" w:rsidR="00CF51C5" w:rsidRDefault="00CF51C5">
      <w:pPr>
        <w:pStyle w:val="FigureTableHeading"/>
      </w:pPr>
      <w:r>
        <w:t xml:space="preserve">Table </w:t>
      </w:r>
      <w:r>
        <w:rPr>
          <w:noProof/>
        </w:rPr>
        <w:t>F</w:t>
      </w:r>
      <w:r>
        <w:t>.</w:t>
      </w:r>
      <w:r>
        <w:rPr>
          <w:noProof/>
        </w:rPr>
        <w:t>3 – More than three quarters of sole earner families have an FTE income between $40,000 and $100,000</w:t>
      </w:r>
      <w:r w:rsidRPr="00EC0C27">
        <w:rPr>
          <w:vertAlign w:val="superscript"/>
        </w:rPr>
        <w:t>a,b</w:t>
      </w:r>
      <w:r>
        <w:rPr>
          <w:vertAlign w:val="superscript"/>
        </w:rPr>
        <w:t>,c,d</w:t>
      </w:r>
    </w:p>
    <w:p w14:paraId="795E65FA" w14:textId="77777777" w:rsidR="00CF51C5" w:rsidRDefault="00CF51C5">
      <w:pPr>
        <w:pStyle w:val="FigureTableSubheading"/>
      </w:pPr>
      <w:r>
        <w:t>FTE income of sole earners with one or two children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CF51C5" w:rsidRPr="00030C67" w14:paraId="5AAA9C2D" w14:textId="77777777">
        <w:trPr>
          <w:tblHeader/>
        </w:trPr>
        <w:tc>
          <w:tcPr>
            <w:tcW w:w="3212" w:type="dxa"/>
            <w:tcBorders>
              <w:bottom w:val="single" w:sz="4" w:space="0" w:color="B3B3B3"/>
            </w:tcBorders>
            <w:shd w:val="clear" w:color="000000" w:fill="auto"/>
            <w:vAlign w:val="bottom"/>
          </w:tcPr>
          <w:p w14:paraId="357B196A" w14:textId="77777777" w:rsidR="00CF51C5" w:rsidRPr="00030C67" w:rsidRDefault="00CF51C5">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4E8AB912" w14:textId="77777777" w:rsidR="00CF51C5" w:rsidRPr="00030C67" w:rsidRDefault="00CF51C5" w:rsidP="00B94691">
            <w:pPr>
              <w:pStyle w:val="TableHeading"/>
              <w:ind w:right="108"/>
              <w:jc w:val="right"/>
            </w:pPr>
            <w:r>
              <w:t>% of observations (weighted)</w:t>
            </w:r>
          </w:p>
        </w:tc>
        <w:tc>
          <w:tcPr>
            <w:tcW w:w="3213" w:type="dxa"/>
            <w:tcBorders>
              <w:bottom w:val="single" w:sz="4" w:space="0" w:color="B3B3B3"/>
            </w:tcBorders>
            <w:shd w:val="clear" w:color="000000" w:fill="auto"/>
            <w:vAlign w:val="bottom"/>
          </w:tcPr>
          <w:p w14:paraId="3AEABEE8" w14:textId="77777777" w:rsidR="00CF51C5" w:rsidRPr="00030C67" w:rsidRDefault="00CF51C5" w:rsidP="00B94691">
            <w:pPr>
              <w:pStyle w:val="TableHeading"/>
              <w:ind w:right="108"/>
              <w:jc w:val="right"/>
            </w:pPr>
            <w:r>
              <w:t>Number of observations (weighted)</w:t>
            </w:r>
          </w:p>
        </w:tc>
      </w:tr>
      <w:tr w:rsidR="00CF51C5" w:rsidRPr="00030C67" w14:paraId="0A7397E5" w14:textId="77777777">
        <w:tc>
          <w:tcPr>
            <w:tcW w:w="3212" w:type="dxa"/>
            <w:tcBorders>
              <w:top w:val="single" w:sz="4" w:space="0" w:color="B3B3B3"/>
              <w:bottom w:val="nil"/>
            </w:tcBorders>
            <w:shd w:val="clear" w:color="000000" w:fill="F2F2F2"/>
          </w:tcPr>
          <w:p w14:paraId="5E3658A4" w14:textId="36ABE86F" w:rsidR="00CF51C5" w:rsidRPr="00030C67" w:rsidRDefault="00CF51C5">
            <w:pPr>
              <w:pStyle w:val="TableHeading"/>
            </w:pPr>
            <w:r>
              <w:t>More than $0 – $40</w:t>
            </w:r>
            <w:r w:rsidR="009D42EB">
              <w:t>,000</w:t>
            </w:r>
          </w:p>
        </w:tc>
        <w:tc>
          <w:tcPr>
            <w:tcW w:w="3213" w:type="dxa"/>
            <w:tcBorders>
              <w:top w:val="single" w:sz="4" w:space="0" w:color="B3B3B3"/>
              <w:bottom w:val="nil"/>
            </w:tcBorders>
            <w:shd w:val="clear" w:color="000000" w:fill="F2F2F2"/>
          </w:tcPr>
          <w:p w14:paraId="65F373CD"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8%</w:t>
            </w:r>
          </w:p>
        </w:tc>
        <w:tc>
          <w:tcPr>
            <w:tcW w:w="3213" w:type="dxa"/>
            <w:tcBorders>
              <w:top w:val="single" w:sz="4" w:space="0" w:color="B3B3B3"/>
              <w:bottom w:val="nil"/>
            </w:tcBorders>
            <w:shd w:val="clear" w:color="000000" w:fill="F2F2F2"/>
            <w:vAlign w:val="bottom"/>
          </w:tcPr>
          <w:p w14:paraId="47AE72B6"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6,177</w:t>
            </w:r>
          </w:p>
        </w:tc>
      </w:tr>
      <w:tr w:rsidR="00CF51C5" w:rsidRPr="00030C67" w14:paraId="2725FD5A" w14:textId="77777777">
        <w:tc>
          <w:tcPr>
            <w:tcW w:w="3212" w:type="dxa"/>
            <w:tcBorders>
              <w:top w:val="nil"/>
              <w:bottom w:val="nil"/>
            </w:tcBorders>
            <w:shd w:val="clear" w:color="auto" w:fill="auto"/>
          </w:tcPr>
          <w:p w14:paraId="0F96F5A0" w14:textId="1B0320EB" w:rsidR="00CF51C5" w:rsidRDefault="00CF51C5">
            <w:pPr>
              <w:pStyle w:val="TableHeading"/>
            </w:pPr>
            <w:r>
              <w:t>More than $40</w:t>
            </w:r>
            <w:r w:rsidR="009D42EB">
              <w:t>,000</w:t>
            </w:r>
            <w:r>
              <w:t xml:space="preserve"> – $60</w:t>
            </w:r>
            <w:r w:rsidR="009D42EB">
              <w:t>,000</w:t>
            </w:r>
          </w:p>
        </w:tc>
        <w:tc>
          <w:tcPr>
            <w:tcW w:w="3213" w:type="dxa"/>
            <w:tcBorders>
              <w:top w:val="nil"/>
              <w:bottom w:val="nil"/>
            </w:tcBorders>
            <w:shd w:val="clear" w:color="auto" w:fill="auto"/>
          </w:tcPr>
          <w:p w14:paraId="2D59AEE7"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20%</w:t>
            </w:r>
          </w:p>
        </w:tc>
        <w:tc>
          <w:tcPr>
            <w:tcW w:w="3213" w:type="dxa"/>
            <w:tcBorders>
              <w:top w:val="nil"/>
              <w:bottom w:val="nil"/>
            </w:tcBorders>
            <w:shd w:val="clear" w:color="auto" w:fill="auto"/>
          </w:tcPr>
          <w:p w14:paraId="64979B19"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16,394</w:t>
            </w:r>
          </w:p>
        </w:tc>
      </w:tr>
      <w:tr w:rsidR="00CF51C5" w:rsidRPr="00030C67" w14:paraId="51CA15C6" w14:textId="77777777">
        <w:tc>
          <w:tcPr>
            <w:tcW w:w="3212" w:type="dxa"/>
            <w:tcBorders>
              <w:top w:val="nil"/>
              <w:bottom w:val="nil"/>
            </w:tcBorders>
            <w:shd w:val="clear" w:color="auto" w:fill="F2F2F2" w:themeFill="background1" w:themeFillShade="F2"/>
          </w:tcPr>
          <w:p w14:paraId="7775356A" w14:textId="1EAFDD0E" w:rsidR="00CF51C5" w:rsidRDefault="00CF51C5">
            <w:pPr>
              <w:pStyle w:val="TableHeading"/>
            </w:pPr>
            <w:r>
              <w:t>More than $60</w:t>
            </w:r>
            <w:r w:rsidR="009D42EB">
              <w:t>,000</w:t>
            </w:r>
            <w:r>
              <w:t xml:space="preserve"> – $80</w:t>
            </w:r>
            <w:r w:rsidR="009D42EB">
              <w:t>,000</w:t>
            </w:r>
          </w:p>
        </w:tc>
        <w:tc>
          <w:tcPr>
            <w:tcW w:w="3213" w:type="dxa"/>
            <w:tcBorders>
              <w:top w:val="nil"/>
              <w:bottom w:val="nil"/>
            </w:tcBorders>
            <w:shd w:val="clear" w:color="auto" w:fill="F2F2F2" w:themeFill="background1" w:themeFillShade="F2"/>
          </w:tcPr>
          <w:p w14:paraId="668F2DE6"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41%</w:t>
            </w:r>
          </w:p>
        </w:tc>
        <w:tc>
          <w:tcPr>
            <w:tcW w:w="3213" w:type="dxa"/>
            <w:tcBorders>
              <w:top w:val="nil"/>
              <w:bottom w:val="nil"/>
            </w:tcBorders>
            <w:shd w:val="clear" w:color="auto" w:fill="F2F2F2" w:themeFill="background1" w:themeFillShade="F2"/>
          </w:tcPr>
          <w:p w14:paraId="1DE0BD47"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32,857</w:t>
            </w:r>
          </w:p>
        </w:tc>
      </w:tr>
      <w:tr w:rsidR="00CF51C5" w:rsidRPr="00030C67" w14:paraId="3DCBBCEF" w14:textId="77777777">
        <w:tc>
          <w:tcPr>
            <w:tcW w:w="3212" w:type="dxa"/>
            <w:tcBorders>
              <w:top w:val="nil"/>
              <w:bottom w:val="nil"/>
            </w:tcBorders>
            <w:shd w:val="clear" w:color="auto" w:fill="auto"/>
          </w:tcPr>
          <w:p w14:paraId="50B2239F" w14:textId="161800AF" w:rsidR="00CF51C5" w:rsidRDefault="00CF51C5">
            <w:pPr>
              <w:pStyle w:val="TableHeading"/>
            </w:pPr>
            <w:r>
              <w:t>More than $80</w:t>
            </w:r>
            <w:r w:rsidR="009D42EB">
              <w:t>,000</w:t>
            </w:r>
            <w:r>
              <w:t xml:space="preserve"> – $100</w:t>
            </w:r>
            <w:r w:rsidR="009D42EB">
              <w:t>,000</w:t>
            </w:r>
          </w:p>
        </w:tc>
        <w:tc>
          <w:tcPr>
            <w:tcW w:w="3213" w:type="dxa"/>
            <w:tcBorders>
              <w:top w:val="nil"/>
              <w:bottom w:val="nil"/>
            </w:tcBorders>
            <w:shd w:val="clear" w:color="auto" w:fill="auto"/>
          </w:tcPr>
          <w:p w14:paraId="5D0D6AAB"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15%</w:t>
            </w:r>
          </w:p>
        </w:tc>
        <w:tc>
          <w:tcPr>
            <w:tcW w:w="3213" w:type="dxa"/>
            <w:tcBorders>
              <w:top w:val="nil"/>
              <w:bottom w:val="nil"/>
            </w:tcBorders>
            <w:shd w:val="clear" w:color="auto" w:fill="auto"/>
          </w:tcPr>
          <w:p w14:paraId="66C20F24" w14:textId="77777777" w:rsidR="00CF51C5" w:rsidRDefault="00CF51C5">
            <w:pPr>
              <w:pStyle w:val="TableBody"/>
              <w:spacing w:before="45" w:after="45"/>
              <w:ind w:right="108"/>
              <w:jc w:val="right"/>
              <w:rPr>
                <w:rFonts w:ascii="Arial (Body)" w:hAnsi="Arial (Body)"/>
                <w:color w:val="000000"/>
              </w:rPr>
            </w:pPr>
            <w:r>
              <w:rPr>
                <w:rFonts w:ascii="Arial (Body)" w:hAnsi="Arial (Body)"/>
                <w:color w:val="000000"/>
              </w:rPr>
              <w:t>12,286</w:t>
            </w:r>
          </w:p>
        </w:tc>
      </w:tr>
      <w:tr w:rsidR="00CF51C5" w:rsidRPr="00030C67" w14:paraId="1171C7CC" w14:textId="77777777">
        <w:tc>
          <w:tcPr>
            <w:tcW w:w="3212" w:type="dxa"/>
            <w:tcBorders>
              <w:bottom w:val="single" w:sz="4" w:space="0" w:color="B3B3B3"/>
            </w:tcBorders>
            <w:shd w:val="clear" w:color="auto" w:fill="F2F2F2" w:themeFill="background1" w:themeFillShade="F2"/>
          </w:tcPr>
          <w:p w14:paraId="4C1BE308" w14:textId="4A29BE4B" w:rsidR="00CF51C5" w:rsidRPr="00030C67" w:rsidRDefault="00CF51C5">
            <w:pPr>
              <w:pStyle w:val="TableHeading"/>
            </w:pPr>
            <w:r>
              <w:t>More than $100</w:t>
            </w:r>
            <w:r w:rsidR="009D42EB">
              <w:t>,000</w:t>
            </w:r>
          </w:p>
        </w:tc>
        <w:tc>
          <w:tcPr>
            <w:tcW w:w="3213" w:type="dxa"/>
            <w:tcBorders>
              <w:bottom w:val="single" w:sz="4" w:space="0" w:color="B3B3B3"/>
            </w:tcBorders>
            <w:shd w:val="clear" w:color="auto" w:fill="F2F2F2" w:themeFill="background1" w:themeFillShade="F2"/>
          </w:tcPr>
          <w:p w14:paraId="64E18B50"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15%</w:t>
            </w:r>
          </w:p>
        </w:tc>
        <w:tc>
          <w:tcPr>
            <w:tcW w:w="3213" w:type="dxa"/>
            <w:tcBorders>
              <w:bottom w:val="single" w:sz="4" w:space="0" w:color="B3B3B3"/>
            </w:tcBorders>
            <w:shd w:val="clear" w:color="auto" w:fill="F2F2F2" w:themeFill="background1" w:themeFillShade="F2"/>
          </w:tcPr>
          <w:p w14:paraId="3BAA5AFF" w14:textId="77777777" w:rsidR="00CF51C5" w:rsidRPr="00030C67" w:rsidRDefault="00CF51C5">
            <w:pPr>
              <w:pStyle w:val="TableBody"/>
              <w:spacing w:before="45" w:after="45"/>
              <w:ind w:right="108"/>
              <w:jc w:val="right"/>
              <w:rPr>
                <w:rFonts w:ascii="Arial (Body)" w:hAnsi="Arial (Body)"/>
                <w:color w:val="000000"/>
              </w:rPr>
            </w:pPr>
            <w:r>
              <w:rPr>
                <w:rFonts w:ascii="Arial (Body)" w:hAnsi="Arial (Body)"/>
                <w:color w:val="000000"/>
              </w:rPr>
              <w:t>12,421</w:t>
            </w:r>
          </w:p>
        </w:tc>
      </w:tr>
    </w:tbl>
    <w:p w14:paraId="550AAACF" w14:textId="77777777" w:rsidR="00CF51C5" w:rsidRDefault="00CF51C5" w:rsidP="00882158">
      <w:pPr>
        <w:pStyle w:val="Note"/>
      </w:pPr>
      <w:r w:rsidRPr="00C36914">
        <w:rPr>
          <w:b/>
          <w:bCs/>
        </w:rPr>
        <w:t>a.</w:t>
      </w:r>
      <w:r w:rsidRPr="00C36914">
        <w:t xml:space="preserve"> </w:t>
      </w:r>
      <w:r>
        <w:t>Where an individual reported a ‘working full</w:t>
      </w:r>
      <w:r>
        <w:noBreakHyphen/>
        <w:t xml:space="preserve">time’ labour force status, their reported income was taken as an FTE income. For other individuals, a multiplier based on reported working hours was applied to reported income to estimate FTE income. For example, an individual who reported working 20 hours per week had their income multiplied by two to provide an estimated FTE (40 hours per week) income. </w:t>
      </w:r>
      <w:r w:rsidRPr="00180E66">
        <w:rPr>
          <w:b/>
          <w:bCs/>
        </w:rPr>
        <w:t>b.</w:t>
      </w:r>
      <w:r>
        <w:t xml:space="preserve"> Income unit weights from the SIH were applied. </w:t>
      </w:r>
      <w:r>
        <w:rPr>
          <w:b/>
          <w:bCs/>
        </w:rPr>
        <w:t>c</w:t>
      </w:r>
      <w:r w:rsidRPr="00180E66">
        <w:rPr>
          <w:b/>
          <w:bCs/>
        </w:rPr>
        <w:t>.</w:t>
      </w:r>
      <w:r>
        <w:t xml:space="preserve"> Only 11 observations underlie the estimates for sole earner families in the $0–$40,000 range, meaning these estimates should be viewed with particular caution</w:t>
      </w:r>
      <w:r w:rsidRPr="00C36914">
        <w:t>.</w:t>
      </w:r>
      <w:r>
        <w:t xml:space="preserve"> </w:t>
      </w:r>
      <w:r>
        <w:rPr>
          <w:b/>
          <w:bCs/>
        </w:rPr>
        <w:t>d. </w:t>
      </w:r>
      <w:r>
        <w:t>Due to rounding, proportions may not add to 100%.</w:t>
      </w:r>
    </w:p>
    <w:p w14:paraId="1547AEE7" w14:textId="77777777" w:rsidR="00CF51C5" w:rsidRDefault="00CF51C5" w:rsidP="00882158">
      <w:pPr>
        <w:pStyle w:val="Source"/>
      </w:pPr>
      <w:r w:rsidRPr="00696447">
        <w:t xml:space="preserve">Source: </w:t>
      </w:r>
      <w:r>
        <w:t>Productivity Commission estimates using ABS 2019</w:t>
      </w:r>
      <w:r>
        <w:noBreakHyphen/>
        <w:t>20 SIH</w:t>
      </w:r>
      <w:r w:rsidRPr="00696447">
        <w:t>.</w:t>
      </w:r>
    </w:p>
    <w:p w14:paraId="7A0D9660" w14:textId="77777777" w:rsidR="00CF51C5" w:rsidRPr="00146382" w:rsidRDefault="00CF51C5">
      <w:pPr>
        <w:pStyle w:val="FigureTableHeading"/>
      </w:pPr>
      <w:r>
        <w:lastRenderedPageBreak/>
        <w:t xml:space="preserve">Figure </w:t>
      </w:r>
      <w:r>
        <w:rPr>
          <w:noProof/>
        </w:rPr>
        <w:t>F</w:t>
      </w:r>
      <w:r>
        <w:t>.</w:t>
      </w:r>
      <w:r>
        <w:rPr>
          <w:noProof/>
        </w:rPr>
        <w:t xml:space="preserve">12 </w:t>
      </w:r>
      <w:r>
        <w:t>– Most coupled earner families earn an FTE income between $100,000 and $250,000</w:t>
      </w:r>
      <w:r w:rsidRPr="00066CF5">
        <w:rPr>
          <w:vertAlign w:val="superscript"/>
        </w:rPr>
        <w:t>a,b</w:t>
      </w:r>
    </w:p>
    <w:p w14:paraId="764EE57F" w14:textId="77777777" w:rsidR="00CF51C5" w:rsidRDefault="00CF51C5">
      <w:pPr>
        <w:pStyle w:val="FigureTableSubheading"/>
        <w:keepLines/>
      </w:pPr>
      <w:r>
        <w:t>FTE income distribution for coupled earner families with one or two children</w:t>
      </w:r>
    </w:p>
    <w:p w14:paraId="4BC72675" w14:textId="77777777" w:rsidR="00CF51C5" w:rsidRDefault="00CF51C5">
      <w:pPr>
        <w:pStyle w:val="Note"/>
        <w:keepLines/>
        <w:rPr>
          <w:noProof/>
        </w:rPr>
      </w:pPr>
      <w:r w:rsidRPr="004D3913">
        <w:rPr>
          <w:noProof/>
        </w:rPr>
        <w:drawing>
          <wp:inline distT="0" distB="0" distL="0" distR="0" wp14:anchorId="280E7F34" wp14:editId="4F32B1C6">
            <wp:extent cx="6120130" cy="3472815"/>
            <wp:effectExtent l="0" t="0" r="0" b="0"/>
            <wp:docPr id="1618835032" name="Picture 1" descr="Figure F.12 – This is a histogram showing the distribution of coupled earners’ FTE incomes. Most families earn between $100,000 and $250,000, with a long right 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35032" name="Picture 1" descr="Figure F.12 – This is a histogram showing the distribution of coupled earners’ FTE incomes. Most families earn between $100,000 and $250,000, with a long right tail.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0130" cy="3472815"/>
                    </a:xfrm>
                    <a:prstGeom prst="rect">
                      <a:avLst/>
                    </a:prstGeom>
                    <a:noFill/>
                    <a:ln>
                      <a:noFill/>
                    </a:ln>
                  </pic:spPr>
                </pic:pic>
              </a:graphicData>
            </a:graphic>
          </wp:inline>
        </w:drawing>
      </w:r>
    </w:p>
    <w:p w14:paraId="321B30F2" w14:textId="77777777" w:rsidR="00CF51C5" w:rsidRDefault="00CF51C5">
      <w:pPr>
        <w:pStyle w:val="Note"/>
        <w:keepLines/>
      </w:pPr>
      <w:r w:rsidRPr="00180E66">
        <w:rPr>
          <w:b/>
          <w:bCs/>
        </w:rPr>
        <w:t>a.</w:t>
      </w:r>
      <w:r>
        <w:t xml:space="preserve"> As per figure F.11 notes a and b. </w:t>
      </w:r>
      <w:r>
        <w:rPr>
          <w:b/>
          <w:bCs/>
        </w:rPr>
        <w:t xml:space="preserve">b. </w:t>
      </w:r>
      <w:r>
        <w:t>Families with an FTE income exceeding $600,000 are excluded from the figure.</w:t>
      </w:r>
    </w:p>
    <w:p w14:paraId="5831709B" w14:textId="77777777" w:rsidR="00CF51C5" w:rsidRDefault="00CF51C5" w:rsidP="00882158">
      <w:pPr>
        <w:pStyle w:val="Source"/>
      </w:pPr>
      <w:r w:rsidRPr="00696447">
        <w:t xml:space="preserve">Source: </w:t>
      </w:r>
      <w:r>
        <w:t>Productivity Commission estimates using ABS 2019</w:t>
      </w:r>
      <w:r>
        <w:noBreakHyphen/>
        <w:t>20 SIH</w:t>
      </w:r>
      <w:r w:rsidRPr="00696447">
        <w:t>.</w:t>
      </w:r>
    </w:p>
    <w:p w14:paraId="7BB9C917" w14:textId="77777777" w:rsidR="00CF51C5" w:rsidRPr="006A6311" w:rsidRDefault="00CF51C5" w:rsidP="00882158">
      <w:pPr>
        <w:pStyle w:val="BodyText"/>
      </w:pPr>
      <w:r w:rsidRPr="006A6311">
        <w:br w:type="page"/>
      </w:r>
    </w:p>
    <w:p w14:paraId="21646EF1" w14:textId="77777777" w:rsidR="00CF51C5" w:rsidRDefault="00CF51C5">
      <w:pPr>
        <w:pStyle w:val="FigureTableHeading"/>
      </w:pPr>
      <w:r>
        <w:lastRenderedPageBreak/>
        <w:t xml:space="preserve">Table </w:t>
      </w:r>
      <w:r>
        <w:rPr>
          <w:noProof/>
        </w:rPr>
        <w:t>F</w:t>
      </w:r>
      <w:r>
        <w:t>.</w:t>
      </w:r>
      <w:r>
        <w:rPr>
          <w:noProof/>
        </w:rPr>
        <w:t xml:space="preserve">4 – </w:t>
      </w:r>
      <w:r w:rsidRPr="00B815E4">
        <w:rPr>
          <w:noProof/>
        </w:rPr>
        <w:t>There i</w:t>
      </w:r>
      <w:r>
        <w:rPr>
          <w:noProof/>
        </w:rPr>
        <w:t xml:space="preserve">s </w:t>
      </w:r>
      <w:r w:rsidRPr="00B815E4">
        <w:rPr>
          <w:noProof/>
        </w:rPr>
        <w:t xml:space="preserve">variation in </w:t>
      </w:r>
      <w:r>
        <w:rPr>
          <w:noProof/>
        </w:rPr>
        <w:t>coupled earners’ FTE incomes, but some combinations are more common than others</w:t>
      </w:r>
      <w:r w:rsidRPr="00EC0C27">
        <w:rPr>
          <w:vertAlign w:val="superscript"/>
        </w:rPr>
        <w:t>a,b</w:t>
      </w:r>
      <w:r>
        <w:rPr>
          <w:vertAlign w:val="superscript"/>
        </w:rPr>
        <w:t>,c,d,e,f</w:t>
      </w:r>
    </w:p>
    <w:p w14:paraId="2500E97F" w14:textId="77777777" w:rsidR="00CF51C5" w:rsidRDefault="00CF51C5">
      <w:pPr>
        <w:pStyle w:val="FigureTableSubheading"/>
      </w:pPr>
      <w:r w:rsidRPr="00A51567">
        <w:t>Weighted proportion of coupled earners with one or two children with each combination of FTE incomes</w:t>
      </w:r>
      <w:r>
        <w:t xml:space="preserve"> (primary earners in rows, secondary earners in columns)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9"/>
        <w:gridCol w:w="1116"/>
        <w:gridCol w:w="1116"/>
        <w:gridCol w:w="1116"/>
        <w:gridCol w:w="1117"/>
        <w:gridCol w:w="1116"/>
        <w:gridCol w:w="1116"/>
        <w:gridCol w:w="1116"/>
        <w:gridCol w:w="1117"/>
      </w:tblGrid>
      <w:tr w:rsidR="00CF51C5" w:rsidRPr="00030C67" w14:paraId="7693B402" w14:textId="77777777">
        <w:trPr>
          <w:tblHeader/>
        </w:trPr>
        <w:tc>
          <w:tcPr>
            <w:tcW w:w="709" w:type="dxa"/>
            <w:tcBorders>
              <w:bottom w:val="nil"/>
            </w:tcBorders>
            <w:shd w:val="clear" w:color="000000" w:fill="auto"/>
            <w:vAlign w:val="bottom"/>
          </w:tcPr>
          <w:p w14:paraId="2F0A6DBA" w14:textId="77777777" w:rsidR="00CF51C5" w:rsidRPr="00030C67" w:rsidRDefault="00CF51C5">
            <w:pPr>
              <w:spacing w:before="45" w:after="45"/>
              <w:ind w:right="108"/>
              <w:rPr>
                <w:rFonts w:ascii="Arial (Body)" w:hAnsi="Arial (Body)"/>
                <w:color w:val="265A9A"/>
              </w:rPr>
            </w:pPr>
          </w:p>
        </w:tc>
        <w:tc>
          <w:tcPr>
            <w:tcW w:w="8930" w:type="dxa"/>
            <w:gridSpan w:val="8"/>
            <w:tcBorders>
              <w:bottom w:val="nil"/>
            </w:tcBorders>
            <w:shd w:val="clear" w:color="000000" w:fill="auto"/>
            <w:vAlign w:val="bottom"/>
          </w:tcPr>
          <w:p w14:paraId="3E204213" w14:textId="77777777" w:rsidR="00CF51C5" w:rsidRPr="00B94691" w:rsidRDefault="00CF51C5">
            <w:pPr>
              <w:pStyle w:val="TableHeading"/>
              <w:jc w:val="center"/>
            </w:pPr>
            <w:r w:rsidRPr="00B94691">
              <w:rPr>
                <w:color w:val="auto"/>
              </w:rPr>
              <w:t>Secondary earner FTE income</w:t>
            </w:r>
          </w:p>
        </w:tc>
      </w:tr>
      <w:tr w:rsidR="00CF51C5" w:rsidRPr="00030C67" w14:paraId="01CF1E2A" w14:textId="77777777">
        <w:tc>
          <w:tcPr>
            <w:tcW w:w="709" w:type="dxa"/>
            <w:tcBorders>
              <w:top w:val="nil"/>
              <w:bottom w:val="single" w:sz="4" w:space="0" w:color="B3B3B3"/>
            </w:tcBorders>
            <w:shd w:val="clear" w:color="auto" w:fill="auto"/>
          </w:tcPr>
          <w:p w14:paraId="1B6D9A27" w14:textId="77777777" w:rsidR="00CF51C5" w:rsidRPr="00030C67" w:rsidRDefault="00CF51C5">
            <w:pPr>
              <w:pStyle w:val="TableHeading"/>
              <w:ind w:left="0"/>
            </w:pPr>
          </w:p>
        </w:tc>
        <w:tc>
          <w:tcPr>
            <w:tcW w:w="1116" w:type="dxa"/>
            <w:tcBorders>
              <w:top w:val="nil"/>
              <w:bottom w:val="single" w:sz="4" w:space="0" w:color="B3B3B3"/>
            </w:tcBorders>
            <w:shd w:val="clear" w:color="auto" w:fill="auto"/>
          </w:tcPr>
          <w:p w14:paraId="56BF9386" w14:textId="77777777" w:rsidR="00CF51C5" w:rsidRPr="00030C67" w:rsidRDefault="00CF51C5">
            <w:pPr>
              <w:pStyle w:val="TableBody"/>
              <w:spacing w:before="45" w:after="45"/>
              <w:ind w:right="108"/>
              <w:rPr>
                <w:rFonts w:ascii="Arial (Body)" w:hAnsi="Arial (Body)"/>
                <w:color w:val="000000"/>
              </w:rPr>
            </w:pPr>
          </w:p>
        </w:tc>
        <w:tc>
          <w:tcPr>
            <w:tcW w:w="1116" w:type="dxa"/>
            <w:tcBorders>
              <w:top w:val="nil"/>
              <w:bottom w:val="single" w:sz="4" w:space="0" w:color="B3B3B3"/>
            </w:tcBorders>
            <w:shd w:val="clear" w:color="auto" w:fill="auto"/>
            <w:vAlign w:val="bottom"/>
          </w:tcPr>
          <w:p w14:paraId="0E8B4EDA" w14:textId="272333C6"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&gt;$0</w:t>
            </w:r>
            <w:r w:rsidR="009D42EB">
              <w:rPr>
                <w:b/>
                <w:bCs/>
                <w:color w:val="265A9A" w:themeColor="background2"/>
              </w:rPr>
              <w:t xml:space="preserve"> </w:t>
            </w:r>
            <w:r w:rsidRPr="006140B4">
              <w:rPr>
                <w:b/>
                <w:bCs/>
                <w:color w:val="265A9A" w:themeColor="background2"/>
              </w:rPr>
              <w:t>– $40</w:t>
            </w:r>
            <w:r w:rsidR="009D42EB">
              <w:rPr>
                <w:b/>
                <w:bCs/>
                <w:color w:val="265A9A" w:themeColor="background2"/>
              </w:rPr>
              <w:t>,000</w:t>
            </w:r>
          </w:p>
        </w:tc>
        <w:tc>
          <w:tcPr>
            <w:tcW w:w="1116" w:type="dxa"/>
            <w:tcBorders>
              <w:top w:val="nil"/>
              <w:bottom w:val="single" w:sz="4" w:space="0" w:color="B3B3B3"/>
            </w:tcBorders>
            <w:shd w:val="clear" w:color="auto" w:fill="auto"/>
            <w:vAlign w:val="bottom"/>
          </w:tcPr>
          <w:p w14:paraId="115CCC80" w14:textId="10253469"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&gt;$40</w:t>
            </w:r>
            <w:r w:rsidR="009D42EB">
              <w:rPr>
                <w:b/>
                <w:bCs/>
                <w:color w:val="265A9A" w:themeColor="background2"/>
              </w:rPr>
              <w:t>,000</w:t>
            </w:r>
            <w:r w:rsidRPr="006140B4">
              <w:rPr>
                <w:b/>
                <w:bCs/>
                <w:color w:val="265A9A" w:themeColor="background2"/>
              </w:rPr>
              <w:t xml:space="preserve"> – $60</w:t>
            </w:r>
            <w:r w:rsidR="009D42EB">
              <w:rPr>
                <w:b/>
                <w:bCs/>
                <w:color w:val="265A9A" w:themeColor="background2"/>
              </w:rPr>
              <w:t>,000</w:t>
            </w:r>
          </w:p>
        </w:tc>
        <w:tc>
          <w:tcPr>
            <w:tcW w:w="1117" w:type="dxa"/>
            <w:tcBorders>
              <w:top w:val="nil"/>
              <w:bottom w:val="single" w:sz="4" w:space="0" w:color="B3B3B3"/>
            </w:tcBorders>
            <w:shd w:val="clear" w:color="auto" w:fill="auto"/>
            <w:vAlign w:val="bottom"/>
          </w:tcPr>
          <w:p w14:paraId="301E1308" w14:textId="35CC9B46"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&gt;$60</w:t>
            </w:r>
            <w:r w:rsidR="009D42EB">
              <w:rPr>
                <w:b/>
                <w:bCs/>
                <w:color w:val="265A9A" w:themeColor="background2"/>
              </w:rPr>
              <w:t>,000</w:t>
            </w:r>
            <w:r w:rsidRPr="006140B4">
              <w:rPr>
                <w:b/>
                <w:bCs/>
                <w:color w:val="265A9A" w:themeColor="background2"/>
              </w:rPr>
              <w:t xml:space="preserve"> – $80</w:t>
            </w:r>
            <w:r w:rsidR="009D42EB">
              <w:rPr>
                <w:b/>
                <w:bCs/>
                <w:color w:val="265A9A" w:themeColor="background2"/>
              </w:rPr>
              <w:t>,000</w:t>
            </w:r>
          </w:p>
        </w:tc>
        <w:tc>
          <w:tcPr>
            <w:tcW w:w="1116" w:type="dxa"/>
            <w:tcBorders>
              <w:top w:val="nil"/>
              <w:bottom w:val="single" w:sz="4" w:space="0" w:color="B3B3B3"/>
            </w:tcBorders>
            <w:shd w:val="clear" w:color="auto" w:fill="auto"/>
            <w:vAlign w:val="bottom"/>
          </w:tcPr>
          <w:p w14:paraId="0CCCED28" w14:textId="0C5FFED6"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&gt;$80</w:t>
            </w:r>
            <w:r w:rsidR="009D42EB">
              <w:rPr>
                <w:b/>
                <w:bCs/>
                <w:color w:val="265A9A" w:themeColor="background2"/>
              </w:rPr>
              <w:t>,000</w:t>
            </w:r>
            <w:r w:rsidRPr="006140B4">
              <w:rPr>
                <w:b/>
                <w:bCs/>
                <w:color w:val="265A9A" w:themeColor="background2"/>
              </w:rPr>
              <w:t xml:space="preserve"> – $100</w:t>
            </w:r>
            <w:r w:rsidR="009D42EB">
              <w:rPr>
                <w:b/>
                <w:bCs/>
                <w:color w:val="265A9A" w:themeColor="background2"/>
              </w:rPr>
              <w:t>,000</w:t>
            </w:r>
          </w:p>
        </w:tc>
        <w:tc>
          <w:tcPr>
            <w:tcW w:w="1116" w:type="dxa"/>
            <w:tcBorders>
              <w:top w:val="nil"/>
              <w:bottom w:val="single" w:sz="4" w:space="0" w:color="B3B3B3"/>
            </w:tcBorders>
            <w:shd w:val="clear" w:color="auto" w:fill="auto"/>
            <w:vAlign w:val="bottom"/>
          </w:tcPr>
          <w:p w14:paraId="2CB2C371" w14:textId="6C1E9D61"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&gt;$100</w:t>
            </w:r>
            <w:r w:rsidR="009D42EB">
              <w:rPr>
                <w:b/>
                <w:bCs/>
                <w:color w:val="265A9A" w:themeColor="background2"/>
              </w:rPr>
              <w:t>,000</w:t>
            </w:r>
            <w:r w:rsidRPr="006140B4">
              <w:rPr>
                <w:b/>
                <w:bCs/>
                <w:color w:val="265A9A" w:themeColor="background2"/>
              </w:rPr>
              <w:t xml:space="preserve"> – $120</w:t>
            </w:r>
            <w:r w:rsidR="009D42EB">
              <w:rPr>
                <w:b/>
                <w:bCs/>
                <w:color w:val="265A9A" w:themeColor="background2"/>
              </w:rPr>
              <w:t>,000</w:t>
            </w:r>
          </w:p>
        </w:tc>
        <w:tc>
          <w:tcPr>
            <w:tcW w:w="1116" w:type="dxa"/>
            <w:tcBorders>
              <w:top w:val="nil"/>
              <w:bottom w:val="single" w:sz="4" w:space="0" w:color="B3B3B3"/>
            </w:tcBorders>
            <w:vAlign w:val="bottom"/>
          </w:tcPr>
          <w:p w14:paraId="61008A75" w14:textId="77865152" w:rsidR="00CF51C5" w:rsidRPr="006140B4" w:rsidRDefault="00CF51C5">
            <w:pPr>
              <w:pStyle w:val="TableBody"/>
              <w:spacing w:before="45" w:after="45"/>
              <w:ind w:right="108"/>
              <w:rPr>
                <w:b/>
                <w:bCs/>
                <w:color w:val="265A9A" w:themeColor="background2"/>
              </w:rPr>
            </w:pPr>
            <w:r w:rsidRPr="006140B4">
              <w:rPr>
                <w:b/>
                <w:bCs/>
                <w:color w:val="265A9A" w:themeColor="background2"/>
              </w:rPr>
              <w:t>&gt;$120</w:t>
            </w:r>
            <w:r w:rsidR="009D42EB">
              <w:rPr>
                <w:b/>
                <w:bCs/>
                <w:color w:val="265A9A" w:themeColor="background2"/>
              </w:rPr>
              <w:t>,000</w:t>
            </w:r>
          </w:p>
        </w:tc>
        <w:tc>
          <w:tcPr>
            <w:tcW w:w="1117" w:type="dxa"/>
            <w:tcBorders>
              <w:top w:val="nil"/>
              <w:bottom w:val="single" w:sz="4" w:space="0" w:color="B3B3B3"/>
            </w:tcBorders>
            <w:shd w:val="clear" w:color="auto" w:fill="auto"/>
            <w:vAlign w:val="bottom"/>
          </w:tcPr>
          <w:p w14:paraId="6CCCA47C" w14:textId="77777777" w:rsidR="00CF51C5" w:rsidRPr="006140B4" w:rsidRDefault="00CF51C5">
            <w:pPr>
              <w:pStyle w:val="TableBody"/>
              <w:spacing w:before="45" w:after="45"/>
              <w:ind w:right="108"/>
              <w:rPr>
                <w:rFonts w:ascii="Arial (Body)" w:hAnsi="Arial (Body)"/>
                <w:b/>
                <w:bCs/>
                <w:color w:val="265A9A" w:themeColor="background2"/>
              </w:rPr>
            </w:pPr>
            <w:r w:rsidRPr="006140B4">
              <w:rPr>
                <w:rFonts w:ascii="Arial (Body)" w:hAnsi="Arial (Body)"/>
                <w:b/>
                <w:bCs/>
                <w:color w:val="265A9A" w:themeColor="background2"/>
              </w:rPr>
              <w:t>Total</w:t>
            </w:r>
          </w:p>
        </w:tc>
      </w:tr>
      <w:tr w:rsidR="00CF51C5" w:rsidRPr="00030C67" w14:paraId="6FD14584" w14:textId="77777777" w:rsidTr="006B2CB9">
        <w:tc>
          <w:tcPr>
            <w:tcW w:w="709" w:type="dxa"/>
            <w:vMerge w:val="restart"/>
            <w:tcBorders>
              <w:top w:val="single" w:sz="4" w:space="0" w:color="B3B3B3"/>
            </w:tcBorders>
            <w:shd w:val="clear" w:color="auto" w:fill="auto"/>
          </w:tcPr>
          <w:p w14:paraId="59041A0D" w14:textId="77777777" w:rsidR="00CF51C5" w:rsidRPr="00B94691" w:rsidRDefault="00CF51C5" w:rsidP="006B2CB9">
            <w:pPr>
              <w:pStyle w:val="TableHeading"/>
              <w:spacing w:after="480"/>
              <w:ind w:left="0"/>
            </w:pPr>
            <w:r w:rsidRPr="00B94691">
              <w:rPr>
                <w:color w:val="auto"/>
              </w:rPr>
              <w:t>Primary earner FTE income</w:t>
            </w:r>
          </w:p>
        </w:tc>
        <w:tc>
          <w:tcPr>
            <w:tcW w:w="1116" w:type="dxa"/>
            <w:tcBorders>
              <w:top w:val="single" w:sz="4" w:space="0" w:color="B3B3B3"/>
              <w:bottom w:val="nil"/>
            </w:tcBorders>
            <w:shd w:val="clear" w:color="auto" w:fill="F2F2F2" w:themeFill="background1" w:themeFillShade="F2"/>
          </w:tcPr>
          <w:p w14:paraId="0D6844DC" w14:textId="29B93627"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&gt;$0 – $40</w:t>
            </w:r>
            <w:r w:rsidR="009D42EB">
              <w:rPr>
                <w:b/>
                <w:bCs/>
                <w:color w:val="265A9A" w:themeColor="background2"/>
              </w:rPr>
              <w:t>,000</w:t>
            </w:r>
          </w:p>
        </w:tc>
        <w:tc>
          <w:tcPr>
            <w:tcW w:w="6697" w:type="dxa"/>
            <w:gridSpan w:val="6"/>
            <w:tcBorders>
              <w:top w:val="single" w:sz="4" w:space="0" w:color="B3B3B3"/>
              <w:bottom w:val="nil"/>
            </w:tcBorders>
            <w:shd w:val="clear" w:color="auto" w:fill="D9D9D9" w:themeFill="background1" w:themeFillShade="D9"/>
            <w:vAlign w:val="center"/>
          </w:tcPr>
          <w:p w14:paraId="7426611E" w14:textId="77777777" w:rsidR="00CF51C5" w:rsidRPr="00E65D05" w:rsidRDefault="00CF51C5" w:rsidP="00882158">
            <w:pPr>
              <w:pStyle w:val="TableBody"/>
              <w:keepNext/>
              <w:spacing w:before="45" w:after="45"/>
              <w:ind w:right="108"/>
              <w:jc w:val="center"/>
              <w:rPr>
                <w:rFonts w:ascii="Arial (Body)" w:hAnsi="Arial (Body)"/>
                <w:color w:val="000000"/>
                <w:highlight w:val="yellow"/>
              </w:rPr>
            </w:pPr>
            <w:r w:rsidRPr="00E65D05">
              <w:rPr>
                <w:rFonts w:ascii="Arial (Body)" w:hAnsi="Arial (Body)"/>
                <w:color w:val="000000"/>
              </w:rPr>
              <w:t>3.9%</w:t>
            </w:r>
            <w:r w:rsidRPr="00E65D05">
              <w:t xml:space="preserve"> </w:t>
            </w:r>
          </w:p>
        </w:tc>
        <w:tc>
          <w:tcPr>
            <w:tcW w:w="1117" w:type="dxa"/>
            <w:tcBorders>
              <w:top w:val="single" w:sz="4" w:space="0" w:color="B3B3B3"/>
              <w:bottom w:val="nil"/>
            </w:tcBorders>
            <w:shd w:val="clear" w:color="auto" w:fill="F2F2F2" w:themeFill="background1" w:themeFillShade="F2"/>
            <w:vAlign w:val="center"/>
          </w:tcPr>
          <w:p w14:paraId="7F68BAC0" w14:textId="77777777" w:rsidR="00CF51C5" w:rsidRPr="00E65D05" w:rsidRDefault="00CF51C5" w:rsidP="00882158">
            <w:pPr>
              <w:pStyle w:val="TableBody"/>
              <w:spacing w:before="45" w:after="45"/>
              <w:ind w:right="108"/>
              <w:jc w:val="right"/>
              <w:rPr>
                <w:rFonts w:ascii="Arial (Body)" w:hAnsi="Arial (Body)"/>
                <w:color w:val="000000"/>
                <w:highlight w:val="yellow"/>
              </w:rPr>
            </w:pPr>
            <w:r w:rsidRPr="00E65D05">
              <w:rPr>
                <w:rFonts w:ascii="Arial (Body)" w:hAnsi="Arial (Body)"/>
                <w:color w:val="000000"/>
              </w:rPr>
              <w:t>3.9%</w:t>
            </w:r>
          </w:p>
        </w:tc>
      </w:tr>
      <w:tr w:rsidR="00CF51C5" w:rsidRPr="00030C67" w14:paraId="25BE24AE" w14:textId="77777777" w:rsidTr="00882158">
        <w:tc>
          <w:tcPr>
            <w:tcW w:w="709" w:type="dxa"/>
            <w:vMerge/>
            <w:shd w:val="clear" w:color="auto" w:fill="auto"/>
          </w:tcPr>
          <w:p w14:paraId="4A64DD34" w14:textId="77777777" w:rsidR="00CF51C5" w:rsidRPr="00030C67" w:rsidRDefault="00CF51C5">
            <w:pPr>
              <w:pStyle w:val="TableHeading"/>
            </w:pPr>
          </w:p>
        </w:tc>
        <w:tc>
          <w:tcPr>
            <w:tcW w:w="1116" w:type="dxa"/>
            <w:tcBorders>
              <w:top w:val="nil"/>
              <w:bottom w:val="nil"/>
            </w:tcBorders>
            <w:shd w:val="clear" w:color="auto" w:fill="auto"/>
          </w:tcPr>
          <w:p w14:paraId="1A86DE4C" w14:textId="787D1F72"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&gt;$40</w:t>
            </w:r>
            <w:r w:rsidR="009D42EB">
              <w:rPr>
                <w:b/>
                <w:bCs/>
                <w:color w:val="265A9A" w:themeColor="background2"/>
              </w:rPr>
              <w:t>,000</w:t>
            </w:r>
            <w:r w:rsidRPr="006140B4">
              <w:rPr>
                <w:b/>
                <w:bCs/>
                <w:color w:val="265A9A" w:themeColor="background2"/>
              </w:rPr>
              <w:t xml:space="preserve"> – $60</w:t>
            </w:r>
            <w:r w:rsidR="009D42EB">
              <w:rPr>
                <w:b/>
                <w:bCs/>
                <w:color w:val="265A9A" w:themeColor="background2"/>
              </w:rPr>
              <w:t>,000</w:t>
            </w:r>
          </w:p>
        </w:tc>
        <w:tc>
          <w:tcPr>
            <w:tcW w:w="1116" w:type="dxa"/>
            <w:tcBorders>
              <w:top w:val="nil"/>
              <w:bottom w:val="nil"/>
            </w:tcBorders>
            <w:shd w:val="clear" w:color="auto" w:fill="auto"/>
            <w:vAlign w:val="center"/>
          </w:tcPr>
          <w:p w14:paraId="430ACB3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0.9%</w:t>
            </w:r>
          </w:p>
        </w:tc>
        <w:tc>
          <w:tcPr>
            <w:tcW w:w="1116" w:type="dxa"/>
            <w:tcBorders>
              <w:top w:val="nil"/>
              <w:bottom w:val="nil"/>
            </w:tcBorders>
            <w:shd w:val="clear" w:color="auto" w:fill="CBDDF2" w:themeFill="background2" w:themeFillTint="33"/>
            <w:vAlign w:val="center"/>
          </w:tcPr>
          <w:p w14:paraId="10240E3A"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4.4%</w:t>
            </w:r>
          </w:p>
        </w:tc>
        <w:tc>
          <w:tcPr>
            <w:tcW w:w="1117" w:type="dxa"/>
            <w:tcBorders>
              <w:top w:val="nil"/>
              <w:bottom w:val="nil"/>
            </w:tcBorders>
            <w:shd w:val="clear" w:color="auto" w:fill="CBDDF2" w:themeFill="background2" w:themeFillTint="33"/>
            <w:vAlign w:val="center"/>
          </w:tcPr>
          <w:p w14:paraId="52426E7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2.7%</w:t>
            </w:r>
          </w:p>
        </w:tc>
        <w:tc>
          <w:tcPr>
            <w:tcW w:w="1116" w:type="dxa"/>
            <w:tcBorders>
              <w:top w:val="nil"/>
              <w:bottom w:val="nil"/>
            </w:tcBorders>
            <w:shd w:val="clear" w:color="auto" w:fill="auto"/>
            <w:vAlign w:val="center"/>
          </w:tcPr>
          <w:p w14:paraId="5995535A"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2.3%</w:t>
            </w:r>
          </w:p>
        </w:tc>
        <w:tc>
          <w:tcPr>
            <w:tcW w:w="1116" w:type="dxa"/>
            <w:tcBorders>
              <w:top w:val="nil"/>
              <w:bottom w:val="nil"/>
            </w:tcBorders>
            <w:shd w:val="clear" w:color="auto" w:fill="auto"/>
            <w:vAlign w:val="center"/>
          </w:tcPr>
          <w:p w14:paraId="50AB8866"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0.4%</w:t>
            </w:r>
          </w:p>
        </w:tc>
        <w:tc>
          <w:tcPr>
            <w:tcW w:w="1116" w:type="dxa"/>
            <w:tcBorders>
              <w:top w:val="nil"/>
              <w:bottom w:val="nil"/>
            </w:tcBorders>
            <w:shd w:val="clear" w:color="auto" w:fill="auto"/>
            <w:vAlign w:val="center"/>
          </w:tcPr>
          <w:p w14:paraId="5F9C8FB0"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1.2%</w:t>
            </w:r>
          </w:p>
        </w:tc>
        <w:tc>
          <w:tcPr>
            <w:tcW w:w="1117" w:type="dxa"/>
            <w:tcBorders>
              <w:top w:val="nil"/>
              <w:bottom w:val="nil"/>
            </w:tcBorders>
            <w:shd w:val="clear" w:color="auto" w:fill="auto"/>
            <w:vAlign w:val="center"/>
          </w:tcPr>
          <w:p w14:paraId="14413C97"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11.9%</w:t>
            </w:r>
          </w:p>
        </w:tc>
      </w:tr>
      <w:tr w:rsidR="00CF51C5" w:rsidRPr="00030C67" w14:paraId="6FCFA9F6" w14:textId="77777777">
        <w:tc>
          <w:tcPr>
            <w:tcW w:w="709" w:type="dxa"/>
            <w:vMerge/>
            <w:shd w:val="clear" w:color="auto" w:fill="auto"/>
          </w:tcPr>
          <w:p w14:paraId="0A91E70E" w14:textId="77777777" w:rsidR="00CF51C5" w:rsidRPr="00030C67" w:rsidRDefault="00CF51C5">
            <w:pPr>
              <w:pStyle w:val="TableHeading"/>
            </w:pPr>
          </w:p>
        </w:tc>
        <w:tc>
          <w:tcPr>
            <w:tcW w:w="1116" w:type="dxa"/>
            <w:tcBorders>
              <w:top w:val="nil"/>
              <w:bottom w:val="nil"/>
            </w:tcBorders>
            <w:shd w:val="clear" w:color="auto" w:fill="F2F2F2" w:themeFill="background1" w:themeFillShade="F2"/>
          </w:tcPr>
          <w:p w14:paraId="1A59AE46" w14:textId="1C2B171D"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&gt;$60</w:t>
            </w:r>
            <w:r w:rsidR="009D42EB">
              <w:rPr>
                <w:b/>
                <w:bCs/>
                <w:color w:val="265A9A" w:themeColor="background2"/>
              </w:rPr>
              <w:t>,000</w:t>
            </w:r>
            <w:r w:rsidRPr="006140B4">
              <w:rPr>
                <w:b/>
                <w:bCs/>
                <w:color w:val="265A9A" w:themeColor="background2"/>
              </w:rPr>
              <w:t xml:space="preserve"> – $80</w:t>
            </w:r>
            <w:r w:rsidR="009D42EB">
              <w:rPr>
                <w:b/>
                <w:bCs/>
                <w:color w:val="265A9A" w:themeColor="background2"/>
              </w:rPr>
              <w:t>,000</w:t>
            </w:r>
          </w:p>
        </w:tc>
        <w:tc>
          <w:tcPr>
            <w:tcW w:w="1116" w:type="dxa"/>
            <w:tcBorders>
              <w:top w:val="nil"/>
              <w:bottom w:val="nil"/>
            </w:tcBorders>
            <w:shd w:val="clear" w:color="auto" w:fill="F2F2F2" w:themeFill="background1" w:themeFillShade="F2"/>
            <w:vAlign w:val="center"/>
          </w:tcPr>
          <w:p w14:paraId="7D7F7104" w14:textId="77777777" w:rsidR="00CF51C5" w:rsidRPr="00E65D05" w:rsidRDefault="00CF51C5" w:rsidP="00882158">
            <w:pPr>
              <w:pStyle w:val="TableBody"/>
              <w:spacing w:before="45" w:after="45"/>
              <w:ind w:left="0" w:right="108"/>
              <w:jc w:val="right"/>
              <w:rPr>
                <w:rFonts w:ascii="Arial (Body)" w:hAnsi="Arial (Body)"/>
                <w:color w:val="000000"/>
              </w:rPr>
            </w:pPr>
            <w:r w:rsidRPr="00E65D05">
              <w:rPr>
                <w:rFonts w:ascii="Arial (Body)" w:hAnsi="Arial (Body)"/>
                <w:color w:val="000000"/>
              </w:rPr>
              <w:t>1.9%</w:t>
            </w:r>
          </w:p>
        </w:tc>
        <w:tc>
          <w:tcPr>
            <w:tcW w:w="1116" w:type="dxa"/>
            <w:tcBorders>
              <w:top w:val="nil"/>
              <w:bottom w:val="nil"/>
            </w:tcBorders>
            <w:shd w:val="clear" w:color="auto" w:fill="CBDDF2" w:themeFill="background2" w:themeFillTint="33"/>
            <w:vAlign w:val="center"/>
          </w:tcPr>
          <w:p w14:paraId="1D1FB27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5.7%</w:t>
            </w:r>
          </w:p>
        </w:tc>
        <w:tc>
          <w:tcPr>
            <w:tcW w:w="1117" w:type="dxa"/>
            <w:tcBorders>
              <w:top w:val="nil"/>
              <w:bottom w:val="nil"/>
            </w:tcBorders>
            <w:shd w:val="clear" w:color="auto" w:fill="CBDDF2" w:themeFill="background2" w:themeFillTint="33"/>
            <w:vAlign w:val="center"/>
          </w:tcPr>
          <w:p w14:paraId="640F7858"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6.3%</w:t>
            </w:r>
          </w:p>
        </w:tc>
        <w:tc>
          <w:tcPr>
            <w:tcW w:w="1116" w:type="dxa"/>
            <w:tcBorders>
              <w:top w:val="nil"/>
              <w:bottom w:val="nil"/>
            </w:tcBorders>
            <w:shd w:val="clear" w:color="auto" w:fill="F2F2F2" w:themeFill="background1" w:themeFillShade="F2"/>
            <w:vAlign w:val="center"/>
          </w:tcPr>
          <w:p w14:paraId="4088A960"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4.0%</w:t>
            </w:r>
          </w:p>
        </w:tc>
        <w:tc>
          <w:tcPr>
            <w:tcW w:w="1116" w:type="dxa"/>
            <w:tcBorders>
              <w:top w:val="nil"/>
              <w:bottom w:val="nil"/>
            </w:tcBorders>
            <w:shd w:val="clear" w:color="auto" w:fill="F2F2F2" w:themeFill="background1" w:themeFillShade="F2"/>
            <w:vAlign w:val="center"/>
          </w:tcPr>
          <w:p w14:paraId="55D6A6C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1.9%</w:t>
            </w:r>
          </w:p>
        </w:tc>
        <w:tc>
          <w:tcPr>
            <w:tcW w:w="1116" w:type="dxa"/>
            <w:tcBorders>
              <w:top w:val="nil"/>
              <w:bottom w:val="nil"/>
            </w:tcBorders>
            <w:shd w:val="clear" w:color="auto" w:fill="F2F2F2" w:themeFill="background1" w:themeFillShade="F2"/>
            <w:vAlign w:val="center"/>
          </w:tcPr>
          <w:p w14:paraId="26CA325C"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2.5%</w:t>
            </w:r>
          </w:p>
        </w:tc>
        <w:tc>
          <w:tcPr>
            <w:tcW w:w="1117" w:type="dxa"/>
            <w:tcBorders>
              <w:top w:val="nil"/>
              <w:bottom w:val="nil"/>
            </w:tcBorders>
            <w:shd w:val="clear" w:color="auto" w:fill="F2F2F2" w:themeFill="background1" w:themeFillShade="F2"/>
            <w:vAlign w:val="center"/>
          </w:tcPr>
          <w:p w14:paraId="35FAC120"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22.3%</w:t>
            </w:r>
          </w:p>
        </w:tc>
      </w:tr>
      <w:tr w:rsidR="00CF51C5" w:rsidRPr="00030C67" w14:paraId="44457A6B" w14:textId="77777777">
        <w:tc>
          <w:tcPr>
            <w:tcW w:w="709" w:type="dxa"/>
            <w:vMerge/>
            <w:shd w:val="clear" w:color="auto" w:fill="auto"/>
          </w:tcPr>
          <w:p w14:paraId="0CB82B32" w14:textId="77777777" w:rsidR="00CF51C5" w:rsidRPr="00030C67" w:rsidRDefault="00CF51C5">
            <w:pPr>
              <w:pStyle w:val="TableHeading"/>
            </w:pPr>
          </w:p>
        </w:tc>
        <w:tc>
          <w:tcPr>
            <w:tcW w:w="1116" w:type="dxa"/>
            <w:tcBorders>
              <w:top w:val="nil"/>
              <w:bottom w:val="nil"/>
            </w:tcBorders>
            <w:shd w:val="clear" w:color="auto" w:fill="auto"/>
          </w:tcPr>
          <w:p w14:paraId="105DD524" w14:textId="3C6973A9"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&gt;$80</w:t>
            </w:r>
            <w:r w:rsidR="009D42EB">
              <w:rPr>
                <w:b/>
                <w:bCs/>
                <w:color w:val="265A9A" w:themeColor="background2"/>
              </w:rPr>
              <w:t>,000</w:t>
            </w:r>
            <w:r w:rsidRPr="006140B4">
              <w:rPr>
                <w:b/>
                <w:bCs/>
                <w:color w:val="265A9A" w:themeColor="background2"/>
              </w:rPr>
              <w:t xml:space="preserve"> – $100</w:t>
            </w:r>
            <w:r w:rsidR="009D42EB">
              <w:rPr>
                <w:b/>
                <w:bCs/>
                <w:color w:val="265A9A" w:themeColor="background2"/>
              </w:rPr>
              <w:t>,000</w:t>
            </w:r>
          </w:p>
        </w:tc>
        <w:tc>
          <w:tcPr>
            <w:tcW w:w="1116" w:type="dxa"/>
            <w:tcBorders>
              <w:top w:val="nil"/>
              <w:bottom w:val="nil"/>
            </w:tcBorders>
            <w:shd w:val="clear" w:color="auto" w:fill="auto"/>
            <w:vAlign w:val="center"/>
          </w:tcPr>
          <w:p w14:paraId="7AC66D7D"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1.3%</w:t>
            </w:r>
          </w:p>
        </w:tc>
        <w:tc>
          <w:tcPr>
            <w:tcW w:w="1116" w:type="dxa"/>
            <w:tcBorders>
              <w:top w:val="nil"/>
              <w:bottom w:val="nil"/>
            </w:tcBorders>
            <w:shd w:val="clear" w:color="auto" w:fill="auto"/>
            <w:vAlign w:val="center"/>
          </w:tcPr>
          <w:p w14:paraId="29634315"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4.6%</w:t>
            </w:r>
          </w:p>
        </w:tc>
        <w:tc>
          <w:tcPr>
            <w:tcW w:w="1117" w:type="dxa"/>
            <w:tcBorders>
              <w:top w:val="nil"/>
              <w:bottom w:val="nil"/>
            </w:tcBorders>
            <w:shd w:val="clear" w:color="auto" w:fill="auto"/>
            <w:vAlign w:val="center"/>
          </w:tcPr>
          <w:p w14:paraId="60113B0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3.9%</w:t>
            </w:r>
          </w:p>
        </w:tc>
        <w:tc>
          <w:tcPr>
            <w:tcW w:w="1116" w:type="dxa"/>
            <w:tcBorders>
              <w:top w:val="nil"/>
              <w:bottom w:val="nil"/>
            </w:tcBorders>
            <w:shd w:val="clear" w:color="auto" w:fill="CBDDF2" w:themeFill="background2" w:themeFillTint="33"/>
            <w:vAlign w:val="center"/>
          </w:tcPr>
          <w:p w14:paraId="1012FA9A"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3.7%</w:t>
            </w:r>
          </w:p>
        </w:tc>
        <w:tc>
          <w:tcPr>
            <w:tcW w:w="1116" w:type="dxa"/>
            <w:tcBorders>
              <w:top w:val="nil"/>
              <w:bottom w:val="nil"/>
            </w:tcBorders>
            <w:shd w:val="clear" w:color="auto" w:fill="CBDDF2" w:themeFill="background2" w:themeFillTint="33"/>
            <w:vAlign w:val="center"/>
          </w:tcPr>
          <w:p w14:paraId="4324A51C"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2.9%</w:t>
            </w:r>
          </w:p>
        </w:tc>
        <w:tc>
          <w:tcPr>
            <w:tcW w:w="1116" w:type="dxa"/>
            <w:tcBorders>
              <w:top w:val="nil"/>
              <w:bottom w:val="nil"/>
            </w:tcBorders>
            <w:shd w:val="clear" w:color="auto" w:fill="auto"/>
            <w:vAlign w:val="center"/>
          </w:tcPr>
          <w:p w14:paraId="6FDF01B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2.0%</w:t>
            </w:r>
          </w:p>
        </w:tc>
        <w:tc>
          <w:tcPr>
            <w:tcW w:w="1117" w:type="dxa"/>
            <w:tcBorders>
              <w:top w:val="nil"/>
              <w:bottom w:val="nil"/>
            </w:tcBorders>
            <w:shd w:val="clear" w:color="auto" w:fill="auto"/>
            <w:vAlign w:val="center"/>
          </w:tcPr>
          <w:p w14:paraId="5952459D"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18.4%</w:t>
            </w:r>
          </w:p>
        </w:tc>
      </w:tr>
      <w:tr w:rsidR="00CF51C5" w:rsidRPr="00030C67" w14:paraId="7A144269" w14:textId="77777777">
        <w:tc>
          <w:tcPr>
            <w:tcW w:w="709" w:type="dxa"/>
            <w:vMerge/>
            <w:shd w:val="clear" w:color="auto" w:fill="auto"/>
          </w:tcPr>
          <w:p w14:paraId="3876214E" w14:textId="77777777" w:rsidR="00CF51C5" w:rsidRPr="00030C67" w:rsidRDefault="00CF51C5">
            <w:pPr>
              <w:pStyle w:val="TableHeading"/>
            </w:pPr>
          </w:p>
        </w:tc>
        <w:tc>
          <w:tcPr>
            <w:tcW w:w="1116" w:type="dxa"/>
            <w:tcBorders>
              <w:top w:val="nil"/>
              <w:bottom w:val="nil"/>
            </w:tcBorders>
            <w:shd w:val="clear" w:color="auto" w:fill="F2F2F2" w:themeFill="background1" w:themeFillShade="F2"/>
          </w:tcPr>
          <w:p w14:paraId="26E87D49" w14:textId="0007B77A"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&gt;$100</w:t>
            </w:r>
            <w:r w:rsidR="009D42EB">
              <w:rPr>
                <w:b/>
                <w:bCs/>
                <w:color w:val="265A9A" w:themeColor="background2"/>
              </w:rPr>
              <w:t>,000</w:t>
            </w:r>
            <w:r w:rsidRPr="006140B4">
              <w:rPr>
                <w:b/>
                <w:bCs/>
                <w:color w:val="265A9A" w:themeColor="background2"/>
              </w:rPr>
              <w:t xml:space="preserve"> – $120</w:t>
            </w:r>
            <w:r w:rsidR="009D42EB">
              <w:rPr>
                <w:b/>
                <w:bCs/>
                <w:color w:val="265A9A" w:themeColor="background2"/>
              </w:rPr>
              <w:t>,000</w:t>
            </w:r>
          </w:p>
        </w:tc>
        <w:tc>
          <w:tcPr>
            <w:tcW w:w="1116" w:type="dxa"/>
            <w:tcBorders>
              <w:top w:val="nil"/>
              <w:bottom w:val="nil"/>
            </w:tcBorders>
            <w:shd w:val="clear" w:color="auto" w:fill="F2F2F2" w:themeFill="background1" w:themeFillShade="F2"/>
            <w:vAlign w:val="center"/>
          </w:tcPr>
          <w:p w14:paraId="401B2C17"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0.9%</w:t>
            </w:r>
          </w:p>
        </w:tc>
        <w:tc>
          <w:tcPr>
            <w:tcW w:w="1116" w:type="dxa"/>
            <w:tcBorders>
              <w:top w:val="nil"/>
              <w:bottom w:val="nil"/>
            </w:tcBorders>
            <w:shd w:val="clear" w:color="auto" w:fill="F2F2F2" w:themeFill="background1" w:themeFillShade="F2"/>
            <w:vAlign w:val="center"/>
          </w:tcPr>
          <w:p w14:paraId="6D774EA3"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2.8%</w:t>
            </w:r>
          </w:p>
        </w:tc>
        <w:tc>
          <w:tcPr>
            <w:tcW w:w="1117" w:type="dxa"/>
            <w:tcBorders>
              <w:top w:val="nil"/>
              <w:bottom w:val="nil"/>
            </w:tcBorders>
            <w:shd w:val="clear" w:color="auto" w:fill="F2F2F2" w:themeFill="background1" w:themeFillShade="F2"/>
            <w:vAlign w:val="center"/>
          </w:tcPr>
          <w:p w14:paraId="1510ACB8"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3.7%</w:t>
            </w:r>
          </w:p>
        </w:tc>
        <w:tc>
          <w:tcPr>
            <w:tcW w:w="1116" w:type="dxa"/>
            <w:tcBorders>
              <w:top w:val="nil"/>
              <w:bottom w:val="nil"/>
            </w:tcBorders>
            <w:shd w:val="clear" w:color="auto" w:fill="CBDDF2" w:themeFill="background2" w:themeFillTint="33"/>
            <w:vAlign w:val="center"/>
          </w:tcPr>
          <w:p w14:paraId="3BBEB8B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2.4%</w:t>
            </w:r>
          </w:p>
        </w:tc>
        <w:tc>
          <w:tcPr>
            <w:tcW w:w="1116" w:type="dxa"/>
            <w:tcBorders>
              <w:top w:val="nil"/>
              <w:bottom w:val="nil"/>
            </w:tcBorders>
            <w:shd w:val="clear" w:color="auto" w:fill="CBDDF2" w:themeFill="background2" w:themeFillTint="33"/>
            <w:vAlign w:val="center"/>
          </w:tcPr>
          <w:p w14:paraId="1EC1A604"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2.0%</w:t>
            </w:r>
          </w:p>
        </w:tc>
        <w:tc>
          <w:tcPr>
            <w:tcW w:w="1116" w:type="dxa"/>
            <w:tcBorders>
              <w:top w:val="nil"/>
              <w:bottom w:val="nil"/>
            </w:tcBorders>
            <w:shd w:val="clear" w:color="auto" w:fill="F2F2F2" w:themeFill="background1" w:themeFillShade="F2"/>
            <w:vAlign w:val="center"/>
          </w:tcPr>
          <w:p w14:paraId="060AB741"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2.4%</w:t>
            </w:r>
          </w:p>
        </w:tc>
        <w:tc>
          <w:tcPr>
            <w:tcW w:w="1117" w:type="dxa"/>
            <w:tcBorders>
              <w:top w:val="nil"/>
              <w:bottom w:val="nil"/>
            </w:tcBorders>
            <w:shd w:val="clear" w:color="auto" w:fill="F2F2F2" w:themeFill="background1" w:themeFillShade="F2"/>
            <w:vAlign w:val="center"/>
          </w:tcPr>
          <w:p w14:paraId="6424FD3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14.2%</w:t>
            </w:r>
          </w:p>
        </w:tc>
      </w:tr>
      <w:tr w:rsidR="00CF51C5" w:rsidRPr="00030C67" w14:paraId="478FADD9" w14:textId="77777777">
        <w:tc>
          <w:tcPr>
            <w:tcW w:w="709" w:type="dxa"/>
            <w:vMerge/>
            <w:shd w:val="clear" w:color="auto" w:fill="auto"/>
          </w:tcPr>
          <w:p w14:paraId="76449EE4" w14:textId="77777777" w:rsidR="00CF51C5" w:rsidRPr="00030C67" w:rsidRDefault="00CF51C5">
            <w:pPr>
              <w:pStyle w:val="TableHeading"/>
            </w:pPr>
          </w:p>
        </w:tc>
        <w:tc>
          <w:tcPr>
            <w:tcW w:w="1116" w:type="dxa"/>
            <w:tcBorders>
              <w:top w:val="nil"/>
              <w:bottom w:val="nil"/>
            </w:tcBorders>
            <w:shd w:val="clear" w:color="auto" w:fill="auto"/>
          </w:tcPr>
          <w:p w14:paraId="41908EA2" w14:textId="45C233A3"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&gt;$120</w:t>
            </w:r>
            <w:r w:rsidR="009D42EB">
              <w:rPr>
                <w:b/>
                <w:bCs/>
                <w:color w:val="265A9A" w:themeColor="background2"/>
              </w:rPr>
              <w:t>,000</w:t>
            </w:r>
          </w:p>
        </w:tc>
        <w:tc>
          <w:tcPr>
            <w:tcW w:w="1116" w:type="dxa"/>
            <w:tcBorders>
              <w:top w:val="nil"/>
              <w:bottom w:val="nil"/>
            </w:tcBorders>
            <w:shd w:val="clear" w:color="auto" w:fill="auto"/>
            <w:vAlign w:val="center"/>
          </w:tcPr>
          <w:p w14:paraId="61BCB5CA"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0.8%</w:t>
            </w:r>
          </w:p>
        </w:tc>
        <w:tc>
          <w:tcPr>
            <w:tcW w:w="1116" w:type="dxa"/>
            <w:tcBorders>
              <w:top w:val="nil"/>
              <w:bottom w:val="nil"/>
            </w:tcBorders>
            <w:shd w:val="clear" w:color="auto" w:fill="auto"/>
            <w:vAlign w:val="center"/>
          </w:tcPr>
          <w:p w14:paraId="1F96F787"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4.0%</w:t>
            </w:r>
          </w:p>
        </w:tc>
        <w:tc>
          <w:tcPr>
            <w:tcW w:w="1117" w:type="dxa"/>
            <w:tcBorders>
              <w:top w:val="nil"/>
              <w:bottom w:val="nil"/>
            </w:tcBorders>
            <w:shd w:val="clear" w:color="auto" w:fill="CBDDF2" w:themeFill="background2" w:themeFillTint="33"/>
            <w:vAlign w:val="center"/>
          </w:tcPr>
          <w:p w14:paraId="7DA2B428"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7.8%</w:t>
            </w:r>
          </w:p>
        </w:tc>
        <w:tc>
          <w:tcPr>
            <w:tcW w:w="1116" w:type="dxa"/>
            <w:tcBorders>
              <w:top w:val="nil"/>
              <w:bottom w:val="nil"/>
            </w:tcBorders>
            <w:shd w:val="clear" w:color="auto" w:fill="CBDDF2" w:themeFill="background2" w:themeFillTint="33"/>
            <w:vAlign w:val="center"/>
          </w:tcPr>
          <w:p w14:paraId="65E6529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4.8%</w:t>
            </w:r>
          </w:p>
        </w:tc>
        <w:tc>
          <w:tcPr>
            <w:tcW w:w="1116" w:type="dxa"/>
            <w:tcBorders>
              <w:top w:val="nil"/>
              <w:bottom w:val="nil"/>
            </w:tcBorders>
            <w:shd w:val="clear" w:color="auto" w:fill="CBDDF2" w:themeFill="background2" w:themeFillTint="33"/>
            <w:vAlign w:val="center"/>
          </w:tcPr>
          <w:p w14:paraId="4FFC93C6"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3.4%</w:t>
            </w:r>
          </w:p>
        </w:tc>
        <w:tc>
          <w:tcPr>
            <w:tcW w:w="1116" w:type="dxa"/>
            <w:tcBorders>
              <w:top w:val="nil"/>
              <w:bottom w:val="nil"/>
            </w:tcBorders>
            <w:shd w:val="clear" w:color="auto" w:fill="CBDDF2" w:themeFill="background2" w:themeFillTint="33"/>
            <w:vAlign w:val="center"/>
          </w:tcPr>
          <w:p w14:paraId="27BDEFFE"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8.4%</w:t>
            </w:r>
          </w:p>
        </w:tc>
        <w:tc>
          <w:tcPr>
            <w:tcW w:w="1117" w:type="dxa"/>
            <w:tcBorders>
              <w:top w:val="nil"/>
              <w:bottom w:val="nil"/>
            </w:tcBorders>
            <w:shd w:val="clear" w:color="auto" w:fill="auto"/>
            <w:vAlign w:val="center"/>
          </w:tcPr>
          <w:p w14:paraId="3CACADAE"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29.2%</w:t>
            </w:r>
          </w:p>
        </w:tc>
      </w:tr>
      <w:tr w:rsidR="00CF51C5" w:rsidRPr="00030C67" w14:paraId="20EE5413" w14:textId="77777777">
        <w:tc>
          <w:tcPr>
            <w:tcW w:w="709" w:type="dxa"/>
            <w:vMerge/>
            <w:tcBorders>
              <w:bottom w:val="single" w:sz="4" w:space="0" w:color="B3B3B3"/>
            </w:tcBorders>
            <w:shd w:val="clear" w:color="auto" w:fill="auto"/>
          </w:tcPr>
          <w:p w14:paraId="6E0D3C2A" w14:textId="77777777" w:rsidR="00CF51C5" w:rsidRPr="00030C67" w:rsidRDefault="00CF51C5">
            <w:pPr>
              <w:pStyle w:val="TableHeading"/>
            </w:pPr>
          </w:p>
        </w:tc>
        <w:tc>
          <w:tcPr>
            <w:tcW w:w="1116" w:type="dxa"/>
            <w:tcBorders>
              <w:bottom w:val="single" w:sz="4" w:space="0" w:color="B3B3B3"/>
            </w:tcBorders>
            <w:shd w:val="clear" w:color="auto" w:fill="F2F2F2" w:themeFill="background1" w:themeFillShade="F2"/>
          </w:tcPr>
          <w:p w14:paraId="0CCA0B66" w14:textId="77777777" w:rsidR="00CF51C5" w:rsidRPr="006140B4" w:rsidRDefault="00CF51C5">
            <w:pPr>
              <w:pStyle w:val="TableBody"/>
              <w:spacing w:before="45" w:after="45"/>
              <w:ind w:right="108"/>
              <w:rPr>
                <w:rFonts w:ascii="Arial (Body)" w:hAnsi="Arial (Body)"/>
                <w:b/>
                <w:bCs/>
                <w:color w:val="265A9A" w:themeColor="background2"/>
              </w:rPr>
            </w:pPr>
            <w:r w:rsidRPr="006140B4">
              <w:rPr>
                <w:b/>
                <w:bCs/>
                <w:color w:val="265A9A" w:themeColor="background2"/>
              </w:rPr>
              <w:t>Total</w:t>
            </w:r>
          </w:p>
        </w:tc>
        <w:tc>
          <w:tcPr>
            <w:tcW w:w="1116" w:type="dxa"/>
            <w:tcBorders>
              <w:bottom w:val="single" w:sz="4" w:space="0" w:color="B3B3B3"/>
            </w:tcBorders>
            <w:shd w:val="clear" w:color="auto" w:fill="F2F2F2" w:themeFill="background1" w:themeFillShade="F2"/>
            <w:vAlign w:val="center"/>
          </w:tcPr>
          <w:p w14:paraId="3E241083" w14:textId="77777777" w:rsidR="00CF51C5" w:rsidRPr="00E65D05" w:rsidRDefault="00CF51C5" w:rsidP="00882158">
            <w:pPr>
              <w:pStyle w:val="TableBody"/>
              <w:spacing w:before="45" w:after="45"/>
              <w:ind w:right="108"/>
              <w:jc w:val="right"/>
              <w:rPr>
                <w:rFonts w:ascii="Arial (Body)" w:hAnsi="Arial (Body)"/>
                <w:color w:val="000000"/>
                <w:vertAlign w:val="superscript"/>
              </w:rPr>
            </w:pPr>
            <w:r w:rsidRPr="00E65D05">
              <w:rPr>
                <w:rFonts w:ascii="Arial (Body)" w:hAnsi="Arial (Body)"/>
                <w:color w:val="000000"/>
              </w:rPr>
              <w:t>9.7%</w:t>
            </w:r>
            <w:r w:rsidRPr="00E65D05">
              <w:rPr>
                <w:rFonts w:ascii="Arial (Body)" w:hAnsi="Arial (Body)"/>
                <w:color w:val="000000"/>
                <w:vertAlign w:val="superscript"/>
              </w:rPr>
              <w:t>e</w:t>
            </w:r>
          </w:p>
        </w:tc>
        <w:tc>
          <w:tcPr>
            <w:tcW w:w="1116" w:type="dxa"/>
            <w:tcBorders>
              <w:bottom w:val="single" w:sz="4" w:space="0" w:color="B3B3B3"/>
            </w:tcBorders>
            <w:shd w:val="clear" w:color="auto" w:fill="F2F2F2" w:themeFill="background1" w:themeFillShade="F2"/>
            <w:vAlign w:val="center"/>
          </w:tcPr>
          <w:p w14:paraId="089A3DDF"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21.5%</w:t>
            </w:r>
          </w:p>
        </w:tc>
        <w:tc>
          <w:tcPr>
            <w:tcW w:w="1117" w:type="dxa"/>
            <w:tcBorders>
              <w:bottom w:val="single" w:sz="4" w:space="0" w:color="B3B3B3"/>
            </w:tcBorders>
            <w:shd w:val="clear" w:color="auto" w:fill="F2F2F2" w:themeFill="background1" w:themeFillShade="F2"/>
            <w:vAlign w:val="center"/>
          </w:tcPr>
          <w:p w14:paraId="2044440B"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24.4%</w:t>
            </w:r>
          </w:p>
        </w:tc>
        <w:tc>
          <w:tcPr>
            <w:tcW w:w="1116" w:type="dxa"/>
            <w:tcBorders>
              <w:bottom w:val="single" w:sz="4" w:space="0" w:color="B3B3B3"/>
            </w:tcBorders>
            <w:shd w:val="clear" w:color="auto" w:fill="F2F2F2" w:themeFill="background1" w:themeFillShade="F2"/>
            <w:vAlign w:val="center"/>
          </w:tcPr>
          <w:p w14:paraId="75F31E07"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17.2%</w:t>
            </w:r>
          </w:p>
        </w:tc>
        <w:tc>
          <w:tcPr>
            <w:tcW w:w="1116" w:type="dxa"/>
            <w:tcBorders>
              <w:bottom w:val="single" w:sz="4" w:space="0" w:color="B3B3B3"/>
            </w:tcBorders>
            <w:shd w:val="clear" w:color="auto" w:fill="F2F2F2" w:themeFill="background1" w:themeFillShade="F2"/>
            <w:vAlign w:val="center"/>
          </w:tcPr>
          <w:p w14:paraId="0AD3F00D" w14:textId="77777777" w:rsidR="00CF51C5" w:rsidRPr="00E65D05" w:rsidRDefault="00CF51C5" w:rsidP="00882158">
            <w:pPr>
              <w:pStyle w:val="TableBody"/>
              <w:spacing w:before="45" w:after="45"/>
              <w:ind w:right="108"/>
              <w:jc w:val="right"/>
              <w:rPr>
                <w:rFonts w:ascii="Arial (Body)" w:hAnsi="Arial (Body)"/>
                <w:color w:val="000000"/>
              </w:rPr>
            </w:pPr>
            <w:r w:rsidRPr="00E65D05">
              <w:rPr>
                <w:rFonts w:ascii="Arial (Body)" w:hAnsi="Arial (Body)"/>
                <w:color w:val="000000"/>
              </w:rPr>
              <w:t>10.6%</w:t>
            </w:r>
          </w:p>
        </w:tc>
        <w:tc>
          <w:tcPr>
            <w:tcW w:w="1116" w:type="dxa"/>
            <w:tcBorders>
              <w:bottom w:val="single" w:sz="4" w:space="0" w:color="B3B3B3"/>
            </w:tcBorders>
            <w:shd w:val="clear" w:color="auto" w:fill="F2F2F2" w:themeFill="background1" w:themeFillShade="F2"/>
            <w:vAlign w:val="center"/>
          </w:tcPr>
          <w:p w14:paraId="7FACDFC9" w14:textId="77777777" w:rsidR="00CF51C5" w:rsidRPr="00E65D05" w:rsidRDefault="00CF51C5" w:rsidP="00882158">
            <w:pPr>
              <w:pStyle w:val="TableBody"/>
              <w:spacing w:before="45" w:after="45"/>
              <w:ind w:right="108"/>
              <w:jc w:val="right"/>
              <w:rPr>
                <w:rFonts w:ascii="Arial (Body)" w:hAnsi="Arial (Body)"/>
                <w:color w:val="000000"/>
                <w:highlight w:val="yellow"/>
              </w:rPr>
            </w:pPr>
            <w:r w:rsidRPr="00E65D05">
              <w:rPr>
                <w:rFonts w:ascii="Arial (Body)" w:hAnsi="Arial (Body)"/>
                <w:color w:val="000000"/>
              </w:rPr>
              <w:t>16.5%</w:t>
            </w:r>
          </w:p>
        </w:tc>
        <w:tc>
          <w:tcPr>
            <w:tcW w:w="1117" w:type="dxa"/>
            <w:tcBorders>
              <w:bottom w:val="single" w:sz="4" w:space="0" w:color="B3B3B3"/>
            </w:tcBorders>
            <w:shd w:val="clear" w:color="auto" w:fill="F2F2F2" w:themeFill="background1" w:themeFillShade="F2"/>
            <w:vAlign w:val="center"/>
          </w:tcPr>
          <w:p w14:paraId="261223A6" w14:textId="77777777" w:rsidR="00CF51C5" w:rsidRPr="00E65D05" w:rsidRDefault="00CF51C5" w:rsidP="00882158">
            <w:pPr>
              <w:pStyle w:val="TableBody"/>
              <w:spacing w:before="45" w:after="45"/>
              <w:ind w:right="108"/>
              <w:jc w:val="right"/>
              <w:rPr>
                <w:rFonts w:ascii="Arial (Body)" w:hAnsi="Arial (Body)"/>
                <w:color w:val="000000"/>
                <w:highlight w:val="yellow"/>
              </w:rPr>
            </w:pPr>
            <w:r w:rsidRPr="00E65D05">
              <w:rPr>
                <w:rFonts w:ascii="Arial (Body)" w:hAnsi="Arial (Body)"/>
                <w:color w:val="000000"/>
              </w:rPr>
              <w:t>100%</w:t>
            </w:r>
          </w:p>
        </w:tc>
      </w:tr>
    </w:tbl>
    <w:p w14:paraId="721C1C4A" w14:textId="77777777" w:rsidR="00CF51C5" w:rsidRDefault="00CF51C5" w:rsidP="00882158">
      <w:pPr>
        <w:pStyle w:val="Note"/>
      </w:pPr>
      <w:r w:rsidRPr="00C36914">
        <w:rPr>
          <w:b/>
          <w:bCs/>
        </w:rPr>
        <w:t>a.</w:t>
      </w:r>
      <w:r w:rsidRPr="00C36914">
        <w:t xml:space="preserve"> </w:t>
      </w:r>
      <w:r>
        <w:t xml:space="preserve">The shaded blue cells represent families with incomes that are approximately represented in the scenarios considered above. </w:t>
      </w:r>
      <w:r>
        <w:rPr>
          <w:b/>
          <w:bCs/>
        </w:rPr>
        <w:t>b. </w:t>
      </w:r>
      <w:r>
        <w:t xml:space="preserve">As per table F.3 notes a and b. </w:t>
      </w:r>
      <w:r>
        <w:rPr>
          <w:b/>
          <w:bCs/>
        </w:rPr>
        <w:t xml:space="preserve">c. </w:t>
      </w:r>
      <w:r>
        <w:t xml:space="preserve">For coupled earner families, the primary earner is the individual who reports working the highest number of hours per week. This means that when reported incomes are adjusted to become FTE incomes, secondary earners who have a higher hourly wage than the primary earner will also have a higher FTE income. </w:t>
      </w:r>
      <w:r>
        <w:rPr>
          <w:b/>
          <w:bCs/>
        </w:rPr>
        <w:t xml:space="preserve">d. </w:t>
      </w:r>
      <w:r>
        <w:t xml:space="preserve">Values in the first row (dark grey) are suppressed due to the small number of observations in the corresponding cells. </w:t>
      </w:r>
      <w:r>
        <w:rPr>
          <w:b/>
          <w:bCs/>
        </w:rPr>
        <w:t xml:space="preserve">e. </w:t>
      </w:r>
      <w:r>
        <w:t>Includes 3.9% from first row</w:t>
      </w:r>
      <w:r w:rsidRPr="00C36914">
        <w:t>.</w:t>
      </w:r>
      <w:r>
        <w:t xml:space="preserve"> </w:t>
      </w:r>
      <w:r>
        <w:rPr>
          <w:b/>
          <w:bCs/>
        </w:rPr>
        <w:t>f. </w:t>
      </w:r>
      <w:r>
        <w:t>Due to rounding, totals may not equal the sum of rows and columns.</w:t>
      </w:r>
    </w:p>
    <w:p w14:paraId="3B763659" w14:textId="77777777" w:rsidR="00CF51C5" w:rsidRDefault="00CF51C5" w:rsidP="00882158">
      <w:pPr>
        <w:pStyle w:val="Source"/>
      </w:pPr>
      <w:r w:rsidRPr="00696447">
        <w:t xml:space="preserve">Source: </w:t>
      </w:r>
      <w:r w:rsidRPr="00156763">
        <w:t xml:space="preserve">Productivity Commission estimates using ABS </w:t>
      </w:r>
      <w:r>
        <w:t>2019</w:t>
      </w:r>
      <w:r>
        <w:noBreakHyphen/>
        <w:t xml:space="preserve">20 </w:t>
      </w:r>
      <w:r w:rsidRPr="00156763">
        <w:t>S</w:t>
      </w:r>
      <w:r>
        <w:t>IH</w:t>
      </w:r>
      <w:r w:rsidRPr="00696447">
        <w:t>.</w:t>
      </w:r>
    </w:p>
    <w:p w14:paraId="410FCABA" w14:textId="77777777" w:rsidR="00CF51C5" w:rsidRPr="007A669D" w:rsidRDefault="00CF51C5">
      <w:pPr>
        <w:spacing w:before="0" w:after="160" w:line="259" w:lineRule="auto"/>
      </w:pPr>
      <w:r>
        <w:br w:type="page"/>
      </w:r>
    </w:p>
    <w:p w14:paraId="15E1059C" w14:textId="77777777" w:rsidR="00CF51C5" w:rsidRDefault="00CF51C5" w:rsidP="00882158">
      <w:pPr>
        <w:pStyle w:val="Heading2-nonumber"/>
        <w:ind w:left="851" w:hanging="851"/>
      </w:pPr>
      <w:bookmarkStart w:id="41" w:name="_Toc172213593"/>
      <w:r>
        <w:lastRenderedPageBreak/>
        <w:t>F.4</w:t>
      </w:r>
      <w:r>
        <w:tab/>
        <w:t>Families’ actual incomes also vary</w:t>
      </w:r>
      <w:bookmarkEnd w:id="41"/>
    </w:p>
    <w:p w14:paraId="74A0E273" w14:textId="77777777" w:rsidR="00CF51C5" w:rsidRPr="00142B0C" w:rsidRDefault="00CF51C5" w:rsidP="00142B0C">
      <w:pPr>
        <w:pStyle w:val="BodyText"/>
      </w:pPr>
      <w:r w:rsidRPr="00522843">
        <w:t xml:space="preserve">In the analysis of family incomes that follows, </w:t>
      </w:r>
      <w:r>
        <w:t>an estimate</w:t>
      </w:r>
      <w:r>
        <w:rPr>
          <w:rStyle w:val="FootnoteReference"/>
        </w:rPr>
        <w:footnoteReference w:id="35"/>
      </w:r>
      <w:r>
        <w:t xml:space="preserve"> of </w:t>
      </w:r>
      <w:r w:rsidRPr="007A669D">
        <w:rPr>
          <w:b/>
        </w:rPr>
        <w:t>households’ actual adjusted taxable income</w:t>
      </w:r>
      <w:r w:rsidRPr="00522843">
        <w:t xml:space="preserve"> ha</w:t>
      </w:r>
      <w:r>
        <w:t>s</w:t>
      </w:r>
      <w:r w:rsidRPr="00522843">
        <w:t xml:space="preserve"> been used.</w:t>
      </w:r>
      <w:r>
        <w:t xml:space="preserve"> Adjusted taxable income differs in two ways to the measure of income considered in section F.3. First, only employee income is used in section F.3 – WDRs are based on a person’s earned income and the purpose of section F.3 is to link the distribution of family incomes to the WDRs that have been calculated. Adjusted taxable income, however, includes other sources of income, such as income from select government payments and investment income. Second, as WDRs are based on FTE incomes, families’ FTE incomes are estimated in section F.3. In contrast, section F.4 estimates each family’s actual adjusted taxable income, as this is what their CCS rate is based on.</w:t>
      </w:r>
      <w:r>
        <w:rPr>
          <w:rStyle w:val="FootnoteReference"/>
        </w:rPr>
        <w:footnoteReference w:id="36"/>
      </w:r>
    </w:p>
    <w:p w14:paraId="5B1C3922" w14:textId="77777777" w:rsidR="00CF51C5" w:rsidRDefault="00CF51C5" w:rsidP="00882158">
      <w:pPr>
        <w:pStyle w:val="BodyText"/>
      </w:pPr>
      <w:r>
        <w:t>Under the Commission’s recommended CCS and HCCS settings (option one in paper 6), about one third of families with children aged 12 and under would be eligible to receive a 100% CCS rate and half of families would be eligible to receive a CCS rate of at least 90% (table F.5). Disaggregating by family type, almost all sole earner families would be eligible to receive a subsidy rate of at least 80% under the Commission’s recommended CCS and HCCS settings (option one) (table F.5).</w:t>
      </w:r>
    </w:p>
    <w:p w14:paraId="64C8A1CB" w14:textId="77777777" w:rsidR="00CF51C5" w:rsidRDefault="00CF51C5">
      <w:pPr>
        <w:pStyle w:val="FigureTableHeading"/>
      </w:pPr>
      <w:r>
        <w:t xml:space="preserve">Table </w:t>
      </w:r>
      <w:r>
        <w:rPr>
          <w:noProof/>
        </w:rPr>
        <w:t>F</w:t>
      </w:r>
      <w:r>
        <w:t>.</w:t>
      </w:r>
      <w:r>
        <w:rPr>
          <w:noProof/>
        </w:rPr>
        <w:t>5 – Under the recommended CCS settings, nearly all families would receive a higher subsidy rate</w:t>
      </w:r>
      <w:r w:rsidRPr="00EC0C27">
        <w:rPr>
          <w:vertAlign w:val="superscript"/>
        </w:rPr>
        <w:t>a,b</w:t>
      </w:r>
    </w:p>
    <w:p w14:paraId="7FF3DDC8" w14:textId="77777777" w:rsidR="00CF51C5" w:rsidRDefault="00CF51C5">
      <w:pPr>
        <w:pStyle w:val="FigureTableSubheading"/>
      </w:pPr>
      <w:r>
        <w:t>CCS rates at selected adjusted taxable income levels and proportion of families with children aged 12 and under eligible for these rates, 2023</w:t>
      </w:r>
      <w:r>
        <w:noBreakHyphen/>
        <w:t>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1559"/>
        <w:gridCol w:w="1559"/>
        <w:gridCol w:w="1559"/>
        <w:gridCol w:w="1559"/>
        <w:gridCol w:w="1560"/>
      </w:tblGrid>
      <w:tr w:rsidR="00CF51C5" w:rsidRPr="00030C67" w14:paraId="1A9BE3B5" w14:textId="77777777" w:rsidTr="00882158">
        <w:trPr>
          <w:tblHeader/>
        </w:trPr>
        <w:tc>
          <w:tcPr>
            <w:tcW w:w="1843" w:type="dxa"/>
            <w:tcBorders>
              <w:bottom w:val="single" w:sz="4" w:space="0" w:color="B3B3B3"/>
            </w:tcBorders>
            <w:shd w:val="clear" w:color="000000" w:fill="auto"/>
            <w:vAlign w:val="bottom"/>
          </w:tcPr>
          <w:p w14:paraId="49903738" w14:textId="77777777" w:rsidR="00CF51C5" w:rsidRPr="009245D4" w:rsidRDefault="00CF51C5">
            <w:pPr>
              <w:spacing w:before="45" w:after="45"/>
              <w:ind w:right="108"/>
              <w:rPr>
                <w:rFonts w:ascii="Arial (Body)" w:hAnsi="Arial (Body)"/>
                <w:b/>
                <w:bCs/>
                <w:color w:val="265A9A"/>
              </w:rPr>
            </w:pPr>
            <w:r>
              <w:rPr>
                <w:rFonts w:ascii="Arial (Body)" w:hAnsi="Arial (Body)"/>
                <w:b/>
                <w:bCs/>
                <w:color w:val="265A9A"/>
                <w:sz w:val="18"/>
                <w:szCs w:val="18"/>
              </w:rPr>
              <w:t>Household</w:t>
            </w:r>
            <w:r w:rsidRPr="009245D4">
              <w:rPr>
                <w:rFonts w:ascii="Arial (Body)" w:hAnsi="Arial (Body)"/>
                <w:b/>
                <w:bCs/>
                <w:color w:val="265A9A"/>
                <w:sz w:val="18"/>
                <w:szCs w:val="18"/>
              </w:rPr>
              <w:t xml:space="preserve"> </w:t>
            </w:r>
            <w:r>
              <w:rPr>
                <w:rFonts w:ascii="Arial (Body)" w:hAnsi="Arial (Body)"/>
                <w:b/>
                <w:bCs/>
                <w:color w:val="265A9A"/>
                <w:sz w:val="18"/>
                <w:szCs w:val="18"/>
              </w:rPr>
              <w:t>adjusted taxable income</w:t>
            </w:r>
          </w:p>
        </w:tc>
        <w:tc>
          <w:tcPr>
            <w:tcW w:w="1559" w:type="dxa"/>
            <w:tcBorders>
              <w:bottom w:val="single" w:sz="4" w:space="0" w:color="B3B3B3"/>
            </w:tcBorders>
            <w:shd w:val="clear" w:color="000000" w:fill="auto"/>
            <w:vAlign w:val="bottom"/>
          </w:tcPr>
          <w:p w14:paraId="3CA33909" w14:textId="77777777" w:rsidR="00CF51C5" w:rsidRPr="00030C67" w:rsidRDefault="00CF51C5" w:rsidP="009B69C3">
            <w:pPr>
              <w:pStyle w:val="TableHeading"/>
              <w:ind w:right="108"/>
              <w:jc w:val="right"/>
            </w:pPr>
            <w:r>
              <w:t>CCS rate (current)</w:t>
            </w:r>
          </w:p>
        </w:tc>
        <w:tc>
          <w:tcPr>
            <w:tcW w:w="1559" w:type="dxa"/>
            <w:tcBorders>
              <w:bottom w:val="single" w:sz="4" w:space="0" w:color="B3B3B3"/>
            </w:tcBorders>
            <w:shd w:val="clear" w:color="000000" w:fill="auto"/>
            <w:vAlign w:val="bottom"/>
          </w:tcPr>
          <w:p w14:paraId="5CCFD201" w14:textId="77777777" w:rsidR="00CF51C5" w:rsidRPr="00030C67" w:rsidRDefault="00CF51C5" w:rsidP="009B69C3">
            <w:pPr>
              <w:pStyle w:val="TableHeading"/>
              <w:ind w:right="108"/>
              <w:jc w:val="right"/>
            </w:pPr>
            <w:r>
              <w:t xml:space="preserve">CCS rate </w:t>
            </w:r>
            <w:r>
              <w:br/>
              <w:t>(option one)</w:t>
            </w:r>
          </w:p>
        </w:tc>
        <w:tc>
          <w:tcPr>
            <w:tcW w:w="1559" w:type="dxa"/>
            <w:tcBorders>
              <w:bottom w:val="single" w:sz="4" w:space="0" w:color="B3B3B3"/>
            </w:tcBorders>
            <w:shd w:val="clear" w:color="000000" w:fill="auto"/>
            <w:vAlign w:val="bottom"/>
          </w:tcPr>
          <w:p w14:paraId="2BB851FF" w14:textId="77777777" w:rsidR="00CF51C5" w:rsidRDefault="00CF51C5" w:rsidP="009B69C3">
            <w:pPr>
              <w:pStyle w:val="TableHeading"/>
              <w:ind w:right="108"/>
              <w:jc w:val="right"/>
            </w:pPr>
            <w:r>
              <w:t>% of families (sole)</w:t>
            </w:r>
          </w:p>
        </w:tc>
        <w:tc>
          <w:tcPr>
            <w:tcW w:w="1559" w:type="dxa"/>
            <w:tcBorders>
              <w:bottom w:val="single" w:sz="4" w:space="0" w:color="B3B3B3"/>
            </w:tcBorders>
            <w:shd w:val="clear" w:color="000000" w:fill="auto"/>
            <w:vAlign w:val="bottom"/>
          </w:tcPr>
          <w:p w14:paraId="592E711D" w14:textId="77777777" w:rsidR="00CF51C5" w:rsidRDefault="00CF51C5" w:rsidP="009B69C3">
            <w:pPr>
              <w:pStyle w:val="TableHeading"/>
              <w:ind w:right="108"/>
              <w:jc w:val="right"/>
            </w:pPr>
            <w:r>
              <w:t>% of families (coupled)</w:t>
            </w:r>
          </w:p>
        </w:tc>
        <w:tc>
          <w:tcPr>
            <w:tcW w:w="1560" w:type="dxa"/>
            <w:tcBorders>
              <w:bottom w:val="single" w:sz="4" w:space="0" w:color="B3B3B3"/>
            </w:tcBorders>
            <w:shd w:val="clear" w:color="000000" w:fill="auto"/>
            <w:vAlign w:val="bottom"/>
          </w:tcPr>
          <w:p w14:paraId="65B63854" w14:textId="77777777" w:rsidR="00CF51C5" w:rsidRPr="00030C67" w:rsidRDefault="00CF51C5" w:rsidP="009B69C3">
            <w:pPr>
              <w:pStyle w:val="TableHeading"/>
              <w:ind w:right="108"/>
              <w:jc w:val="right"/>
            </w:pPr>
            <w:r>
              <w:t>% of families</w:t>
            </w:r>
          </w:p>
        </w:tc>
      </w:tr>
      <w:tr w:rsidR="00CF51C5" w:rsidRPr="00030C67" w14:paraId="61653ECD" w14:textId="77777777" w:rsidTr="00882158">
        <w:tc>
          <w:tcPr>
            <w:tcW w:w="1843" w:type="dxa"/>
            <w:tcBorders>
              <w:top w:val="single" w:sz="4" w:space="0" w:color="B3B3B3"/>
              <w:bottom w:val="nil"/>
            </w:tcBorders>
            <w:shd w:val="clear" w:color="000000" w:fill="F2F2F2"/>
          </w:tcPr>
          <w:p w14:paraId="697B4D86" w14:textId="06FD4811" w:rsidR="00CF51C5" w:rsidRPr="00030C67" w:rsidRDefault="00CF51C5" w:rsidP="00882158">
            <w:pPr>
              <w:pStyle w:val="TableHeading"/>
            </w:pPr>
            <w:r>
              <w:t>≤ $80</w:t>
            </w:r>
            <w:r w:rsidR="009D42EB">
              <w:t>,000</w:t>
            </w:r>
          </w:p>
        </w:tc>
        <w:tc>
          <w:tcPr>
            <w:tcW w:w="1559" w:type="dxa"/>
            <w:tcBorders>
              <w:top w:val="single" w:sz="4" w:space="0" w:color="B3B3B3"/>
              <w:bottom w:val="nil"/>
            </w:tcBorders>
            <w:shd w:val="clear" w:color="000000" w:fill="F2F2F2"/>
          </w:tcPr>
          <w:p w14:paraId="3A5A056A" w14:textId="77777777" w:rsidR="00CF51C5" w:rsidRPr="00030C67" w:rsidRDefault="00CF51C5" w:rsidP="009B69C3">
            <w:pPr>
              <w:pStyle w:val="TableBody"/>
              <w:spacing w:before="45" w:after="45"/>
              <w:ind w:right="108"/>
              <w:jc w:val="right"/>
              <w:rPr>
                <w:rFonts w:ascii="Arial (Body)" w:hAnsi="Arial (Body)"/>
                <w:color w:val="000000"/>
              </w:rPr>
            </w:pPr>
            <w:r>
              <w:rPr>
                <w:rFonts w:ascii="Arial (Body)" w:hAnsi="Arial (Body)"/>
                <w:color w:val="000000"/>
              </w:rPr>
              <w:t>90%</w:t>
            </w:r>
          </w:p>
        </w:tc>
        <w:tc>
          <w:tcPr>
            <w:tcW w:w="1559" w:type="dxa"/>
            <w:tcBorders>
              <w:top w:val="single" w:sz="4" w:space="0" w:color="B3B3B3"/>
              <w:bottom w:val="nil"/>
            </w:tcBorders>
            <w:shd w:val="clear" w:color="000000" w:fill="F2F2F2"/>
            <w:vAlign w:val="bottom"/>
          </w:tcPr>
          <w:p w14:paraId="2A8E9764"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100%</w:t>
            </w:r>
          </w:p>
        </w:tc>
        <w:tc>
          <w:tcPr>
            <w:tcW w:w="1559" w:type="dxa"/>
            <w:tcBorders>
              <w:top w:val="single" w:sz="4" w:space="0" w:color="B3B3B3"/>
              <w:bottom w:val="nil"/>
            </w:tcBorders>
            <w:shd w:val="clear" w:color="000000" w:fill="F2F2F2"/>
          </w:tcPr>
          <w:p w14:paraId="3B528FAD" w14:textId="77777777" w:rsidR="00CF51C5" w:rsidRDefault="00CF51C5" w:rsidP="009B69C3">
            <w:pPr>
              <w:pStyle w:val="TableBody"/>
              <w:spacing w:before="45" w:after="45"/>
              <w:ind w:right="108"/>
              <w:jc w:val="right"/>
              <w:rPr>
                <w:rFonts w:ascii="Arial (Body)" w:hAnsi="Arial (Body)"/>
                <w:color w:val="000000"/>
              </w:rPr>
            </w:pPr>
            <w:r w:rsidRPr="00EE55AF">
              <w:t>78</w:t>
            </w:r>
            <w:r w:rsidRPr="007A669D">
              <w:t>%</w:t>
            </w:r>
          </w:p>
        </w:tc>
        <w:tc>
          <w:tcPr>
            <w:tcW w:w="1559" w:type="dxa"/>
            <w:tcBorders>
              <w:top w:val="single" w:sz="4" w:space="0" w:color="B3B3B3"/>
              <w:bottom w:val="nil"/>
            </w:tcBorders>
            <w:shd w:val="clear" w:color="000000" w:fill="F2F2F2"/>
          </w:tcPr>
          <w:p w14:paraId="695EAA19"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19</w:t>
            </w:r>
            <w:r>
              <w:t>%</w:t>
            </w:r>
          </w:p>
        </w:tc>
        <w:tc>
          <w:tcPr>
            <w:tcW w:w="1560" w:type="dxa"/>
            <w:tcBorders>
              <w:top w:val="single" w:sz="4" w:space="0" w:color="B3B3B3"/>
              <w:bottom w:val="nil"/>
            </w:tcBorders>
            <w:shd w:val="clear" w:color="000000" w:fill="F2F2F2"/>
          </w:tcPr>
          <w:p w14:paraId="6FB08182" w14:textId="77777777" w:rsidR="00CF51C5" w:rsidRPr="00030C67" w:rsidRDefault="00CF51C5" w:rsidP="009B69C3">
            <w:pPr>
              <w:pStyle w:val="TableBody"/>
              <w:spacing w:before="45" w:after="45"/>
              <w:ind w:right="108"/>
              <w:jc w:val="right"/>
              <w:rPr>
                <w:rFonts w:ascii="Arial (Body)" w:hAnsi="Arial (Body)"/>
                <w:color w:val="000000"/>
              </w:rPr>
            </w:pPr>
            <w:r w:rsidRPr="002C0736">
              <w:t>30</w:t>
            </w:r>
            <w:r>
              <w:t>%</w:t>
            </w:r>
          </w:p>
        </w:tc>
      </w:tr>
      <w:tr w:rsidR="00CF51C5" w:rsidRPr="00030C67" w14:paraId="1840D6FB" w14:textId="77777777" w:rsidTr="00882158">
        <w:tc>
          <w:tcPr>
            <w:tcW w:w="1843" w:type="dxa"/>
            <w:tcBorders>
              <w:top w:val="nil"/>
              <w:bottom w:val="nil"/>
            </w:tcBorders>
            <w:shd w:val="clear" w:color="000000" w:fill="auto"/>
          </w:tcPr>
          <w:p w14:paraId="042731F1" w14:textId="3FD3E4D9" w:rsidR="00CF51C5" w:rsidRPr="00030C67" w:rsidRDefault="00CF51C5" w:rsidP="00882158">
            <w:pPr>
              <w:pStyle w:val="TableHeading"/>
            </w:pPr>
            <w:r>
              <w:t>≤ $105</w:t>
            </w:r>
            <w:r w:rsidR="009D42EB">
              <w:t>,000</w:t>
            </w:r>
          </w:p>
        </w:tc>
        <w:tc>
          <w:tcPr>
            <w:tcW w:w="1559" w:type="dxa"/>
            <w:tcBorders>
              <w:top w:val="nil"/>
              <w:bottom w:val="nil"/>
            </w:tcBorders>
            <w:shd w:val="clear" w:color="000000" w:fill="auto"/>
          </w:tcPr>
          <w:p w14:paraId="6EB39A81" w14:textId="77777777" w:rsidR="00CF51C5" w:rsidRPr="00030C67" w:rsidRDefault="00CF51C5" w:rsidP="009B69C3">
            <w:pPr>
              <w:pStyle w:val="TableBody"/>
              <w:spacing w:before="45" w:after="45"/>
              <w:ind w:right="108"/>
              <w:jc w:val="right"/>
              <w:rPr>
                <w:rFonts w:ascii="Arial (Body)" w:hAnsi="Arial (Body)"/>
                <w:color w:val="000000"/>
              </w:rPr>
            </w:pPr>
            <w:r>
              <w:rPr>
                <w:rFonts w:ascii="Arial (Body)" w:hAnsi="Arial (Body)"/>
                <w:color w:val="000000"/>
              </w:rPr>
              <w:t>85%</w:t>
            </w:r>
          </w:p>
        </w:tc>
        <w:tc>
          <w:tcPr>
            <w:tcW w:w="1559" w:type="dxa"/>
            <w:tcBorders>
              <w:top w:val="nil"/>
              <w:bottom w:val="nil"/>
            </w:tcBorders>
            <w:shd w:val="clear" w:color="000000" w:fill="auto"/>
            <w:vAlign w:val="bottom"/>
          </w:tcPr>
          <w:p w14:paraId="7B3B2A4A"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95%</w:t>
            </w:r>
          </w:p>
        </w:tc>
        <w:tc>
          <w:tcPr>
            <w:tcW w:w="1559" w:type="dxa"/>
            <w:tcBorders>
              <w:top w:val="nil"/>
              <w:bottom w:val="nil"/>
            </w:tcBorders>
            <w:shd w:val="clear" w:color="000000" w:fill="auto"/>
          </w:tcPr>
          <w:p w14:paraId="27D25A96" w14:textId="77777777" w:rsidR="00CF51C5" w:rsidRDefault="00CF51C5" w:rsidP="009B69C3">
            <w:pPr>
              <w:pStyle w:val="TableBody"/>
              <w:spacing w:before="45" w:after="45"/>
              <w:ind w:right="108"/>
              <w:jc w:val="right"/>
              <w:rPr>
                <w:rFonts w:ascii="Arial (Body)" w:hAnsi="Arial (Body)"/>
                <w:color w:val="000000"/>
              </w:rPr>
            </w:pPr>
            <w:r w:rsidRPr="00EE55AF">
              <w:t>86</w:t>
            </w:r>
            <w:r w:rsidRPr="007A669D">
              <w:t>%</w:t>
            </w:r>
          </w:p>
        </w:tc>
        <w:tc>
          <w:tcPr>
            <w:tcW w:w="1559" w:type="dxa"/>
            <w:tcBorders>
              <w:top w:val="nil"/>
              <w:bottom w:val="nil"/>
            </w:tcBorders>
            <w:shd w:val="clear" w:color="000000" w:fill="auto"/>
          </w:tcPr>
          <w:p w14:paraId="4BE9F027"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29</w:t>
            </w:r>
            <w:r>
              <w:t>%</w:t>
            </w:r>
          </w:p>
        </w:tc>
        <w:tc>
          <w:tcPr>
            <w:tcW w:w="1560" w:type="dxa"/>
            <w:tcBorders>
              <w:top w:val="nil"/>
              <w:bottom w:val="nil"/>
            </w:tcBorders>
            <w:shd w:val="clear" w:color="000000" w:fill="auto"/>
          </w:tcPr>
          <w:p w14:paraId="68AEE2D4" w14:textId="77777777" w:rsidR="00CF51C5" w:rsidRPr="00030C67" w:rsidRDefault="00CF51C5" w:rsidP="009B69C3">
            <w:pPr>
              <w:pStyle w:val="TableBody"/>
              <w:spacing w:before="45" w:after="45"/>
              <w:ind w:right="108"/>
              <w:jc w:val="right"/>
              <w:rPr>
                <w:rFonts w:ascii="Arial (Body)" w:hAnsi="Arial (Body)"/>
                <w:color w:val="000000"/>
              </w:rPr>
            </w:pPr>
            <w:r w:rsidRPr="002C0736">
              <w:t>40</w:t>
            </w:r>
            <w:r>
              <w:t>%</w:t>
            </w:r>
          </w:p>
        </w:tc>
      </w:tr>
      <w:tr w:rsidR="00CF51C5" w:rsidRPr="00030C67" w14:paraId="2F687776" w14:textId="77777777" w:rsidTr="00882158">
        <w:tc>
          <w:tcPr>
            <w:tcW w:w="1843" w:type="dxa"/>
            <w:tcBorders>
              <w:top w:val="nil"/>
              <w:bottom w:val="nil"/>
            </w:tcBorders>
            <w:shd w:val="clear" w:color="auto" w:fill="F2F2F2" w:themeFill="background1" w:themeFillShade="F2"/>
          </w:tcPr>
          <w:p w14:paraId="0A84073F" w14:textId="7A926899" w:rsidR="00CF51C5" w:rsidRPr="00030C67" w:rsidRDefault="00CF51C5" w:rsidP="00882158">
            <w:pPr>
              <w:pStyle w:val="TableHeading"/>
            </w:pPr>
            <w:r>
              <w:t>≤ $130</w:t>
            </w:r>
            <w:r w:rsidR="009D42EB">
              <w:t>,000</w:t>
            </w:r>
          </w:p>
        </w:tc>
        <w:tc>
          <w:tcPr>
            <w:tcW w:w="1559" w:type="dxa"/>
            <w:tcBorders>
              <w:top w:val="nil"/>
              <w:bottom w:val="nil"/>
            </w:tcBorders>
            <w:shd w:val="clear" w:color="auto" w:fill="F2F2F2" w:themeFill="background1" w:themeFillShade="F2"/>
          </w:tcPr>
          <w:p w14:paraId="0616A7E0"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80%</w:t>
            </w:r>
          </w:p>
        </w:tc>
        <w:tc>
          <w:tcPr>
            <w:tcW w:w="1559" w:type="dxa"/>
            <w:tcBorders>
              <w:top w:val="nil"/>
              <w:bottom w:val="nil"/>
            </w:tcBorders>
            <w:shd w:val="clear" w:color="auto" w:fill="F2F2F2" w:themeFill="background1" w:themeFillShade="F2"/>
          </w:tcPr>
          <w:p w14:paraId="2E32E164"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90%</w:t>
            </w:r>
          </w:p>
        </w:tc>
        <w:tc>
          <w:tcPr>
            <w:tcW w:w="1559" w:type="dxa"/>
            <w:tcBorders>
              <w:top w:val="nil"/>
              <w:bottom w:val="nil"/>
            </w:tcBorders>
            <w:shd w:val="clear" w:color="auto" w:fill="F2F2F2" w:themeFill="background1" w:themeFillShade="F2"/>
          </w:tcPr>
          <w:p w14:paraId="70FD88D3" w14:textId="77777777" w:rsidR="00CF51C5" w:rsidRDefault="00CF51C5" w:rsidP="009B69C3">
            <w:pPr>
              <w:pStyle w:val="TableBody"/>
              <w:spacing w:before="45" w:after="45"/>
              <w:ind w:right="108"/>
              <w:jc w:val="right"/>
              <w:rPr>
                <w:rFonts w:ascii="Arial (Body)" w:hAnsi="Arial (Body)"/>
                <w:color w:val="000000"/>
              </w:rPr>
            </w:pPr>
            <w:r w:rsidRPr="00EE55AF">
              <w:t>93</w:t>
            </w:r>
            <w:r w:rsidRPr="007A669D">
              <w:t>%</w:t>
            </w:r>
          </w:p>
        </w:tc>
        <w:tc>
          <w:tcPr>
            <w:tcW w:w="1559" w:type="dxa"/>
            <w:tcBorders>
              <w:top w:val="nil"/>
              <w:bottom w:val="nil"/>
            </w:tcBorders>
            <w:shd w:val="clear" w:color="auto" w:fill="F2F2F2" w:themeFill="background1" w:themeFillShade="F2"/>
          </w:tcPr>
          <w:p w14:paraId="4976FC24"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41</w:t>
            </w:r>
            <w:r>
              <w:t>%</w:t>
            </w:r>
          </w:p>
        </w:tc>
        <w:tc>
          <w:tcPr>
            <w:tcW w:w="1560" w:type="dxa"/>
            <w:tcBorders>
              <w:top w:val="nil"/>
              <w:bottom w:val="nil"/>
            </w:tcBorders>
            <w:shd w:val="clear" w:color="auto" w:fill="F2F2F2" w:themeFill="background1" w:themeFillShade="F2"/>
          </w:tcPr>
          <w:p w14:paraId="74B3C3B9" w14:textId="77777777" w:rsidR="00CF51C5" w:rsidRDefault="00CF51C5" w:rsidP="009B69C3">
            <w:pPr>
              <w:pStyle w:val="TableBody"/>
              <w:spacing w:before="45" w:after="45"/>
              <w:ind w:right="108"/>
              <w:jc w:val="right"/>
              <w:rPr>
                <w:rFonts w:ascii="Arial (Body)" w:hAnsi="Arial (Body)"/>
                <w:color w:val="000000"/>
              </w:rPr>
            </w:pPr>
            <w:r w:rsidRPr="002C0736">
              <w:t>50</w:t>
            </w:r>
            <w:r>
              <w:t>%</w:t>
            </w:r>
          </w:p>
        </w:tc>
      </w:tr>
      <w:tr w:rsidR="00CF51C5" w:rsidRPr="00030C67" w14:paraId="5A59FDEF" w14:textId="77777777" w:rsidTr="00882158">
        <w:tc>
          <w:tcPr>
            <w:tcW w:w="1843" w:type="dxa"/>
            <w:tcBorders>
              <w:top w:val="nil"/>
              <w:bottom w:val="nil"/>
            </w:tcBorders>
            <w:shd w:val="clear" w:color="000000" w:fill="auto"/>
          </w:tcPr>
          <w:p w14:paraId="55BBA908" w14:textId="37536801" w:rsidR="00CF51C5" w:rsidRPr="00030C67" w:rsidRDefault="00CF51C5" w:rsidP="00882158">
            <w:pPr>
              <w:pStyle w:val="TableHeading"/>
            </w:pPr>
            <w:r>
              <w:t>≤ $155</w:t>
            </w:r>
            <w:r w:rsidR="009D42EB">
              <w:t>,000</w:t>
            </w:r>
          </w:p>
        </w:tc>
        <w:tc>
          <w:tcPr>
            <w:tcW w:w="1559" w:type="dxa"/>
            <w:tcBorders>
              <w:top w:val="nil"/>
              <w:bottom w:val="nil"/>
            </w:tcBorders>
            <w:shd w:val="clear" w:color="000000" w:fill="auto"/>
          </w:tcPr>
          <w:p w14:paraId="1B507678"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75%</w:t>
            </w:r>
          </w:p>
        </w:tc>
        <w:tc>
          <w:tcPr>
            <w:tcW w:w="1559" w:type="dxa"/>
            <w:tcBorders>
              <w:top w:val="nil"/>
              <w:bottom w:val="nil"/>
            </w:tcBorders>
            <w:shd w:val="clear" w:color="000000" w:fill="auto"/>
          </w:tcPr>
          <w:p w14:paraId="78DD95E8"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85%</w:t>
            </w:r>
          </w:p>
        </w:tc>
        <w:tc>
          <w:tcPr>
            <w:tcW w:w="1559" w:type="dxa"/>
            <w:tcBorders>
              <w:top w:val="nil"/>
              <w:bottom w:val="nil"/>
            </w:tcBorders>
            <w:shd w:val="clear" w:color="000000" w:fill="auto"/>
          </w:tcPr>
          <w:p w14:paraId="67CCEDF3" w14:textId="77777777" w:rsidR="00CF51C5" w:rsidRDefault="00CF51C5" w:rsidP="009B69C3">
            <w:pPr>
              <w:pStyle w:val="TableBody"/>
              <w:spacing w:before="45" w:after="45"/>
              <w:ind w:right="108"/>
              <w:jc w:val="right"/>
              <w:rPr>
                <w:rFonts w:ascii="Arial (Body)" w:hAnsi="Arial (Body)"/>
                <w:color w:val="000000"/>
              </w:rPr>
            </w:pPr>
            <w:r w:rsidRPr="00EE55AF">
              <w:t>95</w:t>
            </w:r>
            <w:r w:rsidRPr="007A669D">
              <w:t>%</w:t>
            </w:r>
          </w:p>
        </w:tc>
        <w:tc>
          <w:tcPr>
            <w:tcW w:w="1559" w:type="dxa"/>
            <w:tcBorders>
              <w:top w:val="nil"/>
              <w:bottom w:val="nil"/>
            </w:tcBorders>
            <w:shd w:val="clear" w:color="000000" w:fill="auto"/>
          </w:tcPr>
          <w:p w14:paraId="3BD1691B"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52</w:t>
            </w:r>
            <w:r>
              <w:t>%</w:t>
            </w:r>
          </w:p>
        </w:tc>
        <w:tc>
          <w:tcPr>
            <w:tcW w:w="1560" w:type="dxa"/>
            <w:tcBorders>
              <w:top w:val="nil"/>
              <w:bottom w:val="nil"/>
            </w:tcBorders>
            <w:shd w:val="clear" w:color="000000" w:fill="auto"/>
          </w:tcPr>
          <w:p w14:paraId="6BBA04E0" w14:textId="77777777" w:rsidR="00CF51C5" w:rsidRDefault="00CF51C5" w:rsidP="009B69C3">
            <w:pPr>
              <w:pStyle w:val="TableBody"/>
              <w:spacing w:before="45" w:after="45"/>
              <w:ind w:right="108"/>
              <w:jc w:val="right"/>
              <w:rPr>
                <w:rFonts w:ascii="Arial (Body)" w:hAnsi="Arial (Body)"/>
                <w:color w:val="000000"/>
              </w:rPr>
            </w:pPr>
            <w:r w:rsidRPr="002C0736">
              <w:t>60</w:t>
            </w:r>
            <w:r>
              <w:t>%</w:t>
            </w:r>
          </w:p>
        </w:tc>
      </w:tr>
      <w:tr w:rsidR="00CF51C5" w:rsidRPr="00030C67" w14:paraId="1BE1288C" w14:textId="77777777" w:rsidTr="00882158">
        <w:tc>
          <w:tcPr>
            <w:tcW w:w="1843" w:type="dxa"/>
            <w:tcBorders>
              <w:top w:val="nil"/>
              <w:bottom w:val="nil"/>
            </w:tcBorders>
            <w:shd w:val="clear" w:color="auto" w:fill="F2F2F2" w:themeFill="background1" w:themeFillShade="F2"/>
          </w:tcPr>
          <w:p w14:paraId="496F9DB4" w14:textId="72D1E4FA" w:rsidR="00CF51C5" w:rsidRPr="00030C67" w:rsidRDefault="00CF51C5" w:rsidP="00882158">
            <w:pPr>
              <w:pStyle w:val="TableHeading"/>
            </w:pPr>
            <w:r>
              <w:t>≤ $180</w:t>
            </w:r>
            <w:r w:rsidR="009D42EB">
              <w:t>,000</w:t>
            </w:r>
          </w:p>
        </w:tc>
        <w:tc>
          <w:tcPr>
            <w:tcW w:w="1559" w:type="dxa"/>
            <w:tcBorders>
              <w:top w:val="nil"/>
              <w:bottom w:val="nil"/>
            </w:tcBorders>
            <w:shd w:val="clear" w:color="auto" w:fill="F2F2F2" w:themeFill="background1" w:themeFillShade="F2"/>
          </w:tcPr>
          <w:p w14:paraId="5A01E119"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70%</w:t>
            </w:r>
          </w:p>
        </w:tc>
        <w:tc>
          <w:tcPr>
            <w:tcW w:w="1559" w:type="dxa"/>
            <w:tcBorders>
              <w:top w:val="nil"/>
              <w:bottom w:val="nil"/>
            </w:tcBorders>
            <w:shd w:val="clear" w:color="auto" w:fill="F2F2F2" w:themeFill="background1" w:themeFillShade="F2"/>
          </w:tcPr>
          <w:p w14:paraId="15256CB4"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80%</w:t>
            </w:r>
          </w:p>
        </w:tc>
        <w:tc>
          <w:tcPr>
            <w:tcW w:w="1559" w:type="dxa"/>
            <w:tcBorders>
              <w:top w:val="nil"/>
              <w:bottom w:val="nil"/>
            </w:tcBorders>
            <w:shd w:val="clear" w:color="auto" w:fill="F2F2F2" w:themeFill="background1" w:themeFillShade="F2"/>
          </w:tcPr>
          <w:p w14:paraId="57C7E917" w14:textId="77777777" w:rsidR="00CF51C5" w:rsidRDefault="00CF51C5" w:rsidP="009B69C3">
            <w:pPr>
              <w:pStyle w:val="TableBody"/>
              <w:spacing w:before="45" w:after="45"/>
              <w:ind w:right="108"/>
              <w:jc w:val="right"/>
              <w:rPr>
                <w:rFonts w:ascii="Arial (Body)" w:hAnsi="Arial (Body)"/>
                <w:color w:val="000000"/>
              </w:rPr>
            </w:pPr>
            <w:r w:rsidRPr="00EE55AF">
              <w:t>97</w:t>
            </w:r>
            <w:r w:rsidRPr="007A669D">
              <w:t>%</w:t>
            </w:r>
          </w:p>
        </w:tc>
        <w:tc>
          <w:tcPr>
            <w:tcW w:w="1559" w:type="dxa"/>
            <w:tcBorders>
              <w:top w:val="nil"/>
              <w:bottom w:val="nil"/>
            </w:tcBorders>
            <w:shd w:val="clear" w:color="auto" w:fill="F2F2F2" w:themeFill="background1" w:themeFillShade="F2"/>
          </w:tcPr>
          <w:p w14:paraId="2B45FDEF"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62</w:t>
            </w:r>
            <w:r>
              <w:t>%</w:t>
            </w:r>
          </w:p>
        </w:tc>
        <w:tc>
          <w:tcPr>
            <w:tcW w:w="1560" w:type="dxa"/>
            <w:tcBorders>
              <w:top w:val="nil"/>
              <w:bottom w:val="nil"/>
            </w:tcBorders>
            <w:shd w:val="clear" w:color="auto" w:fill="F2F2F2" w:themeFill="background1" w:themeFillShade="F2"/>
          </w:tcPr>
          <w:p w14:paraId="372B86DA" w14:textId="77777777" w:rsidR="00CF51C5" w:rsidRDefault="00CF51C5" w:rsidP="009B69C3">
            <w:pPr>
              <w:pStyle w:val="TableBody"/>
              <w:spacing w:before="45" w:after="45"/>
              <w:ind w:right="108"/>
              <w:jc w:val="right"/>
              <w:rPr>
                <w:rFonts w:ascii="Arial (Body)" w:hAnsi="Arial (Body)"/>
                <w:color w:val="000000"/>
              </w:rPr>
            </w:pPr>
            <w:r w:rsidRPr="002C0736">
              <w:t>68</w:t>
            </w:r>
            <w:r>
              <w:t>%</w:t>
            </w:r>
          </w:p>
        </w:tc>
      </w:tr>
      <w:tr w:rsidR="00CF51C5" w:rsidRPr="00030C67" w14:paraId="0D3E7A28" w14:textId="77777777" w:rsidTr="00882158">
        <w:tc>
          <w:tcPr>
            <w:tcW w:w="1843" w:type="dxa"/>
            <w:tcBorders>
              <w:top w:val="nil"/>
              <w:bottom w:val="nil"/>
            </w:tcBorders>
            <w:shd w:val="clear" w:color="000000" w:fill="auto"/>
          </w:tcPr>
          <w:p w14:paraId="27DD440C" w14:textId="1474A488" w:rsidR="00CF51C5" w:rsidRPr="00030C67" w:rsidRDefault="00CF51C5" w:rsidP="00882158">
            <w:pPr>
              <w:pStyle w:val="TableHeading"/>
            </w:pPr>
            <w:r>
              <w:t>≤ $205</w:t>
            </w:r>
            <w:r w:rsidR="009D42EB">
              <w:t>,000</w:t>
            </w:r>
          </w:p>
        </w:tc>
        <w:tc>
          <w:tcPr>
            <w:tcW w:w="1559" w:type="dxa"/>
            <w:tcBorders>
              <w:top w:val="nil"/>
              <w:bottom w:val="nil"/>
            </w:tcBorders>
            <w:shd w:val="clear" w:color="000000" w:fill="auto"/>
          </w:tcPr>
          <w:p w14:paraId="6E885B3F"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65%</w:t>
            </w:r>
          </w:p>
        </w:tc>
        <w:tc>
          <w:tcPr>
            <w:tcW w:w="1559" w:type="dxa"/>
            <w:tcBorders>
              <w:top w:val="nil"/>
              <w:bottom w:val="nil"/>
            </w:tcBorders>
            <w:shd w:val="clear" w:color="000000" w:fill="auto"/>
          </w:tcPr>
          <w:p w14:paraId="00216665"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75%</w:t>
            </w:r>
          </w:p>
        </w:tc>
        <w:tc>
          <w:tcPr>
            <w:tcW w:w="1559" w:type="dxa"/>
            <w:tcBorders>
              <w:top w:val="nil"/>
              <w:bottom w:val="nil"/>
            </w:tcBorders>
            <w:shd w:val="clear" w:color="auto" w:fill="D9D9D9" w:themeFill="background1" w:themeFillShade="D9"/>
          </w:tcPr>
          <w:p w14:paraId="1C61D063" w14:textId="77777777" w:rsidR="00CF51C5" w:rsidRDefault="00CF51C5" w:rsidP="009B69C3">
            <w:pPr>
              <w:pStyle w:val="TableBody"/>
              <w:spacing w:before="45" w:after="45"/>
              <w:ind w:right="108"/>
              <w:jc w:val="right"/>
              <w:rPr>
                <w:rFonts w:ascii="Arial (Body)" w:hAnsi="Arial (Body)"/>
                <w:color w:val="000000"/>
              </w:rPr>
            </w:pPr>
          </w:p>
        </w:tc>
        <w:tc>
          <w:tcPr>
            <w:tcW w:w="1559" w:type="dxa"/>
            <w:tcBorders>
              <w:top w:val="nil"/>
              <w:bottom w:val="nil"/>
            </w:tcBorders>
            <w:shd w:val="clear" w:color="000000" w:fill="auto"/>
          </w:tcPr>
          <w:p w14:paraId="6F84396F"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70</w:t>
            </w:r>
            <w:r>
              <w:t>%</w:t>
            </w:r>
          </w:p>
        </w:tc>
        <w:tc>
          <w:tcPr>
            <w:tcW w:w="1560" w:type="dxa"/>
            <w:tcBorders>
              <w:top w:val="nil"/>
              <w:bottom w:val="nil"/>
            </w:tcBorders>
            <w:shd w:val="clear" w:color="000000" w:fill="auto"/>
          </w:tcPr>
          <w:p w14:paraId="3E9C4CE3" w14:textId="77777777" w:rsidR="00CF51C5" w:rsidRDefault="00CF51C5" w:rsidP="009B69C3">
            <w:pPr>
              <w:pStyle w:val="TableBody"/>
              <w:spacing w:before="45" w:after="45"/>
              <w:ind w:right="108"/>
              <w:jc w:val="right"/>
              <w:rPr>
                <w:rFonts w:ascii="Arial (Body)" w:hAnsi="Arial (Body)"/>
                <w:color w:val="000000"/>
              </w:rPr>
            </w:pPr>
            <w:r w:rsidRPr="002C0736">
              <w:t>76</w:t>
            </w:r>
            <w:r>
              <w:t>%</w:t>
            </w:r>
          </w:p>
        </w:tc>
      </w:tr>
      <w:tr w:rsidR="00CF51C5" w:rsidRPr="00030C67" w14:paraId="46AEEDF5" w14:textId="77777777" w:rsidTr="00882158">
        <w:tc>
          <w:tcPr>
            <w:tcW w:w="1843" w:type="dxa"/>
            <w:tcBorders>
              <w:bottom w:val="single" w:sz="4" w:space="0" w:color="B3B3B3"/>
            </w:tcBorders>
            <w:shd w:val="clear" w:color="000000" w:fill="F2F2F2"/>
          </w:tcPr>
          <w:p w14:paraId="30E11445" w14:textId="15087AE6" w:rsidR="00CF51C5" w:rsidRPr="00030C67" w:rsidRDefault="00CF51C5" w:rsidP="00882158">
            <w:pPr>
              <w:pStyle w:val="TableHeading"/>
            </w:pPr>
            <w:r>
              <w:t>≤ $230</w:t>
            </w:r>
            <w:r w:rsidR="009D42EB">
              <w:t>,000</w:t>
            </w:r>
          </w:p>
        </w:tc>
        <w:tc>
          <w:tcPr>
            <w:tcW w:w="1559" w:type="dxa"/>
            <w:tcBorders>
              <w:bottom w:val="single" w:sz="4" w:space="0" w:color="B3B3B3"/>
            </w:tcBorders>
            <w:shd w:val="clear" w:color="000000" w:fill="F2F2F2"/>
          </w:tcPr>
          <w:p w14:paraId="45D35656" w14:textId="77777777" w:rsidR="00CF51C5" w:rsidRPr="00030C67" w:rsidRDefault="00CF51C5" w:rsidP="009B69C3">
            <w:pPr>
              <w:pStyle w:val="TableBody"/>
              <w:spacing w:before="45" w:after="45"/>
              <w:ind w:right="108"/>
              <w:jc w:val="right"/>
              <w:rPr>
                <w:rFonts w:ascii="Arial (Body)" w:hAnsi="Arial (Body)"/>
                <w:color w:val="000000"/>
              </w:rPr>
            </w:pPr>
            <w:r>
              <w:rPr>
                <w:rFonts w:ascii="Arial (Body)" w:hAnsi="Arial (Body)"/>
                <w:color w:val="000000"/>
              </w:rPr>
              <w:t>65%</w:t>
            </w:r>
          </w:p>
        </w:tc>
        <w:tc>
          <w:tcPr>
            <w:tcW w:w="1559" w:type="dxa"/>
            <w:tcBorders>
              <w:bottom w:val="single" w:sz="4" w:space="0" w:color="B3B3B3"/>
            </w:tcBorders>
            <w:shd w:val="clear" w:color="000000" w:fill="F2F2F2"/>
          </w:tcPr>
          <w:p w14:paraId="57A3EEB8" w14:textId="77777777" w:rsidR="00CF51C5" w:rsidRDefault="00CF51C5" w:rsidP="009B69C3">
            <w:pPr>
              <w:pStyle w:val="TableBody"/>
              <w:spacing w:before="45" w:after="45"/>
              <w:ind w:right="108"/>
              <w:jc w:val="right"/>
              <w:rPr>
                <w:rFonts w:ascii="Arial (Body)" w:hAnsi="Arial (Body)"/>
                <w:color w:val="000000"/>
              </w:rPr>
            </w:pPr>
            <w:r>
              <w:rPr>
                <w:rFonts w:ascii="Arial (Body)" w:hAnsi="Arial (Body)"/>
                <w:color w:val="000000"/>
              </w:rPr>
              <w:t>70%</w:t>
            </w:r>
          </w:p>
        </w:tc>
        <w:tc>
          <w:tcPr>
            <w:tcW w:w="1559" w:type="dxa"/>
            <w:tcBorders>
              <w:bottom w:val="single" w:sz="4" w:space="0" w:color="B3B3B3"/>
            </w:tcBorders>
            <w:shd w:val="clear" w:color="auto" w:fill="D9D9D9" w:themeFill="background1" w:themeFillShade="D9"/>
          </w:tcPr>
          <w:p w14:paraId="4709DBA4" w14:textId="77777777" w:rsidR="00CF51C5" w:rsidRDefault="00CF51C5" w:rsidP="009B69C3">
            <w:pPr>
              <w:pStyle w:val="TableBody"/>
              <w:spacing w:before="45" w:after="45"/>
              <w:ind w:right="108"/>
              <w:jc w:val="right"/>
              <w:rPr>
                <w:rFonts w:ascii="Arial (Body)" w:hAnsi="Arial (Body)"/>
                <w:color w:val="000000"/>
              </w:rPr>
            </w:pPr>
          </w:p>
        </w:tc>
        <w:tc>
          <w:tcPr>
            <w:tcW w:w="1559" w:type="dxa"/>
            <w:tcBorders>
              <w:bottom w:val="single" w:sz="4" w:space="0" w:color="B3B3B3"/>
            </w:tcBorders>
            <w:shd w:val="clear" w:color="000000" w:fill="F2F2F2"/>
          </w:tcPr>
          <w:p w14:paraId="603BF167" w14:textId="77777777" w:rsidR="00CF51C5" w:rsidRPr="009660B4" w:rsidRDefault="00CF51C5" w:rsidP="009B69C3">
            <w:pPr>
              <w:pStyle w:val="TableBody"/>
              <w:spacing w:before="45" w:after="45"/>
              <w:ind w:right="108"/>
              <w:jc w:val="right"/>
              <w:rPr>
                <w:rFonts w:ascii="Arial (Body)" w:hAnsi="Arial (Body)"/>
                <w:color w:val="000000"/>
                <w:highlight w:val="yellow"/>
              </w:rPr>
            </w:pPr>
            <w:r w:rsidRPr="00593728">
              <w:t>78</w:t>
            </w:r>
            <w:r>
              <w:t>%</w:t>
            </w:r>
          </w:p>
        </w:tc>
        <w:tc>
          <w:tcPr>
            <w:tcW w:w="1560" w:type="dxa"/>
            <w:tcBorders>
              <w:bottom w:val="single" w:sz="4" w:space="0" w:color="B3B3B3"/>
            </w:tcBorders>
            <w:shd w:val="clear" w:color="000000" w:fill="F2F2F2"/>
          </w:tcPr>
          <w:p w14:paraId="76A8D98D" w14:textId="77777777" w:rsidR="00CF51C5" w:rsidRPr="00030C67" w:rsidRDefault="00CF51C5" w:rsidP="009B69C3">
            <w:pPr>
              <w:pStyle w:val="TableBody"/>
              <w:spacing w:before="45" w:after="45"/>
              <w:ind w:right="108"/>
              <w:jc w:val="right"/>
              <w:rPr>
                <w:rFonts w:ascii="Arial (Body)" w:hAnsi="Arial (Body)"/>
                <w:color w:val="000000"/>
              </w:rPr>
            </w:pPr>
            <w:r w:rsidRPr="002C0736">
              <w:t>82</w:t>
            </w:r>
            <w:r>
              <w:t>%</w:t>
            </w:r>
          </w:p>
        </w:tc>
      </w:tr>
    </w:tbl>
    <w:p w14:paraId="3FEBB409" w14:textId="77777777" w:rsidR="00CF51C5" w:rsidRDefault="00CF51C5">
      <w:pPr>
        <w:pStyle w:val="Note"/>
      </w:pPr>
      <w:r w:rsidRPr="00C36914">
        <w:rPr>
          <w:b/>
          <w:bCs/>
        </w:rPr>
        <w:t>a.</w:t>
      </w:r>
      <w:r w:rsidRPr="00C36914">
        <w:t xml:space="preserve"> </w:t>
      </w:r>
      <w:r>
        <w:t>The option one scenario is a 100% CCS rate for families with an adjusted taxable income of $80,000 or less, with the current taper rate being retained</w:t>
      </w:r>
      <w:r w:rsidRPr="00C36914">
        <w:t>.</w:t>
      </w:r>
      <w:r>
        <w:t xml:space="preserve"> </w:t>
      </w:r>
      <w:r>
        <w:rPr>
          <w:b/>
          <w:bCs/>
        </w:rPr>
        <w:t>b. </w:t>
      </w:r>
      <w:r>
        <w:t>Data in the last two rows is suppressed for sole earner families due to the small number of underlying observations.</w:t>
      </w:r>
    </w:p>
    <w:p w14:paraId="5066838D" w14:textId="77777777" w:rsidR="00CF51C5" w:rsidRPr="006A6311" w:rsidRDefault="00CF51C5" w:rsidP="00882158">
      <w:pPr>
        <w:pStyle w:val="Source"/>
      </w:pPr>
      <w:r w:rsidRPr="00696447">
        <w:t xml:space="preserve">Source: </w:t>
      </w:r>
      <w:r>
        <w:t>Productivity Commission estimates using CAPITA</w:t>
      </w:r>
      <w:r>
        <w:noBreakHyphen/>
        <w:t>B with ECEC.</w:t>
      </w:r>
      <w:r w:rsidRPr="006A6311">
        <w:br w:type="page"/>
      </w:r>
    </w:p>
    <w:p w14:paraId="04D4DB0A" w14:textId="77777777" w:rsidR="00BD0805" w:rsidRDefault="00CF51C5" w:rsidP="00882158">
      <w:pPr>
        <w:pStyle w:val="Heading2-nonumber"/>
        <w:sectPr w:rsidR="00BD0805" w:rsidSect="001B7B00">
          <w:headerReference w:type="default" r:id="rId91"/>
          <w:footerReference w:type="even" r:id="rId92"/>
          <w:footerReference w:type="default" r:id="rId93"/>
          <w:headerReference w:type="first" r:id="rId94"/>
          <w:footnotePr>
            <w:numRestart w:val="eachSect"/>
          </w:footnotePr>
          <w:type w:val="oddPage"/>
          <w:pgSz w:w="11906" w:h="16838" w:code="9"/>
          <w:pgMar w:top="1134" w:right="1134" w:bottom="1134" w:left="1134" w:header="794" w:footer="510" w:gutter="0"/>
          <w:cols w:space="708"/>
          <w:docGrid w:linePitch="360"/>
        </w:sectPr>
      </w:pPr>
      <w:bookmarkStart w:id="42" w:name="_Toc172213594"/>
      <w:r>
        <w:lastRenderedPageBreak/>
        <w:t>References</w:t>
      </w:r>
      <w:bookmarkEnd w:id="42"/>
    </w:p>
    <w:p w14:paraId="0D824A3A" w14:textId="77777777" w:rsidR="00CF51C5" w:rsidRPr="00DF2E00" w:rsidRDefault="00CF51C5" w:rsidP="00882158">
      <w:pPr>
        <w:pStyle w:val="Reference"/>
      </w:pPr>
      <w:r w:rsidRPr="00DF2E00">
        <w:t xml:space="preserve">ABS (Australian Bureau of Statistics) 2023, </w:t>
      </w:r>
      <w:r w:rsidRPr="00DF2E00">
        <w:rPr>
          <w:i/>
          <w:iCs/>
        </w:rPr>
        <w:t>Employee earnings, August 2023</w:t>
      </w:r>
      <w:r w:rsidRPr="00DF2E00">
        <w:t>, https://www.abs.gov.au/statistics/labour/earnings-and-working-conditions/employee-earnings/latest-release (accessed 21 February 2024).</w:t>
      </w:r>
    </w:p>
    <w:p w14:paraId="5A665D3F" w14:textId="77777777" w:rsidR="00CF51C5" w:rsidRPr="00DF2E00" w:rsidRDefault="00CF51C5" w:rsidP="00882158">
      <w:pPr>
        <w:pStyle w:val="Reference"/>
      </w:pPr>
      <w:r w:rsidRPr="00DF2E00">
        <w:t xml:space="preserve">Australian Government 2022, </w:t>
      </w:r>
      <w:r w:rsidRPr="00DF2E00">
        <w:rPr>
          <w:i/>
          <w:iCs/>
        </w:rPr>
        <w:t>Cheaper Child Care - making early childhood education and care more affordable for around 1.26 million families</w:t>
      </w:r>
      <w:r w:rsidRPr="00DF2E00">
        <w:t>, Budget October 2022-23.</w:t>
      </w:r>
    </w:p>
    <w:p w14:paraId="24143359" w14:textId="77777777" w:rsidR="00CF51C5" w:rsidRPr="00DF2E00" w:rsidRDefault="00CF51C5" w:rsidP="00882158">
      <w:pPr>
        <w:pStyle w:val="Reference"/>
      </w:pPr>
      <w:r w:rsidRPr="00DF2E00">
        <w:t xml:space="preserve">Bray, J, Baxter, J, Hand, K, Gray, M, Carroll, M, Webster, R, Phillips, B, Budinski, M, Warren, D, Katz, I and Jones, A 2021, </w:t>
      </w:r>
      <w:r w:rsidRPr="00DF2E00">
        <w:rPr>
          <w:i/>
          <w:iCs/>
        </w:rPr>
        <w:t>Child Care Package evaluation: final report</w:t>
      </w:r>
      <w:r w:rsidRPr="00DF2E00">
        <w:t>, Australian Institute of Family Studies, Australian National University, Social Policy Research Centre, Social Research Centre.</w:t>
      </w:r>
    </w:p>
    <w:p w14:paraId="3602A1AB" w14:textId="77777777" w:rsidR="00CF51C5" w:rsidRPr="00DF2E00" w:rsidRDefault="00CF51C5" w:rsidP="00882158">
      <w:pPr>
        <w:pStyle w:val="Reference"/>
      </w:pPr>
      <w:r w:rsidRPr="00DF2E00">
        <w:t xml:space="preserve">DoE (Australian Government Department of Education) 2023, </w:t>
      </w:r>
      <w:r w:rsidRPr="00DF2E00">
        <w:rPr>
          <w:i/>
          <w:iCs/>
        </w:rPr>
        <w:t>Child Care Subsidy data report - September quarter 2023</w:t>
      </w:r>
      <w:r w:rsidRPr="00DF2E00">
        <w:t>, https://www.education.gov.au/early-childhood/early-childhood-data-and-reports/quarterly-reports-usage-services-fees-and-</w:t>
      </w:r>
      <w:r w:rsidRPr="00DF2E00">
        <w:t>subsidies/child-care-subsidy-data-report-september-quarter-2023 (accessed 28 March 2024).</w:t>
      </w:r>
    </w:p>
    <w:p w14:paraId="1E00E9C6" w14:textId="77777777" w:rsidR="00CF51C5" w:rsidRPr="00DF2E00" w:rsidRDefault="00CF51C5" w:rsidP="00882158">
      <w:pPr>
        <w:pStyle w:val="Reference"/>
      </w:pPr>
      <w:r w:rsidRPr="00DF2E00">
        <w:t xml:space="preserve">Hume, J (Australian Government Minister for Women’s Economic Security) 2021, </w:t>
      </w:r>
      <w:r w:rsidRPr="00DF2E00">
        <w:rPr>
          <w:i/>
          <w:iCs/>
        </w:rPr>
        <w:t>Removing Child Care Subsidy cap</w:t>
      </w:r>
      <w:r w:rsidRPr="00DF2E00">
        <w:t>, Media release, 10 December.</w:t>
      </w:r>
    </w:p>
    <w:p w14:paraId="241523CD" w14:textId="77777777" w:rsidR="00CF51C5" w:rsidRPr="00DF2E00" w:rsidRDefault="00CF51C5" w:rsidP="00882158">
      <w:pPr>
        <w:pStyle w:val="Reference"/>
      </w:pPr>
      <w:r w:rsidRPr="00DF2E00">
        <w:t xml:space="preserve">KPMG 2018, </w:t>
      </w:r>
      <w:r w:rsidRPr="00DF2E00">
        <w:rPr>
          <w:i/>
          <w:iCs/>
        </w:rPr>
        <w:t>The cost of coming back - achieving a better deal for mothers</w:t>
      </w:r>
      <w:r w:rsidRPr="00DF2E00">
        <w:t>.</w:t>
      </w:r>
    </w:p>
    <w:p w14:paraId="5A0B4544" w14:textId="77777777" w:rsidR="00CF51C5" w:rsidRPr="00DF2E00" w:rsidRDefault="00CF51C5" w:rsidP="00882158">
      <w:pPr>
        <w:pStyle w:val="Reference"/>
      </w:pPr>
      <w:r w:rsidRPr="00DF2E00">
        <w:t xml:space="preserve">Qu, L and Warren, D 2020, </w:t>
      </w:r>
      <w:r w:rsidRPr="00DF2E00">
        <w:rPr>
          <w:i/>
          <w:iCs/>
        </w:rPr>
        <w:t>Families then &amp; now: housing</w:t>
      </w:r>
      <w:r w:rsidRPr="00DF2E00">
        <w:t>, Australian Institute of Family Studies.</w:t>
      </w:r>
    </w:p>
    <w:p w14:paraId="7D6D1AB7" w14:textId="77777777" w:rsidR="00CF51C5" w:rsidRPr="00DF2E00" w:rsidRDefault="00CF51C5" w:rsidP="00882158">
      <w:pPr>
        <w:pStyle w:val="Reference"/>
      </w:pPr>
      <w:r w:rsidRPr="00DF2E00">
        <w:t xml:space="preserve">Services Australia 2024, </w:t>
      </w:r>
      <w:r w:rsidRPr="00DF2E00">
        <w:rPr>
          <w:i/>
          <w:iCs/>
        </w:rPr>
        <w:t>A guide to Australian Government payments: 20 March 2024 to 30 June 2024</w:t>
      </w:r>
      <w:r w:rsidRPr="00DF2E00">
        <w:t>.</w:t>
      </w:r>
    </w:p>
    <w:p w14:paraId="5DA6D697" w14:textId="77777777" w:rsidR="00CF51C5" w:rsidRPr="00DF2E00" w:rsidRDefault="00CF51C5" w:rsidP="00882158">
      <w:pPr>
        <w:pStyle w:val="Reference"/>
      </w:pPr>
      <w:r w:rsidRPr="00DF2E00">
        <w:t xml:space="preserve">Stevenson, M, Ledda, D, Pineda, V, Smith, M and Kluth, S 2017, </w:t>
      </w:r>
      <w:r w:rsidRPr="00DF2E00">
        <w:rPr>
          <w:i/>
          <w:iCs/>
        </w:rPr>
        <w:t>CAPITA - Treasury’s microsimulation model of personal income tax and transfers</w:t>
      </w:r>
      <w:r w:rsidRPr="00DF2E00">
        <w:t>, Australian Government Treasury.</w:t>
      </w:r>
    </w:p>
    <w:p w14:paraId="3651BCCE" w14:textId="77777777" w:rsidR="00BD0805" w:rsidRDefault="00CF51C5" w:rsidP="00BD0805">
      <w:pPr>
        <w:pStyle w:val="Reference"/>
        <w:sectPr w:rsidR="00BD0805" w:rsidSect="009B69C3">
          <w:footnotePr>
            <w:numRestart w:val="eachSect"/>
          </w:footnotePr>
          <w:type w:val="continuous"/>
          <w:pgSz w:w="11906" w:h="16838" w:code="9"/>
          <w:pgMar w:top="1134" w:right="1134" w:bottom="1134" w:left="1134" w:header="794" w:footer="510" w:gutter="0"/>
          <w:cols w:num="2" w:space="708"/>
          <w:docGrid w:linePitch="360"/>
        </w:sectPr>
      </w:pPr>
      <w:r w:rsidRPr="00DF2E00">
        <w:t xml:space="preserve">Wood, D, Griffiths, K and Emslie, O 2020, </w:t>
      </w:r>
      <w:r w:rsidRPr="00DF2E00">
        <w:rPr>
          <w:i/>
          <w:iCs/>
        </w:rPr>
        <w:t>Cheaper childcare: a practical plan to boost female workforce participation</w:t>
      </w:r>
      <w:r w:rsidRPr="00DF2E00">
        <w:t>, Grattan Institute.</w:t>
      </w:r>
    </w:p>
    <w:p w14:paraId="330962EE" w14:textId="77777777" w:rsidR="008E7FC3" w:rsidRDefault="008E7FC3" w:rsidP="00BD0805">
      <w:pPr>
        <w:pStyle w:val="Reference"/>
        <w:sectPr w:rsidR="008E7FC3" w:rsidSect="001B7B00">
          <w:footnotePr>
            <w:numRestart w:val="eachSect"/>
          </w:footnotePr>
          <w:type w:val="continuous"/>
          <w:pgSz w:w="11906" w:h="16838" w:code="9"/>
          <w:pgMar w:top="1134" w:right="1134" w:bottom="1134" w:left="1134" w:header="794" w:footer="510" w:gutter="0"/>
          <w:cols w:space="708"/>
          <w:docGrid w:linePitch="360"/>
        </w:sectPr>
      </w:pPr>
    </w:p>
    <w:p w14:paraId="168BE3EA" w14:textId="77777777" w:rsidR="008E7FC3" w:rsidRDefault="008E7FC3" w:rsidP="006510ED">
      <w:pPr>
        <w:pStyle w:val="Heading-Appendix"/>
        <w:numPr>
          <w:ilvl w:val="0"/>
          <w:numId w:val="29"/>
        </w:numPr>
      </w:pPr>
      <w:bookmarkStart w:id="43" w:name="_Toc172213595"/>
      <w:r>
        <w:lastRenderedPageBreak/>
        <w:t>Modelling of labour supply and ECEC demand</w:t>
      </w:r>
      <w:bookmarkEnd w:id="43"/>
    </w:p>
    <w:p w14:paraId="0FB34DB2" w14:textId="77777777" w:rsidR="008E7FC3" w:rsidRDefault="008E7FC3" w:rsidP="008E7FC3">
      <w:pPr>
        <w:pStyle w:val="BodyText"/>
      </w:pPr>
      <w:r>
        <w:t>This appendix details the modelling approach that was used to estimate the effects on labour supply, ECEC demand hours and fiscal costs from changes in the Australian Government’s main program that subsidises ECEC, the Child Care Subsidy (CCS), which includes the Higher CCS (HCCS).</w:t>
      </w:r>
    </w:p>
    <w:p w14:paraId="6CB8564A" w14:textId="77777777" w:rsidR="008E7FC3" w:rsidRPr="00F82BD9" w:rsidRDefault="008E7FC3" w:rsidP="008E7FC3">
      <w:pPr>
        <w:pStyle w:val="BodyText"/>
      </w:pPr>
      <w:r>
        <w:t>The terms of reference for this inquiry explicitly direct the Productivity Commission to consider the effects of a universal 90% CCS rate. Alternative ECEC subsidy settings were also evaluated, including the Commission’s recommended reforms and other options described in paper 6.</w:t>
      </w:r>
    </w:p>
    <w:p w14:paraId="76D350A9" w14:textId="77777777" w:rsidR="008E7FC3" w:rsidRDefault="008E7FC3" w:rsidP="008E7FC3">
      <w:pPr>
        <w:pStyle w:val="BodyText"/>
      </w:pPr>
      <w:r>
        <w:t>The Commission</w:t>
      </w:r>
      <w:r w:rsidDel="00690443">
        <w:t xml:space="preserve"> </w:t>
      </w:r>
      <w:r>
        <w:t>determined that behavioural microsimulation modelling was the best approach to evaluate the effects of changes to ECEC subsidies. The</w:t>
      </w:r>
      <w:r w:rsidRPr="0005296D" w:rsidDel="00A31575">
        <w:t xml:space="preserve"> </w:t>
      </w:r>
      <w:r>
        <w:t>Commission</w:t>
      </w:r>
      <w:r w:rsidRPr="0005296D">
        <w:t xml:space="preserve"> </w:t>
      </w:r>
      <w:r>
        <w:t>and the Department of Employment and Workplace Relations (DEWR) developed such a model by extending DEWR’s CAPITA-B microsimulation model to include ECEC. This approach improves on the preliminary modelling undertaken for the Commission’s draft inquiry report (released in November 2023), which used a simpler method to estimate the effects of potential CCS policy changes on labour supply, ECEC demand and fiscal costs.</w:t>
      </w:r>
    </w:p>
    <w:p w14:paraId="23CA664C" w14:textId="77777777" w:rsidR="008E7FC3" w:rsidRDefault="008E7FC3" w:rsidP="008E7FC3">
      <w:pPr>
        <w:pStyle w:val="BodyText"/>
      </w:pPr>
      <w:r>
        <w:t>This appendix covers:</w:t>
      </w:r>
    </w:p>
    <w:p w14:paraId="26C331AD" w14:textId="77777777" w:rsidR="008E7FC3" w:rsidRDefault="008E7FC3" w:rsidP="008E7FC3">
      <w:pPr>
        <w:pStyle w:val="ListBullet"/>
        <w:numPr>
          <w:ilvl w:val="0"/>
          <w:numId w:val="15"/>
        </w:numPr>
      </w:pPr>
      <w:r>
        <w:t>why the Commission used a behavioural microsimulation approach (section G.1)</w:t>
      </w:r>
    </w:p>
    <w:p w14:paraId="295578F0" w14:textId="77777777" w:rsidR="008E7FC3" w:rsidRPr="007B2AD1" w:rsidRDefault="008E7FC3" w:rsidP="008E7FC3">
      <w:pPr>
        <w:pStyle w:val="ListBullet"/>
        <w:numPr>
          <w:ilvl w:val="0"/>
          <w:numId w:val="15"/>
        </w:numPr>
      </w:pPr>
      <w:r w:rsidRPr="00492E1D">
        <w:t xml:space="preserve">details of the </w:t>
      </w:r>
      <w:r w:rsidRPr="007B2AD1">
        <w:t>modelling approach (section G.2)</w:t>
      </w:r>
    </w:p>
    <w:p w14:paraId="4F0D66C7" w14:textId="77777777" w:rsidR="008E7FC3" w:rsidRPr="007B2AD1" w:rsidRDefault="008E7FC3" w:rsidP="008E7FC3">
      <w:pPr>
        <w:pStyle w:val="ListBullet"/>
        <w:numPr>
          <w:ilvl w:val="0"/>
          <w:numId w:val="15"/>
        </w:numPr>
      </w:pPr>
      <w:r w:rsidRPr="007B2AD1">
        <w:t>tasks required to build the behavioural microsimulation model, including the wage imputation and utility function approaches (sections G.3 and G.4)</w:t>
      </w:r>
    </w:p>
    <w:p w14:paraId="502CC718" w14:textId="77777777" w:rsidR="008E7FC3" w:rsidRPr="007B2AD1" w:rsidRDefault="008E7FC3" w:rsidP="008E7FC3">
      <w:pPr>
        <w:pStyle w:val="ListBullet"/>
        <w:numPr>
          <w:ilvl w:val="0"/>
          <w:numId w:val="15"/>
        </w:numPr>
      </w:pPr>
      <w:r w:rsidRPr="007B2AD1">
        <w:t>results of modelled options (section G.5)</w:t>
      </w:r>
    </w:p>
    <w:p w14:paraId="60DEC5A6" w14:textId="77777777" w:rsidR="008E7FC3" w:rsidRPr="007B2AD1" w:rsidRDefault="008E7FC3" w:rsidP="008E7FC3">
      <w:pPr>
        <w:pStyle w:val="ListBullet"/>
        <w:numPr>
          <w:ilvl w:val="0"/>
          <w:numId w:val="15"/>
        </w:numPr>
      </w:pPr>
      <w:r w:rsidRPr="007B2AD1">
        <w:t>confidence intervals for some modelling results (section G.6)</w:t>
      </w:r>
    </w:p>
    <w:p w14:paraId="5D515AA7" w14:textId="77777777" w:rsidR="008E7FC3" w:rsidRDefault="008E7FC3" w:rsidP="008E7FC3">
      <w:pPr>
        <w:pStyle w:val="ListBullet"/>
        <w:numPr>
          <w:ilvl w:val="0"/>
          <w:numId w:val="15"/>
        </w:numPr>
      </w:pPr>
      <w:r w:rsidRPr="007B2AD1">
        <w:t xml:space="preserve">further detailed technical </w:t>
      </w:r>
      <w:r>
        <w:t>background information on CAPITA</w:t>
      </w:r>
      <w:r>
        <w:noBreakHyphen/>
        <w:t>B with ECEC (section G.7).</w:t>
      </w:r>
    </w:p>
    <w:p w14:paraId="150FA159" w14:textId="77777777" w:rsidR="008E7FC3" w:rsidRDefault="008E7FC3" w:rsidP="008E7FC3">
      <w:pPr>
        <w:pStyle w:val="Heading2-Appendix"/>
      </w:pPr>
      <w:bookmarkStart w:id="44" w:name="_Toc172213596"/>
      <w:r>
        <w:t>Why behavioural microsimulation modelling?</w:t>
      </w:r>
      <w:bookmarkEnd w:id="44"/>
    </w:p>
    <w:p w14:paraId="13AD7D4B" w14:textId="77777777" w:rsidR="008E7FC3" w:rsidRDefault="008E7FC3" w:rsidP="008E7FC3">
      <w:pPr>
        <w:pStyle w:val="BodyText"/>
      </w:pPr>
      <w:r>
        <w:t>Microsimulation models operate at the level of an individual unit, such as a household or business</w:t>
      </w:r>
      <w:r w:rsidRPr="002110D4">
        <w:t>.</w:t>
      </w:r>
      <w:r>
        <w:t xml:space="preserve"> These models can capture the effects of policy parameters such as tax rates and eligibility rules for benefits and subsidies on the individual unit, for example how changes to personal income tax rates affect an individual or household. </w:t>
      </w:r>
      <w:r w:rsidRPr="007E2E3E">
        <w:rPr>
          <w:i/>
          <w:iCs/>
        </w:rPr>
        <w:t>Behavioural</w:t>
      </w:r>
      <w:r>
        <w:t xml:space="preserve"> microsimulation allows estimation of how behaviour changes in response to a policy change, for example, effects of policy changes on hours of ECEC demand and labour supply. In contrast, non-behavioural microsimulation assumes that behaviour following a policy change remains the same.</w:t>
      </w:r>
    </w:p>
    <w:p w14:paraId="01AC754D" w14:textId="77777777" w:rsidR="008E7FC3" w:rsidRPr="00C762FE" w:rsidRDefault="008E7FC3" w:rsidP="008E7FC3">
      <w:pPr>
        <w:pStyle w:val="BodyText"/>
      </w:pPr>
      <w:r>
        <w:t>Behavioural microsimulation models can also illustrate the effects of policy changes on different cohorts. For instance, the effects of a policy on lower-income families can be investigated and compared to the effects on higher</w:t>
      </w:r>
      <w:r>
        <w:noBreakHyphen/>
        <w:t>income families.</w:t>
      </w:r>
    </w:p>
    <w:p w14:paraId="501CB049" w14:textId="77777777" w:rsidR="008E7FC3" w:rsidRDefault="008E7FC3" w:rsidP="008E7FC3">
      <w:pPr>
        <w:pStyle w:val="BodyText"/>
      </w:pPr>
      <w:r>
        <w:lastRenderedPageBreak/>
        <w:t>The use of a behavioural microsimulation model enabled the Productivity Commission</w:t>
      </w:r>
      <w:r w:rsidDel="007E51B4">
        <w:t xml:space="preserve"> </w:t>
      </w:r>
      <w:r>
        <w:t xml:space="preserve">to estimate the potential effect of ECEC subsidy policy changes, including changes to CCS rates and the activity test. This type of approach has been used for past analysis of ECEC policy changes (for example, Gong and Breunig </w:t>
      </w:r>
      <w:r w:rsidRPr="00147E0A">
        <w:rPr>
          <w:rFonts w:ascii="Arial" w:hAnsi="Arial" w:cs="Arial"/>
        </w:rPr>
        <w:t>(2012, 2017)</w:t>
      </w:r>
      <w:r>
        <w:t xml:space="preserve">; PC </w:t>
      </w:r>
      <w:r w:rsidRPr="00B9002E">
        <w:rPr>
          <w:rFonts w:ascii="Arial" w:hAnsi="Arial" w:cs="Arial"/>
        </w:rPr>
        <w:t>(2014b)</w:t>
      </w:r>
      <w:r>
        <w:t>).</w:t>
      </w:r>
    </w:p>
    <w:p w14:paraId="77A3CBE4" w14:textId="77777777" w:rsidR="008E7FC3" w:rsidRPr="00CF0B8B" w:rsidRDefault="008E7FC3" w:rsidP="008E7FC3">
      <w:pPr>
        <w:pStyle w:val="BodyText"/>
      </w:pPr>
      <w:r>
        <w:t xml:space="preserve">Behavioural responses to changes in ECEC subsidy policies on the labour supply of the primary carer parent in a family and </w:t>
      </w:r>
      <w:r w:rsidRPr="00CF0B8B">
        <w:t>the demand for hours of ECEC</w:t>
      </w:r>
      <w:r>
        <w:t xml:space="preserve"> were simulated. The resulting impact on</w:t>
      </w:r>
      <w:r w:rsidDel="00532E45">
        <w:t xml:space="preserve"> </w:t>
      </w:r>
      <w:r>
        <w:t>ECEC subsidy expenditure, personal income tax revenue, transfer payment expenditure and the overall net fiscal effect were also estimated.</w:t>
      </w:r>
    </w:p>
    <w:p w14:paraId="61D1E5D5" w14:textId="77777777" w:rsidR="008E7FC3" w:rsidRPr="00CF0B8B" w:rsidRDefault="008E7FC3" w:rsidP="008E7FC3">
      <w:pPr>
        <w:pStyle w:val="BodyText"/>
      </w:pPr>
      <w:r w:rsidRPr="00CF0B8B">
        <w:t>The effects across the distribution of families c</w:t>
      </w:r>
      <w:r>
        <w:t>an be analysed t</w:t>
      </w:r>
      <w:r w:rsidRPr="00CF0B8B">
        <w:t xml:space="preserve">o see how different policy settings impact ECEC </w:t>
      </w:r>
      <w:r>
        <w:t>demand hours</w:t>
      </w:r>
      <w:r w:rsidRPr="00CF0B8B">
        <w:t xml:space="preserve"> and </w:t>
      </w:r>
      <w:r>
        <w:t xml:space="preserve">labour supply </w:t>
      </w:r>
      <w:r w:rsidRPr="00CF0B8B">
        <w:t xml:space="preserve">hours </w:t>
      </w:r>
      <w:r>
        <w:t>of</w:t>
      </w:r>
      <w:r w:rsidRPr="00CF0B8B">
        <w:t xml:space="preserve"> </w:t>
      </w:r>
      <w:r>
        <w:t xml:space="preserve">primary carer </w:t>
      </w:r>
      <w:r w:rsidRPr="00CF0B8B">
        <w:t>parents.</w:t>
      </w:r>
    </w:p>
    <w:p w14:paraId="4C6B0DE5" w14:textId="77777777" w:rsidR="008E7FC3" w:rsidRDefault="008E7FC3" w:rsidP="008E7FC3">
      <w:pPr>
        <w:pStyle w:val="Heading2-Appendix"/>
      </w:pPr>
      <w:bookmarkStart w:id="45" w:name="_Toc172213597"/>
      <w:r>
        <w:t>CAPITA</w:t>
      </w:r>
      <w:r>
        <w:noBreakHyphen/>
        <w:t>B with ECEC</w:t>
      </w:r>
      <w:bookmarkEnd w:id="45"/>
    </w:p>
    <w:p w14:paraId="4200EB26" w14:textId="77777777" w:rsidR="008E7FC3" w:rsidRDefault="008E7FC3" w:rsidP="008E7FC3">
      <w:pPr>
        <w:pStyle w:val="BodyText"/>
      </w:pPr>
      <w:r>
        <w:t>The Commission considered different microsimulation model options and determined that extending CAPITA-B was the best approach for the inquiry. This extended version of CAPITA</w:t>
      </w:r>
      <w:r>
        <w:noBreakHyphen/>
        <w:t>B is called ‘CAPITA</w:t>
      </w:r>
      <w:r>
        <w:noBreakHyphen/>
        <w:t>B with ECEC’.</w:t>
      </w:r>
    </w:p>
    <w:p w14:paraId="3849EC4B" w14:textId="77777777" w:rsidR="008E7FC3" w:rsidRDefault="008E7FC3" w:rsidP="008E7FC3">
      <w:pPr>
        <w:pStyle w:val="BodyText"/>
      </w:pPr>
      <w:r>
        <w:t>CAPITA-B is a behavioural microsimulation model of the Australian government’s tax and transfer system. The model was developed and is maintained by DEWR, and is an extension of CAPITA, the Australian Department of the Treasury’s static tax and transfer microsimulation model. Neither of these versions of microsimulation models could model ECEC.</w:t>
      </w:r>
      <w:r w:rsidRPr="004F3B66">
        <w:rPr>
          <w:rStyle w:val="FootnoteReference"/>
        </w:rPr>
        <w:footnoteReference w:id="37"/>
      </w:r>
    </w:p>
    <w:p w14:paraId="06FACAC6" w14:textId="77777777" w:rsidR="008E7FC3" w:rsidRDefault="008E7FC3" w:rsidP="008E7FC3">
      <w:pPr>
        <w:pStyle w:val="BodyText"/>
      </w:pPr>
      <w:r>
        <w:t>Given that CAPITA-B is an established and maintained model within the Australian Government, extending it to include ECEC policy was determined to be the most effective and efficient use of time and resources.</w:t>
      </w:r>
    </w:p>
    <w:p w14:paraId="5E41B305" w14:textId="77777777" w:rsidR="008E7FC3" w:rsidRDefault="008E7FC3" w:rsidP="008E7FC3">
      <w:pPr>
        <w:pStyle w:val="BodyText"/>
      </w:pPr>
      <w:r>
        <w:t>To extend CAPITA</w:t>
      </w:r>
      <w:r>
        <w:noBreakHyphen/>
        <w:t>B to include ECEC, data on ECEC use was required. The Commission built CAPITA</w:t>
      </w:r>
      <w:r>
        <w:noBreakHyphen/>
        <w:t>B with ECEC within the ABS DataLab environment. This allowed the use of a version of the 2019</w:t>
      </w:r>
      <w:r>
        <w:noBreakHyphen/>
        <w:t>20 Survey of Income and Housing (SIH) Main Unit Record File (MURF) that had been linked by the ABS to the Department of Education’s administrative CCS data. This linked dataset provides information on actual ECEC use in CCS</w:t>
      </w:r>
      <w:r>
        <w:noBreakHyphen/>
        <w:t>approved services for the income units</w:t>
      </w:r>
      <w:r>
        <w:rPr>
          <w:rStyle w:val="FootnoteReference"/>
        </w:rPr>
        <w:footnoteReference w:id="38"/>
      </w:r>
      <w:r>
        <w:t xml:space="preserve"> in the SIH.</w:t>
      </w:r>
    </w:p>
    <w:p w14:paraId="197D9D49" w14:textId="77777777" w:rsidR="008E7FC3" w:rsidRDefault="008E7FC3" w:rsidP="008E7FC3">
      <w:pPr>
        <w:pStyle w:val="BodyText"/>
      </w:pPr>
      <w:r>
        <w:t>The resulting model, CAPITA</w:t>
      </w:r>
      <w:r>
        <w:noBreakHyphen/>
        <w:t>B with ECEC (summarised in figure G.1), models the effect on the primary carer parent’s labour supply and ECEC demand from changes in out</w:t>
      </w:r>
      <w:r>
        <w:noBreakHyphen/>
        <w:t>of</w:t>
      </w:r>
      <w:r>
        <w:noBreakHyphen/>
        <w:t>pocket ECEC expenses and resultant impact on net family income</w:t>
      </w:r>
      <w:r w:rsidRPr="004F3B66">
        <w:rPr>
          <w:rStyle w:val="FootnoteReference"/>
        </w:rPr>
        <w:footnoteReference w:id="39"/>
      </w:r>
      <w:r>
        <w:t xml:space="preserve"> </w:t>
      </w:r>
      <w:r w:rsidRPr="00592BEC">
        <w:t>(that is, net of taxes and transfers less out</w:t>
      </w:r>
      <w:r>
        <w:noBreakHyphen/>
      </w:r>
      <w:r w:rsidRPr="00592BEC">
        <w:t>of</w:t>
      </w:r>
      <w:r>
        <w:noBreakHyphen/>
      </w:r>
      <w:r w:rsidRPr="00592BEC">
        <w:t>pocket ECEC costs for all children</w:t>
      </w:r>
      <w:r>
        <w:t xml:space="preserve"> aged 0–12</w:t>
      </w:r>
      <w:r w:rsidRPr="004F3B66">
        <w:rPr>
          <w:rStyle w:val="FootnoteReference"/>
        </w:rPr>
        <w:footnoteReference w:id="40"/>
      </w:r>
      <w:r w:rsidRPr="00592BEC">
        <w:t>)</w:t>
      </w:r>
      <w:r>
        <w:t xml:space="preserve"> for families with children aged 0–12. Changes to out</w:t>
      </w:r>
      <w:r>
        <w:noBreakHyphen/>
        <w:t>of</w:t>
      </w:r>
      <w:r>
        <w:noBreakHyphen/>
        <w:t>pocket ECEC expenses can occur through changes in CCS rates and thresholds or through a different ECEC subsidy structure.</w:t>
      </w:r>
      <w:r>
        <w:rPr>
          <w:rStyle w:val="FootnoteReference"/>
        </w:rPr>
        <w:footnoteReference w:id="41"/>
      </w:r>
    </w:p>
    <w:p w14:paraId="0307C487" w14:textId="77777777" w:rsidR="008E7FC3" w:rsidRDefault="008E7FC3" w:rsidP="008E7FC3">
      <w:pPr>
        <w:pStyle w:val="BodyText"/>
      </w:pPr>
      <w:r>
        <w:lastRenderedPageBreak/>
        <w:t>CAPITA</w:t>
      </w:r>
      <w:r>
        <w:noBreakHyphen/>
        <w:t>B with ECEC uses a utility maximisation approach to model the effect of changes in ECEC subsidies on the primary carer parent’s labour supply and ECEC hours. Families change the primary carer parent’s labour supply and ECEC hours in response to changes in ECEC subsidies to maximise their utility. Utility is estimated in the model using coefficients from a utility function (discussed below).</w:t>
      </w:r>
    </w:p>
    <w:p w14:paraId="5C0B1BB3" w14:textId="77777777" w:rsidR="008E7FC3" w:rsidRPr="00146382" w:rsidRDefault="008E7FC3" w:rsidP="008E7FC3">
      <w:pPr>
        <w:pStyle w:val="FigureTableHeading"/>
      </w:pPr>
      <w:r>
        <w:t xml:space="preserve">Figure </w:t>
      </w:r>
      <w:r>
        <w:rPr>
          <w:noProof/>
        </w:rPr>
        <w:t>G</w:t>
      </w:r>
      <w:r>
        <w:t>.</w:t>
      </w:r>
      <w:r>
        <w:rPr>
          <w:noProof/>
        </w:rPr>
        <w:t xml:space="preserve">1 </w:t>
      </w:r>
      <w:r>
        <w:t>– Overview of CAPITA-B with ECEC</w:t>
      </w:r>
    </w:p>
    <w:p w14:paraId="313285C3" w14:textId="77777777" w:rsidR="008E7FC3" w:rsidRDefault="008E7FC3" w:rsidP="008E7FC3">
      <w:pPr>
        <w:pStyle w:val="Source"/>
      </w:pPr>
      <w:r w:rsidRPr="00A31E25">
        <w:rPr>
          <w:noProof/>
        </w:rPr>
        <w:drawing>
          <wp:inline distT="0" distB="0" distL="0" distR="0" wp14:anchorId="4D39BB3B" wp14:editId="3AD09662">
            <wp:extent cx="5533232" cy="3933645"/>
            <wp:effectExtent l="0" t="0" r="0" b="0"/>
            <wp:docPr id="577978298" name="Picture 1" descr="Figure G.1. This diagram shows that the inputs to the CAPITA-B with ECEC model (2019-20 calibrated) includes SIH MURF linked to CCS data, wage imputation equation coefficients, median ECEC hourly fees, utility equation coefficients, and number of families using CCS-approved services. The model’s base world reflects labour supply and ECEC demand given current CCS policy settings. The reform world reflects changes to subsidy settings applied and families change labour supply and ECEC demand in response. Results from the base world and reform world determine changes in labour supply, ECEC demand and net fisc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8298" name="Picture 1" descr="Figure G.1. This diagram shows that the inputs to the CAPITA-B with ECEC model (2019-20 calibrated) includes SIH MURF linked to CCS data, wage imputation equation coefficients, median ECEC hourly fees, utility equation coefficients, and number of families using CCS-approved services. The model’s base world reflects labour supply and ECEC demand given current CCS policy settings. The reform world reflects changes to subsidy settings applied and families change labour supply and ECEC demand in response. Results from the base world and reform world determine changes in labour supply, ECEC demand and net fiscal cost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37213" cy="3936475"/>
                    </a:xfrm>
                    <a:prstGeom prst="rect">
                      <a:avLst/>
                    </a:prstGeom>
                    <a:noFill/>
                    <a:ln>
                      <a:noFill/>
                    </a:ln>
                  </pic:spPr>
                </pic:pic>
              </a:graphicData>
            </a:graphic>
          </wp:inline>
        </w:drawing>
      </w:r>
    </w:p>
    <w:p w14:paraId="7A424B40" w14:textId="77777777" w:rsidR="008E7FC3" w:rsidRPr="0068263C" w:rsidRDefault="008E7FC3" w:rsidP="008E7FC3">
      <w:pPr>
        <w:pStyle w:val="BodyText"/>
      </w:pPr>
      <w:r>
        <w:t>Extending CAPITA-B to include ECEC</w:t>
      </w:r>
      <w:r w:rsidDel="00DF6109">
        <w:t xml:space="preserve"> </w:t>
      </w:r>
      <w:r>
        <w:t>involved a number of steps, with the most significant detailed in the rest of the appendix:</w:t>
      </w:r>
    </w:p>
    <w:p w14:paraId="5C4DC60B" w14:textId="77777777" w:rsidR="008E7FC3" w:rsidRDefault="008E7FC3" w:rsidP="008E7FC3">
      <w:pPr>
        <w:pStyle w:val="ListBullet"/>
        <w:numPr>
          <w:ilvl w:val="0"/>
          <w:numId w:val="15"/>
        </w:numPr>
        <w:spacing w:line="259" w:lineRule="auto"/>
      </w:pPr>
      <w:r>
        <w:t xml:space="preserve">including data on ECEC use </w:t>
      </w:r>
      <w:r w:rsidRPr="00CF0B8B">
        <w:t>– this involved</w:t>
      </w:r>
      <w:r>
        <w:t xml:space="preserve"> using data on ECEC usage from the administrative CCS data and linking it to the SIH MURF</w:t>
      </w:r>
      <w:r w:rsidRPr="004F3B66">
        <w:rPr>
          <w:rStyle w:val="FootnoteReference"/>
        </w:rPr>
        <w:footnoteReference w:id="42"/>
      </w:r>
      <w:r>
        <w:t xml:space="preserve"> – discussed in this section</w:t>
      </w:r>
    </w:p>
    <w:p w14:paraId="2EB36E23" w14:textId="77777777" w:rsidR="008E7FC3" w:rsidRDefault="008E7FC3" w:rsidP="008E7FC3">
      <w:pPr>
        <w:pStyle w:val="ListBullet"/>
        <w:numPr>
          <w:ilvl w:val="0"/>
          <w:numId w:val="15"/>
        </w:numPr>
      </w:pPr>
      <w:r>
        <w:t>including ECEC</w:t>
      </w:r>
      <w:r w:rsidRPr="00CF0B8B">
        <w:t xml:space="preserve"> prices</w:t>
      </w:r>
      <w:r w:rsidRPr="00CF0B8B" w:rsidDel="00651993">
        <w:t xml:space="preserve"> </w:t>
      </w:r>
      <w:r w:rsidRPr="00CF0B8B">
        <w:t>–</w:t>
      </w:r>
      <w:r w:rsidDel="00D31778">
        <w:t xml:space="preserve"> </w:t>
      </w:r>
      <w:r>
        <w:t>ECEC</w:t>
      </w:r>
      <w:r w:rsidRPr="00CF0B8B">
        <w:t xml:space="preserve"> fees </w:t>
      </w:r>
      <w:r>
        <w:t xml:space="preserve">were </w:t>
      </w:r>
      <w:r w:rsidRPr="00CF0B8B">
        <w:t xml:space="preserve">imputed using </w:t>
      </w:r>
      <w:r>
        <w:t>Productivity Commission analysis of administrative CCS data</w:t>
      </w:r>
      <w:r>
        <w:rPr>
          <w:rStyle w:val="FootnoteReference"/>
        </w:rPr>
        <w:t xml:space="preserve"> </w:t>
      </w:r>
      <w:r>
        <w:t>– discussed in this section</w:t>
      </w:r>
    </w:p>
    <w:p w14:paraId="3494FBE6" w14:textId="77777777" w:rsidR="008E7FC3" w:rsidRDefault="008E7FC3" w:rsidP="008E7FC3">
      <w:pPr>
        <w:pStyle w:val="ListBullet"/>
        <w:numPr>
          <w:ilvl w:val="0"/>
          <w:numId w:val="15"/>
        </w:numPr>
      </w:pPr>
      <w:r>
        <w:t>imputing</w:t>
      </w:r>
      <w:r w:rsidRPr="00CF0B8B">
        <w:t xml:space="preserve"> wage</w:t>
      </w:r>
      <w:r>
        <w:t>s</w:t>
      </w:r>
      <w:r w:rsidRPr="00CF0B8B">
        <w:t xml:space="preserve"> for partnered female parents and s</w:t>
      </w:r>
      <w:r>
        <w:t>ole</w:t>
      </w:r>
      <w:r w:rsidRPr="00CF0B8B">
        <w:t xml:space="preserve"> parents</w:t>
      </w:r>
      <w:r w:rsidRPr="00835F31">
        <w:rPr>
          <w:rStyle w:val="FootnoteReference"/>
        </w:rPr>
        <w:footnoteReference w:id="43"/>
      </w:r>
      <w:r w:rsidRPr="00CF0B8B">
        <w:t xml:space="preserve"> –</w:t>
      </w:r>
      <w:r>
        <w:t xml:space="preserve"> </w:t>
      </w:r>
      <w:r w:rsidRPr="00CF0B8B">
        <w:t xml:space="preserve">discussed in </w:t>
      </w:r>
      <w:r>
        <w:t>section G.3</w:t>
      </w:r>
    </w:p>
    <w:p w14:paraId="52906F76" w14:textId="77777777" w:rsidR="008E7FC3" w:rsidRPr="00007AF6" w:rsidRDefault="008E7FC3" w:rsidP="008E7FC3">
      <w:pPr>
        <w:pStyle w:val="ListBullet"/>
        <w:numPr>
          <w:ilvl w:val="0"/>
          <w:numId w:val="15"/>
        </w:numPr>
      </w:pPr>
      <w:r>
        <w:t>m</w:t>
      </w:r>
      <w:r w:rsidRPr="00007AF6">
        <w:t xml:space="preserve">odifying the model’s decision algorithm </w:t>
      </w:r>
      <w:r>
        <w:t xml:space="preserve">to include ECEC hours </w:t>
      </w:r>
      <w:r w:rsidRPr="00007AF6">
        <w:t xml:space="preserve">so that parents can adjust their </w:t>
      </w:r>
      <w:r>
        <w:t>ECEC</w:t>
      </w:r>
      <w:r w:rsidRPr="00007AF6">
        <w:t xml:space="preserve"> enrolment to be different from their observed decision</w:t>
      </w:r>
      <w:r>
        <w:t xml:space="preserve"> – discussed in this section</w:t>
      </w:r>
    </w:p>
    <w:p w14:paraId="0A10D198" w14:textId="77777777" w:rsidR="008E7FC3" w:rsidRPr="00CF0B8B" w:rsidRDefault="008E7FC3" w:rsidP="008E7FC3">
      <w:pPr>
        <w:pStyle w:val="ListBullet"/>
        <w:numPr>
          <w:ilvl w:val="0"/>
          <w:numId w:val="15"/>
        </w:numPr>
      </w:pPr>
      <w:r>
        <w:t>u</w:t>
      </w:r>
      <w:r w:rsidRPr="00CF0B8B">
        <w:t xml:space="preserve">pdating the </w:t>
      </w:r>
      <w:r>
        <w:t>utility</w:t>
      </w:r>
      <w:r w:rsidRPr="00CF0B8B">
        <w:t xml:space="preserve"> </w:t>
      </w:r>
      <w:r>
        <w:t>function</w:t>
      </w:r>
      <w:r w:rsidRPr="00CF0B8B">
        <w:t xml:space="preserve"> –</w:t>
      </w:r>
      <w:r>
        <w:t xml:space="preserve"> </w:t>
      </w:r>
      <w:r w:rsidRPr="00CF0B8B">
        <w:t>discussed in detail</w:t>
      </w:r>
      <w:r>
        <w:t xml:space="preserve"> in section G.4</w:t>
      </w:r>
    </w:p>
    <w:p w14:paraId="424571E3" w14:textId="77777777" w:rsidR="008E7FC3" w:rsidRDefault="008E7FC3" w:rsidP="008E7FC3">
      <w:pPr>
        <w:pStyle w:val="ListBullet"/>
        <w:numPr>
          <w:ilvl w:val="0"/>
          <w:numId w:val="15"/>
        </w:numPr>
      </w:pPr>
      <w:r>
        <w:t>i</w:t>
      </w:r>
      <w:r w:rsidRPr="00CF0B8B">
        <w:t xml:space="preserve">ncluding benchmarks </w:t>
      </w:r>
      <w:r>
        <w:t>on</w:t>
      </w:r>
      <w:r w:rsidRPr="00CF0B8B" w:rsidDel="00F36860">
        <w:t xml:space="preserve"> the </w:t>
      </w:r>
      <w:r w:rsidRPr="00CF0B8B">
        <w:t xml:space="preserve">number of families </w:t>
      </w:r>
      <w:r>
        <w:t>using</w:t>
      </w:r>
      <w:r w:rsidRPr="00CF0B8B">
        <w:t xml:space="preserve"> CCS</w:t>
      </w:r>
      <w:r>
        <w:noBreakHyphen/>
        <w:t>approved services – discussed below</w:t>
      </w:r>
      <w:r w:rsidRPr="00CF0B8B">
        <w:t>.</w:t>
      </w:r>
    </w:p>
    <w:p w14:paraId="7D2ED7BF" w14:textId="77777777" w:rsidR="008E7FC3" w:rsidRDefault="008E7FC3" w:rsidP="008E7FC3">
      <w:pPr>
        <w:pStyle w:val="Heading3"/>
      </w:pPr>
      <w:r>
        <w:lastRenderedPageBreak/>
        <w:t>Underlying data</w:t>
      </w:r>
    </w:p>
    <w:p w14:paraId="0917A2C4" w14:textId="77777777" w:rsidR="008E7FC3" w:rsidRDefault="008E7FC3" w:rsidP="008E7FC3">
      <w:pPr>
        <w:pStyle w:val="BodyText"/>
      </w:pPr>
      <w:r>
        <w:t xml:space="preserve">The Commission gained permission from the Department of Education and the ABS to access a SIH MURF data product that could be linked to administrative CCS data via the </w:t>
      </w:r>
      <w:r w:rsidRPr="00EF12D3">
        <w:t>Person Level Integrated Data Asset</w:t>
      </w:r>
      <w:r>
        <w:t xml:space="preserve"> (PLIDA) ‘spine’.</w:t>
      </w:r>
      <w:r>
        <w:rPr>
          <w:rStyle w:val="FootnoteReference"/>
        </w:rPr>
        <w:footnoteReference w:id="44"/>
      </w:r>
      <w:r>
        <w:t xml:space="preserve"> This data is accessed through the ABS DataLab environment.</w:t>
      </w:r>
    </w:p>
    <w:p w14:paraId="6ACBEDBA" w14:textId="77777777" w:rsidR="008E7FC3" w:rsidRPr="002F1AF1" w:rsidRDefault="008E7FC3" w:rsidP="008E7FC3">
      <w:pPr>
        <w:pStyle w:val="BodyText"/>
        <w:rPr>
          <w:lang w:eastAsia="en-AU"/>
        </w:rPr>
      </w:pPr>
      <w:r>
        <w:t>In CAPITA</w:t>
      </w:r>
      <w:r>
        <w:noBreakHyphen/>
        <w:t xml:space="preserve">B with ECEC, the modelled population is limited to sole carer parents and the spouse of partnered parents with children aged 0–12. Further exclusions were applied where it was considered that </w:t>
      </w:r>
      <w:r w:rsidRPr="00573A89">
        <w:rPr>
          <w:lang w:eastAsia="en-AU"/>
        </w:rPr>
        <w:t>a different type of modelling would be required to adequately model labour supply for these income units</w:t>
      </w:r>
      <w:r>
        <w:t xml:space="preserve"> – this is discussed in more detail in section G.7</w:t>
      </w:r>
      <w:r>
        <w:rPr>
          <w:lang w:eastAsia="en-AU"/>
        </w:rPr>
        <w:t>.</w:t>
      </w:r>
    </w:p>
    <w:p w14:paraId="2C6BDF13" w14:textId="77777777" w:rsidR="008E7FC3" w:rsidRPr="007C383C" w:rsidRDefault="008E7FC3" w:rsidP="008E7FC3">
      <w:pPr>
        <w:pStyle w:val="BodyText"/>
      </w:pPr>
      <w:r>
        <w:t xml:space="preserve">To align ECEC hours use from the administrative CCS data with data on working hours and income collected from SIH participants during the families’ survey period, the average of hours enrolled in ECEC in the four weeks leading up to the survey date was calculated for each child and then linked to the SIH MURF. </w:t>
      </w:r>
      <w:r w:rsidRPr="00E3374F">
        <w:t>This provides a more accurate representation of ECEC hours in CCS</w:t>
      </w:r>
      <w:r>
        <w:noBreakHyphen/>
      </w:r>
      <w:r w:rsidRPr="00E3374F">
        <w:t>approved services than that reported in the SIH</w:t>
      </w:r>
      <w:r>
        <w:t>. This was achieved by:</w:t>
      </w:r>
    </w:p>
    <w:p w14:paraId="4159A1F6" w14:textId="77777777" w:rsidR="008E7FC3" w:rsidRPr="001138AE" w:rsidRDefault="008E7FC3" w:rsidP="008E7FC3">
      <w:pPr>
        <w:pStyle w:val="ListBullet"/>
        <w:numPr>
          <w:ilvl w:val="0"/>
          <w:numId w:val="15"/>
        </w:numPr>
      </w:pPr>
      <w:r>
        <w:t>a</w:t>
      </w:r>
      <w:r w:rsidRPr="001138AE">
        <w:t>veraging the number of enrolled hours for each child aged 0</w:t>
      </w:r>
      <w:r>
        <w:t>–</w:t>
      </w:r>
      <w:r w:rsidRPr="001138AE">
        <w:t>12 in the survey over the four weeks leading up to the survey date</w:t>
      </w:r>
    </w:p>
    <w:p w14:paraId="26A72DD7" w14:textId="77777777" w:rsidR="008E7FC3" w:rsidRPr="001138AE" w:rsidRDefault="008E7FC3" w:rsidP="008E7FC3">
      <w:pPr>
        <w:pStyle w:val="ListBullet"/>
        <w:numPr>
          <w:ilvl w:val="0"/>
          <w:numId w:val="15"/>
        </w:numPr>
      </w:pPr>
      <w:r>
        <w:t>assigning a type of care for e</w:t>
      </w:r>
      <w:r w:rsidRPr="001138AE">
        <w:t>ach child</w:t>
      </w:r>
      <w:r>
        <w:t>. Each child</w:t>
      </w:r>
      <w:r w:rsidRPr="001138AE">
        <w:t xml:space="preserve"> can only have one type of care assigned</w:t>
      </w:r>
      <w:r>
        <w:t>.</w:t>
      </w:r>
    </w:p>
    <w:p w14:paraId="769651EA" w14:textId="77777777" w:rsidR="008E7FC3" w:rsidRDefault="008E7FC3" w:rsidP="008E7FC3">
      <w:pPr>
        <w:pStyle w:val="ListBullet2"/>
        <w:numPr>
          <w:ilvl w:val="1"/>
          <w:numId w:val="15"/>
        </w:numPr>
      </w:pPr>
      <w:r>
        <w:t>For children aged 0–4, the care type assigned was CBDC.</w:t>
      </w:r>
      <w:r>
        <w:rPr>
          <w:rStyle w:val="FootnoteReference"/>
        </w:rPr>
        <w:footnoteReference w:id="45"/>
      </w:r>
    </w:p>
    <w:p w14:paraId="7FD182C7" w14:textId="77777777" w:rsidR="008E7FC3" w:rsidRDefault="008E7FC3" w:rsidP="008E7FC3">
      <w:pPr>
        <w:pStyle w:val="ListBullet2"/>
        <w:numPr>
          <w:ilvl w:val="1"/>
          <w:numId w:val="15"/>
        </w:numPr>
      </w:pPr>
      <w:r>
        <w:t xml:space="preserve">For children aged 5 </w:t>
      </w:r>
      <w:r w:rsidRPr="00D8461A">
        <w:t>the assigned care type was based on the predominant type used in the administrative</w:t>
      </w:r>
      <w:r>
        <w:t xml:space="preserve"> CCS</w:t>
      </w:r>
      <w:r w:rsidRPr="00D8461A">
        <w:t xml:space="preserve"> data. If </w:t>
      </w:r>
      <w:r>
        <w:t xml:space="preserve">the child was </w:t>
      </w:r>
      <w:r w:rsidRPr="00D8461A">
        <w:t>not in</w:t>
      </w:r>
      <w:r>
        <w:t xml:space="preserve"> the</w:t>
      </w:r>
      <w:r w:rsidRPr="00D8461A">
        <w:t xml:space="preserve"> administrative data, then OSHC </w:t>
      </w:r>
      <w:r>
        <w:t xml:space="preserve">was assigned </w:t>
      </w:r>
      <w:r w:rsidRPr="00D8461A">
        <w:t xml:space="preserve">if they </w:t>
      </w:r>
      <w:r>
        <w:t>were</w:t>
      </w:r>
      <w:r w:rsidRPr="00D8461A">
        <w:t xml:space="preserve"> coded in </w:t>
      </w:r>
      <w:r>
        <w:t xml:space="preserve">the </w:t>
      </w:r>
      <w:r w:rsidRPr="00D8461A">
        <w:t>SIH as attending school.</w:t>
      </w:r>
    </w:p>
    <w:p w14:paraId="23930767" w14:textId="77777777" w:rsidR="008E7FC3" w:rsidRDefault="008E7FC3" w:rsidP="008E7FC3">
      <w:pPr>
        <w:pStyle w:val="ListBullet2"/>
        <w:numPr>
          <w:ilvl w:val="1"/>
          <w:numId w:val="15"/>
        </w:numPr>
      </w:pPr>
      <w:r>
        <w:t>For children aged 6–12, the care type assigned was OSHC.</w:t>
      </w:r>
    </w:p>
    <w:p w14:paraId="5A8FBEAD" w14:textId="77777777" w:rsidR="008E7FC3" w:rsidRDefault="008E7FC3" w:rsidP="008E7FC3">
      <w:pPr>
        <w:pStyle w:val="ListBullet"/>
        <w:numPr>
          <w:ilvl w:val="0"/>
          <w:numId w:val="15"/>
        </w:numPr>
      </w:pPr>
      <w:r>
        <w:t>a</w:t>
      </w:r>
      <w:r w:rsidRPr="00C90F4A">
        <w:t>ll</w:t>
      </w:r>
      <w:r w:rsidRPr="00CF0B8B">
        <w:t xml:space="preserve"> children </w:t>
      </w:r>
      <w:r>
        <w:t xml:space="preserve">who use ECEC </w:t>
      </w:r>
      <w:r w:rsidRPr="00CF0B8B">
        <w:t xml:space="preserve">are assumed to use </w:t>
      </w:r>
      <w:r>
        <w:t>ECEC</w:t>
      </w:r>
      <w:r w:rsidRPr="00CF0B8B">
        <w:t xml:space="preserve"> for 50 weeks of the year.</w:t>
      </w:r>
    </w:p>
    <w:p w14:paraId="5792DEE5" w14:textId="2AB46773" w:rsidR="008E7FC3" w:rsidRDefault="008E7FC3" w:rsidP="008E7FC3">
      <w:pPr>
        <w:pStyle w:val="BodyText"/>
      </w:pPr>
      <w:r>
        <w:t>Median hourly fees of ECEC were obtained from Productivity Commission analysis of administrative CCS data provided by DoE as part of the inquiry.</w:t>
      </w:r>
      <w:r w:rsidRPr="00835F31">
        <w:rPr>
          <w:rStyle w:val="FootnoteReference"/>
        </w:rPr>
        <w:footnoteReference w:id="46"/>
      </w:r>
      <w:r>
        <w:t xml:space="preserve"> Imputation of fees following the approach by Gong and Breunig </w:t>
      </w:r>
      <w:r w:rsidRPr="002621CE">
        <w:rPr>
          <w:rFonts w:ascii="Arial" w:hAnsi="Arial" w:cs="Arial"/>
        </w:rPr>
        <w:t>(2017)</w:t>
      </w:r>
      <w:r>
        <w:t xml:space="preserve"> ‘remove[s] the effect of the household’s specific choice of childcare quality from the cost</w:t>
      </w:r>
      <w:r>
        <w:noBreakHyphen/>
        <w:t>of</w:t>
      </w:r>
      <w:r>
        <w:noBreakHyphen/>
        <w:t xml:space="preserve">working component of childcare’. Median hourly fees at the SA3 level were imputed by quarter of interview, service type and SA3 of residence onto the SIH. Where the number of observations was low, the greater capital </w:t>
      </w:r>
      <w:r w:rsidR="00A33E9D">
        <w:t xml:space="preserve">city </w:t>
      </w:r>
      <w:r>
        <w:t>statistical area (GCCSA) medians were imputed by service type and quarter of interview. Hourly fees were assigned for all income units, including those did not have an administrative record of using ECEC, as an estimate of the fees a family would pay if they start using ECEC under policy changes</w:t>
      </w:r>
      <w:r w:rsidRPr="00CF0B8B">
        <w:t>.</w:t>
      </w:r>
      <w:r>
        <w:t xml:space="preserve"> Hourly fees were uprated to 2023</w:t>
      </w:r>
      <w:r>
        <w:noBreakHyphen/>
        <w:t>24 using projections provided by DoE.</w:t>
      </w:r>
    </w:p>
    <w:p w14:paraId="387DCE2F" w14:textId="77777777" w:rsidR="008E7FC3" w:rsidRDefault="008E7FC3" w:rsidP="008E7FC3">
      <w:pPr>
        <w:pStyle w:val="BodyText"/>
      </w:pPr>
      <w:r>
        <w:t>Wage rates for those in the modelled population that were not working and did not have an observed wage rate were imputed using coefficients estimated through a wage equation regression (section G.3).</w:t>
      </w:r>
    </w:p>
    <w:p w14:paraId="4D5BB67E" w14:textId="77777777" w:rsidR="008E7FC3" w:rsidRDefault="008E7FC3" w:rsidP="008E7FC3">
      <w:pPr>
        <w:pStyle w:val="Heading3"/>
      </w:pPr>
      <w:r>
        <w:lastRenderedPageBreak/>
        <w:t>Families’ labour supply and formal care choice sets</w:t>
      </w:r>
    </w:p>
    <w:p w14:paraId="5274DC4F" w14:textId="77777777" w:rsidR="008E7FC3" w:rsidRDefault="008E7FC3" w:rsidP="008E7FC3">
      <w:pPr>
        <w:pStyle w:val="BodyText"/>
      </w:pPr>
      <w:r>
        <w:t>The model is structured so that it determines a utility maximising bundle of primary carer parent labour supply hours and ECEC hours for each family, given the ECEC subsidy settings and the family’s individual circumstances. Bundles are chosen from a pre</w:t>
      </w:r>
      <w:r>
        <w:noBreakHyphen/>
        <w:t>determined set of primary carer labour supply and ECEC hours combinations.</w:t>
      </w:r>
    </w:p>
    <w:p w14:paraId="6834A90D" w14:textId="77777777" w:rsidR="008E7FC3" w:rsidRDefault="008E7FC3" w:rsidP="008E7FC3">
      <w:pPr>
        <w:pStyle w:val="Heading4"/>
      </w:pPr>
      <w:r>
        <w:t>Care types available</w:t>
      </w:r>
    </w:p>
    <w:p w14:paraId="47463635" w14:textId="77777777" w:rsidR="008E7FC3" w:rsidRDefault="008E7FC3" w:rsidP="008E7FC3">
      <w:pPr>
        <w:pStyle w:val="BodyText"/>
      </w:pPr>
      <w:r>
        <w:t>There are three care types available in the model: formal care, informal care and primary carer care.</w:t>
      </w:r>
    </w:p>
    <w:p w14:paraId="6B9A6AF7" w14:textId="77777777" w:rsidR="008E7FC3" w:rsidRDefault="008E7FC3" w:rsidP="008E7FC3">
      <w:pPr>
        <w:pStyle w:val="BodyText"/>
      </w:pPr>
      <w:r>
        <w:t>Formal care refers to ECEC for children in formal settings such as CBDC and OSHC. Formal care does not include preschool attended in dedicated settings – the possible implications of this are described below. The out</w:t>
      </w:r>
      <w:r>
        <w:noBreakHyphen/>
        <w:t>of</w:t>
      </w:r>
      <w:r>
        <w:noBreakHyphen/>
        <w:t>pocket ECEC expense does not take into account any further subsidies provided by state or territory governments in addition to the CCS for the delivery of preschool in a CBDC.</w:t>
      </w:r>
    </w:p>
    <w:p w14:paraId="1E066C29" w14:textId="77777777" w:rsidR="008E7FC3" w:rsidRDefault="008E7FC3" w:rsidP="008E7FC3">
      <w:pPr>
        <w:pStyle w:val="BodyText"/>
      </w:pPr>
      <w:r>
        <w:t>Primary carer care</w:t>
      </w:r>
      <w:r>
        <w:rPr>
          <w:rStyle w:val="FootnoteReference"/>
        </w:rPr>
        <w:footnoteReference w:id="47"/>
      </w:r>
      <w:r>
        <w:t xml:space="preserve"> is provided by the primary carer (the parent who changes their working hours and in partnered families is assumed to be the secondary earner) and informal care is other care provided by family, friends and/or other people as arranged by the family.</w:t>
      </w:r>
    </w:p>
    <w:p w14:paraId="7770200E" w14:textId="77777777" w:rsidR="008E7FC3" w:rsidRDefault="008E7FC3" w:rsidP="008E7FC3">
      <w:pPr>
        <w:pStyle w:val="BodyText"/>
      </w:pPr>
      <w:r>
        <w:t>It is assumed that the youngest child requires care for 70 hours per week (five days of 24 hours per week less 50 hours of sleep). These 70 hours are allocated amongst the three care types:</w:t>
      </w:r>
    </w:p>
    <w:p w14:paraId="238ABE03" w14:textId="77777777" w:rsidR="008E7FC3" w:rsidRDefault="008E7FC3" w:rsidP="008E7FC3">
      <w:pPr>
        <w:pStyle w:val="ListBullet"/>
        <w:numPr>
          <w:ilvl w:val="0"/>
          <w:numId w:val="15"/>
        </w:numPr>
        <w:spacing w:line="259" w:lineRule="auto"/>
      </w:pPr>
      <w:r w:rsidRPr="00F73414">
        <w:t xml:space="preserve">hours of formal care </w:t>
      </w:r>
      <w:r>
        <w:t>are</w:t>
      </w:r>
      <w:r w:rsidRPr="00F73414">
        <w:t xml:space="preserve"> determined by the formal care choice from the set [0,10,20,30,40,50]</w:t>
      </w:r>
    </w:p>
    <w:p w14:paraId="1CA8358F" w14:textId="77777777" w:rsidR="008E7FC3" w:rsidRDefault="008E7FC3" w:rsidP="008E7FC3">
      <w:pPr>
        <w:pStyle w:val="ListBullet"/>
        <w:numPr>
          <w:ilvl w:val="0"/>
          <w:numId w:val="15"/>
        </w:numPr>
        <w:spacing w:line="259" w:lineRule="auto"/>
      </w:pPr>
      <w:r w:rsidRPr="00FD4D88">
        <w:t xml:space="preserve">hours of care provided by the primary carer </w:t>
      </w:r>
      <w:r>
        <w:t>are determined by the remaining time after their choice of work hours</w:t>
      </w:r>
    </w:p>
    <w:p w14:paraId="7C1B78D3" w14:textId="77777777" w:rsidR="008E7FC3" w:rsidRDefault="008E7FC3" w:rsidP="008E7FC3">
      <w:pPr>
        <w:pStyle w:val="ListBullet"/>
        <w:numPr>
          <w:ilvl w:val="0"/>
          <w:numId w:val="15"/>
        </w:numPr>
        <w:spacing w:line="259" w:lineRule="auto"/>
      </w:pPr>
      <w:r w:rsidRPr="00F73414">
        <w:t xml:space="preserve">hours of informal care </w:t>
      </w:r>
      <w:r>
        <w:t>are determined by the remaining care time not accounted for by formal and primary carer care.</w:t>
      </w:r>
    </w:p>
    <w:p w14:paraId="44F73A9A" w14:textId="77777777" w:rsidR="008E7FC3" w:rsidRDefault="008E7FC3" w:rsidP="008E7FC3">
      <w:pPr>
        <w:pStyle w:val="BodyText"/>
      </w:pPr>
      <w:r w:rsidRPr="00E30D45">
        <w:t>Though the child’s time is assumed to be divided among these three types of care,</w:t>
      </w:r>
      <w:r w:rsidRPr="002B2E20">
        <w:t xml:space="preserve"> </w:t>
      </w:r>
      <w:r w:rsidRPr="00E30D45">
        <w:t xml:space="preserve">only the hours of formal care feature prominently in the preferred specification of the utility equation. The hours of primary </w:t>
      </w:r>
      <w:r w:rsidRPr="002B2E20">
        <w:t xml:space="preserve">carer </w:t>
      </w:r>
      <w:r w:rsidRPr="00E30D45">
        <w:t xml:space="preserve">care </w:t>
      </w:r>
      <w:r>
        <w:t>are</w:t>
      </w:r>
      <w:r w:rsidRPr="00E30D45">
        <w:t xml:space="preserve"> omitted from the utility equation, while use of informal care appears only as a binary indicator </w:t>
      </w:r>
      <w:r w:rsidRPr="002B2E20">
        <w:t>of whether</w:t>
      </w:r>
      <w:r w:rsidRPr="00E30D45">
        <w:t xml:space="preserve"> hours of informal care is positive.</w:t>
      </w:r>
    </w:p>
    <w:p w14:paraId="5B8FFAD6" w14:textId="77777777" w:rsidR="008E7FC3" w:rsidRDefault="008E7FC3" w:rsidP="008E7FC3">
      <w:pPr>
        <w:pStyle w:val="Heading4"/>
      </w:pPr>
      <w:r>
        <w:t>Formal care choice set</w:t>
      </w:r>
    </w:p>
    <w:p w14:paraId="3D96DC3A" w14:textId="77777777" w:rsidR="008E7FC3" w:rsidRDefault="008E7FC3" w:rsidP="008E7FC3">
      <w:pPr>
        <w:pStyle w:val="BodyText"/>
      </w:pPr>
      <w:r>
        <w:t>Formal care hours in the</w:t>
      </w:r>
      <w:r w:rsidDel="00275AD3">
        <w:t xml:space="preserve"> </w:t>
      </w:r>
      <w:r>
        <w:t>choice set refer to the hours of care for the youngest child in the family. Formal care hours for other children in the family are determined by the needs of the youngest child. The formal care choice set comprises six choices of 10</w:t>
      </w:r>
      <w:r>
        <w:noBreakHyphen/>
        <w:t>hour increments from zero to 50. 10</w:t>
      </w:r>
      <w:r>
        <w:noBreakHyphen/>
        <w:t>hour increments were chosen to reflect that 10</w:t>
      </w:r>
      <w:r>
        <w:noBreakHyphen/>
        <w:t>hours per day was the most commonly charged session length according to analysis using administrative CCS data (paper 7). An adjustment is made for children of primary school age –</w:t>
      </w:r>
      <w:r w:rsidDel="00F63BF6">
        <w:t xml:space="preserve"> </w:t>
      </w:r>
      <w:r>
        <w:t>they are assumed to use OSHC in increments of four hours rather than 10.</w:t>
      </w:r>
    </w:p>
    <w:p w14:paraId="5F8B79E8" w14:textId="77777777" w:rsidR="008E7FC3" w:rsidRPr="004D3BBF" w:rsidRDefault="008E7FC3" w:rsidP="008E7FC3">
      <w:pPr>
        <w:pStyle w:val="BodyText"/>
        <w:jc w:val="center"/>
        <w:rPr>
          <w:b/>
          <w:bCs/>
        </w:rPr>
      </w:pPr>
      <w:r w:rsidRPr="004D3BBF">
        <w:rPr>
          <w:b/>
          <w:bCs/>
        </w:rPr>
        <w:t>Formal care choice set: [0,10,20,30,40,50]</w:t>
      </w:r>
    </w:p>
    <w:p w14:paraId="04D09526" w14:textId="77777777" w:rsidR="008E7FC3" w:rsidRDefault="008E7FC3" w:rsidP="008E7FC3">
      <w:pPr>
        <w:pStyle w:val="Heading4"/>
      </w:pPr>
      <w:r>
        <w:t>Labour supply choice set</w:t>
      </w:r>
    </w:p>
    <w:p w14:paraId="50F67A71" w14:textId="77777777" w:rsidR="008E7FC3" w:rsidRDefault="008E7FC3" w:rsidP="008E7FC3">
      <w:pPr>
        <w:pStyle w:val="BodyText"/>
      </w:pPr>
      <w:r>
        <w:t>In determining the labour choice set, evidence was drawn from the 2019</w:t>
      </w:r>
      <w:r>
        <w:noBreakHyphen/>
        <w:t>20 SIH on working hour patterns of parents with children aged 0–12</w:t>
      </w:r>
      <w:r w:rsidDel="00D04BD6">
        <w:t xml:space="preserve"> </w:t>
      </w:r>
      <w:r>
        <w:t>(figure G.2). The same working hour choice set was used for both sole and partnered parents given that the working hour patterns for both these types of parents from the SIH were fairly similar.</w:t>
      </w:r>
    </w:p>
    <w:p w14:paraId="1AC41E44" w14:textId="77777777" w:rsidR="008E7FC3" w:rsidRPr="00146382" w:rsidRDefault="008E7FC3" w:rsidP="008E7FC3">
      <w:pPr>
        <w:pStyle w:val="FigureTableHeading"/>
      </w:pPr>
      <w:r>
        <w:lastRenderedPageBreak/>
        <w:t xml:space="preserve">Figure </w:t>
      </w:r>
      <w:r>
        <w:rPr>
          <w:noProof/>
        </w:rPr>
        <w:t>G</w:t>
      </w:r>
      <w:r>
        <w:t>.</w:t>
      </w:r>
      <w:r>
        <w:rPr>
          <w:noProof/>
        </w:rPr>
        <w:t xml:space="preserve">2 </w:t>
      </w:r>
      <w:r>
        <w:t>– Weekly working hours of sole parents and partnered primary carer parents with children aged 0–12</w:t>
      </w:r>
      <w:r w:rsidRPr="00066CF5">
        <w:rPr>
          <w:vertAlign w:val="superscript"/>
        </w:rPr>
        <w:t>a</w:t>
      </w:r>
    </w:p>
    <w:p w14:paraId="70C9C8AD" w14:textId="77777777" w:rsidR="008E7FC3" w:rsidRDefault="008E7FC3" w:rsidP="008E7FC3">
      <w:pPr>
        <w:pStyle w:val="FigureTableSubheading"/>
        <w:keepLines/>
      </w:pPr>
      <w:r>
        <w:t>Estimated number of people, weighted, 2019</w:t>
      </w:r>
      <w:r>
        <w:noBreakHyphen/>
        <w:t>20</w:t>
      </w:r>
    </w:p>
    <w:p w14:paraId="08249AF9" w14:textId="77777777" w:rsidR="008E7FC3" w:rsidRPr="005550A0" w:rsidRDefault="008E7FC3" w:rsidP="008E7FC3">
      <w:pPr>
        <w:pStyle w:val="BodyText"/>
      </w:pPr>
      <w:r w:rsidRPr="00C82865">
        <w:rPr>
          <w:noProof/>
        </w:rPr>
        <w:drawing>
          <wp:inline distT="0" distB="0" distL="0" distR="0" wp14:anchorId="6F26002C" wp14:editId="1FE17845">
            <wp:extent cx="6120130" cy="2865120"/>
            <wp:effectExtent l="0" t="0" r="0" b="0"/>
            <wp:docPr id="1663689529" name="Picture 2" descr="Figure G.2. This chart shows the estimated number of people by weekly hours worked. The chart peaks at about 40 weekl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89529" name="Picture 2" descr="Figure G.2. This chart shows the estimated number of people by weekly hours worked. The chart peaks at about 40 weekly hour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2865120"/>
                    </a:xfrm>
                    <a:prstGeom prst="rect">
                      <a:avLst/>
                    </a:prstGeom>
                    <a:noFill/>
                    <a:ln>
                      <a:noFill/>
                    </a:ln>
                  </pic:spPr>
                </pic:pic>
              </a:graphicData>
            </a:graphic>
          </wp:inline>
        </w:drawing>
      </w:r>
    </w:p>
    <w:p w14:paraId="7F59FB53" w14:textId="77777777" w:rsidR="008E7FC3" w:rsidRPr="00C01405" w:rsidRDefault="008E7FC3" w:rsidP="008E7FC3">
      <w:pPr>
        <w:pStyle w:val="Note"/>
        <w:keepLines/>
      </w:pPr>
      <w:r>
        <w:rPr>
          <w:b/>
          <w:bCs/>
        </w:rPr>
        <w:t xml:space="preserve">a. </w:t>
      </w:r>
      <w:r w:rsidRPr="007E2E3E">
        <w:t>Zero hours of work observations were removed</w:t>
      </w:r>
      <w:r>
        <w:t>. 60 or more hours of work is censored at 60 hours of work.</w:t>
      </w:r>
    </w:p>
    <w:p w14:paraId="3A0B9A2F" w14:textId="77777777" w:rsidR="008E7FC3" w:rsidRDefault="008E7FC3" w:rsidP="008E7FC3">
      <w:pPr>
        <w:pStyle w:val="Source"/>
      </w:pPr>
      <w:r w:rsidRPr="00696447">
        <w:t xml:space="preserve">Source: </w:t>
      </w:r>
      <w:r>
        <w:t>Productivity Commission estimates using the 2019</w:t>
      </w:r>
      <w:r>
        <w:noBreakHyphen/>
        <w:t>20 SIH Confidentialised Unit Record File</w:t>
      </w:r>
      <w:r w:rsidRPr="00696447">
        <w:t>.</w:t>
      </w:r>
    </w:p>
    <w:p w14:paraId="6A26E0CD" w14:textId="77777777" w:rsidR="008E7FC3" w:rsidRDefault="008E7FC3" w:rsidP="008E7FC3">
      <w:pPr>
        <w:pStyle w:val="BodyText"/>
      </w:pPr>
      <w:r>
        <w:t>The labour choice set comprises five</w:t>
      </w:r>
      <w:r>
        <w:noBreakHyphen/>
        <w:t>hour increments from zero to 60, excluding 55. Both the five</w:t>
      </w:r>
      <w:r>
        <w:noBreakHyphen/>
        <w:t>hour and 55</w:t>
      </w:r>
      <w:r>
        <w:noBreakHyphen/>
        <w:t>hour increment had a low number of observations however the five</w:t>
      </w:r>
      <w:r>
        <w:noBreakHyphen/>
        <w:t>hour increment was kept to accommodate possible modelling scenarios around the activity test. In total there are 12 labour hour choices.</w:t>
      </w:r>
    </w:p>
    <w:p w14:paraId="708B0F9B" w14:textId="77777777" w:rsidR="008E7FC3" w:rsidRPr="00343667" w:rsidRDefault="008E7FC3" w:rsidP="008E7FC3">
      <w:pPr>
        <w:pStyle w:val="BodyText"/>
        <w:jc w:val="center"/>
        <w:rPr>
          <w:b/>
          <w:bCs/>
        </w:rPr>
      </w:pPr>
      <w:r w:rsidRPr="00343667">
        <w:rPr>
          <w:b/>
          <w:bCs/>
        </w:rPr>
        <w:t>Labour choice set: [0,5,10,15,20,25,30,35,40,45,50,60]</w:t>
      </w:r>
    </w:p>
    <w:p w14:paraId="21E2A62C" w14:textId="77777777" w:rsidR="008E7FC3" w:rsidRDefault="008E7FC3" w:rsidP="008E7FC3">
      <w:pPr>
        <w:pStyle w:val="Heading4"/>
      </w:pPr>
      <w:r>
        <w:t>Families’ choice set and simulated choices</w:t>
      </w:r>
    </w:p>
    <w:p w14:paraId="0F0D9904" w14:textId="77777777" w:rsidR="008E7FC3" w:rsidRDefault="008E7FC3" w:rsidP="008E7FC3">
      <w:pPr>
        <w:pStyle w:val="BodyText"/>
      </w:pPr>
      <w:r>
        <w:t>With a change to ECEC subsidies, the model calculates the change in out</w:t>
      </w:r>
      <w:r>
        <w:noBreakHyphen/>
        <w:t>of</w:t>
      </w:r>
      <w:r>
        <w:noBreakHyphen/>
        <w:t>pocket ECEC expenses</w:t>
      </w:r>
      <w:r w:rsidRPr="00F8365E">
        <w:t xml:space="preserve"> </w:t>
      </w:r>
      <w:r>
        <w:t>for each labour supply and ECEC demand option a primary carer has, as well as the resultant impact on net income and the utility associated with each discrete option. In the model, the primary carer chooses the labour supply and ECEC hour demand bundle that provides them with the highest utility.</w:t>
      </w:r>
    </w:p>
    <w:p w14:paraId="17B3D651" w14:textId="77777777" w:rsidR="008E7FC3" w:rsidRDefault="008E7FC3" w:rsidP="008E7FC3">
      <w:pPr>
        <w:pStyle w:val="BodyText"/>
      </w:pPr>
      <w:r>
        <w:t>72</w:t>
      </w:r>
      <w:r w:rsidRPr="0004481A">
        <w:t xml:space="preserve"> combinations of labour supply and formal care demand are calculated for primary carers with children aged 0</w:t>
      </w:r>
      <w:r>
        <w:t>–</w:t>
      </w:r>
      <w:r w:rsidRPr="0004481A">
        <w:t>12, and a single behavioural decision selected.</w:t>
      </w:r>
      <w:r>
        <w:t xml:space="preserve"> These 72 options consist of six choices of formal care demand (0, 10, … , 50 normalised</w:t>
      </w:r>
      <w:r w:rsidRPr="004F3B66">
        <w:rPr>
          <w:rStyle w:val="FootnoteReference"/>
        </w:rPr>
        <w:footnoteReference w:id="48"/>
      </w:r>
      <w:r>
        <w:t xml:space="preserve"> hours) and 12 labour supply hour choices of primary carer parents (0, 5, … , 50, 60 hours). The choices include options where formal care hours exceed working hours, and where formal care hours are less than working hours. This allows for the examination of the impacts of the activity test, which limits the number of hours of subsidised care that families can receive based on their work and other eligible activity hours (appendix D).</w:t>
      </w:r>
    </w:p>
    <w:p w14:paraId="6931AD2D" w14:textId="77777777" w:rsidR="008E7FC3" w:rsidRPr="00CF0B8B" w:rsidRDefault="008E7FC3" w:rsidP="008E7FC3">
      <w:pPr>
        <w:pStyle w:val="ListBullet"/>
        <w:numPr>
          <w:ilvl w:val="0"/>
          <w:numId w:val="15"/>
        </w:numPr>
        <w:spacing w:line="259" w:lineRule="auto"/>
      </w:pPr>
      <w:r w:rsidRPr="00CF0B8B">
        <w:t xml:space="preserve">For </w:t>
      </w:r>
      <w:r>
        <w:t>partnered parent income units in the SIH</w:t>
      </w:r>
      <w:r w:rsidRPr="00CF0B8B">
        <w:t xml:space="preserve">, the primary carer parent is assumed to be the </w:t>
      </w:r>
      <w:r>
        <w:t>SIH</w:t>
      </w:r>
      <w:r w:rsidRPr="00CF0B8B">
        <w:t xml:space="preserve"> spouse person, consistent with the assumption that the father is the primary earner, and the mother is the primary carer. The primary earner’s labour supply </w:t>
      </w:r>
      <w:r>
        <w:t>is assumed to be</w:t>
      </w:r>
      <w:r w:rsidRPr="00CF0B8B">
        <w:t xml:space="preserve"> constant.</w:t>
      </w:r>
    </w:p>
    <w:p w14:paraId="31CD89B0" w14:textId="77777777" w:rsidR="008E7FC3" w:rsidRPr="00CF0B8B" w:rsidRDefault="008E7FC3" w:rsidP="008E7FC3">
      <w:pPr>
        <w:pStyle w:val="ListBullet"/>
        <w:numPr>
          <w:ilvl w:val="0"/>
          <w:numId w:val="15"/>
        </w:numPr>
        <w:spacing w:line="259" w:lineRule="auto"/>
      </w:pPr>
      <w:r w:rsidRPr="00CF0B8B">
        <w:lastRenderedPageBreak/>
        <w:t>The primary carer parent’s wage income and CCS activity hours</w:t>
      </w:r>
      <w:r>
        <w:rPr>
          <w:rStyle w:val="FootnoteReference"/>
        </w:rPr>
        <w:footnoteReference w:id="49"/>
      </w:r>
      <w:r w:rsidRPr="00CF0B8B">
        <w:t xml:space="preserve"> are recalculated based on the simulated hours worked and their wage rate. For </w:t>
      </w:r>
      <w:r>
        <w:t>primary carers</w:t>
      </w:r>
      <w:r w:rsidRPr="00CF0B8B">
        <w:t xml:space="preserve"> who d</w:t>
      </w:r>
      <w:r>
        <w:t>id</w:t>
      </w:r>
      <w:r w:rsidRPr="00CF0B8B">
        <w:t xml:space="preserve"> not work, </w:t>
      </w:r>
      <w:r>
        <w:t>wages were</w:t>
      </w:r>
      <w:r w:rsidRPr="00CF0B8B">
        <w:t xml:space="preserve"> imputed using the wage imputation method</w:t>
      </w:r>
      <w:r>
        <w:t xml:space="preserve"> (section G.3)</w:t>
      </w:r>
      <w:r w:rsidRPr="00CF0B8B">
        <w:t>.</w:t>
      </w:r>
    </w:p>
    <w:p w14:paraId="352805D2" w14:textId="77777777" w:rsidR="008E7FC3" w:rsidRDefault="008E7FC3" w:rsidP="008E7FC3">
      <w:pPr>
        <w:pStyle w:val="ListBullet"/>
        <w:numPr>
          <w:ilvl w:val="0"/>
          <w:numId w:val="15"/>
        </w:numPr>
        <w:spacing w:line="259" w:lineRule="auto"/>
      </w:pPr>
      <w:r w:rsidRPr="00CF0B8B">
        <w:t xml:space="preserve">The hours of paid formal care for each child are updated based on the </w:t>
      </w:r>
      <w:r>
        <w:t>formal c</w:t>
      </w:r>
      <w:r w:rsidRPr="00CF0B8B">
        <w:t>are choice.</w:t>
      </w:r>
    </w:p>
    <w:p w14:paraId="5B741DCF" w14:textId="77777777" w:rsidR="008E7FC3" w:rsidRPr="00CF0B8B" w:rsidRDefault="008E7FC3" w:rsidP="008E7FC3">
      <w:pPr>
        <w:pStyle w:val="ListBullet"/>
        <w:numPr>
          <w:ilvl w:val="0"/>
          <w:numId w:val="15"/>
        </w:numPr>
        <w:spacing w:line="259" w:lineRule="auto"/>
      </w:pPr>
      <w:r w:rsidRPr="00CF0B8B">
        <w:t>Time accounting rules are applied for each choice. These rules apply only to the first child in the income unit and should be considered as normalised hours.</w:t>
      </w:r>
    </w:p>
    <w:p w14:paraId="10A863D8" w14:textId="77777777" w:rsidR="008E7FC3" w:rsidRDefault="008E7FC3" w:rsidP="008E7FC3">
      <w:pPr>
        <w:pStyle w:val="BodyText"/>
      </w:pPr>
      <w:r w:rsidRPr="00FE2626">
        <w:t xml:space="preserve">CAPITA’s policy modules </w:t>
      </w:r>
      <w:r>
        <w:t xml:space="preserve">with some modifications </w:t>
      </w:r>
      <w:r w:rsidRPr="00FE2626">
        <w:t xml:space="preserve">are used to calculate </w:t>
      </w:r>
      <w:r>
        <w:t>net</w:t>
      </w:r>
      <w:r w:rsidRPr="00FE2626">
        <w:t xml:space="preserve"> income for the simulated </w:t>
      </w:r>
      <w:r>
        <w:t>ECEC</w:t>
      </w:r>
      <w:r w:rsidRPr="00FE2626">
        <w:t xml:space="preserve"> usage.</w:t>
      </w:r>
    </w:p>
    <w:p w14:paraId="270B208C" w14:textId="77777777" w:rsidR="008E7FC3" w:rsidRDefault="008E7FC3" w:rsidP="008E7FC3">
      <w:pPr>
        <w:pStyle w:val="Heading3"/>
      </w:pPr>
      <w:r>
        <w:t>Adjusting CAPITA</w:t>
      </w:r>
      <w:r>
        <w:noBreakHyphen/>
        <w:t>B to include ECEC</w:t>
      </w:r>
    </w:p>
    <w:p w14:paraId="70EC74D8" w14:textId="77777777" w:rsidR="008E7FC3" w:rsidRDefault="008E7FC3" w:rsidP="008E7FC3">
      <w:pPr>
        <w:pStyle w:val="BodyText"/>
      </w:pPr>
      <w:r>
        <w:t>CAPITA</w:t>
      </w:r>
      <w:r>
        <w:noBreakHyphen/>
        <w:t>B’s code was adjusted to include formal care hours. There were a number of parts of the model where this had to occur:</w:t>
      </w:r>
    </w:p>
    <w:p w14:paraId="3A4B8871" w14:textId="77777777" w:rsidR="008E7FC3" w:rsidRDefault="008E7FC3" w:rsidP="008E7FC3">
      <w:pPr>
        <w:pStyle w:val="ListBullet"/>
        <w:numPr>
          <w:ilvl w:val="0"/>
          <w:numId w:val="15"/>
        </w:numPr>
      </w:pPr>
      <w:r>
        <w:t>the basefile creation process – this adjusts the raw SIH data into a format necessary to be used in CAPITA</w:t>
      </w:r>
      <w:r>
        <w:noBreakHyphen/>
        <w:t>B. Additional variables from the SIH were included and adjusted to be used in CAPITA</w:t>
      </w:r>
      <w:r>
        <w:noBreakHyphen/>
        <w:t>B with ECEC</w:t>
      </w:r>
    </w:p>
    <w:p w14:paraId="7EBE2832" w14:textId="77777777" w:rsidR="008E7FC3" w:rsidRDefault="008E7FC3" w:rsidP="008E7FC3">
      <w:pPr>
        <w:pStyle w:val="ListBullet"/>
        <w:numPr>
          <w:ilvl w:val="0"/>
          <w:numId w:val="15"/>
        </w:numPr>
      </w:pPr>
      <w:r>
        <w:t>the policy modules – the policy modules were adjusted so that the gross cost of ECEC, subsidy amount and out</w:t>
      </w:r>
      <w:r>
        <w:noBreakHyphen/>
        <w:t>of</w:t>
      </w:r>
      <w:r>
        <w:noBreakHyphen/>
        <w:t>pocket ECEC expenses were calculated for each of the labour supply and ECEC demand hours choice bundles. An additional variable of net disposable income plus the out</w:t>
      </w:r>
      <w:r>
        <w:noBreakHyphen/>
        <w:t>of</w:t>
      </w:r>
      <w:r>
        <w:noBreakHyphen/>
        <w:t>pocket ECEC expense was also created</w:t>
      </w:r>
    </w:p>
    <w:p w14:paraId="6018FB80" w14:textId="77777777" w:rsidR="008E7FC3" w:rsidRDefault="008E7FC3" w:rsidP="008E7FC3">
      <w:pPr>
        <w:pStyle w:val="ListBullet"/>
        <w:numPr>
          <w:ilvl w:val="0"/>
          <w:numId w:val="15"/>
        </w:numPr>
      </w:pPr>
      <w:r>
        <w:t>the utility function – the application of the utility function had to be adjusted to use new coefficients</w:t>
      </w:r>
    </w:p>
    <w:p w14:paraId="397548B9" w14:textId="77777777" w:rsidR="008E7FC3" w:rsidRPr="009252BE" w:rsidRDefault="008E7FC3" w:rsidP="008E7FC3">
      <w:pPr>
        <w:pStyle w:val="ListBullet"/>
        <w:numPr>
          <w:ilvl w:val="0"/>
          <w:numId w:val="15"/>
        </w:numPr>
      </w:pPr>
      <w:r>
        <w:t>output tables – new output tables were created to specifically demonstrate the impact on labour supply and ECEC demand hours for families with children aged 0–12.</w:t>
      </w:r>
    </w:p>
    <w:p w14:paraId="6373B846" w14:textId="77777777" w:rsidR="008E7FC3" w:rsidRDefault="008E7FC3" w:rsidP="008E7FC3">
      <w:pPr>
        <w:pStyle w:val="Heading3"/>
      </w:pPr>
      <w:r>
        <w:t>Benchmarking</w:t>
      </w:r>
    </w:p>
    <w:p w14:paraId="697131D0" w14:textId="77777777" w:rsidR="008E7FC3" w:rsidRDefault="008E7FC3" w:rsidP="008E7FC3">
      <w:pPr>
        <w:pStyle w:val="BodyText"/>
      </w:pPr>
      <w:r>
        <w:t>Within CAPITA and CAPITA</w:t>
      </w:r>
      <w:r>
        <w:noBreakHyphen/>
        <w:t>B, benchmarking occurs to account for c</w:t>
      </w:r>
      <w:r w:rsidRPr="00490FB2">
        <w:t>hanges in the population</w:t>
      </w:r>
      <w:r>
        <w:t xml:space="preserve"> over time. This is achieved </w:t>
      </w:r>
      <w:r w:rsidRPr="00490FB2">
        <w:t xml:space="preserve">by varying weights of observations in the data to ensure aggregates align with selected official government projections. </w:t>
      </w:r>
      <w:r>
        <w:t>T</w:t>
      </w:r>
      <w:r w:rsidRPr="00490FB2">
        <w:t>he benchmarking process adjusts the weights to hit total aggregate benchmarks in a way which minimises the change in the weights required to meet those benchmarks and preserve</w:t>
      </w:r>
      <w:r>
        <w:t>s</w:t>
      </w:r>
      <w:r w:rsidRPr="00490FB2">
        <w:t xml:space="preserve"> the relativities </w:t>
      </w:r>
      <w:r>
        <w:t>between</w:t>
      </w:r>
      <w:r w:rsidRPr="00490FB2">
        <w:t xml:space="preserve"> families.</w:t>
      </w:r>
      <w:r>
        <w:t xml:space="preserve"> </w:t>
      </w:r>
      <w:r w:rsidRPr="00554E9C">
        <w:t xml:space="preserve">Benchmarking ensures </w:t>
      </w:r>
      <w:r>
        <w:t>r</w:t>
      </w:r>
      <w:r w:rsidRPr="00554E9C">
        <w:t xml:space="preserve">esults are consistent with </w:t>
      </w:r>
      <w:r>
        <w:t xml:space="preserve">data and projections </w:t>
      </w:r>
      <w:r w:rsidRPr="00554E9C">
        <w:t>of the make-up of the population and the number of recipients of major transfer payments in each year.</w:t>
      </w:r>
      <w:r>
        <w:t xml:space="preserve"> The CAPITA and CAPITA</w:t>
      </w:r>
      <w:r>
        <w:noBreakHyphen/>
        <w:t>B models benchmark to a range of data including demographic and labour force characteristics of the population and the number of people in receipt of Centrelink payments.</w:t>
      </w:r>
    </w:p>
    <w:p w14:paraId="3690F758" w14:textId="77777777" w:rsidR="008E7FC3" w:rsidRDefault="008E7FC3" w:rsidP="008E7FC3">
      <w:pPr>
        <w:pStyle w:val="BodyText"/>
      </w:pPr>
      <w:r>
        <w:t>An additional benchmark of the number of families using CCS</w:t>
      </w:r>
      <w:r>
        <w:noBreakHyphen/>
        <w:t>approved services was included in CAPITA</w:t>
      </w:r>
      <w:r>
        <w:noBreakHyphen/>
        <w:t>B with ECEC. This benchmark covers both subsidised and unsubsidised users. For consistency with benchmarks used in CAPITA, this additional benchmark also relates to a population number rather than a benchmark cost figure.</w:t>
      </w:r>
    </w:p>
    <w:p w14:paraId="726DAB54" w14:textId="77777777" w:rsidR="008E7FC3" w:rsidRDefault="008E7FC3" w:rsidP="008E7FC3">
      <w:pPr>
        <w:pStyle w:val="Heading3"/>
      </w:pPr>
      <w:r>
        <w:t>Assumptions and limitations</w:t>
      </w:r>
    </w:p>
    <w:p w14:paraId="7452B6D7" w14:textId="77777777" w:rsidR="008E7FC3" w:rsidRDefault="008E7FC3" w:rsidP="008E7FC3">
      <w:pPr>
        <w:pStyle w:val="BodyText"/>
      </w:pPr>
      <w:r>
        <w:t>As with all models, CAPITA</w:t>
      </w:r>
      <w:r>
        <w:noBreakHyphen/>
        <w:t>B with ECEC is built on assumptions and has limitations. These reflect the data available for analysis, which may be incomplete, and the choices of different methodologies.</w:t>
      </w:r>
    </w:p>
    <w:p w14:paraId="243D43BA" w14:textId="77777777" w:rsidR="008E7FC3" w:rsidRDefault="008E7FC3" w:rsidP="008E7FC3">
      <w:pPr>
        <w:pStyle w:val="BodyText"/>
      </w:pPr>
      <w:r>
        <w:lastRenderedPageBreak/>
        <w:t>The model assumes that the observed data reflects optimal choices for families given policy settings like subsidy rates and the activity test – but in reality, some families face other constraints when making choices about how much to work or use ECEC. The model accounts for cost and affordability constraints but it does not account for other constraints such as whether there is an actual ECEC place available or accessible on the relevant days for the family, nor does it account for families who are discouraged from trying to use ECEC due to the activity test, or where services are unable to cater for children’s needs. In addition, families’ choices can be influenced by social norms and expectations, which might be reset by large policy changes.</w:t>
      </w:r>
    </w:p>
    <w:p w14:paraId="5D5C0684" w14:textId="77777777" w:rsidR="008E7FC3" w:rsidRDefault="008E7FC3" w:rsidP="008E7FC3">
      <w:pPr>
        <w:pStyle w:val="BodyText"/>
      </w:pPr>
      <w:r>
        <w:t>The effect of these constraints on families’ observed choices of work and ECEC hours will be reflected in the estimated utility functions (section G.4) and interpreted by the model as an optimal choice. To the extent that these constraints restrict families’ observed choices, results from the model may be underestimated. However, it is also assumed that once ECEC subsidies change, increases in ECEC demand and labour supply are fully accommodated by the ECEC and labour markets, without any changes in ECEC fees or wages or constraints on that choice. This would overestimate the possible impacts.</w:t>
      </w:r>
    </w:p>
    <w:p w14:paraId="2E72EEE4" w14:textId="77777777" w:rsidR="008E7FC3" w:rsidRDefault="008E7FC3" w:rsidP="008E7FC3">
      <w:pPr>
        <w:pStyle w:val="BodyText"/>
      </w:pPr>
      <w:r>
        <w:t>Further, the model only captures</w:t>
      </w:r>
      <w:r w:rsidDel="00AC4E3E">
        <w:t xml:space="preserve"> </w:t>
      </w:r>
      <w:r>
        <w:t>ECEC delivered through CCS-approved services and does not include delivery of ECEC through other settings (for example, dedicated preschools). Preschool attendance in a dedicated setting could have been incorporated by making preschool hours for relevant three and four year old children free or low cost, but this could have led to an underestimation of the impact of policy changes on labour supply and ECEC demand hours. Making formal care cheaper for parents of three and four year olds would encourage and increase both ECEC demand and labour supply hours in the base model scenario, before modelling reforms. However, the model would not have been able to capture whether the preschool hours were conducive to working, as preschool session lengths in dedicated settings vary more than they do in CBDC settings and depend on each individual preschool. For example, some preschools offer three 5</w:t>
      </w:r>
      <w:r>
        <w:noBreakHyphen/>
        <w:t>hour sessions a week, others offer two 7.5</w:t>
      </w:r>
      <w:r>
        <w:noBreakHyphen/>
        <w:t>hour sessions a week and others offer five 3</w:t>
      </w:r>
      <w:r>
        <w:noBreakHyphen/>
        <w:t>hour sessions a week. There was no data available in the SIH that indicate the session structure attended in preschools.</w:t>
      </w:r>
    </w:p>
    <w:p w14:paraId="0A435AC0" w14:textId="77777777" w:rsidR="008E7FC3" w:rsidRDefault="008E7FC3" w:rsidP="008E7FC3">
      <w:pPr>
        <w:pStyle w:val="BodyText"/>
      </w:pPr>
      <w:r>
        <w:t>The model also does not estimate what might happen to informal carers’ labour supply if children’s participation in ECEC increases. Some grandparents, for example, might choose to retire later or to work more hours.</w:t>
      </w:r>
    </w:p>
    <w:p w14:paraId="54FD3AE3" w14:textId="77777777" w:rsidR="008E7FC3" w:rsidRDefault="008E7FC3" w:rsidP="008E7FC3">
      <w:pPr>
        <w:pStyle w:val="BodyText"/>
      </w:pPr>
      <w:r>
        <w:t>Additional assumptions and limitations of CAPITA</w:t>
      </w:r>
      <w:r>
        <w:noBreakHyphen/>
        <w:t>B with ECEC are:</w:t>
      </w:r>
    </w:p>
    <w:p w14:paraId="11C8E6B7" w14:textId="77777777" w:rsidR="008E7FC3" w:rsidRPr="00814B37" w:rsidRDefault="008E7FC3" w:rsidP="008E7FC3">
      <w:pPr>
        <w:pStyle w:val="ListBullet"/>
        <w:numPr>
          <w:ilvl w:val="0"/>
          <w:numId w:val="15"/>
        </w:numPr>
      </w:pPr>
      <w:r>
        <w:t>t</w:t>
      </w:r>
      <w:r w:rsidRPr="00814B37">
        <w:t xml:space="preserve">he model assumes, for </w:t>
      </w:r>
      <w:r>
        <w:t>partner</w:t>
      </w:r>
      <w:r w:rsidRPr="00814B37">
        <w:t xml:space="preserve">ed parents, the primary earner </w:t>
      </w:r>
      <w:r w:rsidRPr="00F7641E">
        <w:t xml:space="preserve">(or non-primary carer parent) </w:t>
      </w:r>
      <w:r w:rsidRPr="00814B37">
        <w:t xml:space="preserve">does not change their labour supply in response to </w:t>
      </w:r>
      <w:r>
        <w:t>ECEC subsidy</w:t>
      </w:r>
      <w:r w:rsidRPr="00814B37">
        <w:t xml:space="preserve"> reforms or any other tax</w:t>
      </w:r>
      <w:r>
        <w:t xml:space="preserve"> and </w:t>
      </w:r>
      <w:r w:rsidRPr="00814B37">
        <w:t>transfer policies</w:t>
      </w:r>
    </w:p>
    <w:p w14:paraId="6347C28F" w14:textId="77777777" w:rsidR="008E7FC3" w:rsidRDefault="008E7FC3" w:rsidP="008E7FC3">
      <w:pPr>
        <w:pStyle w:val="ListBullet"/>
        <w:numPr>
          <w:ilvl w:val="0"/>
          <w:numId w:val="15"/>
        </w:numPr>
      </w:pPr>
      <w:r>
        <w:t>only sole and primary carer parent families with children aged 0–12 are modelled</w:t>
      </w:r>
    </w:p>
    <w:p w14:paraId="52FFDE1C" w14:textId="77777777" w:rsidR="008E7FC3" w:rsidRDefault="008E7FC3" w:rsidP="008E7FC3">
      <w:pPr>
        <w:pStyle w:val="ListBullet"/>
        <w:numPr>
          <w:ilvl w:val="0"/>
          <w:numId w:val="15"/>
        </w:numPr>
      </w:pPr>
      <w:r>
        <w:t>t</w:t>
      </w:r>
      <w:r w:rsidRPr="00814B37">
        <w:t xml:space="preserve">he model assumes </w:t>
      </w:r>
      <w:r>
        <w:t>that each income unit’s characteristics correspond to an average year for a representative household</w:t>
      </w:r>
    </w:p>
    <w:p w14:paraId="3CF8C32C" w14:textId="77777777" w:rsidR="008E7FC3" w:rsidRDefault="008E7FC3" w:rsidP="008E7FC3">
      <w:pPr>
        <w:pStyle w:val="ListBullet"/>
        <w:numPr>
          <w:ilvl w:val="0"/>
          <w:numId w:val="15"/>
        </w:numPr>
      </w:pPr>
      <w:r>
        <w:t>t</w:t>
      </w:r>
      <w:r w:rsidRPr="00814B37">
        <w:t xml:space="preserve">he model does not capture the time it may take for adjustments to occur to labour supply and </w:t>
      </w:r>
      <w:r w:rsidRPr="00F275E8">
        <w:t>ECEC</w:t>
      </w:r>
      <w:r w:rsidRPr="00814B37">
        <w:t xml:space="preserve"> demand</w:t>
      </w:r>
    </w:p>
    <w:p w14:paraId="2E643126" w14:textId="77777777" w:rsidR="008E7FC3" w:rsidRPr="00324A95" w:rsidRDefault="008E7FC3" w:rsidP="008E7FC3">
      <w:pPr>
        <w:pStyle w:val="ListBullet"/>
        <w:numPr>
          <w:ilvl w:val="0"/>
          <w:numId w:val="15"/>
        </w:numPr>
      </w:pPr>
      <w:r>
        <w:t>t</w:t>
      </w:r>
      <w:r w:rsidRPr="00814B37">
        <w:t>he model, which uses a neoclassical labour supply framework, assumes working hours and care demand are such that they are optimal compared to all other possible choices</w:t>
      </w:r>
    </w:p>
    <w:p w14:paraId="54BE4131" w14:textId="77777777" w:rsidR="008E7FC3" w:rsidRPr="00324A95" w:rsidRDefault="008E7FC3" w:rsidP="008E7FC3">
      <w:pPr>
        <w:pStyle w:val="ListBullet"/>
        <w:numPr>
          <w:ilvl w:val="0"/>
          <w:numId w:val="15"/>
        </w:numPr>
      </w:pPr>
      <w:r>
        <w:t>t</w:t>
      </w:r>
      <w:r w:rsidRPr="00324A95">
        <w:t xml:space="preserve">he model assumes </w:t>
      </w:r>
      <w:r>
        <w:t xml:space="preserve">that if a family is eligible for </w:t>
      </w:r>
      <w:r w:rsidRPr="00324A95">
        <w:t>income support and</w:t>
      </w:r>
      <w:r>
        <w:t>/or</w:t>
      </w:r>
      <w:r w:rsidRPr="00324A95">
        <w:t xml:space="preserve"> CCS </w:t>
      </w:r>
      <w:r>
        <w:t xml:space="preserve">they receive it </w:t>
      </w:r>
      <w:r w:rsidRPr="00324A95">
        <w:t>(for example in meeting income tests, child age and other criteria</w:t>
      </w:r>
      <w:r w:rsidRPr="00F275E8">
        <w:t>)</w:t>
      </w:r>
    </w:p>
    <w:p w14:paraId="21D7CC18" w14:textId="77777777" w:rsidR="008E7FC3" w:rsidRDefault="008E7FC3" w:rsidP="008E7FC3">
      <w:pPr>
        <w:pStyle w:val="ListBullet"/>
        <w:numPr>
          <w:ilvl w:val="0"/>
          <w:numId w:val="15"/>
        </w:numPr>
      </w:pPr>
      <w:r>
        <w:t>t</w:t>
      </w:r>
      <w:r w:rsidRPr="00324A95">
        <w:t>he model does not allow for different</w:t>
      </w:r>
      <w:r>
        <w:t xml:space="preserve"> (normalised)</w:t>
      </w:r>
      <w:r w:rsidRPr="00324A95">
        <w:t xml:space="preserve"> </w:t>
      </w:r>
      <w:r>
        <w:t>ECEC hour</w:t>
      </w:r>
      <w:r w:rsidRPr="00324A95">
        <w:t xml:space="preserve"> choices to be made for children of different ages</w:t>
      </w:r>
    </w:p>
    <w:p w14:paraId="6EBD7FA5" w14:textId="77777777" w:rsidR="008E7FC3" w:rsidRPr="00F275E8" w:rsidRDefault="008E7FC3" w:rsidP="008E7FC3">
      <w:pPr>
        <w:pStyle w:val="ListBullet"/>
        <w:numPr>
          <w:ilvl w:val="0"/>
          <w:numId w:val="15"/>
        </w:numPr>
      </w:pPr>
      <w:r>
        <w:t>Additional CCS (ACCS) is not modelled</w:t>
      </w:r>
    </w:p>
    <w:p w14:paraId="76D6CF5B" w14:textId="77777777" w:rsidR="008E7FC3" w:rsidRPr="00324A95" w:rsidRDefault="008E7FC3" w:rsidP="008E7FC3">
      <w:pPr>
        <w:pStyle w:val="ListBullet"/>
        <w:numPr>
          <w:ilvl w:val="0"/>
          <w:numId w:val="15"/>
        </w:numPr>
      </w:pPr>
      <w:r w:rsidRPr="00F275E8">
        <w:t>100% benefit take-up</w:t>
      </w:r>
      <w:r>
        <w:t xml:space="preserve"> – p</w:t>
      </w:r>
      <w:r w:rsidRPr="00F275E8">
        <w:t xml:space="preserve">ersons who are working zero or low working hours will receive some benefit income if they are eligible. All modelled ECEC is assumed to attract CCS, subject to activity testing and </w:t>
      </w:r>
      <w:r>
        <w:t>income</w:t>
      </w:r>
      <w:r w:rsidRPr="00F275E8">
        <w:t xml:space="preserve"> testing</w:t>
      </w:r>
      <w:r>
        <w:t>.</w:t>
      </w:r>
    </w:p>
    <w:p w14:paraId="29DDBDFC" w14:textId="77777777" w:rsidR="008E7FC3" w:rsidRDefault="008E7FC3" w:rsidP="008E7FC3">
      <w:pPr>
        <w:pStyle w:val="Heading2-Appendix"/>
      </w:pPr>
      <w:bookmarkStart w:id="46" w:name="_Toc172213598"/>
      <w:r>
        <w:lastRenderedPageBreak/>
        <w:t>Wage imputation approach</w:t>
      </w:r>
      <w:bookmarkEnd w:id="46"/>
    </w:p>
    <w:p w14:paraId="3ACE43FD" w14:textId="77777777" w:rsidR="008E7FC3" w:rsidRDefault="008E7FC3" w:rsidP="008E7FC3">
      <w:pPr>
        <w:pStyle w:val="BodyText"/>
      </w:pPr>
      <w:r>
        <w:t>Information about financial returns to work (specifically, each person’s wage) is needed to model the impact of policy changes. While this is straightforward for workers, as information about their wage rates is readily available, it is necessary to impute wage rates for non</w:t>
      </w:r>
      <w:r>
        <w:noBreakHyphen/>
        <w:t>workers. The imputed wages are an estimate of what a person would earn if they were working.</w:t>
      </w:r>
    </w:p>
    <w:p w14:paraId="161319C7" w14:textId="77777777" w:rsidR="008E7FC3" w:rsidRDefault="008E7FC3" w:rsidP="008E7FC3">
      <w:pPr>
        <w:pStyle w:val="BodyText"/>
      </w:pPr>
      <w:r>
        <w:t>Wage equations estimated with data from the SIH 2019</w:t>
      </w:r>
      <w:r>
        <w:noBreakHyphen/>
        <w:t>20 MURF were used to impute wages for non</w:t>
      </w:r>
      <w:r>
        <w:noBreakHyphen/>
        <w:t>workers. Separate equations were estimated for the two cohorts most likely to be affected by ECEC policy changes – partnered female parents and sole parents – because it is reasonable to expect that labour market behaviour and outcomes differ between these cohorts.</w:t>
      </w:r>
      <w:r w:rsidRPr="004F3B66">
        <w:rPr>
          <w:rStyle w:val="FootnoteReference"/>
        </w:rPr>
        <w:footnoteReference w:id="50"/>
      </w:r>
    </w:p>
    <w:p w14:paraId="75D0AB1A" w14:textId="77777777" w:rsidR="008E7FC3" w:rsidRDefault="008E7FC3" w:rsidP="008E7FC3">
      <w:pPr>
        <w:pStyle w:val="BodyText"/>
      </w:pPr>
      <w:r>
        <w:t>Wage equations predict a person’s wage based on observed characteristics, such as gender, age and educational qualifications. One issue is that the connection between observed characteristics and wages can only be estimated based on workers’ information</w:t>
      </w:r>
      <w:r>
        <w:rPr>
          <w:rStyle w:val="Emphasis"/>
        </w:rPr>
        <w:t>, as a wage rate for non</w:t>
      </w:r>
      <w:r>
        <w:rPr>
          <w:rStyle w:val="Emphasis"/>
        </w:rPr>
        <w:noBreakHyphen/>
        <w:t>workers is not observed</w:t>
      </w:r>
      <w:r>
        <w:t>. If there is selection bias into the labour force – where the unobserved characteristics of workers and non</w:t>
      </w:r>
      <w:r>
        <w:noBreakHyphen/>
        <w:t>workers are systematically different, and these characteristics influence wages – predicting wages using a simple regression based only on workers’ information will provide biased results. For example, with selection bias, the wage premium from having a university degree may be different for non</w:t>
      </w:r>
      <w:r>
        <w:noBreakHyphen/>
        <w:t>workers than workers.</w:t>
      </w:r>
    </w:p>
    <w:p w14:paraId="6140ED0B" w14:textId="77777777" w:rsidR="008E7FC3" w:rsidRDefault="008E7FC3" w:rsidP="008E7FC3">
      <w:pPr>
        <w:pStyle w:val="BodyText"/>
      </w:pPr>
      <w:r>
        <w:t>To address this issue, the wage equations were estimated using a sample selection model and maximum likelihood estimation method.</w:t>
      </w:r>
      <w:r>
        <w:rPr>
          <w:rStyle w:val="FootnoteReference"/>
        </w:rPr>
        <w:footnoteReference w:id="51"/>
      </w:r>
      <w:r>
        <w:t xml:space="preserve"> The model includes two correlated equations that aim to correct for selection bias. The first equation (</w:t>
      </w:r>
      <w:r w:rsidRPr="00B00AB8">
        <w:rPr>
          <w:i/>
          <w:iCs/>
        </w:rPr>
        <w:t>the selection equation</w:t>
      </w:r>
      <w:r>
        <w:t>) relates to an individual’s selection into being a worker or non</w:t>
      </w:r>
      <w:r>
        <w:noBreakHyphen/>
        <w:t>worker, while the second equation (</w:t>
      </w:r>
      <w:r w:rsidRPr="00B00AB8">
        <w:rPr>
          <w:i/>
          <w:iCs/>
        </w:rPr>
        <w:t>the wage equation</w:t>
      </w:r>
      <w:r>
        <w:t>) estimates wage rates after correcting for any selection bias. This two</w:t>
      </w:r>
      <w:r>
        <w:noBreakHyphen/>
        <w:t>equation approach is a common method for estimating wage equations.</w:t>
      </w:r>
      <w:r w:rsidRPr="004F3B66">
        <w:rPr>
          <w:rStyle w:val="FootnoteReference"/>
        </w:rPr>
        <w:footnoteReference w:id="52"/>
      </w:r>
    </w:p>
    <w:p w14:paraId="12D2AEB8" w14:textId="77777777" w:rsidR="008E7FC3" w:rsidRDefault="008E7FC3" w:rsidP="008E7FC3">
      <w:pPr>
        <w:pStyle w:val="Heading3"/>
      </w:pPr>
      <w:r>
        <w:t>Model framework</w:t>
      </w:r>
    </w:p>
    <w:p w14:paraId="378575A7" w14:textId="77777777" w:rsidR="008E7FC3" w:rsidRDefault="008E7FC3" w:rsidP="008E7FC3">
      <w:pPr>
        <w:pStyle w:val="Heading4"/>
      </w:pPr>
      <w:r>
        <w:t>Selection equation</w:t>
      </w:r>
    </w:p>
    <w:p w14:paraId="15FF52F9" w14:textId="77777777" w:rsidR="008E7FC3" w:rsidRDefault="008E7FC3" w:rsidP="008E7FC3">
      <w:pPr>
        <w:pStyle w:val="BodyText"/>
      </w:pPr>
      <w:r>
        <w:t>The selection equation is used to estimate an individual’s probability of</w:t>
      </w:r>
      <w:r w:rsidDel="00DB236D">
        <w:t xml:space="preserve"> </w:t>
      </w:r>
      <w:r>
        <w:t>being a worker or non</w:t>
      </w:r>
      <w:r>
        <w:noBreakHyphen/>
        <w:t>worker. The selection equation is defined:</w:t>
      </w:r>
    </w:p>
    <w:p w14:paraId="7F1EE2FC" w14:textId="77777777" w:rsidR="008E7FC3" w:rsidRDefault="00000000" w:rsidP="008E7FC3">
      <w:pPr>
        <w:pStyle w:val="BodyText"/>
      </w:pPr>
      <m:oMathPara>
        <m:oMath>
          <m:sSub>
            <m:sSubPr>
              <m:ctrlPr>
                <w:rPr>
                  <w:rFonts w:ascii="Cambria Math" w:hAnsi="Cambria Math"/>
                </w:rPr>
              </m:ctrlPr>
            </m:sSubPr>
            <m:e>
              <m:r>
                <w:rPr>
                  <w:rFonts w:ascii="Cambria Math" w:hAnsi="Cambria Math"/>
                </w:rPr>
                <m:t>E</m:t>
              </m:r>
            </m:e>
            <m:sub>
              <m:r>
                <w:rPr>
                  <w:rFonts w:ascii="Cambria Math" w:hAnsi="Cambria Math"/>
                </w:rPr>
                <m:t>i</m:t>
              </m:r>
            </m:sub>
          </m:sSub>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1,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&gt;0</m:t>
                  </m:r>
                </m:e>
                <m:e>
                  <m:r>
                    <w:rPr>
                      <w:rFonts w:ascii="Cambria Math" w:hAnsi="Cambria Math"/>
                    </w:rPr>
                    <m:t xml:space="preserve">0,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≤0</m:t>
                  </m:r>
                </m:e>
              </m:eqArr>
            </m:e>
          </m:d>
        </m:oMath>
      </m:oMathPara>
    </w:p>
    <w:p w14:paraId="5EF6D727" w14:textId="77777777" w:rsidR="008E7FC3" w:rsidRDefault="008E7FC3" w:rsidP="008E7FC3">
      <w:pPr>
        <w:pStyle w:val="BodyText"/>
        <w:rPr>
          <w:rFonts w:eastAsiaTheme="minorEastAsia"/>
        </w:rPr>
      </w:pPr>
      <w:r>
        <w:t xml:space="preserve">where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Pr>
          <w:rFonts w:eastAsiaTheme="minorEastAsia"/>
        </w:rPr>
        <w:t xml:space="preserve"> is an individual’s observed employment status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oMath>
      <w:r>
        <w:rPr>
          <w:rFonts w:eastAsiaTheme="minorEastAsia"/>
        </w:rPr>
        <w:t xml:space="preserve"> is a worker,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m:t>
        </m:r>
      </m:oMath>
      <w:r>
        <w:rPr>
          <w:rFonts w:eastAsiaTheme="minorEastAsia"/>
        </w:rPr>
        <w:t xml:space="preserve"> is a non</w:t>
      </w:r>
      <w:r>
        <w:rPr>
          <w:rFonts w:eastAsiaTheme="minorEastAsia"/>
        </w:rPr>
        <w:noBreakHyphen/>
        <w:t xml:space="preserve">worker). Each individual’s observed employment status,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is assumed to be a function of </w:t>
      </w: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a person’s unobserved employability and propensity to participate in the labour market. When </w:t>
      </w: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exceeds 0, an individual will work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oMath>
      <w:r>
        <w:rPr>
          <w:rFonts w:eastAsiaTheme="minorEastAsia"/>
        </w:rPr>
        <w:t xml:space="preserve">). If </w:t>
      </w: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does not exceed 0, they will not work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m:t>
        </m:r>
      </m:oMath>
      <w:r>
        <w:rPr>
          <w:rFonts w:eastAsiaTheme="minorEastAsia"/>
        </w:rPr>
        <w:t>).</w:t>
      </w:r>
    </w:p>
    <w:p w14:paraId="3EA8EBE1" w14:textId="77777777" w:rsidR="008E7FC3" w:rsidRDefault="008E7FC3" w:rsidP="008E7FC3">
      <w:pPr>
        <w:spacing w:before="0" w:after="160" w:line="259" w:lineRule="auto"/>
        <w:rPr>
          <w:rFonts w:eastAsiaTheme="minorEastAsia"/>
        </w:rPr>
      </w:pPr>
      <w:r>
        <w:rPr>
          <w:rFonts w:eastAsiaTheme="minorEastAsia"/>
        </w:rPr>
        <w:br w:type="page"/>
      </w:r>
    </w:p>
    <w:p w14:paraId="716DE21D" w14:textId="77777777" w:rsidR="008E7FC3" w:rsidRDefault="00000000" w:rsidP="008E7FC3">
      <w:pPr>
        <w:pStyle w:val="BodyText"/>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i</m:t>
            </m:r>
          </m:sub>
          <m:sup>
            <m:r>
              <w:rPr>
                <w:rFonts w:ascii="Cambria Math" w:eastAsiaTheme="minorEastAsia" w:hAnsi="Cambria Math"/>
              </w:rPr>
              <m:t>*</m:t>
            </m:r>
          </m:sup>
        </m:sSubSup>
      </m:oMath>
      <w:r w:rsidR="008E7FC3">
        <w:rPr>
          <w:rFonts w:eastAsiaTheme="minorEastAsia"/>
        </w:rPr>
        <w:t xml:space="preserve"> varies with observed personal characteristics, meaning that:</w:t>
      </w:r>
    </w:p>
    <w:p w14:paraId="1F886866" w14:textId="77777777" w:rsidR="008E7FC3" w:rsidRDefault="00000000" w:rsidP="008E7FC3">
      <w:pPr>
        <w:pStyle w:val="BodyText"/>
        <w:rPr>
          <w:rFonts w:eastAsiaTheme="minorEastAsia"/>
        </w:rPr>
      </w:pPr>
      <m:oMathPara>
        <m:oMath>
          <m:sSubSup>
            <m:sSubSupPr>
              <m:ctrlPr>
                <w:rPr>
                  <w:rFonts w:ascii="Cambria Math" w:hAnsi="Cambria Math"/>
                </w:rPr>
              </m:ctrlPr>
            </m:sSubSupPr>
            <m:e>
              <m:r>
                <w:rPr>
                  <w:rFonts w:ascii="Cambria Math" w:eastAsiaTheme="minorEastAsia" w:hAnsi="Cambria Math"/>
                </w:rPr>
                <m:t>E</m:t>
              </m:r>
            </m:e>
            <m:sub>
              <m:r>
                <w:rPr>
                  <w:rFonts w:ascii="Cambria Math" w:eastAsiaTheme="minorEastAsia" w:hAnsi="Cambria Math"/>
                </w:rPr>
                <m:t>i</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sSub>
            <m:sSubPr>
              <m:ctrlPr>
                <w:rPr>
                  <w:rFonts w:ascii="Cambria Math" w:hAnsi="Cambria Math"/>
                </w:rPr>
              </m:ctrlPr>
            </m:sSubPr>
            <m:e>
              <m:r>
                <w:rPr>
                  <w:rFonts w:ascii="Cambria Math" w:eastAsiaTheme="minorEastAsia" w:hAnsi="Cambria Math"/>
                </w:rPr>
                <m:t>u</m:t>
              </m:r>
            </m:e>
            <m:sub>
              <m:r>
                <w:rPr>
                  <w:rFonts w:ascii="Cambria Math" w:eastAsiaTheme="minorEastAsia" w:hAnsi="Cambria Math"/>
                </w:rPr>
                <m:t>i</m:t>
              </m:r>
            </m:sub>
          </m:sSub>
        </m:oMath>
      </m:oMathPara>
    </w:p>
    <w:p w14:paraId="4F19E041" w14:textId="77777777" w:rsidR="008E7FC3" w:rsidRDefault="008E7FC3" w:rsidP="008E7FC3">
      <w:pPr>
        <w:pStyle w:val="BodyText"/>
        <w:rPr>
          <w:rFonts w:eastAsiaTheme="minorEastAsia"/>
        </w:rPr>
      </w:pPr>
      <w:r>
        <w:rPr>
          <w:rFonts w:eastAsiaTheme="minorEastAsia"/>
        </w:rPr>
        <w:t xml:space="preserve">where </w:t>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is the observed values of individual </w:t>
      </w:r>
      <m:oMath>
        <m:r>
          <w:rPr>
            <w:rFonts w:ascii="Cambria Math" w:eastAsiaTheme="minorEastAsia" w:hAnsi="Cambria Math"/>
          </w:rPr>
          <m:t>i</m:t>
        </m:r>
      </m:oMath>
      <w:r>
        <w:rPr>
          <w:rFonts w:eastAsiaTheme="minorEastAsia"/>
        </w:rPr>
        <w:t xml:space="preserve">’s personal characteristics, </w:t>
      </w:r>
      <m:oMath>
        <m:r>
          <w:rPr>
            <w:rFonts w:ascii="Cambria Math" w:eastAsiaTheme="minorEastAsia" w:hAnsi="Cambria Math"/>
          </w:rPr>
          <m:t>γ</m:t>
        </m:r>
      </m:oMath>
      <w:r>
        <w:rPr>
          <w:rFonts w:eastAsiaTheme="minorEastAsia"/>
        </w:rPr>
        <w:t xml:space="preserve"> is a vector of how these characteristics affect the probability of working (the selection equation coefficients) and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oMath>
      <w:r>
        <w:rPr>
          <w:rFonts w:eastAsiaTheme="minorEastAsia"/>
        </w:rPr>
        <w:t xml:space="preserve"> is assumed to be an independent and normally distributed error term. As a result, the probability of working can be represented as:</w:t>
      </w:r>
    </w:p>
    <w:p w14:paraId="2EBCF73B" w14:textId="77777777" w:rsidR="008E7FC3" w:rsidRDefault="00000000" w:rsidP="008E7FC3">
      <w:pPr>
        <w:pStyle w:val="BodyText"/>
        <w:rPr>
          <w:rFonts w:eastAsiaTheme="minorEastAsia"/>
        </w:rPr>
      </w:pPr>
      <m:oMathPara>
        <m:oMath>
          <m:func>
            <m:funcPr>
              <m:ctrlPr>
                <w:rPr>
                  <w:rFonts w:ascii="Cambria Math" w:eastAsiaTheme="minorEastAsia" w:hAnsi="Cambria Math"/>
                </w:rPr>
              </m:ctrlPr>
            </m:funcPr>
            <m:fName>
              <m:r>
                <m:rPr>
                  <m:sty m:val="p"/>
                </m:rPr>
                <w:rPr>
                  <w:rFonts w:ascii="Cambria Math" w:eastAsiaTheme="minorEastAsia" w:hAnsi="Cambria Math"/>
                </w:rPr>
                <m:t>Pr</m:t>
              </m:r>
            </m:fName>
            <m:e>
              <m:d>
                <m:dPr>
                  <m:ctrlPr>
                    <w:rPr>
                      <w:rFonts w:ascii="Cambria Math" w:hAnsi="Cambria Math"/>
                    </w:rPr>
                  </m:ctrlPr>
                </m:dPr>
                <m:e>
                  <m:sSubSup>
                    <m:sSubSupPr>
                      <m:ctrlPr>
                        <w:rPr>
                          <w:rFonts w:ascii="Cambria Math" w:hAnsi="Cambria Math"/>
                        </w:rPr>
                      </m:ctrlPr>
                    </m:sSubSupPr>
                    <m:e>
                      <m:r>
                        <w:rPr>
                          <w:rFonts w:ascii="Cambria Math" w:eastAsiaTheme="minorEastAsia" w:hAnsi="Cambria Math"/>
                        </w:rPr>
                        <m:t>E</m:t>
                      </m:r>
                    </m:e>
                    <m:sub>
                      <m:r>
                        <w:rPr>
                          <w:rFonts w:ascii="Cambria Math" w:eastAsiaTheme="minorEastAsia" w:hAnsi="Cambria Math"/>
                        </w:rPr>
                        <m:t>i</m:t>
                      </m:r>
                    </m:sub>
                    <m:sup>
                      <m:r>
                        <w:rPr>
                          <w:rFonts w:ascii="Cambria Math" w:hAnsi="Cambria Math"/>
                        </w:rPr>
                        <m:t>*</m:t>
                      </m:r>
                    </m:sup>
                  </m:sSubSup>
                  <m:r>
                    <w:rPr>
                      <w:rFonts w:ascii="Cambria Math" w:hAnsi="Cambria Math"/>
                    </w:rPr>
                    <m:t>&gt;0</m:t>
                  </m:r>
                </m:e>
              </m:d>
            </m:e>
          </m:func>
          <m:r>
            <w:rPr>
              <w:rFonts w:ascii="Cambria Math" w:hAnsi="Cambria Math"/>
            </w:rPr>
            <m:t>=</m:t>
          </m:r>
          <m:r>
            <m:rPr>
              <m:sty m:val="p"/>
            </m:rPr>
            <w:rPr>
              <w:rFonts w:ascii="Cambria Math" w:eastAsiaTheme="minorEastAsia" w:hAnsi="Cambria Math"/>
            </w:rPr>
            <m:t>Φ</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oMath>
      </m:oMathPara>
    </w:p>
    <w:p w14:paraId="22654F34" w14:textId="77777777" w:rsidR="008E7FC3" w:rsidRDefault="008E7FC3" w:rsidP="008E7FC3">
      <w:pPr>
        <w:pStyle w:val="BodyText"/>
        <w:rPr>
          <w:rFonts w:eastAsiaTheme="minorEastAsia"/>
        </w:rPr>
      </w:pPr>
      <w:r>
        <w:t xml:space="preserve">where </w:t>
      </w:r>
      <m:oMath>
        <m:r>
          <m:rPr>
            <m:sty m:val="p"/>
          </m:rPr>
          <w:rPr>
            <w:rFonts w:ascii="Cambria Math" w:hAnsi="Cambria Math"/>
          </w:rPr>
          <m:t>Φ</m:t>
        </m:r>
      </m:oMath>
      <w:r>
        <w:rPr>
          <w:rFonts w:eastAsiaTheme="minorEastAsia"/>
        </w:rPr>
        <w:t xml:space="preserve"> is the standard normal cumulative density function. Correspondingly, the probability of not working is:</w:t>
      </w:r>
    </w:p>
    <w:p w14:paraId="239C3D48" w14:textId="77777777" w:rsidR="008E7FC3" w:rsidRPr="00CE04BA" w:rsidRDefault="00000000" w:rsidP="008E7FC3">
      <w:pPr>
        <w:pStyle w:val="BodyText"/>
        <w:rPr>
          <w:rFonts w:eastAsiaTheme="minorEastAsia"/>
        </w:rPr>
      </w:pPr>
      <m:oMathPara>
        <m:oMath>
          <m:func>
            <m:funcPr>
              <m:ctrlPr>
                <w:rPr>
                  <w:rFonts w:ascii="Cambria Math" w:eastAsiaTheme="minorEastAsia" w:hAnsi="Cambria Math"/>
                </w:rPr>
              </m:ctrlPr>
            </m:funcPr>
            <m:fName>
              <m:r>
                <m:rPr>
                  <m:sty m:val="p"/>
                </m:rPr>
                <w:rPr>
                  <w:rFonts w:ascii="Cambria Math" w:eastAsiaTheme="minorEastAsia" w:hAnsi="Cambria Math"/>
                </w:rPr>
                <m:t>Pr</m:t>
              </m:r>
            </m:fName>
            <m:e>
              <m:d>
                <m:dPr>
                  <m:ctrlPr>
                    <w:rPr>
                      <w:rFonts w:ascii="Cambria Math" w:hAnsi="Cambria Math"/>
                    </w:rPr>
                  </m:ctrlPr>
                </m:dPr>
                <m:e>
                  <m:sSubSup>
                    <m:sSubSupPr>
                      <m:ctrlPr>
                        <w:rPr>
                          <w:rFonts w:ascii="Cambria Math" w:hAnsi="Cambria Math"/>
                        </w:rPr>
                      </m:ctrlPr>
                    </m:sSubSupPr>
                    <m:e>
                      <m:r>
                        <w:rPr>
                          <w:rFonts w:ascii="Cambria Math" w:eastAsiaTheme="minorEastAsia" w:hAnsi="Cambria Math"/>
                        </w:rPr>
                        <m:t>E</m:t>
                      </m:r>
                    </m:e>
                    <m:sub>
                      <m:r>
                        <w:rPr>
                          <w:rFonts w:ascii="Cambria Math" w:eastAsiaTheme="minorEastAsia" w:hAnsi="Cambria Math"/>
                        </w:rPr>
                        <m:t>i</m:t>
                      </m:r>
                    </m:sub>
                    <m:sup>
                      <m:r>
                        <w:rPr>
                          <w:rFonts w:ascii="Cambria Math" w:hAnsi="Cambria Math"/>
                        </w:rPr>
                        <m:t>*</m:t>
                      </m:r>
                    </m:sup>
                  </m:sSubSup>
                  <m:r>
                    <w:rPr>
                      <w:rFonts w:ascii="Cambria Math" w:hAnsi="Cambria Math"/>
                    </w:rPr>
                    <m:t>≤0</m:t>
                  </m:r>
                </m:e>
              </m:d>
            </m:e>
          </m:func>
          <m:r>
            <w:rPr>
              <w:rFonts w:ascii="Cambria Math" w:hAnsi="Cambria Math"/>
            </w:rPr>
            <m:t>=1-</m:t>
          </m:r>
          <m:r>
            <m:rPr>
              <m:sty m:val="p"/>
            </m:rPr>
            <w:rPr>
              <w:rFonts w:ascii="Cambria Math" w:eastAsiaTheme="minorEastAsia" w:hAnsi="Cambria Math"/>
            </w:rPr>
            <m:t>Φ</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oMath>
      </m:oMathPara>
    </w:p>
    <w:p w14:paraId="3BE7C042" w14:textId="77777777" w:rsidR="008E7FC3" w:rsidRDefault="008E7FC3" w:rsidP="008E7FC3">
      <w:pPr>
        <w:pStyle w:val="BodyText"/>
        <w:rPr>
          <w:rFonts w:eastAsiaTheme="minorEastAsia"/>
        </w:rPr>
      </w:pPr>
      <w:r>
        <w:rPr>
          <w:rFonts w:eastAsiaTheme="minorEastAsia"/>
        </w:rPr>
        <w:t xml:space="preserve">From the above, the Inverse Mills Ratio, </w:t>
      </w:r>
      <m:oMath>
        <m:acc>
          <m:accPr>
            <m:ctrlPr>
              <w:rPr>
                <w:rFonts w:ascii="Cambria Math" w:hAnsi="Cambria Math"/>
              </w:rPr>
            </m:ctrlPr>
          </m:accPr>
          <m:e>
            <m:sSub>
              <m:sSubPr>
                <m:ctrlPr>
                  <w:rPr>
                    <w:rFonts w:ascii="Cambria Math" w:hAnsi="Cambria Math"/>
                  </w:rPr>
                </m:ctrlPr>
              </m:sSubPr>
              <m:e>
                <m:r>
                  <w:rPr>
                    <w:rFonts w:ascii="Cambria Math" w:hAnsi="Cambria Math"/>
                  </w:rPr>
                  <m:t>λ</m:t>
                </m:r>
              </m:e>
              <m:sub>
                <m:r>
                  <w:rPr>
                    <w:rFonts w:ascii="Cambria Math" w:hAnsi="Cambria Math"/>
                  </w:rPr>
                  <m:t>i</m:t>
                </m:r>
              </m:sub>
            </m:sSub>
          </m:e>
        </m:acc>
      </m:oMath>
      <w:r>
        <w:rPr>
          <w:rFonts w:eastAsiaTheme="minorEastAsia"/>
        </w:rPr>
        <w:t>, can be estimated as:</w:t>
      </w:r>
    </w:p>
    <w:bookmarkStart w:id="47" w:name="_Hlk146273798"/>
    <w:p w14:paraId="44C77A4B" w14:textId="77777777" w:rsidR="008E7FC3" w:rsidRPr="00DD16B6" w:rsidRDefault="00000000" w:rsidP="008E7FC3">
      <w:pPr>
        <w:pStyle w:val="BodyText"/>
        <w:rPr>
          <w:rFonts w:eastAsiaTheme="minorEastAsia"/>
        </w:rPr>
      </w:pPr>
      <m:oMathPara>
        <m:oMath>
          <m:acc>
            <m:accPr>
              <m:ctrlPr>
                <w:rPr>
                  <w:rFonts w:ascii="Cambria Math" w:hAnsi="Cambria Math"/>
                </w:rPr>
              </m:ctrlPr>
            </m:accPr>
            <m:e>
              <m:sSub>
                <m:sSubPr>
                  <m:ctrlPr>
                    <w:rPr>
                      <w:rFonts w:ascii="Cambria Math" w:hAnsi="Cambria Math"/>
                    </w:rPr>
                  </m:ctrlPr>
                </m:sSubPr>
                <m:e>
                  <m:r>
                    <w:rPr>
                      <w:rFonts w:ascii="Cambria Math" w:hAnsi="Cambria Math"/>
                    </w:rPr>
                    <m:t>λ</m:t>
                  </m:r>
                </m:e>
                <m:sub>
                  <m:r>
                    <w:rPr>
                      <w:rFonts w:ascii="Cambria Math" w:hAnsi="Cambria Math"/>
                    </w:rPr>
                    <m:t>i</m:t>
                  </m:r>
                </m:sub>
              </m:sSub>
            </m:e>
          </m:acc>
          <w:bookmarkEnd w:id="47"/>
          <m:r>
            <w:rPr>
              <w:rFonts w:ascii="Cambria Math" w:hAnsi="Cambria Math"/>
            </w:rPr>
            <m:t>=</m:t>
          </m:r>
          <m:f>
            <m:fPr>
              <m:ctrlPr>
                <w:rPr>
                  <w:rFonts w:ascii="Cambria Math" w:hAnsi="Cambria Math"/>
                </w:rPr>
              </m:ctrlPr>
            </m:fPr>
            <m:num>
              <m:r>
                <w:rPr>
                  <w:rFonts w:ascii="Cambria Math" w:eastAsiaTheme="minorEastAsia" w:hAnsi="Cambria Math"/>
                </w:rPr>
                <m:t>ϕ</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num>
            <m:den>
              <m:r>
                <m:rPr>
                  <m:sty m:val="p"/>
                </m:rPr>
                <w:rPr>
                  <w:rFonts w:ascii="Cambria Math" w:eastAsiaTheme="minorEastAsia" w:hAnsi="Cambria Math"/>
                </w:rPr>
                <m:t>Φ</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r>
                <w:rPr>
                  <w:rFonts w:ascii="Cambria Math" w:eastAsiaTheme="minorEastAsia" w:hAnsi="Cambria Math"/>
                </w:rPr>
                <m:t>γ</m:t>
              </m:r>
              <m:r>
                <w:rPr>
                  <w:rFonts w:ascii="Cambria Math" w:hAnsi="Cambria Math"/>
                </w:rPr>
                <m:t>)</m:t>
              </m:r>
            </m:den>
          </m:f>
        </m:oMath>
      </m:oMathPara>
    </w:p>
    <w:p w14:paraId="33AB72AD" w14:textId="77777777" w:rsidR="008E7FC3" w:rsidRDefault="008E7FC3" w:rsidP="008E7FC3">
      <w:pPr>
        <w:pStyle w:val="BodyText"/>
      </w:pPr>
      <w:r>
        <w:rPr>
          <w:rFonts w:eastAsiaTheme="minorEastAsia"/>
        </w:rPr>
        <w:t xml:space="preserve">where </w:t>
      </w:r>
      <m:oMath>
        <m:r>
          <w:rPr>
            <w:rFonts w:ascii="Cambria Math" w:eastAsiaTheme="minorEastAsia" w:hAnsi="Cambria Math"/>
          </w:rPr>
          <m:t>ϕ</m:t>
        </m:r>
      </m:oMath>
      <w:r>
        <w:rPr>
          <w:rFonts w:eastAsiaTheme="minorEastAsia"/>
        </w:rPr>
        <w:t xml:space="preserve"> is the standard normal density function. The Inverse Mills Ratio captures the probability that an individual will be a worker over the cumulative probability of their decision to work or not work.</w:t>
      </w:r>
    </w:p>
    <w:p w14:paraId="535B321C" w14:textId="77777777" w:rsidR="008E7FC3" w:rsidRDefault="008E7FC3" w:rsidP="008E7FC3">
      <w:pPr>
        <w:pStyle w:val="Heading4"/>
      </w:pPr>
      <w:r>
        <w:t>Wage equation</w:t>
      </w:r>
    </w:p>
    <w:p w14:paraId="6C9E3F26" w14:textId="77777777" w:rsidR="008E7FC3" w:rsidRDefault="008E7FC3" w:rsidP="008E7FC3">
      <w:pPr>
        <w:pStyle w:val="BodyText"/>
      </w:pPr>
      <w:r>
        <w:t>The wage equation connects a person’s wage to their observable characteristics, such as gender, age and educational qualifications, as well as the estimated selection bias. The wage equation is defined as:</w:t>
      </w:r>
    </w:p>
    <w:p w14:paraId="0DE992FD" w14:textId="77777777" w:rsidR="008E7FC3" w:rsidRDefault="00000000" w:rsidP="008E7FC3">
      <w:pPr>
        <w:pStyle w:val="BodyText"/>
      </w:pPr>
      <m:oMathPara>
        <m:oMath>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&gt;0</m:t>
                  </m:r>
                </m:e>
                <m:e>
                  <m:r>
                    <w:rPr>
                      <w:rFonts w:ascii="Cambria Math" w:hAnsi="Cambria Math"/>
                    </w:rPr>
                    <m:t xml:space="preserve">not observed,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≤0</m:t>
                  </m:r>
                </m:e>
              </m:eqArr>
            </m:e>
          </m:d>
        </m:oMath>
      </m:oMathPara>
    </w:p>
    <w:p w14:paraId="54B8A2E4" w14:textId="77777777" w:rsidR="008E7FC3" w:rsidRDefault="00000000" w:rsidP="008E7FC3">
      <w:pPr>
        <w:pStyle w:val="BodyText"/>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8E7FC3">
        <w:rPr>
          <w:rFonts w:eastAsiaTheme="minorEastAsia"/>
        </w:rPr>
        <w:t xml:space="preserve"> is observed if a person works, but is unobserved for non</w:t>
      </w:r>
      <w:r w:rsidR="008E7FC3">
        <w:rPr>
          <w:rFonts w:eastAsiaTheme="minorEastAsia"/>
        </w:rPr>
        <w:noBreakHyphen/>
        <w:t xml:space="preserve">workers. Letting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ln⁡</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oMath>
      <w:r w:rsidR="008E7FC3">
        <w:rPr>
          <w:rFonts w:eastAsiaTheme="minorEastAsia"/>
        </w:rPr>
        <w:t xml:space="preserve"> be the natural logarithm of the wage rate,</w:t>
      </w:r>
      <w:r w:rsidR="008E7FC3" w:rsidRPr="004F3B66">
        <w:rPr>
          <w:rStyle w:val="FootnoteReference"/>
        </w:rPr>
        <w:footnoteReference w:id="53"/>
      </w:r>
      <w:r w:rsidR="008E7FC3">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oMath>
      <w:r w:rsidR="008E7FC3">
        <w:rPr>
          <w:rFonts w:eastAsiaTheme="minorEastAsia"/>
        </w:rPr>
        <w:t xml:space="preserve"> be the observed values of the personal, human capital and occupation characteristics that influence each individual </w:t>
      </w:r>
      <m:oMath>
        <m:r>
          <w:rPr>
            <w:rFonts w:ascii="Cambria Math" w:eastAsiaTheme="minorEastAsia" w:hAnsi="Cambria Math"/>
          </w:rPr>
          <m:t>i</m:t>
        </m:r>
      </m:oMath>
      <w:r w:rsidR="008E7FC3">
        <w:rPr>
          <w:rFonts w:eastAsiaTheme="minorEastAsia"/>
        </w:rPr>
        <w:t xml:space="preserve">’s wage rate, and </w:t>
      </w:r>
      <m:oMath>
        <m:r>
          <w:rPr>
            <w:rFonts w:ascii="Cambria Math" w:eastAsiaTheme="minorEastAsia" w:hAnsi="Cambria Math"/>
          </w:rPr>
          <m:t>β</m:t>
        </m:r>
      </m:oMath>
      <w:r w:rsidR="008E7FC3">
        <w:rPr>
          <w:rFonts w:eastAsiaTheme="minorEastAsia"/>
        </w:rPr>
        <w:t xml:space="preserve"> be a vector of how these characteristics affect wages (the wage equation coefficients), an individual worker’s wage rate can then be represented in the form:</w:t>
      </w:r>
    </w:p>
    <w:p w14:paraId="4A4DDA65" w14:textId="77777777" w:rsidR="008E7FC3" w:rsidRPr="002863B1" w:rsidRDefault="00000000" w:rsidP="008E7FC3">
      <w:pPr>
        <w:pStyle w:val="BodyTex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β+</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m:t>
              </m:r>
            </m:sub>
          </m:sSub>
        </m:oMath>
      </m:oMathPara>
    </w:p>
    <w:p w14:paraId="27C03F2B" w14:textId="77777777" w:rsidR="008E7FC3" w:rsidRDefault="008E7FC3" w:rsidP="008E7FC3">
      <w:pPr>
        <w:pStyle w:val="BodyText"/>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m:t>
            </m:r>
          </m:sub>
        </m:sSub>
      </m:oMath>
      <w:r>
        <w:rPr>
          <w:rFonts w:eastAsiaTheme="minorEastAsia"/>
        </w:rPr>
        <w:t xml:space="preserve"> captures the unobserved determinants of wage offers. Conditional on a person working, the predicted wage rate is:</w:t>
      </w:r>
    </w:p>
    <w:p w14:paraId="15440C5F" w14:textId="77777777" w:rsidR="008E7FC3" w:rsidRPr="00533A45" w:rsidRDefault="008E7FC3" w:rsidP="008E7FC3">
      <w:pPr>
        <w:pStyle w:val="BodyText"/>
        <w:rPr>
          <w:rFonts w:eastAsiaTheme="minorEastAsia"/>
        </w:rPr>
      </w:pPr>
      <m:oMathPara>
        <m:oMath>
          <m:r>
            <w:rPr>
              <w:rFonts w:ascii="Cambria Math" w:eastAsiaTheme="minorEastAsia" w:hAnsi="Cambria Math"/>
            </w:rPr>
            <m:t>E</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β+E(</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oMath>
      </m:oMathPara>
    </w:p>
    <w:p w14:paraId="6E9B5161" w14:textId="77777777" w:rsidR="008E7FC3" w:rsidRDefault="008E7FC3" w:rsidP="008E7FC3">
      <w:pPr>
        <w:spacing w:before="0" w:after="160" w:line="259" w:lineRule="auto"/>
        <w:rPr>
          <w:rFonts w:eastAsiaTheme="minorEastAsia"/>
        </w:rPr>
      </w:pPr>
      <w:r>
        <w:rPr>
          <w:rFonts w:eastAsiaTheme="minorEastAsia"/>
        </w:rPr>
        <w:br w:type="page"/>
      </w:r>
    </w:p>
    <w:p w14:paraId="578DF145" w14:textId="77777777" w:rsidR="008E7FC3" w:rsidRDefault="008E7FC3" w:rsidP="008E7FC3">
      <w:pPr>
        <w:pStyle w:val="BodyText"/>
        <w:rPr>
          <w:rFonts w:eastAsiaTheme="minorEastAsia"/>
        </w:rPr>
      </w:pPr>
      <w:r>
        <w:rPr>
          <w:rFonts w:eastAsiaTheme="minorEastAsia"/>
        </w:rPr>
        <w:lastRenderedPageBreak/>
        <w:t xml:space="preserve">If there is selection bias, </w:t>
      </w:r>
      <m:oMath>
        <m:r>
          <w:rPr>
            <w:rFonts w:ascii="Cambria Math" w:eastAsiaTheme="minorEastAsia" w:hAnsi="Cambria Math"/>
          </w:rPr>
          <m:t>E(</m:t>
        </m:r>
        <m:sSub>
          <m:sSubPr>
            <m:ctrlPr>
              <w:rPr>
                <w:rFonts w:ascii="Cambria Math" w:eastAsiaTheme="minorEastAsia" w:hAnsi="Cambria Math"/>
                <w:i/>
              </w:rPr>
            </m:ctrlPr>
          </m:sSubPr>
          <m:e>
            <m:r>
              <m:rPr>
                <m:sty m:val="p"/>
              </m:rPr>
              <w:rPr>
                <w:rFonts w:ascii="Cambria Math" w:eastAsiaTheme="minorEastAsia" w:hAnsi="Cambria Math"/>
              </w:rPr>
              <m:t>ε</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oMath>
      <w:r>
        <w:rPr>
          <w:rFonts w:eastAsiaTheme="minorEastAsia"/>
        </w:rPr>
        <w:t xml:space="preserve"> will not be zero – using the above equation to predict non</w:t>
      </w:r>
      <w:r>
        <w:rPr>
          <w:rFonts w:eastAsiaTheme="minorEastAsia"/>
        </w:rPr>
        <w:noBreakHyphen/>
        <w:t>workers’ wages will not provide accurate results. To eliminate selection bias, the wage equation for the subsample of workers needs to estimate an additional coefficient by including the Inverse Mills Ratio. Assuming that the error terms of the selection and wage equations are correlated and jointly normally distributed, the model is estimated as:</w:t>
      </w:r>
    </w:p>
    <w:p w14:paraId="7B6DC7CB" w14:textId="77777777" w:rsidR="008E7FC3" w:rsidRPr="00EB425F" w:rsidRDefault="008E7FC3" w:rsidP="008E7FC3">
      <w:pPr>
        <w:pStyle w:val="BodyText"/>
        <w:rPr>
          <w:rFonts w:eastAsiaTheme="minorEastAsia"/>
        </w:rPr>
      </w:pPr>
      <m:oMathPara>
        <m:oMath>
          <m:r>
            <w:rPr>
              <w:rFonts w:ascii="Cambria Math" w:eastAsiaTheme="minorEastAsia" w:hAnsi="Cambria Math"/>
            </w:rPr>
            <m:t>E</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=1</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β+ρ</m:t>
          </m:r>
          <m:sSub>
            <m:sSubPr>
              <m:ctrlPr>
                <w:rPr>
                  <w:rFonts w:ascii="Cambria Math" w:hAnsi="Cambria Math"/>
                </w:rPr>
              </m:ctrlPr>
            </m:sSubPr>
            <m:e>
              <m:r>
                <w:rPr>
                  <w:rFonts w:ascii="Cambria Math" w:eastAsiaTheme="minorEastAsia" w:hAnsi="Cambria Math"/>
                </w:rPr>
                <m:t>σ</m:t>
              </m:r>
            </m:e>
            <m:sub>
              <m:r>
                <m:rPr>
                  <m:sty m:val="p"/>
                </m:rPr>
                <w:rPr>
                  <w:rFonts w:ascii="Cambria Math" w:eastAsiaTheme="minorEastAsia" w:hAnsi="Cambria Math"/>
                </w:rPr>
                <m:t>ε</m:t>
              </m:r>
            </m:sub>
          </m:sSub>
          <m:acc>
            <m:accPr>
              <m:ctrlPr>
                <w:rPr>
                  <w:rFonts w:ascii="Cambria Math" w:hAnsi="Cambria Math"/>
                </w:rPr>
              </m:ctrlPr>
            </m:accPr>
            <m:e>
              <m:sSub>
                <m:sSubPr>
                  <m:ctrlPr>
                    <w:rPr>
                      <w:rFonts w:ascii="Cambria Math" w:hAnsi="Cambria Math"/>
                    </w:rPr>
                  </m:ctrlPr>
                </m:sSubPr>
                <m:e>
                  <m:r>
                    <w:rPr>
                      <w:rFonts w:ascii="Cambria Math" w:hAnsi="Cambria Math"/>
                    </w:rPr>
                    <m:t>λ</m:t>
                  </m:r>
                </m:e>
                <m:sub>
                  <m:r>
                    <w:rPr>
                      <w:rFonts w:ascii="Cambria Math" w:hAnsi="Cambria Math"/>
                    </w:rPr>
                    <m:t>i</m:t>
                  </m:r>
                </m:sub>
              </m:sSub>
            </m:e>
          </m:acc>
        </m:oMath>
      </m:oMathPara>
    </w:p>
    <w:p w14:paraId="3D96ADE2" w14:textId="77777777" w:rsidR="008E7FC3" w:rsidRDefault="008E7FC3" w:rsidP="008E7FC3">
      <w:pPr>
        <w:pStyle w:val="BodyText"/>
        <w:rPr>
          <w:rFonts w:eastAsiaTheme="minorEastAsia"/>
        </w:rPr>
      </w:pPr>
      <w:r>
        <w:rPr>
          <w:rFonts w:eastAsiaTheme="minorEastAsia"/>
        </w:rPr>
        <w:t xml:space="preserve">where </w:t>
      </w:r>
      <m:oMath>
        <m:r>
          <w:rPr>
            <w:rFonts w:ascii="Cambria Math" w:eastAsiaTheme="minorEastAsia" w:hAnsi="Cambria Math"/>
          </w:rPr>
          <m:t>ρ</m:t>
        </m:r>
      </m:oMath>
      <w:r>
        <w:rPr>
          <w:rFonts w:eastAsiaTheme="minorEastAsia"/>
        </w:rPr>
        <w:t xml:space="preserve"> is the correlation between error terms in the selection and wage equations, and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ε</m:t>
            </m:r>
          </m:sub>
        </m:sSub>
      </m:oMath>
      <w:r>
        <w:rPr>
          <w:rFonts w:eastAsiaTheme="minorEastAsia"/>
        </w:rPr>
        <w:t xml:space="preserve"> is the standard deviation of </w:t>
      </w:r>
      <m:oMath>
        <m:r>
          <w:rPr>
            <w:rFonts w:ascii="Cambria Math" w:eastAsiaTheme="minorEastAsia" w:hAnsi="Cambria Math"/>
          </w:rPr>
          <m:t>ε</m:t>
        </m:r>
      </m:oMath>
      <w:r>
        <w:rPr>
          <w:rFonts w:eastAsiaTheme="minorEastAsia"/>
        </w:rPr>
        <w:t>. By including the Inverse Mills Ratio in the wage equation, t</w:t>
      </w:r>
      <w:r w:rsidRPr="0011297B">
        <w:rPr>
          <w:rFonts w:eastAsiaTheme="minorEastAsia"/>
        </w:rPr>
        <w:t xml:space="preserve">he part of </w:t>
      </w:r>
      <m:oMath>
        <m:r>
          <w:rPr>
            <w:rFonts w:ascii="Cambria Math" w:eastAsiaTheme="minorEastAsia" w:hAnsi="Cambria Math"/>
          </w:rPr>
          <m:t>ε</m:t>
        </m:r>
      </m:oMath>
      <w:r>
        <w:rPr>
          <w:rFonts w:eastAsiaTheme="minorEastAsia"/>
        </w:rPr>
        <w:t xml:space="preserve"> where selection into working </w:t>
      </w:r>
      <w:r w:rsidRPr="0011297B">
        <w:rPr>
          <w:rFonts w:eastAsiaTheme="minorEastAsia"/>
        </w:rPr>
        <w:t xml:space="preserve">influences </w:t>
      </w:r>
      <w:r>
        <w:rPr>
          <w:rFonts w:eastAsiaTheme="minorEastAsia"/>
        </w:rPr>
        <w:t>an individual’s</w:t>
      </w:r>
      <w:r w:rsidRPr="0011297B">
        <w:rPr>
          <w:rFonts w:eastAsiaTheme="minorEastAsia"/>
        </w:rPr>
        <w:t xml:space="preserve"> wage</w:t>
      </w:r>
      <w:r>
        <w:rPr>
          <w:rFonts w:eastAsiaTheme="minorEastAsia"/>
        </w:rPr>
        <w:t xml:space="preserve"> has been controlled for when estimating coefficients. Ultimately, the log wages of workers and non</w:t>
      </w:r>
      <w:r>
        <w:rPr>
          <w:rFonts w:eastAsiaTheme="minorEastAsia"/>
        </w:rPr>
        <w:noBreakHyphen/>
        <w:t>workers can be predicted as:</w:t>
      </w:r>
    </w:p>
    <w:p w14:paraId="589989BF" w14:textId="77777777" w:rsidR="008E7FC3" w:rsidRPr="00B94AC9" w:rsidRDefault="008E7FC3" w:rsidP="008E7FC3">
      <w:pPr>
        <w:pStyle w:val="BodyText"/>
        <w:rPr>
          <w:rFonts w:eastAsiaTheme="minorEastAsia"/>
        </w:rPr>
      </w:pPr>
      <m:oMathPara>
        <m:oMath>
          <m:r>
            <w:rPr>
              <w:rFonts w:ascii="Cambria Math" w:eastAsiaTheme="minorEastAsia" w:hAnsi="Cambria Math"/>
            </w:rPr>
            <m:t>E</m:t>
          </m:r>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w</m:t>
                  </m:r>
                </m:e>
              </m:acc>
            </m:e>
            <m:sub>
              <m:r>
                <w:rPr>
                  <w:rFonts w:ascii="Cambria Math" w:eastAsiaTheme="minorEastAsia" w:hAnsi="Cambria Math"/>
                </w:rPr>
                <m:t>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=1)=</m:t>
          </m:r>
          <m:sSubSup>
            <m:sSubSupPr>
              <m:ctrlPr>
                <w:rPr>
                  <w:rFonts w:ascii="Cambria Math" w:hAnsi="Cambria Math"/>
                </w:rPr>
              </m:ctrlPr>
            </m:sSubSupPr>
            <m:e>
              <m:r>
                <w:rPr>
                  <w:rFonts w:ascii="Cambria Math" w:eastAsiaTheme="minorEastAsia" w:hAnsi="Cambria Math"/>
                </w:rPr>
                <m:t>x</m:t>
              </m:r>
            </m:e>
            <m:sub>
              <m:r>
                <w:rPr>
                  <w:rFonts w:ascii="Cambria Math" w:eastAsiaTheme="minorEastAsia" w:hAnsi="Cambria Math"/>
                </w:rPr>
                <m:t>i</m:t>
              </m:r>
            </m:sub>
            <m:sup>
              <m:r>
                <w:rPr>
                  <w:rFonts w:ascii="Cambria Math" w:hAnsi="Cambria Math"/>
                </w:rPr>
                <m:t>'</m:t>
              </m:r>
            </m:sup>
          </m:sSubSup>
          <m:acc>
            <m:accPr>
              <m:ctrlPr>
                <w:rPr>
                  <w:rFonts w:ascii="Cambria Math" w:hAnsi="Cambria Math"/>
                </w:rPr>
              </m:ctrlPr>
            </m:accPr>
            <m:e>
              <m:r>
                <w:rPr>
                  <w:rFonts w:ascii="Cambria Math" w:eastAsiaTheme="minorEastAsia" w:hAnsi="Cambria Math"/>
                </w:rPr>
                <m:t>β</m:t>
              </m:r>
            </m:e>
          </m:acc>
          <m:r>
            <w:rPr>
              <w:rFonts w:ascii="Cambria Math" w:hAnsi="Cambria Math"/>
            </w:rPr>
            <m:t>+</m:t>
          </m:r>
          <m:acc>
            <m:accPr>
              <m:ctrlPr>
                <w:rPr>
                  <w:rFonts w:ascii="Cambria Math" w:hAnsi="Cambria Math"/>
                </w:rPr>
              </m:ctrlPr>
            </m:accPr>
            <m:e>
              <m:r>
                <w:rPr>
                  <w:rFonts w:ascii="Cambria Math" w:eastAsiaTheme="minorEastAsia" w:hAnsi="Cambria Math"/>
                </w:rPr>
                <m:t>ρ</m:t>
              </m:r>
            </m:e>
          </m:acc>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σ</m:t>
                  </m:r>
                </m:e>
              </m:acc>
            </m:e>
            <m:sub>
              <m:r>
                <m:rPr>
                  <m:sty m:val="p"/>
                </m:rPr>
                <w:rPr>
                  <w:rFonts w:ascii="Cambria Math" w:eastAsiaTheme="minorEastAsia" w:hAnsi="Cambria Math"/>
                </w:rPr>
                <m:t>ε</m:t>
              </m:r>
            </m:sub>
          </m:sSub>
          <m:acc>
            <m:accPr>
              <m:ctrlPr>
                <w:rPr>
                  <w:rFonts w:ascii="Cambria Math" w:hAnsi="Cambria Math"/>
                </w:rPr>
              </m:ctrlPr>
            </m:accPr>
            <m:e>
              <m:sSub>
                <m:sSubPr>
                  <m:ctrlPr>
                    <w:rPr>
                      <w:rFonts w:ascii="Cambria Math" w:hAnsi="Cambria Math"/>
                    </w:rPr>
                  </m:ctrlPr>
                </m:sSubPr>
                <m:e>
                  <m:r>
                    <w:rPr>
                      <w:rFonts w:ascii="Cambria Math" w:hAnsi="Cambria Math"/>
                    </w:rPr>
                    <m:t>λ</m:t>
                  </m:r>
                </m:e>
                <m:sub>
                  <m:r>
                    <w:rPr>
                      <w:rFonts w:ascii="Cambria Math" w:hAnsi="Cambria Math"/>
                    </w:rPr>
                    <m:t>i</m:t>
                  </m:r>
                </m:sub>
              </m:sSub>
            </m:e>
          </m:acc>
        </m:oMath>
      </m:oMathPara>
    </w:p>
    <w:p w14:paraId="15464BA4" w14:textId="77777777" w:rsidR="008E7FC3" w:rsidRPr="00EB425F" w:rsidRDefault="008E7FC3" w:rsidP="008E7FC3">
      <w:pPr>
        <w:pStyle w:val="BodyText"/>
        <w:rPr>
          <w:rFonts w:eastAsiaTheme="minorEastAsia"/>
        </w:rPr>
      </w:pPr>
      <m:oMathPara>
        <m:oMath>
          <m:r>
            <w:rPr>
              <w:rFonts w:ascii="Cambria Math" w:eastAsiaTheme="minorEastAsia" w:hAnsi="Cambria Math"/>
            </w:rPr>
            <m:t>E</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w</m:t>
                      </m:r>
                    </m:e>
                  </m:acc>
                </m:e>
                <m:sub>
                  <m:r>
                    <w:rPr>
                      <w:rFonts w:ascii="Cambria Math" w:eastAsiaTheme="minorEastAsia" w:hAnsi="Cambria Math"/>
                    </w:rPr>
                    <m:t>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=0</m:t>
              </m:r>
            </m:e>
          </m:d>
          <m:r>
            <w:rPr>
              <w:rFonts w:ascii="Cambria Math" w:hAnsi="Cambria Math"/>
            </w:rPr>
            <m:t>=</m:t>
          </m:r>
          <m:sSubSup>
            <m:sSubSupPr>
              <m:ctrlPr>
                <w:rPr>
                  <w:rFonts w:ascii="Cambria Math" w:hAnsi="Cambria Math"/>
                </w:rPr>
              </m:ctrlPr>
            </m:sSubSupPr>
            <m:e>
              <m:r>
                <w:rPr>
                  <w:rFonts w:ascii="Cambria Math" w:eastAsiaTheme="minorEastAsia" w:hAnsi="Cambria Math"/>
                </w:rPr>
                <m:t>x</m:t>
              </m:r>
            </m:e>
            <m:sub>
              <m:r>
                <w:rPr>
                  <w:rFonts w:ascii="Cambria Math" w:eastAsiaTheme="minorEastAsia" w:hAnsi="Cambria Math"/>
                </w:rPr>
                <m:t>i</m:t>
              </m:r>
            </m:sub>
            <m:sup>
              <m:r>
                <w:rPr>
                  <w:rFonts w:ascii="Cambria Math" w:hAnsi="Cambria Math"/>
                </w:rPr>
                <m:t>'</m:t>
              </m:r>
            </m:sup>
          </m:sSubSup>
          <m:acc>
            <m:accPr>
              <m:ctrlPr>
                <w:rPr>
                  <w:rFonts w:ascii="Cambria Math" w:hAnsi="Cambria Math"/>
                </w:rPr>
              </m:ctrlPr>
            </m:accPr>
            <m:e>
              <m:r>
                <w:rPr>
                  <w:rFonts w:ascii="Cambria Math" w:eastAsiaTheme="minorEastAsia" w:hAnsi="Cambria Math"/>
                </w:rPr>
                <m:t>β</m:t>
              </m:r>
            </m:e>
          </m:acc>
          <m:r>
            <w:rPr>
              <w:rFonts w:ascii="Cambria Math" w:hAnsi="Cambria Math"/>
            </w:rPr>
            <m:t>-</m:t>
          </m:r>
          <m:acc>
            <m:accPr>
              <m:ctrlPr>
                <w:rPr>
                  <w:rFonts w:ascii="Cambria Math" w:hAnsi="Cambria Math"/>
                </w:rPr>
              </m:ctrlPr>
            </m:accPr>
            <m:e>
              <m:r>
                <w:rPr>
                  <w:rFonts w:ascii="Cambria Math" w:eastAsiaTheme="minorEastAsia" w:hAnsi="Cambria Math"/>
                </w:rPr>
                <m:t>ρ</m:t>
              </m:r>
            </m:e>
          </m:acc>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σ</m:t>
                  </m:r>
                </m:e>
              </m:acc>
            </m:e>
            <m:sub>
              <m:r>
                <m:rPr>
                  <m:sty m:val="p"/>
                </m:rPr>
                <w:rPr>
                  <w:rFonts w:ascii="Cambria Math" w:eastAsiaTheme="minorEastAsia" w:hAnsi="Cambria Math"/>
                </w:rPr>
                <m:t>ε</m:t>
              </m:r>
            </m:sub>
          </m:sSub>
          <m:f>
            <m:fPr>
              <m:ctrlPr>
                <w:rPr>
                  <w:rFonts w:ascii="Cambria Math" w:hAnsi="Cambria Math"/>
                </w:rPr>
              </m:ctrlPr>
            </m:fPr>
            <m:num>
              <m:r>
                <w:rPr>
                  <w:rFonts w:ascii="Cambria Math" w:eastAsiaTheme="minorEastAsia" w:hAnsi="Cambria Math"/>
                </w:rPr>
                <m:t>ϕ</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acc>
                <m:accPr>
                  <m:ctrlPr>
                    <w:rPr>
                      <w:rFonts w:ascii="Cambria Math" w:eastAsiaTheme="minorEastAsia" w:hAnsi="Cambria Math"/>
                      <w:i/>
                    </w:rPr>
                  </m:ctrlPr>
                </m:accPr>
                <m:e>
                  <m:r>
                    <w:rPr>
                      <w:rFonts w:ascii="Cambria Math" w:eastAsiaTheme="minorEastAsia" w:hAnsi="Cambria Math"/>
                    </w:rPr>
                    <m:t>γ</m:t>
                  </m:r>
                </m:e>
              </m:acc>
              <m:r>
                <w:rPr>
                  <w:rFonts w:ascii="Cambria Math" w:hAnsi="Cambria Math"/>
                </w:rPr>
                <m:t>)</m:t>
              </m:r>
            </m:num>
            <m:den>
              <m:r>
                <m:rPr>
                  <m:sty m:val="p"/>
                </m:rPr>
                <w:rPr>
                  <w:rFonts w:ascii="Cambria Math" w:eastAsiaTheme="minorEastAsia" w:hAnsi="Cambria Math"/>
                </w:rPr>
                <m:t>1-Φ</m:t>
              </m:r>
              <m:r>
                <w:rPr>
                  <w:rFonts w:ascii="Cambria Math" w:hAnsi="Cambria Math"/>
                </w:rPr>
                <m:t>(</m:t>
              </m:r>
              <m:sSubSup>
                <m:sSubSupPr>
                  <m:ctrlPr>
                    <w:rPr>
                      <w:rFonts w:ascii="Cambria Math" w:hAnsi="Cambria Math"/>
                    </w:rPr>
                  </m:ctrlPr>
                </m:sSubSupPr>
                <m:e>
                  <m:r>
                    <w:rPr>
                      <w:rFonts w:ascii="Cambria Math" w:eastAsiaTheme="minorEastAsia" w:hAnsi="Cambria Math"/>
                    </w:rPr>
                    <m:t>z</m:t>
                  </m:r>
                </m:e>
                <m:sub>
                  <m:r>
                    <w:rPr>
                      <w:rFonts w:ascii="Cambria Math" w:eastAsiaTheme="minorEastAsia" w:hAnsi="Cambria Math"/>
                    </w:rPr>
                    <m:t>i</m:t>
                  </m:r>
                </m:sub>
                <m:sup>
                  <m:r>
                    <w:rPr>
                      <w:rFonts w:ascii="Cambria Math" w:hAnsi="Cambria Math"/>
                    </w:rPr>
                    <m:t>'</m:t>
                  </m:r>
                </m:sup>
              </m:sSubSup>
              <m:acc>
                <m:accPr>
                  <m:ctrlPr>
                    <w:rPr>
                      <w:rFonts w:ascii="Cambria Math" w:eastAsiaTheme="minorEastAsia" w:hAnsi="Cambria Math"/>
                      <w:i/>
                    </w:rPr>
                  </m:ctrlPr>
                </m:accPr>
                <m:e>
                  <m:r>
                    <w:rPr>
                      <w:rFonts w:ascii="Cambria Math" w:eastAsiaTheme="minorEastAsia" w:hAnsi="Cambria Math"/>
                    </w:rPr>
                    <m:t>γ</m:t>
                  </m:r>
                </m:e>
              </m:acc>
              <m:r>
                <w:rPr>
                  <w:rFonts w:ascii="Cambria Math" w:hAnsi="Cambria Math"/>
                </w:rPr>
                <m:t>)</m:t>
              </m:r>
            </m:den>
          </m:f>
        </m:oMath>
      </m:oMathPara>
    </w:p>
    <w:p w14:paraId="44D09198" w14:textId="77777777" w:rsidR="008E7FC3" w:rsidRPr="009A3F44" w:rsidRDefault="008E7FC3" w:rsidP="008E7FC3">
      <w:pPr>
        <w:pStyle w:val="Heading4"/>
      </w:pPr>
      <w:r>
        <w:t>Imputing wages</w:t>
      </w:r>
    </w:p>
    <w:p w14:paraId="106E44D8" w14:textId="77777777" w:rsidR="008E7FC3" w:rsidRDefault="008E7FC3" w:rsidP="008E7FC3">
      <w:pPr>
        <w:pStyle w:val="BodyText"/>
        <w:rPr>
          <w:rFonts w:eastAsiaTheme="minorEastAsia"/>
        </w:rPr>
      </w:pPr>
      <w:r>
        <w:t>Wages were imputed for non</w:t>
      </w:r>
      <w:r>
        <w:noBreakHyphen/>
        <w:t>workers without the selection term.</w:t>
      </w:r>
      <w:r>
        <w:rPr>
          <w:rStyle w:val="FootnoteReference"/>
        </w:rPr>
        <w:footnoteReference w:id="54"/>
      </w:r>
      <w:r w:rsidRPr="001B0627">
        <w:rPr>
          <w:rStyle w:val="FootnoteReference"/>
        </w:rPr>
        <w:t>,</w:t>
      </w:r>
      <w:r>
        <w:rPr>
          <w:rStyle w:val="FootnoteReference"/>
        </w:rPr>
        <w:footnoteReference w:id="55"/>
      </w:r>
      <w:r>
        <w:t xml:space="preserve"> Thus, </w:t>
      </w:r>
      <w:r>
        <w:rPr>
          <w:rFonts w:eastAsiaTheme="minorEastAsia"/>
        </w:rPr>
        <w:t>the log wages of non</w:t>
      </w:r>
      <w:r>
        <w:rPr>
          <w:rFonts w:eastAsiaTheme="minorEastAsia"/>
        </w:rPr>
        <w:noBreakHyphen/>
        <w:t>workers were predicted as:</w:t>
      </w:r>
    </w:p>
    <w:p w14:paraId="7153D707" w14:textId="77777777" w:rsidR="008E7FC3" w:rsidRDefault="008E7FC3" w:rsidP="008E7FC3">
      <w:pPr>
        <w:pStyle w:val="BodyText"/>
        <w:rPr>
          <w:rFonts w:eastAsiaTheme="minorEastAsia"/>
        </w:rPr>
      </w:pPr>
      <m:oMathPara>
        <m:oMath>
          <m:r>
            <w:rPr>
              <w:rFonts w:ascii="Cambria Math" w:eastAsiaTheme="minorEastAsia" w:hAnsi="Cambria Math"/>
            </w:rPr>
            <m:t>E</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eastAsiaTheme="minorEastAsia" w:hAnsi="Cambria Math"/>
                        </w:rPr>
                        <m:t>w</m:t>
                      </m:r>
                    </m:e>
                  </m:acc>
                </m:e>
                <m:sub>
                  <m:r>
                    <w:rPr>
                      <w:rFonts w:ascii="Cambria Math" w:eastAsiaTheme="minorEastAsia" w:hAnsi="Cambria Math"/>
                    </w:rPr>
                    <m:t>i</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=0</m:t>
              </m:r>
            </m:e>
          </m:d>
          <m:r>
            <w:rPr>
              <w:rFonts w:ascii="Cambria Math" w:hAnsi="Cambria Math"/>
            </w:rPr>
            <m:t>=</m:t>
          </m:r>
          <m:sSubSup>
            <m:sSubSupPr>
              <m:ctrlPr>
                <w:rPr>
                  <w:rFonts w:ascii="Cambria Math" w:hAnsi="Cambria Math"/>
                </w:rPr>
              </m:ctrlPr>
            </m:sSubSupPr>
            <m:e>
              <m:r>
                <w:rPr>
                  <w:rFonts w:ascii="Cambria Math" w:eastAsiaTheme="minorEastAsia" w:hAnsi="Cambria Math"/>
                </w:rPr>
                <m:t>x</m:t>
              </m:r>
            </m:e>
            <m:sub>
              <m:r>
                <w:rPr>
                  <w:rFonts w:ascii="Cambria Math" w:eastAsiaTheme="minorEastAsia" w:hAnsi="Cambria Math"/>
                </w:rPr>
                <m:t>i</m:t>
              </m:r>
            </m:sub>
            <m:sup>
              <m:r>
                <w:rPr>
                  <w:rFonts w:ascii="Cambria Math" w:hAnsi="Cambria Math"/>
                </w:rPr>
                <m:t>'</m:t>
              </m:r>
            </m:sup>
          </m:sSubSup>
          <m:acc>
            <m:accPr>
              <m:ctrlPr>
                <w:rPr>
                  <w:rFonts w:ascii="Cambria Math" w:hAnsi="Cambria Math"/>
                </w:rPr>
              </m:ctrlPr>
            </m:accPr>
            <m:e>
              <m:r>
                <w:rPr>
                  <w:rFonts w:ascii="Cambria Math" w:eastAsiaTheme="minorEastAsia" w:hAnsi="Cambria Math"/>
                </w:rPr>
                <m:t>β</m:t>
              </m:r>
            </m:e>
          </m:acc>
        </m:oMath>
      </m:oMathPara>
    </w:p>
    <w:p w14:paraId="386D091A" w14:textId="77777777" w:rsidR="008E7FC3" w:rsidRDefault="008E7FC3" w:rsidP="008E7FC3">
      <w:pPr>
        <w:pStyle w:val="BodyText"/>
      </w:pPr>
      <w:r>
        <w:t xml:space="preserve">Imputing wages without the selection term is based on the findings of Breunig and Mercante </w:t>
      </w:r>
      <w:r w:rsidRPr="0001266B">
        <w:rPr>
          <w:rFonts w:ascii="Arial" w:hAnsi="Arial" w:cs="Arial"/>
        </w:rPr>
        <w:t>(2010)</w:t>
      </w:r>
      <w:r>
        <w:t>, where incorporating the estimated selection term tended to provide poorer predictions of wages relative to predictions that excluded the term. This finding was particularly apparent for individuals who were non</w:t>
      </w:r>
      <w:r>
        <w:noBreakHyphen/>
        <w:t>workers because they were not in the labour force, as opposed to being unemployed. The two cohorts for which wages were imputed in the CAPITA</w:t>
      </w:r>
      <w:r>
        <w:noBreakHyphen/>
        <w:t>B with ECEC model – partnered female parents and sole parents – were more likely to be non</w:t>
      </w:r>
      <w:r>
        <w:noBreakHyphen/>
        <w:t>workers because they were not in the labour force rather than being unemployed, suggesting that imputing wages without the estimated sample selection correction term was appropriate. Additionally, wages were imputed using a deterministic method, meaning that the coefficients were used as estimated to impute wages – no stochastic term was added to the imputed wages.</w:t>
      </w:r>
    </w:p>
    <w:p w14:paraId="4A02F11A" w14:textId="77777777" w:rsidR="008E7FC3" w:rsidRDefault="008E7FC3" w:rsidP="008E7FC3">
      <w:pPr>
        <w:pStyle w:val="Heading3"/>
      </w:pPr>
      <w:r>
        <w:t>Choice of instruments for the selection equation</w:t>
      </w:r>
    </w:p>
    <w:p w14:paraId="6DE8574C" w14:textId="77777777" w:rsidR="008E7FC3" w:rsidRDefault="008E7FC3" w:rsidP="008E7FC3">
      <w:pPr>
        <w:pStyle w:val="BodyText"/>
      </w:pPr>
      <w:r w:rsidRPr="006B6A6F">
        <w:t>Econometric theory states that to obtain unbiased coefficient estimates in a wage equation, a valid instrument must be included in the selection equation. An instrument is a variable that affects an individual’s likelihood of being a worker but does not affect their wage. Whether or not an individual has children, the number of children they have, or both, are often used as instruments when imputing wages.</w:t>
      </w:r>
      <w:r>
        <w:t xml:space="preserve"> The intuition underlying this is that individuals with children are less likely to work (for example, due to caring responsibilities or preferences) but having children does not affect an individual’s hourly wage rate.</w:t>
      </w:r>
    </w:p>
    <w:p w14:paraId="0569EB2F" w14:textId="77777777" w:rsidR="008E7FC3" w:rsidRPr="00243E9B" w:rsidRDefault="008E7FC3" w:rsidP="008E7FC3">
      <w:pPr>
        <w:pStyle w:val="BodyText"/>
      </w:pPr>
      <w:r>
        <w:t xml:space="preserve">In the past decade, though, a growing literature has emerged relating to </w:t>
      </w:r>
      <w:r w:rsidRPr="00422AF0">
        <w:t xml:space="preserve">a ‘child penalty’, sometimes also referred to as a ‘motherhood penalty’ due to its disproportionate effect on women. If having children lowers </w:t>
      </w:r>
      <w:r w:rsidRPr="00422AF0">
        <w:lastRenderedPageBreak/>
        <w:t>an individual’s expected wage</w:t>
      </w:r>
      <w:r>
        <w:t xml:space="preserve"> rate and this is not controlled for</w:t>
      </w:r>
      <w:r w:rsidRPr="00422AF0">
        <w:t>,</w:t>
      </w:r>
      <w:r>
        <w:rPr>
          <w:rStyle w:val="FootnoteReference"/>
        </w:rPr>
        <w:footnoteReference w:id="56"/>
      </w:r>
      <w:r w:rsidRPr="00422AF0">
        <w:t xml:space="preserve"> then the presence or number of children may not be valid instruments.</w:t>
      </w:r>
    </w:p>
    <w:p w14:paraId="4B702531" w14:textId="77777777" w:rsidR="008E7FC3" w:rsidRDefault="008E7FC3" w:rsidP="008E7FC3">
      <w:pPr>
        <w:pStyle w:val="BodyText"/>
      </w:pPr>
      <w:r w:rsidRPr="006B6A6F">
        <w:t>Ultimately, despite these recent developments, a version of the wage equation that did not attempt to control for the child penalty was used for estimation.</w:t>
      </w:r>
      <w:r w:rsidRPr="004F3B66">
        <w:rPr>
          <w:rStyle w:val="FootnoteReference"/>
        </w:rPr>
        <w:footnoteReference w:id="57"/>
      </w:r>
      <w:r w:rsidRPr="00721AFC">
        <w:t xml:space="preserve"> </w:t>
      </w:r>
      <w:r>
        <w:t>Initial estimations indicated that the predictive performance of specifications that did and did not control for the child penalty were similar.</w:t>
      </w:r>
      <w:r>
        <w:rPr>
          <w:rStyle w:val="FootnoteReference"/>
        </w:rPr>
        <w:footnoteReference w:id="58"/>
      </w:r>
    </w:p>
    <w:p w14:paraId="284FAEB4" w14:textId="77777777" w:rsidR="008E7FC3" w:rsidRPr="00721AFC" w:rsidRDefault="008E7FC3" w:rsidP="008E7FC3">
      <w:pPr>
        <w:pStyle w:val="BodyText"/>
        <w:rPr>
          <w:spacing w:val="-2"/>
        </w:rPr>
      </w:pPr>
      <w:r>
        <w:t xml:space="preserve">Additionally, recent work by the Australian Government Treasury </w:t>
      </w:r>
      <w:r w:rsidRPr="0001266B">
        <w:rPr>
          <w:rFonts w:ascii="Arial" w:hAnsi="Arial" w:cs="Arial"/>
        </w:rPr>
        <w:t>(2022)</w:t>
      </w:r>
      <w:r w:rsidDel="00895FE3">
        <w:t xml:space="preserve"> </w:t>
      </w:r>
      <w:r>
        <w:t xml:space="preserve">found Australia’s motherhood penalty was predominantly driven by mothers exiting the labour force and reducing their work hours following </w:t>
      </w:r>
      <w:r w:rsidRPr="00721AFC">
        <w:rPr>
          <w:spacing w:val="-2"/>
        </w:rPr>
        <w:t>the arrival of a child. To a lesser degree, the penalty was also the result of mothers earning lower hourly wages.</w:t>
      </w:r>
    </w:p>
    <w:p w14:paraId="13EE0A6E" w14:textId="77777777" w:rsidR="008E7FC3" w:rsidRDefault="008E7FC3" w:rsidP="008E7FC3">
      <w:pPr>
        <w:pStyle w:val="Heading3"/>
      </w:pPr>
      <w:r>
        <w:t>Data</w:t>
      </w:r>
    </w:p>
    <w:p w14:paraId="2E12EC0A" w14:textId="77777777" w:rsidR="008E7FC3" w:rsidRDefault="008E7FC3" w:rsidP="008E7FC3">
      <w:pPr>
        <w:pStyle w:val="BodyText"/>
      </w:pPr>
      <w:r>
        <w:t>The wage equations were estimated using data from the 2019</w:t>
      </w:r>
      <w:r>
        <w:noBreakHyphen/>
        <w:t>20 SIH MURF.</w:t>
      </w:r>
    </w:p>
    <w:p w14:paraId="26F5F973" w14:textId="77777777" w:rsidR="008E7FC3" w:rsidRDefault="008E7FC3" w:rsidP="008E7FC3">
      <w:pPr>
        <w:pStyle w:val="BodyText"/>
      </w:pPr>
      <w:r>
        <w:t xml:space="preserve">The subsamples of partnered female parents and sole parents were generated using the variable </w:t>
      </w:r>
      <w:r>
        <w:rPr>
          <w:i/>
          <w:iCs/>
        </w:rPr>
        <w:t>IUTYPE</w:t>
      </w:r>
      <w:r>
        <w:t xml:space="preserve">. The subsamples were also restricted based on the variable </w:t>
      </w:r>
      <w:r>
        <w:rPr>
          <w:i/>
          <w:iCs/>
        </w:rPr>
        <w:t>ABSPID</w:t>
      </w:r>
      <w:r>
        <w:t xml:space="preserve"> to heads of an income unit or spouses of the head of an income unit (to avoid, for example, classifying an employed teenage child of a sole parent as a sole parent themselves).</w:t>
      </w:r>
      <w:r w:rsidRPr="004F3B66">
        <w:rPr>
          <w:rStyle w:val="FootnoteReference"/>
        </w:rPr>
        <w:footnoteReference w:id="59"/>
      </w:r>
    </w:p>
    <w:p w14:paraId="456F84FF" w14:textId="77777777" w:rsidR="008E7FC3" w:rsidRDefault="008E7FC3" w:rsidP="008E7FC3">
      <w:pPr>
        <w:pStyle w:val="Heading4"/>
      </w:pPr>
      <w:r>
        <w:t>Excluded observations</w:t>
      </w:r>
    </w:p>
    <w:p w14:paraId="624E0AC5" w14:textId="77777777" w:rsidR="008E7FC3" w:rsidRDefault="008E7FC3" w:rsidP="008E7FC3">
      <w:pPr>
        <w:pStyle w:val="BodyText"/>
      </w:pPr>
      <w:r>
        <w:t>Some people were excluded from the estimation of the wage equations. The largest exclusion group was households interviewed in the June 2020 quarter, representing about one quarter of the 2019</w:t>
      </w:r>
      <w:r>
        <w:noBreakHyphen/>
        <w:t>20 SIH sample. These households were removed due to the potential impact of COVID</w:t>
      </w:r>
      <w:r>
        <w:noBreakHyphen/>
        <w:t>19 on individuals’ labour market experiences.</w:t>
      </w:r>
    </w:p>
    <w:p w14:paraId="67000320" w14:textId="77777777" w:rsidR="008E7FC3" w:rsidRDefault="008E7FC3" w:rsidP="008E7FC3">
      <w:pPr>
        <w:pStyle w:val="BodyText"/>
      </w:pPr>
      <w:r>
        <w:t xml:space="preserve">Research from the Australian Institute of Family Studies </w:t>
      </w:r>
      <w:r w:rsidRPr="007527BF">
        <w:rPr>
          <w:rFonts w:ascii="Arial" w:hAnsi="Arial" w:cs="Arial"/>
        </w:rPr>
        <w:t>(2021)</w:t>
      </w:r>
      <w:r>
        <w:t xml:space="preserve"> </w:t>
      </w:r>
      <w:r w:rsidRPr="006F1159">
        <w:t>found that many people experienced changes to their employment across 2020: 17% of individuals surveyed said they or their partner had lost their job or been stood down temporarily, while about one quarter said they or their partner had experienced</w:t>
      </w:r>
      <w:r>
        <w:t xml:space="preserve"> a reduction in their wage rate or salary. Therefore information reported by at least some households interviewed in the June quarter of the 2019</w:t>
      </w:r>
      <w:r>
        <w:noBreakHyphen/>
        <w:t>20 SIH is unlikely to represent people’s ‘typical’ employment status and wage rate, which is the type of information which would ideally be used to estimate coefficients.</w:t>
      </w:r>
    </w:p>
    <w:p w14:paraId="0684E17C" w14:textId="77777777" w:rsidR="008E7FC3" w:rsidRDefault="008E7FC3" w:rsidP="008E7FC3">
      <w:pPr>
        <w:spacing w:before="0" w:after="160" w:line="259" w:lineRule="auto"/>
      </w:pPr>
      <w:r>
        <w:br w:type="page"/>
      </w:r>
    </w:p>
    <w:p w14:paraId="32CAF304" w14:textId="77777777" w:rsidR="008E7FC3" w:rsidRDefault="008E7FC3" w:rsidP="008E7FC3">
      <w:pPr>
        <w:pStyle w:val="BodyText"/>
      </w:pPr>
      <w:r>
        <w:lastRenderedPageBreak/>
        <w:t>In addition to people interviewed in the June 2020 quarter, people were removed from the sample when they reported incongruous labour market information, such as:</w:t>
      </w:r>
    </w:p>
    <w:p w14:paraId="2ED9B74C" w14:textId="77777777" w:rsidR="008E7FC3" w:rsidRPr="00F73414" w:rsidRDefault="008E7FC3" w:rsidP="008E7FC3">
      <w:pPr>
        <w:pStyle w:val="ListBullet"/>
        <w:numPr>
          <w:ilvl w:val="0"/>
          <w:numId w:val="15"/>
        </w:numPr>
        <w:spacing w:line="259" w:lineRule="auto"/>
      </w:pPr>
      <w:r>
        <w:t>e</w:t>
      </w:r>
      <w:r w:rsidRPr="00F73414">
        <w:t>arning non</w:t>
      </w:r>
      <w:r w:rsidRPr="00F73414">
        <w:noBreakHyphen/>
        <w:t>zero income despite reporting that they worked zero hours</w:t>
      </w:r>
    </w:p>
    <w:p w14:paraId="7159A617" w14:textId="77777777" w:rsidR="008E7FC3" w:rsidRPr="00F73414" w:rsidRDefault="008E7FC3" w:rsidP="008E7FC3">
      <w:pPr>
        <w:pStyle w:val="ListBullet"/>
        <w:numPr>
          <w:ilvl w:val="0"/>
          <w:numId w:val="15"/>
        </w:numPr>
        <w:spacing w:line="259" w:lineRule="auto"/>
      </w:pPr>
      <w:r>
        <w:t>e</w:t>
      </w:r>
      <w:r w:rsidRPr="00F73414">
        <w:t>arning wages that were very low (&lt; $4 per hour) or very high (&gt; $125 per hour).</w:t>
      </w:r>
    </w:p>
    <w:p w14:paraId="1745A523" w14:textId="77777777" w:rsidR="008E7FC3" w:rsidRDefault="008E7FC3" w:rsidP="008E7FC3">
      <w:pPr>
        <w:pStyle w:val="BodyText"/>
      </w:pPr>
      <w:r>
        <w:t>In line with CAPITA</w:t>
      </w:r>
      <w:r>
        <w:noBreakHyphen/>
        <w:t>B’s approach to labour supply modelling, people were removed from the sample if a different modelling approach would be required to adequately model their labour supply decisions. This included people who:</w:t>
      </w:r>
    </w:p>
    <w:p w14:paraId="65DCEF07" w14:textId="77777777" w:rsidR="008E7FC3" w:rsidRPr="00F73414" w:rsidRDefault="008E7FC3" w:rsidP="008E7FC3">
      <w:pPr>
        <w:pStyle w:val="ListBullet"/>
        <w:numPr>
          <w:ilvl w:val="0"/>
          <w:numId w:val="15"/>
        </w:numPr>
        <w:spacing w:line="259" w:lineRule="auto"/>
      </w:pPr>
      <w:r w:rsidRPr="00F73414">
        <w:t xml:space="preserve">were aged over 64 years or reported receiving the </w:t>
      </w:r>
      <w:r>
        <w:t>A</w:t>
      </w:r>
      <w:r w:rsidRPr="00F73414">
        <w:t xml:space="preserve">ge </w:t>
      </w:r>
      <w:r>
        <w:t>P</w:t>
      </w:r>
      <w:r w:rsidRPr="00F73414">
        <w:t>ension</w:t>
      </w:r>
    </w:p>
    <w:p w14:paraId="67CACC09" w14:textId="77777777" w:rsidR="008E7FC3" w:rsidRPr="00F73414" w:rsidRDefault="008E7FC3" w:rsidP="008E7FC3">
      <w:pPr>
        <w:pStyle w:val="ListBullet"/>
        <w:numPr>
          <w:ilvl w:val="0"/>
          <w:numId w:val="15"/>
        </w:numPr>
        <w:spacing w:line="259" w:lineRule="auto"/>
      </w:pPr>
      <w:r w:rsidRPr="00F73414">
        <w:t>reported receiving Carer Payment or Carer Allowance</w:t>
      </w:r>
    </w:p>
    <w:p w14:paraId="6A027612" w14:textId="77777777" w:rsidR="008E7FC3" w:rsidRPr="00F73414" w:rsidRDefault="008E7FC3" w:rsidP="008E7FC3">
      <w:pPr>
        <w:pStyle w:val="ListBullet"/>
        <w:numPr>
          <w:ilvl w:val="0"/>
          <w:numId w:val="15"/>
        </w:numPr>
        <w:spacing w:line="259" w:lineRule="auto"/>
      </w:pPr>
      <w:r w:rsidRPr="00F73414">
        <w:t>reported being a full</w:t>
      </w:r>
      <w:r w:rsidRPr="00F73414">
        <w:noBreakHyphen/>
        <w:t>time student</w:t>
      </w:r>
      <w:r w:rsidRPr="004F3B66">
        <w:rPr>
          <w:rStyle w:val="FootnoteReference"/>
        </w:rPr>
        <w:footnoteReference w:id="60"/>
      </w:r>
    </w:p>
    <w:p w14:paraId="7B787397" w14:textId="77777777" w:rsidR="008E7FC3" w:rsidRPr="00F73414" w:rsidRDefault="008E7FC3" w:rsidP="008E7FC3">
      <w:pPr>
        <w:pStyle w:val="ListBullet"/>
        <w:numPr>
          <w:ilvl w:val="0"/>
          <w:numId w:val="15"/>
        </w:numPr>
        <w:spacing w:line="259" w:lineRule="auto"/>
      </w:pPr>
      <w:r w:rsidRPr="00F73414">
        <w:t>reported being self</w:t>
      </w:r>
      <w:r w:rsidRPr="00F73414">
        <w:noBreakHyphen/>
        <w:t>employed</w:t>
      </w:r>
    </w:p>
    <w:p w14:paraId="56F76D01" w14:textId="77777777" w:rsidR="008E7FC3" w:rsidRPr="00F73414" w:rsidRDefault="008E7FC3" w:rsidP="008E7FC3">
      <w:pPr>
        <w:pStyle w:val="ListBullet"/>
        <w:numPr>
          <w:ilvl w:val="0"/>
          <w:numId w:val="15"/>
        </w:numPr>
        <w:spacing w:line="259" w:lineRule="auto"/>
      </w:pPr>
      <w:r w:rsidRPr="00F73414">
        <w:t>identified as having a disability or reported receiving a DVA pension.</w:t>
      </w:r>
    </w:p>
    <w:p w14:paraId="6D1D90A8" w14:textId="77777777" w:rsidR="008E7FC3" w:rsidRDefault="008E7FC3" w:rsidP="008E7FC3">
      <w:pPr>
        <w:pStyle w:val="BodyText"/>
      </w:pPr>
      <w:r w:rsidRPr="00F73414">
        <w:t>People were also removed from the sample if they reported unclear education, occupation (workers only) or industry (workers only) information (for example, providing a</w:t>
      </w:r>
      <w:r>
        <w:t>n</w:t>
      </w:r>
      <w:r w:rsidRPr="00F73414">
        <w:t xml:space="preserve"> inadequately described response)</w:t>
      </w:r>
      <w:r>
        <w:t>. I</w:t>
      </w:r>
      <w:r w:rsidRPr="00F73414">
        <w:t xml:space="preserve">ncluding these people would have affected the estimation and interpretation of education, occupation and industry dummy variables. </w:t>
      </w:r>
      <w:r>
        <w:t>Ultimately, the wage equations were estimated based on the information of 431 sole parents and 1,942 partnered female parents.</w:t>
      </w:r>
    </w:p>
    <w:p w14:paraId="2243804F" w14:textId="77777777" w:rsidR="008E7FC3" w:rsidRDefault="008E7FC3" w:rsidP="008E7FC3">
      <w:pPr>
        <w:pStyle w:val="Heading4"/>
      </w:pPr>
      <w:r>
        <w:t>Industry and occupation proportions</w:t>
      </w:r>
    </w:p>
    <w:p w14:paraId="129E132B" w14:textId="77777777" w:rsidR="008E7FC3" w:rsidRDefault="008E7FC3" w:rsidP="008E7FC3">
      <w:pPr>
        <w:pStyle w:val="BodyText"/>
      </w:pPr>
      <w:r w:rsidRPr="002042C9">
        <w:t>An individual’s industry and occupation can be a strong predictor of wages</w:t>
      </w:r>
      <w:r>
        <w:t>. As with data on wages, industry and occupation data is available for workers, but needs to be imputed for non</w:t>
      </w:r>
      <w:r>
        <w:noBreakHyphen/>
        <w:t>workers.</w:t>
      </w:r>
    </w:p>
    <w:p w14:paraId="55522280" w14:textId="77777777" w:rsidR="008E7FC3" w:rsidRDefault="008E7FC3" w:rsidP="008E7FC3">
      <w:pPr>
        <w:pStyle w:val="BodyText"/>
      </w:pPr>
      <w:r>
        <w:t>In the model, industry and occupation were represented by dummy variables. For workers, these dummy variables took a value of 0 or 1. For example, for a worker employed in the mining industry, the value of the ‘Mining’ variable was 1, while the value of all other industry variables was 0. For non</w:t>
      </w:r>
      <w:r>
        <w:noBreakHyphen/>
        <w:t>workers, industry and occupation was imputed using data from ABS Detailed Labour Force Data. Industry and occupation proportions were calculated using data on the last job reported by unemployed workers (averaged across a year to account for seasonality).</w:t>
      </w:r>
      <w:r w:rsidRPr="004F3B66">
        <w:rPr>
          <w:rStyle w:val="FootnoteReference"/>
        </w:rPr>
        <w:footnoteReference w:id="61"/>
      </w:r>
      <w:r>
        <w:t xml:space="preserve"> It is important to note that there are both unemployed non</w:t>
      </w:r>
      <w:r>
        <w:noBreakHyphen/>
        <w:t>workers and other non</w:t>
      </w:r>
      <w:r>
        <w:noBreakHyphen/>
        <w:t>workers, such as people who are not looking for work. Ideally, data on the last industry and occupation of all non-workers would be available. However, the ABS only collects this data for unemployed non</w:t>
      </w:r>
      <w:r>
        <w:noBreakHyphen/>
        <w:t>workers. This means that the proportions were calculated based on data from unemployed non</w:t>
      </w:r>
      <w:r>
        <w:noBreakHyphen/>
        <w:t>workers and applied to all non</w:t>
      </w:r>
      <w:r>
        <w:noBreakHyphen/>
        <w:t>workers in the sample.</w:t>
      </w:r>
    </w:p>
    <w:p w14:paraId="4B026616" w14:textId="77777777" w:rsidR="008E7FC3" w:rsidRDefault="008E7FC3" w:rsidP="008E7FC3">
      <w:pPr>
        <w:pStyle w:val="BodyText"/>
      </w:pPr>
      <w:r>
        <w:t>Tables G</w:t>
      </w:r>
      <w:r w:rsidRPr="00642668">
        <w:t xml:space="preserve">.1 and </w:t>
      </w:r>
      <w:r>
        <w:t>G</w:t>
      </w:r>
      <w:r w:rsidRPr="00642668">
        <w:t>.2 show</w:t>
      </w:r>
      <w:r>
        <w:t xml:space="preserve"> the proportions used to impute industry and occupation data for non</w:t>
      </w:r>
      <w:r>
        <w:noBreakHyphen/>
        <w:t>workers. For example, the value of the ‘Mining’ variable is 0.018 for all non</w:t>
      </w:r>
      <w:r>
        <w:noBreakHyphen/>
        <w:t>worker males as across the year, and reflects that 1.8% of unemployed males reported last working in the mining industry.</w:t>
      </w:r>
    </w:p>
    <w:p w14:paraId="36132ED0" w14:textId="77777777" w:rsidR="008E7FC3" w:rsidRPr="00392AD0" w:rsidRDefault="008E7FC3" w:rsidP="008E7FC3">
      <w:pPr>
        <w:pStyle w:val="BodyText"/>
      </w:pPr>
      <w:r w:rsidRPr="00392AD0">
        <w:br w:type="page"/>
      </w:r>
    </w:p>
    <w:p w14:paraId="18F7ACB8" w14:textId="77777777" w:rsidR="008E7FC3" w:rsidRDefault="008E7FC3" w:rsidP="008E7FC3">
      <w:pPr>
        <w:pStyle w:val="FigureTableHeading"/>
      </w:pPr>
      <w:r>
        <w:lastRenderedPageBreak/>
        <w:t xml:space="preserve">Table </w:t>
      </w:r>
      <w:r>
        <w:rPr>
          <w:noProof/>
        </w:rPr>
        <w:t>G</w:t>
      </w:r>
      <w:r>
        <w:t>.</w:t>
      </w:r>
      <w:r>
        <w:rPr>
          <w:noProof/>
        </w:rPr>
        <w:t>1 – Industry proportions for imputing wages of non</w:t>
      </w:r>
      <w:r>
        <w:rPr>
          <w:noProof/>
        </w:rPr>
        <w:noBreakHyphen/>
        <w:t>workers</w:t>
      </w:r>
      <w:r w:rsidRPr="00EC0C27">
        <w:rPr>
          <w:vertAlign w:val="superscript"/>
        </w:rPr>
        <w:t>a,b</w:t>
      </w:r>
    </w:p>
    <w:p w14:paraId="70A9C96F" w14:textId="77777777" w:rsidR="008E7FC3" w:rsidRDefault="008E7FC3" w:rsidP="008E7FC3">
      <w:pPr>
        <w:pStyle w:val="FigureTableSubheading"/>
      </w:pPr>
      <w:r w:rsidRPr="00662D5C">
        <w:t>Last industry</w:t>
      </w:r>
      <w:r>
        <w:t xml:space="preserve"> of employment</w:t>
      </w:r>
      <w:r w:rsidRPr="00662D5C">
        <w:t xml:space="preserve"> reported by unemployed individuals</w:t>
      </w:r>
      <w:r w:rsidRPr="005D4FF5">
        <w:t>, May 2019 to February 2020 (mean of four quarters)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670"/>
        <w:gridCol w:w="1984"/>
        <w:gridCol w:w="1984"/>
      </w:tblGrid>
      <w:tr w:rsidR="008E7FC3" w:rsidRPr="00D126B3" w14:paraId="6F514796" w14:textId="77777777" w:rsidTr="00177648">
        <w:trPr>
          <w:tblHeader/>
        </w:trPr>
        <w:tc>
          <w:tcPr>
            <w:tcW w:w="5670" w:type="dxa"/>
            <w:tcBorders>
              <w:bottom w:val="single" w:sz="4" w:space="0" w:color="B3B3B3"/>
            </w:tcBorders>
            <w:shd w:val="clear" w:color="000000" w:fill="auto"/>
            <w:vAlign w:val="bottom"/>
          </w:tcPr>
          <w:p w14:paraId="3CA1A92D" w14:textId="77777777" w:rsidR="008E7FC3" w:rsidRPr="00D126B3" w:rsidRDefault="008E7FC3" w:rsidP="00177648">
            <w:pPr>
              <w:spacing w:before="45" w:after="45"/>
              <w:ind w:right="108"/>
              <w:rPr>
                <w:rFonts w:ascii="Arial (Body)" w:hAnsi="Arial (Body)"/>
                <w:b/>
                <w:color w:val="265A9A"/>
                <w:sz w:val="18"/>
              </w:rPr>
            </w:pPr>
          </w:p>
        </w:tc>
        <w:tc>
          <w:tcPr>
            <w:tcW w:w="1984" w:type="dxa"/>
            <w:tcBorders>
              <w:bottom w:val="single" w:sz="4" w:space="0" w:color="B3B3B3"/>
            </w:tcBorders>
            <w:shd w:val="clear" w:color="000000" w:fill="auto"/>
            <w:vAlign w:val="bottom"/>
          </w:tcPr>
          <w:p w14:paraId="20E3F4F2"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Male</w:t>
            </w:r>
          </w:p>
        </w:tc>
        <w:tc>
          <w:tcPr>
            <w:tcW w:w="1984" w:type="dxa"/>
            <w:tcBorders>
              <w:bottom w:val="single" w:sz="4" w:space="0" w:color="B3B3B3"/>
            </w:tcBorders>
            <w:shd w:val="clear" w:color="000000" w:fill="auto"/>
            <w:vAlign w:val="bottom"/>
          </w:tcPr>
          <w:p w14:paraId="6438BA55"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Female</w:t>
            </w:r>
          </w:p>
        </w:tc>
      </w:tr>
      <w:tr w:rsidR="008E7FC3" w:rsidRPr="00D126B3" w14:paraId="636004B9" w14:textId="77777777" w:rsidTr="00177648">
        <w:tc>
          <w:tcPr>
            <w:tcW w:w="5670" w:type="dxa"/>
            <w:tcBorders>
              <w:top w:val="single" w:sz="4" w:space="0" w:color="B3B3B3"/>
              <w:bottom w:val="nil"/>
            </w:tcBorders>
            <w:shd w:val="clear" w:color="000000" w:fill="F2F2F2"/>
          </w:tcPr>
          <w:p w14:paraId="1C34373C" w14:textId="77777777" w:rsidR="008E7FC3" w:rsidRPr="006D075E" w:rsidRDefault="008E7FC3" w:rsidP="00177648">
            <w:pPr>
              <w:pStyle w:val="TableHeading"/>
              <w:spacing w:before="45" w:after="45"/>
              <w:ind w:right="108"/>
              <w:rPr>
                <w:rFonts w:ascii="Arial (Body)" w:hAnsi="Arial (Body)"/>
                <w:bCs/>
                <w:color w:val="265A9A"/>
              </w:rPr>
            </w:pPr>
            <w:r w:rsidRPr="006D075E">
              <w:rPr>
                <w:bCs/>
                <w:color w:val="595959" w:themeColor="text1" w:themeTint="A6"/>
                <w:szCs w:val="18"/>
              </w:rPr>
              <w:t>Agriculture, Forestry and Fishing (omitted from wage equation)</w:t>
            </w:r>
            <w:r w:rsidRPr="006D075E">
              <w:rPr>
                <w:bCs/>
                <w:color w:val="595959" w:themeColor="text1" w:themeTint="A6"/>
                <w:szCs w:val="18"/>
                <w:vertAlign w:val="superscript"/>
              </w:rPr>
              <w:t>a</w:t>
            </w:r>
          </w:p>
        </w:tc>
        <w:tc>
          <w:tcPr>
            <w:tcW w:w="1984" w:type="dxa"/>
            <w:tcBorders>
              <w:top w:val="single" w:sz="4" w:space="0" w:color="B3B3B3"/>
              <w:bottom w:val="nil"/>
            </w:tcBorders>
            <w:shd w:val="clear" w:color="000000" w:fill="F2F2F2"/>
          </w:tcPr>
          <w:p w14:paraId="1A37C873"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3.6%</w:t>
            </w:r>
          </w:p>
        </w:tc>
        <w:tc>
          <w:tcPr>
            <w:tcW w:w="1984" w:type="dxa"/>
            <w:tcBorders>
              <w:top w:val="single" w:sz="4" w:space="0" w:color="B3B3B3"/>
              <w:bottom w:val="nil"/>
            </w:tcBorders>
            <w:shd w:val="clear" w:color="000000" w:fill="F2F2F2"/>
          </w:tcPr>
          <w:p w14:paraId="69119A79"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3.6%</w:t>
            </w:r>
          </w:p>
        </w:tc>
      </w:tr>
      <w:tr w:rsidR="008E7FC3" w:rsidRPr="00D126B3" w14:paraId="0616D508" w14:textId="77777777" w:rsidTr="00177648">
        <w:tc>
          <w:tcPr>
            <w:tcW w:w="5670" w:type="dxa"/>
            <w:tcBorders>
              <w:top w:val="nil"/>
              <w:bottom w:val="nil"/>
            </w:tcBorders>
            <w:shd w:val="clear" w:color="000000" w:fill="auto"/>
          </w:tcPr>
          <w:p w14:paraId="75A21534"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Mining</w:t>
            </w:r>
          </w:p>
        </w:tc>
        <w:tc>
          <w:tcPr>
            <w:tcW w:w="1984" w:type="dxa"/>
            <w:tcBorders>
              <w:top w:val="nil"/>
              <w:bottom w:val="nil"/>
            </w:tcBorders>
            <w:shd w:val="clear" w:color="000000" w:fill="auto"/>
          </w:tcPr>
          <w:p w14:paraId="66147096"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1.8%</w:t>
            </w:r>
          </w:p>
        </w:tc>
        <w:tc>
          <w:tcPr>
            <w:tcW w:w="1984" w:type="dxa"/>
            <w:tcBorders>
              <w:top w:val="nil"/>
              <w:bottom w:val="nil"/>
            </w:tcBorders>
            <w:shd w:val="clear" w:color="000000" w:fill="auto"/>
          </w:tcPr>
          <w:p w14:paraId="39301EB5"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0.1%</w:t>
            </w:r>
          </w:p>
        </w:tc>
      </w:tr>
      <w:tr w:rsidR="008E7FC3" w:rsidRPr="00D126B3" w14:paraId="256062C4" w14:textId="77777777" w:rsidTr="00177648">
        <w:tc>
          <w:tcPr>
            <w:tcW w:w="5670" w:type="dxa"/>
            <w:tcBorders>
              <w:top w:val="nil"/>
              <w:bottom w:val="nil"/>
            </w:tcBorders>
            <w:shd w:val="clear" w:color="auto" w:fill="F2F2F2" w:themeFill="background1" w:themeFillShade="F2"/>
          </w:tcPr>
          <w:p w14:paraId="34F74E20"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Manufacturing</w:t>
            </w:r>
          </w:p>
        </w:tc>
        <w:tc>
          <w:tcPr>
            <w:tcW w:w="1984" w:type="dxa"/>
            <w:tcBorders>
              <w:top w:val="nil"/>
              <w:bottom w:val="nil"/>
            </w:tcBorders>
            <w:shd w:val="clear" w:color="auto" w:fill="F2F2F2" w:themeFill="background1" w:themeFillShade="F2"/>
          </w:tcPr>
          <w:p w14:paraId="0E7D00A3"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9.0%</w:t>
            </w:r>
          </w:p>
        </w:tc>
        <w:tc>
          <w:tcPr>
            <w:tcW w:w="1984" w:type="dxa"/>
            <w:tcBorders>
              <w:top w:val="nil"/>
              <w:bottom w:val="nil"/>
            </w:tcBorders>
            <w:shd w:val="clear" w:color="auto" w:fill="F2F2F2" w:themeFill="background1" w:themeFillShade="F2"/>
          </w:tcPr>
          <w:p w14:paraId="6C8E2CFA"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6.5%</w:t>
            </w:r>
          </w:p>
        </w:tc>
      </w:tr>
      <w:tr w:rsidR="008E7FC3" w:rsidRPr="00D126B3" w14:paraId="4E6171AC" w14:textId="77777777" w:rsidTr="00177648">
        <w:tc>
          <w:tcPr>
            <w:tcW w:w="5670" w:type="dxa"/>
            <w:tcBorders>
              <w:top w:val="nil"/>
              <w:bottom w:val="nil"/>
            </w:tcBorders>
            <w:shd w:val="clear" w:color="000000" w:fill="auto"/>
          </w:tcPr>
          <w:p w14:paraId="7DB9BB10"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Electricity, gas, water and waste services</w:t>
            </w:r>
          </w:p>
        </w:tc>
        <w:tc>
          <w:tcPr>
            <w:tcW w:w="1984" w:type="dxa"/>
            <w:tcBorders>
              <w:top w:val="nil"/>
              <w:bottom w:val="nil"/>
            </w:tcBorders>
            <w:shd w:val="clear" w:color="000000" w:fill="auto"/>
          </w:tcPr>
          <w:p w14:paraId="594A480D"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1.9%</w:t>
            </w:r>
          </w:p>
        </w:tc>
        <w:tc>
          <w:tcPr>
            <w:tcW w:w="1984" w:type="dxa"/>
            <w:tcBorders>
              <w:top w:val="nil"/>
              <w:bottom w:val="nil"/>
            </w:tcBorders>
            <w:shd w:val="clear" w:color="000000" w:fill="auto"/>
          </w:tcPr>
          <w:p w14:paraId="11BB02A7"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0.6%</w:t>
            </w:r>
          </w:p>
        </w:tc>
      </w:tr>
      <w:tr w:rsidR="008E7FC3" w:rsidRPr="00D126B3" w14:paraId="080340CF" w14:textId="77777777" w:rsidTr="00177648">
        <w:tc>
          <w:tcPr>
            <w:tcW w:w="5670" w:type="dxa"/>
            <w:tcBorders>
              <w:top w:val="nil"/>
              <w:bottom w:val="nil"/>
            </w:tcBorders>
            <w:shd w:val="clear" w:color="auto" w:fill="F2F2F2" w:themeFill="background1" w:themeFillShade="F2"/>
          </w:tcPr>
          <w:p w14:paraId="0B52A562"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Construction</w:t>
            </w:r>
          </w:p>
        </w:tc>
        <w:tc>
          <w:tcPr>
            <w:tcW w:w="1984" w:type="dxa"/>
            <w:tcBorders>
              <w:top w:val="nil"/>
              <w:bottom w:val="nil"/>
            </w:tcBorders>
            <w:shd w:val="clear" w:color="auto" w:fill="F2F2F2" w:themeFill="background1" w:themeFillShade="F2"/>
          </w:tcPr>
          <w:p w14:paraId="7C9F6888"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18.2%</w:t>
            </w:r>
          </w:p>
        </w:tc>
        <w:tc>
          <w:tcPr>
            <w:tcW w:w="1984" w:type="dxa"/>
            <w:tcBorders>
              <w:top w:val="nil"/>
              <w:bottom w:val="nil"/>
            </w:tcBorders>
            <w:shd w:val="clear" w:color="auto" w:fill="F2F2F2" w:themeFill="background1" w:themeFillShade="F2"/>
          </w:tcPr>
          <w:p w14:paraId="0A7A11A3"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2.0%</w:t>
            </w:r>
          </w:p>
        </w:tc>
      </w:tr>
      <w:tr w:rsidR="008E7FC3" w:rsidRPr="00D126B3" w14:paraId="31DB1F9B" w14:textId="77777777" w:rsidTr="00177648">
        <w:tc>
          <w:tcPr>
            <w:tcW w:w="5670" w:type="dxa"/>
            <w:tcBorders>
              <w:top w:val="nil"/>
              <w:bottom w:val="nil"/>
            </w:tcBorders>
            <w:shd w:val="clear" w:color="000000" w:fill="auto"/>
          </w:tcPr>
          <w:p w14:paraId="7FD9E737"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Retail and wholesale trade</w:t>
            </w:r>
          </w:p>
        </w:tc>
        <w:tc>
          <w:tcPr>
            <w:tcW w:w="1984" w:type="dxa"/>
            <w:tcBorders>
              <w:top w:val="nil"/>
              <w:bottom w:val="nil"/>
            </w:tcBorders>
            <w:shd w:val="clear" w:color="000000" w:fill="auto"/>
          </w:tcPr>
          <w:p w14:paraId="658814A7"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14.3%</w:t>
            </w:r>
          </w:p>
        </w:tc>
        <w:tc>
          <w:tcPr>
            <w:tcW w:w="1984" w:type="dxa"/>
            <w:tcBorders>
              <w:top w:val="nil"/>
              <w:bottom w:val="nil"/>
            </w:tcBorders>
            <w:shd w:val="clear" w:color="000000" w:fill="auto"/>
          </w:tcPr>
          <w:p w14:paraId="308D2542"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16.2%</w:t>
            </w:r>
          </w:p>
        </w:tc>
      </w:tr>
      <w:tr w:rsidR="008E7FC3" w:rsidRPr="00D126B3" w14:paraId="1D30D66C" w14:textId="77777777" w:rsidTr="00177648">
        <w:tc>
          <w:tcPr>
            <w:tcW w:w="5670" w:type="dxa"/>
            <w:tcBorders>
              <w:top w:val="nil"/>
              <w:bottom w:val="nil"/>
            </w:tcBorders>
            <w:shd w:val="clear" w:color="auto" w:fill="F2F2F2" w:themeFill="background1" w:themeFillShade="F2"/>
          </w:tcPr>
          <w:p w14:paraId="3E5853DA"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Transport, postal and warehousing</w:t>
            </w:r>
          </w:p>
        </w:tc>
        <w:tc>
          <w:tcPr>
            <w:tcW w:w="1984" w:type="dxa"/>
            <w:tcBorders>
              <w:top w:val="nil"/>
              <w:bottom w:val="nil"/>
            </w:tcBorders>
            <w:shd w:val="clear" w:color="auto" w:fill="F2F2F2" w:themeFill="background1" w:themeFillShade="F2"/>
          </w:tcPr>
          <w:p w14:paraId="5D95A42A"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7.6%</w:t>
            </w:r>
          </w:p>
        </w:tc>
        <w:tc>
          <w:tcPr>
            <w:tcW w:w="1984" w:type="dxa"/>
            <w:tcBorders>
              <w:top w:val="nil"/>
              <w:bottom w:val="nil"/>
            </w:tcBorders>
            <w:shd w:val="clear" w:color="auto" w:fill="F2F2F2" w:themeFill="background1" w:themeFillShade="F2"/>
          </w:tcPr>
          <w:p w14:paraId="50C7D485"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4.0%</w:t>
            </w:r>
          </w:p>
        </w:tc>
      </w:tr>
      <w:tr w:rsidR="008E7FC3" w:rsidRPr="00D126B3" w14:paraId="7C6814A5" w14:textId="77777777" w:rsidTr="00177648">
        <w:tc>
          <w:tcPr>
            <w:tcW w:w="5670" w:type="dxa"/>
            <w:tcBorders>
              <w:top w:val="nil"/>
              <w:bottom w:val="nil"/>
            </w:tcBorders>
            <w:shd w:val="clear" w:color="000000" w:fill="auto"/>
          </w:tcPr>
          <w:p w14:paraId="759EBA7C"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Information media and telecommunications</w:t>
            </w:r>
          </w:p>
        </w:tc>
        <w:tc>
          <w:tcPr>
            <w:tcW w:w="1984" w:type="dxa"/>
            <w:tcBorders>
              <w:top w:val="nil"/>
              <w:bottom w:val="nil"/>
            </w:tcBorders>
            <w:shd w:val="clear" w:color="000000" w:fill="auto"/>
          </w:tcPr>
          <w:p w14:paraId="65650B4D"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2.1%</w:t>
            </w:r>
          </w:p>
        </w:tc>
        <w:tc>
          <w:tcPr>
            <w:tcW w:w="1984" w:type="dxa"/>
            <w:tcBorders>
              <w:top w:val="nil"/>
              <w:bottom w:val="nil"/>
            </w:tcBorders>
            <w:shd w:val="clear" w:color="000000" w:fill="auto"/>
          </w:tcPr>
          <w:p w14:paraId="706F644F"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2.0%</w:t>
            </w:r>
          </w:p>
        </w:tc>
      </w:tr>
      <w:tr w:rsidR="008E7FC3" w:rsidRPr="00D126B3" w14:paraId="574773FE" w14:textId="77777777" w:rsidTr="00177648">
        <w:tc>
          <w:tcPr>
            <w:tcW w:w="5670" w:type="dxa"/>
            <w:tcBorders>
              <w:top w:val="nil"/>
              <w:bottom w:val="nil"/>
            </w:tcBorders>
            <w:shd w:val="clear" w:color="auto" w:fill="F2F2F2" w:themeFill="background1" w:themeFillShade="F2"/>
          </w:tcPr>
          <w:p w14:paraId="3FECF826"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Financial and insurance services</w:t>
            </w:r>
          </w:p>
        </w:tc>
        <w:tc>
          <w:tcPr>
            <w:tcW w:w="1984" w:type="dxa"/>
            <w:tcBorders>
              <w:top w:val="nil"/>
              <w:bottom w:val="nil"/>
            </w:tcBorders>
            <w:shd w:val="clear" w:color="auto" w:fill="F2F2F2" w:themeFill="background1" w:themeFillShade="F2"/>
          </w:tcPr>
          <w:p w14:paraId="00F8AD8A"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1.8%</w:t>
            </w:r>
          </w:p>
        </w:tc>
        <w:tc>
          <w:tcPr>
            <w:tcW w:w="1984" w:type="dxa"/>
            <w:tcBorders>
              <w:top w:val="nil"/>
              <w:bottom w:val="nil"/>
            </w:tcBorders>
            <w:shd w:val="clear" w:color="auto" w:fill="F2F2F2" w:themeFill="background1" w:themeFillShade="F2"/>
          </w:tcPr>
          <w:p w14:paraId="5F26318A"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1.9%</w:t>
            </w:r>
          </w:p>
        </w:tc>
      </w:tr>
      <w:tr w:rsidR="008E7FC3" w:rsidRPr="00D126B3" w14:paraId="391916C5" w14:textId="77777777" w:rsidTr="00177648">
        <w:tc>
          <w:tcPr>
            <w:tcW w:w="5670" w:type="dxa"/>
            <w:tcBorders>
              <w:bottom w:val="single" w:sz="4" w:space="0" w:color="B3B3B3"/>
            </w:tcBorders>
            <w:shd w:val="clear" w:color="auto" w:fill="auto"/>
          </w:tcPr>
          <w:p w14:paraId="6B39BC0D" w14:textId="77777777" w:rsidR="008E7FC3" w:rsidRPr="006D075E" w:rsidRDefault="008E7FC3" w:rsidP="00177648">
            <w:pPr>
              <w:pStyle w:val="TableHeading"/>
              <w:spacing w:before="45" w:after="45"/>
              <w:ind w:right="108"/>
              <w:rPr>
                <w:rFonts w:ascii="Arial (Body)" w:hAnsi="Arial (Body)"/>
                <w:bCs/>
                <w:color w:val="265A9A"/>
                <w:vertAlign w:val="superscript"/>
              </w:rPr>
            </w:pPr>
            <w:r w:rsidRPr="006D075E">
              <w:rPr>
                <w:bCs/>
                <w:szCs w:val="18"/>
              </w:rPr>
              <w:t xml:space="preserve">Other </w:t>
            </w:r>
            <w:r>
              <w:rPr>
                <w:bCs/>
                <w:szCs w:val="18"/>
              </w:rPr>
              <w:t>i</w:t>
            </w:r>
            <w:r w:rsidRPr="006D075E">
              <w:rPr>
                <w:bCs/>
                <w:szCs w:val="18"/>
              </w:rPr>
              <w:t>ndustries</w:t>
            </w:r>
            <w:r w:rsidRPr="006D075E">
              <w:rPr>
                <w:bCs/>
                <w:szCs w:val="18"/>
                <w:vertAlign w:val="superscript"/>
              </w:rPr>
              <w:t>b</w:t>
            </w:r>
          </w:p>
        </w:tc>
        <w:tc>
          <w:tcPr>
            <w:tcW w:w="1984" w:type="dxa"/>
            <w:tcBorders>
              <w:bottom w:val="single" w:sz="4" w:space="0" w:color="B3B3B3"/>
            </w:tcBorders>
            <w:shd w:val="clear" w:color="auto" w:fill="auto"/>
          </w:tcPr>
          <w:p w14:paraId="20F02454" w14:textId="77777777" w:rsidR="008E7FC3" w:rsidRPr="00D126B3" w:rsidRDefault="008E7FC3" w:rsidP="00177648">
            <w:pPr>
              <w:pStyle w:val="TableBody"/>
              <w:spacing w:before="45" w:after="45"/>
              <w:ind w:right="108"/>
              <w:jc w:val="right"/>
              <w:rPr>
                <w:rFonts w:ascii="Arial (Body)" w:hAnsi="Arial (Body)"/>
                <w:color w:val="000000"/>
              </w:rPr>
            </w:pPr>
            <w:r w:rsidRPr="006527C1">
              <w:rPr>
                <w:szCs w:val="18"/>
              </w:rPr>
              <w:t>39.6%</w:t>
            </w:r>
          </w:p>
        </w:tc>
        <w:tc>
          <w:tcPr>
            <w:tcW w:w="1984" w:type="dxa"/>
            <w:tcBorders>
              <w:bottom w:val="single" w:sz="4" w:space="0" w:color="B3B3B3"/>
            </w:tcBorders>
            <w:shd w:val="clear" w:color="auto" w:fill="auto"/>
          </w:tcPr>
          <w:p w14:paraId="37AE69AE" w14:textId="77777777" w:rsidR="008E7FC3" w:rsidRPr="00D126B3" w:rsidRDefault="008E7FC3" w:rsidP="00177648">
            <w:pPr>
              <w:pStyle w:val="TableBody"/>
              <w:spacing w:before="45" w:after="45"/>
              <w:ind w:right="108"/>
              <w:jc w:val="right"/>
              <w:rPr>
                <w:rFonts w:ascii="Arial (Body)" w:hAnsi="Arial (Body)"/>
                <w:color w:val="000000"/>
              </w:rPr>
            </w:pPr>
            <w:r w:rsidRPr="00EB0A85">
              <w:rPr>
                <w:szCs w:val="18"/>
              </w:rPr>
              <w:t>63.2%</w:t>
            </w:r>
          </w:p>
        </w:tc>
      </w:tr>
    </w:tbl>
    <w:p w14:paraId="128B6640" w14:textId="77777777" w:rsidR="008E7FC3" w:rsidRDefault="008E7FC3" w:rsidP="008E7FC3">
      <w:pPr>
        <w:pStyle w:val="Note"/>
      </w:pPr>
      <w:r w:rsidRPr="00C36914">
        <w:rPr>
          <w:b/>
          <w:bCs/>
        </w:rPr>
        <w:t>a.</w:t>
      </w:r>
      <w:r w:rsidRPr="00C36914">
        <w:t xml:space="preserve"> </w:t>
      </w:r>
      <w:r w:rsidRPr="00B9014E">
        <w:t>When estimating the wage equation</w:t>
      </w:r>
      <w:r>
        <w:t>s</w:t>
      </w:r>
      <w:r w:rsidRPr="00B9014E">
        <w:t>, one industry – in this case, Agriculture, Forestry and Fishing – is not included as a variable. If all industry variables were included, it would be impossible to determine the impact of working in each industry on wages. This is due to</w:t>
      </w:r>
      <w:r>
        <w:t xml:space="preserve"> </w:t>
      </w:r>
      <w:r w:rsidRPr="00B9014E">
        <w:t>the ‘dummy variable trap’: collectively, the industry variables (of which one variable is equal to one for each person) are equivalent to the constant variable (which is equal to one for every person). By excluding</w:t>
      </w:r>
      <w:r>
        <w:t xml:space="preserve"> one</w:t>
      </w:r>
      <w:r w:rsidRPr="00B9014E">
        <w:t xml:space="preserve"> variable, it becomes the ‘base’ against which wages for other industries are compared</w:t>
      </w:r>
      <w:r w:rsidRPr="00C36914">
        <w:t xml:space="preserve">. </w:t>
      </w:r>
      <w:r w:rsidRPr="00C36914">
        <w:rPr>
          <w:b/>
          <w:bCs/>
        </w:rPr>
        <w:t>b.</w:t>
      </w:r>
      <w:r w:rsidRPr="00C36914">
        <w:t xml:space="preserve"> </w:t>
      </w:r>
      <w:r w:rsidRPr="00B9014E">
        <w:t>‘Other Industries’ includes Accommodation and Food Services, Rental, Hiring and Real Estate Services, Professional Scientific and Technical Services, Administrative and Support Services, Public Administration and Safety, Education and Training, Health Care and Social Assistance, Arts and Recreation Services, and Other Services</w:t>
      </w:r>
      <w:r w:rsidRPr="00C36914">
        <w:t>.</w:t>
      </w:r>
    </w:p>
    <w:p w14:paraId="08DE6132" w14:textId="77777777" w:rsidR="008E7FC3" w:rsidRDefault="008E7FC3" w:rsidP="008E7FC3">
      <w:pPr>
        <w:pStyle w:val="Source"/>
      </w:pPr>
      <w:r w:rsidRPr="00696447">
        <w:t>Source:</w:t>
      </w:r>
      <w:r>
        <w:t xml:space="preserve"> Productivity Commission estimates based on ABS (June 2023) ‘UQ2a – </w:t>
      </w:r>
      <w:r w:rsidRPr="00341E70">
        <w:t>Unemployed persons by Industry division of last job (ANZSIC)</w:t>
      </w:r>
      <w:r>
        <w:t>’ [time series spreadsheet], Labour Force, Australia, Detailed, accessed 6 September 2023.</w:t>
      </w:r>
    </w:p>
    <w:p w14:paraId="56437AA1" w14:textId="77777777" w:rsidR="008E7FC3" w:rsidRDefault="008E7FC3" w:rsidP="008E7FC3">
      <w:pPr>
        <w:pStyle w:val="FigureTableHeading"/>
      </w:pPr>
      <w:r>
        <w:t xml:space="preserve">Table </w:t>
      </w:r>
      <w:r>
        <w:rPr>
          <w:noProof/>
        </w:rPr>
        <w:t>G</w:t>
      </w:r>
      <w:r>
        <w:t>.</w:t>
      </w:r>
      <w:r>
        <w:rPr>
          <w:noProof/>
        </w:rPr>
        <w:t>2 – Occupation proportions for imputing wages of non</w:t>
      </w:r>
      <w:r>
        <w:rPr>
          <w:noProof/>
        </w:rPr>
        <w:noBreakHyphen/>
        <w:t>workers</w:t>
      </w:r>
      <w:r w:rsidRPr="00EC0C27">
        <w:rPr>
          <w:vertAlign w:val="superscript"/>
        </w:rPr>
        <w:t>a,b</w:t>
      </w:r>
    </w:p>
    <w:p w14:paraId="75C4468E" w14:textId="77777777" w:rsidR="008E7FC3" w:rsidRDefault="008E7FC3" w:rsidP="008E7FC3">
      <w:pPr>
        <w:pStyle w:val="FigureTableSubheading"/>
      </w:pPr>
      <w:r w:rsidRPr="00662D5C">
        <w:t>Last occupation classification reported by unemployed individuals</w:t>
      </w:r>
      <w:r w:rsidRPr="000F1B4E">
        <w:t>, May 2019 to February 2020 (mean of four quarters)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670"/>
        <w:gridCol w:w="1984"/>
        <w:gridCol w:w="1984"/>
      </w:tblGrid>
      <w:tr w:rsidR="008E7FC3" w:rsidRPr="00D126B3" w14:paraId="44B20DC1" w14:textId="77777777" w:rsidTr="00177648">
        <w:trPr>
          <w:tblHeader/>
        </w:trPr>
        <w:tc>
          <w:tcPr>
            <w:tcW w:w="5670" w:type="dxa"/>
            <w:tcBorders>
              <w:bottom w:val="single" w:sz="4" w:space="0" w:color="B3B3B3"/>
            </w:tcBorders>
            <w:shd w:val="clear" w:color="000000" w:fill="auto"/>
            <w:vAlign w:val="bottom"/>
          </w:tcPr>
          <w:p w14:paraId="05D3AE26" w14:textId="77777777" w:rsidR="008E7FC3" w:rsidRPr="00D126B3" w:rsidRDefault="008E7FC3" w:rsidP="00177648">
            <w:pPr>
              <w:spacing w:before="45" w:after="45"/>
              <w:ind w:right="108"/>
              <w:rPr>
                <w:rFonts w:ascii="Arial (Body)" w:hAnsi="Arial (Body)"/>
                <w:b/>
                <w:color w:val="265A9A"/>
                <w:sz w:val="18"/>
              </w:rPr>
            </w:pPr>
          </w:p>
        </w:tc>
        <w:tc>
          <w:tcPr>
            <w:tcW w:w="1984" w:type="dxa"/>
            <w:tcBorders>
              <w:bottom w:val="single" w:sz="4" w:space="0" w:color="B3B3B3"/>
            </w:tcBorders>
            <w:shd w:val="clear" w:color="000000" w:fill="auto"/>
            <w:vAlign w:val="bottom"/>
          </w:tcPr>
          <w:p w14:paraId="24CCA553"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Male</w:t>
            </w:r>
          </w:p>
        </w:tc>
        <w:tc>
          <w:tcPr>
            <w:tcW w:w="1984" w:type="dxa"/>
            <w:tcBorders>
              <w:bottom w:val="single" w:sz="4" w:space="0" w:color="B3B3B3"/>
            </w:tcBorders>
            <w:shd w:val="clear" w:color="000000" w:fill="auto"/>
            <w:vAlign w:val="bottom"/>
          </w:tcPr>
          <w:p w14:paraId="59EF197F"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Female</w:t>
            </w:r>
          </w:p>
        </w:tc>
      </w:tr>
      <w:tr w:rsidR="008E7FC3" w:rsidRPr="00D126B3" w14:paraId="7B4026D7" w14:textId="77777777" w:rsidTr="00177648">
        <w:tc>
          <w:tcPr>
            <w:tcW w:w="5670" w:type="dxa"/>
            <w:tcBorders>
              <w:top w:val="single" w:sz="4" w:space="0" w:color="B3B3B3"/>
              <w:bottom w:val="nil"/>
            </w:tcBorders>
            <w:shd w:val="clear" w:color="000000" w:fill="F2F2F2"/>
          </w:tcPr>
          <w:p w14:paraId="7DC67F2C" w14:textId="77777777" w:rsidR="008E7FC3" w:rsidRPr="006D075E" w:rsidRDefault="008E7FC3" w:rsidP="00177648">
            <w:pPr>
              <w:pStyle w:val="TableHeading"/>
              <w:spacing w:before="45" w:after="45"/>
              <w:ind w:right="108"/>
              <w:rPr>
                <w:rFonts w:ascii="Arial (Body)" w:hAnsi="Arial (Body)"/>
                <w:bCs/>
                <w:color w:val="595959" w:themeColor="text1" w:themeTint="A6"/>
              </w:rPr>
            </w:pPr>
            <w:r w:rsidRPr="006D075E">
              <w:rPr>
                <w:bCs/>
                <w:color w:val="595959" w:themeColor="text1" w:themeTint="A6"/>
                <w:szCs w:val="18"/>
              </w:rPr>
              <w:t>Labourers (omitted from wage equation)</w:t>
            </w:r>
            <w:r w:rsidRPr="006D075E">
              <w:rPr>
                <w:bCs/>
                <w:color w:val="595959" w:themeColor="text1" w:themeTint="A6"/>
                <w:szCs w:val="18"/>
                <w:vertAlign w:val="superscript"/>
              </w:rPr>
              <w:t>a</w:t>
            </w:r>
          </w:p>
        </w:tc>
        <w:tc>
          <w:tcPr>
            <w:tcW w:w="1984" w:type="dxa"/>
            <w:tcBorders>
              <w:top w:val="single" w:sz="4" w:space="0" w:color="B3B3B3"/>
              <w:bottom w:val="nil"/>
            </w:tcBorders>
            <w:shd w:val="clear" w:color="000000" w:fill="F2F2F2"/>
          </w:tcPr>
          <w:p w14:paraId="4309C7ED" w14:textId="77777777" w:rsidR="008E7FC3" w:rsidRPr="00D126B3" w:rsidRDefault="008E7FC3" w:rsidP="00177648">
            <w:pPr>
              <w:pStyle w:val="TableBody"/>
              <w:spacing w:before="45" w:after="45"/>
              <w:ind w:right="108"/>
              <w:jc w:val="right"/>
              <w:rPr>
                <w:rFonts w:ascii="Arial (Body)" w:hAnsi="Arial (Body)"/>
                <w:color w:val="000000"/>
              </w:rPr>
            </w:pPr>
            <w:r w:rsidRPr="001C439B">
              <w:rPr>
                <w:szCs w:val="18"/>
              </w:rPr>
              <w:t>48.6%</w:t>
            </w:r>
          </w:p>
        </w:tc>
        <w:tc>
          <w:tcPr>
            <w:tcW w:w="1984" w:type="dxa"/>
            <w:tcBorders>
              <w:top w:val="single" w:sz="4" w:space="0" w:color="B3B3B3"/>
              <w:bottom w:val="nil"/>
            </w:tcBorders>
            <w:shd w:val="clear" w:color="000000" w:fill="F2F2F2"/>
          </w:tcPr>
          <w:p w14:paraId="69479C32" w14:textId="77777777" w:rsidR="008E7FC3" w:rsidRPr="00D126B3" w:rsidRDefault="008E7FC3" w:rsidP="00177648">
            <w:pPr>
              <w:pStyle w:val="TableBody"/>
              <w:spacing w:before="45" w:after="45"/>
              <w:ind w:right="108"/>
              <w:jc w:val="right"/>
              <w:rPr>
                <w:rFonts w:ascii="Arial (Body)" w:hAnsi="Arial (Body)"/>
                <w:color w:val="000000"/>
              </w:rPr>
            </w:pPr>
            <w:r w:rsidRPr="008F1218">
              <w:rPr>
                <w:szCs w:val="18"/>
              </w:rPr>
              <w:t>35.6%</w:t>
            </w:r>
          </w:p>
        </w:tc>
      </w:tr>
      <w:tr w:rsidR="008E7FC3" w:rsidRPr="00D126B3" w14:paraId="124196FE" w14:textId="77777777" w:rsidTr="00177648">
        <w:tc>
          <w:tcPr>
            <w:tcW w:w="5670" w:type="dxa"/>
            <w:tcBorders>
              <w:top w:val="nil"/>
              <w:bottom w:val="nil"/>
            </w:tcBorders>
            <w:shd w:val="clear" w:color="000000" w:fill="auto"/>
          </w:tcPr>
          <w:p w14:paraId="671F0FE6"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Clerical</w:t>
            </w:r>
          </w:p>
        </w:tc>
        <w:tc>
          <w:tcPr>
            <w:tcW w:w="1984" w:type="dxa"/>
            <w:tcBorders>
              <w:top w:val="nil"/>
              <w:bottom w:val="nil"/>
            </w:tcBorders>
            <w:shd w:val="clear" w:color="000000" w:fill="auto"/>
          </w:tcPr>
          <w:p w14:paraId="2DB1C5E5" w14:textId="77777777" w:rsidR="008E7FC3" w:rsidRPr="00D126B3" w:rsidRDefault="008E7FC3" w:rsidP="00177648">
            <w:pPr>
              <w:pStyle w:val="TableBody"/>
              <w:spacing w:before="45" w:after="45"/>
              <w:ind w:right="108"/>
              <w:jc w:val="right"/>
              <w:rPr>
                <w:rFonts w:ascii="Arial (Body)" w:hAnsi="Arial (Body)"/>
                <w:color w:val="000000"/>
              </w:rPr>
            </w:pPr>
            <w:r w:rsidRPr="001C439B">
              <w:rPr>
                <w:szCs w:val="18"/>
              </w:rPr>
              <w:t>6.0%</w:t>
            </w:r>
          </w:p>
        </w:tc>
        <w:tc>
          <w:tcPr>
            <w:tcW w:w="1984" w:type="dxa"/>
            <w:tcBorders>
              <w:top w:val="nil"/>
              <w:bottom w:val="nil"/>
            </w:tcBorders>
            <w:shd w:val="clear" w:color="000000" w:fill="auto"/>
          </w:tcPr>
          <w:p w14:paraId="1801A5C8" w14:textId="77777777" w:rsidR="008E7FC3" w:rsidRPr="00D126B3" w:rsidRDefault="008E7FC3" w:rsidP="00177648">
            <w:pPr>
              <w:pStyle w:val="TableBody"/>
              <w:spacing w:before="45" w:after="45"/>
              <w:ind w:right="108"/>
              <w:jc w:val="right"/>
              <w:rPr>
                <w:rFonts w:ascii="Arial (Body)" w:hAnsi="Arial (Body)"/>
                <w:color w:val="000000"/>
              </w:rPr>
            </w:pPr>
            <w:r w:rsidRPr="008F1218">
              <w:rPr>
                <w:szCs w:val="18"/>
              </w:rPr>
              <w:t>18.7%</w:t>
            </w:r>
          </w:p>
        </w:tc>
      </w:tr>
      <w:tr w:rsidR="008E7FC3" w:rsidRPr="00D126B3" w14:paraId="33DC2912" w14:textId="77777777" w:rsidTr="00177648">
        <w:tc>
          <w:tcPr>
            <w:tcW w:w="5670" w:type="dxa"/>
            <w:tcBorders>
              <w:top w:val="nil"/>
              <w:bottom w:val="nil"/>
            </w:tcBorders>
            <w:shd w:val="clear" w:color="auto" w:fill="F2F2F2" w:themeFill="background1" w:themeFillShade="F2"/>
          </w:tcPr>
          <w:p w14:paraId="794A3DA0"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Paraprofessionals</w:t>
            </w:r>
          </w:p>
        </w:tc>
        <w:tc>
          <w:tcPr>
            <w:tcW w:w="1984" w:type="dxa"/>
            <w:tcBorders>
              <w:top w:val="nil"/>
              <w:bottom w:val="nil"/>
            </w:tcBorders>
            <w:shd w:val="clear" w:color="auto" w:fill="F2F2F2" w:themeFill="background1" w:themeFillShade="F2"/>
          </w:tcPr>
          <w:p w14:paraId="302B1B89" w14:textId="77777777" w:rsidR="008E7FC3" w:rsidRPr="00D126B3" w:rsidRDefault="008E7FC3" w:rsidP="00177648">
            <w:pPr>
              <w:pStyle w:val="TableBody"/>
              <w:spacing w:before="45" w:after="45"/>
              <w:ind w:right="108"/>
              <w:jc w:val="right"/>
              <w:rPr>
                <w:rFonts w:ascii="Arial (Body)" w:hAnsi="Arial (Body)"/>
                <w:color w:val="000000"/>
              </w:rPr>
            </w:pPr>
            <w:r w:rsidRPr="001C439B">
              <w:rPr>
                <w:szCs w:val="18"/>
              </w:rPr>
              <w:t>24.9%</w:t>
            </w:r>
          </w:p>
        </w:tc>
        <w:tc>
          <w:tcPr>
            <w:tcW w:w="1984" w:type="dxa"/>
            <w:tcBorders>
              <w:top w:val="nil"/>
              <w:bottom w:val="nil"/>
            </w:tcBorders>
            <w:shd w:val="clear" w:color="auto" w:fill="F2F2F2" w:themeFill="background1" w:themeFillShade="F2"/>
          </w:tcPr>
          <w:p w14:paraId="00CC2CB7" w14:textId="77777777" w:rsidR="008E7FC3" w:rsidRPr="00D126B3" w:rsidRDefault="008E7FC3" w:rsidP="00177648">
            <w:pPr>
              <w:pStyle w:val="TableBody"/>
              <w:spacing w:before="45" w:after="45"/>
              <w:ind w:right="108"/>
              <w:jc w:val="right"/>
              <w:rPr>
                <w:rFonts w:ascii="Arial (Body)" w:hAnsi="Arial (Body)"/>
                <w:color w:val="000000"/>
              </w:rPr>
            </w:pPr>
            <w:r w:rsidRPr="008F1218">
              <w:rPr>
                <w:szCs w:val="18"/>
              </w:rPr>
              <w:t>24.0%</w:t>
            </w:r>
          </w:p>
        </w:tc>
      </w:tr>
      <w:tr w:rsidR="008E7FC3" w:rsidRPr="00D126B3" w14:paraId="1E926C83" w14:textId="77777777" w:rsidTr="00177648">
        <w:tc>
          <w:tcPr>
            <w:tcW w:w="5670" w:type="dxa"/>
            <w:tcBorders>
              <w:bottom w:val="single" w:sz="4" w:space="0" w:color="B3B3B3"/>
            </w:tcBorders>
            <w:shd w:val="clear" w:color="auto" w:fill="auto"/>
          </w:tcPr>
          <w:p w14:paraId="2020610C" w14:textId="77777777" w:rsidR="008E7FC3" w:rsidRPr="006D075E" w:rsidRDefault="008E7FC3" w:rsidP="00177648">
            <w:pPr>
              <w:pStyle w:val="TableHeading"/>
              <w:spacing w:before="45" w:after="45"/>
              <w:ind w:right="108"/>
              <w:rPr>
                <w:rFonts w:ascii="Arial (Body)" w:hAnsi="Arial (Body)"/>
                <w:bCs/>
                <w:color w:val="265A9A"/>
              </w:rPr>
            </w:pPr>
            <w:r w:rsidRPr="006D075E">
              <w:rPr>
                <w:bCs/>
                <w:szCs w:val="18"/>
              </w:rPr>
              <w:t>Professionals</w:t>
            </w:r>
          </w:p>
        </w:tc>
        <w:tc>
          <w:tcPr>
            <w:tcW w:w="1984" w:type="dxa"/>
            <w:tcBorders>
              <w:bottom w:val="single" w:sz="4" w:space="0" w:color="B3B3B3"/>
            </w:tcBorders>
            <w:shd w:val="clear" w:color="auto" w:fill="auto"/>
          </w:tcPr>
          <w:p w14:paraId="1537CF9C" w14:textId="77777777" w:rsidR="008E7FC3" w:rsidRPr="00D126B3" w:rsidRDefault="008E7FC3" w:rsidP="00177648">
            <w:pPr>
              <w:pStyle w:val="TableBody"/>
              <w:spacing w:before="45" w:after="45"/>
              <w:ind w:right="108"/>
              <w:jc w:val="right"/>
              <w:rPr>
                <w:rFonts w:ascii="Arial (Body)" w:hAnsi="Arial (Body)"/>
                <w:color w:val="000000"/>
              </w:rPr>
            </w:pPr>
            <w:r w:rsidRPr="001C439B">
              <w:rPr>
                <w:szCs w:val="18"/>
              </w:rPr>
              <w:t>20.5%</w:t>
            </w:r>
          </w:p>
        </w:tc>
        <w:tc>
          <w:tcPr>
            <w:tcW w:w="1984" w:type="dxa"/>
            <w:tcBorders>
              <w:bottom w:val="single" w:sz="4" w:space="0" w:color="B3B3B3"/>
            </w:tcBorders>
            <w:shd w:val="clear" w:color="auto" w:fill="auto"/>
          </w:tcPr>
          <w:p w14:paraId="19243F05" w14:textId="77777777" w:rsidR="008E7FC3" w:rsidRPr="00D126B3" w:rsidRDefault="008E7FC3" w:rsidP="00177648">
            <w:pPr>
              <w:pStyle w:val="TableBody"/>
              <w:spacing w:before="45" w:after="45"/>
              <w:ind w:right="108"/>
              <w:jc w:val="right"/>
              <w:rPr>
                <w:rFonts w:ascii="Arial (Body)" w:hAnsi="Arial (Body)"/>
                <w:color w:val="000000"/>
              </w:rPr>
            </w:pPr>
            <w:r w:rsidRPr="008F1218">
              <w:rPr>
                <w:szCs w:val="18"/>
              </w:rPr>
              <w:t>21.7%</w:t>
            </w:r>
          </w:p>
        </w:tc>
      </w:tr>
    </w:tbl>
    <w:p w14:paraId="72599692" w14:textId="77777777" w:rsidR="008E7FC3" w:rsidRDefault="008E7FC3" w:rsidP="008E7FC3">
      <w:pPr>
        <w:pStyle w:val="Note"/>
      </w:pPr>
      <w:r w:rsidRPr="00C36914">
        <w:rPr>
          <w:b/>
          <w:bCs/>
        </w:rPr>
        <w:t>a.</w:t>
      </w:r>
      <w:r w:rsidRPr="00C36914">
        <w:t xml:space="preserve"> </w:t>
      </w:r>
      <w:r w:rsidRPr="004F1A7A">
        <w:t>As with the industry proportions above, the ‘Labourers’ variable is excluded and becomes the base against which wages in other occupations are compared</w:t>
      </w:r>
      <w:r w:rsidRPr="00C36914">
        <w:t xml:space="preserve">. </w:t>
      </w:r>
      <w:r w:rsidRPr="00C36914">
        <w:rPr>
          <w:b/>
          <w:bCs/>
        </w:rPr>
        <w:t>b.</w:t>
      </w:r>
      <w:r w:rsidRPr="00C36914">
        <w:t xml:space="preserve"> </w:t>
      </w:r>
      <w:r w:rsidRPr="004F1A7A">
        <w:t>‘Professionals’ variable includes Managers and Professionals, ‘Paraprofessionals’ variable includes Technicians and Trades Workers and Community and Personal Service Workers, ‘Clerical’ variable includes Clerical and Administrative Workers, ‘Labourers’ variable includes Labourers, Machinery Operators and Drivers and Sales Workers</w:t>
      </w:r>
      <w:r w:rsidRPr="00C36914">
        <w:t>.</w:t>
      </w:r>
    </w:p>
    <w:p w14:paraId="71F25157" w14:textId="77777777" w:rsidR="008E7FC3" w:rsidRPr="006510ED" w:rsidRDefault="008E7FC3" w:rsidP="008E7FC3">
      <w:pPr>
        <w:pStyle w:val="Source"/>
        <w:rPr>
          <w:spacing w:val="-2"/>
        </w:rPr>
      </w:pPr>
      <w:r w:rsidRPr="006510ED">
        <w:rPr>
          <w:spacing w:val="-2"/>
        </w:rPr>
        <w:t>Source: Productivity Commission estimates based on ABS (June 2023) ‘UQ3a – Unemployed persons by Occupation major group of last job (ANZSCO)’ [time series spreadsheet], Labour Force, Australia, Detailed, accessed 6 September 2023.</w:t>
      </w:r>
    </w:p>
    <w:p w14:paraId="78276738" w14:textId="77777777" w:rsidR="008E7FC3" w:rsidRDefault="008E7FC3" w:rsidP="008E7FC3">
      <w:pPr>
        <w:pStyle w:val="Heading3"/>
      </w:pPr>
      <w:r>
        <w:t>Estimated coefficients</w:t>
      </w:r>
    </w:p>
    <w:p w14:paraId="1AAFCFD9" w14:textId="77777777" w:rsidR="008E7FC3" w:rsidRPr="00D80AFF" w:rsidRDefault="008E7FC3" w:rsidP="008E7FC3">
      <w:pPr>
        <w:pStyle w:val="BodyText"/>
      </w:pPr>
      <w:r w:rsidDel="00707546">
        <w:t>Coefficients</w:t>
      </w:r>
      <w:r>
        <w:t xml:space="preserve"> from the selection and wage equations are</w:t>
      </w:r>
      <w:r w:rsidDel="00642668">
        <w:t xml:space="preserve"> </w:t>
      </w:r>
      <w:r>
        <w:t xml:space="preserve">presented in table G.3 and G.4. </w:t>
      </w:r>
      <w:r w:rsidRPr="00D80AFF">
        <w:t xml:space="preserve">The </w:t>
      </w:r>
      <w:r>
        <w:t xml:space="preserve">estimated </w:t>
      </w:r>
      <w:r w:rsidRPr="00D80AFF">
        <w:t>coefficients of the selection equation suggest that having</w:t>
      </w:r>
      <w:r>
        <w:t xml:space="preserve"> more children and</w:t>
      </w:r>
      <w:r w:rsidDel="0036538E">
        <w:t xml:space="preserve"> </w:t>
      </w:r>
      <w:r>
        <w:t xml:space="preserve">speaking a main language other </w:t>
      </w:r>
      <w:r>
        <w:lastRenderedPageBreak/>
        <w:t xml:space="preserve">than English at home are </w:t>
      </w:r>
      <w:r w:rsidRPr="00D80AFF">
        <w:t xml:space="preserve">associated with a lower likelihood of working for both </w:t>
      </w:r>
      <w:r>
        <w:t>sole parent</w:t>
      </w:r>
      <w:r w:rsidRPr="00D80AFF">
        <w:t>s and partnered female parents.</w:t>
      </w:r>
      <w:r>
        <w:t xml:space="preserve"> Individuals from b</w:t>
      </w:r>
      <w:r w:rsidRPr="00D80AFF">
        <w:t xml:space="preserve">oth cohorts are more likely to work </w:t>
      </w:r>
      <w:r>
        <w:t>if</w:t>
      </w:r>
      <w:r w:rsidRPr="00D80AFF">
        <w:t xml:space="preserve"> they have a higher level of educational attainment.</w:t>
      </w:r>
    </w:p>
    <w:p w14:paraId="65C57F16" w14:textId="77777777" w:rsidR="008E7FC3" w:rsidRDefault="008E7FC3" w:rsidP="008E7FC3">
      <w:pPr>
        <w:pStyle w:val="FigureTableHeading"/>
      </w:pPr>
      <w:r>
        <w:t xml:space="preserve">Table </w:t>
      </w:r>
      <w:r>
        <w:rPr>
          <w:noProof/>
        </w:rPr>
        <w:t>G</w:t>
      </w:r>
      <w:r>
        <w:t>.</w:t>
      </w:r>
      <w:r>
        <w:rPr>
          <w:noProof/>
        </w:rPr>
        <w:t>3 – Selection equation coefficients</w:t>
      </w:r>
      <w:r w:rsidRPr="00EC0C27">
        <w:rPr>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2621"/>
        <w:gridCol w:w="2622"/>
      </w:tblGrid>
      <w:tr w:rsidR="008E7FC3" w:rsidRPr="00D126B3" w14:paraId="73EBCC9B" w14:textId="77777777" w:rsidTr="00177648">
        <w:trPr>
          <w:tblHeader/>
        </w:trPr>
        <w:tc>
          <w:tcPr>
            <w:tcW w:w="4395" w:type="dxa"/>
            <w:tcBorders>
              <w:bottom w:val="single" w:sz="4" w:space="0" w:color="B3B3B3"/>
            </w:tcBorders>
            <w:shd w:val="clear" w:color="000000" w:fill="auto"/>
            <w:vAlign w:val="bottom"/>
          </w:tcPr>
          <w:p w14:paraId="64A9653A" w14:textId="77777777" w:rsidR="008E7FC3" w:rsidRPr="00D126B3" w:rsidRDefault="008E7FC3" w:rsidP="00177648">
            <w:pPr>
              <w:spacing w:before="45" w:after="45"/>
              <w:ind w:left="57" w:right="108"/>
              <w:rPr>
                <w:rFonts w:ascii="Arial (Body)" w:hAnsi="Arial (Body)"/>
                <w:b/>
                <w:color w:val="265A9A"/>
                <w:sz w:val="18"/>
              </w:rPr>
            </w:pPr>
          </w:p>
        </w:tc>
        <w:tc>
          <w:tcPr>
            <w:tcW w:w="2621" w:type="dxa"/>
            <w:tcBorders>
              <w:bottom w:val="single" w:sz="4" w:space="0" w:color="B3B3B3"/>
            </w:tcBorders>
            <w:shd w:val="clear" w:color="000000" w:fill="auto"/>
            <w:vAlign w:val="bottom"/>
          </w:tcPr>
          <w:p w14:paraId="519D5409"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Sole</w:t>
            </w:r>
            <w:r w:rsidRPr="008D7CEF">
              <w:rPr>
                <w:rFonts w:ascii="Arial (Body)" w:hAnsi="Arial (Body)"/>
                <w:color w:val="265A9A"/>
              </w:rPr>
              <w:t xml:space="preserve"> </w:t>
            </w:r>
            <w:r>
              <w:rPr>
                <w:rFonts w:ascii="Arial (Body)" w:hAnsi="Arial (Body)"/>
                <w:color w:val="265A9A"/>
              </w:rPr>
              <w:t>parents</w:t>
            </w:r>
          </w:p>
        </w:tc>
        <w:tc>
          <w:tcPr>
            <w:tcW w:w="2622" w:type="dxa"/>
            <w:tcBorders>
              <w:bottom w:val="single" w:sz="4" w:space="0" w:color="B3B3B3"/>
            </w:tcBorders>
            <w:shd w:val="clear" w:color="000000" w:fill="auto"/>
            <w:vAlign w:val="bottom"/>
          </w:tcPr>
          <w:p w14:paraId="1BADC1AD"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Partnered female parents</w:t>
            </w:r>
          </w:p>
        </w:tc>
      </w:tr>
      <w:tr w:rsidR="008E7FC3" w:rsidRPr="00D126B3" w14:paraId="24BBDBE4" w14:textId="77777777" w:rsidTr="00177648">
        <w:tc>
          <w:tcPr>
            <w:tcW w:w="9638" w:type="dxa"/>
            <w:gridSpan w:val="3"/>
            <w:tcBorders>
              <w:top w:val="single" w:sz="4" w:space="0" w:color="B3B3B3"/>
              <w:bottom w:val="nil"/>
            </w:tcBorders>
            <w:shd w:val="clear" w:color="000000" w:fill="F2F2F2"/>
          </w:tcPr>
          <w:p w14:paraId="38155071" w14:textId="77777777" w:rsidR="008E7FC3" w:rsidRPr="00662D5C" w:rsidRDefault="008E7FC3" w:rsidP="00177648">
            <w:pPr>
              <w:pStyle w:val="TableBody"/>
              <w:spacing w:before="45" w:after="45"/>
              <w:ind w:right="108"/>
              <w:rPr>
                <w:rFonts w:ascii="Arial (Body)" w:hAnsi="Arial (Body)"/>
                <w:i/>
                <w:color w:val="000000"/>
              </w:rPr>
            </w:pPr>
            <w:r w:rsidRPr="00662D5C">
              <w:rPr>
                <w:rFonts w:ascii="Arial (Body)" w:hAnsi="Arial (Body)"/>
                <w:i/>
                <w:color w:val="265A9A" w:themeColor="background2"/>
              </w:rPr>
              <w:t>DEPENDENT VARIABLE: employment</w:t>
            </w:r>
          </w:p>
        </w:tc>
      </w:tr>
      <w:tr w:rsidR="008E7FC3" w:rsidRPr="00D126B3" w14:paraId="2995C39A" w14:textId="77777777" w:rsidTr="00177648">
        <w:tc>
          <w:tcPr>
            <w:tcW w:w="4395" w:type="dxa"/>
            <w:tcBorders>
              <w:top w:val="nil"/>
              <w:bottom w:val="nil"/>
            </w:tcBorders>
            <w:shd w:val="clear" w:color="auto" w:fill="FFFFFF" w:themeFill="background1"/>
          </w:tcPr>
          <w:p w14:paraId="55EF6F53"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number of children aged 14</w:t>
            </w:r>
            <w:r>
              <w:rPr>
                <w:rFonts w:ascii="Arial (Body)" w:hAnsi="Arial (Body)"/>
                <w:bCs/>
                <w:color w:val="265A9A"/>
                <w:vertAlign w:val="superscript"/>
              </w:rPr>
              <w:t>b</w:t>
            </w:r>
            <w:r w:rsidRPr="00662D5C">
              <w:rPr>
                <w:rFonts w:ascii="Arial (Body)" w:hAnsi="Arial (Body)"/>
                <w:b w:val="0"/>
                <w:color w:val="265A9A"/>
              </w:rPr>
              <w:t xml:space="preserve"> or less</w:t>
            </w:r>
          </w:p>
        </w:tc>
        <w:tc>
          <w:tcPr>
            <w:tcW w:w="2621" w:type="dxa"/>
            <w:tcBorders>
              <w:top w:val="nil"/>
              <w:bottom w:val="nil"/>
            </w:tcBorders>
            <w:shd w:val="clear" w:color="auto" w:fill="FFFFFF" w:themeFill="background1"/>
          </w:tcPr>
          <w:p w14:paraId="5D8EB784" w14:textId="77777777" w:rsidR="008E7FC3" w:rsidRPr="009D7398" w:rsidRDefault="008E7FC3" w:rsidP="00177648">
            <w:pPr>
              <w:pStyle w:val="TableBody"/>
              <w:spacing w:before="45" w:after="45"/>
              <w:ind w:left="1701" w:right="108"/>
              <w:rPr>
                <w:rFonts w:ascii="Arial (Body)" w:hAnsi="Arial (Body)"/>
                <w:color w:val="000000"/>
              </w:rPr>
            </w:pPr>
            <w:r w:rsidRPr="009D7398">
              <w:rPr>
                <w:rFonts w:ascii="Arial (Body)" w:hAnsi="Arial (Body)"/>
                <w:color w:val="000000"/>
              </w:rPr>
              <w:t>-0.303***</w:t>
            </w:r>
          </w:p>
        </w:tc>
        <w:tc>
          <w:tcPr>
            <w:tcW w:w="2622" w:type="dxa"/>
            <w:tcBorders>
              <w:top w:val="nil"/>
              <w:bottom w:val="nil"/>
            </w:tcBorders>
            <w:shd w:val="clear" w:color="auto" w:fill="FFFFFF" w:themeFill="background1"/>
          </w:tcPr>
          <w:p w14:paraId="4723202A" w14:textId="77777777" w:rsidR="008E7FC3" w:rsidRPr="00CE6576" w:rsidRDefault="008E7FC3" w:rsidP="00177648">
            <w:pPr>
              <w:pStyle w:val="TableBody"/>
              <w:spacing w:before="45" w:after="45"/>
              <w:ind w:left="1701" w:right="108"/>
              <w:rPr>
                <w:rFonts w:ascii="Arial (Body)" w:hAnsi="Arial (Body)"/>
                <w:color w:val="000000"/>
              </w:rPr>
            </w:pPr>
            <w:r w:rsidRPr="00CE6576">
              <w:rPr>
                <w:rFonts w:ascii="Arial (Body)" w:hAnsi="Arial (Body)"/>
                <w:color w:val="000000"/>
              </w:rPr>
              <w:t>-0.082*</w:t>
            </w:r>
          </w:p>
        </w:tc>
      </w:tr>
      <w:tr w:rsidR="008E7FC3" w:rsidRPr="00D126B3" w14:paraId="58F953AC" w14:textId="77777777" w:rsidTr="00177648">
        <w:tc>
          <w:tcPr>
            <w:tcW w:w="4395" w:type="dxa"/>
            <w:tcBorders>
              <w:top w:val="nil"/>
              <w:bottom w:val="nil"/>
            </w:tcBorders>
            <w:shd w:val="clear" w:color="auto" w:fill="FFFFFF" w:themeFill="background1"/>
          </w:tcPr>
          <w:p w14:paraId="717DA456"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7F7F7F" w:themeColor="text1" w:themeTint="80"/>
              </w:rPr>
              <w:t xml:space="preserve">(Child aged </w:t>
            </w:r>
            <w:r>
              <w:rPr>
                <w:rFonts w:ascii="Arial (Body)" w:hAnsi="Arial (Body)"/>
                <w:b w:val="0"/>
                <w:color w:val="7F7F7F" w:themeColor="text1" w:themeTint="80"/>
              </w:rPr>
              <w:t>15 to 24</w:t>
            </w:r>
            <w:r w:rsidRPr="00662D5C">
              <w:rPr>
                <w:rFonts w:ascii="Arial (Body)" w:hAnsi="Arial (Body)"/>
                <w:b w:val="0"/>
                <w:color w:val="7F7F7F" w:themeColor="text1" w:themeTint="80"/>
              </w:rPr>
              <w:t>)</w:t>
            </w:r>
          </w:p>
        </w:tc>
        <w:tc>
          <w:tcPr>
            <w:tcW w:w="2621" w:type="dxa"/>
            <w:tcBorders>
              <w:top w:val="nil"/>
              <w:bottom w:val="nil"/>
            </w:tcBorders>
            <w:shd w:val="clear" w:color="auto" w:fill="FFFFFF" w:themeFill="background1"/>
          </w:tcPr>
          <w:p w14:paraId="7C167CB0" w14:textId="77777777" w:rsidR="008E7FC3" w:rsidRPr="00662D5C" w:rsidRDefault="008E7FC3" w:rsidP="00177648">
            <w:pPr>
              <w:pStyle w:val="TableBody"/>
              <w:spacing w:before="45" w:after="45"/>
              <w:ind w:left="1701" w:right="108"/>
              <w:rPr>
                <w:rFonts w:ascii="Arial (Body)" w:hAnsi="Arial (Body)"/>
                <w:b/>
                <w:color w:val="000000"/>
              </w:rPr>
            </w:pPr>
          </w:p>
        </w:tc>
        <w:tc>
          <w:tcPr>
            <w:tcW w:w="2622" w:type="dxa"/>
            <w:tcBorders>
              <w:top w:val="nil"/>
              <w:bottom w:val="nil"/>
            </w:tcBorders>
            <w:shd w:val="clear" w:color="auto" w:fill="FFFFFF" w:themeFill="background1"/>
          </w:tcPr>
          <w:p w14:paraId="05BA591D"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6801D756" w14:textId="77777777" w:rsidTr="00177648">
        <w:tc>
          <w:tcPr>
            <w:tcW w:w="4395" w:type="dxa"/>
            <w:tcBorders>
              <w:top w:val="nil"/>
              <w:bottom w:val="nil"/>
            </w:tcBorders>
            <w:shd w:val="clear" w:color="auto" w:fill="FFFFFF" w:themeFill="background1"/>
          </w:tcPr>
          <w:p w14:paraId="700BD8C7"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child aged 0 to 2</w:t>
            </w:r>
          </w:p>
        </w:tc>
        <w:tc>
          <w:tcPr>
            <w:tcW w:w="2621" w:type="dxa"/>
            <w:tcBorders>
              <w:top w:val="nil"/>
              <w:bottom w:val="nil"/>
            </w:tcBorders>
            <w:shd w:val="clear" w:color="auto" w:fill="FFFFFF" w:themeFill="background1"/>
          </w:tcPr>
          <w:p w14:paraId="11884EB2" w14:textId="77777777" w:rsidR="008E7FC3" w:rsidRPr="009D7398" w:rsidRDefault="008E7FC3" w:rsidP="00177648">
            <w:pPr>
              <w:pStyle w:val="TableBody"/>
              <w:spacing w:before="45" w:after="45"/>
              <w:ind w:left="1701" w:right="108"/>
              <w:rPr>
                <w:rFonts w:ascii="Arial (Body)" w:hAnsi="Arial (Body)"/>
                <w:color w:val="000000"/>
              </w:rPr>
            </w:pPr>
            <w:r w:rsidRPr="009D7398">
              <w:t>-0.480*</w:t>
            </w:r>
          </w:p>
        </w:tc>
        <w:tc>
          <w:tcPr>
            <w:tcW w:w="2622" w:type="dxa"/>
            <w:tcBorders>
              <w:top w:val="nil"/>
              <w:bottom w:val="nil"/>
            </w:tcBorders>
            <w:shd w:val="clear" w:color="auto" w:fill="FFFFFF" w:themeFill="background1"/>
          </w:tcPr>
          <w:p w14:paraId="353FB4A4" w14:textId="77777777" w:rsidR="008E7FC3" w:rsidRPr="00CE6576" w:rsidRDefault="008E7FC3" w:rsidP="00177648">
            <w:pPr>
              <w:pStyle w:val="TableBody"/>
              <w:spacing w:before="45" w:after="45"/>
              <w:ind w:left="1701" w:right="108"/>
              <w:rPr>
                <w:rFonts w:ascii="Arial (Body)" w:hAnsi="Arial (Body)"/>
                <w:color w:val="000000"/>
              </w:rPr>
            </w:pPr>
            <w:r w:rsidRPr="00CE6576">
              <w:t>-0.424***</w:t>
            </w:r>
          </w:p>
        </w:tc>
      </w:tr>
      <w:tr w:rsidR="008E7FC3" w:rsidRPr="00D126B3" w14:paraId="3B94CA34" w14:textId="77777777" w:rsidTr="00177648">
        <w:tc>
          <w:tcPr>
            <w:tcW w:w="4395" w:type="dxa"/>
            <w:tcBorders>
              <w:top w:val="nil"/>
              <w:bottom w:val="nil"/>
            </w:tcBorders>
            <w:shd w:val="clear" w:color="auto" w:fill="FFFFFF" w:themeFill="background1"/>
          </w:tcPr>
          <w:p w14:paraId="29AEDD54"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child aged 3 to 4</w:t>
            </w:r>
          </w:p>
        </w:tc>
        <w:tc>
          <w:tcPr>
            <w:tcW w:w="2621" w:type="dxa"/>
            <w:tcBorders>
              <w:top w:val="nil"/>
              <w:bottom w:val="nil"/>
            </w:tcBorders>
            <w:shd w:val="clear" w:color="auto" w:fill="FFFFFF" w:themeFill="background1"/>
          </w:tcPr>
          <w:p w14:paraId="346DA640" w14:textId="77777777" w:rsidR="008E7FC3" w:rsidRPr="009D7398" w:rsidRDefault="008E7FC3" w:rsidP="00177648">
            <w:pPr>
              <w:pStyle w:val="TableBody"/>
              <w:spacing w:before="45" w:after="45"/>
              <w:ind w:left="1701" w:right="108"/>
              <w:rPr>
                <w:rFonts w:ascii="Arial (Body)" w:hAnsi="Arial (Body)"/>
                <w:color w:val="000000"/>
              </w:rPr>
            </w:pPr>
            <w:r w:rsidRPr="009D7398">
              <w:t>-0.315</w:t>
            </w:r>
          </w:p>
        </w:tc>
        <w:tc>
          <w:tcPr>
            <w:tcW w:w="2622" w:type="dxa"/>
            <w:tcBorders>
              <w:top w:val="nil"/>
              <w:bottom w:val="nil"/>
            </w:tcBorders>
            <w:shd w:val="clear" w:color="auto" w:fill="FFFFFF" w:themeFill="background1"/>
          </w:tcPr>
          <w:p w14:paraId="6D8FAAB5" w14:textId="77777777" w:rsidR="008E7FC3" w:rsidRPr="00CE6576" w:rsidRDefault="008E7FC3" w:rsidP="00177648">
            <w:pPr>
              <w:pStyle w:val="TableBody"/>
              <w:spacing w:before="45" w:after="45"/>
              <w:ind w:left="1701" w:right="108"/>
              <w:rPr>
                <w:rFonts w:ascii="Arial (Body)" w:hAnsi="Arial (Body)"/>
                <w:color w:val="000000"/>
              </w:rPr>
            </w:pPr>
            <w:r w:rsidRPr="00CE6576">
              <w:t>-0.215**</w:t>
            </w:r>
          </w:p>
        </w:tc>
      </w:tr>
      <w:tr w:rsidR="008E7FC3" w:rsidRPr="00D126B3" w14:paraId="2E584B27" w14:textId="77777777" w:rsidTr="00177648">
        <w:tc>
          <w:tcPr>
            <w:tcW w:w="4395" w:type="dxa"/>
            <w:tcBorders>
              <w:top w:val="nil"/>
              <w:bottom w:val="nil"/>
            </w:tcBorders>
            <w:shd w:val="clear" w:color="auto" w:fill="FFFFFF" w:themeFill="background1"/>
          </w:tcPr>
          <w:p w14:paraId="561E0ED2"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child aged 5 to 9</w:t>
            </w:r>
          </w:p>
        </w:tc>
        <w:tc>
          <w:tcPr>
            <w:tcW w:w="2621" w:type="dxa"/>
            <w:tcBorders>
              <w:top w:val="nil"/>
              <w:bottom w:val="nil"/>
            </w:tcBorders>
            <w:shd w:val="clear" w:color="auto" w:fill="FFFFFF" w:themeFill="background1"/>
          </w:tcPr>
          <w:p w14:paraId="5A2B77A3" w14:textId="77777777" w:rsidR="008E7FC3" w:rsidRPr="009D7398" w:rsidRDefault="008E7FC3" w:rsidP="00177648">
            <w:pPr>
              <w:pStyle w:val="TableBody"/>
              <w:spacing w:before="45" w:after="45"/>
              <w:ind w:left="1701" w:right="108"/>
              <w:rPr>
                <w:rFonts w:ascii="Arial (Body)" w:hAnsi="Arial (Body)"/>
                <w:color w:val="000000"/>
              </w:rPr>
            </w:pPr>
            <w:r>
              <w:t xml:space="preserve"> </w:t>
            </w:r>
            <w:r w:rsidRPr="009D7398">
              <w:t>0.115</w:t>
            </w:r>
          </w:p>
        </w:tc>
        <w:tc>
          <w:tcPr>
            <w:tcW w:w="2622" w:type="dxa"/>
            <w:tcBorders>
              <w:top w:val="nil"/>
              <w:bottom w:val="nil"/>
            </w:tcBorders>
            <w:shd w:val="clear" w:color="auto" w:fill="FFFFFF" w:themeFill="background1"/>
          </w:tcPr>
          <w:p w14:paraId="509990E4" w14:textId="77777777" w:rsidR="008E7FC3" w:rsidRPr="00CE6576" w:rsidRDefault="008E7FC3" w:rsidP="00177648">
            <w:pPr>
              <w:pStyle w:val="TableBody"/>
              <w:spacing w:before="45" w:after="45"/>
              <w:ind w:left="1701" w:right="108"/>
              <w:rPr>
                <w:rFonts w:ascii="Arial (Body)" w:hAnsi="Arial (Body)"/>
                <w:color w:val="000000"/>
              </w:rPr>
            </w:pPr>
            <w:r w:rsidRPr="00CE6576">
              <w:t>-0.277***</w:t>
            </w:r>
          </w:p>
        </w:tc>
      </w:tr>
      <w:tr w:rsidR="008E7FC3" w:rsidRPr="00D126B3" w14:paraId="29976371" w14:textId="77777777" w:rsidTr="00177648">
        <w:tc>
          <w:tcPr>
            <w:tcW w:w="4395" w:type="dxa"/>
            <w:tcBorders>
              <w:top w:val="nil"/>
              <w:bottom w:val="nil"/>
            </w:tcBorders>
            <w:shd w:val="clear" w:color="auto" w:fill="FFFFFF" w:themeFill="background1"/>
          </w:tcPr>
          <w:p w14:paraId="0C47E639"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INSTRUMENT: child aged 10 to 14</w:t>
            </w:r>
          </w:p>
        </w:tc>
        <w:tc>
          <w:tcPr>
            <w:tcW w:w="2621" w:type="dxa"/>
            <w:tcBorders>
              <w:top w:val="nil"/>
              <w:bottom w:val="nil"/>
            </w:tcBorders>
            <w:shd w:val="clear" w:color="auto" w:fill="FFFFFF" w:themeFill="background1"/>
          </w:tcPr>
          <w:p w14:paraId="3D57BE06" w14:textId="77777777" w:rsidR="008E7FC3" w:rsidRPr="009D7398" w:rsidRDefault="008E7FC3" w:rsidP="00177648">
            <w:pPr>
              <w:pStyle w:val="TableBody"/>
              <w:spacing w:before="45" w:after="45"/>
              <w:ind w:left="1701" w:right="108"/>
              <w:rPr>
                <w:rFonts w:ascii="Arial (Body)" w:hAnsi="Arial (Body)"/>
                <w:color w:val="000000"/>
              </w:rPr>
            </w:pPr>
            <w:r>
              <w:t xml:space="preserve"> </w:t>
            </w:r>
            <w:r w:rsidRPr="009D7398">
              <w:t>0.220</w:t>
            </w:r>
          </w:p>
        </w:tc>
        <w:tc>
          <w:tcPr>
            <w:tcW w:w="2622" w:type="dxa"/>
            <w:tcBorders>
              <w:top w:val="nil"/>
              <w:bottom w:val="nil"/>
            </w:tcBorders>
            <w:shd w:val="clear" w:color="auto" w:fill="FFFFFF" w:themeFill="background1"/>
          </w:tcPr>
          <w:p w14:paraId="6A21B130" w14:textId="77777777" w:rsidR="008E7FC3" w:rsidRPr="00CE6576" w:rsidRDefault="008E7FC3" w:rsidP="00177648">
            <w:pPr>
              <w:pStyle w:val="TableBody"/>
              <w:spacing w:before="45" w:after="45"/>
              <w:ind w:left="1701" w:right="108"/>
              <w:rPr>
                <w:rFonts w:ascii="Arial (Body)" w:hAnsi="Arial (Body)"/>
                <w:color w:val="000000"/>
              </w:rPr>
            </w:pPr>
            <w:r w:rsidRPr="00CE6576">
              <w:t>-0.047</w:t>
            </w:r>
          </w:p>
        </w:tc>
      </w:tr>
      <w:tr w:rsidR="008E7FC3" w:rsidRPr="00D126B3" w14:paraId="29654BA5" w14:textId="77777777" w:rsidTr="00177648">
        <w:tc>
          <w:tcPr>
            <w:tcW w:w="4395" w:type="dxa"/>
            <w:tcBorders>
              <w:top w:val="nil"/>
              <w:bottom w:val="nil"/>
            </w:tcBorders>
            <w:shd w:val="clear" w:color="auto" w:fill="FFFFFF" w:themeFill="background1"/>
          </w:tcPr>
          <w:p w14:paraId="2FCEBA32"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Female</w:t>
            </w:r>
          </w:p>
        </w:tc>
        <w:tc>
          <w:tcPr>
            <w:tcW w:w="2621" w:type="dxa"/>
            <w:tcBorders>
              <w:top w:val="nil"/>
              <w:bottom w:val="nil"/>
            </w:tcBorders>
            <w:shd w:val="clear" w:color="auto" w:fill="FFFFFF" w:themeFill="background1"/>
          </w:tcPr>
          <w:p w14:paraId="28C9E955" w14:textId="77777777" w:rsidR="008E7FC3" w:rsidRPr="009D7398" w:rsidRDefault="008E7FC3" w:rsidP="00177648">
            <w:pPr>
              <w:pStyle w:val="TableBody"/>
              <w:spacing w:before="45" w:after="45"/>
              <w:ind w:left="1701" w:right="108"/>
              <w:rPr>
                <w:rFonts w:ascii="Arial (Body)" w:hAnsi="Arial (Body)"/>
                <w:color w:val="000000"/>
              </w:rPr>
            </w:pPr>
            <w:r w:rsidRPr="009D7398">
              <w:t>-0.342*</w:t>
            </w:r>
          </w:p>
        </w:tc>
        <w:tc>
          <w:tcPr>
            <w:tcW w:w="2622" w:type="dxa"/>
            <w:tcBorders>
              <w:top w:val="nil"/>
              <w:bottom w:val="nil"/>
            </w:tcBorders>
            <w:shd w:val="clear" w:color="auto" w:fill="FFFFFF" w:themeFill="background1"/>
          </w:tcPr>
          <w:p w14:paraId="65091B32"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4075F0F4" w14:textId="77777777" w:rsidTr="00177648">
        <w:tc>
          <w:tcPr>
            <w:tcW w:w="4395" w:type="dxa"/>
            <w:tcBorders>
              <w:top w:val="nil"/>
              <w:bottom w:val="nil"/>
            </w:tcBorders>
            <w:shd w:val="clear" w:color="auto" w:fill="FFFFFF" w:themeFill="background1"/>
          </w:tcPr>
          <w:p w14:paraId="2E13C3CC"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Age</w:t>
            </w:r>
          </w:p>
        </w:tc>
        <w:tc>
          <w:tcPr>
            <w:tcW w:w="2621" w:type="dxa"/>
            <w:tcBorders>
              <w:top w:val="nil"/>
              <w:bottom w:val="nil"/>
            </w:tcBorders>
            <w:shd w:val="clear" w:color="auto" w:fill="FFFFFF" w:themeFill="background1"/>
          </w:tcPr>
          <w:p w14:paraId="474B2E31" w14:textId="77777777" w:rsidR="008E7FC3" w:rsidRPr="009D7398" w:rsidRDefault="008E7FC3" w:rsidP="00177648">
            <w:pPr>
              <w:pStyle w:val="TableBody"/>
              <w:spacing w:before="45" w:after="45"/>
              <w:ind w:left="1701" w:right="108"/>
              <w:rPr>
                <w:rFonts w:ascii="Arial (Body)" w:hAnsi="Arial (Body)"/>
                <w:color w:val="000000"/>
              </w:rPr>
            </w:pPr>
            <w:r>
              <w:t xml:space="preserve"> </w:t>
            </w:r>
            <w:r w:rsidRPr="009D7398">
              <w:t>0.139**</w:t>
            </w:r>
          </w:p>
        </w:tc>
        <w:tc>
          <w:tcPr>
            <w:tcW w:w="2622" w:type="dxa"/>
            <w:tcBorders>
              <w:top w:val="nil"/>
              <w:bottom w:val="nil"/>
            </w:tcBorders>
            <w:shd w:val="clear" w:color="auto" w:fill="FFFFFF" w:themeFill="background1"/>
          </w:tcPr>
          <w:p w14:paraId="2A37F9C6" w14:textId="77777777" w:rsidR="008E7FC3" w:rsidRPr="00CE6576" w:rsidRDefault="008E7FC3" w:rsidP="00177648">
            <w:pPr>
              <w:pStyle w:val="TableBody"/>
              <w:spacing w:before="45" w:after="45"/>
              <w:ind w:left="1701" w:right="108"/>
              <w:rPr>
                <w:rFonts w:ascii="Arial (Body)" w:hAnsi="Arial (Body)"/>
                <w:color w:val="000000"/>
              </w:rPr>
            </w:pPr>
            <w:r>
              <w:t xml:space="preserve"> </w:t>
            </w:r>
            <w:r w:rsidRPr="00CE6576">
              <w:t>0.197***</w:t>
            </w:r>
          </w:p>
        </w:tc>
      </w:tr>
      <w:tr w:rsidR="008E7FC3" w:rsidRPr="00D126B3" w14:paraId="075D1732" w14:textId="77777777" w:rsidTr="00177648">
        <w:tc>
          <w:tcPr>
            <w:tcW w:w="4395" w:type="dxa"/>
            <w:tcBorders>
              <w:top w:val="nil"/>
              <w:bottom w:val="nil"/>
            </w:tcBorders>
            <w:shd w:val="clear" w:color="auto" w:fill="FFFFFF" w:themeFill="background1"/>
          </w:tcPr>
          <w:p w14:paraId="07A99A2F"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Age squared/100</w:t>
            </w:r>
          </w:p>
        </w:tc>
        <w:tc>
          <w:tcPr>
            <w:tcW w:w="2621" w:type="dxa"/>
            <w:tcBorders>
              <w:top w:val="nil"/>
              <w:bottom w:val="nil"/>
            </w:tcBorders>
            <w:shd w:val="clear" w:color="auto" w:fill="FFFFFF" w:themeFill="background1"/>
          </w:tcPr>
          <w:p w14:paraId="108CB2E0" w14:textId="77777777" w:rsidR="008E7FC3" w:rsidRPr="009D7398" w:rsidRDefault="008E7FC3" w:rsidP="00177648">
            <w:pPr>
              <w:pStyle w:val="TableBody"/>
              <w:spacing w:before="45" w:after="45"/>
              <w:ind w:left="1701" w:right="108"/>
              <w:rPr>
                <w:rFonts w:ascii="Arial (Body)" w:hAnsi="Arial (Body)"/>
                <w:color w:val="000000"/>
              </w:rPr>
            </w:pPr>
            <w:r w:rsidRPr="009D7398">
              <w:t>-0.183***</w:t>
            </w:r>
          </w:p>
        </w:tc>
        <w:tc>
          <w:tcPr>
            <w:tcW w:w="2622" w:type="dxa"/>
            <w:tcBorders>
              <w:top w:val="nil"/>
              <w:bottom w:val="nil"/>
            </w:tcBorders>
            <w:shd w:val="clear" w:color="auto" w:fill="FFFFFF" w:themeFill="background1"/>
          </w:tcPr>
          <w:p w14:paraId="00B6FEE4" w14:textId="77777777" w:rsidR="008E7FC3" w:rsidRPr="00CE6576" w:rsidRDefault="008E7FC3" w:rsidP="00177648">
            <w:pPr>
              <w:pStyle w:val="TableBody"/>
              <w:spacing w:before="45" w:after="45"/>
              <w:ind w:left="1701" w:right="108"/>
              <w:rPr>
                <w:rFonts w:ascii="Arial (Body)" w:hAnsi="Arial (Body)"/>
                <w:color w:val="000000"/>
              </w:rPr>
            </w:pPr>
            <w:r w:rsidRPr="00CE6576">
              <w:t>-0.245***</w:t>
            </w:r>
          </w:p>
        </w:tc>
      </w:tr>
      <w:tr w:rsidR="008E7FC3" w:rsidRPr="00D126B3" w14:paraId="34FF9905" w14:textId="77777777" w:rsidTr="00177648">
        <w:tc>
          <w:tcPr>
            <w:tcW w:w="4395" w:type="dxa"/>
            <w:tcBorders>
              <w:top w:val="nil"/>
              <w:bottom w:val="nil"/>
            </w:tcBorders>
            <w:shd w:val="clear" w:color="auto" w:fill="FFFFFF" w:themeFill="background1"/>
          </w:tcPr>
          <w:p w14:paraId="194F8CA5"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Capital city</w:t>
            </w:r>
          </w:p>
        </w:tc>
        <w:tc>
          <w:tcPr>
            <w:tcW w:w="2621" w:type="dxa"/>
            <w:tcBorders>
              <w:top w:val="nil"/>
              <w:bottom w:val="nil"/>
            </w:tcBorders>
            <w:shd w:val="clear" w:color="auto" w:fill="FFFFFF" w:themeFill="background1"/>
          </w:tcPr>
          <w:p w14:paraId="1BD34CC1" w14:textId="77777777" w:rsidR="008E7FC3" w:rsidRPr="009D7398" w:rsidRDefault="008E7FC3" w:rsidP="00177648">
            <w:pPr>
              <w:pStyle w:val="TableBody"/>
              <w:spacing w:before="45" w:after="45"/>
              <w:ind w:left="1701" w:right="108"/>
              <w:rPr>
                <w:rFonts w:ascii="Arial (Body)" w:hAnsi="Arial (Body)"/>
                <w:color w:val="000000"/>
              </w:rPr>
            </w:pPr>
            <w:r>
              <w:t xml:space="preserve"> </w:t>
            </w:r>
            <w:r w:rsidRPr="009D7398">
              <w:t>0.065</w:t>
            </w:r>
          </w:p>
        </w:tc>
        <w:tc>
          <w:tcPr>
            <w:tcW w:w="2622" w:type="dxa"/>
            <w:tcBorders>
              <w:top w:val="nil"/>
              <w:bottom w:val="nil"/>
            </w:tcBorders>
            <w:shd w:val="clear" w:color="auto" w:fill="FFFFFF" w:themeFill="background1"/>
          </w:tcPr>
          <w:p w14:paraId="143449CA" w14:textId="77777777" w:rsidR="008E7FC3" w:rsidRPr="00CE6576" w:rsidRDefault="008E7FC3" w:rsidP="00177648">
            <w:pPr>
              <w:pStyle w:val="TableBody"/>
              <w:spacing w:before="45" w:after="45"/>
              <w:ind w:left="1701" w:right="108"/>
              <w:rPr>
                <w:rFonts w:ascii="Arial (Body)" w:hAnsi="Arial (Body)"/>
                <w:color w:val="000000"/>
              </w:rPr>
            </w:pPr>
            <w:r w:rsidRPr="00CE6576">
              <w:t>-0.006</w:t>
            </w:r>
          </w:p>
        </w:tc>
      </w:tr>
      <w:tr w:rsidR="008E7FC3" w:rsidRPr="00D126B3" w14:paraId="5CCD1AA2" w14:textId="77777777" w:rsidTr="00177648">
        <w:tc>
          <w:tcPr>
            <w:tcW w:w="4395" w:type="dxa"/>
            <w:tcBorders>
              <w:top w:val="nil"/>
              <w:bottom w:val="nil"/>
            </w:tcBorders>
            <w:shd w:val="clear" w:color="auto" w:fill="FFFFFF" w:themeFill="background1"/>
          </w:tcPr>
          <w:p w14:paraId="4C9E33B6"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7F7F7F" w:themeColor="text1" w:themeTint="80"/>
              </w:rPr>
              <w:t>(No post-secondary education)</w:t>
            </w:r>
          </w:p>
        </w:tc>
        <w:tc>
          <w:tcPr>
            <w:tcW w:w="2621" w:type="dxa"/>
            <w:tcBorders>
              <w:top w:val="nil"/>
              <w:bottom w:val="nil"/>
            </w:tcBorders>
            <w:shd w:val="clear" w:color="auto" w:fill="FFFFFF" w:themeFill="background1"/>
          </w:tcPr>
          <w:p w14:paraId="6C32BBF9" w14:textId="77777777" w:rsidR="008E7FC3" w:rsidRPr="00662D5C" w:rsidRDefault="008E7FC3" w:rsidP="00177648">
            <w:pPr>
              <w:pStyle w:val="TableBody"/>
              <w:spacing w:before="45" w:after="45"/>
              <w:ind w:left="1701" w:right="108"/>
              <w:rPr>
                <w:rFonts w:ascii="Arial (Body)" w:hAnsi="Arial (Body)"/>
                <w:b/>
                <w:color w:val="000000"/>
              </w:rPr>
            </w:pPr>
          </w:p>
        </w:tc>
        <w:tc>
          <w:tcPr>
            <w:tcW w:w="2622" w:type="dxa"/>
            <w:tcBorders>
              <w:top w:val="nil"/>
              <w:bottom w:val="nil"/>
            </w:tcBorders>
            <w:shd w:val="clear" w:color="auto" w:fill="FFFFFF" w:themeFill="background1"/>
          </w:tcPr>
          <w:p w14:paraId="7162225C"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190B2040" w14:textId="77777777" w:rsidTr="00177648">
        <w:tc>
          <w:tcPr>
            <w:tcW w:w="4395" w:type="dxa"/>
            <w:tcBorders>
              <w:top w:val="nil"/>
              <w:bottom w:val="nil"/>
            </w:tcBorders>
            <w:shd w:val="clear" w:color="auto" w:fill="FFFFFF" w:themeFill="background1"/>
          </w:tcPr>
          <w:p w14:paraId="43839264"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Vocational education</w:t>
            </w:r>
          </w:p>
        </w:tc>
        <w:tc>
          <w:tcPr>
            <w:tcW w:w="2621" w:type="dxa"/>
            <w:tcBorders>
              <w:top w:val="nil"/>
              <w:bottom w:val="nil"/>
            </w:tcBorders>
            <w:shd w:val="clear" w:color="auto" w:fill="FFFFFF" w:themeFill="background1"/>
          </w:tcPr>
          <w:p w14:paraId="2993E27E" w14:textId="77777777" w:rsidR="008E7FC3" w:rsidRPr="00FB402B" w:rsidRDefault="008E7FC3" w:rsidP="00177648">
            <w:pPr>
              <w:pStyle w:val="TableBody"/>
              <w:spacing w:before="45" w:after="45"/>
              <w:ind w:left="1701" w:right="108"/>
              <w:rPr>
                <w:rFonts w:ascii="Arial (Body)" w:hAnsi="Arial (Body)"/>
                <w:color w:val="000000"/>
              </w:rPr>
            </w:pPr>
            <w:r>
              <w:t xml:space="preserve"> </w:t>
            </w:r>
            <w:r w:rsidRPr="00FB402B">
              <w:t>0.795***</w:t>
            </w:r>
          </w:p>
        </w:tc>
        <w:tc>
          <w:tcPr>
            <w:tcW w:w="2622" w:type="dxa"/>
            <w:tcBorders>
              <w:top w:val="nil"/>
              <w:bottom w:val="nil"/>
            </w:tcBorders>
            <w:shd w:val="clear" w:color="auto" w:fill="FFFFFF" w:themeFill="background1"/>
          </w:tcPr>
          <w:p w14:paraId="2964BF49" w14:textId="77777777" w:rsidR="008E7FC3" w:rsidRPr="00CE6576" w:rsidRDefault="008E7FC3" w:rsidP="00177648">
            <w:pPr>
              <w:pStyle w:val="TableBody"/>
              <w:spacing w:before="45" w:after="45"/>
              <w:ind w:left="1701" w:right="108"/>
              <w:rPr>
                <w:rFonts w:ascii="Arial (Body)" w:hAnsi="Arial (Body)"/>
                <w:color w:val="000000"/>
              </w:rPr>
            </w:pPr>
            <w:r>
              <w:t xml:space="preserve"> </w:t>
            </w:r>
            <w:r w:rsidRPr="00CE6576">
              <w:t>0.484***</w:t>
            </w:r>
          </w:p>
        </w:tc>
      </w:tr>
      <w:tr w:rsidR="008E7FC3" w:rsidRPr="00D126B3" w14:paraId="0341213D" w14:textId="77777777" w:rsidTr="00177648">
        <w:tc>
          <w:tcPr>
            <w:tcW w:w="4395" w:type="dxa"/>
            <w:tcBorders>
              <w:top w:val="nil"/>
              <w:bottom w:val="nil"/>
            </w:tcBorders>
            <w:shd w:val="clear" w:color="auto" w:fill="FFFFFF" w:themeFill="background1"/>
          </w:tcPr>
          <w:p w14:paraId="5AE0EAB9"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265A9A"/>
              </w:rPr>
              <w:t>Degree or higher</w:t>
            </w:r>
          </w:p>
        </w:tc>
        <w:tc>
          <w:tcPr>
            <w:tcW w:w="2621" w:type="dxa"/>
            <w:tcBorders>
              <w:top w:val="nil"/>
              <w:bottom w:val="nil"/>
            </w:tcBorders>
            <w:shd w:val="clear" w:color="auto" w:fill="FFFFFF" w:themeFill="background1"/>
          </w:tcPr>
          <w:p w14:paraId="0199B33F" w14:textId="77777777" w:rsidR="008E7FC3" w:rsidRPr="00FB402B" w:rsidRDefault="008E7FC3" w:rsidP="00177648">
            <w:pPr>
              <w:pStyle w:val="TableBody"/>
              <w:spacing w:before="45" w:after="45"/>
              <w:ind w:left="1701" w:right="108"/>
              <w:rPr>
                <w:rFonts w:ascii="Arial (Body)" w:hAnsi="Arial (Body)"/>
                <w:color w:val="000000"/>
              </w:rPr>
            </w:pPr>
            <w:r>
              <w:t xml:space="preserve"> </w:t>
            </w:r>
            <w:r w:rsidRPr="00FB402B">
              <w:t>1.088***</w:t>
            </w:r>
          </w:p>
        </w:tc>
        <w:tc>
          <w:tcPr>
            <w:tcW w:w="2622" w:type="dxa"/>
            <w:tcBorders>
              <w:top w:val="nil"/>
              <w:bottom w:val="nil"/>
            </w:tcBorders>
            <w:shd w:val="clear" w:color="auto" w:fill="FFFFFF" w:themeFill="background1"/>
          </w:tcPr>
          <w:p w14:paraId="007E2AEB" w14:textId="77777777" w:rsidR="008E7FC3" w:rsidRPr="00CE6576" w:rsidRDefault="008E7FC3" w:rsidP="00177648">
            <w:pPr>
              <w:pStyle w:val="TableBody"/>
              <w:spacing w:before="45" w:after="45"/>
              <w:ind w:left="1701" w:right="108"/>
              <w:rPr>
                <w:rFonts w:ascii="Arial (Body)" w:hAnsi="Arial (Body)"/>
                <w:color w:val="000000"/>
              </w:rPr>
            </w:pPr>
            <w:r>
              <w:t xml:space="preserve"> </w:t>
            </w:r>
            <w:r w:rsidRPr="00CE6576">
              <w:t>0.455***</w:t>
            </w:r>
          </w:p>
        </w:tc>
      </w:tr>
      <w:tr w:rsidR="008E7FC3" w:rsidRPr="00D126B3" w14:paraId="6772206C" w14:textId="77777777" w:rsidTr="00177648">
        <w:tc>
          <w:tcPr>
            <w:tcW w:w="4395" w:type="dxa"/>
            <w:tcBorders>
              <w:top w:val="nil"/>
              <w:bottom w:val="nil"/>
            </w:tcBorders>
            <w:shd w:val="clear" w:color="auto" w:fill="FFFFFF" w:themeFill="background1"/>
          </w:tcPr>
          <w:p w14:paraId="74A4D20C"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7F7F7F" w:themeColor="text1" w:themeTint="80"/>
              </w:rPr>
              <w:t>(</w:t>
            </w:r>
            <w:r>
              <w:rPr>
                <w:rFonts w:ascii="Arial (Body)" w:hAnsi="Arial (Body)"/>
                <w:b w:val="0"/>
                <w:color w:val="7F7F7F" w:themeColor="text1" w:themeTint="80"/>
              </w:rPr>
              <w:t>English as main language at home</w:t>
            </w:r>
            <w:r w:rsidRPr="00662D5C">
              <w:rPr>
                <w:rFonts w:ascii="Arial (Body)" w:hAnsi="Arial (Body)"/>
                <w:b w:val="0"/>
                <w:color w:val="7F7F7F" w:themeColor="text1" w:themeTint="80"/>
              </w:rPr>
              <w:t>)</w:t>
            </w:r>
          </w:p>
        </w:tc>
        <w:tc>
          <w:tcPr>
            <w:tcW w:w="2621" w:type="dxa"/>
            <w:tcBorders>
              <w:top w:val="nil"/>
              <w:bottom w:val="nil"/>
            </w:tcBorders>
            <w:shd w:val="clear" w:color="auto" w:fill="FFFFFF" w:themeFill="background1"/>
          </w:tcPr>
          <w:p w14:paraId="721B005A" w14:textId="77777777" w:rsidR="008E7FC3" w:rsidRPr="00662D5C" w:rsidRDefault="008E7FC3" w:rsidP="00177648">
            <w:pPr>
              <w:pStyle w:val="TableBody"/>
              <w:spacing w:before="45" w:after="45"/>
              <w:ind w:left="1701" w:right="108"/>
              <w:rPr>
                <w:rFonts w:ascii="Arial (Body)" w:hAnsi="Arial (Body)"/>
                <w:b/>
                <w:color w:val="000000"/>
              </w:rPr>
            </w:pPr>
          </w:p>
        </w:tc>
        <w:tc>
          <w:tcPr>
            <w:tcW w:w="2622" w:type="dxa"/>
            <w:tcBorders>
              <w:top w:val="nil"/>
              <w:bottom w:val="nil"/>
            </w:tcBorders>
            <w:shd w:val="clear" w:color="auto" w:fill="FFFFFF" w:themeFill="background1"/>
          </w:tcPr>
          <w:p w14:paraId="10E97675"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7BD7DB59" w14:textId="77777777" w:rsidTr="00177648">
        <w:tc>
          <w:tcPr>
            <w:tcW w:w="4395" w:type="dxa"/>
            <w:tcBorders>
              <w:top w:val="nil"/>
              <w:bottom w:val="nil"/>
            </w:tcBorders>
            <w:shd w:val="clear" w:color="auto" w:fill="FFFFFF" w:themeFill="background1"/>
          </w:tcPr>
          <w:p w14:paraId="2052B8BC" w14:textId="77777777" w:rsidR="008E7FC3" w:rsidRPr="00662D5C" w:rsidRDefault="008E7FC3" w:rsidP="00177648">
            <w:pPr>
              <w:pStyle w:val="TableHeading"/>
              <w:spacing w:before="45" w:after="45"/>
              <w:ind w:right="108"/>
              <w:rPr>
                <w:rFonts w:ascii="Arial (Body)" w:hAnsi="Arial (Body)"/>
                <w:b w:val="0"/>
                <w:color w:val="265A9A"/>
              </w:rPr>
            </w:pPr>
            <w:r>
              <w:rPr>
                <w:rFonts w:ascii="Arial (Body)" w:hAnsi="Arial (Body)"/>
                <w:b w:val="0"/>
                <w:color w:val="265A9A"/>
              </w:rPr>
              <w:t>Main language other than English at home</w:t>
            </w:r>
          </w:p>
        </w:tc>
        <w:tc>
          <w:tcPr>
            <w:tcW w:w="2621" w:type="dxa"/>
            <w:tcBorders>
              <w:top w:val="nil"/>
              <w:bottom w:val="nil"/>
            </w:tcBorders>
            <w:shd w:val="clear" w:color="auto" w:fill="FFFFFF" w:themeFill="background1"/>
          </w:tcPr>
          <w:p w14:paraId="2085D48C" w14:textId="77777777" w:rsidR="008E7FC3" w:rsidRPr="00FB402B" w:rsidRDefault="008E7FC3" w:rsidP="00177648">
            <w:pPr>
              <w:pStyle w:val="TableBody"/>
              <w:spacing w:before="45" w:after="45"/>
              <w:ind w:left="1701" w:right="108"/>
              <w:rPr>
                <w:rFonts w:ascii="Arial (Body)" w:hAnsi="Arial (Body)"/>
                <w:color w:val="000000"/>
              </w:rPr>
            </w:pPr>
            <w:r w:rsidRPr="00FB402B">
              <w:rPr>
                <w:rFonts w:ascii="Arial (Body)" w:hAnsi="Arial (Body)"/>
                <w:color w:val="000000"/>
              </w:rPr>
              <w:t>-0.678***</w:t>
            </w:r>
          </w:p>
        </w:tc>
        <w:tc>
          <w:tcPr>
            <w:tcW w:w="2622" w:type="dxa"/>
            <w:tcBorders>
              <w:top w:val="nil"/>
              <w:bottom w:val="nil"/>
            </w:tcBorders>
            <w:shd w:val="clear" w:color="auto" w:fill="FFFFFF" w:themeFill="background1"/>
          </w:tcPr>
          <w:p w14:paraId="4937C6F1" w14:textId="77777777" w:rsidR="008E7FC3" w:rsidRPr="00CE6576" w:rsidRDefault="008E7FC3" w:rsidP="00177648">
            <w:pPr>
              <w:pStyle w:val="TableBody"/>
              <w:spacing w:before="45" w:after="45"/>
              <w:ind w:left="1701" w:right="108"/>
              <w:rPr>
                <w:rFonts w:ascii="Arial (Body)" w:hAnsi="Arial (Body)"/>
                <w:color w:val="000000"/>
              </w:rPr>
            </w:pPr>
            <w:r w:rsidRPr="00CE6576">
              <w:rPr>
                <w:rFonts w:ascii="Arial (Body)" w:hAnsi="Arial (Body)"/>
                <w:color w:val="000000"/>
              </w:rPr>
              <w:t>-0.511***</w:t>
            </w:r>
          </w:p>
        </w:tc>
      </w:tr>
      <w:tr w:rsidR="008E7FC3" w:rsidRPr="00D126B3" w14:paraId="5F3115E4" w14:textId="77777777" w:rsidTr="00177648">
        <w:tc>
          <w:tcPr>
            <w:tcW w:w="4395" w:type="dxa"/>
            <w:tcBorders>
              <w:top w:val="nil"/>
              <w:bottom w:val="nil"/>
            </w:tcBorders>
            <w:shd w:val="clear" w:color="auto" w:fill="FFFFFF" w:themeFill="background1"/>
          </w:tcPr>
          <w:p w14:paraId="2306D055" w14:textId="77777777" w:rsidR="008E7FC3" w:rsidRPr="00F36411"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Constant</w:t>
            </w:r>
          </w:p>
        </w:tc>
        <w:tc>
          <w:tcPr>
            <w:tcW w:w="2621" w:type="dxa"/>
            <w:tcBorders>
              <w:top w:val="nil"/>
              <w:bottom w:val="nil"/>
            </w:tcBorders>
            <w:shd w:val="clear" w:color="auto" w:fill="FFFFFF" w:themeFill="background1"/>
          </w:tcPr>
          <w:p w14:paraId="57730F0A" w14:textId="77777777" w:rsidR="008E7FC3" w:rsidRPr="00FB402B" w:rsidRDefault="008E7FC3" w:rsidP="00177648">
            <w:pPr>
              <w:pStyle w:val="TableBody"/>
              <w:spacing w:before="45" w:after="45"/>
              <w:ind w:left="1701" w:right="108"/>
              <w:rPr>
                <w:rFonts w:ascii="Arial (Body)" w:hAnsi="Arial (Body)"/>
                <w:color w:val="000000"/>
              </w:rPr>
            </w:pPr>
            <w:r w:rsidRPr="00FB402B">
              <w:rPr>
                <w:rFonts w:ascii="Arial (Body)" w:hAnsi="Arial (Body)"/>
                <w:color w:val="000000"/>
              </w:rPr>
              <w:t>-1.642</w:t>
            </w:r>
          </w:p>
        </w:tc>
        <w:tc>
          <w:tcPr>
            <w:tcW w:w="2622" w:type="dxa"/>
            <w:tcBorders>
              <w:top w:val="nil"/>
              <w:bottom w:val="nil"/>
            </w:tcBorders>
            <w:shd w:val="clear" w:color="auto" w:fill="FFFFFF" w:themeFill="background1"/>
          </w:tcPr>
          <w:p w14:paraId="7414DB61" w14:textId="77777777" w:rsidR="008E7FC3" w:rsidRPr="00CE6576" w:rsidRDefault="008E7FC3" w:rsidP="00177648">
            <w:pPr>
              <w:pStyle w:val="TableBody"/>
              <w:spacing w:before="45" w:after="45"/>
              <w:ind w:left="1701" w:right="108"/>
              <w:rPr>
                <w:rFonts w:ascii="Arial (Body)" w:hAnsi="Arial (Body)"/>
                <w:color w:val="000000"/>
              </w:rPr>
            </w:pPr>
            <w:r w:rsidRPr="00CE6576">
              <w:rPr>
                <w:rFonts w:ascii="Arial (Body)" w:hAnsi="Arial (Body)"/>
                <w:color w:val="000000"/>
              </w:rPr>
              <w:t>-2.908***</w:t>
            </w:r>
          </w:p>
        </w:tc>
      </w:tr>
      <w:tr w:rsidR="008E7FC3" w:rsidRPr="00D126B3" w14:paraId="18CE6F9D" w14:textId="77777777" w:rsidTr="00177648">
        <w:tc>
          <w:tcPr>
            <w:tcW w:w="4395" w:type="dxa"/>
            <w:tcBorders>
              <w:top w:val="nil"/>
              <w:bottom w:val="nil"/>
            </w:tcBorders>
            <w:shd w:val="clear" w:color="auto" w:fill="F2F2F2" w:themeFill="background1" w:themeFillShade="F2"/>
          </w:tcPr>
          <w:p w14:paraId="7921BD31"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auto"/>
              </w:rPr>
              <w:t>Number of observations</w:t>
            </w:r>
          </w:p>
        </w:tc>
        <w:tc>
          <w:tcPr>
            <w:tcW w:w="2621" w:type="dxa"/>
            <w:tcBorders>
              <w:top w:val="nil"/>
              <w:bottom w:val="nil"/>
            </w:tcBorders>
            <w:shd w:val="clear" w:color="auto" w:fill="F2F2F2" w:themeFill="background1" w:themeFillShade="F2"/>
          </w:tcPr>
          <w:p w14:paraId="1E63FA30" w14:textId="77777777" w:rsidR="008E7FC3" w:rsidRPr="009D7398" w:rsidRDefault="008E7FC3" w:rsidP="00177648">
            <w:pPr>
              <w:pStyle w:val="TableBody"/>
              <w:spacing w:before="45" w:after="45"/>
              <w:ind w:left="1701" w:right="108"/>
              <w:rPr>
                <w:rFonts w:ascii="Arial (Body)" w:hAnsi="Arial (Body)"/>
                <w:color w:val="000000"/>
              </w:rPr>
            </w:pPr>
            <w:r w:rsidRPr="009D7398">
              <w:rPr>
                <w:rFonts w:ascii="Arial (Body)" w:hAnsi="Arial (Body)"/>
                <w:color w:val="000000"/>
              </w:rPr>
              <w:t>431</w:t>
            </w:r>
          </w:p>
        </w:tc>
        <w:tc>
          <w:tcPr>
            <w:tcW w:w="2622" w:type="dxa"/>
            <w:tcBorders>
              <w:top w:val="nil"/>
              <w:bottom w:val="nil"/>
            </w:tcBorders>
            <w:shd w:val="clear" w:color="auto" w:fill="F2F2F2" w:themeFill="background1" w:themeFillShade="F2"/>
          </w:tcPr>
          <w:p w14:paraId="7C81C0CD" w14:textId="77777777" w:rsidR="008E7FC3" w:rsidRPr="00CE6576" w:rsidRDefault="008E7FC3" w:rsidP="00177648">
            <w:pPr>
              <w:pStyle w:val="TableBody"/>
              <w:spacing w:before="45" w:after="45"/>
              <w:ind w:left="1701" w:right="108"/>
              <w:rPr>
                <w:rFonts w:ascii="Arial (Body)" w:hAnsi="Arial (Body)"/>
                <w:color w:val="000000"/>
              </w:rPr>
            </w:pPr>
            <w:r w:rsidRPr="00CE6576">
              <w:rPr>
                <w:rFonts w:ascii="Arial (Body)" w:hAnsi="Arial (Body)"/>
                <w:color w:val="000000"/>
              </w:rPr>
              <w:t>1,942</w:t>
            </w:r>
          </w:p>
        </w:tc>
      </w:tr>
      <w:tr w:rsidR="008E7FC3" w:rsidRPr="00D126B3" w14:paraId="7C2543B1" w14:textId="77777777" w:rsidTr="00177648">
        <w:tc>
          <w:tcPr>
            <w:tcW w:w="4395" w:type="dxa"/>
            <w:tcBorders>
              <w:bottom w:val="single" w:sz="4" w:space="0" w:color="B3B3B3"/>
            </w:tcBorders>
            <w:shd w:val="clear" w:color="000000" w:fill="F2F2F2"/>
          </w:tcPr>
          <w:p w14:paraId="429C8651" w14:textId="77777777" w:rsidR="008E7FC3" w:rsidRPr="00662D5C" w:rsidRDefault="008E7FC3" w:rsidP="00177648">
            <w:pPr>
              <w:pStyle w:val="TableHeading"/>
              <w:spacing w:before="45" w:after="45"/>
              <w:ind w:right="108"/>
              <w:rPr>
                <w:rFonts w:ascii="Arial (Body)" w:hAnsi="Arial (Body)"/>
                <w:b w:val="0"/>
                <w:color w:val="265A9A"/>
              </w:rPr>
            </w:pPr>
            <w:r w:rsidRPr="00662D5C">
              <w:rPr>
                <w:rFonts w:ascii="Arial (Body)" w:hAnsi="Arial (Body)"/>
                <w:b w:val="0"/>
                <w:color w:val="auto"/>
              </w:rPr>
              <w:t>* p&lt;0.1 / ** p&lt;0.05 / *** p&lt;0.01</w:t>
            </w:r>
          </w:p>
        </w:tc>
        <w:tc>
          <w:tcPr>
            <w:tcW w:w="2621" w:type="dxa"/>
            <w:tcBorders>
              <w:bottom w:val="single" w:sz="4" w:space="0" w:color="B3B3B3"/>
            </w:tcBorders>
            <w:shd w:val="clear" w:color="000000" w:fill="F2F2F2"/>
          </w:tcPr>
          <w:p w14:paraId="09D9B8AE" w14:textId="77777777" w:rsidR="008E7FC3" w:rsidRPr="00D126B3" w:rsidRDefault="008E7FC3" w:rsidP="00177648">
            <w:pPr>
              <w:pStyle w:val="TableBody"/>
              <w:spacing w:before="45" w:after="45"/>
              <w:ind w:right="108"/>
              <w:jc w:val="right"/>
              <w:rPr>
                <w:rFonts w:ascii="Arial (Body)" w:hAnsi="Arial (Body)"/>
                <w:color w:val="000000"/>
              </w:rPr>
            </w:pPr>
          </w:p>
        </w:tc>
        <w:tc>
          <w:tcPr>
            <w:tcW w:w="2622" w:type="dxa"/>
            <w:tcBorders>
              <w:bottom w:val="single" w:sz="4" w:space="0" w:color="B3B3B3"/>
            </w:tcBorders>
            <w:shd w:val="clear" w:color="000000" w:fill="F2F2F2"/>
          </w:tcPr>
          <w:p w14:paraId="008EAA3B" w14:textId="77777777" w:rsidR="008E7FC3" w:rsidRPr="00D126B3" w:rsidRDefault="008E7FC3" w:rsidP="00177648">
            <w:pPr>
              <w:pStyle w:val="TableBody"/>
              <w:spacing w:before="45" w:after="45"/>
              <w:ind w:right="108"/>
              <w:jc w:val="right"/>
              <w:rPr>
                <w:rFonts w:ascii="Arial (Body)" w:hAnsi="Arial (Body)"/>
                <w:color w:val="000000"/>
              </w:rPr>
            </w:pPr>
          </w:p>
        </w:tc>
      </w:tr>
    </w:tbl>
    <w:p w14:paraId="3CA2C83A" w14:textId="77777777" w:rsidR="008E7FC3" w:rsidRPr="006510ED" w:rsidRDefault="008E7FC3" w:rsidP="008E7FC3">
      <w:pPr>
        <w:pStyle w:val="Note"/>
        <w:rPr>
          <w:spacing w:val="-2"/>
        </w:rPr>
      </w:pPr>
      <w:r w:rsidRPr="006510ED">
        <w:rPr>
          <w:b/>
          <w:bCs/>
          <w:spacing w:val="-2"/>
        </w:rPr>
        <w:t>a.</w:t>
      </w:r>
      <w:r w:rsidRPr="006510ED">
        <w:rPr>
          <w:spacing w:val="-2"/>
        </w:rPr>
        <w:t xml:space="preserve"> Variables in grey are omitted dummy variables – see the note on table G.1 above for more detail on the reason for their exclusion and how to interpret the remaining variables. </w:t>
      </w:r>
      <w:r w:rsidRPr="006510ED">
        <w:rPr>
          <w:b/>
          <w:bCs/>
          <w:spacing w:val="-2"/>
        </w:rPr>
        <w:t>b. </w:t>
      </w:r>
      <w:r w:rsidRPr="006510ED">
        <w:rPr>
          <w:spacing w:val="-2"/>
        </w:rPr>
        <w:t>The wage equations are estimated for cohorts of sole parents and partnered female parents with dependent children aged 24 or less, in line with the population categories used in CAPITA</w:t>
      </w:r>
      <w:r w:rsidRPr="006510ED">
        <w:rPr>
          <w:spacing w:val="-2"/>
        </w:rPr>
        <w:noBreakHyphen/>
        <w:t>B. The fifth instrument in the selection equation is defined as having a child aged 10 to 14 years (rather than 10 to 12 years as per the broader CAPITA</w:t>
      </w:r>
      <w:r w:rsidRPr="006510ED">
        <w:rPr>
          <w:spacing w:val="-2"/>
        </w:rPr>
        <w:noBreakHyphen/>
        <w:t>B with ECEC model) to address convergence issues with the sole parent wage equation.</w:t>
      </w:r>
    </w:p>
    <w:p w14:paraId="4BE81FE1" w14:textId="77777777" w:rsidR="008E7FC3" w:rsidRPr="00662D5C" w:rsidRDefault="008E7FC3" w:rsidP="008E7FC3">
      <w:pPr>
        <w:pStyle w:val="Source"/>
      </w:pPr>
      <w:r w:rsidRPr="00696447">
        <w:t xml:space="preserve">Source: </w:t>
      </w:r>
      <w:r>
        <w:t>Productivity Commission estimates based on ABS 2019</w:t>
      </w:r>
      <w:r>
        <w:noBreakHyphen/>
        <w:t>20 SIH MURF</w:t>
      </w:r>
      <w:r w:rsidRPr="00696447">
        <w:t>.</w:t>
      </w:r>
    </w:p>
    <w:p w14:paraId="231BC72B" w14:textId="77777777" w:rsidR="008E7FC3" w:rsidRDefault="008E7FC3" w:rsidP="008E7FC3">
      <w:pPr>
        <w:pStyle w:val="BodyText"/>
      </w:pPr>
      <w:r>
        <w:t xml:space="preserve">Similarly, for both cohorts, the estimated coefficients of the wage equation suggest that speaking a main language other than English at home is </w:t>
      </w:r>
      <w:r w:rsidRPr="00D80AFF">
        <w:t>associated with</w:t>
      </w:r>
      <w:r>
        <w:t xml:space="preserve"> earning a lower expected wage, while having completed a university degree is associated with earning a higher wage. Working in a ‘Professional’ occupation is associated with higher expected wages compared to working in an occupation classified as a ‘Labourer’ for both sole parents and partnered female parents. Additionally, partnered female parents working in mining, utilities or financial and insurance services earn higher expected wages relative to those working in agriculture, forestry and fishing.</w:t>
      </w:r>
    </w:p>
    <w:p w14:paraId="7BB47A95" w14:textId="77777777" w:rsidR="008E7FC3" w:rsidRDefault="008E7FC3" w:rsidP="008E7FC3">
      <w:pPr>
        <w:pStyle w:val="BodyText"/>
      </w:pPr>
      <w:r>
        <w:lastRenderedPageBreak/>
        <w:t>These results are broadly in line with previous wage equation estimation results in Australia.</w:t>
      </w:r>
      <w:r w:rsidRPr="004F3B66">
        <w:rPr>
          <w:rStyle w:val="FootnoteReference"/>
        </w:rPr>
        <w:footnoteReference w:id="62"/>
      </w:r>
    </w:p>
    <w:p w14:paraId="55CFAEA6" w14:textId="77777777" w:rsidR="008E7FC3" w:rsidRDefault="008E7FC3" w:rsidP="008E7FC3">
      <w:pPr>
        <w:pStyle w:val="FigureTableHeading"/>
      </w:pPr>
      <w:r>
        <w:t xml:space="preserve">Table </w:t>
      </w:r>
      <w:r>
        <w:rPr>
          <w:noProof/>
        </w:rPr>
        <w:t>G</w:t>
      </w:r>
      <w:r>
        <w:t>.</w:t>
      </w:r>
      <w:r>
        <w:rPr>
          <w:noProof/>
        </w:rPr>
        <w:t>4 – Wage equation coefficients</w:t>
      </w:r>
      <w:r w:rsidRPr="00EC0C27">
        <w:rPr>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2621"/>
        <w:gridCol w:w="2622"/>
      </w:tblGrid>
      <w:tr w:rsidR="008E7FC3" w:rsidRPr="00D126B3" w14:paraId="0E3D4F76" w14:textId="77777777" w:rsidTr="00177648">
        <w:trPr>
          <w:tblHeader/>
        </w:trPr>
        <w:tc>
          <w:tcPr>
            <w:tcW w:w="4395" w:type="dxa"/>
            <w:tcBorders>
              <w:bottom w:val="single" w:sz="4" w:space="0" w:color="B3B3B3"/>
            </w:tcBorders>
            <w:shd w:val="clear" w:color="000000" w:fill="auto"/>
            <w:vAlign w:val="bottom"/>
          </w:tcPr>
          <w:p w14:paraId="1B6BEE59" w14:textId="77777777" w:rsidR="008E7FC3" w:rsidRPr="00D126B3" w:rsidRDefault="008E7FC3" w:rsidP="00177648">
            <w:pPr>
              <w:spacing w:before="45" w:after="45"/>
              <w:ind w:left="57" w:right="108"/>
              <w:rPr>
                <w:rFonts w:ascii="Arial (Body)" w:hAnsi="Arial (Body)"/>
                <w:b/>
                <w:color w:val="265A9A"/>
                <w:sz w:val="18"/>
              </w:rPr>
            </w:pPr>
          </w:p>
        </w:tc>
        <w:tc>
          <w:tcPr>
            <w:tcW w:w="2621" w:type="dxa"/>
            <w:tcBorders>
              <w:bottom w:val="single" w:sz="4" w:space="0" w:color="B3B3B3"/>
            </w:tcBorders>
            <w:shd w:val="clear" w:color="000000" w:fill="auto"/>
            <w:vAlign w:val="bottom"/>
          </w:tcPr>
          <w:p w14:paraId="16A39038"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Sole</w:t>
            </w:r>
            <w:r w:rsidRPr="008D7CEF">
              <w:rPr>
                <w:rFonts w:ascii="Arial (Body)" w:hAnsi="Arial (Body)"/>
                <w:color w:val="265A9A"/>
              </w:rPr>
              <w:t xml:space="preserve"> </w:t>
            </w:r>
            <w:r>
              <w:rPr>
                <w:rFonts w:ascii="Arial (Body)" w:hAnsi="Arial (Body)"/>
                <w:color w:val="265A9A"/>
              </w:rPr>
              <w:t>parents</w:t>
            </w:r>
          </w:p>
        </w:tc>
        <w:tc>
          <w:tcPr>
            <w:tcW w:w="2622" w:type="dxa"/>
            <w:tcBorders>
              <w:bottom w:val="single" w:sz="4" w:space="0" w:color="B3B3B3"/>
            </w:tcBorders>
            <w:shd w:val="clear" w:color="000000" w:fill="auto"/>
            <w:vAlign w:val="bottom"/>
          </w:tcPr>
          <w:p w14:paraId="1BE07D8D"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Partnered female parents</w:t>
            </w:r>
          </w:p>
        </w:tc>
      </w:tr>
      <w:tr w:rsidR="008E7FC3" w:rsidRPr="00D126B3" w14:paraId="59342D81" w14:textId="77777777" w:rsidTr="00177648">
        <w:tc>
          <w:tcPr>
            <w:tcW w:w="9638" w:type="dxa"/>
            <w:gridSpan w:val="3"/>
            <w:tcBorders>
              <w:top w:val="single" w:sz="4" w:space="0" w:color="B3B3B3"/>
              <w:bottom w:val="nil"/>
            </w:tcBorders>
            <w:shd w:val="clear" w:color="000000" w:fill="F2F2F2"/>
          </w:tcPr>
          <w:p w14:paraId="611E0F0C" w14:textId="77777777" w:rsidR="008E7FC3" w:rsidRPr="00E5058E" w:rsidRDefault="008E7FC3" w:rsidP="00177648">
            <w:pPr>
              <w:pStyle w:val="TableBody"/>
              <w:spacing w:before="45" w:after="45"/>
              <w:ind w:right="108"/>
              <w:rPr>
                <w:rFonts w:ascii="Arial (Body)" w:hAnsi="Arial (Body)"/>
                <w:i/>
                <w:iCs/>
                <w:color w:val="000000"/>
              </w:rPr>
            </w:pPr>
            <w:r w:rsidRPr="00E5058E">
              <w:rPr>
                <w:rFonts w:ascii="Arial (Body)" w:hAnsi="Arial (Body)"/>
                <w:i/>
                <w:iCs/>
                <w:color w:val="265A9A" w:themeColor="background2"/>
              </w:rPr>
              <w:t xml:space="preserve">DEPENDENT VARIABLE: </w:t>
            </w:r>
            <w:r>
              <w:rPr>
                <w:rFonts w:ascii="Arial (Body)" w:hAnsi="Arial (Body)"/>
                <w:i/>
                <w:iCs/>
                <w:color w:val="265A9A" w:themeColor="background2"/>
              </w:rPr>
              <w:t>log hourly wage rate</w:t>
            </w:r>
          </w:p>
        </w:tc>
      </w:tr>
      <w:tr w:rsidR="008E7FC3" w:rsidRPr="00D126B3" w14:paraId="76246354" w14:textId="77777777" w:rsidTr="00177648">
        <w:tc>
          <w:tcPr>
            <w:tcW w:w="4395" w:type="dxa"/>
            <w:tcBorders>
              <w:top w:val="nil"/>
              <w:bottom w:val="nil"/>
            </w:tcBorders>
            <w:shd w:val="clear" w:color="auto" w:fill="auto"/>
          </w:tcPr>
          <w:p w14:paraId="41C28827"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Female</w:t>
            </w:r>
          </w:p>
        </w:tc>
        <w:tc>
          <w:tcPr>
            <w:tcW w:w="2621" w:type="dxa"/>
            <w:tcBorders>
              <w:top w:val="nil"/>
              <w:bottom w:val="nil"/>
            </w:tcBorders>
            <w:shd w:val="clear" w:color="auto" w:fill="auto"/>
          </w:tcPr>
          <w:p w14:paraId="5EEE1549" w14:textId="77777777" w:rsidR="008E7FC3" w:rsidRPr="00673649" w:rsidRDefault="008E7FC3" w:rsidP="00177648">
            <w:pPr>
              <w:pStyle w:val="TableBody"/>
              <w:spacing w:before="45" w:after="45"/>
              <w:ind w:left="1701" w:right="108"/>
              <w:rPr>
                <w:rFonts w:ascii="Arial (Body)" w:hAnsi="Arial (Body)"/>
                <w:color w:val="000000"/>
              </w:rPr>
            </w:pPr>
            <w:r w:rsidRPr="00673649">
              <w:t>-0.199***</w:t>
            </w:r>
          </w:p>
        </w:tc>
        <w:tc>
          <w:tcPr>
            <w:tcW w:w="2622" w:type="dxa"/>
            <w:tcBorders>
              <w:top w:val="nil"/>
              <w:bottom w:val="nil"/>
            </w:tcBorders>
            <w:shd w:val="clear" w:color="auto" w:fill="auto"/>
          </w:tcPr>
          <w:p w14:paraId="6EB3788B"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2C05D2E1" w14:textId="77777777" w:rsidTr="00177648">
        <w:tc>
          <w:tcPr>
            <w:tcW w:w="4395" w:type="dxa"/>
            <w:tcBorders>
              <w:top w:val="nil"/>
              <w:bottom w:val="nil"/>
            </w:tcBorders>
            <w:shd w:val="clear" w:color="auto" w:fill="auto"/>
          </w:tcPr>
          <w:p w14:paraId="6D039103"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Age</w:t>
            </w:r>
          </w:p>
        </w:tc>
        <w:tc>
          <w:tcPr>
            <w:tcW w:w="2621" w:type="dxa"/>
            <w:tcBorders>
              <w:top w:val="nil"/>
              <w:bottom w:val="nil"/>
            </w:tcBorders>
            <w:shd w:val="clear" w:color="auto" w:fill="auto"/>
          </w:tcPr>
          <w:p w14:paraId="3CDF17E7"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0.035*</w:t>
            </w:r>
          </w:p>
        </w:tc>
        <w:tc>
          <w:tcPr>
            <w:tcW w:w="2622" w:type="dxa"/>
            <w:tcBorders>
              <w:top w:val="nil"/>
              <w:bottom w:val="nil"/>
            </w:tcBorders>
            <w:shd w:val="clear" w:color="auto" w:fill="auto"/>
          </w:tcPr>
          <w:p w14:paraId="55A4BD7A"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0.038***</w:t>
            </w:r>
          </w:p>
        </w:tc>
      </w:tr>
      <w:tr w:rsidR="008E7FC3" w:rsidRPr="00D126B3" w14:paraId="62235140" w14:textId="77777777" w:rsidTr="00177648">
        <w:tc>
          <w:tcPr>
            <w:tcW w:w="4395" w:type="dxa"/>
            <w:tcBorders>
              <w:top w:val="nil"/>
              <w:bottom w:val="nil"/>
            </w:tcBorders>
            <w:shd w:val="clear" w:color="auto" w:fill="auto"/>
          </w:tcPr>
          <w:p w14:paraId="7677C83E"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Age squared/100</w:t>
            </w:r>
          </w:p>
        </w:tc>
        <w:tc>
          <w:tcPr>
            <w:tcW w:w="2621" w:type="dxa"/>
            <w:tcBorders>
              <w:top w:val="nil"/>
              <w:bottom w:val="nil"/>
            </w:tcBorders>
            <w:shd w:val="clear" w:color="auto" w:fill="auto"/>
          </w:tcPr>
          <w:p w14:paraId="6C49EFCD" w14:textId="77777777" w:rsidR="008E7FC3" w:rsidRPr="00673649" w:rsidRDefault="008E7FC3" w:rsidP="00177648">
            <w:pPr>
              <w:pStyle w:val="TableBody"/>
              <w:spacing w:before="45" w:after="45"/>
              <w:ind w:left="1701" w:right="108"/>
              <w:rPr>
                <w:rFonts w:ascii="Arial (Body)" w:hAnsi="Arial (Body)"/>
                <w:color w:val="000000"/>
              </w:rPr>
            </w:pPr>
            <w:r w:rsidRPr="00673649">
              <w:t>-0.036</w:t>
            </w:r>
          </w:p>
        </w:tc>
        <w:tc>
          <w:tcPr>
            <w:tcW w:w="2622" w:type="dxa"/>
            <w:tcBorders>
              <w:top w:val="nil"/>
              <w:bottom w:val="nil"/>
            </w:tcBorders>
            <w:shd w:val="clear" w:color="auto" w:fill="auto"/>
          </w:tcPr>
          <w:p w14:paraId="6B818049" w14:textId="77777777" w:rsidR="008E7FC3" w:rsidRPr="00EA12B5" w:rsidRDefault="008E7FC3" w:rsidP="00177648">
            <w:pPr>
              <w:pStyle w:val="TableBody"/>
              <w:spacing w:before="45" w:after="45"/>
              <w:ind w:left="1701" w:right="108"/>
              <w:rPr>
                <w:rFonts w:ascii="Arial (Body)" w:hAnsi="Arial (Body)"/>
                <w:color w:val="000000"/>
              </w:rPr>
            </w:pPr>
            <w:r w:rsidRPr="00EA12B5">
              <w:t>-0.041***</w:t>
            </w:r>
          </w:p>
        </w:tc>
      </w:tr>
      <w:tr w:rsidR="008E7FC3" w:rsidRPr="00D126B3" w14:paraId="70AE7DB2" w14:textId="77777777" w:rsidTr="00177648">
        <w:tc>
          <w:tcPr>
            <w:tcW w:w="4395" w:type="dxa"/>
            <w:tcBorders>
              <w:top w:val="nil"/>
              <w:bottom w:val="nil"/>
            </w:tcBorders>
            <w:shd w:val="clear" w:color="auto" w:fill="auto"/>
          </w:tcPr>
          <w:p w14:paraId="7FF0F144"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Capital city</w:t>
            </w:r>
          </w:p>
        </w:tc>
        <w:tc>
          <w:tcPr>
            <w:tcW w:w="2621" w:type="dxa"/>
            <w:tcBorders>
              <w:top w:val="nil"/>
              <w:bottom w:val="nil"/>
            </w:tcBorders>
            <w:shd w:val="clear" w:color="auto" w:fill="auto"/>
          </w:tcPr>
          <w:p w14:paraId="5964C8EB"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0.069</w:t>
            </w:r>
          </w:p>
        </w:tc>
        <w:tc>
          <w:tcPr>
            <w:tcW w:w="2622" w:type="dxa"/>
            <w:tcBorders>
              <w:top w:val="nil"/>
              <w:bottom w:val="nil"/>
            </w:tcBorders>
            <w:shd w:val="clear" w:color="auto" w:fill="auto"/>
          </w:tcPr>
          <w:p w14:paraId="0A7CCC18"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0.011</w:t>
            </w:r>
          </w:p>
        </w:tc>
      </w:tr>
      <w:tr w:rsidR="008E7FC3" w:rsidRPr="00D126B3" w14:paraId="767E3A2E" w14:textId="77777777" w:rsidTr="00177648">
        <w:tc>
          <w:tcPr>
            <w:tcW w:w="4395" w:type="dxa"/>
            <w:tcBorders>
              <w:top w:val="nil"/>
              <w:bottom w:val="nil"/>
            </w:tcBorders>
            <w:shd w:val="clear" w:color="auto" w:fill="auto"/>
          </w:tcPr>
          <w:p w14:paraId="711912B7"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(No post-secondary education)</w:t>
            </w:r>
          </w:p>
        </w:tc>
        <w:tc>
          <w:tcPr>
            <w:tcW w:w="2621" w:type="dxa"/>
            <w:tcBorders>
              <w:top w:val="nil"/>
              <w:bottom w:val="nil"/>
            </w:tcBorders>
            <w:shd w:val="clear" w:color="auto" w:fill="auto"/>
          </w:tcPr>
          <w:p w14:paraId="69EFFCD3" w14:textId="77777777" w:rsidR="008E7FC3" w:rsidRPr="00673649" w:rsidRDefault="008E7FC3" w:rsidP="00177648">
            <w:pPr>
              <w:pStyle w:val="TableBody"/>
              <w:spacing w:before="45" w:after="45"/>
              <w:ind w:left="1701" w:right="108"/>
              <w:rPr>
                <w:rFonts w:ascii="Arial (Body)" w:hAnsi="Arial (Body)"/>
                <w:color w:val="000000"/>
              </w:rPr>
            </w:pPr>
          </w:p>
        </w:tc>
        <w:tc>
          <w:tcPr>
            <w:tcW w:w="2622" w:type="dxa"/>
            <w:tcBorders>
              <w:top w:val="nil"/>
              <w:bottom w:val="nil"/>
            </w:tcBorders>
            <w:shd w:val="clear" w:color="auto" w:fill="auto"/>
          </w:tcPr>
          <w:p w14:paraId="36C31EB8" w14:textId="77777777" w:rsidR="008E7FC3" w:rsidRPr="00EA12B5" w:rsidRDefault="008E7FC3" w:rsidP="00177648">
            <w:pPr>
              <w:pStyle w:val="TableBody"/>
              <w:spacing w:before="45" w:after="45"/>
              <w:ind w:left="1701" w:right="108"/>
              <w:rPr>
                <w:rFonts w:ascii="Arial (Body)" w:hAnsi="Arial (Body)"/>
                <w:color w:val="000000"/>
              </w:rPr>
            </w:pPr>
          </w:p>
        </w:tc>
      </w:tr>
      <w:tr w:rsidR="008E7FC3" w:rsidRPr="00D126B3" w14:paraId="3CED88CC" w14:textId="77777777" w:rsidTr="00177648">
        <w:tc>
          <w:tcPr>
            <w:tcW w:w="4395" w:type="dxa"/>
            <w:tcBorders>
              <w:top w:val="nil"/>
              <w:bottom w:val="nil"/>
            </w:tcBorders>
            <w:shd w:val="clear" w:color="auto" w:fill="auto"/>
          </w:tcPr>
          <w:p w14:paraId="638ADF89"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Vocational education</w:t>
            </w:r>
          </w:p>
        </w:tc>
        <w:tc>
          <w:tcPr>
            <w:tcW w:w="2621" w:type="dxa"/>
            <w:tcBorders>
              <w:top w:val="nil"/>
              <w:bottom w:val="nil"/>
            </w:tcBorders>
            <w:shd w:val="clear" w:color="auto" w:fill="auto"/>
          </w:tcPr>
          <w:p w14:paraId="61AE691A"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0.075</w:t>
            </w:r>
          </w:p>
        </w:tc>
        <w:tc>
          <w:tcPr>
            <w:tcW w:w="2622" w:type="dxa"/>
            <w:tcBorders>
              <w:top w:val="nil"/>
              <w:bottom w:val="nil"/>
            </w:tcBorders>
            <w:shd w:val="clear" w:color="auto" w:fill="auto"/>
          </w:tcPr>
          <w:p w14:paraId="7B02FE95"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0.083***</w:t>
            </w:r>
          </w:p>
        </w:tc>
      </w:tr>
      <w:tr w:rsidR="008E7FC3" w:rsidRPr="00D126B3" w14:paraId="58CEF4F3" w14:textId="77777777" w:rsidTr="00177648">
        <w:tc>
          <w:tcPr>
            <w:tcW w:w="4395" w:type="dxa"/>
            <w:tcBorders>
              <w:top w:val="nil"/>
              <w:bottom w:val="nil"/>
            </w:tcBorders>
            <w:shd w:val="clear" w:color="auto" w:fill="auto"/>
          </w:tcPr>
          <w:p w14:paraId="7FA5DEE2"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Degree or higher</w:t>
            </w:r>
          </w:p>
        </w:tc>
        <w:tc>
          <w:tcPr>
            <w:tcW w:w="2621" w:type="dxa"/>
            <w:tcBorders>
              <w:top w:val="nil"/>
              <w:bottom w:val="nil"/>
            </w:tcBorders>
            <w:shd w:val="clear" w:color="auto" w:fill="auto"/>
          </w:tcPr>
          <w:p w14:paraId="19649012"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0.198***</w:t>
            </w:r>
          </w:p>
        </w:tc>
        <w:tc>
          <w:tcPr>
            <w:tcW w:w="2622" w:type="dxa"/>
            <w:tcBorders>
              <w:top w:val="nil"/>
              <w:bottom w:val="nil"/>
            </w:tcBorders>
            <w:shd w:val="clear" w:color="auto" w:fill="auto"/>
          </w:tcPr>
          <w:p w14:paraId="41F7C1B4"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0.229***</w:t>
            </w:r>
          </w:p>
        </w:tc>
      </w:tr>
      <w:tr w:rsidR="008E7FC3" w:rsidRPr="00D126B3" w14:paraId="32632C1D" w14:textId="77777777" w:rsidTr="00177648">
        <w:tc>
          <w:tcPr>
            <w:tcW w:w="4395" w:type="dxa"/>
            <w:tcBorders>
              <w:top w:val="nil"/>
              <w:bottom w:val="nil"/>
            </w:tcBorders>
            <w:shd w:val="clear" w:color="auto" w:fill="auto"/>
          </w:tcPr>
          <w:p w14:paraId="1697F0F6"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w:t>
            </w:r>
            <w:r>
              <w:rPr>
                <w:rFonts w:ascii="Arial (Body)" w:hAnsi="Arial (Body)"/>
                <w:b w:val="0"/>
                <w:color w:val="7F7F7F" w:themeColor="text1" w:themeTint="80"/>
              </w:rPr>
              <w:t>English as main language at home</w:t>
            </w:r>
            <w:r w:rsidRPr="00E5058E">
              <w:rPr>
                <w:rFonts w:ascii="Arial (Body)" w:hAnsi="Arial (Body)"/>
                <w:b w:val="0"/>
                <w:color w:val="7F7F7F" w:themeColor="text1" w:themeTint="80"/>
              </w:rPr>
              <w:t>)</w:t>
            </w:r>
          </w:p>
        </w:tc>
        <w:tc>
          <w:tcPr>
            <w:tcW w:w="2621" w:type="dxa"/>
            <w:tcBorders>
              <w:top w:val="nil"/>
              <w:bottom w:val="nil"/>
            </w:tcBorders>
            <w:shd w:val="clear" w:color="auto" w:fill="auto"/>
          </w:tcPr>
          <w:p w14:paraId="5E03C94F" w14:textId="77777777" w:rsidR="008E7FC3" w:rsidRPr="00673649" w:rsidRDefault="008E7FC3" w:rsidP="00177648">
            <w:pPr>
              <w:pStyle w:val="TableBody"/>
              <w:spacing w:before="45" w:after="45"/>
              <w:ind w:left="1701" w:right="108"/>
              <w:rPr>
                <w:rFonts w:ascii="Arial (Body)" w:hAnsi="Arial (Body)"/>
                <w:color w:val="000000"/>
              </w:rPr>
            </w:pPr>
          </w:p>
        </w:tc>
        <w:tc>
          <w:tcPr>
            <w:tcW w:w="2622" w:type="dxa"/>
            <w:tcBorders>
              <w:top w:val="nil"/>
              <w:bottom w:val="nil"/>
            </w:tcBorders>
            <w:shd w:val="clear" w:color="auto" w:fill="auto"/>
          </w:tcPr>
          <w:p w14:paraId="524EC187" w14:textId="77777777" w:rsidR="008E7FC3" w:rsidRPr="00EA12B5" w:rsidRDefault="008E7FC3" w:rsidP="00177648">
            <w:pPr>
              <w:pStyle w:val="TableBody"/>
              <w:spacing w:before="45" w:after="45"/>
              <w:ind w:left="1701" w:right="108"/>
              <w:rPr>
                <w:rFonts w:ascii="Arial (Body)" w:hAnsi="Arial (Body)"/>
                <w:color w:val="000000"/>
              </w:rPr>
            </w:pPr>
          </w:p>
        </w:tc>
      </w:tr>
      <w:tr w:rsidR="008E7FC3" w:rsidRPr="00D126B3" w14:paraId="0B412ECC" w14:textId="77777777" w:rsidTr="00177648">
        <w:tc>
          <w:tcPr>
            <w:tcW w:w="4395" w:type="dxa"/>
            <w:tcBorders>
              <w:top w:val="nil"/>
              <w:bottom w:val="nil"/>
            </w:tcBorders>
            <w:shd w:val="clear" w:color="auto" w:fill="auto"/>
          </w:tcPr>
          <w:p w14:paraId="21A026BC" w14:textId="77777777" w:rsidR="008E7FC3" w:rsidRPr="00E5058E" w:rsidRDefault="008E7FC3" w:rsidP="00177648">
            <w:pPr>
              <w:pStyle w:val="TableHeading"/>
              <w:spacing w:before="45" w:after="45"/>
              <w:ind w:right="108"/>
              <w:rPr>
                <w:rFonts w:ascii="Arial (Body)" w:hAnsi="Arial (Body)"/>
                <w:b w:val="0"/>
                <w:color w:val="265A9A"/>
              </w:rPr>
            </w:pPr>
            <w:r>
              <w:rPr>
                <w:rFonts w:ascii="Arial (Body)" w:hAnsi="Arial (Body)"/>
                <w:b w:val="0"/>
                <w:color w:val="265A9A"/>
              </w:rPr>
              <w:t>Main language other than English at home</w:t>
            </w:r>
          </w:p>
        </w:tc>
        <w:tc>
          <w:tcPr>
            <w:tcW w:w="2621" w:type="dxa"/>
            <w:tcBorders>
              <w:top w:val="nil"/>
              <w:bottom w:val="nil"/>
            </w:tcBorders>
            <w:shd w:val="clear" w:color="auto" w:fill="auto"/>
          </w:tcPr>
          <w:p w14:paraId="17FAB7BE" w14:textId="77777777" w:rsidR="008E7FC3" w:rsidRPr="00673649" w:rsidRDefault="008E7FC3" w:rsidP="00177648">
            <w:pPr>
              <w:pStyle w:val="TableBody"/>
              <w:spacing w:before="45" w:after="45"/>
              <w:ind w:left="1701" w:right="108"/>
              <w:rPr>
                <w:rFonts w:ascii="Arial (Body)" w:hAnsi="Arial (Body)"/>
                <w:color w:val="000000"/>
              </w:rPr>
            </w:pPr>
            <w:r w:rsidRPr="00673649">
              <w:rPr>
                <w:rFonts w:ascii="Arial (Body)" w:hAnsi="Arial (Body)"/>
                <w:color w:val="000000"/>
              </w:rPr>
              <w:t>-0.227***</w:t>
            </w:r>
          </w:p>
        </w:tc>
        <w:tc>
          <w:tcPr>
            <w:tcW w:w="2622" w:type="dxa"/>
            <w:tcBorders>
              <w:top w:val="nil"/>
              <w:bottom w:val="nil"/>
            </w:tcBorders>
            <w:shd w:val="clear" w:color="auto" w:fill="auto"/>
          </w:tcPr>
          <w:p w14:paraId="0867A568" w14:textId="77777777" w:rsidR="008E7FC3" w:rsidRPr="00EA12B5" w:rsidRDefault="008E7FC3" w:rsidP="00177648">
            <w:pPr>
              <w:pStyle w:val="TableBody"/>
              <w:spacing w:before="45" w:after="45"/>
              <w:ind w:left="1701" w:right="108"/>
              <w:rPr>
                <w:rFonts w:ascii="Arial (Body)" w:hAnsi="Arial (Body)"/>
                <w:color w:val="000000"/>
              </w:rPr>
            </w:pPr>
            <w:r w:rsidRPr="00EA12B5">
              <w:rPr>
                <w:rFonts w:ascii="Arial (Body)" w:hAnsi="Arial (Body)"/>
                <w:color w:val="000000"/>
              </w:rPr>
              <w:t>-0.118***</w:t>
            </w:r>
          </w:p>
        </w:tc>
      </w:tr>
      <w:tr w:rsidR="008E7FC3" w:rsidRPr="00D126B3" w14:paraId="3224B520" w14:textId="77777777" w:rsidTr="00177648">
        <w:tc>
          <w:tcPr>
            <w:tcW w:w="4395" w:type="dxa"/>
            <w:tcBorders>
              <w:top w:val="nil"/>
              <w:bottom w:val="nil"/>
            </w:tcBorders>
            <w:shd w:val="clear" w:color="auto" w:fill="auto"/>
          </w:tcPr>
          <w:p w14:paraId="5EACFB6F"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(New South Wales)</w:t>
            </w:r>
          </w:p>
        </w:tc>
        <w:tc>
          <w:tcPr>
            <w:tcW w:w="2621" w:type="dxa"/>
            <w:tcBorders>
              <w:top w:val="nil"/>
              <w:bottom w:val="nil"/>
            </w:tcBorders>
            <w:shd w:val="clear" w:color="auto" w:fill="auto"/>
          </w:tcPr>
          <w:p w14:paraId="2D36BB6D" w14:textId="77777777" w:rsidR="008E7FC3" w:rsidRPr="00673649" w:rsidRDefault="008E7FC3" w:rsidP="00177648">
            <w:pPr>
              <w:pStyle w:val="TableBody"/>
              <w:spacing w:before="45" w:after="45"/>
              <w:ind w:left="1701" w:right="108"/>
              <w:rPr>
                <w:rFonts w:ascii="Arial (Body)" w:hAnsi="Arial (Body)"/>
                <w:color w:val="000000"/>
              </w:rPr>
            </w:pPr>
          </w:p>
        </w:tc>
        <w:tc>
          <w:tcPr>
            <w:tcW w:w="2622" w:type="dxa"/>
            <w:tcBorders>
              <w:top w:val="nil"/>
              <w:bottom w:val="nil"/>
            </w:tcBorders>
            <w:shd w:val="clear" w:color="auto" w:fill="auto"/>
          </w:tcPr>
          <w:p w14:paraId="27C0FFDE" w14:textId="77777777" w:rsidR="008E7FC3" w:rsidRPr="00EA12B5" w:rsidRDefault="008E7FC3" w:rsidP="00177648">
            <w:pPr>
              <w:pStyle w:val="TableBody"/>
              <w:spacing w:before="45" w:after="45"/>
              <w:ind w:left="1701" w:right="108"/>
              <w:rPr>
                <w:rFonts w:ascii="Arial (Body)" w:hAnsi="Arial (Body)"/>
                <w:color w:val="000000"/>
              </w:rPr>
            </w:pPr>
          </w:p>
        </w:tc>
      </w:tr>
      <w:tr w:rsidR="008E7FC3" w:rsidRPr="00D126B3" w14:paraId="3AA4C0DD" w14:textId="77777777" w:rsidTr="00177648">
        <w:tc>
          <w:tcPr>
            <w:tcW w:w="4395" w:type="dxa"/>
            <w:tcBorders>
              <w:top w:val="nil"/>
              <w:bottom w:val="nil"/>
            </w:tcBorders>
            <w:shd w:val="clear" w:color="auto" w:fill="auto"/>
          </w:tcPr>
          <w:p w14:paraId="45455F6C"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Victoria</w:t>
            </w:r>
          </w:p>
        </w:tc>
        <w:tc>
          <w:tcPr>
            <w:tcW w:w="2621" w:type="dxa"/>
            <w:tcBorders>
              <w:top w:val="nil"/>
              <w:bottom w:val="nil"/>
            </w:tcBorders>
            <w:shd w:val="clear" w:color="auto" w:fill="auto"/>
          </w:tcPr>
          <w:p w14:paraId="116A8110" w14:textId="77777777" w:rsidR="008E7FC3" w:rsidRPr="00673649" w:rsidRDefault="008E7FC3" w:rsidP="00177648">
            <w:pPr>
              <w:pStyle w:val="TableBody"/>
              <w:spacing w:before="45" w:after="45"/>
              <w:ind w:left="1701" w:right="108"/>
              <w:rPr>
                <w:rFonts w:ascii="Arial (Body)" w:hAnsi="Arial (Body)"/>
                <w:color w:val="000000"/>
              </w:rPr>
            </w:pPr>
            <w:r w:rsidRPr="00673649">
              <w:t>-0.044</w:t>
            </w:r>
          </w:p>
        </w:tc>
        <w:tc>
          <w:tcPr>
            <w:tcW w:w="2622" w:type="dxa"/>
            <w:tcBorders>
              <w:top w:val="nil"/>
              <w:bottom w:val="nil"/>
            </w:tcBorders>
            <w:shd w:val="clear" w:color="auto" w:fill="auto"/>
          </w:tcPr>
          <w:p w14:paraId="3DE5F996" w14:textId="77777777" w:rsidR="008E7FC3" w:rsidRPr="00EA12B5" w:rsidRDefault="008E7FC3" w:rsidP="00177648">
            <w:pPr>
              <w:pStyle w:val="TableBody"/>
              <w:spacing w:before="45" w:after="45"/>
              <w:ind w:left="1701" w:right="108"/>
              <w:rPr>
                <w:rFonts w:ascii="Arial (Body)" w:hAnsi="Arial (Body)"/>
                <w:color w:val="000000"/>
              </w:rPr>
            </w:pPr>
            <w:r w:rsidRPr="00EA12B5">
              <w:t>-0.030</w:t>
            </w:r>
          </w:p>
        </w:tc>
      </w:tr>
      <w:tr w:rsidR="008E7FC3" w:rsidRPr="00D126B3" w14:paraId="2DFECF66" w14:textId="77777777" w:rsidTr="00177648">
        <w:tc>
          <w:tcPr>
            <w:tcW w:w="4395" w:type="dxa"/>
            <w:tcBorders>
              <w:top w:val="nil"/>
              <w:bottom w:val="nil"/>
            </w:tcBorders>
            <w:shd w:val="clear" w:color="auto" w:fill="auto"/>
          </w:tcPr>
          <w:p w14:paraId="5D87C22A"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Queensland</w:t>
            </w:r>
          </w:p>
        </w:tc>
        <w:tc>
          <w:tcPr>
            <w:tcW w:w="2621" w:type="dxa"/>
            <w:tcBorders>
              <w:top w:val="nil"/>
              <w:bottom w:val="nil"/>
            </w:tcBorders>
            <w:shd w:val="clear" w:color="auto" w:fill="auto"/>
          </w:tcPr>
          <w:p w14:paraId="3C30A3F8" w14:textId="77777777" w:rsidR="008E7FC3" w:rsidRPr="00673649" w:rsidRDefault="008E7FC3" w:rsidP="00177648">
            <w:pPr>
              <w:pStyle w:val="TableBody"/>
              <w:spacing w:before="45" w:after="45"/>
              <w:ind w:left="1701" w:right="108"/>
              <w:rPr>
                <w:rFonts w:ascii="Arial (Body)" w:hAnsi="Arial (Body)"/>
                <w:color w:val="000000"/>
              </w:rPr>
            </w:pPr>
            <w:r w:rsidRPr="00673649">
              <w:t>-0.146**</w:t>
            </w:r>
          </w:p>
        </w:tc>
        <w:tc>
          <w:tcPr>
            <w:tcW w:w="2622" w:type="dxa"/>
            <w:tcBorders>
              <w:top w:val="nil"/>
              <w:bottom w:val="nil"/>
            </w:tcBorders>
            <w:shd w:val="clear" w:color="auto" w:fill="auto"/>
          </w:tcPr>
          <w:p w14:paraId="310F2B59" w14:textId="77777777" w:rsidR="008E7FC3" w:rsidRPr="00EA12B5" w:rsidRDefault="008E7FC3" w:rsidP="00177648">
            <w:pPr>
              <w:pStyle w:val="TableBody"/>
              <w:spacing w:before="45" w:after="45"/>
              <w:ind w:left="1701" w:right="108"/>
              <w:rPr>
                <w:rFonts w:ascii="Arial (Body)" w:hAnsi="Arial (Body)"/>
                <w:color w:val="000000"/>
              </w:rPr>
            </w:pPr>
            <w:r w:rsidRPr="00EA12B5">
              <w:t>-0.057</w:t>
            </w:r>
          </w:p>
        </w:tc>
      </w:tr>
      <w:tr w:rsidR="008E7FC3" w:rsidRPr="00D126B3" w14:paraId="6218ABBA" w14:textId="77777777" w:rsidTr="00177648">
        <w:tc>
          <w:tcPr>
            <w:tcW w:w="4395" w:type="dxa"/>
            <w:tcBorders>
              <w:top w:val="nil"/>
              <w:bottom w:val="nil"/>
            </w:tcBorders>
            <w:shd w:val="clear" w:color="auto" w:fill="auto"/>
          </w:tcPr>
          <w:p w14:paraId="23673C45"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South Australia</w:t>
            </w:r>
          </w:p>
        </w:tc>
        <w:tc>
          <w:tcPr>
            <w:tcW w:w="2621" w:type="dxa"/>
            <w:tcBorders>
              <w:top w:val="nil"/>
              <w:bottom w:val="nil"/>
            </w:tcBorders>
            <w:shd w:val="clear" w:color="auto" w:fill="auto"/>
          </w:tcPr>
          <w:p w14:paraId="4A7FF018" w14:textId="77777777" w:rsidR="008E7FC3" w:rsidRPr="00673649" w:rsidRDefault="008E7FC3" w:rsidP="00177648">
            <w:pPr>
              <w:pStyle w:val="TableBody"/>
              <w:spacing w:before="45" w:after="45"/>
              <w:ind w:left="1701" w:right="108"/>
              <w:rPr>
                <w:rFonts w:ascii="Arial (Body)" w:hAnsi="Arial (Body)"/>
                <w:color w:val="000000"/>
              </w:rPr>
            </w:pPr>
            <w:r w:rsidRPr="00673649">
              <w:t>-0.086</w:t>
            </w:r>
          </w:p>
        </w:tc>
        <w:tc>
          <w:tcPr>
            <w:tcW w:w="2622" w:type="dxa"/>
            <w:tcBorders>
              <w:top w:val="nil"/>
              <w:bottom w:val="nil"/>
            </w:tcBorders>
            <w:shd w:val="clear" w:color="auto" w:fill="auto"/>
          </w:tcPr>
          <w:p w14:paraId="292A9812" w14:textId="77777777" w:rsidR="008E7FC3" w:rsidRPr="00EA12B5" w:rsidRDefault="008E7FC3" w:rsidP="00177648">
            <w:pPr>
              <w:pStyle w:val="TableBody"/>
              <w:spacing w:before="45" w:after="45"/>
              <w:ind w:left="1701" w:right="108"/>
              <w:rPr>
                <w:rFonts w:ascii="Arial (Body)" w:hAnsi="Arial (Body)"/>
                <w:color w:val="000000"/>
              </w:rPr>
            </w:pPr>
            <w:r w:rsidRPr="00EA12B5">
              <w:t>-0.059*</w:t>
            </w:r>
          </w:p>
        </w:tc>
      </w:tr>
      <w:tr w:rsidR="008E7FC3" w:rsidRPr="00D126B3" w14:paraId="7D7AE07C" w14:textId="77777777" w:rsidTr="00177648">
        <w:tc>
          <w:tcPr>
            <w:tcW w:w="4395" w:type="dxa"/>
            <w:tcBorders>
              <w:top w:val="nil"/>
              <w:bottom w:val="nil"/>
            </w:tcBorders>
            <w:shd w:val="clear" w:color="auto" w:fill="auto"/>
          </w:tcPr>
          <w:p w14:paraId="6780D975"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Western Australia</w:t>
            </w:r>
          </w:p>
        </w:tc>
        <w:tc>
          <w:tcPr>
            <w:tcW w:w="2621" w:type="dxa"/>
            <w:tcBorders>
              <w:top w:val="nil"/>
              <w:bottom w:val="nil"/>
            </w:tcBorders>
            <w:shd w:val="clear" w:color="auto" w:fill="auto"/>
          </w:tcPr>
          <w:p w14:paraId="55234401" w14:textId="77777777" w:rsidR="008E7FC3" w:rsidRPr="00673649" w:rsidRDefault="008E7FC3" w:rsidP="00177648">
            <w:pPr>
              <w:pStyle w:val="TableBody"/>
              <w:spacing w:before="45" w:after="45"/>
              <w:ind w:left="1701" w:right="108"/>
              <w:rPr>
                <w:rFonts w:ascii="Arial (Body)" w:hAnsi="Arial (Body)"/>
                <w:color w:val="000000"/>
              </w:rPr>
            </w:pPr>
            <w:r w:rsidRPr="00673649">
              <w:t>-0.134*</w:t>
            </w:r>
          </w:p>
        </w:tc>
        <w:tc>
          <w:tcPr>
            <w:tcW w:w="2622" w:type="dxa"/>
            <w:tcBorders>
              <w:top w:val="nil"/>
              <w:bottom w:val="nil"/>
            </w:tcBorders>
            <w:shd w:val="clear" w:color="auto" w:fill="auto"/>
          </w:tcPr>
          <w:p w14:paraId="44F4C6C9" w14:textId="77777777" w:rsidR="008E7FC3" w:rsidRPr="00EA12B5" w:rsidRDefault="008E7FC3" w:rsidP="00177648">
            <w:pPr>
              <w:pStyle w:val="TableBody"/>
              <w:spacing w:before="45" w:after="45"/>
              <w:ind w:left="1701" w:right="108"/>
              <w:rPr>
                <w:rFonts w:ascii="Arial (Body)" w:hAnsi="Arial (Body)"/>
                <w:color w:val="000000"/>
              </w:rPr>
            </w:pPr>
            <w:r w:rsidRPr="00EA12B5">
              <w:t>-0.035</w:t>
            </w:r>
          </w:p>
        </w:tc>
      </w:tr>
      <w:tr w:rsidR="008E7FC3" w:rsidRPr="00D126B3" w14:paraId="28EF13B5" w14:textId="77777777" w:rsidTr="00177648">
        <w:tc>
          <w:tcPr>
            <w:tcW w:w="4395" w:type="dxa"/>
            <w:tcBorders>
              <w:top w:val="nil"/>
              <w:bottom w:val="nil"/>
            </w:tcBorders>
            <w:shd w:val="clear" w:color="auto" w:fill="auto"/>
          </w:tcPr>
          <w:p w14:paraId="6E030295"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Tasmania</w:t>
            </w:r>
          </w:p>
        </w:tc>
        <w:tc>
          <w:tcPr>
            <w:tcW w:w="2621" w:type="dxa"/>
            <w:tcBorders>
              <w:top w:val="nil"/>
              <w:bottom w:val="nil"/>
            </w:tcBorders>
            <w:shd w:val="clear" w:color="auto" w:fill="auto"/>
          </w:tcPr>
          <w:p w14:paraId="048712FB" w14:textId="77777777" w:rsidR="008E7FC3" w:rsidRPr="00673649" w:rsidRDefault="008E7FC3" w:rsidP="00177648">
            <w:pPr>
              <w:pStyle w:val="TableBody"/>
              <w:spacing w:before="45" w:after="45"/>
              <w:ind w:left="1701" w:right="108"/>
              <w:rPr>
                <w:rFonts w:ascii="Arial (Body)" w:hAnsi="Arial (Body)"/>
                <w:color w:val="000000"/>
              </w:rPr>
            </w:pPr>
            <w:r w:rsidRPr="00673649">
              <w:t>-0.121</w:t>
            </w:r>
          </w:p>
        </w:tc>
        <w:tc>
          <w:tcPr>
            <w:tcW w:w="2622" w:type="dxa"/>
            <w:tcBorders>
              <w:top w:val="nil"/>
              <w:bottom w:val="nil"/>
            </w:tcBorders>
            <w:shd w:val="clear" w:color="auto" w:fill="auto"/>
          </w:tcPr>
          <w:p w14:paraId="4CEFDC9B" w14:textId="77777777" w:rsidR="008E7FC3" w:rsidRPr="00EA12B5" w:rsidRDefault="008E7FC3" w:rsidP="00177648">
            <w:pPr>
              <w:pStyle w:val="TableBody"/>
              <w:spacing w:before="45" w:after="45"/>
              <w:ind w:left="1701" w:right="108"/>
              <w:rPr>
                <w:rFonts w:ascii="Arial (Body)" w:hAnsi="Arial (Body)"/>
                <w:color w:val="000000"/>
              </w:rPr>
            </w:pPr>
            <w:r w:rsidRPr="00EA12B5">
              <w:t>-0.045</w:t>
            </w:r>
          </w:p>
        </w:tc>
      </w:tr>
      <w:tr w:rsidR="008E7FC3" w:rsidRPr="00D126B3" w14:paraId="1E440AC6" w14:textId="77777777" w:rsidTr="00177648">
        <w:tc>
          <w:tcPr>
            <w:tcW w:w="4395" w:type="dxa"/>
            <w:tcBorders>
              <w:top w:val="nil"/>
              <w:bottom w:val="nil"/>
            </w:tcBorders>
            <w:shd w:val="clear" w:color="auto" w:fill="auto"/>
          </w:tcPr>
          <w:p w14:paraId="76D3C1B8"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ACT</w:t>
            </w:r>
          </w:p>
        </w:tc>
        <w:tc>
          <w:tcPr>
            <w:tcW w:w="2621" w:type="dxa"/>
            <w:tcBorders>
              <w:top w:val="nil"/>
              <w:bottom w:val="nil"/>
            </w:tcBorders>
            <w:shd w:val="clear" w:color="auto" w:fill="auto"/>
          </w:tcPr>
          <w:p w14:paraId="34BBAE2D" w14:textId="77777777" w:rsidR="008E7FC3" w:rsidRPr="00673649" w:rsidRDefault="008E7FC3" w:rsidP="00177648">
            <w:pPr>
              <w:pStyle w:val="TableBody"/>
              <w:spacing w:before="45" w:after="45"/>
              <w:ind w:left="1701" w:right="108"/>
              <w:rPr>
                <w:rFonts w:ascii="Arial (Body)" w:hAnsi="Arial (Body)"/>
                <w:color w:val="000000"/>
              </w:rPr>
            </w:pPr>
            <w:r>
              <w:t xml:space="preserve"> </w:t>
            </w:r>
            <w:r w:rsidRPr="00673649">
              <w:t>0.022</w:t>
            </w:r>
          </w:p>
        </w:tc>
        <w:tc>
          <w:tcPr>
            <w:tcW w:w="2622" w:type="dxa"/>
            <w:tcBorders>
              <w:top w:val="nil"/>
              <w:bottom w:val="nil"/>
            </w:tcBorders>
            <w:shd w:val="clear" w:color="auto" w:fill="auto"/>
          </w:tcPr>
          <w:p w14:paraId="1F15B16B"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0.157***</w:t>
            </w:r>
          </w:p>
        </w:tc>
      </w:tr>
      <w:tr w:rsidR="008E7FC3" w:rsidRPr="00D126B3" w14:paraId="6332BB5E" w14:textId="77777777" w:rsidTr="00177648">
        <w:tc>
          <w:tcPr>
            <w:tcW w:w="4395" w:type="dxa"/>
            <w:tcBorders>
              <w:top w:val="nil"/>
              <w:bottom w:val="nil"/>
            </w:tcBorders>
            <w:shd w:val="clear" w:color="auto" w:fill="auto"/>
          </w:tcPr>
          <w:p w14:paraId="335E0A8C"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Northern Territory</w:t>
            </w:r>
          </w:p>
        </w:tc>
        <w:tc>
          <w:tcPr>
            <w:tcW w:w="2621" w:type="dxa"/>
            <w:tcBorders>
              <w:top w:val="nil"/>
              <w:bottom w:val="nil"/>
            </w:tcBorders>
            <w:shd w:val="clear" w:color="auto" w:fill="auto"/>
          </w:tcPr>
          <w:p w14:paraId="39C774AD" w14:textId="77777777" w:rsidR="008E7FC3" w:rsidRPr="00673649" w:rsidRDefault="008E7FC3" w:rsidP="00177648">
            <w:pPr>
              <w:pStyle w:val="TableBody"/>
              <w:spacing w:before="45" w:after="45"/>
              <w:ind w:left="1701" w:right="108"/>
              <w:rPr>
                <w:rFonts w:ascii="Arial (Body)" w:hAnsi="Arial (Body)"/>
                <w:color w:val="000000"/>
              </w:rPr>
            </w:pPr>
            <w:r w:rsidRPr="00673649">
              <w:t>-0.089</w:t>
            </w:r>
          </w:p>
        </w:tc>
        <w:tc>
          <w:tcPr>
            <w:tcW w:w="2622" w:type="dxa"/>
            <w:tcBorders>
              <w:top w:val="nil"/>
              <w:bottom w:val="nil"/>
            </w:tcBorders>
            <w:shd w:val="clear" w:color="auto" w:fill="auto"/>
          </w:tcPr>
          <w:p w14:paraId="33D3E631" w14:textId="77777777" w:rsidR="008E7FC3" w:rsidRPr="00EA12B5" w:rsidRDefault="008E7FC3" w:rsidP="00177648">
            <w:pPr>
              <w:pStyle w:val="TableBody"/>
              <w:spacing w:before="45" w:after="45"/>
              <w:ind w:left="1701" w:right="108"/>
              <w:rPr>
                <w:rFonts w:ascii="Arial (Body)" w:hAnsi="Arial (Body)"/>
                <w:color w:val="000000"/>
              </w:rPr>
            </w:pPr>
            <w:r w:rsidRPr="00EA12B5">
              <w:t>-0.011</w:t>
            </w:r>
          </w:p>
        </w:tc>
      </w:tr>
      <w:tr w:rsidR="008E7FC3" w:rsidRPr="00D126B3" w14:paraId="348DCB8F" w14:textId="77777777" w:rsidTr="00177648">
        <w:tc>
          <w:tcPr>
            <w:tcW w:w="4395" w:type="dxa"/>
            <w:tcBorders>
              <w:top w:val="nil"/>
              <w:bottom w:val="nil"/>
            </w:tcBorders>
            <w:shd w:val="clear" w:color="auto" w:fill="auto"/>
          </w:tcPr>
          <w:p w14:paraId="2C4AEFA0" w14:textId="77777777" w:rsidR="008E7FC3" w:rsidRPr="00D021A2"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(Labourers)</w:t>
            </w:r>
          </w:p>
        </w:tc>
        <w:tc>
          <w:tcPr>
            <w:tcW w:w="2621" w:type="dxa"/>
            <w:tcBorders>
              <w:top w:val="nil"/>
              <w:bottom w:val="nil"/>
            </w:tcBorders>
            <w:shd w:val="clear" w:color="auto" w:fill="auto"/>
          </w:tcPr>
          <w:p w14:paraId="51D784DF" w14:textId="77777777" w:rsidR="008E7FC3" w:rsidRPr="00662D5C" w:rsidRDefault="008E7FC3" w:rsidP="00177648">
            <w:pPr>
              <w:pStyle w:val="TableBody"/>
              <w:spacing w:before="45" w:after="45"/>
              <w:ind w:left="1701" w:right="108"/>
              <w:rPr>
                <w:rFonts w:ascii="Arial (Body)" w:hAnsi="Arial (Body)"/>
                <w:b/>
                <w:color w:val="000000"/>
              </w:rPr>
            </w:pPr>
          </w:p>
        </w:tc>
        <w:tc>
          <w:tcPr>
            <w:tcW w:w="2622" w:type="dxa"/>
            <w:tcBorders>
              <w:top w:val="nil"/>
              <w:bottom w:val="nil"/>
            </w:tcBorders>
            <w:shd w:val="clear" w:color="auto" w:fill="auto"/>
          </w:tcPr>
          <w:p w14:paraId="54113E3F" w14:textId="77777777" w:rsidR="008E7FC3" w:rsidRPr="00EA12B5" w:rsidRDefault="008E7FC3" w:rsidP="00177648">
            <w:pPr>
              <w:pStyle w:val="TableBody"/>
              <w:spacing w:before="45" w:after="45"/>
              <w:ind w:left="1701" w:right="108"/>
              <w:rPr>
                <w:rFonts w:ascii="Arial (Body)" w:hAnsi="Arial (Body)"/>
                <w:color w:val="000000"/>
              </w:rPr>
            </w:pPr>
          </w:p>
        </w:tc>
      </w:tr>
      <w:tr w:rsidR="008E7FC3" w:rsidRPr="00D126B3" w14:paraId="31FC802A" w14:textId="77777777" w:rsidTr="00177648">
        <w:tc>
          <w:tcPr>
            <w:tcW w:w="4395" w:type="dxa"/>
            <w:tcBorders>
              <w:top w:val="nil"/>
              <w:bottom w:val="nil"/>
            </w:tcBorders>
            <w:shd w:val="clear" w:color="auto" w:fill="auto"/>
          </w:tcPr>
          <w:p w14:paraId="3EC6EA2B"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Professional</w:t>
            </w:r>
          </w:p>
        </w:tc>
        <w:tc>
          <w:tcPr>
            <w:tcW w:w="2621" w:type="dxa"/>
            <w:tcBorders>
              <w:top w:val="nil"/>
              <w:bottom w:val="nil"/>
            </w:tcBorders>
            <w:shd w:val="clear" w:color="auto" w:fill="auto"/>
          </w:tcPr>
          <w:p w14:paraId="70123674"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0.309***</w:t>
            </w:r>
          </w:p>
        </w:tc>
        <w:tc>
          <w:tcPr>
            <w:tcW w:w="2622" w:type="dxa"/>
            <w:tcBorders>
              <w:top w:val="nil"/>
              <w:bottom w:val="nil"/>
            </w:tcBorders>
            <w:shd w:val="clear" w:color="auto" w:fill="auto"/>
          </w:tcPr>
          <w:p w14:paraId="05C0013F"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0.267***</w:t>
            </w:r>
          </w:p>
        </w:tc>
      </w:tr>
      <w:tr w:rsidR="008E7FC3" w:rsidRPr="00D126B3" w14:paraId="2F98E0B9" w14:textId="77777777" w:rsidTr="00177648">
        <w:tc>
          <w:tcPr>
            <w:tcW w:w="4395" w:type="dxa"/>
            <w:tcBorders>
              <w:top w:val="nil"/>
              <w:bottom w:val="nil"/>
            </w:tcBorders>
            <w:shd w:val="clear" w:color="auto" w:fill="auto"/>
          </w:tcPr>
          <w:p w14:paraId="3ECDA087"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Paraprofessional</w:t>
            </w:r>
          </w:p>
        </w:tc>
        <w:tc>
          <w:tcPr>
            <w:tcW w:w="2621" w:type="dxa"/>
            <w:tcBorders>
              <w:top w:val="nil"/>
              <w:bottom w:val="nil"/>
            </w:tcBorders>
            <w:shd w:val="clear" w:color="auto" w:fill="auto"/>
          </w:tcPr>
          <w:p w14:paraId="719429A4"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0.049</w:t>
            </w:r>
          </w:p>
        </w:tc>
        <w:tc>
          <w:tcPr>
            <w:tcW w:w="2622" w:type="dxa"/>
            <w:tcBorders>
              <w:top w:val="nil"/>
              <w:bottom w:val="nil"/>
            </w:tcBorders>
            <w:shd w:val="clear" w:color="auto" w:fill="auto"/>
          </w:tcPr>
          <w:p w14:paraId="5C0E672C" w14:textId="77777777" w:rsidR="008E7FC3" w:rsidRPr="00EA12B5" w:rsidRDefault="008E7FC3" w:rsidP="00177648">
            <w:pPr>
              <w:pStyle w:val="TableBody"/>
              <w:spacing w:before="45" w:after="45"/>
              <w:ind w:left="1701" w:right="108"/>
              <w:rPr>
                <w:rFonts w:ascii="Arial (Body)" w:hAnsi="Arial (Body)"/>
                <w:color w:val="000000"/>
              </w:rPr>
            </w:pPr>
            <w:r w:rsidRPr="00EA12B5">
              <w:t>-0.045</w:t>
            </w:r>
          </w:p>
        </w:tc>
      </w:tr>
      <w:tr w:rsidR="008E7FC3" w:rsidRPr="00D126B3" w14:paraId="21853B26" w14:textId="77777777" w:rsidTr="00177648">
        <w:tc>
          <w:tcPr>
            <w:tcW w:w="4395" w:type="dxa"/>
            <w:tcBorders>
              <w:top w:val="nil"/>
              <w:bottom w:val="nil"/>
            </w:tcBorders>
            <w:shd w:val="clear" w:color="auto" w:fill="auto"/>
          </w:tcPr>
          <w:p w14:paraId="16F1D59A"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Clerical</w:t>
            </w:r>
          </w:p>
        </w:tc>
        <w:tc>
          <w:tcPr>
            <w:tcW w:w="2621" w:type="dxa"/>
            <w:tcBorders>
              <w:top w:val="nil"/>
              <w:bottom w:val="nil"/>
            </w:tcBorders>
            <w:shd w:val="clear" w:color="auto" w:fill="auto"/>
          </w:tcPr>
          <w:p w14:paraId="569C37DB"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0.124*</w:t>
            </w:r>
          </w:p>
        </w:tc>
        <w:tc>
          <w:tcPr>
            <w:tcW w:w="2622" w:type="dxa"/>
            <w:tcBorders>
              <w:top w:val="nil"/>
              <w:bottom w:val="nil"/>
            </w:tcBorders>
            <w:shd w:val="clear" w:color="auto" w:fill="auto"/>
          </w:tcPr>
          <w:p w14:paraId="4217AE44" w14:textId="77777777" w:rsidR="008E7FC3" w:rsidRPr="00EA12B5" w:rsidRDefault="008E7FC3" w:rsidP="00177648">
            <w:pPr>
              <w:pStyle w:val="TableBody"/>
              <w:spacing w:before="45" w:after="45"/>
              <w:ind w:left="1701" w:right="108"/>
              <w:rPr>
                <w:rFonts w:ascii="Arial (Body)" w:hAnsi="Arial (Body)"/>
                <w:color w:val="000000"/>
              </w:rPr>
            </w:pPr>
            <w:r>
              <w:t xml:space="preserve"> </w:t>
            </w:r>
            <w:r w:rsidRPr="00EA12B5">
              <w:t>0.066*</w:t>
            </w:r>
          </w:p>
        </w:tc>
      </w:tr>
      <w:tr w:rsidR="008E7FC3" w:rsidRPr="00D126B3" w14:paraId="1CB95A9D" w14:textId="77777777" w:rsidTr="00177648">
        <w:tc>
          <w:tcPr>
            <w:tcW w:w="4395" w:type="dxa"/>
            <w:tcBorders>
              <w:top w:val="nil"/>
              <w:bottom w:val="nil"/>
            </w:tcBorders>
            <w:shd w:val="clear" w:color="auto" w:fill="auto"/>
          </w:tcPr>
          <w:p w14:paraId="0F3AEF7C"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7F7F7F" w:themeColor="text1" w:themeTint="80"/>
              </w:rPr>
              <w:t>(Agriculture)</w:t>
            </w:r>
          </w:p>
        </w:tc>
        <w:tc>
          <w:tcPr>
            <w:tcW w:w="2621" w:type="dxa"/>
            <w:tcBorders>
              <w:top w:val="nil"/>
              <w:bottom w:val="nil"/>
            </w:tcBorders>
            <w:shd w:val="clear" w:color="auto" w:fill="auto"/>
          </w:tcPr>
          <w:p w14:paraId="630210E2" w14:textId="77777777" w:rsidR="008E7FC3" w:rsidRPr="00D069EB" w:rsidRDefault="008E7FC3" w:rsidP="00177648">
            <w:pPr>
              <w:pStyle w:val="TableBody"/>
              <w:spacing w:before="45" w:after="45"/>
              <w:ind w:left="1701" w:right="108"/>
              <w:rPr>
                <w:rFonts w:ascii="Arial (Body)" w:hAnsi="Arial (Body)"/>
                <w:color w:val="000000"/>
              </w:rPr>
            </w:pPr>
          </w:p>
        </w:tc>
        <w:tc>
          <w:tcPr>
            <w:tcW w:w="2622" w:type="dxa"/>
            <w:tcBorders>
              <w:top w:val="nil"/>
              <w:bottom w:val="nil"/>
            </w:tcBorders>
            <w:shd w:val="clear" w:color="auto" w:fill="auto"/>
          </w:tcPr>
          <w:p w14:paraId="614E87B7" w14:textId="77777777" w:rsidR="008E7FC3" w:rsidRPr="00662D5C" w:rsidRDefault="008E7FC3" w:rsidP="00177648">
            <w:pPr>
              <w:pStyle w:val="TableBody"/>
              <w:spacing w:before="45" w:after="45"/>
              <w:ind w:left="1701" w:right="108"/>
              <w:rPr>
                <w:rFonts w:ascii="Arial (Body)" w:hAnsi="Arial (Body)"/>
                <w:b/>
                <w:color w:val="000000"/>
              </w:rPr>
            </w:pPr>
          </w:p>
        </w:tc>
      </w:tr>
      <w:tr w:rsidR="008E7FC3" w:rsidRPr="00D126B3" w14:paraId="5C800266" w14:textId="77777777" w:rsidTr="00177648">
        <w:tc>
          <w:tcPr>
            <w:tcW w:w="4395" w:type="dxa"/>
            <w:tcBorders>
              <w:top w:val="nil"/>
              <w:bottom w:val="nil"/>
            </w:tcBorders>
            <w:shd w:val="clear" w:color="auto" w:fill="auto"/>
          </w:tcPr>
          <w:p w14:paraId="0DD5F86E"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Mining</w:t>
            </w:r>
          </w:p>
        </w:tc>
        <w:tc>
          <w:tcPr>
            <w:tcW w:w="2621" w:type="dxa"/>
            <w:tcBorders>
              <w:top w:val="nil"/>
              <w:bottom w:val="nil"/>
            </w:tcBorders>
            <w:shd w:val="clear" w:color="auto" w:fill="auto"/>
          </w:tcPr>
          <w:p w14:paraId="64A83AB2"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0.503</w:t>
            </w:r>
          </w:p>
        </w:tc>
        <w:tc>
          <w:tcPr>
            <w:tcW w:w="2622" w:type="dxa"/>
            <w:tcBorders>
              <w:top w:val="nil"/>
              <w:bottom w:val="nil"/>
            </w:tcBorders>
            <w:shd w:val="clear" w:color="auto" w:fill="auto"/>
          </w:tcPr>
          <w:p w14:paraId="24E0BB59"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0.451***</w:t>
            </w:r>
          </w:p>
        </w:tc>
      </w:tr>
      <w:tr w:rsidR="008E7FC3" w:rsidRPr="00D126B3" w14:paraId="5BB567ED" w14:textId="77777777" w:rsidTr="00177648">
        <w:tc>
          <w:tcPr>
            <w:tcW w:w="4395" w:type="dxa"/>
            <w:tcBorders>
              <w:top w:val="nil"/>
              <w:bottom w:val="nil"/>
            </w:tcBorders>
            <w:shd w:val="clear" w:color="auto" w:fill="auto"/>
          </w:tcPr>
          <w:p w14:paraId="35E8DE51"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Manufacturing</w:t>
            </w:r>
          </w:p>
        </w:tc>
        <w:tc>
          <w:tcPr>
            <w:tcW w:w="2621" w:type="dxa"/>
            <w:tcBorders>
              <w:top w:val="nil"/>
              <w:bottom w:val="nil"/>
            </w:tcBorders>
            <w:shd w:val="clear" w:color="auto" w:fill="auto"/>
          </w:tcPr>
          <w:p w14:paraId="41A5AC68"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0.278</w:t>
            </w:r>
          </w:p>
        </w:tc>
        <w:tc>
          <w:tcPr>
            <w:tcW w:w="2622" w:type="dxa"/>
            <w:tcBorders>
              <w:top w:val="nil"/>
              <w:bottom w:val="nil"/>
            </w:tcBorders>
            <w:shd w:val="clear" w:color="auto" w:fill="auto"/>
          </w:tcPr>
          <w:p w14:paraId="0BD3E99A"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0.074</w:t>
            </w:r>
          </w:p>
        </w:tc>
      </w:tr>
      <w:tr w:rsidR="008E7FC3" w:rsidRPr="00D126B3" w14:paraId="53DECCBB" w14:textId="77777777" w:rsidTr="00177648">
        <w:tc>
          <w:tcPr>
            <w:tcW w:w="4395" w:type="dxa"/>
            <w:tcBorders>
              <w:top w:val="nil"/>
              <w:bottom w:val="nil"/>
            </w:tcBorders>
            <w:shd w:val="clear" w:color="auto" w:fill="auto"/>
          </w:tcPr>
          <w:p w14:paraId="5960C4AA"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Electricity, gas, water and waste services</w:t>
            </w:r>
          </w:p>
        </w:tc>
        <w:tc>
          <w:tcPr>
            <w:tcW w:w="2621" w:type="dxa"/>
            <w:tcBorders>
              <w:top w:val="nil"/>
              <w:bottom w:val="nil"/>
            </w:tcBorders>
            <w:shd w:val="clear" w:color="auto" w:fill="auto"/>
          </w:tcPr>
          <w:p w14:paraId="7065983A"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0.717*</w:t>
            </w:r>
          </w:p>
        </w:tc>
        <w:tc>
          <w:tcPr>
            <w:tcW w:w="2622" w:type="dxa"/>
            <w:tcBorders>
              <w:top w:val="nil"/>
              <w:bottom w:val="nil"/>
            </w:tcBorders>
            <w:shd w:val="clear" w:color="auto" w:fill="auto"/>
          </w:tcPr>
          <w:p w14:paraId="048DED8C"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0.342***</w:t>
            </w:r>
          </w:p>
        </w:tc>
      </w:tr>
      <w:tr w:rsidR="008E7FC3" w:rsidRPr="00D126B3" w14:paraId="3E65387A" w14:textId="77777777" w:rsidTr="00177648">
        <w:tc>
          <w:tcPr>
            <w:tcW w:w="4395" w:type="dxa"/>
            <w:tcBorders>
              <w:top w:val="nil"/>
              <w:bottom w:val="nil"/>
            </w:tcBorders>
            <w:shd w:val="clear" w:color="auto" w:fill="auto"/>
          </w:tcPr>
          <w:p w14:paraId="2560F69B"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Construction</w:t>
            </w:r>
          </w:p>
        </w:tc>
        <w:tc>
          <w:tcPr>
            <w:tcW w:w="2621" w:type="dxa"/>
            <w:tcBorders>
              <w:top w:val="nil"/>
              <w:bottom w:val="nil"/>
            </w:tcBorders>
            <w:shd w:val="clear" w:color="auto" w:fill="auto"/>
          </w:tcPr>
          <w:p w14:paraId="13E15587"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0.099</w:t>
            </w:r>
          </w:p>
        </w:tc>
        <w:tc>
          <w:tcPr>
            <w:tcW w:w="2622" w:type="dxa"/>
            <w:tcBorders>
              <w:top w:val="nil"/>
              <w:bottom w:val="nil"/>
            </w:tcBorders>
            <w:shd w:val="clear" w:color="auto" w:fill="auto"/>
          </w:tcPr>
          <w:p w14:paraId="469ADEE1"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0.086</w:t>
            </w:r>
          </w:p>
        </w:tc>
      </w:tr>
      <w:tr w:rsidR="008E7FC3" w:rsidRPr="00D126B3" w14:paraId="365D52F4" w14:textId="77777777" w:rsidTr="00177648">
        <w:tc>
          <w:tcPr>
            <w:tcW w:w="4395" w:type="dxa"/>
            <w:tcBorders>
              <w:top w:val="nil"/>
              <w:bottom w:val="nil"/>
            </w:tcBorders>
            <w:shd w:val="clear" w:color="auto" w:fill="auto"/>
          </w:tcPr>
          <w:p w14:paraId="4C3478E3"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Wholesale and retail trade</w:t>
            </w:r>
          </w:p>
        </w:tc>
        <w:tc>
          <w:tcPr>
            <w:tcW w:w="2621" w:type="dxa"/>
            <w:tcBorders>
              <w:top w:val="nil"/>
              <w:bottom w:val="nil"/>
            </w:tcBorders>
            <w:shd w:val="clear" w:color="auto" w:fill="auto"/>
          </w:tcPr>
          <w:p w14:paraId="140E6AC5"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0.181</w:t>
            </w:r>
          </w:p>
        </w:tc>
        <w:tc>
          <w:tcPr>
            <w:tcW w:w="2622" w:type="dxa"/>
            <w:tcBorders>
              <w:top w:val="nil"/>
              <w:bottom w:val="nil"/>
            </w:tcBorders>
            <w:shd w:val="clear" w:color="auto" w:fill="auto"/>
          </w:tcPr>
          <w:p w14:paraId="0822B3ED"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0.040</w:t>
            </w:r>
          </w:p>
        </w:tc>
      </w:tr>
      <w:tr w:rsidR="008E7FC3" w:rsidRPr="00D126B3" w14:paraId="75665E13" w14:textId="77777777" w:rsidTr="00177648">
        <w:tc>
          <w:tcPr>
            <w:tcW w:w="4395" w:type="dxa"/>
            <w:tcBorders>
              <w:top w:val="nil"/>
              <w:bottom w:val="nil"/>
            </w:tcBorders>
            <w:shd w:val="clear" w:color="auto" w:fill="auto"/>
          </w:tcPr>
          <w:p w14:paraId="35443BE6"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Transport, postal and warehousing</w:t>
            </w:r>
          </w:p>
        </w:tc>
        <w:tc>
          <w:tcPr>
            <w:tcW w:w="2621" w:type="dxa"/>
            <w:tcBorders>
              <w:top w:val="nil"/>
              <w:bottom w:val="nil"/>
            </w:tcBorders>
            <w:shd w:val="clear" w:color="auto" w:fill="auto"/>
          </w:tcPr>
          <w:p w14:paraId="15BAB78E"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0.172</w:t>
            </w:r>
          </w:p>
        </w:tc>
        <w:tc>
          <w:tcPr>
            <w:tcW w:w="2622" w:type="dxa"/>
            <w:tcBorders>
              <w:top w:val="nil"/>
              <w:bottom w:val="nil"/>
            </w:tcBorders>
            <w:shd w:val="clear" w:color="auto" w:fill="auto"/>
          </w:tcPr>
          <w:p w14:paraId="372083A0"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0.141</w:t>
            </w:r>
          </w:p>
        </w:tc>
      </w:tr>
      <w:tr w:rsidR="008E7FC3" w:rsidRPr="00D126B3" w14:paraId="18DA038A" w14:textId="77777777" w:rsidTr="00177648">
        <w:tc>
          <w:tcPr>
            <w:tcW w:w="4395" w:type="dxa"/>
            <w:tcBorders>
              <w:top w:val="nil"/>
              <w:bottom w:val="nil"/>
            </w:tcBorders>
            <w:shd w:val="clear" w:color="auto" w:fill="auto"/>
          </w:tcPr>
          <w:p w14:paraId="7333EDA5"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Information media and telecommunications</w:t>
            </w:r>
          </w:p>
        </w:tc>
        <w:tc>
          <w:tcPr>
            <w:tcW w:w="2621" w:type="dxa"/>
            <w:tcBorders>
              <w:top w:val="nil"/>
              <w:bottom w:val="nil"/>
            </w:tcBorders>
            <w:shd w:val="clear" w:color="auto" w:fill="auto"/>
          </w:tcPr>
          <w:p w14:paraId="2A30BEC4"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0.125</w:t>
            </w:r>
          </w:p>
        </w:tc>
        <w:tc>
          <w:tcPr>
            <w:tcW w:w="2622" w:type="dxa"/>
            <w:tcBorders>
              <w:top w:val="nil"/>
              <w:bottom w:val="nil"/>
            </w:tcBorders>
            <w:shd w:val="clear" w:color="auto" w:fill="auto"/>
          </w:tcPr>
          <w:p w14:paraId="2B13275E"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0.023</w:t>
            </w:r>
          </w:p>
        </w:tc>
      </w:tr>
      <w:tr w:rsidR="008E7FC3" w:rsidRPr="00D126B3" w14:paraId="26B8CFC1" w14:textId="77777777" w:rsidTr="00177648">
        <w:tc>
          <w:tcPr>
            <w:tcW w:w="4395" w:type="dxa"/>
            <w:tcBorders>
              <w:top w:val="nil"/>
              <w:bottom w:val="nil"/>
            </w:tcBorders>
            <w:shd w:val="clear" w:color="auto" w:fill="auto"/>
          </w:tcPr>
          <w:p w14:paraId="7EC6760F"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lastRenderedPageBreak/>
              <w:t>Financial and insurance services</w:t>
            </w:r>
          </w:p>
        </w:tc>
        <w:tc>
          <w:tcPr>
            <w:tcW w:w="2621" w:type="dxa"/>
            <w:tcBorders>
              <w:top w:val="nil"/>
              <w:bottom w:val="nil"/>
            </w:tcBorders>
            <w:shd w:val="clear" w:color="auto" w:fill="auto"/>
          </w:tcPr>
          <w:p w14:paraId="1EAC0EBE"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0.114</w:t>
            </w:r>
          </w:p>
        </w:tc>
        <w:tc>
          <w:tcPr>
            <w:tcW w:w="2622" w:type="dxa"/>
            <w:tcBorders>
              <w:top w:val="nil"/>
              <w:bottom w:val="nil"/>
            </w:tcBorders>
            <w:shd w:val="clear" w:color="auto" w:fill="auto"/>
          </w:tcPr>
          <w:p w14:paraId="49BE5B13"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0.327***</w:t>
            </w:r>
          </w:p>
        </w:tc>
      </w:tr>
      <w:tr w:rsidR="008E7FC3" w:rsidRPr="00D126B3" w14:paraId="515B3EE4" w14:textId="77777777" w:rsidTr="00177648">
        <w:tc>
          <w:tcPr>
            <w:tcW w:w="4395" w:type="dxa"/>
            <w:tcBorders>
              <w:top w:val="nil"/>
              <w:bottom w:val="nil"/>
            </w:tcBorders>
            <w:shd w:val="clear" w:color="auto" w:fill="auto"/>
          </w:tcPr>
          <w:p w14:paraId="1B06EF84"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 xml:space="preserve">Other </w:t>
            </w:r>
            <w:r>
              <w:rPr>
                <w:rFonts w:ascii="Arial (Body)" w:hAnsi="Arial (Body)"/>
                <w:b w:val="0"/>
                <w:color w:val="265A9A"/>
              </w:rPr>
              <w:t>i</w:t>
            </w:r>
            <w:r w:rsidRPr="00E5058E">
              <w:rPr>
                <w:rFonts w:ascii="Arial (Body)" w:hAnsi="Arial (Body)"/>
                <w:b w:val="0"/>
                <w:color w:val="265A9A"/>
              </w:rPr>
              <w:t>ndustr</w:t>
            </w:r>
            <w:r>
              <w:rPr>
                <w:rFonts w:ascii="Arial (Body)" w:hAnsi="Arial (Body)"/>
                <w:b w:val="0"/>
                <w:color w:val="265A9A"/>
              </w:rPr>
              <w:t>ies</w:t>
            </w:r>
          </w:p>
        </w:tc>
        <w:tc>
          <w:tcPr>
            <w:tcW w:w="2621" w:type="dxa"/>
            <w:tcBorders>
              <w:top w:val="nil"/>
              <w:bottom w:val="nil"/>
            </w:tcBorders>
            <w:shd w:val="clear" w:color="auto" w:fill="auto"/>
          </w:tcPr>
          <w:p w14:paraId="741F4A9B"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0.188</w:t>
            </w:r>
          </w:p>
        </w:tc>
        <w:tc>
          <w:tcPr>
            <w:tcW w:w="2622" w:type="dxa"/>
            <w:tcBorders>
              <w:top w:val="nil"/>
              <w:bottom w:val="nil"/>
            </w:tcBorders>
            <w:shd w:val="clear" w:color="auto" w:fill="auto"/>
          </w:tcPr>
          <w:p w14:paraId="6F7E0A3A"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0.129</w:t>
            </w:r>
          </w:p>
        </w:tc>
      </w:tr>
      <w:tr w:rsidR="008E7FC3" w:rsidRPr="00D126B3" w14:paraId="5E8BF0C1" w14:textId="77777777" w:rsidTr="00177648">
        <w:tc>
          <w:tcPr>
            <w:tcW w:w="4395" w:type="dxa"/>
            <w:tcBorders>
              <w:top w:val="nil"/>
              <w:bottom w:val="nil"/>
            </w:tcBorders>
            <w:shd w:val="clear" w:color="auto" w:fill="auto"/>
          </w:tcPr>
          <w:p w14:paraId="3488995B"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Constant</w:t>
            </w:r>
          </w:p>
        </w:tc>
        <w:tc>
          <w:tcPr>
            <w:tcW w:w="2621" w:type="dxa"/>
            <w:tcBorders>
              <w:top w:val="nil"/>
              <w:bottom w:val="nil"/>
            </w:tcBorders>
            <w:shd w:val="clear" w:color="auto" w:fill="auto"/>
          </w:tcPr>
          <w:p w14:paraId="776FFA71" w14:textId="77777777" w:rsidR="008E7FC3" w:rsidRPr="00D069EB" w:rsidRDefault="008E7FC3" w:rsidP="00177648">
            <w:pPr>
              <w:pStyle w:val="TableBody"/>
              <w:spacing w:before="45" w:after="45"/>
              <w:ind w:left="1701" w:right="108"/>
              <w:rPr>
                <w:rFonts w:ascii="Arial (Body)" w:hAnsi="Arial (Body)"/>
                <w:color w:val="000000"/>
              </w:rPr>
            </w:pPr>
            <w:r>
              <w:rPr>
                <w:rFonts w:ascii="Arial (Body)" w:hAnsi="Arial (Body)"/>
                <w:color w:val="000000"/>
              </w:rPr>
              <w:t xml:space="preserve"> </w:t>
            </w:r>
            <w:r w:rsidRPr="00D069EB">
              <w:rPr>
                <w:rFonts w:ascii="Arial (Body)" w:hAnsi="Arial (Body)"/>
                <w:color w:val="000000"/>
              </w:rPr>
              <w:t>2.392***</w:t>
            </w:r>
          </w:p>
        </w:tc>
        <w:tc>
          <w:tcPr>
            <w:tcW w:w="2622" w:type="dxa"/>
            <w:tcBorders>
              <w:top w:val="nil"/>
              <w:bottom w:val="nil"/>
            </w:tcBorders>
            <w:shd w:val="clear" w:color="auto" w:fill="auto"/>
          </w:tcPr>
          <w:p w14:paraId="1DE7BEB5" w14:textId="77777777" w:rsidR="008E7FC3" w:rsidRPr="00B61190" w:rsidRDefault="008E7FC3" w:rsidP="00177648">
            <w:pPr>
              <w:pStyle w:val="TableBody"/>
              <w:spacing w:before="45" w:after="45"/>
              <w:ind w:left="1701" w:right="108"/>
              <w:rPr>
                <w:rFonts w:ascii="Arial (Body)" w:hAnsi="Arial (Body)"/>
                <w:color w:val="000000"/>
              </w:rPr>
            </w:pPr>
            <w:r>
              <w:rPr>
                <w:rFonts w:ascii="Arial (Body)" w:hAnsi="Arial (Body)"/>
                <w:color w:val="000000"/>
              </w:rPr>
              <w:t xml:space="preserve"> </w:t>
            </w:r>
            <w:r w:rsidRPr="00B61190">
              <w:rPr>
                <w:rFonts w:ascii="Arial (Body)" w:hAnsi="Arial (Body)"/>
                <w:color w:val="000000"/>
              </w:rPr>
              <w:t>2.269***</w:t>
            </w:r>
          </w:p>
        </w:tc>
      </w:tr>
      <w:tr w:rsidR="008E7FC3" w:rsidRPr="00D126B3" w14:paraId="030F8EBC" w14:textId="77777777" w:rsidTr="00177648">
        <w:tc>
          <w:tcPr>
            <w:tcW w:w="4395" w:type="dxa"/>
            <w:tcBorders>
              <w:top w:val="nil"/>
              <w:bottom w:val="nil"/>
            </w:tcBorders>
            <w:shd w:val="clear" w:color="auto" w:fill="auto"/>
          </w:tcPr>
          <w:p w14:paraId="39A0157F"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Sigma</w:t>
            </w:r>
          </w:p>
        </w:tc>
        <w:tc>
          <w:tcPr>
            <w:tcW w:w="2621" w:type="dxa"/>
            <w:tcBorders>
              <w:top w:val="nil"/>
              <w:bottom w:val="nil"/>
            </w:tcBorders>
            <w:shd w:val="clear" w:color="auto" w:fill="auto"/>
          </w:tcPr>
          <w:p w14:paraId="4D658CDE"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0.361***</w:t>
            </w:r>
          </w:p>
        </w:tc>
        <w:tc>
          <w:tcPr>
            <w:tcW w:w="2622" w:type="dxa"/>
            <w:tcBorders>
              <w:top w:val="nil"/>
              <w:bottom w:val="nil"/>
            </w:tcBorders>
            <w:shd w:val="clear" w:color="auto" w:fill="auto"/>
          </w:tcPr>
          <w:p w14:paraId="4BD9F16C"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0.392***</w:t>
            </w:r>
          </w:p>
        </w:tc>
      </w:tr>
      <w:tr w:rsidR="008E7FC3" w:rsidRPr="00D126B3" w14:paraId="732F2355" w14:textId="77777777" w:rsidTr="00177648">
        <w:tc>
          <w:tcPr>
            <w:tcW w:w="4395" w:type="dxa"/>
            <w:tcBorders>
              <w:top w:val="nil"/>
              <w:bottom w:val="nil"/>
            </w:tcBorders>
            <w:shd w:val="clear" w:color="auto" w:fill="auto"/>
          </w:tcPr>
          <w:p w14:paraId="06E37540"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265A9A"/>
              </w:rPr>
              <w:t>Rho</w:t>
            </w:r>
          </w:p>
        </w:tc>
        <w:tc>
          <w:tcPr>
            <w:tcW w:w="2621" w:type="dxa"/>
            <w:tcBorders>
              <w:top w:val="nil"/>
              <w:bottom w:val="nil"/>
            </w:tcBorders>
            <w:shd w:val="clear" w:color="auto" w:fill="auto"/>
          </w:tcPr>
          <w:p w14:paraId="5F15DF82" w14:textId="77777777" w:rsidR="008E7FC3" w:rsidRPr="00D069EB" w:rsidRDefault="008E7FC3" w:rsidP="00177648">
            <w:pPr>
              <w:pStyle w:val="TableBody"/>
              <w:spacing w:before="45" w:after="45"/>
              <w:ind w:left="1701" w:right="108"/>
              <w:rPr>
                <w:rFonts w:ascii="Arial (Body)" w:hAnsi="Arial (Body)"/>
                <w:color w:val="000000"/>
              </w:rPr>
            </w:pPr>
            <w:r>
              <w:t xml:space="preserve"> </w:t>
            </w:r>
            <w:r w:rsidRPr="00D069EB">
              <w:t>0.467***</w:t>
            </w:r>
          </w:p>
        </w:tc>
        <w:tc>
          <w:tcPr>
            <w:tcW w:w="2622" w:type="dxa"/>
            <w:tcBorders>
              <w:top w:val="nil"/>
              <w:bottom w:val="nil"/>
            </w:tcBorders>
            <w:shd w:val="clear" w:color="auto" w:fill="auto"/>
          </w:tcPr>
          <w:p w14:paraId="652C6517" w14:textId="77777777" w:rsidR="008E7FC3" w:rsidRPr="00B61190" w:rsidRDefault="008E7FC3" w:rsidP="00177648">
            <w:pPr>
              <w:pStyle w:val="TableBody"/>
              <w:spacing w:before="45" w:after="45"/>
              <w:ind w:left="1701" w:right="108"/>
              <w:rPr>
                <w:rFonts w:ascii="Arial (Body)" w:hAnsi="Arial (Body)"/>
                <w:color w:val="000000"/>
              </w:rPr>
            </w:pPr>
            <w:r>
              <w:t xml:space="preserve"> </w:t>
            </w:r>
            <w:r w:rsidRPr="00B61190">
              <w:t>0.232**</w:t>
            </w:r>
          </w:p>
        </w:tc>
      </w:tr>
      <w:tr w:rsidR="008E7FC3" w:rsidRPr="00D126B3" w14:paraId="1CE5A31A" w14:textId="77777777" w:rsidTr="00177648">
        <w:tc>
          <w:tcPr>
            <w:tcW w:w="4395" w:type="dxa"/>
            <w:tcBorders>
              <w:top w:val="nil"/>
              <w:bottom w:val="nil"/>
            </w:tcBorders>
            <w:shd w:val="clear" w:color="auto" w:fill="F2F2F2" w:themeFill="background1" w:themeFillShade="F2"/>
          </w:tcPr>
          <w:p w14:paraId="726B5702" w14:textId="77777777" w:rsidR="008E7FC3" w:rsidRPr="005D3AF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auto"/>
              </w:rPr>
              <w:t>Log likelihood</w:t>
            </w:r>
          </w:p>
        </w:tc>
        <w:tc>
          <w:tcPr>
            <w:tcW w:w="2621" w:type="dxa"/>
            <w:tcBorders>
              <w:top w:val="nil"/>
              <w:bottom w:val="nil"/>
            </w:tcBorders>
            <w:shd w:val="clear" w:color="auto" w:fill="F2F2F2" w:themeFill="background1" w:themeFillShade="F2"/>
          </w:tcPr>
          <w:p w14:paraId="1AF5CD8F" w14:textId="77777777" w:rsidR="008E7FC3" w:rsidRPr="00D069EB" w:rsidRDefault="008E7FC3" w:rsidP="00177648">
            <w:pPr>
              <w:pStyle w:val="TableBody"/>
              <w:spacing w:before="45" w:after="45"/>
              <w:ind w:left="1418" w:right="108"/>
              <w:rPr>
                <w:rFonts w:ascii="Arial (Body)" w:hAnsi="Arial (Body)"/>
                <w:color w:val="000000"/>
              </w:rPr>
            </w:pPr>
            <w:r w:rsidRPr="00D069EB">
              <w:rPr>
                <w:rFonts w:ascii="Arial (Body)" w:hAnsi="Arial (Body)"/>
                <w:color w:val="000000"/>
              </w:rPr>
              <w:t>-315.115</w:t>
            </w:r>
          </w:p>
        </w:tc>
        <w:tc>
          <w:tcPr>
            <w:tcW w:w="2622" w:type="dxa"/>
            <w:tcBorders>
              <w:top w:val="nil"/>
              <w:bottom w:val="nil"/>
            </w:tcBorders>
            <w:shd w:val="clear" w:color="auto" w:fill="F2F2F2" w:themeFill="background1" w:themeFillShade="F2"/>
          </w:tcPr>
          <w:p w14:paraId="62DB94BB" w14:textId="77777777" w:rsidR="008E7FC3" w:rsidRPr="00B61190" w:rsidRDefault="008E7FC3" w:rsidP="00177648">
            <w:pPr>
              <w:pStyle w:val="TableBody"/>
              <w:spacing w:before="45" w:after="45"/>
              <w:ind w:left="1418" w:right="108"/>
              <w:rPr>
                <w:rFonts w:ascii="Arial (Body)" w:hAnsi="Arial (Body)"/>
                <w:color w:val="000000"/>
              </w:rPr>
            </w:pPr>
            <w:r w:rsidRPr="00B61190">
              <w:rPr>
                <w:rFonts w:ascii="Arial (Body)" w:hAnsi="Arial (Body)"/>
                <w:color w:val="000000"/>
              </w:rPr>
              <w:t>-1</w:t>
            </w:r>
            <w:r>
              <w:rPr>
                <w:rFonts w:ascii="Arial (Body)" w:hAnsi="Arial (Body)"/>
                <w:color w:val="000000"/>
              </w:rPr>
              <w:t>,</w:t>
            </w:r>
            <w:r w:rsidRPr="00B61190">
              <w:rPr>
                <w:rFonts w:ascii="Arial (Body)" w:hAnsi="Arial (Body)"/>
                <w:color w:val="000000"/>
              </w:rPr>
              <w:t>685.94</w:t>
            </w:r>
            <w:r w:rsidRPr="00662D5C">
              <w:rPr>
                <w:rFonts w:ascii="Arial (Body)" w:hAnsi="Arial (Body)"/>
                <w:color w:val="000000"/>
              </w:rPr>
              <w:t>1</w:t>
            </w:r>
          </w:p>
        </w:tc>
      </w:tr>
      <w:tr w:rsidR="008E7FC3" w:rsidRPr="00D126B3" w14:paraId="4CCC1B06" w14:textId="77777777" w:rsidTr="00177648">
        <w:tc>
          <w:tcPr>
            <w:tcW w:w="4395" w:type="dxa"/>
            <w:tcBorders>
              <w:top w:val="nil"/>
              <w:bottom w:val="nil"/>
            </w:tcBorders>
            <w:shd w:val="clear" w:color="auto" w:fill="F2F2F2" w:themeFill="background1" w:themeFillShade="F2"/>
          </w:tcPr>
          <w:p w14:paraId="30AED5C4" w14:textId="77777777" w:rsidR="008E7FC3" w:rsidRPr="00662D5C"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auto"/>
              </w:rPr>
              <w:t>Number of observations</w:t>
            </w:r>
          </w:p>
        </w:tc>
        <w:tc>
          <w:tcPr>
            <w:tcW w:w="2621" w:type="dxa"/>
            <w:tcBorders>
              <w:top w:val="nil"/>
              <w:bottom w:val="nil"/>
            </w:tcBorders>
            <w:shd w:val="clear" w:color="auto" w:fill="F2F2F2" w:themeFill="background1" w:themeFillShade="F2"/>
          </w:tcPr>
          <w:p w14:paraId="3E4B9852" w14:textId="77777777" w:rsidR="008E7FC3" w:rsidRPr="00D069EB" w:rsidRDefault="008E7FC3" w:rsidP="00177648">
            <w:pPr>
              <w:pStyle w:val="TableBody"/>
              <w:spacing w:before="45" w:after="45"/>
              <w:ind w:left="1701" w:right="108"/>
              <w:rPr>
                <w:rFonts w:ascii="Arial (Body)" w:hAnsi="Arial (Body)"/>
                <w:color w:val="000000"/>
              </w:rPr>
            </w:pPr>
            <w:r w:rsidRPr="00D069EB">
              <w:rPr>
                <w:rFonts w:ascii="Arial (Body)" w:hAnsi="Arial (Body)"/>
                <w:color w:val="000000"/>
              </w:rPr>
              <w:t>431</w:t>
            </w:r>
          </w:p>
        </w:tc>
        <w:tc>
          <w:tcPr>
            <w:tcW w:w="2622" w:type="dxa"/>
            <w:tcBorders>
              <w:top w:val="nil"/>
              <w:bottom w:val="nil"/>
            </w:tcBorders>
            <w:shd w:val="clear" w:color="auto" w:fill="F2F2F2" w:themeFill="background1" w:themeFillShade="F2"/>
          </w:tcPr>
          <w:p w14:paraId="751F4CA4" w14:textId="77777777" w:rsidR="008E7FC3" w:rsidRPr="00B61190" w:rsidRDefault="008E7FC3" w:rsidP="00177648">
            <w:pPr>
              <w:pStyle w:val="TableBody"/>
              <w:spacing w:before="45" w:after="45"/>
              <w:ind w:left="1701" w:right="108"/>
              <w:rPr>
                <w:rFonts w:ascii="Arial (Body)" w:hAnsi="Arial (Body)"/>
                <w:color w:val="000000"/>
              </w:rPr>
            </w:pPr>
            <w:r w:rsidRPr="00B61190">
              <w:rPr>
                <w:rFonts w:ascii="Arial (Body)" w:hAnsi="Arial (Body)"/>
                <w:color w:val="000000"/>
              </w:rPr>
              <w:t>1,942</w:t>
            </w:r>
          </w:p>
        </w:tc>
      </w:tr>
      <w:tr w:rsidR="008E7FC3" w:rsidRPr="00D126B3" w14:paraId="71D0602C" w14:textId="77777777" w:rsidTr="00177648">
        <w:tc>
          <w:tcPr>
            <w:tcW w:w="4395" w:type="dxa"/>
            <w:tcBorders>
              <w:bottom w:val="single" w:sz="4" w:space="0" w:color="B3B3B3"/>
            </w:tcBorders>
            <w:shd w:val="clear" w:color="auto" w:fill="F2F2F2" w:themeFill="background1" w:themeFillShade="F2"/>
          </w:tcPr>
          <w:p w14:paraId="4D35A14D" w14:textId="77777777" w:rsidR="008E7FC3" w:rsidRPr="00E5058E" w:rsidRDefault="008E7FC3" w:rsidP="00177648">
            <w:pPr>
              <w:pStyle w:val="TableHeading"/>
              <w:spacing w:before="45" w:after="45"/>
              <w:ind w:right="108"/>
              <w:rPr>
                <w:rFonts w:ascii="Arial (Body)" w:hAnsi="Arial (Body)"/>
                <w:b w:val="0"/>
                <w:color w:val="265A9A"/>
              </w:rPr>
            </w:pPr>
            <w:r w:rsidRPr="00E5058E">
              <w:rPr>
                <w:rFonts w:ascii="Arial (Body)" w:hAnsi="Arial (Body)"/>
                <w:b w:val="0"/>
                <w:color w:val="auto"/>
              </w:rPr>
              <w:t>* p&lt;0.1 / ** p&lt;0.05 / *** p&lt;0.01</w:t>
            </w:r>
          </w:p>
        </w:tc>
        <w:tc>
          <w:tcPr>
            <w:tcW w:w="2621" w:type="dxa"/>
            <w:tcBorders>
              <w:bottom w:val="single" w:sz="4" w:space="0" w:color="B3B3B3"/>
            </w:tcBorders>
            <w:shd w:val="clear" w:color="auto" w:fill="F2F2F2" w:themeFill="background1" w:themeFillShade="F2"/>
          </w:tcPr>
          <w:p w14:paraId="1D79E4EF" w14:textId="77777777" w:rsidR="008E7FC3" w:rsidRPr="00D126B3" w:rsidRDefault="008E7FC3" w:rsidP="00177648">
            <w:pPr>
              <w:pStyle w:val="TableBody"/>
              <w:spacing w:before="45" w:after="45"/>
              <w:ind w:right="108"/>
              <w:jc w:val="right"/>
              <w:rPr>
                <w:rFonts w:ascii="Arial (Body)" w:hAnsi="Arial (Body)"/>
                <w:color w:val="000000"/>
              </w:rPr>
            </w:pPr>
          </w:p>
        </w:tc>
        <w:tc>
          <w:tcPr>
            <w:tcW w:w="2622" w:type="dxa"/>
            <w:tcBorders>
              <w:bottom w:val="single" w:sz="4" w:space="0" w:color="B3B3B3"/>
            </w:tcBorders>
            <w:shd w:val="clear" w:color="auto" w:fill="F2F2F2" w:themeFill="background1" w:themeFillShade="F2"/>
          </w:tcPr>
          <w:p w14:paraId="6850761F" w14:textId="77777777" w:rsidR="008E7FC3" w:rsidRPr="00D126B3" w:rsidRDefault="008E7FC3" w:rsidP="00177648">
            <w:pPr>
              <w:pStyle w:val="TableBody"/>
              <w:spacing w:before="45" w:after="45"/>
              <w:ind w:right="108"/>
              <w:jc w:val="right"/>
              <w:rPr>
                <w:rFonts w:ascii="Arial (Body)" w:hAnsi="Arial (Body)"/>
                <w:color w:val="000000"/>
              </w:rPr>
            </w:pPr>
          </w:p>
        </w:tc>
      </w:tr>
    </w:tbl>
    <w:p w14:paraId="62065AD0" w14:textId="77777777" w:rsidR="008E7FC3" w:rsidRDefault="008E7FC3" w:rsidP="008E7FC3">
      <w:pPr>
        <w:pStyle w:val="Note"/>
      </w:pPr>
      <w:r w:rsidRPr="00C36914">
        <w:rPr>
          <w:b/>
          <w:bCs/>
        </w:rPr>
        <w:t>a.</w:t>
      </w:r>
      <w:r w:rsidRPr="00C36914">
        <w:t xml:space="preserve"> </w:t>
      </w:r>
      <w:r w:rsidRPr="00535EDF">
        <w:t xml:space="preserve">Variables in grey are omitted dummy variables – see the note on </w:t>
      </w:r>
      <w:r>
        <w:t xml:space="preserve">table G.1 </w:t>
      </w:r>
      <w:r w:rsidRPr="00535EDF">
        <w:t>above for more detail on the reason for their exclusion and how to interpret the remaining variables</w:t>
      </w:r>
      <w:r w:rsidRPr="00C36914">
        <w:t>.</w:t>
      </w:r>
    </w:p>
    <w:p w14:paraId="28D6CDE2" w14:textId="77777777" w:rsidR="008E7FC3" w:rsidRPr="00A17C62" w:rsidRDefault="008E7FC3" w:rsidP="008E7FC3">
      <w:pPr>
        <w:pStyle w:val="Source"/>
      </w:pPr>
      <w:r w:rsidRPr="00696447">
        <w:t xml:space="preserve">Source: </w:t>
      </w:r>
      <w:r>
        <w:t>Productivity Commission estimates based on ABS 2019</w:t>
      </w:r>
      <w:r>
        <w:noBreakHyphen/>
        <w:t>20 SIH MURF</w:t>
      </w:r>
      <w:r w:rsidRPr="00696447">
        <w:t>.</w:t>
      </w:r>
    </w:p>
    <w:p w14:paraId="53A5154B" w14:textId="77777777" w:rsidR="008E7FC3" w:rsidRDefault="008E7FC3" w:rsidP="008E7FC3">
      <w:pPr>
        <w:pStyle w:val="Heading2-Appendix"/>
      </w:pPr>
      <w:bookmarkStart w:id="48" w:name="_Toc172213599"/>
      <w:r>
        <w:t>Labour supply and formal care modelling approach</w:t>
      </w:r>
      <w:bookmarkEnd w:id="48"/>
    </w:p>
    <w:p w14:paraId="7F2EAEF1" w14:textId="77777777" w:rsidR="008E7FC3" w:rsidRDefault="008E7FC3" w:rsidP="008E7FC3">
      <w:pPr>
        <w:pStyle w:val="BodyText"/>
      </w:pPr>
      <w:r>
        <w:t xml:space="preserve">Behavioural microsimulation modelling requires a method to determine how individuals change their behaviour in response to policy changes. For this model, the behavioural decision families make </w:t>
      </w:r>
      <w:r w:rsidRPr="0004481A">
        <w:t>involve</w:t>
      </w:r>
      <w:r>
        <w:t xml:space="preserve"> the labour supply of the primary carer and the demand for ECEC</w:t>
      </w:r>
      <w:r w:rsidRPr="0004481A">
        <w:t>, influenced by</w:t>
      </w:r>
      <w:r>
        <w:t xml:space="preserve"> changes in their net income due to policies </w:t>
      </w:r>
      <w:r w:rsidRPr="0004481A">
        <w:t>affecting</w:t>
      </w:r>
      <w:r>
        <w:t xml:space="preserve"> their out</w:t>
      </w:r>
      <w:r>
        <w:noBreakHyphen/>
        <w:t>of</w:t>
      </w:r>
      <w:r>
        <w:noBreakHyphen/>
        <w:t xml:space="preserve">pocket ECEC expenses. Similar to Gong and Breunig </w:t>
      </w:r>
      <w:r w:rsidRPr="00147E0A">
        <w:rPr>
          <w:rFonts w:ascii="Arial" w:hAnsi="Arial" w:cs="Arial"/>
        </w:rPr>
        <w:t>(2012, 2017)</w:t>
      </w:r>
      <w:r>
        <w:t xml:space="preserve"> and the Commission’s 2014 ECEC inquiry </w:t>
      </w:r>
      <w:r w:rsidRPr="00610BC4">
        <w:rPr>
          <w:rFonts w:ascii="Arial" w:hAnsi="Arial" w:cs="Arial"/>
        </w:rPr>
        <w:t>(PC 2014a)</w:t>
      </w:r>
      <w:r>
        <w:t>, which also used behavioural microsimulation models of ECEC, a utility</w:t>
      </w:r>
      <w:r w:rsidRPr="006D33FB">
        <w:rPr>
          <w:rStyle w:val="FootnoteReference"/>
        </w:rPr>
        <w:footnoteReference w:id="63"/>
      </w:r>
      <w:r>
        <w:t xml:space="preserve"> maximisation approach is taken for the behavioural decision for families. Families are assumed to choose from a discrete set of primary carer’s hours worked and hours of formal care choices (as discussed above) and the combination with the highest utility is chosen by the family in the model. For partnered parent families, it is assumed that the primary earner’s labour supply is fixed. Utility equations (or preference equations) have been separately estimated for sole parents and partnered primary carer parents.</w:t>
      </w:r>
    </w:p>
    <w:p w14:paraId="3CFA4571" w14:textId="77777777" w:rsidR="008E7FC3" w:rsidRDefault="008E7FC3" w:rsidP="008E7FC3">
      <w:pPr>
        <w:pStyle w:val="BodyText"/>
      </w:pPr>
      <w:r>
        <w:t>The utility equation specification drew on the Commission’s 2014 ECEC inquiry model as a starting point. In the utility equation specification, households derive utility (or disutility) from:</w:t>
      </w:r>
    </w:p>
    <w:p w14:paraId="6846DD7C" w14:textId="77777777" w:rsidR="008E7FC3" w:rsidRPr="000A3D6C" w:rsidRDefault="008E7FC3" w:rsidP="008E7FC3">
      <w:pPr>
        <w:pStyle w:val="ListBullet"/>
        <w:numPr>
          <w:ilvl w:val="0"/>
          <w:numId w:val="15"/>
        </w:numPr>
        <w:spacing w:line="259" w:lineRule="auto"/>
      </w:pPr>
      <w:r>
        <w:t>net family</w:t>
      </w:r>
      <w:r w:rsidRPr="000A3D6C">
        <w:t xml:space="preserve"> income </w:t>
      </w:r>
      <w:r>
        <w:t xml:space="preserve">(that is, </w:t>
      </w:r>
      <w:r w:rsidRPr="000A3D6C">
        <w:t>net of taxes and transfers less out</w:t>
      </w:r>
      <w:r w:rsidRPr="000A3D6C">
        <w:noBreakHyphen/>
        <w:t>of</w:t>
      </w:r>
      <w:r w:rsidRPr="000A3D6C">
        <w:noBreakHyphen/>
        <w:t xml:space="preserve">pocket </w:t>
      </w:r>
      <w:r>
        <w:t>ECEC</w:t>
      </w:r>
      <w:r w:rsidRPr="000A3D6C">
        <w:t xml:space="preserve"> costs</w:t>
      </w:r>
      <w:r>
        <w:t xml:space="preserve"> for all children in the household)</w:t>
      </w:r>
    </w:p>
    <w:p w14:paraId="01ABCB4C" w14:textId="77777777" w:rsidR="008E7FC3" w:rsidRDefault="008E7FC3" w:rsidP="008E7FC3">
      <w:pPr>
        <w:pStyle w:val="ListBullet"/>
        <w:numPr>
          <w:ilvl w:val="0"/>
          <w:numId w:val="15"/>
        </w:numPr>
        <w:spacing w:line="259" w:lineRule="auto"/>
      </w:pPr>
      <w:r>
        <w:t>t</w:t>
      </w:r>
      <w:r w:rsidRPr="000A3D6C">
        <w:t xml:space="preserve">he labour supply of the </w:t>
      </w:r>
      <w:r>
        <w:t>primary carer</w:t>
      </w:r>
    </w:p>
    <w:p w14:paraId="36A2CFA4" w14:textId="77777777" w:rsidR="008E7FC3" w:rsidRPr="000A3D6C" w:rsidRDefault="008E7FC3" w:rsidP="008E7FC3">
      <w:pPr>
        <w:pStyle w:val="ListBullet"/>
        <w:numPr>
          <w:ilvl w:val="0"/>
          <w:numId w:val="15"/>
        </w:numPr>
        <w:spacing w:line="259" w:lineRule="auto"/>
      </w:pPr>
      <w:r>
        <w:t>the number of hours of f</w:t>
      </w:r>
      <w:r w:rsidRPr="000A3D6C">
        <w:t>ormal care</w:t>
      </w:r>
      <w:r>
        <w:t xml:space="preserve"> of the youngest child.</w:t>
      </w:r>
    </w:p>
    <w:p w14:paraId="1F04A6CA" w14:textId="77777777" w:rsidR="008E7FC3" w:rsidRDefault="008E7FC3" w:rsidP="008E7FC3">
      <w:pPr>
        <w:pStyle w:val="BodyText"/>
      </w:pPr>
      <w:r>
        <w:t xml:space="preserve">Unlike the Commission’s 2014 inquiry, informal care and care by the primary carer are not explicitly included in the utility equation whereas formal care is. The reasoning behind this was that primary carer care, informal care and formal care are strongly related (as explained below) and including terms which are highly correlated would result in multicollinearity, potentially reducing the ability of coefficients to be interpreted and also overfitting. Similar to the 2014 ECEC inquiry approach, the model uses a quadratic utility function which includes linear, squared terms and interaction terms. Heterogeneity of preferences is included in the model by making linear terms dependent on household and individual level characteristics (such as age of the </w:t>
      </w:r>
      <w:r>
        <w:lastRenderedPageBreak/>
        <w:t>youngest child, the number of children and educational attainment of the primary carer). These heterogeneity terms appear as ‘interaction terms’ in the utility function below.</w:t>
      </w:r>
    </w:p>
    <w:p w14:paraId="107F668E" w14:textId="77777777" w:rsidR="008E7FC3" w:rsidRDefault="008E7FC3" w:rsidP="008E7FC3">
      <w:pPr>
        <w:pStyle w:val="BodyText"/>
      </w:pPr>
      <w:r>
        <w:t>Fixed cost of working parameters are also included to prevent the model from over</w:t>
      </w:r>
      <w:r>
        <w:noBreakHyphen/>
        <w:t>predicting participation in</w:t>
      </w:r>
      <w:r w:rsidRPr="007518B1">
        <w:t xml:space="preserve"> part</w:t>
      </w:r>
      <w:r w:rsidRPr="007518B1">
        <w:noBreakHyphen/>
        <w:t>time work hours</w:t>
      </w:r>
      <w:r>
        <w:t>. In preference equations, the fixed cost refers to the disutility of working and to both financial and non</w:t>
      </w:r>
      <w:r>
        <w:noBreakHyphen/>
        <w:t>financial costs. Fixed cost of working parameters could be thought of as taking into account the costs, financial and non</w:t>
      </w:r>
      <w:r>
        <w:noBreakHyphen/>
        <w:t>financial, associated with finding and maintaining a job. An additional fixed cost of working parameter is included when working hours are greater than 40 in a week. This aims to capture the additional costs to families when a parent or guardian works more than 40 hours. These costs include less time for other activities like socialising and resting, as well as the potential for increased stress from the additional work.</w:t>
      </w:r>
    </w:p>
    <w:p w14:paraId="028E20E5" w14:textId="77777777" w:rsidR="008E7FC3" w:rsidRDefault="008E7FC3" w:rsidP="008E7FC3">
      <w:pPr>
        <w:pStyle w:val="BodyText"/>
      </w:pPr>
      <w:r>
        <w:t>V</w:t>
      </w:r>
      <w:r w:rsidRPr="00A3504C">
        <w:t xml:space="preserve">ariables included </w:t>
      </w:r>
      <w:r>
        <w:t>in the utility</w:t>
      </w:r>
      <w:r w:rsidDel="00D50AE9">
        <w:t xml:space="preserve"> </w:t>
      </w:r>
      <w:r>
        <w:t xml:space="preserve">function </w:t>
      </w:r>
      <w:r w:rsidRPr="00A3504C">
        <w:t xml:space="preserve">were </w:t>
      </w:r>
      <w:r>
        <w:t>net</w:t>
      </w:r>
      <w:r w:rsidRPr="00A3504C">
        <w:t xml:space="preserve"> income, hours worked by the primary carer and hours of formal care</w:t>
      </w:r>
      <w:r>
        <w:t>. T</w:t>
      </w:r>
      <w:r w:rsidRPr="00A3504C">
        <w:t>he</w:t>
      </w:r>
      <w:r>
        <w:t>se variables were</w:t>
      </w:r>
      <w:r w:rsidRPr="00A3504C">
        <w:t xml:space="preserve"> interact</w:t>
      </w:r>
      <w:r>
        <w:t>ed</w:t>
      </w:r>
      <w:r w:rsidRPr="00A3504C">
        <w:t xml:space="preserve"> with a combination of </w:t>
      </w:r>
      <w:r>
        <w:t>family</w:t>
      </w:r>
      <w:r>
        <w:noBreakHyphen/>
      </w:r>
      <w:r w:rsidRPr="00A3504C">
        <w:t>level and person</w:t>
      </w:r>
      <w:r>
        <w:noBreakHyphen/>
      </w:r>
      <w:r w:rsidRPr="00A3504C">
        <w:t>level characteristics</w:t>
      </w:r>
      <w:r>
        <w:t>,</w:t>
      </w:r>
      <w:r w:rsidRPr="00A3504C">
        <w:t xml:space="preserve"> such as age and age squared of the primary carer, dumm</w:t>
      </w:r>
      <w:r>
        <w:t>y variabl</w:t>
      </w:r>
      <w:r w:rsidRPr="00A3504C">
        <w:t>es for the age of the youngest child in the income unit, number of children in the income unit, and education dumm</w:t>
      </w:r>
      <w:r>
        <w:t>y variables</w:t>
      </w:r>
      <w:r w:rsidRPr="00A3504C">
        <w:t xml:space="preserve"> for the primary carer. Interaction terms that had very little impact on the </w:t>
      </w:r>
      <w:r>
        <w:t xml:space="preserve">overall fit of the model (as determined by the </w:t>
      </w:r>
      <w:r w:rsidRPr="00A3504C">
        <w:t>log likelihood</w:t>
      </w:r>
      <w:r>
        <w:t xml:space="preserve">) </w:t>
      </w:r>
      <w:r w:rsidRPr="00A3504C">
        <w:t>were removed</w:t>
      </w:r>
      <w:r>
        <w:t xml:space="preserve"> from the final specification</w:t>
      </w:r>
      <w:r w:rsidRPr="00A3504C">
        <w:t>.</w:t>
      </w:r>
      <w:r>
        <w:t xml:space="preserve"> A multinomial logistic regression was used to estimate the utility equation.</w:t>
      </w:r>
    </w:p>
    <w:p w14:paraId="2190935C" w14:textId="77777777" w:rsidR="008E7FC3" w:rsidRDefault="008E7FC3" w:rsidP="008E7FC3">
      <w:pPr>
        <w:pStyle w:val="BodyText"/>
      </w:pPr>
      <w:r>
        <w:t>The deterministic component of the utility function can be represented as:</w:t>
      </w:r>
    </w:p>
    <w:p w14:paraId="427203AB" w14:textId="77777777" w:rsidR="008E7FC3" w:rsidRPr="00416123" w:rsidRDefault="008E7FC3" w:rsidP="008E7FC3">
      <w:pPr>
        <w:pStyle w:val="BodyText"/>
        <w:rPr>
          <w:rFonts w:eastAsiaTheme="minorEastAsia"/>
        </w:rPr>
      </w:pPr>
      <m:oMathPara>
        <m:oMath>
          <m:r>
            <w:rPr>
              <w:rFonts w:ascii="Cambria Math" w:hAnsi="Cambria Math"/>
            </w:rPr>
            <m:t>u=</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w</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c</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 xml:space="preserve"> γ+</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γ</m:t>
              </m:r>
            </m:e>
            <m:sub>
              <m:r>
                <w:rPr>
                  <w:rFonts w:ascii="Cambria Math" w:hAnsi="Cambria Math"/>
                </w:rPr>
                <m:t xml:space="preserve">40 </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γ</m:t>
              </m:r>
            </m:e>
            <m:sub>
              <m:r>
                <w:rPr>
                  <w:rFonts w:ascii="Cambria Math" w:hAnsi="Cambria Math"/>
                </w:rPr>
                <m:t xml:space="preserve">hi </m:t>
              </m:r>
            </m:sub>
          </m:sSub>
          <m:r>
            <w:rPr>
              <w:rFonts w:ascii="Cambria Math" w:hAnsi="Cambria Math"/>
            </w:rPr>
            <m:t>+interaction terms</m:t>
          </m:r>
        </m:oMath>
      </m:oMathPara>
    </w:p>
    <w:p w14:paraId="2B03A066" w14:textId="77777777" w:rsidR="008E7FC3" w:rsidRPr="003407FA" w:rsidRDefault="008E7FC3" w:rsidP="008E7FC3">
      <w:pPr>
        <w:pStyle w:val="BodyText"/>
      </w:pPr>
      <w:r w:rsidRPr="003407FA">
        <w:t>where</w:t>
      </w:r>
    </w:p>
    <w:p w14:paraId="452D2466" w14:textId="77777777" w:rsidR="008E7FC3" w:rsidRPr="003407FA" w:rsidRDefault="008E7FC3" w:rsidP="008E7FC3">
      <w:pPr>
        <w:pStyle w:val="ListBullet"/>
        <w:numPr>
          <w:ilvl w:val="0"/>
          <w:numId w:val="15"/>
        </w:numPr>
        <w:spacing w:line="259" w:lineRule="auto"/>
      </w:pPr>
      <m:oMath>
        <m:r>
          <w:rPr>
            <w:rFonts w:ascii="Cambria Math" w:hAnsi="Cambria Math"/>
          </w:rPr>
          <m:t xml:space="preserve">u </m:t>
        </m:r>
      </m:oMath>
      <w:r w:rsidRPr="003407FA">
        <w:t>is utility</w:t>
      </w:r>
    </w:p>
    <w:p w14:paraId="6FDA317F" w14:textId="77777777" w:rsidR="008E7FC3" w:rsidRPr="009776CB" w:rsidRDefault="008E7FC3" w:rsidP="008E7FC3">
      <w:pPr>
        <w:pStyle w:val="ListBullet"/>
        <w:numPr>
          <w:ilvl w:val="0"/>
          <w:numId w:val="15"/>
        </w:numPr>
        <w:spacing w:line="259" w:lineRule="auto"/>
      </w:pPr>
      <w:r w:rsidRPr="003407FA">
        <w:t xml:space="preserve">the </w:t>
      </w:r>
      <m:oMath>
        <m:r>
          <w:rPr>
            <w:rFonts w:ascii="Cambria Math" w:hAnsi="Cambria Math"/>
          </w:rPr>
          <m:t>β</m:t>
        </m:r>
      </m:oMath>
      <w:r w:rsidRPr="003407FA">
        <w:rPr>
          <w:rFonts w:eastAsiaTheme="minorEastAsia"/>
        </w:rPr>
        <w:t xml:space="preserve">’s are the </w:t>
      </w:r>
      <w:r>
        <w:rPr>
          <w:rFonts w:eastAsiaTheme="minorEastAsia"/>
        </w:rPr>
        <w:t>utility</w:t>
      </w:r>
      <w:r w:rsidRPr="003407FA">
        <w:rPr>
          <w:rFonts w:eastAsiaTheme="minorEastAsia"/>
        </w:rPr>
        <w:t xml:space="preserve"> coefficients</w:t>
      </w:r>
    </w:p>
    <w:p w14:paraId="20A9CA2D" w14:textId="77777777" w:rsidR="008E7FC3" w:rsidRPr="000A3D6C" w:rsidRDefault="008E7FC3" w:rsidP="008E7FC3">
      <w:pPr>
        <w:pStyle w:val="ListBullet"/>
        <w:numPr>
          <w:ilvl w:val="0"/>
          <w:numId w:val="15"/>
        </w:numPr>
        <w:spacing w:line="259" w:lineRule="auto"/>
      </w:pPr>
      <m:oMath>
        <m:r>
          <w:rPr>
            <w:rFonts w:ascii="Cambria Math" w:hAnsi="Cambria Math"/>
          </w:rPr>
          <m:t>y</m:t>
        </m:r>
      </m:oMath>
      <w:r>
        <w:rPr>
          <w:rFonts w:eastAsiaTheme="minorEastAsia"/>
        </w:rPr>
        <w:t xml:space="preserve"> is </w:t>
      </w:r>
      <w:r>
        <w:t>family</w:t>
      </w:r>
      <w:r w:rsidRPr="000A3D6C">
        <w:t xml:space="preserve"> income net of taxes and transfers less out</w:t>
      </w:r>
      <w:r w:rsidRPr="000A3D6C">
        <w:noBreakHyphen/>
        <w:t>of</w:t>
      </w:r>
      <w:r w:rsidRPr="000A3D6C">
        <w:noBreakHyphen/>
        <w:t>pocket childcare costs</w:t>
      </w:r>
      <w:r>
        <w:t xml:space="preserve"> for all children in the household</w:t>
      </w:r>
    </w:p>
    <w:p w14:paraId="2CBDEFB3" w14:textId="77777777" w:rsidR="008E7FC3" w:rsidRPr="003407FA" w:rsidRDefault="00000000" w:rsidP="008E7FC3">
      <w:pPr>
        <w:pStyle w:val="ListBullet"/>
        <w:numPr>
          <w:ilvl w:val="0"/>
          <w:numId w:val="15"/>
        </w:numPr>
        <w:spacing w:line="259" w:lineRule="auto"/>
      </w:pP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008E7FC3" w:rsidRPr="003407FA">
        <w:rPr>
          <w:rFonts w:eastAsiaTheme="minorEastAsia"/>
        </w:rPr>
        <w:t xml:space="preserve"> is the labour supply choice of the primary carer (as in the hours worked)</w:t>
      </w:r>
    </w:p>
    <w:p w14:paraId="0DA16738" w14:textId="77777777" w:rsidR="008E7FC3" w:rsidRPr="008D55BA" w:rsidRDefault="00000000" w:rsidP="008E7FC3">
      <w:pPr>
        <w:pStyle w:val="ListBullet"/>
        <w:numPr>
          <w:ilvl w:val="0"/>
          <w:numId w:val="15"/>
        </w:numPr>
        <w:spacing w:line="259" w:lineRule="auto"/>
      </w:pPr>
      <m:oMath>
        <m:sSub>
          <m:sSubPr>
            <m:ctrlPr>
              <w:rPr>
                <w:rFonts w:ascii="Cambria Math" w:hAnsi="Cambria Math"/>
                <w:i/>
              </w:rPr>
            </m:ctrlPr>
          </m:sSubPr>
          <m:e>
            <m:r>
              <w:rPr>
                <w:rFonts w:ascii="Cambria Math" w:hAnsi="Cambria Math"/>
              </w:rPr>
              <m:t>h</m:t>
            </m:r>
          </m:e>
          <m:sub>
            <m:r>
              <w:rPr>
                <w:rFonts w:ascii="Cambria Math" w:hAnsi="Cambria Math"/>
              </w:rPr>
              <m:t>c</m:t>
            </m:r>
          </m:sub>
        </m:sSub>
      </m:oMath>
      <w:r w:rsidR="008E7FC3" w:rsidRPr="003407FA">
        <w:rPr>
          <w:rFonts w:eastAsiaTheme="minorEastAsia"/>
        </w:rPr>
        <w:t xml:space="preserve"> is the number of hours the youngest child participates in formal care</w:t>
      </w:r>
    </w:p>
    <w:p w14:paraId="040183DF" w14:textId="77777777" w:rsidR="008E7FC3" w:rsidRPr="0037026B" w:rsidRDefault="008E7FC3" w:rsidP="008E7FC3">
      <w:pPr>
        <w:pStyle w:val="ListBullet"/>
        <w:numPr>
          <w:ilvl w:val="0"/>
          <w:numId w:val="15"/>
        </w:numPr>
        <w:spacing w:line="259" w:lineRule="auto"/>
      </w:pPr>
      <m:oMath>
        <m:r>
          <w:rPr>
            <w:rFonts w:ascii="Cambria Math" w:hAnsi="Cambria Math"/>
          </w:rPr>
          <m:t>γ</m:t>
        </m:r>
      </m:oMath>
      <w:r>
        <w:rPr>
          <w:rFonts w:eastAsiaTheme="minorEastAsia"/>
        </w:rPr>
        <w:t xml:space="preserve"> is a working dummy</w:t>
      </w:r>
    </w:p>
    <w:p w14:paraId="492CC226" w14:textId="77777777" w:rsidR="008E7FC3" w:rsidRPr="003B271C" w:rsidRDefault="00000000" w:rsidP="008E7FC3">
      <w:pPr>
        <w:pStyle w:val="ListBullet"/>
        <w:numPr>
          <w:ilvl w:val="0"/>
          <w:numId w:val="15"/>
        </w:numPr>
        <w:spacing w:line="259" w:lineRule="auto"/>
      </w:pPr>
      <m:oMath>
        <m:sSub>
          <m:sSubPr>
            <m:ctrlPr>
              <w:rPr>
                <w:rFonts w:ascii="Cambria Math" w:hAnsi="Cambria Math"/>
                <w:i/>
              </w:rPr>
            </m:ctrlPr>
          </m:sSubPr>
          <m:e>
            <m:r>
              <w:rPr>
                <w:rFonts w:ascii="Cambria Math" w:hAnsi="Cambria Math"/>
              </w:rPr>
              <m:t>γ</m:t>
            </m:r>
          </m:e>
          <m:sub>
            <m:r>
              <w:rPr>
                <w:rFonts w:ascii="Cambria Math" w:hAnsi="Cambria Math"/>
              </w:rPr>
              <m:t>40</m:t>
            </m:r>
          </m:sub>
        </m:sSub>
      </m:oMath>
      <w:r w:rsidR="008E7FC3">
        <w:rPr>
          <w:rFonts w:eastAsiaTheme="minorEastAsia"/>
        </w:rPr>
        <w:t xml:space="preserve"> is a dummy for when labour supply is greater than 40 hours</w:t>
      </w:r>
    </w:p>
    <w:p w14:paraId="5521183A" w14:textId="77777777" w:rsidR="008E7FC3" w:rsidRPr="003B271C" w:rsidRDefault="00000000" w:rsidP="008E7FC3">
      <w:pPr>
        <w:pStyle w:val="ListBullet"/>
        <w:numPr>
          <w:ilvl w:val="0"/>
          <w:numId w:val="15"/>
        </w:numPr>
        <w:spacing w:line="259" w:lineRule="auto"/>
      </w:pPr>
      <m:oMath>
        <m:sSub>
          <m:sSubPr>
            <m:ctrlPr>
              <w:rPr>
                <w:rFonts w:ascii="Cambria Math" w:hAnsi="Cambria Math"/>
                <w:i/>
              </w:rPr>
            </m:ctrlPr>
          </m:sSubPr>
          <m:e>
            <m:r>
              <w:rPr>
                <w:rFonts w:ascii="Cambria Math" w:hAnsi="Cambria Math"/>
              </w:rPr>
              <m:t>γ</m:t>
            </m:r>
          </m:e>
          <m:sub>
            <m:r>
              <w:rPr>
                <w:rFonts w:ascii="Cambria Math" w:hAnsi="Cambria Math"/>
              </w:rPr>
              <m:t xml:space="preserve">hi </m:t>
            </m:r>
          </m:sub>
        </m:sSub>
      </m:oMath>
      <w:r w:rsidR="008E7FC3">
        <w:rPr>
          <w:rFonts w:eastAsiaTheme="minorEastAsia"/>
        </w:rPr>
        <w:t xml:space="preserve"> is a dummy for when informal care of hours is greater than zero.</w:t>
      </w:r>
    </w:p>
    <w:p w14:paraId="71AB3C8A" w14:textId="77777777" w:rsidR="008E7FC3" w:rsidRDefault="008E7FC3" w:rsidP="008E7FC3">
      <w:pPr>
        <w:pStyle w:val="BodyText"/>
      </w:pPr>
      <w:r>
        <w:t>Hours of formal care for the youngest child is explicitly included in the utility equation as it is used as a proxy for remaining children in the family. The out</w:t>
      </w:r>
      <w:r>
        <w:noBreakHyphen/>
        <w:t>of</w:t>
      </w:r>
      <w:r>
        <w:noBreakHyphen/>
        <w:t>pocket</w:t>
      </w:r>
      <w:r w:rsidDel="00623FE2">
        <w:t xml:space="preserve"> </w:t>
      </w:r>
      <w:r>
        <w:t>ECEC expenses of formal care for all children in the family are taken into account in the net family income variable in the utility equation.</w:t>
      </w:r>
    </w:p>
    <w:p w14:paraId="513E614F" w14:textId="77777777" w:rsidR="008E7FC3" w:rsidRDefault="008E7FC3" w:rsidP="008E7FC3">
      <w:pPr>
        <w:pStyle w:val="BodyText"/>
      </w:pPr>
      <w:r>
        <w:t>Net family income is calculated taking into account:</w:t>
      </w:r>
    </w:p>
    <w:p w14:paraId="6127F22F" w14:textId="77777777" w:rsidR="008E7FC3" w:rsidRDefault="008E7FC3" w:rsidP="008E7FC3">
      <w:pPr>
        <w:pStyle w:val="ListBullet"/>
        <w:numPr>
          <w:ilvl w:val="0"/>
          <w:numId w:val="15"/>
        </w:numPr>
        <w:spacing w:line="259" w:lineRule="auto"/>
      </w:pPr>
      <w:r w:rsidRPr="008F1244">
        <w:t xml:space="preserve">the income of the </w:t>
      </w:r>
      <w:r>
        <w:t>primary carer’s partner f</w:t>
      </w:r>
      <w:r w:rsidRPr="008F1244">
        <w:t xml:space="preserve">or </w:t>
      </w:r>
      <w:r>
        <w:t>partnered</w:t>
      </w:r>
      <w:r w:rsidRPr="008F1244">
        <w:t xml:space="preserve"> parent</w:t>
      </w:r>
      <w:r>
        <w:t xml:space="preserve"> families</w:t>
      </w:r>
    </w:p>
    <w:p w14:paraId="5482D0C9" w14:textId="77777777" w:rsidR="008E7FC3" w:rsidRPr="00DF1F8C" w:rsidRDefault="008E7FC3" w:rsidP="008E7FC3">
      <w:pPr>
        <w:pStyle w:val="ListBullet"/>
        <w:numPr>
          <w:ilvl w:val="0"/>
          <w:numId w:val="15"/>
        </w:numPr>
        <w:spacing w:line="259" w:lineRule="auto"/>
      </w:pPr>
      <w:r>
        <w:t xml:space="preserve">the income of the primary carer which is dependent on the </w:t>
      </w:r>
      <w:r w:rsidRPr="00DF1F8C">
        <w:t xml:space="preserve">hours worked for the </w:t>
      </w:r>
      <w:r>
        <w:t xml:space="preserve">given </w:t>
      </w:r>
      <w:r w:rsidRPr="00DF1F8C">
        <w:t xml:space="preserve">choice and wage of the primary carer (which </w:t>
      </w:r>
      <w:r>
        <w:t>is</w:t>
      </w:r>
      <w:r w:rsidRPr="00DF1F8C">
        <w:t xml:space="preserve"> imputed for </w:t>
      </w:r>
      <w:r>
        <w:t>primary carers who</w:t>
      </w:r>
      <w:r w:rsidRPr="00DF1F8C" w:rsidDel="00E112F1">
        <w:t xml:space="preserve"> </w:t>
      </w:r>
      <w:r w:rsidRPr="00DF1F8C">
        <w:t>are not observed to be working in the SIH data</w:t>
      </w:r>
      <w:r>
        <w:t>, as discussed above</w:t>
      </w:r>
      <w:r w:rsidRPr="00DF1F8C">
        <w:t>)</w:t>
      </w:r>
    </w:p>
    <w:p w14:paraId="39909572" w14:textId="77777777" w:rsidR="008E7FC3" w:rsidRDefault="008E7FC3" w:rsidP="008E7FC3">
      <w:pPr>
        <w:pStyle w:val="ListBullet"/>
        <w:numPr>
          <w:ilvl w:val="0"/>
          <w:numId w:val="15"/>
        </w:numPr>
        <w:spacing w:line="259" w:lineRule="auto"/>
      </w:pPr>
      <w:r w:rsidRPr="00DF1F8C">
        <w:t>the out</w:t>
      </w:r>
      <w:r w:rsidRPr="00DF1F8C">
        <w:noBreakHyphen/>
        <w:t>of</w:t>
      </w:r>
      <w:r w:rsidRPr="00DF1F8C">
        <w:noBreakHyphen/>
        <w:t xml:space="preserve">pocket expense for childcare for all children within the </w:t>
      </w:r>
      <w:r>
        <w:t xml:space="preserve">family </w:t>
      </w:r>
      <w:r w:rsidRPr="00DF1F8C">
        <w:t xml:space="preserve">(which takes into account the </w:t>
      </w:r>
      <w:r>
        <w:t>family’s</w:t>
      </w:r>
      <w:r w:rsidRPr="00DF1F8C">
        <w:t xml:space="preserve"> </w:t>
      </w:r>
      <w:r>
        <w:t>ECEC subsidies)</w:t>
      </w:r>
    </w:p>
    <w:p w14:paraId="7AC21BDD" w14:textId="77777777" w:rsidR="008E7FC3" w:rsidRPr="00DF1F8C" w:rsidRDefault="008E7FC3" w:rsidP="008E7FC3">
      <w:pPr>
        <w:pStyle w:val="ListBullet"/>
        <w:numPr>
          <w:ilvl w:val="0"/>
          <w:numId w:val="15"/>
        </w:numPr>
        <w:spacing w:line="259" w:lineRule="auto"/>
      </w:pPr>
      <w:r w:rsidRPr="00DF1F8C">
        <w:t xml:space="preserve">the </w:t>
      </w:r>
      <w:r>
        <w:t>family’s</w:t>
      </w:r>
      <w:r w:rsidRPr="00DF1F8C">
        <w:t xml:space="preserve"> transfer payments (such as </w:t>
      </w:r>
      <w:r>
        <w:t>F</w:t>
      </w:r>
      <w:r w:rsidRPr="00DF1F8C">
        <w:t xml:space="preserve">amily </w:t>
      </w:r>
      <w:r>
        <w:t>T</w:t>
      </w:r>
      <w:r w:rsidRPr="00DF1F8C">
        <w:t xml:space="preserve">ax </w:t>
      </w:r>
      <w:r>
        <w:t>B</w:t>
      </w:r>
      <w:r w:rsidRPr="00DF1F8C">
        <w:t xml:space="preserve">enefit and </w:t>
      </w:r>
      <w:r>
        <w:t>P</w:t>
      </w:r>
      <w:r w:rsidRPr="00DF1F8C">
        <w:t xml:space="preserve">arenting </w:t>
      </w:r>
      <w:r>
        <w:t>P</w:t>
      </w:r>
      <w:r w:rsidRPr="00DF1F8C">
        <w:t xml:space="preserve">ayments) given the </w:t>
      </w:r>
      <w:r>
        <w:t xml:space="preserve">family’s </w:t>
      </w:r>
      <w:r w:rsidRPr="00DF1F8C">
        <w:t>income</w:t>
      </w:r>
      <w:r>
        <w:t xml:space="preserve"> level</w:t>
      </w:r>
    </w:p>
    <w:p w14:paraId="03B3EB3E" w14:textId="77777777" w:rsidR="008E7FC3" w:rsidRPr="008F1244" w:rsidRDefault="008E7FC3" w:rsidP="008E7FC3">
      <w:pPr>
        <w:pStyle w:val="ListBullet"/>
        <w:numPr>
          <w:ilvl w:val="0"/>
          <w:numId w:val="15"/>
        </w:numPr>
        <w:spacing w:line="259" w:lineRule="auto"/>
      </w:pPr>
      <w:r w:rsidRPr="00DF1F8C">
        <w:t xml:space="preserve">the </w:t>
      </w:r>
      <w:r>
        <w:t>family</w:t>
      </w:r>
      <w:r w:rsidRPr="00DF1F8C">
        <w:t xml:space="preserve">’s tax liability given the </w:t>
      </w:r>
      <w:r>
        <w:t xml:space="preserve">family’s </w:t>
      </w:r>
      <w:r w:rsidRPr="00DF1F8C">
        <w:t>income</w:t>
      </w:r>
      <w:r>
        <w:t xml:space="preserve"> level.</w:t>
      </w:r>
    </w:p>
    <w:p w14:paraId="28546A0A" w14:textId="77777777" w:rsidR="008E7FC3" w:rsidRDefault="008E7FC3" w:rsidP="008E7FC3">
      <w:pPr>
        <w:pStyle w:val="BodyText"/>
      </w:pPr>
      <w:r>
        <w:t>The main differences between the utility equations for the sole parents and partnered primary carer parents are the interaction terms.</w:t>
      </w:r>
    </w:p>
    <w:p w14:paraId="4974C42B" w14:textId="77777777" w:rsidR="008E7FC3" w:rsidRPr="00F874C2" w:rsidRDefault="008E7FC3" w:rsidP="008E7FC3">
      <w:pPr>
        <w:pStyle w:val="ListBullet"/>
        <w:numPr>
          <w:ilvl w:val="0"/>
          <w:numId w:val="15"/>
        </w:numPr>
        <w:spacing w:line="259" w:lineRule="auto"/>
      </w:pPr>
      <w:r w:rsidRPr="00F874C2">
        <w:lastRenderedPageBreak/>
        <w:t xml:space="preserve">In the </w:t>
      </w:r>
      <w:r>
        <w:t>sole</w:t>
      </w:r>
      <w:r w:rsidRPr="00F874C2">
        <w:t xml:space="preserve"> parent</w:t>
      </w:r>
      <w:r>
        <w:t>s</w:t>
      </w:r>
      <w:r w:rsidRPr="00F874C2">
        <w:t xml:space="preserve"> equation, four interaction terms which involve a female dummy variable are included. They are the female dummy variable interacted with the fixed cost of working dummy, income, labour supply </w:t>
      </w:r>
      <w:r>
        <w:t xml:space="preserve">hours </w:t>
      </w:r>
      <w:r w:rsidRPr="00F874C2">
        <w:t>and formal care</w:t>
      </w:r>
      <w:r>
        <w:t xml:space="preserve"> hours</w:t>
      </w:r>
      <w:r w:rsidRPr="00F874C2">
        <w:t>.</w:t>
      </w:r>
    </w:p>
    <w:p w14:paraId="1F968ADA" w14:textId="77777777" w:rsidR="008E7FC3" w:rsidRPr="00F874C2" w:rsidRDefault="008E7FC3" w:rsidP="008E7FC3">
      <w:pPr>
        <w:pStyle w:val="ListBullet"/>
        <w:numPr>
          <w:ilvl w:val="0"/>
          <w:numId w:val="15"/>
        </w:numPr>
        <w:spacing w:line="259" w:lineRule="auto"/>
      </w:pPr>
      <w:r w:rsidRPr="00F874C2">
        <w:t xml:space="preserve">In the </w:t>
      </w:r>
      <w:r>
        <w:t>partnered primary carer</w:t>
      </w:r>
      <w:r w:rsidRPr="00F874C2">
        <w:t xml:space="preserve"> parent</w:t>
      </w:r>
      <w:r>
        <w:t>s</w:t>
      </w:r>
      <w:r w:rsidRPr="00F874C2">
        <w:t xml:space="preserve"> equation, two interaction terms which involve the labour supply of the primary earner are included. They are the labour supply of the primary earner interacted with income and labour supply of the primary carer.</w:t>
      </w:r>
    </w:p>
    <w:p w14:paraId="6D598FE1" w14:textId="77777777" w:rsidR="008E7FC3" w:rsidRDefault="008E7FC3" w:rsidP="008E7FC3">
      <w:pPr>
        <w:pStyle w:val="BodyText"/>
      </w:pPr>
      <w:r>
        <w:t>Otherwise the variables included in both equations are identical.</w:t>
      </w:r>
    </w:p>
    <w:p w14:paraId="1FF19DE8" w14:textId="77777777" w:rsidR="008E7FC3" w:rsidRDefault="008E7FC3" w:rsidP="008E7FC3">
      <w:pPr>
        <w:pStyle w:val="BodyText"/>
      </w:pPr>
      <w:r>
        <w:t>CAPITA-B with ECEC can calibrate the model by selecting error terms such that, in a simulation without a policy change, the resulting working hours for all ‘draws’ will match the observed hours in the underlying SIH data. This feature has been extended to include formal care hours. Further details on this are provided in section G.7.</w:t>
      </w:r>
    </w:p>
    <w:p w14:paraId="134387CE" w14:textId="77777777" w:rsidR="008E7FC3" w:rsidRDefault="008E7FC3" w:rsidP="008E7FC3">
      <w:pPr>
        <w:pStyle w:val="BodyText"/>
      </w:pPr>
      <w:r>
        <w:t>The remaining parts of this section details the utility equation estimates and estimated elasticities from the model.</w:t>
      </w:r>
    </w:p>
    <w:p w14:paraId="20BD97FE" w14:textId="77777777" w:rsidR="008E7FC3" w:rsidRDefault="008E7FC3" w:rsidP="008E7FC3">
      <w:pPr>
        <w:pStyle w:val="Heading3"/>
      </w:pPr>
      <w:r>
        <w:t>Utility function estimates</w:t>
      </w:r>
    </w:p>
    <w:p w14:paraId="247CC0EB" w14:textId="77777777" w:rsidR="008E7FC3" w:rsidRDefault="008E7FC3" w:rsidP="008E7FC3">
      <w:pPr>
        <w:pStyle w:val="BodyText"/>
      </w:pPr>
      <w:r>
        <w:t>A multinomial logistic regression approach was used to estimate the utility parameters as families can jointly decide on the primary carer’s hours of work and hours of formal care.</w:t>
      </w:r>
      <w:r>
        <w:rPr>
          <w:rStyle w:val="FootnoteReference"/>
        </w:rPr>
        <w:footnoteReference w:id="64"/>
      </w:r>
      <w:r>
        <w:t xml:space="preserve"> This allows for a set of discrete choices to be modelled taking into account variation in family characteristics. The utility</w:t>
      </w:r>
      <w:r w:rsidDel="00340424">
        <w:t xml:space="preserve"> </w:t>
      </w:r>
      <w:r>
        <w:t>function was estimated using a dataset produced by a version of CAPITA</w:t>
      </w:r>
      <w:r>
        <w:noBreakHyphen/>
        <w:t>B with ECEC based on the SIH CURF (coefficients and p</w:t>
      </w:r>
      <w:r>
        <w:noBreakHyphen/>
        <w:t>values are in table G.5).</w:t>
      </w:r>
      <w:r>
        <w:rPr>
          <w:rStyle w:val="FootnoteReference"/>
        </w:rPr>
        <w:footnoteReference w:id="65"/>
      </w:r>
    </w:p>
    <w:p w14:paraId="6101C273" w14:textId="77777777" w:rsidR="008E7FC3" w:rsidRDefault="008E7FC3" w:rsidP="008E7FC3">
      <w:pPr>
        <w:pStyle w:val="BodyText"/>
      </w:pPr>
      <w:r>
        <w:t>The population used to estimate the utility</w:t>
      </w:r>
      <w:r w:rsidDel="009674B7">
        <w:t xml:space="preserve"> </w:t>
      </w:r>
      <w:r>
        <w:t xml:space="preserve">function was limited to families with sole carer parents and partnered primary carer parents. Additional observations were excluded due to their unsuitability to be used in the utility equation. For example, observations were excluded if it was considered there were constraints on their labour supply that would exist regardless of ECEC or tax and transfer policies (section G.7). Observations of families interviewed during the June 2020 quarter were also excluded as a </w:t>
      </w:r>
      <w:r w:rsidRPr="004831CB">
        <w:t>precaution due to restricted business activity and changes to childcare provider operations during this period</w:t>
      </w:r>
      <w:r>
        <w:t xml:space="preserve"> (section G.7).</w:t>
      </w:r>
    </w:p>
    <w:p w14:paraId="1B8D8FC5" w14:textId="77777777" w:rsidR="008E7FC3" w:rsidRDefault="008E7FC3" w:rsidP="008E7FC3">
      <w:pPr>
        <w:pStyle w:val="FigureTableHeading"/>
      </w:pPr>
      <w:r>
        <w:t xml:space="preserve">Table </w:t>
      </w:r>
      <w:r>
        <w:rPr>
          <w:noProof/>
        </w:rPr>
        <w:t>G</w:t>
      </w:r>
      <w:r>
        <w:t>.</w:t>
      </w:r>
      <w:r>
        <w:rPr>
          <w:noProof/>
        </w:rPr>
        <w:t xml:space="preserve">5 – </w:t>
      </w:r>
      <w:r>
        <w:t>U</w:t>
      </w:r>
      <w:r w:rsidRPr="00F84E86">
        <w:t xml:space="preserve">tility </w:t>
      </w:r>
      <w:r>
        <w:t>function</w:t>
      </w:r>
      <w:r w:rsidRPr="00F84E86">
        <w:t xml:space="preserve"> coefficient </w:t>
      </w:r>
      <w:r w:rsidRPr="0002402E">
        <w:t>estimates</w:t>
      </w:r>
      <w:r w:rsidRPr="003F5443">
        <w:rPr>
          <w:vertAlign w:val="superscript"/>
        </w:rPr>
        <w:t>a</w:t>
      </w:r>
      <w:r w:rsidRPr="00EC0C27">
        <w:rPr>
          <w:vertAlign w:val="superscript"/>
        </w:rPr>
        <w:t>,b</w:t>
      </w:r>
    </w:p>
    <w:tbl>
      <w:tblPr>
        <w:tblW w:w="972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959"/>
        <w:gridCol w:w="1187"/>
        <w:gridCol w:w="1192"/>
        <w:gridCol w:w="1188"/>
        <w:gridCol w:w="1188"/>
        <w:gridCol w:w="8"/>
      </w:tblGrid>
      <w:tr w:rsidR="008E7FC3" w:rsidRPr="00030C67" w14:paraId="33B0CF6E" w14:textId="77777777" w:rsidTr="00177648">
        <w:trPr>
          <w:tblHeader/>
        </w:trPr>
        <w:tc>
          <w:tcPr>
            <w:tcW w:w="4959" w:type="dxa"/>
            <w:tcBorders>
              <w:bottom w:val="single" w:sz="4" w:space="0" w:color="B3B3B3"/>
            </w:tcBorders>
            <w:shd w:val="clear" w:color="000000" w:fill="auto"/>
            <w:vAlign w:val="bottom"/>
          </w:tcPr>
          <w:p w14:paraId="20D131D0" w14:textId="77777777" w:rsidR="008E7FC3" w:rsidRPr="00C44E59" w:rsidRDefault="008E7FC3" w:rsidP="00177648">
            <w:pPr>
              <w:spacing w:before="45" w:after="45"/>
              <w:ind w:right="108"/>
              <w:rPr>
                <w:rFonts w:ascii="Arial (Body)" w:hAnsi="Arial (Body)"/>
                <w:color w:val="265A9A"/>
              </w:rPr>
            </w:pPr>
          </w:p>
        </w:tc>
        <w:tc>
          <w:tcPr>
            <w:tcW w:w="2379" w:type="dxa"/>
            <w:gridSpan w:val="2"/>
            <w:tcBorders>
              <w:bottom w:val="single" w:sz="4" w:space="0" w:color="B3B3B3"/>
            </w:tcBorders>
            <w:shd w:val="clear" w:color="000000" w:fill="auto"/>
          </w:tcPr>
          <w:p w14:paraId="1470C9B6" w14:textId="77777777" w:rsidR="008E7FC3" w:rsidRPr="00C44E59" w:rsidRDefault="008E7FC3" w:rsidP="00177648">
            <w:pPr>
              <w:pStyle w:val="TableHeading"/>
              <w:jc w:val="right"/>
            </w:pPr>
            <w:r>
              <w:t>Sole parents</w:t>
            </w:r>
          </w:p>
        </w:tc>
        <w:tc>
          <w:tcPr>
            <w:tcW w:w="2384" w:type="dxa"/>
            <w:gridSpan w:val="3"/>
            <w:tcBorders>
              <w:bottom w:val="single" w:sz="4" w:space="0" w:color="B3B3B3"/>
            </w:tcBorders>
            <w:shd w:val="clear" w:color="000000" w:fill="auto"/>
          </w:tcPr>
          <w:p w14:paraId="45F71A17" w14:textId="77777777" w:rsidR="008E7FC3" w:rsidRPr="00C44E59" w:rsidRDefault="008E7FC3" w:rsidP="00177648">
            <w:pPr>
              <w:pStyle w:val="TableHeading"/>
              <w:jc w:val="right"/>
            </w:pPr>
            <w:r>
              <w:t>Partnered primary carer parents</w:t>
            </w:r>
          </w:p>
        </w:tc>
      </w:tr>
      <w:tr w:rsidR="008E7FC3" w:rsidRPr="00030C67" w14:paraId="0F3FBE9A" w14:textId="77777777" w:rsidTr="00177648">
        <w:trPr>
          <w:gridAfter w:val="1"/>
          <w:wAfter w:w="8" w:type="dxa"/>
          <w:tblHeader/>
        </w:trPr>
        <w:tc>
          <w:tcPr>
            <w:tcW w:w="4959" w:type="dxa"/>
            <w:tcBorders>
              <w:bottom w:val="single" w:sz="4" w:space="0" w:color="B3B3B3"/>
            </w:tcBorders>
            <w:shd w:val="clear" w:color="000000" w:fill="auto"/>
            <w:vAlign w:val="bottom"/>
          </w:tcPr>
          <w:p w14:paraId="21127818" w14:textId="77777777" w:rsidR="008E7FC3" w:rsidRPr="008F7397" w:rsidRDefault="008E7FC3" w:rsidP="00177648">
            <w:pPr>
              <w:spacing w:before="45" w:after="45"/>
              <w:ind w:right="108"/>
              <w:rPr>
                <w:rFonts w:ascii="Arial (Body)" w:hAnsi="Arial (Body)"/>
                <w:b/>
                <w:bCs/>
                <w:color w:val="265A9A"/>
              </w:rPr>
            </w:pPr>
            <w:r w:rsidRPr="008F7397">
              <w:rPr>
                <w:rFonts w:ascii="Arial (Body)" w:hAnsi="Arial (Body)"/>
                <w:b/>
                <w:bCs/>
                <w:color w:val="265A9A"/>
              </w:rPr>
              <w:t>Explanatory variable</w:t>
            </w:r>
          </w:p>
        </w:tc>
        <w:tc>
          <w:tcPr>
            <w:tcW w:w="1187" w:type="dxa"/>
            <w:tcBorders>
              <w:bottom w:val="single" w:sz="4" w:space="0" w:color="B3B3B3"/>
            </w:tcBorders>
            <w:shd w:val="clear" w:color="000000" w:fill="auto"/>
            <w:vAlign w:val="bottom"/>
          </w:tcPr>
          <w:p w14:paraId="5C95EEFC" w14:textId="77777777" w:rsidR="008E7FC3" w:rsidRPr="00030C67" w:rsidRDefault="008E7FC3" w:rsidP="00177648">
            <w:pPr>
              <w:pStyle w:val="TableHeading"/>
              <w:jc w:val="right"/>
            </w:pPr>
            <w:r w:rsidRPr="00C44E59">
              <w:t>Coefficient</w:t>
            </w:r>
          </w:p>
        </w:tc>
        <w:tc>
          <w:tcPr>
            <w:tcW w:w="1192" w:type="dxa"/>
            <w:tcBorders>
              <w:bottom w:val="single" w:sz="4" w:space="0" w:color="B3B3B3"/>
            </w:tcBorders>
            <w:shd w:val="clear" w:color="000000" w:fill="auto"/>
            <w:vAlign w:val="bottom"/>
          </w:tcPr>
          <w:p w14:paraId="7EFE1136" w14:textId="77777777" w:rsidR="008E7FC3" w:rsidRPr="00030C67" w:rsidRDefault="008E7FC3" w:rsidP="00177648">
            <w:pPr>
              <w:pStyle w:val="TableHeading"/>
              <w:jc w:val="right"/>
            </w:pPr>
            <w:r w:rsidRPr="00C44E59">
              <w:t>p</w:t>
            </w:r>
            <w:r>
              <w:t>-</w:t>
            </w:r>
            <w:r w:rsidRPr="00C44E59">
              <w:t>value</w:t>
            </w:r>
          </w:p>
        </w:tc>
        <w:tc>
          <w:tcPr>
            <w:tcW w:w="1188" w:type="dxa"/>
            <w:tcBorders>
              <w:bottom w:val="single" w:sz="4" w:space="0" w:color="B3B3B3"/>
            </w:tcBorders>
            <w:shd w:val="clear" w:color="000000" w:fill="auto"/>
            <w:vAlign w:val="bottom"/>
          </w:tcPr>
          <w:p w14:paraId="73E73262" w14:textId="77777777" w:rsidR="008E7FC3" w:rsidRPr="00C44E59" w:rsidRDefault="008E7FC3" w:rsidP="00177648">
            <w:pPr>
              <w:pStyle w:val="TableHeading"/>
              <w:jc w:val="right"/>
            </w:pPr>
            <w:r w:rsidRPr="00C44E59">
              <w:t>Coefficient</w:t>
            </w:r>
          </w:p>
        </w:tc>
        <w:tc>
          <w:tcPr>
            <w:tcW w:w="1188" w:type="dxa"/>
            <w:tcBorders>
              <w:bottom w:val="single" w:sz="4" w:space="0" w:color="B3B3B3"/>
            </w:tcBorders>
            <w:shd w:val="clear" w:color="000000" w:fill="auto"/>
            <w:vAlign w:val="bottom"/>
          </w:tcPr>
          <w:p w14:paraId="0784DDDB" w14:textId="77777777" w:rsidR="008E7FC3" w:rsidRPr="00C44E59" w:rsidRDefault="008E7FC3" w:rsidP="00177648">
            <w:pPr>
              <w:pStyle w:val="TableHeading"/>
              <w:jc w:val="right"/>
            </w:pPr>
            <w:r w:rsidRPr="00C44E59">
              <w:t>p</w:t>
            </w:r>
            <w:r>
              <w:t>-</w:t>
            </w:r>
            <w:r w:rsidRPr="00C44E59">
              <w:t>value</w:t>
            </w:r>
          </w:p>
        </w:tc>
      </w:tr>
      <w:tr w:rsidR="008E7FC3" w:rsidRPr="00030C67" w14:paraId="2C6FD74F" w14:textId="77777777" w:rsidTr="00177648">
        <w:trPr>
          <w:gridAfter w:val="1"/>
          <w:wAfter w:w="8" w:type="dxa"/>
        </w:trPr>
        <w:tc>
          <w:tcPr>
            <w:tcW w:w="4959" w:type="dxa"/>
            <w:tcBorders>
              <w:top w:val="single" w:sz="4" w:space="0" w:color="B3B3B3"/>
              <w:bottom w:val="nil"/>
            </w:tcBorders>
            <w:shd w:val="clear" w:color="000000" w:fill="F2F2F2"/>
          </w:tcPr>
          <w:p w14:paraId="1B7FDB96" w14:textId="77777777" w:rsidR="008E7FC3" w:rsidRPr="00030C67" w:rsidRDefault="008E7FC3" w:rsidP="00177648">
            <w:pPr>
              <w:pStyle w:val="TableHeading"/>
            </w:pPr>
            <w:r>
              <w:rPr>
                <w:b w:val="0"/>
                <w:bCs/>
              </w:rPr>
              <w:t>Net income</w:t>
            </w:r>
          </w:p>
        </w:tc>
        <w:tc>
          <w:tcPr>
            <w:tcW w:w="1187" w:type="dxa"/>
            <w:tcBorders>
              <w:top w:val="single" w:sz="4" w:space="0" w:color="B3B3B3"/>
              <w:bottom w:val="nil"/>
            </w:tcBorders>
            <w:shd w:val="clear" w:color="000000" w:fill="F2F2F2"/>
            <w:vAlign w:val="bottom"/>
          </w:tcPr>
          <w:p w14:paraId="1317C177" w14:textId="77777777" w:rsidR="008E7FC3" w:rsidRDefault="008E7FC3" w:rsidP="00177648">
            <w:pPr>
              <w:pStyle w:val="TableBody"/>
              <w:spacing w:before="45" w:after="45"/>
              <w:ind w:right="108"/>
              <w:jc w:val="right"/>
              <w:rPr>
                <w:rFonts w:ascii="Arial (Body)" w:hAnsi="Arial (Body)"/>
                <w:color w:val="000000"/>
              </w:rPr>
            </w:pPr>
            <w:r>
              <w:t>0.003</w:t>
            </w:r>
          </w:p>
        </w:tc>
        <w:tc>
          <w:tcPr>
            <w:tcW w:w="1192" w:type="dxa"/>
            <w:tcBorders>
              <w:top w:val="single" w:sz="4" w:space="0" w:color="B3B3B3"/>
              <w:bottom w:val="nil"/>
            </w:tcBorders>
            <w:shd w:val="clear" w:color="000000" w:fill="F2F2F2"/>
            <w:vAlign w:val="bottom"/>
          </w:tcPr>
          <w:p w14:paraId="1165C002" w14:textId="77777777" w:rsidR="008E7FC3" w:rsidRDefault="008E7FC3" w:rsidP="00177648">
            <w:pPr>
              <w:pStyle w:val="TableBody"/>
              <w:spacing w:before="45" w:after="45"/>
              <w:ind w:right="108"/>
              <w:jc w:val="right"/>
              <w:rPr>
                <w:rFonts w:ascii="Arial (Body)" w:hAnsi="Arial (Body)"/>
                <w:color w:val="000000"/>
              </w:rPr>
            </w:pPr>
            <w:r>
              <w:t>0.007</w:t>
            </w:r>
          </w:p>
        </w:tc>
        <w:tc>
          <w:tcPr>
            <w:tcW w:w="1188" w:type="dxa"/>
            <w:tcBorders>
              <w:top w:val="single" w:sz="4" w:space="0" w:color="B3B3B3"/>
              <w:bottom w:val="nil"/>
            </w:tcBorders>
            <w:shd w:val="clear" w:color="000000" w:fill="F2F2F2"/>
            <w:vAlign w:val="bottom"/>
          </w:tcPr>
          <w:p w14:paraId="0783D509" w14:textId="77777777" w:rsidR="008E7FC3" w:rsidRDefault="008E7FC3" w:rsidP="00177648">
            <w:pPr>
              <w:pStyle w:val="TableBody"/>
              <w:spacing w:before="45" w:after="45"/>
              <w:ind w:right="108"/>
              <w:jc w:val="right"/>
            </w:pPr>
            <w:r w:rsidRPr="00881727">
              <w:t>0.001</w:t>
            </w:r>
          </w:p>
        </w:tc>
        <w:tc>
          <w:tcPr>
            <w:tcW w:w="1188" w:type="dxa"/>
            <w:tcBorders>
              <w:top w:val="single" w:sz="4" w:space="0" w:color="B3B3B3"/>
              <w:bottom w:val="nil"/>
            </w:tcBorders>
            <w:shd w:val="clear" w:color="000000" w:fill="F2F2F2"/>
            <w:vAlign w:val="bottom"/>
          </w:tcPr>
          <w:p w14:paraId="6790789C" w14:textId="77777777" w:rsidR="008E7FC3" w:rsidRDefault="008E7FC3" w:rsidP="00177648">
            <w:pPr>
              <w:pStyle w:val="TableBody"/>
              <w:spacing w:before="45" w:after="45"/>
              <w:ind w:right="108"/>
              <w:jc w:val="right"/>
            </w:pPr>
            <w:r w:rsidRPr="00881727">
              <w:t>&lt;0.001</w:t>
            </w:r>
          </w:p>
        </w:tc>
      </w:tr>
      <w:tr w:rsidR="008E7FC3" w:rsidRPr="00030C67" w14:paraId="650810EC" w14:textId="77777777" w:rsidTr="00177648">
        <w:trPr>
          <w:gridAfter w:val="1"/>
          <w:wAfter w:w="8" w:type="dxa"/>
        </w:trPr>
        <w:tc>
          <w:tcPr>
            <w:tcW w:w="4959" w:type="dxa"/>
            <w:tcBorders>
              <w:top w:val="nil"/>
              <w:bottom w:val="nil"/>
            </w:tcBorders>
            <w:shd w:val="clear" w:color="auto" w:fill="FFFFFF" w:themeFill="background1"/>
          </w:tcPr>
          <w:p w14:paraId="59A3B4FC" w14:textId="77777777" w:rsidR="008E7FC3" w:rsidRPr="00030C67" w:rsidRDefault="008E7FC3" w:rsidP="00177648">
            <w:pPr>
              <w:pStyle w:val="TableHeading"/>
            </w:pPr>
            <w:r>
              <w:rPr>
                <w:b w:val="0"/>
                <w:bCs/>
              </w:rPr>
              <w:t>Labour supply</w:t>
            </w:r>
          </w:p>
        </w:tc>
        <w:tc>
          <w:tcPr>
            <w:tcW w:w="1187" w:type="dxa"/>
            <w:tcBorders>
              <w:top w:val="nil"/>
              <w:bottom w:val="nil"/>
            </w:tcBorders>
            <w:shd w:val="clear" w:color="auto" w:fill="FFFFFF" w:themeFill="background1"/>
            <w:vAlign w:val="bottom"/>
          </w:tcPr>
          <w:p w14:paraId="786305BB" w14:textId="77777777" w:rsidR="008E7FC3" w:rsidRDefault="008E7FC3" w:rsidP="00177648">
            <w:pPr>
              <w:pStyle w:val="TableBody"/>
              <w:spacing w:before="45" w:after="45"/>
              <w:ind w:right="108"/>
              <w:jc w:val="right"/>
              <w:rPr>
                <w:rFonts w:ascii="Arial (Body)" w:hAnsi="Arial (Body)"/>
                <w:color w:val="000000"/>
              </w:rPr>
            </w:pPr>
            <w:r>
              <w:t>0.146</w:t>
            </w:r>
          </w:p>
        </w:tc>
        <w:tc>
          <w:tcPr>
            <w:tcW w:w="1192" w:type="dxa"/>
            <w:tcBorders>
              <w:top w:val="nil"/>
              <w:bottom w:val="nil"/>
            </w:tcBorders>
            <w:shd w:val="clear" w:color="auto" w:fill="FFFFFF" w:themeFill="background1"/>
            <w:vAlign w:val="bottom"/>
          </w:tcPr>
          <w:p w14:paraId="09DFBD24" w14:textId="77777777" w:rsidR="008E7FC3" w:rsidRDefault="008E7FC3" w:rsidP="00177648">
            <w:pPr>
              <w:pStyle w:val="TableBody"/>
              <w:spacing w:before="45" w:after="45"/>
              <w:ind w:right="108"/>
              <w:jc w:val="right"/>
              <w:rPr>
                <w:rFonts w:ascii="Arial (Body)" w:hAnsi="Arial (Body)"/>
                <w:color w:val="000000"/>
              </w:rPr>
            </w:pPr>
            <w:r>
              <w:t>0.006</w:t>
            </w:r>
          </w:p>
        </w:tc>
        <w:tc>
          <w:tcPr>
            <w:tcW w:w="1188" w:type="dxa"/>
            <w:tcBorders>
              <w:top w:val="nil"/>
              <w:bottom w:val="nil"/>
            </w:tcBorders>
            <w:shd w:val="clear" w:color="auto" w:fill="FFFFFF" w:themeFill="background1"/>
            <w:vAlign w:val="bottom"/>
          </w:tcPr>
          <w:p w14:paraId="6767B843" w14:textId="77777777" w:rsidR="008E7FC3" w:rsidRDefault="008E7FC3" w:rsidP="00177648">
            <w:pPr>
              <w:pStyle w:val="TableBody"/>
              <w:spacing w:before="45" w:after="45"/>
              <w:ind w:right="108"/>
              <w:jc w:val="right"/>
            </w:pPr>
            <w:r w:rsidRPr="00881727">
              <w:t>0.174</w:t>
            </w:r>
          </w:p>
        </w:tc>
        <w:tc>
          <w:tcPr>
            <w:tcW w:w="1188" w:type="dxa"/>
            <w:tcBorders>
              <w:top w:val="nil"/>
              <w:bottom w:val="nil"/>
            </w:tcBorders>
            <w:shd w:val="clear" w:color="auto" w:fill="FFFFFF" w:themeFill="background1"/>
            <w:vAlign w:val="bottom"/>
          </w:tcPr>
          <w:p w14:paraId="1114C64C" w14:textId="77777777" w:rsidR="008E7FC3" w:rsidRDefault="008E7FC3" w:rsidP="00177648">
            <w:pPr>
              <w:pStyle w:val="TableBody"/>
              <w:spacing w:before="45" w:after="45"/>
              <w:ind w:right="108"/>
              <w:jc w:val="right"/>
            </w:pPr>
            <w:r w:rsidRPr="00881727">
              <w:t>&lt;0.001</w:t>
            </w:r>
          </w:p>
        </w:tc>
      </w:tr>
      <w:tr w:rsidR="008E7FC3" w:rsidRPr="00030C67" w14:paraId="190F4913" w14:textId="77777777" w:rsidTr="00177648">
        <w:trPr>
          <w:gridAfter w:val="1"/>
          <w:wAfter w:w="8" w:type="dxa"/>
        </w:trPr>
        <w:tc>
          <w:tcPr>
            <w:tcW w:w="4959" w:type="dxa"/>
            <w:tcBorders>
              <w:top w:val="nil"/>
              <w:bottom w:val="nil"/>
            </w:tcBorders>
            <w:shd w:val="clear" w:color="000000" w:fill="F2F2F2"/>
          </w:tcPr>
          <w:p w14:paraId="017E1A3C" w14:textId="77777777" w:rsidR="008E7FC3" w:rsidRPr="00030C67" w:rsidRDefault="008E7FC3" w:rsidP="00177648">
            <w:pPr>
              <w:pStyle w:val="TableHeading"/>
            </w:pPr>
            <w:r>
              <w:rPr>
                <w:b w:val="0"/>
                <w:bCs/>
              </w:rPr>
              <w:t>Formal care</w:t>
            </w:r>
          </w:p>
        </w:tc>
        <w:tc>
          <w:tcPr>
            <w:tcW w:w="1187" w:type="dxa"/>
            <w:tcBorders>
              <w:top w:val="nil"/>
              <w:bottom w:val="nil"/>
            </w:tcBorders>
            <w:shd w:val="clear" w:color="000000" w:fill="F2F2F2"/>
            <w:vAlign w:val="bottom"/>
          </w:tcPr>
          <w:p w14:paraId="5DC123DF" w14:textId="77777777" w:rsidR="008E7FC3" w:rsidRDefault="008E7FC3" w:rsidP="00177648">
            <w:pPr>
              <w:pStyle w:val="TableBody"/>
              <w:spacing w:before="45" w:after="45"/>
              <w:ind w:right="108"/>
              <w:jc w:val="right"/>
              <w:rPr>
                <w:rFonts w:ascii="Arial (Body)" w:hAnsi="Arial (Body)"/>
                <w:color w:val="000000"/>
              </w:rPr>
            </w:pPr>
            <w:r>
              <w:t>-0.521</w:t>
            </w:r>
          </w:p>
        </w:tc>
        <w:tc>
          <w:tcPr>
            <w:tcW w:w="1192" w:type="dxa"/>
            <w:tcBorders>
              <w:top w:val="nil"/>
              <w:bottom w:val="nil"/>
            </w:tcBorders>
            <w:shd w:val="clear" w:color="000000" w:fill="F2F2F2"/>
            <w:vAlign w:val="bottom"/>
          </w:tcPr>
          <w:p w14:paraId="558A0511"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000000" w:fill="F2F2F2"/>
            <w:vAlign w:val="bottom"/>
          </w:tcPr>
          <w:p w14:paraId="2AF1476D" w14:textId="77777777" w:rsidR="008E7FC3" w:rsidRDefault="008E7FC3" w:rsidP="00177648">
            <w:pPr>
              <w:pStyle w:val="TableBody"/>
              <w:spacing w:before="45" w:after="45"/>
              <w:ind w:right="108"/>
              <w:jc w:val="right"/>
            </w:pPr>
            <w:r w:rsidRPr="00881727">
              <w:t>-0.377</w:t>
            </w:r>
          </w:p>
        </w:tc>
        <w:tc>
          <w:tcPr>
            <w:tcW w:w="1188" w:type="dxa"/>
            <w:tcBorders>
              <w:top w:val="nil"/>
              <w:bottom w:val="nil"/>
            </w:tcBorders>
            <w:shd w:val="clear" w:color="000000" w:fill="F2F2F2"/>
            <w:vAlign w:val="bottom"/>
          </w:tcPr>
          <w:p w14:paraId="054DE9CE" w14:textId="77777777" w:rsidR="008E7FC3" w:rsidRDefault="008E7FC3" w:rsidP="00177648">
            <w:pPr>
              <w:pStyle w:val="TableBody"/>
              <w:spacing w:before="45" w:after="45"/>
              <w:ind w:right="108"/>
              <w:jc w:val="right"/>
            </w:pPr>
            <w:r w:rsidRPr="00881727">
              <w:t>&lt;0.001</w:t>
            </w:r>
          </w:p>
        </w:tc>
      </w:tr>
      <w:tr w:rsidR="008E7FC3" w:rsidRPr="00030C67" w14:paraId="709EF411" w14:textId="77777777" w:rsidTr="00177648">
        <w:trPr>
          <w:gridAfter w:val="1"/>
          <w:wAfter w:w="8" w:type="dxa"/>
        </w:trPr>
        <w:tc>
          <w:tcPr>
            <w:tcW w:w="4959" w:type="dxa"/>
            <w:tcBorders>
              <w:top w:val="nil"/>
              <w:bottom w:val="nil"/>
            </w:tcBorders>
            <w:shd w:val="clear" w:color="auto" w:fill="FFFFFF" w:themeFill="background1"/>
          </w:tcPr>
          <w:p w14:paraId="7A730B15" w14:textId="77777777" w:rsidR="008E7FC3" w:rsidRPr="00030C67" w:rsidRDefault="008E7FC3" w:rsidP="00177648">
            <w:pPr>
              <w:pStyle w:val="TableHeading"/>
            </w:pPr>
            <w:r>
              <w:rPr>
                <w:b w:val="0"/>
                <w:bCs/>
              </w:rPr>
              <w:t>Net income squared / 100,000</w:t>
            </w:r>
          </w:p>
        </w:tc>
        <w:tc>
          <w:tcPr>
            <w:tcW w:w="1187" w:type="dxa"/>
            <w:tcBorders>
              <w:top w:val="nil"/>
              <w:bottom w:val="nil"/>
            </w:tcBorders>
            <w:shd w:val="clear" w:color="auto" w:fill="FFFFFF" w:themeFill="background1"/>
            <w:vAlign w:val="bottom"/>
          </w:tcPr>
          <w:p w14:paraId="2A7D12C6" w14:textId="77777777" w:rsidR="008E7FC3" w:rsidRDefault="008E7FC3" w:rsidP="00177648">
            <w:pPr>
              <w:pStyle w:val="TableBody"/>
              <w:spacing w:before="45" w:after="45"/>
              <w:ind w:right="108"/>
              <w:jc w:val="right"/>
              <w:rPr>
                <w:rFonts w:ascii="Arial (Body)" w:hAnsi="Arial (Body)"/>
                <w:color w:val="000000"/>
              </w:rPr>
            </w:pPr>
            <w:r>
              <w:t>-0.004</w:t>
            </w:r>
          </w:p>
        </w:tc>
        <w:tc>
          <w:tcPr>
            <w:tcW w:w="1192" w:type="dxa"/>
            <w:tcBorders>
              <w:top w:val="nil"/>
              <w:bottom w:val="nil"/>
            </w:tcBorders>
            <w:shd w:val="clear" w:color="auto" w:fill="FFFFFF" w:themeFill="background1"/>
            <w:vAlign w:val="bottom"/>
          </w:tcPr>
          <w:p w14:paraId="1B46105F" w14:textId="77777777" w:rsidR="008E7FC3" w:rsidRDefault="008E7FC3" w:rsidP="00177648">
            <w:pPr>
              <w:pStyle w:val="TableBody"/>
              <w:spacing w:before="45" w:after="45"/>
              <w:ind w:right="108"/>
              <w:jc w:val="right"/>
              <w:rPr>
                <w:rFonts w:ascii="Arial (Body)" w:hAnsi="Arial (Body)"/>
                <w:color w:val="000000"/>
              </w:rPr>
            </w:pPr>
            <w:r>
              <w:t>0.803</w:t>
            </w:r>
          </w:p>
        </w:tc>
        <w:tc>
          <w:tcPr>
            <w:tcW w:w="1188" w:type="dxa"/>
            <w:tcBorders>
              <w:top w:val="nil"/>
              <w:bottom w:val="nil"/>
            </w:tcBorders>
            <w:shd w:val="clear" w:color="auto" w:fill="FFFFFF" w:themeFill="background1"/>
            <w:vAlign w:val="bottom"/>
          </w:tcPr>
          <w:p w14:paraId="69EEC934" w14:textId="77777777" w:rsidR="008E7FC3" w:rsidRDefault="008E7FC3" w:rsidP="00177648">
            <w:pPr>
              <w:pStyle w:val="TableBody"/>
              <w:spacing w:before="45" w:after="45"/>
              <w:ind w:right="108"/>
              <w:jc w:val="right"/>
            </w:pPr>
            <w:r w:rsidRPr="00881727">
              <w:t>0.002</w:t>
            </w:r>
          </w:p>
        </w:tc>
        <w:tc>
          <w:tcPr>
            <w:tcW w:w="1188" w:type="dxa"/>
            <w:tcBorders>
              <w:top w:val="nil"/>
              <w:bottom w:val="nil"/>
            </w:tcBorders>
            <w:shd w:val="clear" w:color="auto" w:fill="FFFFFF" w:themeFill="background1"/>
            <w:vAlign w:val="bottom"/>
          </w:tcPr>
          <w:p w14:paraId="08A9AEAE" w14:textId="77777777" w:rsidR="008E7FC3" w:rsidRDefault="008E7FC3" w:rsidP="00177648">
            <w:pPr>
              <w:pStyle w:val="TableBody"/>
              <w:spacing w:before="45" w:after="45"/>
              <w:ind w:right="108"/>
              <w:jc w:val="right"/>
            </w:pPr>
            <w:r w:rsidRPr="00881727">
              <w:t>0.266</w:t>
            </w:r>
          </w:p>
        </w:tc>
      </w:tr>
      <w:tr w:rsidR="008E7FC3" w:rsidRPr="00030C67" w14:paraId="1C673B0B" w14:textId="77777777" w:rsidTr="00177648">
        <w:trPr>
          <w:gridAfter w:val="1"/>
          <w:wAfter w:w="8" w:type="dxa"/>
        </w:trPr>
        <w:tc>
          <w:tcPr>
            <w:tcW w:w="4959" w:type="dxa"/>
            <w:tcBorders>
              <w:top w:val="nil"/>
              <w:bottom w:val="nil"/>
            </w:tcBorders>
            <w:shd w:val="clear" w:color="000000" w:fill="F2F2F2"/>
          </w:tcPr>
          <w:p w14:paraId="1D062C7C" w14:textId="77777777" w:rsidR="008E7FC3" w:rsidRPr="00030C67" w:rsidRDefault="008E7FC3" w:rsidP="00177648">
            <w:pPr>
              <w:pStyle w:val="TableHeading"/>
            </w:pPr>
            <w:r>
              <w:rPr>
                <w:b w:val="0"/>
                <w:bCs/>
              </w:rPr>
              <w:t>Labour supply squared / 100</w:t>
            </w:r>
          </w:p>
        </w:tc>
        <w:tc>
          <w:tcPr>
            <w:tcW w:w="1187" w:type="dxa"/>
            <w:tcBorders>
              <w:top w:val="nil"/>
              <w:bottom w:val="nil"/>
            </w:tcBorders>
            <w:shd w:val="clear" w:color="000000" w:fill="F2F2F2"/>
            <w:vAlign w:val="bottom"/>
          </w:tcPr>
          <w:p w14:paraId="10E551B7" w14:textId="77777777" w:rsidR="008E7FC3" w:rsidRDefault="008E7FC3" w:rsidP="00177648">
            <w:pPr>
              <w:pStyle w:val="TableBody"/>
              <w:spacing w:before="45" w:after="45"/>
              <w:ind w:right="108"/>
              <w:jc w:val="right"/>
              <w:rPr>
                <w:rFonts w:ascii="Arial (Body)" w:hAnsi="Arial (Body)"/>
                <w:color w:val="000000"/>
              </w:rPr>
            </w:pPr>
            <w:r>
              <w:t>-0.068</w:t>
            </w:r>
          </w:p>
        </w:tc>
        <w:tc>
          <w:tcPr>
            <w:tcW w:w="1192" w:type="dxa"/>
            <w:tcBorders>
              <w:top w:val="nil"/>
              <w:bottom w:val="nil"/>
            </w:tcBorders>
            <w:shd w:val="clear" w:color="000000" w:fill="F2F2F2"/>
            <w:vAlign w:val="bottom"/>
          </w:tcPr>
          <w:p w14:paraId="487C8397" w14:textId="77777777" w:rsidR="008E7FC3" w:rsidRDefault="008E7FC3" w:rsidP="00177648">
            <w:pPr>
              <w:pStyle w:val="TableBody"/>
              <w:spacing w:before="45" w:after="45"/>
              <w:ind w:right="108"/>
              <w:jc w:val="right"/>
              <w:rPr>
                <w:rFonts w:ascii="Arial (Body)" w:hAnsi="Arial (Body)"/>
                <w:color w:val="000000"/>
              </w:rPr>
            </w:pPr>
            <w:r>
              <w:t>0.262</w:t>
            </w:r>
          </w:p>
        </w:tc>
        <w:tc>
          <w:tcPr>
            <w:tcW w:w="1188" w:type="dxa"/>
            <w:tcBorders>
              <w:top w:val="nil"/>
              <w:bottom w:val="nil"/>
            </w:tcBorders>
            <w:shd w:val="clear" w:color="000000" w:fill="F2F2F2"/>
            <w:vAlign w:val="bottom"/>
          </w:tcPr>
          <w:p w14:paraId="6BD114D7" w14:textId="77777777" w:rsidR="008E7FC3" w:rsidRDefault="008E7FC3" w:rsidP="00177648">
            <w:pPr>
              <w:pStyle w:val="TableBody"/>
              <w:spacing w:before="45" w:after="45"/>
              <w:ind w:right="108"/>
              <w:jc w:val="right"/>
            </w:pPr>
            <w:r w:rsidRPr="00881727">
              <w:t>-0.185</w:t>
            </w:r>
          </w:p>
        </w:tc>
        <w:tc>
          <w:tcPr>
            <w:tcW w:w="1188" w:type="dxa"/>
            <w:tcBorders>
              <w:top w:val="nil"/>
              <w:bottom w:val="nil"/>
            </w:tcBorders>
            <w:shd w:val="clear" w:color="000000" w:fill="F2F2F2"/>
            <w:vAlign w:val="bottom"/>
          </w:tcPr>
          <w:p w14:paraId="4F1965E7" w14:textId="77777777" w:rsidR="008E7FC3" w:rsidRDefault="008E7FC3" w:rsidP="00177648">
            <w:pPr>
              <w:pStyle w:val="TableBody"/>
              <w:spacing w:before="45" w:after="45"/>
              <w:ind w:right="108"/>
              <w:jc w:val="right"/>
            </w:pPr>
            <w:r w:rsidRPr="00881727">
              <w:t>&lt;0.001</w:t>
            </w:r>
          </w:p>
        </w:tc>
      </w:tr>
      <w:tr w:rsidR="008E7FC3" w:rsidRPr="00030C67" w14:paraId="5794C8E1" w14:textId="77777777" w:rsidTr="00177648">
        <w:trPr>
          <w:gridAfter w:val="1"/>
          <w:wAfter w:w="8" w:type="dxa"/>
        </w:trPr>
        <w:tc>
          <w:tcPr>
            <w:tcW w:w="4959" w:type="dxa"/>
            <w:tcBorders>
              <w:top w:val="nil"/>
              <w:bottom w:val="nil"/>
            </w:tcBorders>
            <w:shd w:val="clear" w:color="auto" w:fill="FFFFFF" w:themeFill="background1"/>
          </w:tcPr>
          <w:p w14:paraId="3F50CC98" w14:textId="77777777" w:rsidR="008E7FC3" w:rsidRPr="00030C67" w:rsidRDefault="008E7FC3" w:rsidP="00177648">
            <w:pPr>
              <w:pStyle w:val="TableHeading"/>
            </w:pPr>
            <w:r>
              <w:rPr>
                <w:b w:val="0"/>
                <w:bCs/>
              </w:rPr>
              <w:t>Formal care squared / 100</w:t>
            </w:r>
          </w:p>
        </w:tc>
        <w:tc>
          <w:tcPr>
            <w:tcW w:w="1187" w:type="dxa"/>
            <w:tcBorders>
              <w:top w:val="nil"/>
              <w:bottom w:val="nil"/>
            </w:tcBorders>
            <w:shd w:val="clear" w:color="auto" w:fill="FFFFFF" w:themeFill="background1"/>
            <w:vAlign w:val="bottom"/>
          </w:tcPr>
          <w:p w14:paraId="19C5B485" w14:textId="77777777" w:rsidR="008E7FC3" w:rsidRDefault="008E7FC3" w:rsidP="00177648">
            <w:pPr>
              <w:pStyle w:val="TableBody"/>
              <w:spacing w:before="45" w:after="45"/>
              <w:ind w:right="108"/>
              <w:jc w:val="right"/>
              <w:rPr>
                <w:rFonts w:ascii="Arial (Body)" w:hAnsi="Arial (Body)"/>
                <w:color w:val="000000"/>
              </w:rPr>
            </w:pPr>
            <w:r>
              <w:t>0.191</w:t>
            </w:r>
          </w:p>
        </w:tc>
        <w:tc>
          <w:tcPr>
            <w:tcW w:w="1192" w:type="dxa"/>
            <w:tcBorders>
              <w:top w:val="nil"/>
              <w:bottom w:val="nil"/>
            </w:tcBorders>
            <w:shd w:val="clear" w:color="auto" w:fill="FFFFFF" w:themeFill="background1"/>
            <w:vAlign w:val="bottom"/>
          </w:tcPr>
          <w:p w14:paraId="50AB08DD"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auto" w:fill="FFFFFF" w:themeFill="background1"/>
            <w:vAlign w:val="bottom"/>
          </w:tcPr>
          <w:p w14:paraId="4C7FE91D" w14:textId="77777777" w:rsidR="008E7FC3" w:rsidRDefault="008E7FC3" w:rsidP="00177648">
            <w:pPr>
              <w:pStyle w:val="TableBody"/>
              <w:spacing w:before="45" w:after="45"/>
              <w:ind w:right="108"/>
              <w:jc w:val="right"/>
            </w:pPr>
            <w:r w:rsidRPr="00881727">
              <w:t>0.147</w:t>
            </w:r>
          </w:p>
        </w:tc>
        <w:tc>
          <w:tcPr>
            <w:tcW w:w="1188" w:type="dxa"/>
            <w:tcBorders>
              <w:top w:val="nil"/>
              <w:bottom w:val="nil"/>
            </w:tcBorders>
            <w:shd w:val="clear" w:color="auto" w:fill="FFFFFF" w:themeFill="background1"/>
            <w:vAlign w:val="bottom"/>
          </w:tcPr>
          <w:p w14:paraId="621EEDC7" w14:textId="77777777" w:rsidR="008E7FC3" w:rsidRDefault="008E7FC3" w:rsidP="00177648">
            <w:pPr>
              <w:pStyle w:val="TableBody"/>
              <w:spacing w:before="45" w:after="45"/>
              <w:ind w:right="108"/>
              <w:jc w:val="right"/>
            </w:pPr>
            <w:r w:rsidRPr="00881727">
              <w:t>&lt;0.001</w:t>
            </w:r>
          </w:p>
        </w:tc>
      </w:tr>
      <w:tr w:rsidR="008E7FC3" w:rsidRPr="00030C67" w14:paraId="64AE6CB8" w14:textId="77777777" w:rsidTr="00177648">
        <w:trPr>
          <w:gridAfter w:val="1"/>
          <w:wAfter w:w="8" w:type="dxa"/>
        </w:trPr>
        <w:tc>
          <w:tcPr>
            <w:tcW w:w="4959" w:type="dxa"/>
            <w:tcBorders>
              <w:top w:val="nil"/>
              <w:bottom w:val="nil"/>
            </w:tcBorders>
            <w:shd w:val="clear" w:color="000000" w:fill="F2F2F2"/>
          </w:tcPr>
          <w:p w14:paraId="01EB3490" w14:textId="77777777" w:rsidR="008E7FC3" w:rsidRPr="00030C67" w:rsidRDefault="008E7FC3" w:rsidP="00177648">
            <w:pPr>
              <w:pStyle w:val="TableHeading"/>
            </w:pPr>
            <w:r>
              <w:rPr>
                <w:b w:val="0"/>
                <w:bCs/>
              </w:rPr>
              <w:lastRenderedPageBreak/>
              <w:t>Labour supply x Formal care / 100</w:t>
            </w:r>
          </w:p>
        </w:tc>
        <w:tc>
          <w:tcPr>
            <w:tcW w:w="1187" w:type="dxa"/>
            <w:tcBorders>
              <w:top w:val="nil"/>
              <w:bottom w:val="nil"/>
            </w:tcBorders>
            <w:shd w:val="clear" w:color="000000" w:fill="F2F2F2"/>
            <w:vAlign w:val="bottom"/>
          </w:tcPr>
          <w:p w14:paraId="374C1D1A" w14:textId="77777777" w:rsidR="008E7FC3" w:rsidRDefault="008E7FC3" w:rsidP="00177648">
            <w:pPr>
              <w:pStyle w:val="TableBody"/>
              <w:spacing w:before="45" w:after="45"/>
              <w:ind w:right="108"/>
              <w:jc w:val="right"/>
              <w:rPr>
                <w:rFonts w:ascii="Arial (Body)" w:hAnsi="Arial (Body)"/>
                <w:color w:val="000000"/>
              </w:rPr>
            </w:pPr>
            <w:r>
              <w:t>0.105</w:t>
            </w:r>
          </w:p>
        </w:tc>
        <w:tc>
          <w:tcPr>
            <w:tcW w:w="1192" w:type="dxa"/>
            <w:tcBorders>
              <w:top w:val="nil"/>
              <w:bottom w:val="nil"/>
            </w:tcBorders>
            <w:shd w:val="clear" w:color="000000" w:fill="F2F2F2"/>
            <w:vAlign w:val="bottom"/>
          </w:tcPr>
          <w:p w14:paraId="7E054F67" w14:textId="77777777" w:rsidR="008E7FC3" w:rsidRDefault="008E7FC3" w:rsidP="00177648">
            <w:pPr>
              <w:pStyle w:val="TableBody"/>
              <w:spacing w:before="45" w:after="45"/>
              <w:ind w:right="108"/>
              <w:jc w:val="right"/>
              <w:rPr>
                <w:rFonts w:ascii="Arial (Body)" w:hAnsi="Arial (Body)"/>
                <w:color w:val="000000"/>
              </w:rPr>
            </w:pPr>
            <w:r>
              <w:t>0.020</w:t>
            </w:r>
          </w:p>
        </w:tc>
        <w:tc>
          <w:tcPr>
            <w:tcW w:w="1188" w:type="dxa"/>
            <w:tcBorders>
              <w:top w:val="nil"/>
              <w:bottom w:val="nil"/>
            </w:tcBorders>
            <w:shd w:val="clear" w:color="000000" w:fill="F2F2F2"/>
            <w:vAlign w:val="bottom"/>
          </w:tcPr>
          <w:p w14:paraId="2CC414E9" w14:textId="77777777" w:rsidR="008E7FC3" w:rsidRDefault="008E7FC3" w:rsidP="00177648">
            <w:pPr>
              <w:pStyle w:val="TableBody"/>
              <w:spacing w:before="45" w:after="45"/>
              <w:ind w:right="108"/>
              <w:jc w:val="right"/>
            </w:pPr>
            <w:r w:rsidRPr="00B87D67">
              <w:t>0.119</w:t>
            </w:r>
          </w:p>
        </w:tc>
        <w:tc>
          <w:tcPr>
            <w:tcW w:w="1188" w:type="dxa"/>
            <w:tcBorders>
              <w:top w:val="nil"/>
              <w:bottom w:val="nil"/>
            </w:tcBorders>
            <w:shd w:val="clear" w:color="000000" w:fill="F2F2F2"/>
            <w:vAlign w:val="bottom"/>
          </w:tcPr>
          <w:p w14:paraId="7962F719" w14:textId="77777777" w:rsidR="008E7FC3" w:rsidRDefault="008E7FC3" w:rsidP="00177648">
            <w:pPr>
              <w:pStyle w:val="TableBody"/>
              <w:spacing w:before="45" w:after="45"/>
              <w:ind w:right="108"/>
              <w:jc w:val="right"/>
            </w:pPr>
            <w:r w:rsidRPr="00B87D67">
              <w:t>&lt;0.001</w:t>
            </w:r>
          </w:p>
        </w:tc>
      </w:tr>
      <w:tr w:rsidR="008E7FC3" w:rsidRPr="00030C67" w14:paraId="0345F33C" w14:textId="77777777" w:rsidTr="00177648">
        <w:trPr>
          <w:gridAfter w:val="1"/>
          <w:wAfter w:w="8" w:type="dxa"/>
        </w:trPr>
        <w:tc>
          <w:tcPr>
            <w:tcW w:w="4959" w:type="dxa"/>
            <w:tcBorders>
              <w:top w:val="nil"/>
              <w:bottom w:val="nil"/>
            </w:tcBorders>
            <w:shd w:val="clear" w:color="auto" w:fill="FFFFFF" w:themeFill="background1"/>
          </w:tcPr>
          <w:p w14:paraId="128DCBC1" w14:textId="77777777" w:rsidR="008E7FC3" w:rsidRPr="00030C67" w:rsidRDefault="008E7FC3" w:rsidP="00177648">
            <w:pPr>
              <w:pStyle w:val="TableHeading"/>
            </w:pPr>
            <w:r>
              <w:rPr>
                <w:b w:val="0"/>
                <w:bCs/>
              </w:rPr>
              <w:t>Net income x Labour supply / 100,000</w:t>
            </w:r>
          </w:p>
        </w:tc>
        <w:tc>
          <w:tcPr>
            <w:tcW w:w="1187" w:type="dxa"/>
            <w:tcBorders>
              <w:top w:val="nil"/>
              <w:bottom w:val="nil"/>
            </w:tcBorders>
            <w:shd w:val="clear" w:color="auto" w:fill="FFFFFF" w:themeFill="background1"/>
            <w:vAlign w:val="bottom"/>
          </w:tcPr>
          <w:p w14:paraId="64CE56B8" w14:textId="77777777" w:rsidR="008E7FC3" w:rsidRDefault="008E7FC3" w:rsidP="00177648">
            <w:pPr>
              <w:pStyle w:val="TableBody"/>
              <w:spacing w:before="45" w:after="45"/>
              <w:ind w:right="108"/>
              <w:jc w:val="right"/>
              <w:rPr>
                <w:rFonts w:ascii="Arial (Body)" w:hAnsi="Arial (Body)"/>
                <w:color w:val="000000"/>
              </w:rPr>
            </w:pPr>
            <w:r>
              <w:t>-2.513</w:t>
            </w:r>
          </w:p>
        </w:tc>
        <w:tc>
          <w:tcPr>
            <w:tcW w:w="1192" w:type="dxa"/>
            <w:tcBorders>
              <w:top w:val="nil"/>
              <w:bottom w:val="nil"/>
            </w:tcBorders>
            <w:shd w:val="clear" w:color="auto" w:fill="FFFFFF" w:themeFill="background1"/>
            <w:vAlign w:val="bottom"/>
          </w:tcPr>
          <w:p w14:paraId="5AE1C61B" w14:textId="77777777" w:rsidR="008E7FC3" w:rsidRDefault="008E7FC3" w:rsidP="00177648">
            <w:pPr>
              <w:pStyle w:val="TableBody"/>
              <w:spacing w:before="45" w:after="45"/>
              <w:ind w:right="108"/>
              <w:jc w:val="right"/>
              <w:rPr>
                <w:rFonts w:ascii="Arial (Body)" w:hAnsi="Arial (Body)"/>
                <w:color w:val="000000"/>
              </w:rPr>
            </w:pPr>
            <w:r>
              <w:t>0.145</w:t>
            </w:r>
          </w:p>
        </w:tc>
        <w:tc>
          <w:tcPr>
            <w:tcW w:w="1188" w:type="dxa"/>
            <w:tcBorders>
              <w:top w:val="nil"/>
              <w:bottom w:val="nil"/>
            </w:tcBorders>
            <w:shd w:val="clear" w:color="auto" w:fill="FFFFFF" w:themeFill="background1"/>
            <w:vAlign w:val="bottom"/>
          </w:tcPr>
          <w:p w14:paraId="2279DDEA" w14:textId="77777777" w:rsidR="008E7FC3" w:rsidRDefault="008E7FC3" w:rsidP="00177648">
            <w:pPr>
              <w:pStyle w:val="TableBody"/>
              <w:spacing w:before="45" w:after="45"/>
              <w:ind w:right="108"/>
              <w:jc w:val="right"/>
            </w:pPr>
            <w:r w:rsidRPr="00B87D67">
              <w:t>-0.554</w:t>
            </w:r>
          </w:p>
        </w:tc>
        <w:tc>
          <w:tcPr>
            <w:tcW w:w="1188" w:type="dxa"/>
            <w:tcBorders>
              <w:top w:val="nil"/>
              <w:bottom w:val="nil"/>
            </w:tcBorders>
            <w:shd w:val="clear" w:color="auto" w:fill="FFFFFF" w:themeFill="background1"/>
            <w:vAlign w:val="bottom"/>
          </w:tcPr>
          <w:p w14:paraId="38432742" w14:textId="77777777" w:rsidR="008E7FC3" w:rsidRDefault="008E7FC3" w:rsidP="00177648">
            <w:pPr>
              <w:pStyle w:val="TableBody"/>
              <w:spacing w:before="45" w:after="45"/>
              <w:ind w:right="108"/>
              <w:jc w:val="right"/>
            </w:pPr>
            <w:r w:rsidRPr="00B87D67">
              <w:t>0.004</w:t>
            </w:r>
          </w:p>
        </w:tc>
      </w:tr>
      <w:tr w:rsidR="008E7FC3" w:rsidRPr="00030C67" w14:paraId="1430F840" w14:textId="77777777" w:rsidTr="00177648">
        <w:trPr>
          <w:gridAfter w:val="1"/>
          <w:wAfter w:w="8" w:type="dxa"/>
        </w:trPr>
        <w:tc>
          <w:tcPr>
            <w:tcW w:w="4959" w:type="dxa"/>
            <w:tcBorders>
              <w:top w:val="nil"/>
              <w:bottom w:val="nil"/>
            </w:tcBorders>
            <w:shd w:val="clear" w:color="000000" w:fill="F2F2F2"/>
          </w:tcPr>
          <w:p w14:paraId="2D90F99F" w14:textId="77777777" w:rsidR="008E7FC3" w:rsidRPr="00030C67" w:rsidRDefault="008E7FC3" w:rsidP="00177648">
            <w:pPr>
              <w:pStyle w:val="TableHeading"/>
            </w:pPr>
            <w:r>
              <w:rPr>
                <w:b w:val="0"/>
                <w:bCs/>
              </w:rPr>
              <w:t>Net income x Formal care / 100,000</w:t>
            </w:r>
          </w:p>
        </w:tc>
        <w:tc>
          <w:tcPr>
            <w:tcW w:w="1187" w:type="dxa"/>
            <w:tcBorders>
              <w:top w:val="nil"/>
              <w:bottom w:val="nil"/>
            </w:tcBorders>
            <w:shd w:val="clear" w:color="000000" w:fill="F2F2F2"/>
            <w:vAlign w:val="bottom"/>
          </w:tcPr>
          <w:p w14:paraId="2DC524C7" w14:textId="77777777" w:rsidR="008E7FC3" w:rsidRDefault="008E7FC3" w:rsidP="00177648">
            <w:pPr>
              <w:pStyle w:val="TableBody"/>
              <w:spacing w:before="45" w:after="45"/>
              <w:ind w:right="108"/>
              <w:jc w:val="right"/>
              <w:rPr>
                <w:rFonts w:ascii="Arial (Body)" w:hAnsi="Arial (Body)"/>
                <w:color w:val="000000"/>
              </w:rPr>
            </w:pPr>
            <w:r>
              <w:t>0.168</w:t>
            </w:r>
          </w:p>
        </w:tc>
        <w:tc>
          <w:tcPr>
            <w:tcW w:w="1192" w:type="dxa"/>
            <w:tcBorders>
              <w:top w:val="nil"/>
              <w:bottom w:val="nil"/>
            </w:tcBorders>
            <w:shd w:val="clear" w:color="000000" w:fill="F2F2F2"/>
            <w:vAlign w:val="bottom"/>
          </w:tcPr>
          <w:p w14:paraId="7F20B2DE" w14:textId="77777777" w:rsidR="008E7FC3" w:rsidRDefault="008E7FC3" w:rsidP="00177648">
            <w:pPr>
              <w:pStyle w:val="TableBody"/>
              <w:spacing w:before="45" w:after="45"/>
              <w:ind w:right="108"/>
              <w:jc w:val="right"/>
              <w:rPr>
                <w:rFonts w:ascii="Arial (Body)" w:hAnsi="Arial (Body)"/>
                <w:color w:val="000000"/>
              </w:rPr>
            </w:pPr>
            <w:r>
              <w:t>0.836</w:t>
            </w:r>
          </w:p>
        </w:tc>
        <w:tc>
          <w:tcPr>
            <w:tcW w:w="1188" w:type="dxa"/>
            <w:tcBorders>
              <w:top w:val="nil"/>
              <w:bottom w:val="nil"/>
            </w:tcBorders>
            <w:shd w:val="clear" w:color="000000" w:fill="F2F2F2"/>
            <w:vAlign w:val="bottom"/>
          </w:tcPr>
          <w:p w14:paraId="247AE0EB" w14:textId="77777777" w:rsidR="008E7FC3" w:rsidRDefault="008E7FC3" w:rsidP="00177648">
            <w:pPr>
              <w:pStyle w:val="TableBody"/>
              <w:spacing w:before="45" w:after="45"/>
              <w:ind w:right="108"/>
              <w:jc w:val="right"/>
            </w:pPr>
            <w:r w:rsidRPr="00B87D67">
              <w:t>0.343</w:t>
            </w:r>
          </w:p>
        </w:tc>
        <w:tc>
          <w:tcPr>
            <w:tcW w:w="1188" w:type="dxa"/>
            <w:tcBorders>
              <w:top w:val="nil"/>
              <w:bottom w:val="nil"/>
            </w:tcBorders>
            <w:shd w:val="clear" w:color="000000" w:fill="F2F2F2"/>
            <w:vAlign w:val="bottom"/>
          </w:tcPr>
          <w:p w14:paraId="19134B00" w14:textId="77777777" w:rsidR="008E7FC3" w:rsidRDefault="008E7FC3" w:rsidP="00177648">
            <w:pPr>
              <w:pStyle w:val="TableBody"/>
              <w:spacing w:before="45" w:after="45"/>
              <w:ind w:right="108"/>
              <w:jc w:val="right"/>
            </w:pPr>
            <w:r w:rsidRPr="00B87D67">
              <w:t>0.001</w:t>
            </w:r>
          </w:p>
        </w:tc>
      </w:tr>
      <w:tr w:rsidR="008E7FC3" w:rsidRPr="00030C67" w14:paraId="203DA20E" w14:textId="77777777" w:rsidTr="00177648">
        <w:trPr>
          <w:gridAfter w:val="1"/>
          <w:wAfter w:w="8" w:type="dxa"/>
        </w:trPr>
        <w:tc>
          <w:tcPr>
            <w:tcW w:w="4959" w:type="dxa"/>
            <w:tcBorders>
              <w:top w:val="nil"/>
              <w:bottom w:val="nil"/>
            </w:tcBorders>
            <w:shd w:val="clear" w:color="auto" w:fill="FFFFFF" w:themeFill="background1"/>
          </w:tcPr>
          <w:p w14:paraId="35B05A09" w14:textId="77777777" w:rsidR="008E7FC3" w:rsidRPr="00030C67" w:rsidRDefault="008E7FC3" w:rsidP="00177648">
            <w:pPr>
              <w:pStyle w:val="TableHeading"/>
            </w:pPr>
            <w:r>
              <w:rPr>
                <w:b w:val="0"/>
                <w:bCs/>
              </w:rPr>
              <w:t>Net income x Number of children / 100</w:t>
            </w:r>
          </w:p>
        </w:tc>
        <w:tc>
          <w:tcPr>
            <w:tcW w:w="1187" w:type="dxa"/>
            <w:tcBorders>
              <w:top w:val="nil"/>
              <w:bottom w:val="nil"/>
            </w:tcBorders>
            <w:shd w:val="clear" w:color="auto" w:fill="FFFFFF" w:themeFill="background1"/>
            <w:vAlign w:val="bottom"/>
          </w:tcPr>
          <w:p w14:paraId="497ADA3E" w14:textId="77777777" w:rsidR="008E7FC3" w:rsidRDefault="008E7FC3" w:rsidP="00177648">
            <w:pPr>
              <w:pStyle w:val="TableBody"/>
              <w:spacing w:before="45" w:after="45"/>
              <w:ind w:right="108"/>
              <w:jc w:val="right"/>
              <w:rPr>
                <w:rFonts w:ascii="Arial (Body)" w:hAnsi="Arial (Body)"/>
                <w:color w:val="000000"/>
              </w:rPr>
            </w:pPr>
            <w:r>
              <w:t>-0.005</w:t>
            </w:r>
          </w:p>
        </w:tc>
        <w:tc>
          <w:tcPr>
            <w:tcW w:w="1192" w:type="dxa"/>
            <w:tcBorders>
              <w:top w:val="nil"/>
              <w:bottom w:val="nil"/>
            </w:tcBorders>
            <w:shd w:val="clear" w:color="auto" w:fill="FFFFFF" w:themeFill="background1"/>
            <w:vAlign w:val="bottom"/>
          </w:tcPr>
          <w:p w14:paraId="0913679A" w14:textId="77777777" w:rsidR="008E7FC3" w:rsidRDefault="008E7FC3" w:rsidP="00177648">
            <w:pPr>
              <w:pStyle w:val="TableBody"/>
              <w:spacing w:before="45" w:after="45"/>
              <w:ind w:right="108"/>
              <w:jc w:val="right"/>
              <w:rPr>
                <w:rFonts w:ascii="Arial (Body)" w:hAnsi="Arial (Body)"/>
                <w:color w:val="000000"/>
              </w:rPr>
            </w:pPr>
            <w:r>
              <w:t>0.917</w:t>
            </w:r>
          </w:p>
        </w:tc>
        <w:tc>
          <w:tcPr>
            <w:tcW w:w="1188" w:type="dxa"/>
            <w:tcBorders>
              <w:top w:val="nil"/>
              <w:bottom w:val="nil"/>
            </w:tcBorders>
            <w:shd w:val="clear" w:color="auto" w:fill="FFFFFF" w:themeFill="background1"/>
            <w:vAlign w:val="bottom"/>
          </w:tcPr>
          <w:p w14:paraId="487A21B6" w14:textId="77777777" w:rsidR="008E7FC3" w:rsidRDefault="008E7FC3" w:rsidP="00177648">
            <w:pPr>
              <w:pStyle w:val="TableBody"/>
              <w:spacing w:before="45" w:after="45"/>
              <w:ind w:right="108"/>
              <w:jc w:val="right"/>
            </w:pPr>
            <w:r w:rsidRPr="00BA627A">
              <w:t>-0.029</w:t>
            </w:r>
          </w:p>
        </w:tc>
        <w:tc>
          <w:tcPr>
            <w:tcW w:w="1188" w:type="dxa"/>
            <w:tcBorders>
              <w:top w:val="nil"/>
              <w:bottom w:val="nil"/>
            </w:tcBorders>
            <w:shd w:val="clear" w:color="auto" w:fill="FFFFFF" w:themeFill="background1"/>
            <w:vAlign w:val="bottom"/>
          </w:tcPr>
          <w:p w14:paraId="106C27C0" w14:textId="77777777" w:rsidR="008E7FC3" w:rsidRDefault="008E7FC3" w:rsidP="00177648">
            <w:pPr>
              <w:pStyle w:val="TableBody"/>
              <w:spacing w:before="45" w:after="45"/>
              <w:ind w:right="108"/>
              <w:jc w:val="right"/>
            </w:pPr>
            <w:r w:rsidRPr="00BA627A">
              <w:t>0.009</w:t>
            </w:r>
          </w:p>
        </w:tc>
      </w:tr>
      <w:tr w:rsidR="008E7FC3" w:rsidRPr="00030C67" w14:paraId="000F6D6F" w14:textId="77777777" w:rsidTr="00177648">
        <w:trPr>
          <w:gridAfter w:val="1"/>
          <w:wAfter w:w="8" w:type="dxa"/>
        </w:trPr>
        <w:tc>
          <w:tcPr>
            <w:tcW w:w="4959" w:type="dxa"/>
            <w:tcBorders>
              <w:top w:val="nil"/>
              <w:bottom w:val="nil"/>
            </w:tcBorders>
            <w:shd w:val="clear" w:color="000000" w:fill="F2F2F2"/>
          </w:tcPr>
          <w:p w14:paraId="777EBA7D" w14:textId="77777777" w:rsidR="008E7FC3" w:rsidRPr="00030C67" w:rsidRDefault="008E7FC3" w:rsidP="00177648">
            <w:pPr>
              <w:pStyle w:val="TableHeading"/>
            </w:pPr>
            <w:r>
              <w:rPr>
                <w:b w:val="0"/>
                <w:bCs/>
              </w:rPr>
              <w:t>Net income x Vocational education / 100</w:t>
            </w:r>
          </w:p>
        </w:tc>
        <w:tc>
          <w:tcPr>
            <w:tcW w:w="1187" w:type="dxa"/>
            <w:tcBorders>
              <w:top w:val="nil"/>
              <w:bottom w:val="nil"/>
            </w:tcBorders>
            <w:shd w:val="clear" w:color="000000" w:fill="F2F2F2"/>
            <w:vAlign w:val="bottom"/>
          </w:tcPr>
          <w:p w14:paraId="53C55195" w14:textId="77777777" w:rsidR="008E7FC3" w:rsidRDefault="008E7FC3" w:rsidP="00177648">
            <w:pPr>
              <w:pStyle w:val="TableBody"/>
              <w:spacing w:before="45" w:after="45"/>
              <w:ind w:right="108"/>
              <w:jc w:val="right"/>
              <w:rPr>
                <w:rFonts w:ascii="Arial (Body)" w:hAnsi="Arial (Body)"/>
                <w:color w:val="000000"/>
              </w:rPr>
            </w:pPr>
            <w:r>
              <w:t>-0.064</w:t>
            </w:r>
          </w:p>
        </w:tc>
        <w:tc>
          <w:tcPr>
            <w:tcW w:w="1192" w:type="dxa"/>
            <w:tcBorders>
              <w:top w:val="nil"/>
              <w:bottom w:val="nil"/>
            </w:tcBorders>
            <w:shd w:val="clear" w:color="000000" w:fill="F2F2F2"/>
            <w:vAlign w:val="bottom"/>
          </w:tcPr>
          <w:p w14:paraId="53D7AADA" w14:textId="77777777" w:rsidR="008E7FC3" w:rsidRDefault="008E7FC3" w:rsidP="00177648">
            <w:pPr>
              <w:pStyle w:val="TableBody"/>
              <w:spacing w:before="45" w:after="45"/>
              <w:ind w:right="108"/>
              <w:jc w:val="right"/>
              <w:rPr>
                <w:rFonts w:ascii="Arial (Body)" w:hAnsi="Arial (Body)"/>
                <w:color w:val="000000"/>
              </w:rPr>
            </w:pPr>
            <w:r>
              <w:t>0.495</w:t>
            </w:r>
          </w:p>
        </w:tc>
        <w:tc>
          <w:tcPr>
            <w:tcW w:w="1188" w:type="dxa"/>
            <w:tcBorders>
              <w:top w:val="nil"/>
              <w:bottom w:val="nil"/>
            </w:tcBorders>
            <w:shd w:val="clear" w:color="000000" w:fill="F2F2F2"/>
            <w:vAlign w:val="bottom"/>
          </w:tcPr>
          <w:p w14:paraId="13C2525A" w14:textId="77777777" w:rsidR="008E7FC3" w:rsidRDefault="008E7FC3" w:rsidP="00177648">
            <w:pPr>
              <w:pStyle w:val="TableBody"/>
              <w:spacing w:before="45" w:after="45"/>
              <w:ind w:right="108"/>
              <w:jc w:val="right"/>
            </w:pPr>
            <w:r w:rsidRPr="00BA627A">
              <w:t>-0.044</w:t>
            </w:r>
          </w:p>
        </w:tc>
        <w:tc>
          <w:tcPr>
            <w:tcW w:w="1188" w:type="dxa"/>
            <w:tcBorders>
              <w:top w:val="nil"/>
              <w:bottom w:val="nil"/>
            </w:tcBorders>
            <w:shd w:val="clear" w:color="000000" w:fill="F2F2F2"/>
            <w:vAlign w:val="bottom"/>
          </w:tcPr>
          <w:p w14:paraId="20DE026A" w14:textId="77777777" w:rsidR="008E7FC3" w:rsidRDefault="008E7FC3" w:rsidP="00177648">
            <w:pPr>
              <w:pStyle w:val="TableBody"/>
              <w:spacing w:before="45" w:after="45"/>
              <w:ind w:right="108"/>
              <w:jc w:val="right"/>
            </w:pPr>
            <w:r w:rsidRPr="00BA627A">
              <w:t>0.176</w:t>
            </w:r>
          </w:p>
        </w:tc>
      </w:tr>
      <w:tr w:rsidR="008E7FC3" w:rsidRPr="00030C67" w14:paraId="4DEF39DD" w14:textId="77777777" w:rsidTr="00177648">
        <w:trPr>
          <w:gridAfter w:val="1"/>
          <w:wAfter w:w="8" w:type="dxa"/>
        </w:trPr>
        <w:tc>
          <w:tcPr>
            <w:tcW w:w="4959" w:type="dxa"/>
            <w:tcBorders>
              <w:top w:val="nil"/>
              <w:bottom w:val="nil"/>
            </w:tcBorders>
            <w:shd w:val="clear" w:color="auto" w:fill="FFFFFF" w:themeFill="background1"/>
          </w:tcPr>
          <w:p w14:paraId="6AE5F564" w14:textId="77777777" w:rsidR="008E7FC3" w:rsidRPr="00030C67" w:rsidRDefault="008E7FC3" w:rsidP="00177648">
            <w:pPr>
              <w:pStyle w:val="TableHeading"/>
            </w:pPr>
            <w:r>
              <w:rPr>
                <w:b w:val="0"/>
                <w:bCs/>
              </w:rPr>
              <w:t>Net income x Diploma education / 100</w:t>
            </w:r>
          </w:p>
        </w:tc>
        <w:tc>
          <w:tcPr>
            <w:tcW w:w="1187" w:type="dxa"/>
            <w:tcBorders>
              <w:top w:val="nil"/>
              <w:bottom w:val="nil"/>
            </w:tcBorders>
            <w:shd w:val="clear" w:color="auto" w:fill="FFFFFF" w:themeFill="background1"/>
            <w:vAlign w:val="bottom"/>
          </w:tcPr>
          <w:p w14:paraId="1303F4C5" w14:textId="77777777" w:rsidR="008E7FC3" w:rsidRDefault="008E7FC3" w:rsidP="00177648">
            <w:pPr>
              <w:pStyle w:val="TableBody"/>
              <w:spacing w:before="45" w:after="45"/>
              <w:ind w:right="108"/>
              <w:jc w:val="right"/>
              <w:rPr>
                <w:rFonts w:ascii="Arial (Body)" w:hAnsi="Arial (Body)"/>
                <w:color w:val="000000"/>
              </w:rPr>
            </w:pPr>
            <w:r>
              <w:t>-0.104</w:t>
            </w:r>
          </w:p>
        </w:tc>
        <w:tc>
          <w:tcPr>
            <w:tcW w:w="1192" w:type="dxa"/>
            <w:tcBorders>
              <w:top w:val="nil"/>
              <w:bottom w:val="nil"/>
            </w:tcBorders>
            <w:shd w:val="clear" w:color="auto" w:fill="FFFFFF" w:themeFill="background1"/>
            <w:vAlign w:val="bottom"/>
          </w:tcPr>
          <w:p w14:paraId="19D1D900" w14:textId="77777777" w:rsidR="008E7FC3" w:rsidRDefault="008E7FC3" w:rsidP="00177648">
            <w:pPr>
              <w:pStyle w:val="TableBody"/>
              <w:spacing w:before="45" w:after="45"/>
              <w:ind w:right="108"/>
              <w:jc w:val="right"/>
              <w:rPr>
                <w:rFonts w:ascii="Arial (Body)" w:hAnsi="Arial (Body)"/>
                <w:color w:val="000000"/>
              </w:rPr>
            </w:pPr>
            <w:r>
              <w:t>0.348</w:t>
            </w:r>
          </w:p>
        </w:tc>
        <w:tc>
          <w:tcPr>
            <w:tcW w:w="1188" w:type="dxa"/>
            <w:tcBorders>
              <w:top w:val="nil"/>
              <w:bottom w:val="nil"/>
            </w:tcBorders>
            <w:shd w:val="clear" w:color="auto" w:fill="FFFFFF" w:themeFill="background1"/>
            <w:vAlign w:val="bottom"/>
          </w:tcPr>
          <w:p w14:paraId="227E87A7" w14:textId="77777777" w:rsidR="008E7FC3" w:rsidRDefault="008E7FC3" w:rsidP="00177648">
            <w:pPr>
              <w:pStyle w:val="TableBody"/>
              <w:spacing w:before="45" w:after="45"/>
              <w:ind w:right="108"/>
              <w:jc w:val="right"/>
            </w:pPr>
            <w:r w:rsidRPr="00BA627A">
              <w:t>-0.06</w:t>
            </w:r>
            <w:r>
              <w:t>0</w:t>
            </w:r>
          </w:p>
        </w:tc>
        <w:tc>
          <w:tcPr>
            <w:tcW w:w="1188" w:type="dxa"/>
            <w:tcBorders>
              <w:top w:val="nil"/>
              <w:bottom w:val="nil"/>
            </w:tcBorders>
            <w:shd w:val="clear" w:color="auto" w:fill="FFFFFF" w:themeFill="background1"/>
            <w:vAlign w:val="bottom"/>
          </w:tcPr>
          <w:p w14:paraId="6B26E36A" w14:textId="77777777" w:rsidR="008E7FC3" w:rsidRDefault="008E7FC3" w:rsidP="00177648">
            <w:pPr>
              <w:pStyle w:val="TableBody"/>
              <w:spacing w:before="45" w:after="45"/>
              <w:ind w:right="108"/>
              <w:jc w:val="right"/>
            </w:pPr>
            <w:r w:rsidRPr="00BA627A">
              <w:t>0.051</w:t>
            </w:r>
          </w:p>
        </w:tc>
      </w:tr>
      <w:tr w:rsidR="008E7FC3" w:rsidRPr="00030C67" w14:paraId="2696CF98" w14:textId="77777777" w:rsidTr="00177648">
        <w:trPr>
          <w:gridAfter w:val="1"/>
          <w:wAfter w:w="8" w:type="dxa"/>
        </w:trPr>
        <w:tc>
          <w:tcPr>
            <w:tcW w:w="4959" w:type="dxa"/>
            <w:tcBorders>
              <w:top w:val="nil"/>
              <w:bottom w:val="nil"/>
            </w:tcBorders>
            <w:shd w:val="clear" w:color="000000" w:fill="F2F2F2"/>
          </w:tcPr>
          <w:p w14:paraId="6D8BC3E6" w14:textId="77777777" w:rsidR="008E7FC3" w:rsidRPr="00030C67" w:rsidRDefault="008E7FC3" w:rsidP="00177648">
            <w:pPr>
              <w:pStyle w:val="TableHeading"/>
            </w:pPr>
            <w:r>
              <w:rPr>
                <w:b w:val="0"/>
                <w:bCs/>
              </w:rPr>
              <w:t>Net income x Degree education / 100</w:t>
            </w:r>
          </w:p>
        </w:tc>
        <w:tc>
          <w:tcPr>
            <w:tcW w:w="1187" w:type="dxa"/>
            <w:tcBorders>
              <w:top w:val="nil"/>
              <w:bottom w:val="nil"/>
            </w:tcBorders>
            <w:shd w:val="clear" w:color="000000" w:fill="F2F2F2"/>
            <w:vAlign w:val="bottom"/>
          </w:tcPr>
          <w:p w14:paraId="25E74EFC" w14:textId="77777777" w:rsidR="008E7FC3" w:rsidRDefault="008E7FC3" w:rsidP="00177648">
            <w:pPr>
              <w:pStyle w:val="TableBody"/>
              <w:spacing w:before="45" w:after="45"/>
              <w:ind w:right="108"/>
              <w:jc w:val="right"/>
              <w:rPr>
                <w:rFonts w:ascii="Arial (Body)" w:hAnsi="Arial (Body)"/>
                <w:color w:val="000000"/>
              </w:rPr>
            </w:pPr>
            <w:r>
              <w:t>-0.126</w:t>
            </w:r>
          </w:p>
        </w:tc>
        <w:tc>
          <w:tcPr>
            <w:tcW w:w="1192" w:type="dxa"/>
            <w:tcBorders>
              <w:top w:val="nil"/>
              <w:bottom w:val="nil"/>
            </w:tcBorders>
            <w:shd w:val="clear" w:color="000000" w:fill="F2F2F2"/>
            <w:vAlign w:val="bottom"/>
          </w:tcPr>
          <w:p w14:paraId="35CDD9E9" w14:textId="77777777" w:rsidR="008E7FC3" w:rsidRDefault="008E7FC3" w:rsidP="00177648">
            <w:pPr>
              <w:pStyle w:val="TableBody"/>
              <w:spacing w:before="45" w:after="45"/>
              <w:ind w:right="108"/>
              <w:jc w:val="right"/>
              <w:rPr>
                <w:rFonts w:ascii="Arial (Body)" w:hAnsi="Arial (Body)"/>
                <w:color w:val="000000"/>
              </w:rPr>
            </w:pPr>
            <w:r>
              <w:t>0.136</w:t>
            </w:r>
          </w:p>
        </w:tc>
        <w:tc>
          <w:tcPr>
            <w:tcW w:w="1188" w:type="dxa"/>
            <w:tcBorders>
              <w:top w:val="nil"/>
              <w:bottom w:val="nil"/>
            </w:tcBorders>
            <w:shd w:val="clear" w:color="000000" w:fill="F2F2F2"/>
            <w:vAlign w:val="bottom"/>
          </w:tcPr>
          <w:p w14:paraId="352D9A9C" w14:textId="77777777" w:rsidR="008E7FC3" w:rsidRDefault="008E7FC3" w:rsidP="00177648">
            <w:pPr>
              <w:pStyle w:val="TableBody"/>
              <w:spacing w:before="45" w:after="45"/>
              <w:ind w:right="108"/>
              <w:jc w:val="right"/>
            </w:pPr>
            <w:r w:rsidRPr="00BA627A">
              <w:t>-0.061</w:t>
            </w:r>
          </w:p>
        </w:tc>
        <w:tc>
          <w:tcPr>
            <w:tcW w:w="1188" w:type="dxa"/>
            <w:tcBorders>
              <w:top w:val="nil"/>
              <w:bottom w:val="nil"/>
            </w:tcBorders>
            <w:shd w:val="clear" w:color="000000" w:fill="F2F2F2"/>
            <w:vAlign w:val="bottom"/>
          </w:tcPr>
          <w:p w14:paraId="319119C8" w14:textId="77777777" w:rsidR="008E7FC3" w:rsidRDefault="008E7FC3" w:rsidP="00177648">
            <w:pPr>
              <w:pStyle w:val="TableBody"/>
              <w:spacing w:before="45" w:after="45"/>
              <w:ind w:right="108"/>
              <w:jc w:val="right"/>
            </w:pPr>
            <w:r w:rsidRPr="00BA627A">
              <w:t>0.012</w:t>
            </w:r>
          </w:p>
        </w:tc>
      </w:tr>
      <w:tr w:rsidR="008E7FC3" w:rsidRPr="00030C67" w14:paraId="65375ECF" w14:textId="77777777" w:rsidTr="00177648">
        <w:trPr>
          <w:gridAfter w:val="1"/>
          <w:wAfter w:w="8" w:type="dxa"/>
        </w:trPr>
        <w:tc>
          <w:tcPr>
            <w:tcW w:w="4959" w:type="dxa"/>
            <w:tcBorders>
              <w:top w:val="nil"/>
              <w:bottom w:val="nil"/>
            </w:tcBorders>
            <w:shd w:val="clear" w:color="auto" w:fill="FFFFFF" w:themeFill="background1"/>
          </w:tcPr>
          <w:p w14:paraId="02A6CE11" w14:textId="77777777" w:rsidR="008E7FC3" w:rsidRPr="00030C67" w:rsidRDefault="008E7FC3" w:rsidP="00177648">
            <w:pPr>
              <w:pStyle w:val="TableHeading"/>
            </w:pPr>
            <w:r>
              <w:rPr>
                <w:b w:val="0"/>
                <w:bCs/>
              </w:rPr>
              <w:t>Labour supply x Youngest child aged 0-2 / 100</w:t>
            </w:r>
          </w:p>
        </w:tc>
        <w:tc>
          <w:tcPr>
            <w:tcW w:w="1187" w:type="dxa"/>
            <w:tcBorders>
              <w:top w:val="nil"/>
              <w:bottom w:val="nil"/>
            </w:tcBorders>
            <w:shd w:val="clear" w:color="auto" w:fill="FFFFFF" w:themeFill="background1"/>
            <w:vAlign w:val="bottom"/>
          </w:tcPr>
          <w:p w14:paraId="543C1F77" w14:textId="77777777" w:rsidR="008E7FC3" w:rsidRDefault="008E7FC3" w:rsidP="00177648">
            <w:pPr>
              <w:pStyle w:val="TableBody"/>
              <w:spacing w:before="45" w:after="45"/>
              <w:ind w:right="108"/>
              <w:jc w:val="right"/>
              <w:rPr>
                <w:rFonts w:ascii="Arial (Body)" w:hAnsi="Arial (Body)"/>
                <w:color w:val="000000"/>
              </w:rPr>
            </w:pPr>
            <w:r>
              <w:t>-3.655</w:t>
            </w:r>
          </w:p>
        </w:tc>
        <w:tc>
          <w:tcPr>
            <w:tcW w:w="1192" w:type="dxa"/>
            <w:tcBorders>
              <w:top w:val="nil"/>
              <w:bottom w:val="nil"/>
            </w:tcBorders>
            <w:shd w:val="clear" w:color="auto" w:fill="FFFFFF" w:themeFill="background1"/>
            <w:vAlign w:val="bottom"/>
          </w:tcPr>
          <w:p w14:paraId="21900867" w14:textId="77777777" w:rsidR="008E7FC3" w:rsidRDefault="008E7FC3" w:rsidP="00177648">
            <w:pPr>
              <w:pStyle w:val="TableBody"/>
              <w:spacing w:before="45" w:after="45"/>
              <w:ind w:right="108"/>
              <w:jc w:val="right"/>
              <w:rPr>
                <w:rFonts w:ascii="Arial (Body)" w:hAnsi="Arial (Body)"/>
                <w:color w:val="000000"/>
              </w:rPr>
            </w:pPr>
            <w:r>
              <w:t>0.003</w:t>
            </w:r>
          </w:p>
        </w:tc>
        <w:tc>
          <w:tcPr>
            <w:tcW w:w="1188" w:type="dxa"/>
            <w:tcBorders>
              <w:top w:val="nil"/>
              <w:bottom w:val="nil"/>
            </w:tcBorders>
            <w:shd w:val="clear" w:color="auto" w:fill="FFFFFF" w:themeFill="background1"/>
            <w:vAlign w:val="bottom"/>
          </w:tcPr>
          <w:p w14:paraId="2D9F1EAD" w14:textId="77777777" w:rsidR="008E7FC3" w:rsidRDefault="008E7FC3" w:rsidP="00177648">
            <w:pPr>
              <w:pStyle w:val="TableBody"/>
              <w:spacing w:before="45" w:after="45"/>
              <w:ind w:right="108"/>
              <w:jc w:val="right"/>
            </w:pPr>
            <w:r w:rsidRPr="00D41F33">
              <w:t>-4.57</w:t>
            </w:r>
            <w:r>
              <w:t>0</w:t>
            </w:r>
          </w:p>
        </w:tc>
        <w:tc>
          <w:tcPr>
            <w:tcW w:w="1188" w:type="dxa"/>
            <w:tcBorders>
              <w:top w:val="nil"/>
              <w:bottom w:val="nil"/>
            </w:tcBorders>
            <w:shd w:val="clear" w:color="auto" w:fill="FFFFFF" w:themeFill="background1"/>
            <w:vAlign w:val="bottom"/>
          </w:tcPr>
          <w:p w14:paraId="4C68A2B9" w14:textId="77777777" w:rsidR="008E7FC3" w:rsidRDefault="008E7FC3" w:rsidP="00177648">
            <w:pPr>
              <w:pStyle w:val="TableBody"/>
              <w:spacing w:before="45" w:after="45"/>
              <w:ind w:right="108"/>
              <w:jc w:val="right"/>
            </w:pPr>
            <w:r w:rsidRPr="00D41F33">
              <w:t>&lt;0.001</w:t>
            </w:r>
          </w:p>
        </w:tc>
      </w:tr>
      <w:tr w:rsidR="008E7FC3" w:rsidRPr="00030C67" w14:paraId="5138A500" w14:textId="77777777" w:rsidTr="00177648">
        <w:trPr>
          <w:gridAfter w:val="1"/>
          <w:wAfter w:w="8" w:type="dxa"/>
        </w:trPr>
        <w:tc>
          <w:tcPr>
            <w:tcW w:w="4959" w:type="dxa"/>
            <w:tcBorders>
              <w:top w:val="nil"/>
              <w:bottom w:val="nil"/>
            </w:tcBorders>
            <w:shd w:val="clear" w:color="000000" w:fill="F2F2F2"/>
          </w:tcPr>
          <w:p w14:paraId="183D0F9B" w14:textId="77777777" w:rsidR="008E7FC3" w:rsidRPr="00030C67" w:rsidRDefault="008E7FC3" w:rsidP="00177648">
            <w:pPr>
              <w:pStyle w:val="TableHeading"/>
            </w:pPr>
            <w:r>
              <w:rPr>
                <w:b w:val="0"/>
                <w:bCs/>
              </w:rPr>
              <w:t>Labour supply x Youngest child aged 3-5 / 100</w:t>
            </w:r>
          </w:p>
        </w:tc>
        <w:tc>
          <w:tcPr>
            <w:tcW w:w="1187" w:type="dxa"/>
            <w:tcBorders>
              <w:top w:val="nil"/>
              <w:bottom w:val="nil"/>
            </w:tcBorders>
            <w:shd w:val="clear" w:color="000000" w:fill="F2F2F2"/>
            <w:vAlign w:val="bottom"/>
          </w:tcPr>
          <w:p w14:paraId="798C7011" w14:textId="77777777" w:rsidR="008E7FC3" w:rsidRDefault="008E7FC3" w:rsidP="00177648">
            <w:pPr>
              <w:pStyle w:val="TableBody"/>
              <w:spacing w:before="45" w:after="45"/>
              <w:ind w:right="108"/>
              <w:jc w:val="right"/>
              <w:rPr>
                <w:rFonts w:ascii="Arial (Body)" w:hAnsi="Arial (Body)"/>
                <w:color w:val="000000"/>
              </w:rPr>
            </w:pPr>
            <w:r>
              <w:t>-3.524</w:t>
            </w:r>
          </w:p>
        </w:tc>
        <w:tc>
          <w:tcPr>
            <w:tcW w:w="1192" w:type="dxa"/>
            <w:tcBorders>
              <w:top w:val="nil"/>
              <w:bottom w:val="nil"/>
            </w:tcBorders>
            <w:shd w:val="clear" w:color="000000" w:fill="F2F2F2"/>
            <w:vAlign w:val="bottom"/>
          </w:tcPr>
          <w:p w14:paraId="1BB43650" w14:textId="77777777" w:rsidR="008E7FC3" w:rsidRDefault="008E7FC3" w:rsidP="00177648">
            <w:pPr>
              <w:pStyle w:val="TableBody"/>
              <w:spacing w:before="45" w:after="45"/>
              <w:ind w:right="108"/>
              <w:jc w:val="right"/>
              <w:rPr>
                <w:rFonts w:ascii="Arial (Body)" w:hAnsi="Arial (Body)"/>
                <w:color w:val="000000"/>
              </w:rPr>
            </w:pPr>
            <w:r>
              <w:t>0.002</w:t>
            </w:r>
          </w:p>
        </w:tc>
        <w:tc>
          <w:tcPr>
            <w:tcW w:w="1188" w:type="dxa"/>
            <w:tcBorders>
              <w:top w:val="nil"/>
              <w:bottom w:val="nil"/>
            </w:tcBorders>
            <w:shd w:val="clear" w:color="000000" w:fill="F2F2F2"/>
            <w:vAlign w:val="bottom"/>
          </w:tcPr>
          <w:p w14:paraId="6B945188" w14:textId="77777777" w:rsidR="008E7FC3" w:rsidRDefault="008E7FC3" w:rsidP="00177648">
            <w:pPr>
              <w:pStyle w:val="TableBody"/>
              <w:spacing w:before="45" w:after="45"/>
              <w:ind w:right="108"/>
              <w:jc w:val="right"/>
            </w:pPr>
            <w:r w:rsidRPr="00D41F33">
              <w:t>-3.657</w:t>
            </w:r>
          </w:p>
        </w:tc>
        <w:tc>
          <w:tcPr>
            <w:tcW w:w="1188" w:type="dxa"/>
            <w:tcBorders>
              <w:top w:val="nil"/>
              <w:bottom w:val="nil"/>
            </w:tcBorders>
            <w:shd w:val="clear" w:color="000000" w:fill="F2F2F2"/>
            <w:vAlign w:val="bottom"/>
          </w:tcPr>
          <w:p w14:paraId="3408D0A2" w14:textId="77777777" w:rsidR="008E7FC3" w:rsidRDefault="008E7FC3" w:rsidP="00177648">
            <w:pPr>
              <w:pStyle w:val="TableBody"/>
              <w:spacing w:before="45" w:after="45"/>
              <w:ind w:right="108"/>
              <w:jc w:val="right"/>
            </w:pPr>
            <w:r w:rsidRPr="00D41F33">
              <w:t>&lt;0.001</w:t>
            </w:r>
          </w:p>
        </w:tc>
      </w:tr>
      <w:tr w:rsidR="008E7FC3" w:rsidRPr="00030C67" w14:paraId="013C0171" w14:textId="77777777" w:rsidTr="00177648">
        <w:trPr>
          <w:gridAfter w:val="1"/>
          <w:wAfter w:w="8" w:type="dxa"/>
        </w:trPr>
        <w:tc>
          <w:tcPr>
            <w:tcW w:w="4959" w:type="dxa"/>
            <w:tcBorders>
              <w:top w:val="nil"/>
              <w:bottom w:val="nil"/>
            </w:tcBorders>
            <w:shd w:val="clear" w:color="auto" w:fill="FFFFFF" w:themeFill="background1"/>
          </w:tcPr>
          <w:p w14:paraId="051EDC27" w14:textId="77777777" w:rsidR="008E7FC3" w:rsidRPr="00030C67" w:rsidRDefault="008E7FC3" w:rsidP="00177648">
            <w:pPr>
              <w:pStyle w:val="TableHeading"/>
            </w:pPr>
            <w:r>
              <w:rPr>
                <w:b w:val="0"/>
                <w:bCs/>
              </w:rPr>
              <w:t>Labour supply x Youngest child aged 6-9 / 100</w:t>
            </w:r>
          </w:p>
        </w:tc>
        <w:tc>
          <w:tcPr>
            <w:tcW w:w="1187" w:type="dxa"/>
            <w:tcBorders>
              <w:top w:val="nil"/>
              <w:bottom w:val="nil"/>
            </w:tcBorders>
            <w:shd w:val="clear" w:color="auto" w:fill="FFFFFF" w:themeFill="background1"/>
            <w:vAlign w:val="bottom"/>
          </w:tcPr>
          <w:p w14:paraId="0BF06DE8" w14:textId="77777777" w:rsidR="008E7FC3" w:rsidRDefault="008E7FC3" w:rsidP="00177648">
            <w:pPr>
              <w:pStyle w:val="TableBody"/>
              <w:spacing w:before="45" w:after="45"/>
              <w:ind w:right="108"/>
              <w:jc w:val="right"/>
              <w:rPr>
                <w:rFonts w:ascii="Arial (Body)" w:hAnsi="Arial (Body)"/>
                <w:color w:val="000000"/>
              </w:rPr>
            </w:pPr>
            <w:r>
              <w:t>-0.041</w:t>
            </w:r>
          </w:p>
        </w:tc>
        <w:tc>
          <w:tcPr>
            <w:tcW w:w="1192" w:type="dxa"/>
            <w:tcBorders>
              <w:top w:val="nil"/>
              <w:bottom w:val="nil"/>
            </w:tcBorders>
            <w:shd w:val="clear" w:color="auto" w:fill="FFFFFF" w:themeFill="background1"/>
            <w:vAlign w:val="bottom"/>
          </w:tcPr>
          <w:p w14:paraId="21B5176E" w14:textId="77777777" w:rsidR="008E7FC3" w:rsidRDefault="008E7FC3" w:rsidP="00177648">
            <w:pPr>
              <w:pStyle w:val="TableBody"/>
              <w:spacing w:before="45" w:after="45"/>
              <w:ind w:right="108"/>
              <w:jc w:val="right"/>
              <w:rPr>
                <w:rFonts w:ascii="Arial (Body)" w:hAnsi="Arial (Body)"/>
                <w:color w:val="000000"/>
              </w:rPr>
            </w:pPr>
            <w:r>
              <w:t>0.966</w:t>
            </w:r>
          </w:p>
        </w:tc>
        <w:tc>
          <w:tcPr>
            <w:tcW w:w="1188" w:type="dxa"/>
            <w:tcBorders>
              <w:top w:val="nil"/>
              <w:bottom w:val="nil"/>
            </w:tcBorders>
            <w:shd w:val="clear" w:color="auto" w:fill="FFFFFF" w:themeFill="background1"/>
            <w:vAlign w:val="bottom"/>
          </w:tcPr>
          <w:p w14:paraId="3B5088A4" w14:textId="77777777" w:rsidR="008E7FC3" w:rsidRDefault="008E7FC3" w:rsidP="00177648">
            <w:pPr>
              <w:pStyle w:val="TableBody"/>
              <w:spacing w:before="45" w:after="45"/>
              <w:ind w:right="108"/>
              <w:jc w:val="right"/>
            </w:pPr>
            <w:r w:rsidRPr="00D41F33">
              <w:t>-1.312</w:t>
            </w:r>
          </w:p>
        </w:tc>
        <w:tc>
          <w:tcPr>
            <w:tcW w:w="1188" w:type="dxa"/>
            <w:tcBorders>
              <w:top w:val="nil"/>
              <w:bottom w:val="nil"/>
            </w:tcBorders>
            <w:shd w:val="clear" w:color="auto" w:fill="FFFFFF" w:themeFill="background1"/>
            <w:vAlign w:val="bottom"/>
          </w:tcPr>
          <w:p w14:paraId="1B96BF77" w14:textId="77777777" w:rsidR="008E7FC3" w:rsidRDefault="008E7FC3" w:rsidP="00177648">
            <w:pPr>
              <w:pStyle w:val="TableBody"/>
              <w:spacing w:before="45" w:after="45"/>
              <w:ind w:right="108"/>
              <w:jc w:val="right"/>
            </w:pPr>
            <w:r w:rsidRPr="00D41F33">
              <w:t>0.032</w:t>
            </w:r>
          </w:p>
        </w:tc>
      </w:tr>
      <w:tr w:rsidR="008E7FC3" w:rsidRPr="00030C67" w14:paraId="17EF5925" w14:textId="77777777" w:rsidTr="00177648">
        <w:trPr>
          <w:gridAfter w:val="1"/>
          <w:wAfter w:w="8" w:type="dxa"/>
        </w:trPr>
        <w:tc>
          <w:tcPr>
            <w:tcW w:w="4959" w:type="dxa"/>
            <w:tcBorders>
              <w:top w:val="nil"/>
              <w:bottom w:val="nil"/>
            </w:tcBorders>
            <w:shd w:val="clear" w:color="000000" w:fill="F2F2F2"/>
          </w:tcPr>
          <w:p w14:paraId="760FEAEB" w14:textId="77777777" w:rsidR="008E7FC3" w:rsidRPr="00030C67" w:rsidRDefault="008E7FC3" w:rsidP="00177648">
            <w:pPr>
              <w:pStyle w:val="TableHeading"/>
            </w:pPr>
            <w:r>
              <w:rPr>
                <w:b w:val="0"/>
                <w:bCs/>
              </w:rPr>
              <w:t>Labour supply x Number of children / 100</w:t>
            </w:r>
          </w:p>
        </w:tc>
        <w:tc>
          <w:tcPr>
            <w:tcW w:w="1187" w:type="dxa"/>
            <w:tcBorders>
              <w:top w:val="nil"/>
              <w:bottom w:val="nil"/>
            </w:tcBorders>
            <w:shd w:val="clear" w:color="000000" w:fill="F2F2F2"/>
            <w:vAlign w:val="bottom"/>
          </w:tcPr>
          <w:p w14:paraId="5BB43347" w14:textId="77777777" w:rsidR="008E7FC3" w:rsidRDefault="008E7FC3" w:rsidP="00177648">
            <w:pPr>
              <w:pStyle w:val="TableBody"/>
              <w:spacing w:before="45" w:after="45"/>
              <w:ind w:right="108"/>
              <w:jc w:val="right"/>
              <w:rPr>
                <w:rFonts w:ascii="Arial (Body)" w:hAnsi="Arial (Body)"/>
                <w:color w:val="000000"/>
              </w:rPr>
            </w:pPr>
            <w:r>
              <w:t>0.236</w:t>
            </w:r>
          </w:p>
        </w:tc>
        <w:tc>
          <w:tcPr>
            <w:tcW w:w="1192" w:type="dxa"/>
            <w:tcBorders>
              <w:top w:val="nil"/>
              <w:bottom w:val="nil"/>
            </w:tcBorders>
            <w:shd w:val="clear" w:color="000000" w:fill="F2F2F2"/>
            <w:vAlign w:val="bottom"/>
          </w:tcPr>
          <w:p w14:paraId="2B20248E" w14:textId="77777777" w:rsidR="008E7FC3" w:rsidRDefault="008E7FC3" w:rsidP="00177648">
            <w:pPr>
              <w:pStyle w:val="TableBody"/>
              <w:spacing w:before="45" w:after="45"/>
              <w:ind w:right="108"/>
              <w:jc w:val="right"/>
              <w:rPr>
                <w:rFonts w:ascii="Arial (Body)" w:hAnsi="Arial (Body)"/>
                <w:color w:val="000000"/>
              </w:rPr>
            </w:pPr>
            <w:r>
              <w:t>0.870</w:t>
            </w:r>
          </w:p>
        </w:tc>
        <w:tc>
          <w:tcPr>
            <w:tcW w:w="1188" w:type="dxa"/>
            <w:tcBorders>
              <w:top w:val="nil"/>
              <w:bottom w:val="nil"/>
            </w:tcBorders>
            <w:shd w:val="clear" w:color="000000" w:fill="F2F2F2"/>
            <w:vAlign w:val="bottom"/>
          </w:tcPr>
          <w:p w14:paraId="0B27156F" w14:textId="77777777" w:rsidR="008E7FC3" w:rsidRDefault="008E7FC3" w:rsidP="00177648">
            <w:pPr>
              <w:pStyle w:val="TableBody"/>
              <w:spacing w:before="45" w:after="45"/>
              <w:ind w:right="108"/>
              <w:jc w:val="right"/>
            </w:pPr>
            <w:r w:rsidRPr="00D41F33">
              <w:t>0.838</w:t>
            </w:r>
          </w:p>
        </w:tc>
        <w:tc>
          <w:tcPr>
            <w:tcW w:w="1188" w:type="dxa"/>
            <w:tcBorders>
              <w:top w:val="nil"/>
              <w:bottom w:val="nil"/>
            </w:tcBorders>
            <w:shd w:val="clear" w:color="000000" w:fill="F2F2F2"/>
            <w:vAlign w:val="bottom"/>
          </w:tcPr>
          <w:p w14:paraId="756DFF7D" w14:textId="77777777" w:rsidR="008E7FC3" w:rsidRDefault="008E7FC3" w:rsidP="00177648">
            <w:pPr>
              <w:pStyle w:val="TableBody"/>
              <w:spacing w:before="45" w:after="45"/>
              <w:ind w:right="108"/>
              <w:jc w:val="right"/>
            </w:pPr>
            <w:r w:rsidRPr="00D41F33">
              <w:t>0.132</w:t>
            </w:r>
          </w:p>
        </w:tc>
      </w:tr>
      <w:tr w:rsidR="008E7FC3" w:rsidRPr="00030C67" w14:paraId="3A859031" w14:textId="77777777" w:rsidTr="00177648">
        <w:trPr>
          <w:gridAfter w:val="1"/>
          <w:wAfter w:w="8" w:type="dxa"/>
        </w:trPr>
        <w:tc>
          <w:tcPr>
            <w:tcW w:w="4959" w:type="dxa"/>
            <w:tcBorders>
              <w:top w:val="nil"/>
              <w:bottom w:val="nil"/>
            </w:tcBorders>
            <w:shd w:val="clear" w:color="auto" w:fill="FFFFFF" w:themeFill="background1"/>
          </w:tcPr>
          <w:p w14:paraId="543BA84C" w14:textId="77777777" w:rsidR="008E7FC3" w:rsidRPr="00030C67" w:rsidRDefault="008E7FC3" w:rsidP="00177648">
            <w:pPr>
              <w:pStyle w:val="TableHeading"/>
            </w:pPr>
            <w:r>
              <w:rPr>
                <w:b w:val="0"/>
                <w:bCs/>
              </w:rPr>
              <w:t>Labour supply x Vocational education / 100</w:t>
            </w:r>
          </w:p>
        </w:tc>
        <w:tc>
          <w:tcPr>
            <w:tcW w:w="1187" w:type="dxa"/>
            <w:tcBorders>
              <w:top w:val="nil"/>
              <w:bottom w:val="nil"/>
            </w:tcBorders>
            <w:shd w:val="clear" w:color="auto" w:fill="FFFFFF" w:themeFill="background1"/>
            <w:vAlign w:val="bottom"/>
          </w:tcPr>
          <w:p w14:paraId="0FB44CDF" w14:textId="77777777" w:rsidR="008E7FC3" w:rsidRDefault="008E7FC3" w:rsidP="00177648">
            <w:pPr>
              <w:pStyle w:val="TableBody"/>
              <w:spacing w:before="45" w:after="45"/>
              <w:ind w:right="108"/>
              <w:jc w:val="right"/>
              <w:rPr>
                <w:rFonts w:ascii="Arial (Body)" w:hAnsi="Arial (Body)"/>
                <w:color w:val="000000"/>
              </w:rPr>
            </w:pPr>
            <w:r>
              <w:t>4.151</w:t>
            </w:r>
          </w:p>
        </w:tc>
        <w:tc>
          <w:tcPr>
            <w:tcW w:w="1192" w:type="dxa"/>
            <w:tcBorders>
              <w:top w:val="nil"/>
              <w:bottom w:val="nil"/>
            </w:tcBorders>
            <w:shd w:val="clear" w:color="auto" w:fill="FFFFFF" w:themeFill="background1"/>
            <w:vAlign w:val="bottom"/>
          </w:tcPr>
          <w:p w14:paraId="12F5B1A6" w14:textId="77777777" w:rsidR="008E7FC3" w:rsidRDefault="008E7FC3" w:rsidP="00177648">
            <w:pPr>
              <w:pStyle w:val="TableBody"/>
              <w:spacing w:before="45" w:after="45"/>
              <w:ind w:right="108"/>
              <w:jc w:val="right"/>
              <w:rPr>
                <w:rFonts w:ascii="Arial (Body)" w:hAnsi="Arial (Body)"/>
                <w:color w:val="000000"/>
              </w:rPr>
            </w:pPr>
            <w:r>
              <w:t>0.104</w:t>
            </w:r>
          </w:p>
        </w:tc>
        <w:tc>
          <w:tcPr>
            <w:tcW w:w="1188" w:type="dxa"/>
            <w:tcBorders>
              <w:top w:val="nil"/>
              <w:bottom w:val="nil"/>
            </w:tcBorders>
            <w:shd w:val="clear" w:color="auto" w:fill="FFFFFF" w:themeFill="background1"/>
            <w:vAlign w:val="bottom"/>
          </w:tcPr>
          <w:p w14:paraId="76ACEE57" w14:textId="77777777" w:rsidR="008E7FC3" w:rsidRDefault="008E7FC3" w:rsidP="00177648">
            <w:pPr>
              <w:pStyle w:val="TableBody"/>
              <w:spacing w:before="45" w:after="45"/>
              <w:ind w:right="108"/>
              <w:jc w:val="right"/>
            </w:pPr>
            <w:r w:rsidRPr="00D41F33">
              <w:t>2.246</w:t>
            </w:r>
          </w:p>
        </w:tc>
        <w:tc>
          <w:tcPr>
            <w:tcW w:w="1188" w:type="dxa"/>
            <w:tcBorders>
              <w:top w:val="nil"/>
              <w:bottom w:val="nil"/>
            </w:tcBorders>
            <w:shd w:val="clear" w:color="auto" w:fill="FFFFFF" w:themeFill="background1"/>
            <w:vAlign w:val="bottom"/>
          </w:tcPr>
          <w:p w14:paraId="634072EB" w14:textId="77777777" w:rsidR="008E7FC3" w:rsidRDefault="008E7FC3" w:rsidP="00177648">
            <w:pPr>
              <w:pStyle w:val="TableBody"/>
              <w:spacing w:before="45" w:after="45"/>
              <w:ind w:right="108"/>
              <w:jc w:val="right"/>
            </w:pPr>
            <w:r w:rsidRPr="00D41F33">
              <w:t>0.081</w:t>
            </w:r>
          </w:p>
        </w:tc>
      </w:tr>
      <w:tr w:rsidR="008E7FC3" w:rsidRPr="00030C67" w14:paraId="00BAFBB7" w14:textId="77777777" w:rsidTr="00177648">
        <w:trPr>
          <w:gridAfter w:val="1"/>
          <w:wAfter w:w="8" w:type="dxa"/>
        </w:trPr>
        <w:tc>
          <w:tcPr>
            <w:tcW w:w="4959" w:type="dxa"/>
            <w:tcBorders>
              <w:top w:val="nil"/>
              <w:bottom w:val="nil"/>
            </w:tcBorders>
            <w:shd w:val="clear" w:color="000000" w:fill="F2F2F2"/>
          </w:tcPr>
          <w:p w14:paraId="30F97414" w14:textId="77777777" w:rsidR="008E7FC3" w:rsidRPr="00030C67" w:rsidRDefault="008E7FC3" w:rsidP="00177648">
            <w:pPr>
              <w:pStyle w:val="TableHeading"/>
            </w:pPr>
            <w:r>
              <w:rPr>
                <w:b w:val="0"/>
                <w:bCs/>
              </w:rPr>
              <w:t>Labour supply x Diploma education / 100</w:t>
            </w:r>
          </w:p>
        </w:tc>
        <w:tc>
          <w:tcPr>
            <w:tcW w:w="1187" w:type="dxa"/>
            <w:tcBorders>
              <w:top w:val="nil"/>
              <w:bottom w:val="nil"/>
            </w:tcBorders>
            <w:shd w:val="clear" w:color="000000" w:fill="F2F2F2"/>
            <w:vAlign w:val="bottom"/>
          </w:tcPr>
          <w:p w14:paraId="6CE6F9A8" w14:textId="77777777" w:rsidR="008E7FC3" w:rsidRDefault="008E7FC3" w:rsidP="00177648">
            <w:pPr>
              <w:pStyle w:val="TableBody"/>
              <w:spacing w:before="45" w:after="45"/>
              <w:ind w:right="108"/>
              <w:jc w:val="right"/>
              <w:rPr>
                <w:rFonts w:ascii="Arial (Body)" w:hAnsi="Arial (Body)"/>
                <w:color w:val="000000"/>
              </w:rPr>
            </w:pPr>
            <w:r>
              <w:t>6.394</w:t>
            </w:r>
          </w:p>
        </w:tc>
        <w:tc>
          <w:tcPr>
            <w:tcW w:w="1192" w:type="dxa"/>
            <w:tcBorders>
              <w:top w:val="nil"/>
              <w:bottom w:val="nil"/>
            </w:tcBorders>
            <w:shd w:val="clear" w:color="000000" w:fill="F2F2F2"/>
            <w:vAlign w:val="bottom"/>
          </w:tcPr>
          <w:p w14:paraId="74048C6D" w14:textId="77777777" w:rsidR="008E7FC3" w:rsidRDefault="008E7FC3" w:rsidP="00177648">
            <w:pPr>
              <w:pStyle w:val="TableBody"/>
              <w:spacing w:before="45" w:after="45"/>
              <w:ind w:right="108"/>
              <w:jc w:val="right"/>
              <w:rPr>
                <w:rFonts w:ascii="Arial (Body)" w:hAnsi="Arial (Body)"/>
                <w:color w:val="000000"/>
              </w:rPr>
            </w:pPr>
            <w:r>
              <w:t>0.052</w:t>
            </w:r>
          </w:p>
        </w:tc>
        <w:tc>
          <w:tcPr>
            <w:tcW w:w="1188" w:type="dxa"/>
            <w:tcBorders>
              <w:top w:val="nil"/>
              <w:bottom w:val="nil"/>
            </w:tcBorders>
            <w:shd w:val="clear" w:color="000000" w:fill="F2F2F2"/>
            <w:vAlign w:val="bottom"/>
          </w:tcPr>
          <w:p w14:paraId="6D8C2F1A" w14:textId="77777777" w:rsidR="008E7FC3" w:rsidRDefault="008E7FC3" w:rsidP="00177648">
            <w:pPr>
              <w:pStyle w:val="TableBody"/>
              <w:spacing w:before="45" w:after="45"/>
              <w:ind w:right="108"/>
              <w:jc w:val="right"/>
            </w:pPr>
            <w:r w:rsidRPr="00D41F33">
              <w:t>3.594</w:t>
            </w:r>
          </w:p>
        </w:tc>
        <w:tc>
          <w:tcPr>
            <w:tcW w:w="1188" w:type="dxa"/>
            <w:tcBorders>
              <w:top w:val="nil"/>
              <w:bottom w:val="nil"/>
            </w:tcBorders>
            <w:shd w:val="clear" w:color="000000" w:fill="F2F2F2"/>
            <w:vAlign w:val="bottom"/>
          </w:tcPr>
          <w:p w14:paraId="35F7DBE0" w14:textId="77777777" w:rsidR="008E7FC3" w:rsidRDefault="008E7FC3" w:rsidP="00177648">
            <w:pPr>
              <w:pStyle w:val="TableBody"/>
              <w:spacing w:before="45" w:after="45"/>
              <w:ind w:right="108"/>
              <w:jc w:val="right"/>
            </w:pPr>
            <w:r w:rsidRPr="00D41F33">
              <w:t>0.007</w:t>
            </w:r>
          </w:p>
        </w:tc>
      </w:tr>
      <w:tr w:rsidR="008E7FC3" w:rsidRPr="00030C67" w14:paraId="1CB8CCA1" w14:textId="77777777" w:rsidTr="00177648">
        <w:trPr>
          <w:gridAfter w:val="1"/>
          <w:wAfter w:w="8" w:type="dxa"/>
        </w:trPr>
        <w:tc>
          <w:tcPr>
            <w:tcW w:w="4959" w:type="dxa"/>
            <w:tcBorders>
              <w:top w:val="nil"/>
              <w:bottom w:val="nil"/>
            </w:tcBorders>
            <w:shd w:val="clear" w:color="auto" w:fill="FFFFFF" w:themeFill="background1"/>
          </w:tcPr>
          <w:p w14:paraId="20575F11" w14:textId="77777777" w:rsidR="008E7FC3" w:rsidRPr="00030C67" w:rsidRDefault="008E7FC3" w:rsidP="00177648">
            <w:pPr>
              <w:pStyle w:val="TableHeading"/>
            </w:pPr>
            <w:r>
              <w:rPr>
                <w:b w:val="0"/>
                <w:bCs/>
              </w:rPr>
              <w:t>Labour supply x Degree education / 100</w:t>
            </w:r>
          </w:p>
        </w:tc>
        <w:tc>
          <w:tcPr>
            <w:tcW w:w="1187" w:type="dxa"/>
            <w:tcBorders>
              <w:top w:val="nil"/>
              <w:bottom w:val="nil"/>
            </w:tcBorders>
            <w:shd w:val="clear" w:color="auto" w:fill="FFFFFF" w:themeFill="background1"/>
            <w:vAlign w:val="bottom"/>
          </w:tcPr>
          <w:p w14:paraId="52E6E2DF" w14:textId="77777777" w:rsidR="008E7FC3" w:rsidRDefault="008E7FC3" w:rsidP="00177648">
            <w:pPr>
              <w:pStyle w:val="TableBody"/>
              <w:spacing w:before="45" w:after="45"/>
              <w:ind w:right="108"/>
              <w:jc w:val="right"/>
              <w:rPr>
                <w:rFonts w:ascii="Arial (Body)" w:hAnsi="Arial (Body)"/>
                <w:color w:val="000000"/>
              </w:rPr>
            </w:pPr>
            <w:r>
              <w:t>8.162</w:t>
            </w:r>
          </w:p>
        </w:tc>
        <w:tc>
          <w:tcPr>
            <w:tcW w:w="1192" w:type="dxa"/>
            <w:tcBorders>
              <w:top w:val="nil"/>
              <w:bottom w:val="nil"/>
            </w:tcBorders>
            <w:shd w:val="clear" w:color="auto" w:fill="FFFFFF" w:themeFill="background1"/>
            <w:vAlign w:val="bottom"/>
          </w:tcPr>
          <w:p w14:paraId="7E9A663A" w14:textId="77777777" w:rsidR="008E7FC3" w:rsidRDefault="008E7FC3" w:rsidP="00177648">
            <w:pPr>
              <w:pStyle w:val="TableBody"/>
              <w:spacing w:before="45" w:after="45"/>
              <w:ind w:right="108"/>
              <w:jc w:val="right"/>
              <w:rPr>
                <w:rFonts w:ascii="Arial (Body)" w:hAnsi="Arial (Body)"/>
                <w:color w:val="000000"/>
              </w:rPr>
            </w:pPr>
            <w:r>
              <w:t>0.001</w:t>
            </w:r>
          </w:p>
        </w:tc>
        <w:tc>
          <w:tcPr>
            <w:tcW w:w="1188" w:type="dxa"/>
            <w:tcBorders>
              <w:top w:val="nil"/>
              <w:bottom w:val="nil"/>
            </w:tcBorders>
            <w:shd w:val="clear" w:color="auto" w:fill="FFFFFF" w:themeFill="background1"/>
            <w:vAlign w:val="bottom"/>
          </w:tcPr>
          <w:p w14:paraId="0450C618" w14:textId="77777777" w:rsidR="008E7FC3" w:rsidRDefault="008E7FC3" w:rsidP="00177648">
            <w:pPr>
              <w:pStyle w:val="TableBody"/>
              <w:spacing w:before="45" w:after="45"/>
              <w:ind w:right="108"/>
              <w:jc w:val="right"/>
            </w:pPr>
            <w:r w:rsidRPr="00D41F33">
              <w:t>3.978</w:t>
            </w:r>
          </w:p>
        </w:tc>
        <w:tc>
          <w:tcPr>
            <w:tcW w:w="1188" w:type="dxa"/>
            <w:tcBorders>
              <w:top w:val="nil"/>
              <w:bottom w:val="nil"/>
            </w:tcBorders>
            <w:shd w:val="clear" w:color="auto" w:fill="FFFFFF" w:themeFill="background1"/>
            <w:vAlign w:val="bottom"/>
          </w:tcPr>
          <w:p w14:paraId="29CC467C" w14:textId="77777777" w:rsidR="008E7FC3" w:rsidRDefault="008E7FC3" w:rsidP="00177648">
            <w:pPr>
              <w:pStyle w:val="TableBody"/>
              <w:spacing w:before="45" w:after="45"/>
              <w:ind w:right="108"/>
              <w:jc w:val="right"/>
            </w:pPr>
            <w:r w:rsidRPr="00D41F33">
              <w:t>&lt;0.001</w:t>
            </w:r>
          </w:p>
        </w:tc>
      </w:tr>
      <w:tr w:rsidR="008E7FC3" w:rsidRPr="00030C67" w14:paraId="7EB128E5" w14:textId="77777777" w:rsidTr="00177648">
        <w:trPr>
          <w:gridAfter w:val="1"/>
          <w:wAfter w:w="8" w:type="dxa"/>
        </w:trPr>
        <w:tc>
          <w:tcPr>
            <w:tcW w:w="4959" w:type="dxa"/>
            <w:tcBorders>
              <w:top w:val="nil"/>
              <w:bottom w:val="nil"/>
            </w:tcBorders>
            <w:shd w:val="clear" w:color="000000" w:fill="F2F2F2"/>
          </w:tcPr>
          <w:p w14:paraId="788EFE33" w14:textId="77777777" w:rsidR="008E7FC3" w:rsidRPr="00030C67" w:rsidRDefault="008E7FC3" w:rsidP="00177648">
            <w:pPr>
              <w:pStyle w:val="TableHeading"/>
            </w:pPr>
            <w:r>
              <w:rPr>
                <w:b w:val="0"/>
                <w:bCs/>
              </w:rPr>
              <w:t>Formal care x Youngest child aged 0-2 / 100</w:t>
            </w:r>
          </w:p>
        </w:tc>
        <w:tc>
          <w:tcPr>
            <w:tcW w:w="1187" w:type="dxa"/>
            <w:tcBorders>
              <w:top w:val="nil"/>
              <w:bottom w:val="nil"/>
            </w:tcBorders>
            <w:shd w:val="clear" w:color="000000" w:fill="F2F2F2"/>
            <w:vAlign w:val="bottom"/>
          </w:tcPr>
          <w:p w14:paraId="20BACFD5" w14:textId="77777777" w:rsidR="008E7FC3" w:rsidRDefault="008E7FC3" w:rsidP="00177648">
            <w:pPr>
              <w:pStyle w:val="TableBody"/>
              <w:spacing w:before="45" w:after="45"/>
              <w:ind w:right="108"/>
              <w:jc w:val="right"/>
              <w:rPr>
                <w:rFonts w:ascii="Arial (Body)" w:hAnsi="Arial (Body)"/>
                <w:color w:val="000000"/>
              </w:rPr>
            </w:pPr>
            <w:r>
              <w:t>18.297</w:t>
            </w:r>
          </w:p>
        </w:tc>
        <w:tc>
          <w:tcPr>
            <w:tcW w:w="1192" w:type="dxa"/>
            <w:tcBorders>
              <w:top w:val="nil"/>
              <w:bottom w:val="nil"/>
            </w:tcBorders>
            <w:shd w:val="clear" w:color="000000" w:fill="F2F2F2"/>
            <w:vAlign w:val="bottom"/>
          </w:tcPr>
          <w:p w14:paraId="39C3E809"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000000" w:fill="F2F2F2"/>
            <w:vAlign w:val="bottom"/>
          </w:tcPr>
          <w:p w14:paraId="2BA969F4" w14:textId="77777777" w:rsidR="008E7FC3" w:rsidRDefault="008E7FC3" w:rsidP="00177648">
            <w:pPr>
              <w:pStyle w:val="TableBody"/>
              <w:spacing w:before="45" w:after="45"/>
              <w:ind w:right="108"/>
              <w:jc w:val="right"/>
            </w:pPr>
            <w:r w:rsidRPr="00EF2E96">
              <w:t>12.955</w:t>
            </w:r>
          </w:p>
        </w:tc>
        <w:tc>
          <w:tcPr>
            <w:tcW w:w="1188" w:type="dxa"/>
            <w:tcBorders>
              <w:top w:val="nil"/>
              <w:bottom w:val="nil"/>
            </w:tcBorders>
            <w:shd w:val="clear" w:color="000000" w:fill="F2F2F2"/>
            <w:vAlign w:val="bottom"/>
          </w:tcPr>
          <w:p w14:paraId="1D527076" w14:textId="77777777" w:rsidR="008E7FC3" w:rsidRDefault="008E7FC3" w:rsidP="00177648">
            <w:pPr>
              <w:pStyle w:val="TableBody"/>
              <w:spacing w:before="45" w:after="45"/>
              <w:ind w:right="108"/>
              <w:jc w:val="right"/>
            </w:pPr>
            <w:r w:rsidRPr="00EF2E96">
              <w:t>&lt;0.001</w:t>
            </w:r>
          </w:p>
        </w:tc>
      </w:tr>
      <w:tr w:rsidR="008E7FC3" w:rsidRPr="00030C67" w14:paraId="531068E7" w14:textId="77777777" w:rsidTr="00177648">
        <w:trPr>
          <w:gridAfter w:val="1"/>
          <w:wAfter w:w="8" w:type="dxa"/>
        </w:trPr>
        <w:tc>
          <w:tcPr>
            <w:tcW w:w="4959" w:type="dxa"/>
            <w:tcBorders>
              <w:top w:val="nil"/>
              <w:bottom w:val="nil"/>
            </w:tcBorders>
            <w:shd w:val="clear" w:color="auto" w:fill="FFFFFF" w:themeFill="background1"/>
          </w:tcPr>
          <w:p w14:paraId="6D7AC4B6" w14:textId="77777777" w:rsidR="008E7FC3" w:rsidRPr="00030C67" w:rsidRDefault="008E7FC3" w:rsidP="00177648">
            <w:pPr>
              <w:pStyle w:val="TableHeading"/>
            </w:pPr>
            <w:r>
              <w:rPr>
                <w:b w:val="0"/>
                <w:bCs/>
              </w:rPr>
              <w:t>Formal care x Youngest child aged 3-5 / 100</w:t>
            </w:r>
          </w:p>
        </w:tc>
        <w:tc>
          <w:tcPr>
            <w:tcW w:w="1187" w:type="dxa"/>
            <w:tcBorders>
              <w:top w:val="nil"/>
              <w:bottom w:val="nil"/>
            </w:tcBorders>
            <w:shd w:val="clear" w:color="auto" w:fill="FFFFFF" w:themeFill="background1"/>
            <w:vAlign w:val="bottom"/>
          </w:tcPr>
          <w:p w14:paraId="19D96D23" w14:textId="77777777" w:rsidR="008E7FC3" w:rsidRDefault="008E7FC3" w:rsidP="00177648">
            <w:pPr>
              <w:pStyle w:val="TableBody"/>
              <w:spacing w:before="45" w:after="45"/>
              <w:ind w:right="108"/>
              <w:jc w:val="right"/>
              <w:rPr>
                <w:rFonts w:ascii="Arial (Body)" w:hAnsi="Arial (Body)"/>
                <w:color w:val="000000"/>
              </w:rPr>
            </w:pPr>
            <w:r>
              <w:t>16.874</w:t>
            </w:r>
          </w:p>
        </w:tc>
        <w:tc>
          <w:tcPr>
            <w:tcW w:w="1192" w:type="dxa"/>
            <w:tcBorders>
              <w:top w:val="nil"/>
              <w:bottom w:val="nil"/>
            </w:tcBorders>
            <w:shd w:val="clear" w:color="auto" w:fill="FFFFFF" w:themeFill="background1"/>
            <w:vAlign w:val="bottom"/>
          </w:tcPr>
          <w:p w14:paraId="453C844C"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auto" w:fill="FFFFFF" w:themeFill="background1"/>
            <w:vAlign w:val="bottom"/>
          </w:tcPr>
          <w:p w14:paraId="3DAC345F" w14:textId="77777777" w:rsidR="008E7FC3" w:rsidRDefault="008E7FC3" w:rsidP="00177648">
            <w:pPr>
              <w:pStyle w:val="TableBody"/>
              <w:spacing w:before="45" w:after="45"/>
              <w:ind w:right="108"/>
              <w:jc w:val="right"/>
            </w:pPr>
            <w:r w:rsidRPr="00EF2E96">
              <w:t>14.033</w:t>
            </w:r>
          </w:p>
        </w:tc>
        <w:tc>
          <w:tcPr>
            <w:tcW w:w="1188" w:type="dxa"/>
            <w:tcBorders>
              <w:top w:val="nil"/>
              <w:bottom w:val="nil"/>
            </w:tcBorders>
            <w:shd w:val="clear" w:color="auto" w:fill="FFFFFF" w:themeFill="background1"/>
            <w:vAlign w:val="bottom"/>
          </w:tcPr>
          <w:p w14:paraId="1261F569" w14:textId="77777777" w:rsidR="008E7FC3" w:rsidRDefault="008E7FC3" w:rsidP="00177648">
            <w:pPr>
              <w:pStyle w:val="TableBody"/>
              <w:spacing w:before="45" w:after="45"/>
              <w:ind w:right="108"/>
              <w:jc w:val="right"/>
            </w:pPr>
            <w:r w:rsidRPr="00EF2E96">
              <w:t>&lt;0.001</w:t>
            </w:r>
          </w:p>
        </w:tc>
      </w:tr>
      <w:tr w:rsidR="008E7FC3" w:rsidRPr="00030C67" w14:paraId="437751C1" w14:textId="77777777" w:rsidTr="00177648">
        <w:trPr>
          <w:gridAfter w:val="1"/>
          <w:wAfter w:w="8" w:type="dxa"/>
        </w:trPr>
        <w:tc>
          <w:tcPr>
            <w:tcW w:w="4959" w:type="dxa"/>
            <w:tcBorders>
              <w:top w:val="nil"/>
              <w:bottom w:val="nil"/>
            </w:tcBorders>
            <w:shd w:val="clear" w:color="000000" w:fill="F2F2F2"/>
          </w:tcPr>
          <w:p w14:paraId="379542C1" w14:textId="77777777" w:rsidR="008E7FC3" w:rsidRPr="00030C67" w:rsidRDefault="008E7FC3" w:rsidP="00177648">
            <w:pPr>
              <w:pStyle w:val="TableHeading"/>
            </w:pPr>
            <w:r>
              <w:rPr>
                <w:b w:val="0"/>
                <w:bCs/>
              </w:rPr>
              <w:t>Formal care x Youngest child aged 6-9 / 100</w:t>
            </w:r>
          </w:p>
        </w:tc>
        <w:tc>
          <w:tcPr>
            <w:tcW w:w="1187" w:type="dxa"/>
            <w:tcBorders>
              <w:top w:val="nil"/>
              <w:bottom w:val="nil"/>
            </w:tcBorders>
            <w:shd w:val="clear" w:color="000000" w:fill="F2F2F2"/>
            <w:vAlign w:val="bottom"/>
          </w:tcPr>
          <w:p w14:paraId="742EC1F9" w14:textId="77777777" w:rsidR="008E7FC3" w:rsidRDefault="008E7FC3" w:rsidP="00177648">
            <w:pPr>
              <w:pStyle w:val="TableBody"/>
              <w:spacing w:before="45" w:after="45"/>
              <w:ind w:right="108"/>
              <w:jc w:val="right"/>
              <w:rPr>
                <w:rFonts w:ascii="Arial (Body)" w:hAnsi="Arial (Body)"/>
                <w:color w:val="000000"/>
              </w:rPr>
            </w:pPr>
            <w:r>
              <w:t>12.538</w:t>
            </w:r>
          </w:p>
        </w:tc>
        <w:tc>
          <w:tcPr>
            <w:tcW w:w="1192" w:type="dxa"/>
            <w:tcBorders>
              <w:top w:val="nil"/>
              <w:bottom w:val="nil"/>
            </w:tcBorders>
            <w:shd w:val="clear" w:color="000000" w:fill="F2F2F2"/>
            <w:vAlign w:val="bottom"/>
          </w:tcPr>
          <w:p w14:paraId="40D461D2" w14:textId="77777777" w:rsidR="008E7FC3" w:rsidRDefault="008E7FC3" w:rsidP="00177648">
            <w:pPr>
              <w:pStyle w:val="TableBody"/>
              <w:spacing w:before="45" w:after="45"/>
              <w:ind w:right="108"/>
              <w:jc w:val="right"/>
              <w:rPr>
                <w:rFonts w:ascii="Arial (Body)" w:hAnsi="Arial (Body)"/>
                <w:color w:val="000000"/>
              </w:rPr>
            </w:pPr>
            <w:r>
              <w:t>0.001</w:t>
            </w:r>
          </w:p>
        </w:tc>
        <w:tc>
          <w:tcPr>
            <w:tcW w:w="1188" w:type="dxa"/>
            <w:tcBorders>
              <w:top w:val="nil"/>
              <w:bottom w:val="nil"/>
            </w:tcBorders>
            <w:shd w:val="clear" w:color="000000" w:fill="F2F2F2"/>
            <w:vAlign w:val="bottom"/>
          </w:tcPr>
          <w:p w14:paraId="2EB99293" w14:textId="77777777" w:rsidR="008E7FC3" w:rsidRDefault="008E7FC3" w:rsidP="00177648">
            <w:pPr>
              <w:pStyle w:val="TableBody"/>
              <w:spacing w:before="45" w:after="45"/>
              <w:ind w:right="108"/>
              <w:jc w:val="right"/>
            </w:pPr>
            <w:r w:rsidRPr="00EF2E96">
              <w:t>7.929</w:t>
            </w:r>
          </w:p>
        </w:tc>
        <w:tc>
          <w:tcPr>
            <w:tcW w:w="1188" w:type="dxa"/>
            <w:tcBorders>
              <w:top w:val="nil"/>
              <w:bottom w:val="nil"/>
            </w:tcBorders>
            <w:shd w:val="clear" w:color="000000" w:fill="F2F2F2"/>
            <w:vAlign w:val="bottom"/>
          </w:tcPr>
          <w:p w14:paraId="2038F0B7" w14:textId="77777777" w:rsidR="008E7FC3" w:rsidRDefault="008E7FC3" w:rsidP="00177648">
            <w:pPr>
              <w:pStyle w:val="TableBody"/>
              <w:spacing w:before="45" w:after="45"/>
              <w:ind w:right="108"/>
              <w:jc w:val="right"/>
            </w:pPr>
            <w:r w:rsidRPr="00EF2E96">
              <w:t>&lt;0.001</w:t>
            </w:r>
          </w:p>
        </w:tc>
      </w:tr>
      <w:tr w:rsidR="008E7FC3" w:rsidRPr="00030C67" w14:paraId="03ABEAE2" w14:textId="77777777" w:rsidTr="00177648">
        <w:trPr>
          <w:gridAfter w:val="1"/>
          <w:wAfter w:w="8" w:type="dxa"/>
        </w:trPr>
        <w:tc>
          <w:tcPr>
            <w:tcW w:w="4959" w:type="dxa"/>
            <w:tcBorders>
              <w:top w:val="nil"/>
              <w:bottom w:val="nil"/>
            </w:tcBorders>
            <w:shd w:val="clear" w:color="auto" w:fill="FFFFFF" w:themeFill="background1"/>
          </w:tcPr>
          <w:p w14:paraId="53883892" w14:textId="77777777" w:rsidR="008E7FC3" w:rsidRPr="00030C67" w:rsidRDefault="008E7FC3" w:rsidP="00177648">
            <w:pPr>
              <w:pStyle w:val="TableHeading"/>
            </w:pPr>
            <w:r>
              <w:rPr>
                <w:b w:val="0"/>
                <w:bCs/>
              </w:rPr>
              <w:t>Formal care x Number of children / 100</w:t>
            </w:r>
          </w:p>
        </w:tc>
        <w:tc>
          <w:tcPr>
            <w:tcW w:w="1187" w:type="dxa"/>
            <w:tcBorders>
              <w:top w:val="nil"/>
              <w:bottom w:val="nil"/>
            </w:tcBorders>
            <w:shd w:val="clear" w:color="auto" w:fill="FFFFFF" w:themeFill="background1"/>
            <w:vAlign w:val="bottom"/>
          </w:tcPr>
          <w:p w14:paraId="2BEF229D" w14:textId="77777777" w:rsidR="008E7FC3" w:rsidRDefault="008E7FC3" w:rsidP="00177648">
            <w:pPr>
              <w:pStyle w:val="TableBody"/>
              <w:spacing w:before="45" w:after="45"/>
              <w:ind w:right="108"/>
              <w:jc w:val="right"/>
              <w:rPr>
                <w:rFonts w:ascii="Arial (Body)" w:hAnsi="Arial (Body)"/>
                <w:color w:val="000000"/>
              </w:rPr>
            </w:pPr>
            <w:r>
              <w:t>0.733</w:t>
            </w:r>
          </w:p>
        </w:tc>
        <w:tc>
          <w:tcPr>
            <w:tcW w:w="1192" w:type="dxa"/>
            <w:tcBorders>
              <w:top w:val="nil"/>
              <w:bottom w:val="nil"/>
            </w:tcBorders>
            <w:shd w:val="clear" w:color="auto" w:fill="FFFFFF" w:themeFill="background1"/>
            <w:vAlign w:val="bottom"/>
          </w:tcPr>
          <w:p w14:paraId="100FB841" w14:textId="77777777" w:rsidR="008E7FC3" w:rsidRDefault="008E7FC3" w:rsidP="00177648">
            <w:pPr>
              <w:pStyle w:val="TableBody"/>
              <w:spacing w:before="45" w:after="45"/>
              <w:ind w:right="108"/>
              <w:jc w:val="right"/>
              <w:rPr>
                <w:rFonts w:ascii="Arial (Body)" w:hAnsi="Arial (Body)"/>
                <w:color w:val="000000"/>
              </w:rPr>
            </w:pPr>
            <w:r>
              <w:t>0.244</w:t>
            </w:r>
          </w:p>
        </w:tc>
        <w:tc>
          <w:tcPr>
            <w:tcW w:w="1188" w:type="dxa"/>
            <w:tcBorders>
              <w:top w:val="nil"/>
              <w:bottom w:val="nil"/>
            </w:tcBorders>
            <w:shd w:val="clear" w:color="auto" w:fill="FFFFFF" w:themeFill="background1"/>
            <w:vAlign w:val="bottom"/>
          </w:tcPr>
          <w:p w14:paraId="461C5993" w14:textId="77777777" w:rsidR="008E7FC3" w:rsidRDefault="008E7FC3" w:rsidP="00177648">
            <w:pPr>
              <w:pStyle w:val="TableBody"/>
              <w:spacing w:before="45" w:after="45"/>
              <w:ind w:right="108"/>
              <w:jc w:val="right"/>
            </w:pPr>
            <w:r w:rsidRPr="00EF2E96">
              <w:t>-0.78</w:t>
            </w:r>
            <w:r>
              <w:t>0</w:t>
            </w:r>
          </w:p>
        </w:tc>
        <w:tc>
          <w:tcPr>
            <w:tcW w:w="1188" w:type="dxa"/>
            <w:tcBorders>
              <w:top w:val="nil"/>
              <w:bottom w:val="nil"/>
            </w:tcBorders>
            <w:shd w:val="clear" w:color="auto" w:fill="FFFFFF" w:themeFill="background1"/>
            <w:vAlign w:val="bottom"/>
          </w:tcPr>
          <w:p w14:paraId="48A52C93" w14:textId="77777777" w:rsidR="008E7FC3" w:rsidRDefault="008E7FC3" w:rsidP="00177648">
            <w:pPr>
              <w:pStyle w:val="TableBody"/>
              <w:spacing w:before="45" w:after="45"/>
              <w:ind w:right="108"/>
              <w:jc w:val="right"/>
            </w:pPr>
            <w:r w:rsidRPr="00EF2E96">
              <w:t>0.023</w:t>
            </w:r>
          </w:p>
        </w:tc>
      </w:tr>
      <w:tr w:rsidR="008E7FC3" w:rsidRPr="00030C67" w14:paraId="08A0EF9E" w14:textId="77777777" w:rsidTr="00177648">
        <w:trPr>
          <w:gridAfter w:val="1"/>
          <w:wAfter w:w="8" w:type="dxa"/>
        </w:trPr>
        <w:tc>
          <w:tcPr>
            <w:tcW w:w="4959" w:type="dxa"/>
            <w:tcBorders>
              <w:top w:val="nil"/>
              <w:bottom w:val="nil"/>
            </w:tcBorders>
            <w:shd w:val="clear" w:color="000000" w:fill="F2F2F2"/>
          </w:tcPr>
          <w:p w14:paraId="755E8DA8" w14:textId="77777777" w:rsidR="008E7FC3" w:rsidRPr="00030C67" w:rsidRDefault="008E7FC3" w:rsidP="00177648">
            <w:pPr>
              <w:pStyle w:val="TableHeading"/>
            </w:pPr>
            <w:r>
              <w:rPr>
                <w:b w:val="0"/>
                <w:bCs/>
              </w:rPr>
              <w:t>Formal care x Age / 100</w:t>
            </w:r>
          </w:p>
        </w:tc>
        <w:tc>
          <w:tcPr>
            <w:tcW w:w="1187" w:type="dxa"/>
            <w:tcBorders>
              <w:top w:val="nil"/>
              <w:bottom w:val="nil"/>
            </w:tcBorders>
            <w:shd w:val="clear" w:color="000000" w:fill="F2F2F2"/>
            <w:vAlign w:val="bottom"/>
          </w:tcPr>
          <w:p w14:paraId="476D50A7" w14:textId="77777777" w:rsidR="008E7FC3" w:rsidRDefault="008E7FC3" w:rsidP="00177648">
            <w:pPr>
              <w:pStyle w:val="TableBody"/>
              <w:spacing w:before="45" w:after="45"/>
              <w:ind w:right="108"/>
              <w:jc w:val="right"/>
              <w:rPr>
                <w:rFonts w:ascii="Arial (Body)" w:hAnsi="Arial (Body)"/>
                <w:color w:val="000000"/>
              </w:rPr>
            </w:pPr>
            <w:r>
              <w:t>0.847</w:t>
            </w:r>
          </w:p>
        </w:tc>
        <w:tc>
          <w:tcPr>
            <w:tcW w:w="1192" w:type="dxa"/>
            <w:tcBorders>
              <w:top w:val="nil"/>
              <w:bottom w:val="nil"/>
            </w:tcBorders>
            <w:shd w:val="clear" w:color="000000" w:fill="F2F2F2"/>
            <w:vAlign w:val="bottom"/>
          </w:tcPr>
          <w:p w14:paraId="47BC02CA" w14:textId="77777777" w:rsidR="008E7FC3" w:rsidRDefault="008E7FC3" w:rsidP="00177648">
            <w:pPr>
              <w:pStyle w:val="TableBody"/>
              <w:spacing w:before="45" w:after="45"/>
              <w:ind w:right="108"/>
              <w:jc w:val="right"/>
              <w:rPr>
                <w:rFonts w:ascii="Arial (Body)" w:hAnsi="Arial (Body)"/>
                <w:color w:val="000000"/>
              </w:rPr>
            </w:pPr>
            <w:r>
              <w:t>0.105</w:t>
            </w:r>
          </w:p>
        </w:tc>
        <w:tc>
          <w:tcPr>
            <w:tcW w:w="1188" w:type="dxa"/>
            <w:tcBorders>
              <w:top w:val="nil"/>
              <w:bottom w:val="nil"/>
            </w:tcBorders>
            <w:shd w:val="clear" w:color="000000" w:fill="F2F2F2"/>
            <w:vAlign w:val="bottom"/>
          </w:tcPr>
          <w:p w14:paraId="12C3DD59" w14:textId="77777777" w:rsidR="008E7FC3" w:rsidRDefault="008E7FC3" w:rsidP="00177648">
            <w:pPr>
              <w:pStyle w:val="TableBody"/>
              <w:spacing w:before="45" w:after="45"/>
              <w:ind w:right="108"/>
              <w:jc w:val="right"/>
            </w:pPr>
            <w:r w:rsidRPr="00EF2E96">
              <w:t>0.434</w:t>
            </w:r>
          </w:p>
        </w:tc>
        <w:tc>
          <w:tcPr>
            <w:tcW w:w="1188" w:type="dxa"/>
            <w:tcBorders>
              <w:top w:val="nil"/>
              <w:bottom w:val="nil"/>
            </w:tcBorders>
            <w:shd w:val="clear" w:color="000000" w:fill="F2F2F2"/>
            <w:vAlign w:val="bottom"/>
          </w:tcPr>
          <w:p w14:paraId="7F0F4A43" w14:textId="77777777" w:rsidR="008E7FC3" w:rsidRDefault="008E7FC3" w:rsidP="00177648">
            <w:pPr>
              <w:pStyle w:val="TableBody"/>
              <w:spacing w:before="45" w:after="45"/>
              <w:ind w:right="108"/>
              <w:jc w:val="right"/>
            </w:pPr>
            <w:r w:rsidRPr="00EF2E96">
              <w:t>0.243</w:t>
            </w:r>
          </w:p>
        </w:tc>
      </w:tr>
      <w:tr w:rsidR="008E7FC3" w:rsidRPr="00030C67" w14:paraId="2244D828" w14:textId="77777777" w:rsidTr="00177648">
        <w:trPr>
          <w:gridAfter w:val="1"/>
          <w:wAfter w:w="8" w:type="dxa"/>
        </w:trPr>
        <w:tc>
          <w:tcPr>
            <w:tcW w:w="4959" w:type="dxa"/>
            <w:tcBorders>
              <w:top w:val="nil"/>
              <w:bottom w:val="nil"/>
            </w:tcBorders>
            <w:shd w:val="clear" w:color="auto" w:fill="FFFFFF" w:themeFill="background1"/>
          </w:tcPr>
          <w:p w14:paraId="21153CDE" w14:textId="77777777" w:rsidR="008E7FC3" w:rsidRPr="00030C67" w:rsidRDefault="008E7FC3" w:rsidP="00177648">
            <w:pPr>
              <w:pStyle w:val="TableHeading"/>
            </w:pPr>
            <w:r>
              <w:rPr>
                <w:b w:val="0"/>
                <w:bCs/>
              </w:rPr>
              <w:t>Formal care x Age squared / 10,000</w:t>
            </w:r>
          </w:p>
        </w:tc>
        <w:tc>
          <w:tcPr>
            <w:tcW w:w="1187" w:type="dxa"/>
            <w:tcBorders>
              <w:top w:val="nil"/>
              <w:bottom w:val="nil"/>
            </w:tcBorders>
            <w:shd w:val="clear" w:color="auto" w:fill="FFFFFF" w:themeFill="background1"/>
            <w:vAlign w:val="bottom"/>
          </w:tcPr>
          <w:p w14:paraId="46CCDA87" w14:textId="77777777" w:rsidR="008E7FC3" w:rsidRDefault="008E7FC3" w:rsidP="00177648">
            <w:pPr>
              <w:pStyle w:val="TableBody"/>
              <w:spacing w:before="45" w:after="45"/>
              <w:ind w:right="108"/>
              <w:jc w:val="right"/>
              <w:rPr>
                <w:rFonts w:ascii="Arial (Body)" w:hAnsi="Arial (Body)"/>
                <w:color w:val="000000"/>
              </w:rPr>
            </w:pPr>
            <w:r>
              <w:t>-1.128</w:t>
            </w:r>
          </w:p>
        </w:tc>
        <w:tc>
          <w:tcPr>
            <w:tcW w:w="1192" w:type="dxa"/>
            <w:tcBorders>
              <w:top w:val="nil"/>
              <w:bottom w:val="nil"/>
            </w:tcBorders>
            <w:shd w:val="clear" w:color="auto" w:fill="FFFFFF" w:themeFill="background1"/>
            <w:vAlign w:val="bottom"/>
          </w:tcPr>
          <w:p w14:paraId="3BE84AA1" w14:textId="77777777" w:rsidR="008E7FC3" w:rsidRDefault="008E7FC3" w:rsidP="00177648">
            <w:pPr>
              <w:pStyle w:val="TableBody"/>
              <w:spacing w:before="45" w:after="45"/>
              <w:ind w:right="108"/>
              <w:jc w:val="right"/>
              <w:rPr>
                <w:rFonts w:ascii="Arial (Body)" w:hAnsi="Arial (Body)"/>
                <w:color w:val="000000"/>
              </w:rPr>
            </w:pPr>
            <w:r>
              <w:t>0.115</w:t>
            </w:r>
          </w:p>
        </w:tc>
        <w:tc>
          <w:tcPr>
            <w:tcW w:w="1188" w:type="dxa"/>
            <w:tcBorders>
              <w:top w:val="nil"/>
              <w:bottom w:val="nil"/>
            </w:tcBorders>
            <w:shd w:val="clear" w:color="auto" w:fill="FFFFFF" w:themeFill="background1"/>
            <w:vAlign w:val="bottom"/>
          </w:tcPr>
          <w:p w14:paraId="5983D74E" w14:textId="77777777" w:rsidR="008E7FC3" w:rsidRDefault="008E7FC3" w:rsidP="00177648">
            <w:pPr>
              <w:pStyle w:val="TableBody"/>
              <w:spacing w:before="45" w:after="45"/>
              <w:ind w:right="108"/>
              <w:jc w:val="right"/>
            </w:pPr>
            <w:r w:rsidRPr="00EF2E96">
              <w:t>-0.475</w:t>
            </w:r>
          </w:p>
        </w:tc>
        <w:tc>
          <w:tcPr>
            <w:tcW w:w="1188" w:type="dxa"/>
            <w:tcBorders>
              <w:top w:val="nil"/>
              <w:bottom w:val="nil"/>
            </w:tcBorders>
            <w:shd w:val="clear" w:color="auto" w:fill="FFFFFF" w:themeFill="background1"/>
            <w:vAlign w:val="bottom"/>
          </w:tcPr>
          <w:p w14:paraId="31E7BCDA" w14:textId="77777777" w:rsidR="008E7FC3" w:rsidRDefault="008E7FC3" w:rsidP="00177648">
            <w:pPr>
              <w:pStyle w:val="TableBody"/>
              <w:spacing w:before="45" w:after="45"/>
              <w:ind w:right="108"/>
              <w:jc w:val="right"/>
            </w:pPr>
            <w:r w:rsidRPr="00EF2E96">
              <w:t>0.349</w:t>
            </w:r>
          </w:p>
        </w:tc>
      </w:tr>
      <w:tr w:rsidR="008E7FC3" w:rsidRPr="00030C67" w14:paraId="60C310CC" w14:textId="77777777" w:rsidTr="00177648">
        <w:trPr>
          <w:gridAfter w:val="1"/>
          <w:wAfter w:w="8" w:type="dxa"/>
        </w:trPr>
        <w:tc>
          <w:tcPr>
            <w:tcW w:w="4959" w:type="dxa"/>
            <w:tcBorders>
              <w:top w:val="nil"/>
              <w:bottom w:val="nil"/>
            </w:tcBorders>
            <w:shd w:val="clear" w:color="000000" w:fill="F2F2F2"/>
          </w:tcPr>
          <w:p w14:paraId="46252BA8" w14:textId="77777777" w:rsidR="008E7FC3" w:rsidRPr="00030C67" w:rsidRDefault="008E7FC3" w:rsidP="00177648">
            <w:pPr>
              <w:pStyle w:val="TableHeading"/>
            </w:pPr>
            <w:r>
              <w:rPr>
                <w:b w:val="0"/>
                <w:bCs/>
              </w:rPr>
              <w:t>Fixed cost of working</w:t>
            </w:r>
          </w:p>
        </w:tc>
        <w:tc>
          <w:tcPr>
            <w:tcW w:w="1187" w:type="dxa"/>
            <w:tcBorders>
              <w:top w:val="nil"/>
              <w:bottom w:val="nil"/>
            </w:tcBorders>
            <w:shd w:val="clear" w:color="000000" w:fill="F2F2F2"/>
            <w:vAlign w:val="bottom"/>
          </w:tcPr>
          <w:p w14:paraId="1B089D8E" w14:textId="77777777" w:rsidR="008E7FC3" w:rsidRDefault="008E7FC3" w:rsidP="00177648">
            <w:pPr>
              <w:pStyle w:val="TableBody"/>
              <w:spacing w:before="45" w:after="45"/>
              <w:ind w:right="108"/>
              <w:jc w:val="right"/>
              <w:rPr>
                <w:rFonts w:ascii="Arial (Body)" w:hAnsi="Arial (Body)"/>
                <w:color w:val="000000"/>
              </w:rPr>
            </w:pPr>
            <w:r>
              <w:t>-6.604</w:t>
            </w:r>
          </w:p>
        </w:tc>
        <w:tc>
          <w:tcPr>
            <w:tcW w:w="1192" w:type="dxa"/>
            <w:tcBorders>
              <w:top w:val="nil"/>
              <w:bottom w:val="nil"/>
            </w:tcBorders>
            <w:shd w:val="clear" w:color="000000" w:fill="F2F2F2"/>
            <w:vAlign w:val="bottom"/>
          </w:tcPr>
          <w:p w14:paraId="34911C0A"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000000" w:fill="F2F2F2"/>
            <w:vAlign w:val="bottom"/>
          </w:tcPr>
          <w:p w14:paraId="3DED821A" w14:textId="77777777" w:rsidR="008E7FC3" w:rsidRDefault="008E7FC3" w:rsidP="00177648">
            <w:pPr>
              <w:pStyle w:val="TableBody"/>
              <w:spacing w:before="45" w:after="45"/>
              <w:ind w:right="108"/>
              <w:jc w:val="right"/>
            </w:pPr>
            <w:r w:rsidRPr="002374A9">
              <w:t>-3.204</w:t>
            </w:r>
          </w:p>
        </w:tc>
        <w:tc>
          <w:tcPr>
            <w:tcW w:w="1188" w:type="dxa"/>
            <w:tcBorders>
              <w:top w:val="nil"/>
              <w:bottom w:val="nil"/>
            </w:tcBorders>
            <w:shd w:val="clear" w:color="000000" w:fill="F2F2F2"/>
            <w:vAlign w:val="bottom"/>
          </w:tcPr>
          <w:p w14:paraId="5BA4EA72" w14:textId="77777777" w:rsidR="008E7FC3" w:rsidRDefault="008E7FC3" w:rsidP="00177648">
            <w:pPr>
              <w:pStyle w:val="TableBody"/>
              <w:spacing w:before="45" w:after="45"/>
              <w:ind w:right="108"/>
              <w:jc w:val="right"/>
            </w:pPr>
            <w:r w:rsidRPr="002374A9">
              <w:t>&lt;0.001</w:t>
            </w:r>
          </w:p>
        </w:tc>
      </w:tr>
      <w:tr w:rsidR="008E7FC3" w:rsidRPr="00030C67" w14:paraId="0EC6689F" w14:textId="77777777" w:rsidTr="00177648">
        <w:trPr>
          <w:gridAfter w:val="1"/>
          <w:wAfter w:w="8" w:type="dxa"/>
        </w:trPr>
        <w:tc>
          <w:tcPr>
            <w:tcW w:w="4959" w:type="dxa"/>
            <w:tcBorders>
              <w:top w:val="nil"/>
              <w:bottom w:val="nil"/>
            </w:tcBorders>
            <w:shd w:val="clear" w:color="auto" w:fill="FFFFFF" w:themeFill="background1"/>
          </w:tcPr>
          <w:p w14:paraId="366845D7" w14:textId="77777777" w:rsidR="008E7FC3" w:rsidRPr="00030C67" w:rsidRDefault="008E7FC3" w:rsidP="00177648">
            <w:pPr>
              <w:pStyle w:val="TableHeading"/>
            </w:pPr>
            <w:r>
              <w:rPr>
                <w:b w:val="0"/>
                <w:bCs/>
              </w:rPr>
              <w:t>Fixed cost of working where labour supply is greater than 40</w:t>
            </w:r>
          </w:p>
        </w:tc>
        <w:tc>
          <w:tcPr>
            <w:tcW w:w="1187" w:type="dxa"/>
            <w:tcBorders>
              <w:top w:val="nil"/>
              <w:bottom w:val="nil"/>
            </w:tcBorders>
            <w:shd w:val="clear" w:color="auto" w:fill="FFFFFF" w:themeFill="background1"/>
            <w:vAlign w:val="bottom"/>
          </w:tcPr>
          <w:p w14:paraId="594C19E0" w14:textId="77777777" w:rsidR="008E7FC3" w:rsidRDefault="008E7FC3" w:rsidP="00177648">
            <w:pPr>
              <w:pStyle w:val="TableBody"/>
              <w:spacing w:before="45" w:after="45"/>
              <w:ind w:right="108"/>
              <w:jc w:val="right"/>
              <w:rPr>
                <w:rFonts w:ascii="Arial (Body)" w:hAnsi="Arial (Body)"/>
                <w:color w:val="000000"/>
              </w:rPr>
            </w:pPr>
            <w:r>
              <w:t>-1.996</w:t>
            </w:r>
          </w:p>
        </w:tc>
        <w:tc>
          <w:tcPr>
            <w:tcW w:w="1192" w:type="dxa"/>
            <w:tcBorders>
              <w:top w:val="nil"/>
              <w:bottom w:val="nil"/>
            </w:tcBorders>
            <w:shd w:val="clear" w:color="auto" w:fill="FFFFFF" w:themeFill="background1"/>
            <w:vAlign w:val="bottom"/>
          </w:tcPr>
          <w:p w14:paraId="57899F3C"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auto" w:fill="FFFFFF" w:themeFill="background1"/>
            <w:vAlign w:val="bottom"/>
          </w:tcPr>
          <w:p w14:paraId="55AE9A1C" w14:textId="77777777" w:rsidR="008E7FC3" w:rsidRDefault="008E7FC3" w:rsidP="00177648">
            <w:pPr>
              <w:pStyle w:val="TableBody"/>
              <w:spacing w:before="45" w:after="45"/>
              <w:ind w:right="108"/>
              <w:jc w:val="right"/>
            </w:pPr>
            <w:r w:rsidRPr="002374A9">
              <w:t>-1.422</w:t>
            </w:r>
          </w:p>
        </w:tc>
        <w:tc>
          <w:tcPr>
            <w:tcW w:w="1188" w:type="dxa"/>
            <w:tcBorders>
              <w:top w:val="nil"/>
              <w:bottom w:val="nil"/>
            </w:tcBorders>
            <w:shd w:val="clear" w:color="auto" w:fill="FFFFFF" w:themeFill="background1"/>
            <w:vAlign w:val="bottom"/>
          </w:tcPr>
          <w:p w14:paraId="265B11CB" w14:textId="77777777" w:rsidR="008E7FC3" w:rsidRDefault="008E7FC3" w:rsidP="00177648">
            <w:pPr>
              <w:pStyle w:val="TableBody"/>
              <w:spacing w:before="45" w:after="45"/>
              <w:ind w:right="108"/>
              <w:jc w:val="right"/>
            </w:pPr>
            <w:r w:rsidRPr="002374A9">
              <w:t>&lt;0.001</w:t>
            </w:r>
          </w:p>
        </w:tc>
      </w:tr>
      <w:tr w:rsidR="008E7FC3" w:rsidRPr="00030C67" w14:paraId="787A0417" w14:textId="77777777" w:rsidTr="00177648">
        <w:trPr>
          <w:gridAfter w:val="1"/>
          <w:wAfter w:w="8" w:type="dxa"/>
        </w:trPr>
        <w:tc>
          <w:tcPr>
            <w:tcW w:w="4959" w:type="dxa"/>
            <w:tcBorders>
              <w:top w:val="nil"/>
              <w:bottom w:val="nil"/>
            </w:tcBorders>
            <w:shd w:val="clear" w:color="000000" w:fill="F2F2F2"/>
          </w:tcPr>
          <w:p w14:paraId="6CA8675D" w14:textId="77777777" w:rsidR="008E7FC3" w:rsidRPr="00030C67" w:rsidRDefault="008E7FC3" w:rsidP="00177648">
            <w:pPr>
              <w:pStyle w:val="TableHeading"/>
            </w:pPr>
            <w:r>
              <w:rPr>
                <w:b w:val="0"/>
                <w:bCs/>
              </w:rPr>
              <w:t>Fixed cost of working x Female</w:t>
            </w:r>
          </w:p>
        </w:tc>
        <w:tc>
          <w:tcPr>
            <w:tcW w:w="1187" w:type="dxa"/>
            <w:tcBorders>
              <w:top w:val="nil"/>
              <w:bottom w:val="nil"/>
            </w:tcBorders>
            <w:shd w:val="clear" w:color="000000" w:fill="F2F2F2"/>
            <w:vAlign w:val="bottom"/>
          </w:tcPr>
          <w:p w14:paraId="13923F31" w14:textId="77777777" w:rsidR="008E7FC3" w:rsidRDefault="008E7FC3" w:rsidP="00177648">
            <w:pPr>
              <w:pStyle w:val="TableBody"/>
              <w:spacing w:before="45" w:after="45"/>
              <w:ind w:right="108"/>
              <w:jc w:val="right"/>
              <w:rPr>
                <w:rFonts w:ascii="Arial (Body)" w:hAnsi="Arial (Body)"/>
                <w:color w:val="000000"/>
              </w:rPr>
            </w:pPr>
            <w:r>
              <w:t>2.860</w:t>
            </w:r>
          </w:p>
        </w:tc>
        <w:tc>
          <w:tcPr>
            <w:tcW w:w="1192" w:type="dxa"/>
            <w:tcBorders>
              <w:top w:val="nil"/>
              <w:bottom w:val="nil"/>
            </w:tcBorders>
            <w:shd w:val="clear" w:color="000000" w:fill="F2F2F2"/>
            <w:vAlign w:val="bottom"/>
          </w:tcPr>
          <w:p w14:paraId="6C8EFD8F" w14:textId="77777777" w:rsidR="008E7FC3" w:rsidRDefault="008E7FC3" w:rsidP="00177648">
            <w:pPr>
              <w:pStyle w:val="TableBody"/>
              <w:spacing w:before="45" w:after="45"/>
              <w:ind w:right="108"/>
              <w:jc w:val="right"/>
              <w:rPr>
                <w:rFonts w:ascii="Arial (Body)" w:hAnsi="Arial (Body)"/>
                <w:color w:val="000000"/>
              </w:rPr>
            </w:pPr>
            <w:r>
              <w:t>&lt;0.001</w:t>
            </w:r>
          </w:p>
        </w:tc>
        <w:tc>
          <w:tcPr>
            <w:tcW w:w="1188" w:type="dxa"/>
            <w:tcBorders>
              <w:top w:val="nil"/>
              <w:bottom w:val="nil"/>
            </w:tcBorders>
            <w:shd w:val="clear" w:color="000000" w:fill="F2F2F2"/>
            <w:vAlign w:val="bottom"/>
          </w:tcPr>
          <w:p w14:paraId="44A25115" w14:textId="77777777" w:rsidR="008E7FC3" w:rsidRDefault="008E7FC3" w:rsidP="00177648">
            <w:pPr>
              <w:pStyle w:val="TableBody"/>
              <w:spacing w:before="45" w:after="45"/>
              <w:ind w:right="108"/>
              <w:jc w:val="right"/>
            </w:pPr>
          </w:p>
        </w:tc>
        <w:tc>
          <w:tcPr>
            <w:tcW w:w="1188" w:type="dxa"/>
            <w:tcBorders>
              <w:top w:val="nil"/>
              <w:bottom w:val="nil"/>
            </w:tcBorders>
            <w:shd w:val="clear" w:color="000000" w:fill="F2F2F2"/>
            <w:vAlign w:val="bottom"/>
          </w:tcPr>
          <w:p w14:paraId="220D6F78" w14:textId="77777777" w:rsidR="008E7FC3" w:rsidRDefault="008E7FC3" w:rsidP="00177648">
            <w:pPr>
              <w:pStyle w:val="TableBody"/>
              <w:spacing w:before="45" w:after="45"/>
              <w:ind w:right="108"/>
              <w:jc w:val="right"/>
            </w:pPr>
          </w:p>
        </w:tc>
      </w:tr>
      <w:tr w:rsidR="008E7FC3" w:rsidRPr="00030C67" w14:paraId="01E347C0" w14:textId="77777777" w:rsidTr="00177648">
        <w:trPr>
          <w:gridAfter w:val="1"/>
          <w:wAfter w:w="8" w:type="dxa"/>
        </w:trPr>
        <w:tc>
          <w:tcPr>
            <w:tcW w:w="4959" w:type="dxa"/>
            <w:tcBorders>
              <w:top w:val="nil"/>
              <w:bottom w:val="nil"/>
            </w:tcBorders>
            <w:shd w:val="clear" w:color="auto" w:fill="FFFFFF" w:themeFill="background1"/>
          </w:tcPr>
          <w:p w14:paraId="7BFBDAB7" w14:textId="77777777" w:rsidR="008E7FC3" w:rsidRPr="00030C67" w:rsidRDefault="008E7FC3" w:rsidP="00177648">
            <w:pPr>
              <w:pStyle w:val="TableHeading"/>
            </w:pPr>
            <w:r>
              <w:rPr>
                <w:b w:val="0"/>
                <w:bCs/>
              </w:rPr>
              <w:t>Net income x Female / 100</w:t>
            </w:r>
          </w:p>
        </w:tc>
        <w:tc>
          <w:tcPr>
            <w:tcW w:w="1187" w:type="dxa"/>
            <w:tcBorders>
              <w:top w:val="nil"/>
              <w:bottom w:val="nil"/>
            </w:tcBorders>
            <w:shd w:val="clear" w:color="auto" w:fill="FFFFFF" w:themeFill="background1"/>
            <w:vAlign w:val="bottom"/>
          </w:tcPr>
          <w:p w14:paraId="0802A222" w14:textId="77777777" w:rsidR="008E7FC3" w:rsidRDefault="008E7FC3" w:rsidP="00177648">
            <w:pPr>
              <w:pStyle w:val="TableBody"/>
              <w:spacing w:before="45" w:after="45"/>
              <w:ind w:right="108"/>
              <w:jc w:val="right"/>
              <w:rPr>
                <w:rFonts w:ascii="Arial (Body)" w:hAnsi="Arial (Body)"/>
                <w:color w:val="000000"/>
              </w:rPr>
            </w:pPr>
            <w:r>
              <w:t>0.058</w:t>
            </w:r>
          </w:p>
        </w:tc>
        <w:tc>
          <w:tcPr>
            <w:tcW w:w="1192" w:type="dxa"/>
            <w:tcBorders>
              <w:top w:val="nil"/>
              <w:bottom w:val="nil"/>
            </w:tcBorders>
            <w:shd w:val="clear" w:color="auto" w:fill="FFFFFF" w:themeFill="background1"/>
            <w:vAlign w:val="bottom"/>
          </w:tcPr>
          <w:p w14:paraId="6812AB5F" w14:textId="77777777" w:rsidR="008E7FC3" w:rsidRDefault="008E7FC3" w:rsidP="00177648">
            <w:pPr>
              <w:pStyle w:val="TableBody"/>
              <w:spacing w:before="45" w:after="45"/>
              <w:ind w:right="108"/>
              <w:jc w:val="right"/>
              <w:rPr>
                <w:rFonts w:ascii="Arial (Body)" w:hAnsi="Arial (Body)"/>
                <w:color w:val="000000"/>
              </w:rPr>
            </w:pPr>
            <w:r>
              <w:t>0.392</w:t>
            </w:r>
          </w:p>
        </w:tc>
        <w:tc>
          <w:tcPr>
            <w:tcW w:w="1188" w:type="dxa"/>
            <w:tcBorders>
              <w:top w:val="nil"/>
              <w:bottom w:val="nil"/>
            </w:tcBorders>
            <w:shd w:val="clear" w:color="auto" w:fill="FFFFFF" w:themeFill="background1"/>
            <w:vAlign w:val="bottom"/>
          </w:tcPr>
          <w:p w14:paraId="2F453E1E" w14:textId="77777777" w:rsidR="008E7FC3" w:rsidRDefault="008E7FC3" w:rsidP="00177648">
            <w:pPr>
              <w:pStyle w:val="TableBody"/>
              <w:spacing w:before="45" w:after="45"/>
              <w:ind w:right="108"/>
              <w:jc w:val="right"/>
            </w:pPr>
          </w:p>
        </w:tc>
        <w:tc>
          <w:tcPr>
            <w:tcW w:w="1188" w:type="dxa"/>
            <w:tcBorders>
              <w:top w:val="nil"/>
              <w:bottom w:val="nil"/>
            </w:tcBorders>
            <w:shd w:val="clear" w:color="auto" w:fill="FFFFFF" w:themeFill="background1"/>
            <w:vAlign w:val="bottom"/>
          </w:tcPr>
          <w:p w14:paraId="0E6CE03D" w14:textId="77777777" w:rsidR="008E7FC3" w:rsidRDefault="008E7FC3" w:rsidP="00177648">
            <w:pPr>
              <w:pStyle w:val="TableBody"/>
              <w:spacing w:before="45" w:after="45"/>
              <w:ind w:right="108"/>
              <w:jc w:val="right"/>
            </w:pPr>
          </w:p>
        </w:tc>
      </w:tr>
      <w:tr w:rsidR="008E7FC3" w:rsidRPr="00030C67" w14:paraId="1D1484E4" w14:textId="77777777" w:rsidTr="00177648">
        <w:trPr>
          <w:gridAfter w:val="1"/>
          <w:wAfter w:w="8" w:type="dxa"/>
        </w:trPr>
        <w:tc>
          <w:tcPr>
            <w:tcW w:w="4959" w:type="dxa"/>
            <w:tcBorders>
              <w:top w:val="nil"/>
              <w:bottom w:val="nil"/>
            </w:tcBorders>
            <w:shd w:val="clear" w:color="000000" w:fill="F2F2F2"/>
          </w:tcPr>
          <w:p w14:paraId="07443E16" w14:textId="77777777" w:rsidR="008E7FC3" w:rsidRPr="00030C67" w:rsidRDefault="008E7FC3" w:rsidP="00177648">
            <w:pPr>
              <w:pStyle w:val="TableHeading"/>
            </w:pPr>
            <w:r>
              <w:rPr>
                <w:b w:val="0"/>
                <w:bCs/>
              </w:rPr>
              <w:t>Labour supply x Female / 100</w:t>
            </w:r>
          </w:p>
        </w:tc>
        <w:tc>
          <w:tcPr>
            <w:tcW w:w="1187" w:type="dxa"/>
            <w:tcBorders>
              <w:top w:val="nil"/>
              <w:bottom w:val="nil"/>
            </w:tcBorders>
            <w:shd w:val="clear" w:color="000000" w:fill="F2F2F2"/>
            <w:vAlign w:val="bottom"/>
          </w:tcPr>
          <w:p w14:paraId="600E8159" w14:textId="77777777" w:rsidR="008E7FC3" w:rsidRDefault="008E7FC3" w:rsidP="00177648">
            <w:pPr>
              <w:pStyle w:val="TableBody"/>
              <w:spacing w:before="45" w:after="45"/>
              <w:ind w:right="108"/>
              <w:jc w:val="right"/>
              <w:rPr>
                <w:rFonts w:ascii="Arial (Body)" w:hAnsi="Arial (Body)"/>
                <w:color w:val="000000"/>
              </w:rPr>
            </w:pPr>
            <w:r>
              <w:t>-9.861</w:t>
            </w:r>
          </w:p>
        </w:tc>
        <w:tc>
          <w:tcPr>
            <w:tcW w:w="1192" w:type="dxa"/>
            <w:tcBorders>
              <w:top w:val="nil"/>
              <w:bottom w:val="nil"/>
            </w:tcBorders>
            <w:shd w:val="clear" w:color="000000" w:fill="F2F2F2"/>
            <w:vAlign w:val="bottom"/>
          </w:tcPr>
          <w:p w14:paraId="27851C60" w14:textId="77777777" w:rsidR="008E7FC3" w:rsidRDefault="008E7FC3" w:rsidP="00177648">
            <w:pPr>
              <w:pStyle w:val="TableBody"/>
              <w:spacing w:before="45" w:after="45"/>
              <w:ind w:right="108"/>
              <w:jc w:val="right"/>
              <w:rPr>
                <w:rFonts w:ascii="Arial (Body)" w:hAnsi="Arial (Body)"/>
                <w:color w:val="000000"/>
              </w:rPr>
            </w:pPr>
            <w:r>
              <w:t>0.001</w:t>
            </w:r>
          </w:p>
        </w:tc>
        <w:tc>
          <w:tcPr>
            <w:tcW w:w="1188" w:type="dxa"/>
            <w:tcBorders>
              <w:top w:val="nil"/>
              <w:bottom w:val="nil"/>
            </w:tcBorders>
            <w:shd w:val="clear" w:color="000000" w:fill="F2F2F2"/>
            <w:vAlign w:val="bottom"/>
          </w:tcPr>
          <w:p w14:paraId="389E4C64" w14:textId="77777777" w:rsidR="008E7FC3" w:rsidRDefault="008E7FC3" w:rsidP="00177648">
            <w:pPr>
              <w:pStyle w:val="TableBody"/>
              <w:spacing w:before="45" w:after="45"/>
              <w:ind w:right="108"/>
              <w:jc w:val="right"/>
            </w:pPr>
          </w:p>
        </w:tc>
        <w:tc>
          <w:tcPr>
            <w:tcW w:w="1188" w:type="dxa"/>
            <w:tcBorders>
              <w:top w:val="nil"/>
              <w:bottom w:val="nil"/>
            </w:tcBorders>
            <w:shd w:val="clear" w:color="000000" w:fill="F2F2F2"/>
            <w:vAlign w:val="bottom"/>
          </w:tcPr>
          <w:p w14:paraId="2BE5770A" w14:textId="77777777" w:rsidR="008E7FC3" w:rsidRDefault="008E7FC3" w:rsidP="00177648">
            <w:pPr>
              <w:pStyle w:val="TableBody"/>
              <w:spacing w:before="45" w:after="45"/>
              <w:ind w:right="108"/>
              <w:jc w:val="right"/>
            </w:pPr>
          </w:p>
        </w:tc>
      </w:tr>
      <w:tr w:rsidR="008E7FC3" w:rsidRPr="00030C67" w14:paraId="4978B7EF" w14:textId="77777777" w:rsidTr="00177648">
        <w:trPr>
          <w:gridAfter w:val="1"/>
          <w:wAfter w:w="8" w:type="dxa"/>
        </w:trPr>
        <w:tc>
          <w:tcPr>
            <w:tcW w:w="4959" w:type="dxa"/>
            <w:tcBorders>
              <w:top w:val="nil"/>
              <w:bottom w:val="nil"/>
            </w:tcBorders>
            <w:shd w:val="clear" w:color="auto" w:fill="FFFFFF" w:themeFill="background1"/>
          </w:tcPr>
          <w:p w14:paraId="373AD288" w14:textId="77777777" w:rsidR="008E7FC3" w:rsidRPr="00030C67" w:rsidRDefault="008E7FC3" w:rsidP="00177648">
            <w:pPr>
              <w:pStyle w:val="TableHeading"/>
            </w:pPr>
            <w:r>
              <w:rPr>
                <w:b w:val="0"/>
                <w:bCs/>
              </w:rPr>
              <w:t>Formal care x Female / 100</w:t>
            </w:r>
          </w:p>
        </w:tc>
        <w:tc>
          <w:tcPr>
            <w:tcW w:w="1187" w:type="dxa"/>
            <w:tcBorders>
              <w:top w:val="nil"/>
              <w:bottom w:val="nil"/>
            </w:tcBorders>
            <w:shd w:val="clear" w:color="auto" w:fill="FFFFFF" w:themeFill="background1"/>
            <w:vAlign w:val="bottom"/>
          </w:tcPr>
          <w:p w14:paraId="66AB6B9E" w14:textId="77777777" w:rsidR="008E7FC3" w:rsidRDefault="008E7FC3" w:rsidP="00177648">
            <w:pPr>
              <w:pStyle w:val="TableBody"/>
              <w:spacing w:before="45" w:after="45"/>
              <w:ind w:right="108"/>
              <w:jc w:val="right"/>
              <w:rPr>
                <w:rFonts w:ascii="Arial (Body)" w:hAnsi="Arial (Body)"/>
                <w:color w:val="000000"/>
              </w:rPr>
            </w:pPr>
            <w:r>
              <w:t>4.000</w:t>
            </w:r>
          </w:p>
        </w:tc>
        <w:tc>
          <w:tcPr>
            <w:tcW w:w="1192" w:type="dxa"/>
            <w:tcBorders>
              <w:top w:val="nil"/>
              <w:bottom w:val="nil"/>
            </w:tcBorders>
            <w:shd w:val="clear" w:color="auto" w:fill="FFFFFF" w:themeFill="background1"/>
            <w:vAlign w:val="bottom"/>
          </w:tcPr>
          <w:p w14:paraId="594C7FC9" w14:textId="77777777" w:rsidR="008E7FC3" w:rsidRDefault="008E7FC3" w:rsidP="00177648">
            <w:pPr>
              <w:pStyle w:val="TableBody"/>
              <w:spacing w:before="45" w:after="45"/>
              <w:ind w:right="108"/>
              <w:jc w:val="right"/>
              <w:rPr>
                <w:rFonts w:ascii="Arial (Body)" w:hAnsi="Arial (Body)"/>
                <w:color w:val="000000"/>
              </w:rPr>
            </w:pPr>
            <w:r>
              <w:t>0.023</w:t>
            </w:r>
          </w:p>
        </w:tc>
        <w:tc>
          <w:tcPr>
            <w:tcW w:w="1188" w:type="dxa"/>
            <w:tcBorders>
              <w:top w:val="nil"/>
              <w:bottom w:val="nil"/>
            </w:tcBorders>
            <w:shd w:val="clear" w:color="auto" w:fill="FFFFFF" w:themeFill="background1"/>
            <w:vAlign w:val="bottom"/>
          </w:tcPr>
          <w:p w14:paraId="66CF37BB" w14:textId="77777777" w:rsidR="008E7FC3" w:rsidRDefault="008E7FC3" w:rsidP="00177648">
            <w:pPr>
              <w:pStyle w:val="TableBody"/>
              <w:spacing w:before="45" w:after="45"/>
              <w:ind w:right="108"/>
              <w:jc w:val="right"/>
            </w:pPr>
          </w:p>
        </w:tc>
        <w:tc>
          <w:tcPr>
            <w:tcW w:w="1188" w:type="dxa"/>
            <w:tcBorders>
              <w:top w:val="nil"/>
              <w:bottom w:val="nil"/>
            </w:tcBorders>
            <w:shd w:val="clear" w:color="auto" w:fill="FFFFFF" w:themeFill="background1"/>
            <w:vAlign w:val="bottom"/>
          </w:tcPr>
          <w:p w14:paraId="3699E87C" w14:textId="77777777" w:rsidR="008E7FC3" w:rsidRDefault="008E7FC3" w:rsidP="00177648">
            <w:pPr>
              <w:pStyle w:val="TableBody"/>
              <w:spacing w:before="45" w:after="45"/>
              <w:ind w:right="108"/>
              <w:jc w:val="right"/>
            </w:pPr>
          </w:p>
        </w:tc>
      </w:tr>
      <w:tr w:rsidR="008E7FC3" w:rsidRPr="00030C67" w14:paraId="1046D694" w14:textId="77777777" w:rsidTr="00177648">
        <w:trPr>
          <w:gridAfter w:val="1"/>
          <w:wAfter w:w="8" w:type="dxa"/>
        </w:trPr>
        <w:tc>
          <w:tcPr>
            <w:tcW w:w="4959" w:type="dxa"/>
            <w:tcBorders>
              <w:top w:val="nil"/>
              <w:bottom w:val="nil"/>
            </w:tcBorders>
            <w:shd w:val="clear" w:color="000000" w:fill="F2F2F2"/>
          </w:tcPr>
          <w:p w14:paraId="37353254" w14:textId="77777777" w:rsidR="008E7FC3" w:rsidRPr="00030C67" w:rsidRDefault="008E7FC3" w:rsidP="00177648">
            <w:pPr>
              <w:pStyle w:val="TableHeading"/>
            </w:pPr>
            <w:r>
              <w:rPr>
                <w:b w:val="0"/>
                <w:bCs/>
              </w:rPr>
              <w:t>Fixed cost of informal care</w:t>
            </w:r>
          </w:p>
        </w:tc>
        <w:tc>
          <w:tcPr>
            <w:tcW w:w="1187" w:type="dxa"/>
            <w:tcBorders>
              <w:top w:val="nil"/>
              <w:bottom w:val="nil"/>
            </w:tcBorders>
            <w:shd w:val="clear" w:color="000000" w:fill="F2F2F2"/>
            <w:vAlign w:val="bottom"/>
          </w:tcPr>
          <w:p w14:paraId="0ED88694" w14:textId="77777777" w:rsidR="008E7FC3" w:rsidRDefault="008E7FC3" w:rsidP="00177648">
            <w:pPr>
              <w:pStyle w:val="TableBody"/>
              <w:spacing w:before="45" w:after="45"/>
              <w:ind w:right="108"/>
              <w:jc w:val="right"/>
              <w:rPr>
                <w:rFonts w:ascii="Arial (Body)" w:hAnsi="Arial (Body)"/>
                <w:color w:val="000000"/>
              </w:rPr>
            </w:pPr>
            <w:r>
              <w:t>-0.413</w:t>
            </w:r>
          </w:p>
        </w:tc>
        <w:tc>
          <w:tcPr>
            <w:tcW w:w="1192" w:type="dxa"/>
            <w:tcBorders>
              <w:top w:val="nil"/>
              <w:bottom w:val="nil"/>
            </w:tcBorders>
            <w:shd w:val="clear" w:color="000000" w:fill="F2F2F2"/>
            <w:vAlign w:val="bottom"/>
          </w:tcPr>
          <w:p w14:paraId="23AF88E0" w14:textId="77777777" w:rsidR="008E7FC3" w:rsidRDefault="008E7FC3" w:rsidP="00177648">
            <w:pPr>
              <w:pStyle w:val="TableBody"/>
              <w:spacing w:before="45" w:after="45"/>
              <w:ind w:right="108"/>
              <w:jc w:val="right"/>
              <w:rPr>
                <w:rFonts w:ascii="Arial (Body)" w:hAnsi="Arial (Body)"/>
                <w:color w:val="000000"/>
              </w:rPr>
            </w:pPr>
            <w:r>
              <w:t>0.151</w:t>
            </w:r>
          </w:p>
        </w:tc>
        <w:tc>
          <w:tcPr>
            <w:tcW w:w="1188" w:type="dxa"/>
            <w:tcBorders>
              <w:top w:val="nil"/>
              <w:bottom w:val="nil"/>
            </w:tcBorders>
            <w:shd w:val="clear" w:color="000000" w:fill="F2F2F2"/>
            <w:vAlign w:val="bottom"/>
          </w:tcPr>
          <w:p w14:paraId="2022BA31" w14:textId="77777777" w:rsidR="008E7FC3" w:rsidRDefault="008E7FC3" w:rsidP="00177648">
            <w:pPr>
              <w:pStyle w:val="TableBody"/>
              <w:spacing w:before="45" w:after="45"/>
              <w:ind w:right="108"/>
              <w:jc w:val="right"/>
            </w:pPr>
            <w:r w:rsidRPr="001E35B7">
              <w:t>-0.951</w:t>
            </w:r>
          </w:p>
        </w:tc>
        <w:tc>
          <w:tcPr>
            <w:tcW w:w="1188" w:type="dxa"/>
            <w:tcBorders>
              <w:top w:val="nil"/>
              <w:bottom w:val="nil"/>
            </w:tcBorders>
            <w:shd w:val="clear" w:color="000000" w:fill="F2F2F2"/>
            <w:vAlign w:val="bottom"/>
          </w:tcPr>
          <w:p w14:paraId="6F4DA1D8" w14:textId="77777777" w:rsidR="008E7FC3" w:rsidRDefault="008E7FC3" w:rsidP="00177648">
            <w:pPr>
              <w:pStyle w:val="TableBody"/>
              <w:spacing w:before="45" w:after="45"/>
              <w:ind w:right="108"/>
              <w:jc w:val="right"/>
            </w:pPr>
            <w:r w:rsidRPr="001E35B7">
              <w:t>&lt;0.001</w:t>
            </w:r>
          </w:p>
        </w:tc>
      </w:tr>
      <w:tr w:rsidR="008E7FC3" w:rsidRPr="00030C67" w14:paraId="1C797473" w14:textId="77777777" w:rsidTr="00177648">
        <w:trPr>
          <w:gridAfter w:val="1"/>
          <w:wAfter w:w="8" w:type="dxa"/>
        </w:trPr>
        <w:tc>
          <w:tcPr>
            <w:tcW w:w="4959" w:type="dxa"/>
            <w:tcBorders>
              <w:top w:val="nil"/>
              <w:bottom w:val="nil"/>
            </w:tcBorders>
            <w:shd w:val="clear" w:color="auto" w:fill="FFFFFF" w:themeFill="background1"/>
          </w:tcPr>
          <w:p w14:paraId="08A2B007" w14:textId="77777777" w:rsidR="008E7FC3" w:rsidRPr="002021BA" w:rsidRDefault="008E7FC3" w:rsidP="00177648">
            <w:pPr>
              <w:pStyle w:val="TableHeading"/>
              <w:rPr>
                <w:b w:val="0"/>
                <w:bCs/>
              </w:rPr>
            </w:pPr>
            <w:r w:rsidRPr="008F7397">
              <w:rPr>
                <w:b w:val="0"/>
                <w:bCs/>
              </w:rPr>
              <w:t xml:space="preserve">Hours worked by primary earner x </w:t>
            </w:r>
            <w:r>
              <w:rPr>
                <w:b w:val="0"/>
                <w:bCs/>
              </w:rPr>
              <w:t>N</w:t>
            </w:r>
            <w:r w:rsidRPr="008F7397">
              <w:rPr>
                <w:b w:val="0"/>
                <w:bCs/>
              </w:rPr>
              <w:t xml:space="preserve">et income </w:t>
            </w:r>
            <w:r>
              <w:rPr>
                <w:b w:val="0"/>
                <w:bCs/>
              </w:rPr>
              <w:t>/</w:t>
            </w:r>
            <w:r w:rsidRPr="008F7397">
              <w:rPr>
                <w:b w:val="0"/>
                <w:bCs/>
              </w:rPr>
              <w:t xml:space="preserve"> 10,000</w:t>
            </w:r>
          </w:p>
        </w:tc>
        <w:tc>
          <w:tcPr>
            <w:tcW w:w="1187" w:type="dxa"/>
            <w:tcBorders>
              <w:top w:val="nil"/>
              <w:bottom w:val="nil"/>
            </w:tcBorders>
            <w:shd w:val="clear" w:color="auto" w:fill="FFFFFF" w:themeFill="background1"/>
            <w:vAlign w:val="bottom"/>
          </w:tcPr>
          <w:p w14:paraId="6447C239" w14:textId="77777777" w:rsidR="008E7FC3" w:rsidRDefault="008E7FC3" w:rsidP="00177648">
            <w:pPr>
              <w:pStyle w:val="TableBody"/>
              <w:spacing w:before="45" w:after="45"/>
              <w:ind w:right="108"/>
              <w:jc w:val="right"/>
            </w:pPr>
          </w:p>
        </w:tc>
        <w:tc>
          <w:tcPr>
            <w:tcW w:w="1192" w:type="dxa"/>
            <w:tcBorders>
              <w:top w:val="nil"/>
              <w:bottom w:val="nil"/>
            </w:tcBorders>
            <w:shd w:val="clear" w:color="auto" w:fill="FFFFFF" w:themeFill="background1"/>
            <w:vAlign w:val="bottom"/>
          </w:tcPr>
          <w:p w14:paraId="2FF30210" w14:textId="77777777" w:rsidR="008E7FC3" w:rsidRDefault="008E7FC3" w:rsidP="00177648">
            <w:pPr>
              <w:pStyle w:val="TableBody"/>
              <w:spacing w:before="45" w:after="45"/>
              <w:ind w:right="108"/>
              <w:jc w:val="right"/>
            </w:pPr>
          </w:p>
        </w:tc>
        <w:tc>
          <w:tcPr>
            <w:tcW w:w="1188" w:type="dxa"/>
            <w:tcBorders>
              <w:top w:val="nil"/>
              <w:bottom w:val="nil"/>
            </w:tcBorders>
            <w:shd w:val="clear" w:color="auto" w:fill="FFFFFF" w:themeFill="background1"/>
            <w:vAlign w:val="bottom"/>
          </w:tcPr>
          <w:p w14:paraId="18A2F53C" w14:textId="77777777" w:rsidR="008E7FC3" w:rsidRPr="001E35B7" w:rsidRDefault="008E7FC3" w:rsidP="00177648">
            <w:pPr>
              <w:pStyle w:val="TableBody"/>
              <w:spacing w:before="45" w:after="45"/>
              <w:ind w:right="108"/>
              <w:jc w:val="right"/>
            </w:pPr>
            <w:r w:rsidRPr="00175FA3">
              <w:t>0.046</w:t>
            </w:r>
          </w:p>
        </w:tc>
        <w:tc>
          <w:tcPr>
            <w:tcW w:w="1188" w:type="dxa"/>
            <w:tcBorders>
              <w:top w:val="nil"/>
              <w:bottom w:val="nil"/>
            </w:tcBorders>
            <w:shd w:val="clear" w:color="auto" w:fill="FFFFFF" w:themeFill="background1"/>
            <w:vAlign w:val="bottom"/>
          </w:tcPr>
          <w:p w14:paraId="3EA6B4F8" w14:textId="77777777" w:rsidR="008E7FC3" w:rsidRPr="001E35B7" w:rsidRDefault="008E7FC3" w:rsidP="00177648">
            <w:pPr>
              <w:pStyle w:val="TableBody"/>
              <w:spacing w:before="45" w:after="45"/>
              <w:ind w:right="108"/>
              <w:jc w:val="right"/>
            </w:pPr>
            <w:r w:rsidRPr="00175FA3">
              <w:t>0.425</w:t>
            </w:r>
          </w:p>
        </w:tc>
      </w:tr>
      <w:tr w:rsidR="008E7FC3" w:rsidRPr="00030C67" w14:paraId="441B2245" w14:textId="77777777" w:rsidTr="00177648">
        <w:trPr>
          <w:gridAfter w:val="1"/>
          <w:wAfter w:w="8" w:type="dxa"/>
        </w:trPr>
        <w:tc>
          <w:tcPr>
            <w:tcW w:w="4959" w:type="dxa"/>
            <w:tcBorders>
              <w:top w:val="nil"/>
              <w:bottom w:val="nil"/>
            </w:tcBorders>
            <w:shd w:val="clear" w:color="000000" w:fill="F2F2F2"/>
          </w:tcPr>
          <w:p w14:paraId="7A7517E5" w14:textId="77777777" w:rsidR="008E7FC3" w:rsidRPr="002021BA" w:rsidRDefault="008E7FC3" w:rsidP="00177648">
            <w:pPr>
              <w:pStyle w:val="TableHeading"/>
              <w:rPr>
                <w:b w:val="0"/>
                <w:bCs/>
              </w:rPr>
            </w:pPr>
            <w:r w:rsidRPr="008F7397">
              <w:rPr>
                <w:b w:val="0"/>
                <w:bCs/>
              </w:rPr>
              <w:t xml:space="preserve">Hours worked by primary earner x Labour supply </w:t>
            </w:r>
            <w:r>
              <w:rPr>
                <w:b w:val="0"/>
                <w:bCs/>
              </w:rPr>
              <w:t>/</w:t>
            </w:r>
            <w:r w:rsidRPr="008F7397">
              <w:rPr>
                <w:b w:val="0"/>
                <w:bCs/>
              </w:rPr>
              <w:t xml:space="preserve"> 100</w:t>
            </w:r>
          </w:p>
        </w:tc>
        <w:tc>
          <w:tcPr>
            <w:tcW w:w="1187" w:type="dxa"/>
            <w:tcBorders>
              <w:top w:val="nil"/>
              <w:bottom w:val="nil"/>
            </w:tcBorders>
            <w:shd w:val="clear" w:color="000000" w:fill="F2F2F2"/>
            <w:vAlign w:val="bottom"/>
          </w:tcPr>
          <w:p w14:paraId="7922AE44" w14:textId="77777777" w:rsidR="008E7FC3" w:rsidRDefault="008E7FC3" w:rsidP="00177648">
            <w:pPr>
              <w:pStyle w:val="TableBody"/>
              <w:spacing w:before="45" w:after="45"/>
              <w:ind w:right="108"/>
              <w:jc w:val="right"/>
            </w:pPr>
          </w:p>
        </w:tc>
        <w:tc>
          <w:tcPr>
            <w:tcW w:w="1192" w:type="dxa"/>
            <w:tcBorders>
              <w:top w:val="nil"/>
              <w:bottom w:val="nil"/>
            </w:tcBorders>
            <w:shd w:val="clear" w:color="000000" w:fill="F2F2F2"/>
            <w:vAlign w:val="bottom"/>
          </w:tcPr>
          <w:p w14:paraId="42844D21" w14:textId="77777777" w:rsidR="008E7FC3" w:rsidRDefault="008E7FC3" w:rsidP="00177648">
            <w:pPr>
              <w:pStyle w:val="TableBody"/>
              <w:spacing w:before="45" w:after="45"/>
              <w:ind w:right="108"/>
              <w:jc w:val="right"/>
            </w:pPr>
          </w:p>
        </w:tc>
        <w:tc>
          <w:tcPr>
            <w:tcW w:w="1188" w:type="dxa"/>
            <w:tcBorders>
              <w:top w:val="nil"/>
              <w:bottom w:val="nil"/>
            </w:tcBorders>
            <w:shd w:val="clear" w:color="000000" w:fill="F2F2F2"/>
            <w:vAlign w:val="bottom"/>
          </w:tcPr>
          <w:p w14:paraId="688FD084" w14:textId="77777777" w:rsidR="008E7FC3" w:rsidRPr="001E35B7" w:rsidRDefault="008E7FC3" w:rsidP="00177648">
            <w:pPr>
              <w:pStyle w:val="TableBody"/>
              <w:spacing w:before="45" w:after="45"/>
              <w:ind w:right="108"/>
              <w:jc w:val="right"/>
            </w:pPr>
            <w:r w:rsidRPr="00175FA3">
              <w:t>-0.104</w:t>
            </w:r>
          </w:p>
        </w:tc>
        <w:tc>
          <w:tcPr>
            <w:tcW w:w="1188" w:type="dxa"/>
            <w:tcBorders>
              <w:top w:val="nil"/>
              <w:bottom w:val="nil"/>
            </w:tcBorders>
            <w:shd w:val="clear" w:color="000000" w:fill="F2F2F2"/>
            <w:vAlign w:val="bottom"/>
          </w:tcPr>
          <w:p w14:paraId="703F3683" w14:textId="77777777" w:rsidR="008E7FC3" w:rsidRPr="001E35B7" w:rsidRDefault="008E7FC3" w:rsidP="00177648">
            <w:pPr>
              <w:pStyle w:val="TableBody"/>
              <w:spacing w:before="45" w:after="45"/>
              <w:ind w:right="108"/>
              <w:jc w:val="right"/>
            </w:pPr>
            <w:r w:rsidRPr="00175FA3">
              <w:t>&lt;0.001</w:t>
            </w:r>
          </w:p>
        </w:tc>
      </w:tr>
      <w:tr w:rsidR="008E7FC3" w:rsidRPr="00030C67" w14:paraId="67DEE93F" w14:textId="77777777" w:rsidTr="00177648">
        <w:trPr>
          <w:gridAfter w:val="1"/>
          <w:wAfter w:w="8" w:type="dxa"/>
        </w:trPr>
        <w:tc>
          <w:tcPr>
            <w:tcW w:w="4959" w:type="dxa"/>
            <w:tcBorders>
              <w:top w:val="nil"/>
              <w:bottom w:val="single" w:sz="4" w:space="0" w:color="B3B3B3"/>
            </w:tcBorders>
            <w:shd w:val="clear" w:color="auto" w:fill="FFFFFF" w:themeFill="background1"/>
          </w:tcPr>
          <w:p w14:paraId="5FFE9372" w14:textId="77777777" w:rsidR="008E7FC3" w:rsidRPr="00301155" w:rsidRDefault="008E7FC3" w:rsidP="00177648">
            <w:pPr>
              <w:pStyle w:val="TableHeading"/>
              <w:rPr>
                <w:b w:val="0"/>
                <w:bCs/>
              </w:rPr>
            </w:pPr>
            <w:r>
              <w:rPr>
                <w:b w:val="0"/>
                <w:bCs/>
              </w:rPr>
              <w:t>Log-likelihood</w:t>
            </w:r>
          </w:p>
        </w:tc>
        <w:tc>
          <w:tcPr>
            <w:tcW w:w="2379" w:type="dxa"/>
            <w:gridSpan w:val="2"/>
            <w:tcBorders>
              <w:top w:val="nil"/>
              <w:bottom w:val="single" w:sz="4" w:space="0" w:color="B3B3B3"/>
            </w:tcBorders>
            <w:shd w:val="clear" w:color="auto" w:fill="FFFFFF" w:themeFill="background1"/>
          </w:tcPr>
          <w:p w14:paraId="446B6936" w14:textId="77777777" w:rsidR="008E7FC3" w:rsidRDefault="008E7FC3" w:rsidP="00177648">
            <w:pPr>
              <w:pStyle w:val="TableBody"/>
              <w:spacing w:before="45" w:after="45"/>
              <w:ind w:right="108"/>
              <w:jc w:val="center"/>
            </w:pPr>
            <w:r w:rsidRPr="00DA51FE">
              <w:t>-979.627</w:t>
            </w:r>
          </w:p>
        </w:tc>
        <w:tc>
          <w:tcPr>
            <w:tcW w:w="2376" w:type="dxa"/>
            <w:gridSpan w:val="2"/>
            <w:tcBorders>
              <w:top w:val="nil"/>
              <w:bottom w:val="single" w:sz="4" w:space="0" w:color="B3B3B3"/>
            </w:tcBorders>
            <w:shd w:val="clear" w:color="auto" w:fill="FFFFFF" w:themeFill="background1"/>
          </w:tcPr>
          <w:p w14:paraId="67B00C90" w14:textId="77777777" w:rsidR="008E7FC3" w:rsidRPr="00175FA3" w:rsidRDefault="008E7FC3" w:rsidP="00177648">
            <w:pPr>
              <w:pStyle w:val="TableBody"/>
              <w:spacing w:before="45" w:after="45"/>
              <w:ind w:right="108"/>
              <w:jc w:val="center"/>
            </w:pPr>
            <w:r w:rsidRPr="00AB4DD2">
              <w:t>-4096.745</w:t>
            </w:r>
          </w:p>
        </w:tc>
      </w:tr>
    </w:tbl>
    <w:p w14:paraId="6DA6F62B" w14:textId="77777777" w:rsidR="008E7FC3" w:rsidRDefault="008E7FC3" w:rsidP="008E7FC3">
      <w:pPr>
        <w:pStyle w:val="Source"/>
      </w:pPr>
      <w:r w:rsidRPr="00696447">
        <w:t xml:space="preserve">Source: </w:t>
      </w:r>
      <w:r>
        <w:t>Productivity Commission estimates</w:t>
      </w:r>
      <w:r w:rsidRPr="00696447">
        <w:t>.</w:t>
      </w:r>
    </w:p>
    <w:p w14:paraId="393EB91F" w14:textId="77777777" w:rsidR="008E7FC3" w:rsidRDefault="008E7FC3" w:rsidP="008E7FC3">
      <w:pPr>
        <w:pStyle w:val="BodyText"/>
      </w:pPr>
      <w:r>
        <w:t xml:space="preserve">Marginal utilities can be useful to inform how changes to labour supply and formal care would affect modelled utility. However owing to the presence of fixed cost coefficients in the utility function, deriving the </w:t>
      </w:r>
      <w:r>
        <w:lastRenderedPageBreak/>
        <w:t>marginal utilities by calculating the derivatives is not straightforward – no derivative exists at the points in which the fixed first costs</w:t>
      </w:r>
      <w:r w:rsidRPr="00BF2BF4">
        <w:t xml:space="preserve"> </w:t>
      </w:r>
      <w:r>
        <w:t>take effect. Instead, marginal utilities were approximated by calculating the change in utility from an additional hour of ECEC demand and from an additional hour of labour supply for some hypothetical families.</w:t>
      </w:r>
    </w:p>
    <w:p w14:paraId="3650AA83" w14:textId="77777777" w:rsidR="008E7FC3" w:rsidRDefault="008E7FC3" w:rsidP="008E7FC3">
      <w:pPr>
        <w:pStyle w:val="BodyText"/>
      </w:pPr>
      <w:r>
        <w:t xml:space="preserve">Table </w:t>
      </w:r>
      <w:r w:rsidRPr="00F5025E">
        <w:t>G.</w:t>
      </w:r>
      <w:r>
        <w:t>6 presents the change in utility from an additional hour of labour supply for a range of families at extreme choices of labour supply and formal care. For both sole and partnered parent families, the change in utility with respect to labour supply are negative, suggesting that families have decreased utility from supplying more labour, all else equal.</w:t>
      </w:r>
    </w:p>
    <w:p w14:paraId="4FAA2BAC" w14:textId="77777777" w:rsidR="008E7FC3" w:rsidRDefault="008E7FC3" w:rsidP="008E7FC3">
      <w:pPr>
        <w:pStyle w:val="FigureTableHeading"/>
      </w:pPr>
      <w:r>
        <w:t xml:space="preserve">Table </w:t>
      </w:r>
      <w:r>
        <w:rPr>
          <w:noProof/>
        </w:rPr>
        <w:t>G</w:t>
      </w:r>
      <w:r>
        <w:t>.</w:t>
      </w:r>
      <w:r>
        <w:rPr>
          <w:noProof/>
        </w:rPr>
        <w:t>6 – Changes in</w:t>
      </w:r>
      <w:r w:rsidRPr="001C40B0">
        <w:rPr>
          <w:noProof/>
        </w:rPr>
        <w:t xml:space="preserve"> utilit</w:t>
      </w:r>
      <w:r>
        <w:rPr>
          <w:noProof/>
        </w:rPr>
        <w:t>y from an additional hour of labour supply are negative</w:t>
      </w:r>
      <w:r w:rsidRPr="00EC0C27">
        <w:rPr>
          <w:vertAlign w:val="superscript"/>
        </w:rPr>
        <w:t>a</w:t>
      </w:r>
      <w:r>
        <w:rPr>
          <w:vertAlign w:val="superscript"/>
        </w:rPr>
        <w:t>,b</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521"/>
        <w:gridCol w:w="3118"/>
      </w:tblGrid>
      <w:tr w:rsidR="008E7FC3" w:rsidRPr="00D126B3" w14:paraId="20821EB2" w14:textId="77777777" w:rsidTr="00177648">
        <w:trPr>
          <w:tblHeader/>
        </w:trPr>
        <w:tc>
          <w:tcPr>
            <w:tcW w:w="6521" w:type="dxa"/>
            <w:tcBorders>
              <w:bottom w:val="single" w:sz="4" w:space="0" w:color="B3B3B3"/>
            </w:tcBorders>
            <w:shd w:val="clear" w:color="000000" w:fill="auto"/>
            <w:vAlign w:val="bottom"/>
          </w:tcPr>
          <w:p w14:paraId="4E5A3548" w14:textId="77777777" w:rsidR="008E7FC3" w:rsidRPr="00D126B3" w:rsidRDefault="008E7FC3" w:rsidP="00177648">
            <w:pPr>
              <w:spacing w:before="45" w:after="45"/>
              <w:ind w:left="57" w:right="108"/>
              <w:rPr>
                <w:rFonts w:ascii="Arial (Body)" w:hAnsi="Arial (Body)"/>
                <w:b/>
                <w:color w:val="265A9A"/>
                <w:sz w:val="18"/>
              </w:rPr>
            </w:pPr>
          </w:p>
        </w:tc>
        <w:tc>
          <w:tcPr>
            <w:tcW w:w="3118" w:type="dxa"/>
            <w:tcBorders>
              <w:bottom w:val="single" w:sz="4" w:space="0" w:color="B3B3B3"/>
            </w:tcBorders>
            <w:shd w:val="clear" w:color="000000" w:fill="auto"/>
            <w:vAlign w:val="bottom"/>
          </w:tcPr>
          <w:p w14:paraId="75BAF627"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Estimated change in utility</w:t>
            </w:r>
          </w:p>
        </w:tc>
      </w:tr>
      <w:tr w:rsidR="008E7FC3" w:rsidRPr="00D126B3" w14:paraId="4B2E8AE2" w14:textId="77777777" w:rsidTr="00177648">
        <w:tc>
          <w:tcPr>
            <w:tcW w:w="9639" w:type="dxa"/>
            <w:gridSpan w:val="2"/>
            <w:tcBorders>
              <w:top w:val="single" w:sz="4" w:space="0" w:color="B3B3B3"/>
              <w:bottom w:val="nil"/>
            </w:tcBorders>
            <w:shd w:val="clear" w:color="auto" w:fill="CBDDF2" w:themeFill="background2" w:themeFillTint="33"/>
          </w:tcPr>
          <w:p w14:paraId="3AE05520" w14:textId="77777777" w:rsidR="008E7FC3" w:rsidRPr="005D3A65" w:rsidRDefault="008E7FC3" w:rsidP="006510ED">
            <w:pPr>
              <w:pStyle w:val="TableBody"/>
              <w:spacing w:before="45" w:after="45"/>
              <w:ind w:right="108"/>
              <w:rPr>
                <w:rFonts w:ascii="Arial (Body)" w:hAnsi="Arial (Body)"/>
                <w:b/>
                <w:bCs/>
              </w:rPr>
            </w:pPr>
            <w:r w:rsidRPr="005D3A65">
              <w:rPr>
                <w:rFonts w:ascii="Arial (Body)" w:hAnsi="Arial (Body)"/>
                <w:b/>
                <w:bCs/>
              </w:rPr>
              <w:t>Sole parents</w:t>
            </w:r>
          </w:p>
        </w:tc>
      </w:tr>
      <w:tr w:rsidR="008E7FC3" w:rsidRPr="00D126B3" w14:paraId="51CE4FE3" w14:textId="77777777" w:rsidTr="00177648">
        <w:tc>
          <w:tcPr>
            <w:tcW w:w="6521" w:type="dxa"/>
            <w:tcBorders>
              <w:top w:val="nil"/>
              <w:bottom w:val="nil"/>
            </w:tcBorders>
            <w:shd w:val="clear" w:color="auto" w:fill="F2F2F2" w:themeFill="background1" w:themeFillShade="F2"/>
          </w:tcPr>
          <w:p w14:paraId="5392ED45" w14:textId="77777777" w:rsidR="008E7FC3" w:rsidRPr="007E2E3E" w:rsidRDefault="008E7FC3" w:rsidP="00177648">
            <w:pPr>
              <w:pStyle w:val="TableHeading"/>
              <w:spacing w:before="45" w:after="45"/>
              <w:ind w:right="108"/>
              <w:rPr>
                <w:rFonts w:ascii="Arial (Body)" w:hAnsi="Arial (Body)"/>
                <w:color w:val="265A9A"/>
                <w:vertAlign w:val="superscript"/>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y=$44,000</m:t>
              </m:r>
            </m:oMath>
            <w:r>
              <w:rPr>
                <w:rFonts w:eastAsiaTheme="minorEastAsia"/>
                <w:color w:val="265A9A"/>
              </w:rPr>
              <w:t>)</w:t>
            </w:r>
          </w:p>
        </w:tc>
        <w:tc>
          <w:tcPr>
            <w:tcW w:w="3118" w:type="dxa"/>
            <w:tcBorders>
              <w:top w:val="nil"/>
              <w:bottom w:val="nil"/>
            </w:tcBorders>
            <w:shd w:val="clear" w:color="auto" w:fill="F2F2F2" w:themeFill="background1" w:themeFillShade="F2"/>
          </w:tcPr>
          <w:p w14:paraId="46A562DB" w14:textId="77777777" w:rsidR="008E7FC3" w:rsidRPr="00D126B3" w:rsidRDefault="008E7FC3" w:rsidP="00177648">
            <w:pPr>
              <w:pStyle w:val="TableBody"/>
              <w:spacing w:before="45" w:after="45"/>
              <w:ind w:right="108"/>
              <w:jc w:val="right"/>
              <w:rPr>
                <w:rFonts w:ascii="Arial (Body)" w:hAnsi="Arial (Body)"/>
                <w:color w:val="000000"/>
              </w:rPr>
            </w:pPr>
            <w:r w:rsidRPr="002E26A3">
              <w:t>-3.77</w:t>
            </w:r>
          </w:p>
        </w:tc>
      </w:tr>
      <w:tr w:rsidR="008E7FC3" w:rsidRPr="00D126B3" w14:paraId="5E3A230E" w14:textId="77777777" w:rsidTr="00177648">
        <w:tc>
          <w:tcPr>
            <w:tcW w:w="6521" w:type="dxa"/>
            <w:tcBorders>
              <w:top w:val="nil"/>
              <w:bottom w:val="nil"/>
            </w:tcBorders>
            <w:shd w:val="clear" w:color="auto" w:fill="auto"/>
          </w:tcPr>
          <w:p w14:paraId="72DB999E" w14:textId="77777777" w:rsidR="008E7FC3" w:rsidRPr="007E2E3E" w:rsidRDefault="008E7FC3" w:rsidP="00177648">
            <w:pPr>
              <w:pStyle w:val="TableHeading"/>
              <w:spacing w:before="45" w:after="45"/>
              <w:ind w:right="108"/>
              <w:rPr>
                <w:rFonts w:ascii="Arial" w:eastAsia="Arial" w:hAnsi="Arial" w:cs="Times New Roman"/>
                <w:color w:val="265A9A"/>
                <w:vertAlign w:val="superscript"/>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y=$44,000</m:t>
              </m:r>
            </m:oMath>
            <w:r>
              <w:rPr>
                <w:rFonts w:eastAsiaTheme="minorEastAsia"/>
                <w:color w:val="265A9A"/>
              </w:rPr>
              <w:t>)</w:t>
            </w:r>
          </w:p>
        </w:tc>
        <w:tc>
          <w:tcPr>
            <w:tcW w:w="3118" w:type="dxa"/>
            <w:tcBorders>
              <w:top w:val="nil"/>
              <w:bottom w:val="nil"/>
            </w:tcBorders>
            <w:shd w:val="clear" w:color="auto" w:fill="auto"/>
          </w:tcPr>
          <w:p w14:paraId="6DA140A6" w14:textId="77777777" w:rsidR="008E7FC3" w:rsidRPr="00D126B3" w:rsidRDefault="008E7FC3" w:rsidP="00177648">
            <w:pPr>
              <w:pStyle w:val="TableBody"/>
              <w:spacing w:before="45" w:after="45"/>
              <w:ind w:right="108"/>
              <w:jc w:val="right"/>
              <w:rPr>
                <w:rFonts w:ascii="Arial (Body)" w:hAnsi="Arial (Body)"/>
                <w:color w:val="000000"/>
              </w:rPr>
            </w:pPr>
            <w:r w:rsidRPr="002E26A3">
              <w:t>-3.72</w:t>
            </w:r>
          </w:p>
        </w:tc>
      </w:tr>
      <w:tr w:rsidR="008E7FC3" w:rsidRPr="00D126B3" w14:paraId="58447EEC" w14:textId="77777777" w:rsidTr="00177648">
        <w:tc>
          <w:tcPr>
            <w:tcW w:w="6521" w:type="dxa"/>
            <w:tcBorders>
              <w:top w:val="nil"/>
              <w:bottom w:val="nil"/>
            </w:tcBorders>
            <w:shd w:val="clear" w:color="auto" w:fill="F2F2F2" w:themeFill="background1" w:themeFillShade="F2"/>
          </w:tcPr>
          <w:p w14:paraId="775FA893"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y=$50,000</m:t>
              </m:r>
            </m:oMath>
            <w:r>
              <w:rPr>
                <w:rFonts w:eastAsiaTheme="minorEastAsia"/>
                <w:color w:val="265A9A"/>
              </w:rPr>
              <w:t>)</w:t>
            </w:r>
          </w:p>
        </w:tc>
        <w:tc>
          <w:tcPr>
            <w:tcW w:w="3118" w:type="dxa"/>
            <w:tcBorders>
              <w:top w:val="nil"/>
              <w:bottom w:val="nil"/>
            </w:tcBorders>
            <w:shd w:val="clear" w:color="auto" w:fill="F2F2F2" w:themeFill="background1" w:themeFillShade="F2"/>
          </w:tcPr>
          <w:p w14:paraId="2BD2FD19" w14:textId="77777777" w:rsidR="008E7FC3" w:rsidRDefault="008E7FC3" w:rsidP="00177648">
            <w:pPr>
              <w:pStyle w:val="TableBody"/>
              <w:spacing w:before="45" w:after="45"/>
              <w:ind w:right="108"/>
              <w:jc w:val="right"/>
              <w:rPr>
                <w:rFonts w:ascii="Arial (Body)" w:hAnsi="Arial (Body)"/>
                <w:color w:val="000000"/>
              </w:rPr>
            </w:pPr>
            <w:r w:rsidRPr="002E26A3">
              <w:t>-0.10</w:t>
            </w:r>
          </w:p>
        </w:tc>
      </w:tr>
      <w:tr w:rsidR="008E7FC3" w:rsidRPr="00D126B3" w14:paraId="369B9D1A" w14:textId="77777777" w:rsidTr="00177648">
        <w:tc>
          <w:tcPr>
            <w:tcW w:w="6521" w:type="dxa"/>
            <w:tcBorders>
              <w:top w:val="nil"/>
              <w:bottom w:val="nil"/>
            </w:tcBorders>
            <w:shd w:val="clear" w:color="auto" w:fill="auto"/>
          </w:tcPr>
          <w:p w14:paraId="56C61194" w14:textId="77777777" w:rsidR="008E7FC3" w:rsidRPr="002A4882" w:rsidRDefault="008E7FC3" w:rsidP="00177648">
            <w:pPr>
              <w:pStyle w:val="TableHeading"/>
              <w:spacing w:before="45" w:after="45"/>
              <w:ind w:right="108"/>
              <w:rPr>
                <w:rFonts w:eastAsiaTheme="minorEastAsia"/>
                <w:color w:val="265A9A"/>
              </w:rPr>
            </w:pPr>
            <w:r>
              <w:rPr>
                <w:rFonts w:eastAsiaTheme="minorEastAsia"/>
                <w:color w:val="265A9A"/>
              </w:rPr>
              <w:t>High</w:t>
            </w:r>
            <w:r w:rsidRPr="002A4882">
              <w:rPr>
                <w:rFonts w:eastAsiaTheme="minorEastAsia"/>
                <w:color w:val="265A9A"/>
              </w:rPr>
              <w:t xml:space="preserve">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y=$50,000</m:t>
              </m:r>
            </m:oMath>
            <w:r w:rsidRPr="002A4882">
              <w:rPr>
                <w:rFonts w:eastAsiaTheme="minorEastAsia"/>
                <w:color w:val="265A9A"/>
              </w:rPr>
              <w:t>)</w:t>
            </w:r>
          </w:p>
        </w:tc>
        <w:tc>
          <w:tcPr>
            <w:tcW w:w="3118" w:type="dxa"/>
            <w:tcBorders>
              <w:top w:val="nil"/>
              <w:bottom w:val="nil"/>
            </w:tcBorders>
            <w:shd w:val="clear" w:color="auto" w:fill="auto"/>
          </w:tcPr>
          <w:p w14:paraId="079D3F8C" w14:textId="77777777" w:rsidR="008E7FC3" w:rsidRPr="002A4882" w:rsidRDefault="008E7FC3" w:rsidP="00177648">
            <w:pPr>
              <w:pStyle w:val="TableBody"/>
              <w:spacing w:before="45" w:after="45"/>
              <w:ind w:right="108"/>
              <w:jc w:val="right"/>
              <w:rPr>
                <w:rFonts w:ascii="Arial (Body)" w:hAnsi="Arial (Body)"/>
                <w:color w:val="000000"/>
              </w:rPr>
            </w:pPr>
            <w:r w:rsidRPr="002E26A3">
              <w:t>-0.06</w:t>
            </w:r>
          </w:p>
        </w:tc>
      </w:tr>
      <w:tr w:rsidR="008E7FC3" w:rsidRPr="00D126B3" w14:paraId="4871721D" w14:textId="77777777" w:rsidTr="00177648">
        <w:tc>
          <w:tcPr>
            <w:tcW w:w="6521" w:type="dxa"/>
            <w:tcBorders>
              <w:top w:val="nil"/>
              <w:bottom w:val="nil"/>
            </w:tcBorders>
            <w:shd w:val="clear" w:color="auto" w:fill="F2F2F2" w:themeFill="background1" w:themeFillShade="F2"/>
          </w:tcPr>
          <w:p w14:paraId="0AE6AD9D" w14:textId="77777777" w:rsidR="008E7FC3" w:rsidRPr="007E2E3E" w:rsidRDefault="008E7FC3" w:rsidP="00177648">
            <w:pPr>
              <w:pStyle w:val="TableHeading"/>
              <w:spacing w:before="45" w:after="45"/>
              <w:ind w:right="108"/>
              <w:rPr>
                <w:rFonts w:ascii="Arial (Body)" w:hAnsi="Arial (Body)"/>
                <w:color w:val="265A9A"/>
                <w:vertAlign w:val="superscript"/>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=60,</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y=$80,000</m:t>
              </m:r>
            </m:oMath>
            <w:r>
              <w:rPr>
                <w:rFonts w:eastAsiaTheme="minorEastAsia"/>
                <w:color w:val="265A9A"/>
              </w:rPr>
              <w:t>)</w:t>
            </w:r>
          </w:p>
        </w:tc>
        <w:tc>
          <w:tcPr>
            <w:tcW w:w="3118" w:type="dxa"/>
            <w:tcBorders>
              <w:top w:val="nil"/>
              <w:bottom w:val="nil"/>
            </w:tcBorders>
            <w:shd w:val="clear" w:color="auto" w:fill="F2F2F2" w:themeFill="background1" w:themeFillShade="F2"/>
          </w:tcPr>
          <w:p w14:paraId="4E9F183B" w14:textId="77777777" w:rsidR="008E7FC3" w:rsidRPr="00D126B3" w:rsidRDefault="008E7FC3" w:rsidP="00177648">
            <w:pPr>
              <w:pStyle w:val="TableBody"/>
              <w:spacing w:before="45" w:after="45"/>
              <w:ind w:right="108"/>
              <w:jc w:val="right"/>
              <w:rPr>
                <w:rFonts w:ascii="Arial (Body)" w:hAnsi="Arial (Body)"/>
                <w:color w:val="000000"/>
              </w:rPr>
            </w:pPr>
            <w:r w:rsidRPr="002E26A3">
              <w:t>-0.13</w:t>
            </w:r>
          </w:p>
        </w:tc>
      </w:tr>
      <w:tr w:rsidR="008E7FC3" w:rsidRPr="00D126B3" w14:paraId="6C81F1E4" w14:textId="77777777" w:rsidTr="00177648">
        <w:tc>
          <w:tcPr>
            <w:tcW w:w="6521" w:type="dxa"/>
            <w:tcBorders>
              <w:top w:val="nil"/>
              <w:bottom w:val="nil"/>
            </w:tcBorders>
            <w:shd w:val="clear" w:color="000000" w:fill="auto"/>
          </w:tcPr>
          <w:p w14:paraId="4333A4D7" w14:textId="77777777" w:rsidR="008E7FC3" w:rsidRPr="007E2E3E" w:rsidRDefault="008E7FC3" w:rsidP="00177648">
            <w:pPr>
              <w:pStyle w:val="TableHeading"/>
              <w:spacing w:before="45" w:after="45"/>
              <w:ind w:right="108"/>
              <w:rPr>
                <w:rFonts w:eastAsiaTheme="minorEastAsia"/>
                <w:color w:val="265A9A"/>
                <w:vertAlign w:val="superscript"/>
              </w:rPr>
            </w:pPr>
            <w:r>
              <w:rPr>
                <w:rFonts w:eastAsiaTheme="minorEastAsia"/>
                <w:color w:val="265A9A"/>
              </w:rPr>
              <w:t>High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y=$80,000</m:t>
              </m:r>
            </m:oMath>
            <w:r>
              <w:rPr>
                <w:rFonts w:eastAsiaTheme="minorEastAsia"/>
                <w:color w:val="265A9A"/>
              </w:rPr>
              <w:t>)</w:t>
            </w:r>
          </w:p>
        </w:tc>
        <w:tc>
          <w:tcPr>
            <w:tcW w:w="3118" w:type="dxa"/>
            <w:tcBorders>
              <w:top w:val="nil"/>
              <w:bottom w:val="nil"/>
            </w:tcBorders>
            <w:shd w:val="clear" w:color="000000" w:fill="auto"/>
          </w:tcPr>
          <w:p w14:paraId="2F47B1EF" w14:textId="77777777" w:rsidR="008E7FC3" w:rsidRPr="00D126B3" w:rsidRDefault="008E7FC3" w:rsidP="00177648">
            <w:pPr>
              <w:pStyle w:val="TableBody"/>
              <w:spacing w:before="45" w:after="45"/>
              <w:ind w:right="108"/>
              <w:jc w:val="right"/>
              <w:rPr>
                <w:rFonts w:ascii="Arial (Body)" w:hAnsi="Arial (Body)"/>
                <w:color w:val="000000"/>
              </w:rPr>
            </w:pPr>
            <w:r w:rsidRPr="002E26A3">
              <w:t>-0.09</w:t>
            </w:r>
          </w:p>
        </w:tc>
      </w:tr>
      <w:tr w:rsidR="008E7FC3" w:rsidRPr="00D126B3" w14:paraId="6A60A9D8" w14:textId="77777777" w:rsidTr="00177648">
        <w:tc>
          <w:tcPr>
            <w:tcW w:w="9639" w:type="dxa"/>
            <w:gridSpan w:val="2"/>
            <w:tcBorders>
              <w:top w:val="nil"/>
              <w:bottom w:val="nil"/>
            </w:tcBorders>
            <w:shd w:val="clear" w:color="auto" w:fill="CBDDF2" w:themeFill="background2" w:themeFillTint="33"/>
          </w:tcPr>
          <w:p w14:paraId="5029B063" w14:textId="77777777" w:rsidR="008E7FC3" w:rsidRPr="005D3A65" w:rsidRDefault="008E7FC3" w:rsidP="006510ED">
            <w:pPr>
              <w:pStyle w:val="TableBody"/>
              <w:spacing w:before="45" w:after="45"/>
              <w:ind w:right="108"/>
              <w:rPr>
                <w:rFonts w:ascii="Arial (Body)" w:hAnsi="Arial (Body)"/>
                <w:b/>
                <w:bCs/>
              </w:rPr>
            </w:pPr>
            <w:r>
              <w:rPr>
                <w:rFonts w:ascii="Arial (Body)" w:hAnsi="Arial (Body)"/>
                <w:b/>
                <w:bCs/>
              </w:rPr>
              <w:t>Partnered primary carer parents</w:t>
            </w:r>
          </w:p>
        </w:tc>
      </w:tr>
      <w:tr w:rsidR="008E7FC3" w:rsidRPr="00D126B3" w14:paraId="7FA545CA" w14:textId="77777777" w:rsidTr="00177648">
        <w:tc>
          <w:tcPr>
            <w:tcW w:w="6521" w:type="dxa"/>
            <w:tcBorders>
              <w:top w:val="nil"/>
              <w:bottom w:val="nil"/>
            </w:tcBorders>
            <w:shd w:val="clear" w:color="auto" w:fill="F2F2F2" w:themeFill="background1" w:themeFillShade="F2"/>
          </w:tcPr>
          <w:p w14:paraId="1960A22E" w14:textId="77777777" w:rsidR="008E7FC3" w:rsidRPr="007E2E3E" w:rsidRDefault="008E7FC3" w:rsidP="00177648">
            <w:pPr>
              <w:pStyle w:val="TableHeading"/>
              <w:spacing w:before="45" w:after="45"/>
              <w:ind w:right="108"/>
              <w:rPr>
                <w:rFonts w:eastAsiaTheme="minorEastAsia"/>
                <w:color w:val="265A9A"/>
                <w:vertAlign w:val="superscript"/>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y=$60,000</m:t>
              </m:r>
            </m:oMath>
            <w:r>
              <w:rPr>
                <w:rFonts w:eastAsiaTheme="minorEastAsia"/>
                <w:color w:val="265A9A"/>
              </w:rPr>
              <w:t>)</w:t>
            </w:r>
          </w:p>
        </w:tc>
        <w:tc>
          <w:tcPr>
            <w:tcW w:w="3118" w:type="dxa"/>
            <w:tcBorders>
              <w:top w:val="nil"/>
              <w:bottom w:val="nil"/>
            </w:tcBorders>
            <w:shd w:val="clear" w:color="auto" w:fill="F2F2F2" w:themeFill="background1" w:themeFillShade="F2"/>
          </w:tcPr>
          <w:p w14:paraId="2B3A88F7" w14:textId="77777777" w:rsidR="008E7FC3" w:rsidRPr="00D126B3" w:rsidRDefault="008E7FC3" w:rsidP="00177648">
            <w:pPr>
              <w:pStyle w:val="TableBody"/>
              <w:spacing w:before="45" w:after="45"/>
              <w:ind w:right="108"/>
              <w:jc w:val="right"/>
              <w:rPr>
                <w:rFonts w:ascii="Arial (Body)" w:hAnsi="Arial (Body)"/>
                <w:color w:val="000000"/>
              </w:rPr>
            </w:pPr>
            <w:r w:rsidRPr="0060633C">
              <w:t>-3.07</w:t>
            </w:r>
          </w:p>
        </w:tc>
      </w:tr>
      <w:tr w:rsidR="008E7FC3" w:rsidRPr="00D126B3" w14:paraId="2BFF77EF" w14:textId="77777777" w:rsidTr="00177648">
        <w:tc>
          <w:tcPr>
            <w:tcW w:w="6521" w:type="dxa"/>
            <w:tcBorders>
              <w:top w:val="nil"/>
              <w:bottom w:val="nil"/>
            </w:tcBorders>
            <w:shd w:val="clear" w:color="000000" w:fill="auto"/>
          </w:tcPr>
          <w:p w14:paraId="02736354" w14:textId="77777777" w:rsidR="008E7FC3" w:rsidRPr="007E2E3E" w:rsidRDefault="008E7FC3" w:rsidP="00177648">
            <w:pPr>
              <w:pStyle w:val="TableHeading"/>
              <w:spacing w:before="45" w:after="45"/>
              <w:ind w:right="108"/>
              <w:rPr>
                <w:rFonts w:eastAsiaTheme="minorEastAsia"/>
                <w:color w:val="265A9A"/>
                <w:vertAlign w:val="superscript"/>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y=$60,000</m:t>
              </m:r>
            </m:oMath>
            <w:r>
              <w:rPr>
                <w:rFonts w:eastAsiaTheme="minorEastAsia"/>
                <w:color w:val="265A9A"/>
              </w:rPr>
              <w:t>)</w:t>
            </w:r>
          </w:p>
        </w:tc>
        <w:tc>
          <w:tcPr>
            <w:tcW w:w="3118" w:type="dxa"/>
            <w:tcBorders>
              <w:top w:val="nil"/>
              <w:bottom w:val="nil"/>
            </w:tcBorders>
            <w:shd w:val="clear" w:color="000000" w:fill="auto"/>
          </w:tcPr>
          <w:p w14:paraId="1FB63441" w14:textId="77777777" w:rsidR="008E7FC3" w:rsidRPr="00D126B3" w:rsidRDefault="008E7FC3" w:rsidP="00177648">
            <w:pPr>
              <w:pStyle w:val="TableBody"/>
              <w:spacing w:before="45" w:after="45"/>
              <w:ind w:right="108"/>
              <w:jc w:val="right"/>
              <w:rPr>
                <w:rFonts w:ascii="Arial (Body)" w:hAnsi="Arial (Body)"/>
                <w:color w:val="000000"/>
              </w:rPr>
            </w:pPr>
            <w:r w:rsidRPr="0060633C">
              <w:t>-3.01</w:t>
            </w:r>
          </w:p>
        </w:tc>
      </w:tr>
      <w:tr w:rsidR="008E7FC3" w:rsidRPr="00D126B3" w14:paraId="1EA787C6" w14:textId="77777777" w:rsidTr="00177648">
        <w:tc>
          <w:tcPr>
            <w:tcW w:w="6521" w:type="dxa"/>
            <w:tcBorders>
              <w:top w:val="nil"/>
              <w:bottom w:val="nil"/>
            </w:tcBorders>
            <w:shd w:val="clear" w:color="auto" w:fill="F2F2F2" w:themeFill="background1" w:themeFillShade="F2"/>
          </w:tcPr>
          <w:p w14:paraId="02A8DFE6"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y=$80,000</m:t>
              </m:r>
            </m:oMath>
            <w:r>
              <w:rPr>
                <w:rFonts w:eastAsiaTheme="minorEastAsia"/>
                <w:color w:val="265A9A"/>
              </w:rPr>
              <w:t>)</w:t>
            </w:r>
          </w:p>
        </w:tc>
        <w:tc>
          <w:tcPr>
            <w:tcW w:w="3118" w:type="dxa"/>
            <w:tcBorders>
              <w:top w:val="nil"/>
              <w:bottom w:val="nil"/>
            </w:tcBorders>
            <w:shd w:val="clear" w:color="auto" w:fill="F2F2F2" w:themeFill="background1" w:themeFillShade="F2"/>
          </w:tcPr>
          <w:p w14:paraId="23A22664" w14:textId="77777777" w:rsidR="008E7FC3" w:rsidRPr="00D126B3" w:rsidRDefault="008E7FC3" w:rsidP="00177648">
            <w:pPr>
              <w:pStyle w:val="TableBody"/>
              <w:spacing w:before="45" w:after="45"/>
              <w:ind w:right="108"/>
              <w:jc w:val="right"/>
              <w:rPr>
                <w:rFonts w:ascii="Arial (Body)" w:hAnsi="Arial (Body)"/>
                <w:color w:val="000000"/>
              </w:rPr>
            </w:pPr>
            <w:r w:rsidRPr="0060633C">
              <w:t>-0.08</w:t>
            </w:r>
          </w:p>
        </w:tc>
      </w:tr>
      <w:tr w:rsidR="008E7FC3" w:rsidRPr="00D126B3" w14:paraId="179C4807" w14:textId="77777777" w:rsidTr="00177648">
        <w:tc>
          <w:tcPr>
            <w:tcW w:w="6521" w:type="dxa"/>
            <w:tcBorders>
              <w:top w:val="nil"/>
              <w:bottom w:val="nil"/>
            </w:tcBorders>
            <w:shd w:val="clear" w:color="000000" w:fill="auto"/>
          </w:tcPr>
          <w:p w14:paraId="1C107F50"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w:t>
            </w:r>
            <w:r w:rsidRPr="002A4882">
              <w:rPr>
                <w:rFonts w:eastAsiaTheme="minorEastAsia"/>
                <w:color w:val="265A9A"/>
              </w:rPr>
              <w:t xml:space="preserve">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y=$80,000</m:t>
              </m:r>
            </m:oMath>
            <w:r w:rsidRPr="002A4882">
              <w:rPr>
                <w:rFonts w:eastAsiaTheme="minorEastAsia"/>
                <w:color w:val="265A9A"/>
              </w:rPr>
              <w:t>)</w:t>
            </w:r>
          </w:p>
        </w:tc>
        <w:tc>
          <w:tcPr>
            <w:tcW w:w="3118" w:type="dxa"/>
            <w:tcBorders>
              <w:top w:val="nil"/>
              <w:bottom w:val="nil"/>
            </w:tcBorders>
            <w:shd w:val="clear" w:color="000000" w:fill="auto"/>
          </w:tcPr>
          <w:p w14:paraId="3FF0E55F" w14:textId="77777777" w:rsidR="008E7FC3" w:rsidRPr="00D126B3" w:rsidRDefault="008E7FC3" w:rsidP="00177648">
            <w:pPr>
              <w:pStyle w:val="TableBody"/>
              <w:spacing w:before="45" w:after="45"/>
              <w:ind w:right="108"/>
              <w:jc w:val="right"/>
              <w:rPr>
                <w:rFonts w:ascii="Arial (Body)" w:hAnsi="Arial (Body)"/>
                <w:color w:val="000000"/>
              </w:rPr>
            </w:pPr>
            <w:r w:rsidRPr="0060633C">
              <w:t>-0.03</w:t>
            </w:r>
          </w:p>
        </w:tc>
      </w:tr>
      <w:tr w:rsidR="008E7FC3" w:rsidRPr="00D126B3" w14:paraId="08D5C230" w14:textId="77777777" w:rsidTr="00177648">
        <w:tc>
          <w:tcPr>
            <w:tcW w:w="6521" w:type="dxa"/>
            <w:tcBorders>
              <w:top w:val="nil"/>
              <w:bottom w:val="nil"/>
            </w:tcBorders>
            <w:shd w:val="clear" w:color="auto" w:fill="F2F2F2" w:themeFill="background1" w:themeFillShade="F2"/>
          </w:tcPr>
          <w:p w14:paraId="6183F834"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y=$200,000</m:t>
              </m:r>
            </m:oMath>
            <w:r>
              <w:rPr>
                <w:rFonts w:eastAsiaTheme="minorEastAsia"/>
                <w:color w:val="265A9A"/>
              </w:rPr>
              <w:t>)</w:t>
            </w:r>
          </w:p>
        </w:tc>
        <w:tc>
          <w:tcPr>
            <w:tcW w:w="3118" w:type="dxa"/>
            <w:tcBorders>
              <w:top w:val="nil"/>
              <w:bottom w:val="nil"/>
            </w:tcBorders>
            <w:shd w:val="clear" w:color="auto" w:fill="F2F2F2" w:themeFill="background1" w:themeFillShade="F2"/>
          </w:tcPr>
          <w:p w14:paraId="1ED5BD8E" w14:textId="77777777" w:rsidR="008E7FC3" w:rsidRPr="00D126B3" w:rsidRDefault="008E7FC3" w:rsidP="00177648">
            <w:pPr>
              <w:pStyle w:val="TableBody"/>
              <w:spacing w:before="45" w:after="45"/>
              <w:ind w:right="108"/>
              <w:jc w:val="right"/>
              <w:rPr>
                <w:rFonts w:ascii="Arial (Body)" w:hAnsi="Arial (Body)"/>
                <w:color w:val="000000"/>
              </w:rPr>
            </w:pPr>
            <w:r w:rsidRPr="0060633C">
              <w:t>-0.11</w:t>
            </w:r>
          </w:p>
        </w:tc>
      </w:tr>
      <w:tr w:rsidR="008E7FC3" w:rsidRPr="00D126B3" w14:paraId="118BE16E" w14:textId="77777777" w:rsidTr="00177648">
        <w:tc>
          <w:tcPr>
            <w:tcW w:w="6521" w:type="dxa"/>
            <w:tcBorders>
              <w:bottom w:val="single" w:sz="4" w:space="0" w:color="B3B3B3"/>
            </w:tcBorders>
            <w:shd w:val="clear" w:color="auto" w:fill="auto"/>
          </w:tcPr>
          <w:p w14:paraId="0B875780" w14:textId="77777777" w:rsidR="008E7FC3" w:rsidRPr="00D126B3" w:rsidRDefault="008E7FC3" w:rsidP="00177648">
            <w:pPr>
              <w:pStyle w:val="TableHeading"/>
              <w:spacing w:before="45" w:after="45"/>
              <w:ind w:right="108"/>
              <w:rPr>
                <w:rFonts w:ascii="Arial (Body)" w:hAnsi="Arial (Body)"/>
                <w:color w:val="265A9A"/>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y=$200,000</m:t>
              </m:r>
            </m:oMath>
            <w:r>
              <w:rPr>
                <w:rFonts w:eastAsiaTheme="minorEastAsia"/>
                <w:color w:val="265A9A"/>
              </w:rPr>
              <w:t>)</w:t>
            </w:r>
          </w:p>
        </w:tc>
        <w:tc>
          <w:tcPr>
            <w:tcW w:w="3118" w:type="dxa"/>
            <w:tcBorders>
              <w:bottom w:val="single" w:sz="4" w:space="0" w:color="B3B3B3"/>
            </w:tcBorders>
            <w:shd w:val="clear" w:color="auto" w:fill="auto"/>
          </w:tcPr>
          <w:p w14:paraId="6234757B" w14:textId="77777777" w:rsidR="008E7FC3" w:rsidRPr="00D126B3" w:rsidRDefault="008E7FC3" w:rsidP="00177648">
            <w:pPr>
              <w:pStyle w:val="TableBody"/>
              <w:spacing w:before="45" w:after="45"/>
              <w:ind w:right="108"/>
              <w:jc w:val="right"/>
              <w:rPr>
                <w:rFonts w:ascii="Arial (Body)" w:hAnsi="Arial (Body)"/>
                <w:color w:val="000000"/>
              </w:rPr>
            </w:pPr>
            <w:r w:rsidRPr="0060633C">
              <w:t>-0.06</w:t>
            </w:r>
          </w:p>
        </w:tc>
      </w:tr>
    </w:tbl>
    <w:p w14:paraId="3E53E219" w14:textId="77777777" w:rsidR="008E7FC3" w:rsidRDefault="008E7FC3" w:rsidP="008E7FC3">
      <w:pPr>
        <w:pStyle w:val="Note"/>
        <w:rPr>
          <w:rFonts w:eastAsiaTheme="minorEastAsia"/>
        </w:rPr>
      </w:pPr>
      <w:r w:rsidRPr="00C36914">
        <w:rPr>
          <w:b/>
          <w:bCs/>
        </w:rPr>
        <w:t>a.</w:t>
      </w:r>
      <w:r w:rsidRPr="00C36914">
        <w:t xml:space="preserve"> </w:t>
      </w:r>
      <w:r>
        <w:t>The individual is assumed to be female, 30 years old and have two children (with the youngest child aged between three and four years old</w:t>
      </w:r>
      <w:r w:rsidRPr="00F9175F">
        <w:t xml:space="preserve">). </w:t>
      </w:r>
      <w:r>
        <w:t xml:space="preserve">The sole parent has a high school education and the partnered parent has a diploma education. </w:t>
      </w:r>
      <w:r w:rsidRPr="005D3A65">
        <w:t>In partnered parent families, the primary earner is assumed to work 40 hours per week.</w:t>
      </w:r>
      <w:r>
        <w:t xml:space="preserve"> </w:t>
      </w:r>
      <w:r>
        <w:rPr>
          <w:b/>
          <w:bCs/>
        </w:rPr>
        <w:t>b. </w:t>
      </w:r>
      <w:r w:rsidRPr="005D3A65">
        <w:t>Labour supply (</w:t>
      </w: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Pr="005D3A65">
        <w:rPr>
          <w:rFonts w:eastAsiaTheme="minorEastAsia"/>
        </w:rPr>
        <w:t>), ECEC demand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oMath>
      <w:r w:rsidRPr="005D3A65">
        <w:rPr>
          <w:rFonts w:eastAsiaTheme="minorEastAsia"/>
        </w:rPr>
        <w:t>) and net family income (</w:t>
      </w:r>
      <m:oMath>
        <m:r>
          <w:rPr>
            <w:rFonts w:ascii="Cambria Math" w:eastAsiaTheme="minorEastAsia" w:hAnsi="Cambria Math"/>
          </w:rPr>
          <m:t>y</m:t>
        </m:r>
      </m:oMath>
      <w:r w:rsidRPr="005D3A65">
        <w:rPr>
          <w:rFonts w:eastAsiaTheme="minorEastAsia"/>
        </w:rPr>
        <w:t>) are assumed values.</w:t>
      </w:r>
      <w:r>
        <w:rPr>
          <w:rFonts w:eastAsiaTheme="minorEastAsia"/>
        </w:rPr>
        <w:t xml:space="preserve"> Net annual incomes are converted to fortnightly incomes for consistency with units used in the utility equation.</w:t>
      </w:r>
    </w:p>
    <w:p w14:paraId="3315A835" w14:textId="77777777" w:rsidR="008E7FC3" w:rsidRDefault="008E7FC3" w:rsidP="008E7FC3">
      <w:pPr>
        <w:pStyle w:val="Source"/>
      </w:pPr>
      <w:r w:rsidRPr="00696447">
        <w:t xml:space="preserve">Source: </w:t>
      </w:r>
      <w:r>
        <w:t>Productivity Commission estimates</w:t>
      </w:r>
      <w:r w:rsidRPr="00696447">
        <w:t>.</w:t>
      </w:r>
    </w:p>
    <w:p w14:paraId="60E2CBE6" w14:textId="77777777" w:rsidR="008E7FC3" w:rsidRDefault="008E7FC3" w:rsidP="008E7FC3">
      <w:pPr>
        <w:pStyle w:val="BodyText"/>
      </w:pPr>
      <w:r>
        <w:t xml:space="preserve">Table </w:t>
      </w:r>
      <w:r w:rsidRPr="00F5025E">
        <w:t>G.</w:t>
      </w:r>
      <w:r>
        <w:t xml:space="preserve">7 presents the change in utility from a one hour increase in ECEC demand hours for a range of families at extreme choices of labour supply and formal care. When ECEC use is low, families see a decrease in utility from an additional hour of ECEC whereas when ECEC use is high families see an increase in utility, all else equal. This reflects observed data – while there are many children not using ECEC (especially children aged under two), among those that do use ECEC, attending only one day a week is relatively rare (appendix D). This is reflected in the model as a higher preference for zero hours than a low number of hours of ECEC. Children attending ECEC most commonly attend for three days per week (appendix D) and families that already use ECEC for a large number of hours may be more comfortable with additional ECEC use than those who are not using ECEC. This is consistent with survey results that indicate that ‘attempts to increase ECEC usage may be constrained by the personal values and preferences of </w:t>
      </w:r>
      <w:r>
        <w:lastRenderedPageBreak/>
        <w:t>non</w:t>
      </w:r>
      <w:r>
        <w:noBreakHyphen/>
        <w:t>users and low users’ (</w:t>
      </w:r>
      <w:r w:rsidRPr="00A95D57">
        <w:t>NSW PC 2023, p. 3</w:t>
      </w:r>
      <w:r>
        <w:t>2). However, as noted in section G.2, estimation of the utility equation is not able to take into account the effect of non-price constraints on observed ECEC usage.</w:t>
      </w:r>
    </w:p>
    <w:p w14:paraId="77B51DCE" w14:textId="77777777" w:rsidR="008E7FC3" w:rsidRPr="00073F8E" w:rsidRDefault="008E7FC3" w:rsidP="008E7FC3">
      <w:pPr>
        <w:pStyle w:val="BodyText"/>
      </w:pPr>
      <w:r>
        <w:t>Additionally, t</w:t>
      </w:r>
      <w:r w:rsidRPr="00CD2CE5">
        <w:t xml:space="preserve">he positive coefficient </w:t>
      </w:r>
      <w:r>
        <w:t xml:space="preserve">on the term that interacts labour supply and formal care in the estimated utility equation indicates </w:t>
      </w:r>
      <w:r w:rsidRPr="00CD2CE5">
        <w:t xml:space="preserve">that work and </w:t>
      </w:r>
      <w:r>
        <w:t xml:space="preserve">formal </w:t>
      </w:r>
      <w:r w:rsidRPr="00CD2CE5">
        <w:t>care are complementary</w:t>
      </w:r>
      <w:r>
        <w:t xml:space="preserve"> (table G.5). ECEC </w:t>
      </w:r>
      <w:r w:rsidRPr="00CD2CE5">
        <w:t xml:space="preserve">hours have greater value when working more, and </w:t>
      </w:r>
      <w:r>
        <w:t>ECEC hours</w:t>
      </w:r>
      <w:r w:rsidRPr="00CD2CE5">
        <w:t xml:space="preserve"> reduce the disutility of work.</w:t>
      </w:r>
    </w:p>
    <w:p w14:paraId="7A454D36" w14:textId="77777777" w:rsidR="008E7FC3" w:rsidRDefault="008E7FC3" w:rsidP="008E7FC3">
      <w:pPr>
        <w:pStyle w:val="FigureTableHeading"/>
      </w:pPr>
      <w:r>
        <w:t xml:space="preserve">Table </w:t>
      </w:r>
      <w:r>
        <w:rPr>
          <w:noProof/>
        </w:rPr>
        <w:t>G</w:t>
      </w:r>
      <w:r>
        <w:t>.</w:t>
      </w:r>
      <w:r>
        <w:rPr>
          <w:noProof/>
        </w:rPr>
        <w:t>7 – Change in utility from an additional hour of formal care</w:t>
      </w:r>
      <w:r w:rsidRPr="001C40B0">
        <w:rPr>
          <w:noProof/>
        </w:rPr>
        <w:t xml:space="preserve"> are positive</w:t>
      </w:r>
      <w:r w:rsidRPr="00EC0C27">
        <w:rPr>
          <w:vertAlign w:val="superscript"/>
        </w:rPr>
        <w:t>a</w:t>
      </w:r>
      <w:r>
        <w:rPr>
          <w:vertAlign w:val="superscript"/>
        </w:rPr>
        <w:t>,b</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379"/>
        <w:gridCol w:w="3260"/>
      </w:tblGrid>
      <w:tr w:rsidR="008E7FC3" w:rsidRPr="00D126B3" w14:paraId="7C9F34F7" w14:textId="77777777" w:rsidTr="00177648">
        <w:trPr>
          <w:tblHeader/>
        </w:trPr>
        <w:tc>
          <w:tcPr>
            <w:tcW w:w="6379" w:type="dxa"/>
            <w:tcBorders>
              <w:bottom w:val="single" w:sz="4" w:space="0" w:color="B3B3B3"/>
            </w:tcBorders>
            <w:shd w:val="clear" w:color="000000" w:fill="auto"/>
            <w:vAlign w:val="bottom"/>
          </w:tcPr>
          <w:p w14:paraId="4FB007AD" w14:textId="77777777" w:rsidR="008E7FC3" w:rsidRPr="00D126B3" w:rsidRDefault="008E7FC3" w:rsidP="00177648">
            <w:pPr>
              <w:spacing w:before="45" w:after="45"/>
              <w:ind w:left="57" w:right="108"/>
              <w:rPr>
                <w:rFonts w:ascii="Arial (Body)" w:hAnsi="Arial (Body)"/>
                <w:b/>
                <w:color w:val="265A9A"/>
                <w:sz w:val="18"/>
              </w:rPr>
            </w:pPr>
          </w:p>
        </w:tc>
        <w:tc>
          <w:tcPr>
            <w:tcW w:w="3260" w:type="dxa"/>
            <w:tcBorders>
              <w:bottom w:val="single" w:sz="4" w:space="0" w:color="B3B3B3"/>
            </w:tcBorders>
            <w:shd w:val="clear" w:color="000000" w:fill="auto"/>
            <w:vAlign w:val="bottom"/>
          </w:tcPr>
          <w:p w14:paraId="2F2369D1"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Estimated change in utility</w:t>
            </w:r>
          </w:p>
        </w:tc>
      </w:tr>
      <w:tr w:rsidR="008E7FC3" w:rsidRPr="00D126B3" w14:paraId="13BC3568" w14:textId="77777777" w:rsidTr="00177648">
        <w:tc>
          <w:tcPr>
            <w:tcW w:w="9639" w:type="dxa"/>
            <w:gridSpan w:val="2"/>
            <w:tcBorders>
              <w:top w:val="single" w:sz="4" w:space="0" w:color="B3B3B3"/>
              <w:bottom w:val="nil"/>
            </w:tcBorders>
            <w:shd w:val="clear" w:color="auto" w:fill="CBDDF2" w:themeFill="background2" w:themeFillTint="33"/>
          </w:tcPr>
          <w:p w14:paraId="02BFD0DC" w14:textId="77777777" w:rsidR="008E7FC3" w:rsidRPr="007E2E3E" w:rsidRDefault="008E7FC3" w:rsidP="006510ED">
            <w:pPr>
              <w:pStyle w:val="TableBody"/>
              <w:spacing w:before="45" w:after="45"/>
              <w:ind w:right="108"/>
              <w:rPr>
                <w:rFonts w:ascii="Arial (Body)" w:hAnsi="Arial (Body)"/>
                <w:b/>
                <w:bCs/>
              </w:rPr>
            </w:pPr>
            <w:r w:rsidRPr="007E2E3E">
              <w:rPr>
                <w:rFonts w:ascii="Arial (Body)" w:hAnsi="Arial (Body)"/>
                <w:b/>
                <w:bCs/>
              </w:rPr>
              <w:t>Sole parents</w:t>
            </w:r>
          </w:p>
        </w:tc>
      </w:tr>
      <w:tr w:rsidR="008E7FC3" w:rsidRPr="00D126B3" w14:paraId="7FED7CAA" w14:textId="77777777" w:rsidTr="00177648">
        <w:tc>
          <w:tcPr>
            <w:tcW w:w="6379" w:type="dxa"/>
            <w:tcBorders>
              <w:top w:val="nil"/>
              <w:bottom w:val="nil"/>
            </w:tcBorders>
            <w:shd w:val="clear" w:color="auto" w:fill="F2F2F2" w:themeFill="background1" w:themeFillShade="F2"/>
          </w:tcPr>
          <w:p w14:paraId="36599413" w14:textId="77777777" w:rsidR="008E7FC3" w:rsidRPr="00D126B3" w:rsidRDefault="008E7FC3" w:rsidP="00177648">
            <w:pPr>
              <w:pStyle w:val="TableHeading"/>
              <w:spacing w:before="45" w:after="45"/>
              <w:ind w:right="108"/>
              <w:rPr>
                <w:rFonts w:ascii="Arial (Body)" w:hAnsi="Arial (Body)"/>
                <w:color w:val="265A9A"/>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y=$44,000</m:t>
              </m:r>
            </m:oMath>
            <w:r>
              <w:rPr>
                <w:rFonts w:eastAsiaTheme="minorEastAsia"/>
                <w:color w:val="265A9A"/>
              </w:rPr>
              <w:t>)</w:t>
            </w:r>
          </w:p>
        </w:tc>
        <w:tc>
          <w:tcPr>
            <w:tcW w:w="3260" w:type="dxa"/>
            <w:tcBorders>
              <w:top w:val="nil"/>
              <w:bottom w:val="nil"/>
            </w:tcBorders>
            <w:shd w:val="clear" w:color="auto" w:fill="F2F2F2" w:themeFill="background1" w:themeFillShade="F2"/>
          </w:tcPr>
          <w:p w14:paraId="25927DB6" w14:textId="77777777" w:rsidR="008E7FC3" w:rsidRPr="00D126B3" w:rsidRDefault="008E7FC3" w:rsidP="00177648">
            <w:pPr>
              <w:pStyle w:val="TableBody"/>
              <w:spacing w:before="45" w:after="45"/>
              <w:ind w:right="108"/>
              <w:jc w:val="right"/>
              <w:rPr>
                <w:rFonts w:ascii="Arial (Body)" w:hAnsi="Arial (Body)"/>
                <w:color w:val="000000"/>
              </w:rPr>
            </w:pPr>
            <w:r w:rsidRPr="00390F82">
              <w:t>-</w:t>
            </w:r>
            <w:r w:rsidRPr="000B6B56">
              <w:t>0.</w:t>
            </w:r>
            <w:r w:rsidRPr="00390F82">
              <w:t>14</w:t>
            </w:r>
          </w:p>
        </w:tc>
      </w:tr>
      <w:tr w:rsidR="008E7FC3" w:rsidRPr="00D126B3" w14:paraId="29E1AEE0" w14:textId="77777777" w:rsidTr="00177648">
        <w:tc>
          <w:tcPr>
            <w:tcW w:w="6379" w:type="dxa"/>
            <w:tcBorders>
              <w:top w:val="nil"/>
              <w:bottom w:val="nil"/>
            </w:tcBorders>
            <w:shd w:val="clear" w:color="auto" w:fill="auto"/>
          </w:tcPr>
          <w:p w14:paraId="54D485E2" w14:textId="77777777" w:rsidR="008E7FC3" w:rsidRDefault="008E7FC3" w:rsidP="00177648">
            <w:pPr>
              <w:pStyle w:val="TableHeading"/>
              <w:spacing w:before="45" w:after="45"/>
              <w:ind w:right="108"/>
              <w:rPr>
                <w:rFonts w:ascii="Arial" w:eastAsia="Arial" w:hAnsi="Arial" w:cs="Times New Roman"/>
                <w:color w:val="265A9A"/>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y=$44,000</m:t>
              </m:r>
            </m:oMath>
            <w:r>
              <w:rPr>
                <w:rFonts w:eastAsiaTheme="minorEastAsia"/>
                <w:color w:val="265A9A"/>
              </w:rPr>
              <w:t>)</w:t>
            </w:r>
          </w:p>
        </w:tc>
        <w:tc>
          <w:tcPr>
            <w:tcW w:w="3260" w:type="dxa"/>
            <w:tcBorders>
              <w:top w:val="nil"/>
              <w:bottom w:val="nil"/>
            </w:tcBorders>
            <w:shd w:val="clear" w:color="auto" w:fill="auto"/>
          </w:tcPr>
          <w:p w14:paraId="78212051" w14:textId="77777777" w:rsidR="008E7FC3" w:rsidRPr="00D126B3" w:rsidRDefault="008E7FC3" w:rsidP="00177648">
            <w:pPr>
              <w:pStyle w:val="TableBody"/>
              <w:spacing w:before="45" w:after="45"/>
              <w:ind w:right="108"/>
              <w:jc w:val="right"/>
              <w:rPr>
                <w:rFonts w:ascii="Arial (Body)" w:hAnsi="Arial (Body)"/>
                <w:color w:val="000000"/>
              </w:rPr>
            </w:pPr>
            <w:r w:rsidRPr="000B6B56">
              <w:t>0.</w:t>
            </w:r>
            <w:r w:rsidRPr="00390F82">
              <w:t>05</w:t>
            </w:r>
          </w:p>
        </w:tc>
      </w:tr>
      <w:tr w:rsidR="008E7FC3" w:rsidRPr="00D126B3" w14:paraId="1D18E15D" w14:textId="77777777" w:rsidTr="00177648">
        <w:tc>
          <w:tcPr>
            <w:tcW w:w="6379" w:type="dxa"/>
            <w:tcBorders>
              <w:top w:val="nil"/>
              <w:bottom w:val="nil"/>
            </w:tcBorders>
            <w:shd w:val="clear" w:color="auto" w:fill="F2F2F2" w:themeFill="background1" w:themeFillShade="F2"/>
          </w:tcPr>
          <w:p w14:paraId="51FE8D22"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y=$50,000</m:t>
              </m:r>
            </m:oMath>
            <w:r>
              <w:rPr>
                <w:rFonts w:eastAsiaTheme="minorEastAsia"/>
                <w:color w:val="265A9A"/>
              </w:rPr>
              <w:t>)</w:t>
            </w:r>
          </w:p>
        </w:tc>
        <w:tc>
          <w:tcPr>
            <w:tcW w:w="3260" w:type="dxa"/>
            <w:tcBorders>
              <w:top w:val="nil"/>
              <w:bottom w:val="nil"/>
            </w:tcBorders>
            <w:shd w:val="clear" w:color="auto" w:fill="F2F2F2" w:themeFill="background1" w:themeFillShade="F2"/>
          </w:tcPr>
          <w:p w14:paraId="2D792F50" w14:textId="77777777" w:rsidR="008E7FC3" w:rsidRDefault="008E7FC3" w:rsidP="00177648">
            <w:pPr>
              <w:pStyle w:val="TableBody"/>
              <w:spacing w:before="45" w:after="45"/>
              <w:ind w:right="108"/>
              <w:jc w:val="right"/>
              <w:rPr>
                <w:rFonts w:ascii="Arial (Body)" w:hAnsi="Arial (Body)"/>
                <w:color w:val="000000"/>
              </w:rPr>
            </w:pPr>
            <w:r w:rsidRPr="00390F82">
              <w:t>-</w:t>
            </w:r>
            <w:r w:rsidRPr="000B6B56">
              <w:t>0.</w:t>
            </w:r>
            <w:r w:rsidRPr="00390F82">
              <w:t>04</w:t>
            </w:r>
          </w:p>
        </w:tc>
      </w:tr>
      <w:tr w:rsidR="008E7FC3" w:rsidRPr="00D126B3" w14:paraId="03CF8E00" w14:textId="77777777" w:rsidTr="00177648">
        <w:tc>
          <w:tcPr>
            <w:tcW w:w="6379" w:type="dxa"/>
            <w:tcBorders>
              <w:top w:val="nil"/>
              <w:bottom w:val="nil"/>
            </w:tcBorders>
            <w:shd w:val="clear" w:color="auto" w:fill="FFFFFF" w:themeFill="background1"/>
          </w:tcPr>
          <w:p w14:paraId="5E8A6355"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w:t>
            </w:r>
            <w:r w:rsidRPr="002A4882">
              <w:rPr>
                <w:rFonts w:eastAsiaTheme="minorEastAsia"/>
                <w:color w:val="265A9A"/>
              </w:rPr>
              <w:t xml:space="preserve">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y=$50,000</m:t>
              </m:r>
            </m:oMath>
            <w:r w:rsidRPr="002A4882">
              <w:rPr>
                <w:rFonts w:eastAsiaTheme="minorEastAsia"/>
                <w:color w:val="265A9A"/>
              </w:rPr>
              <w:t>)</w:t>
            </w:r>
          </w:p>
        </w:tc>
        <w:tc>
          <w:tcPr>
            <w:tcW w:w="3260" w:type="dxa"/>
            <w:tcBorders>
              <w:top w:val="nil"/>
              <w:bottom w:val="nil"/>
            </w:tcBorders>
            <w:shd w:val="clear" w:color="auto" w:fill="FFFFFF" w:themeFill="background1"/>
          </w:tcPr>
          <w:p w14:paraId="7E1196B5" w14:textId="77777777" w:rsidR="008E7FC3" w:rsidRDefault="008E7FC3" w:rsidP="00177648">
            <w:pPr>
              <w:pStyle w:val="TableBody"/>
              <w:spacing w:before="45" w:after="45"/>
              <w:ind w:right="108"/>
              <w:jc w:val="right"/>
              <w:rPr>
                <w:rFonts w:ascii="Arial (Body)" w:hAnsi="Arial (Body)"/>
                <w:color w:val="000000"/>
              </w:rPr>
            </w:pPr>
            <w:r w:rsidRPr="000B6B56">
              <w:t>0.</w:t>
            </w:r>
            <w:r w:rsidRPr="00390F82">
              <w:t>11</w:t>
            </w:r>
          </w:p>
        </w:tc>
      </w:tr>
      <w:tr w:rsidR="008E7FC3" w:rsidRPr="00D126B3" w14:paraId="679FD1FA" w14:textId="77777777" w:rsidTr="00177648">
        <w:tc>
          <w:tcPr>
            <w:tcW w:w="6379" w:type="dxa"/>
            <w:tcBorders>
              <w:top w:val="nil"/>
              <w:bottom w:val="nil"/>
            </w:tcBorders>
            <w:shd w:val="clear" w:color="auto" w:fill="F2F2F2" w:themeFill="background1" w:themeFillShade="F2"/>
          </w:tcPr>
          <w:p w14:paraId="4C874D5F" w14:textId="77777777" w:rsidR="008E7FC3" w:rsidRPr="00D126B3" w:rsidRDefault="008E7FC3" w:rsidP="00177648">
            <w:pPr>
              <w:pStyle w:val="TableHeading"/>
              <w:spacing w:before="45" w:after="45"/>
              <w:ind w:right="108"/>
              <w:rPr>
                <w:rFonts w:ascii="Arial (Body)" w:hAnsi="Arial (Body)"/>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=60,</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y=$80,000</m:t>
              </m:r>
            </m:oMath>
            <w:r>
              <w:rPr>
                <w:rFonts w:eastAsiaTheme="minorEastAsia"/>
                <w:color w:val="265A9A"/>
              </w:rPr>
              <w:t>)</w:t>
            </w:r>
          </w:p>
        </w:tc>
        <w:tc>
          <w:tcPr>
            <w:tcW w:w="3260" w:type="dxa"/>
            <w:tcBorders>
              <w:top w:val="nil"/>
              <w:bottom w:val="nil"/>
            </w:tcBorders>
            <w:shd w:val="clear" w:color="auto" w:fill="F2F2F2" w:themeFill="background1" w:themeFillShade="F2"/>
          </w:tcPr>
          <w:p w14:paraId="7DB01844" w14:textId="77777777" w:rsidR="008E7FC3" w:rsidRPr="00D126B3" w:rsidRDefault="008E7FC3" w:rsidP="00177648">
            <w:pPr>
              <w:pStyle w:val="TableBody"/>
              <w:spacing w:before="45" w:after="45"/>
              <w:ind w:right="108"/>
              <w:jc w:val="right"/>
              <w:rPr>
                <w:rFonts w:ascii="Arial (Body)" w:hAnsi="Arial (Body)"/>
                <w:color w:val="000000"/>
              </w:rPr>
            </w:pPr>
            <w:r w:rsidRPr="00390F82">
              <w:t>-</w:t>
            </w:r>
            <w:r w:rsidRPr="000B6B56">
              <w:t>0.</w:t>
            </w:r>
            <w:r w:rsidRPr="00390F82">
              <w:t>04</w:t>
            </w:r>
          </w:p>
        </w:tc>
      </w:tr>
      <w:tr w:rsidR="008E7FC3" w:rsidRPr="00D126B3" w14:paraId="1E8893FA" w14:textId="77777777" w:rsidTr="00177648">
        <w:tc>
          <w:tcPr>
            <w:tcW w:w="6379" w:type="dxa"/>
            <w:tcBorders>
              <w:top w:val="nil"/>
              <w:bottom w:val="nil"/>
            </w:tcBorders>
            <w:shd w:val="clear" w:color="000000" w:fill="auto"/>
          </w:tcPr>
          <w:p w14:paraId="79474599"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y=$80,000</m:t>
              </m:r>
            </m:oMath>
            <w:r>
              <w:rPr>
                <w:rFonts w:eastAsiaTheme="minorEastAsia"/>
                <w:color w:val="265A9A"/>
              </w:rPr>
              <w:t>)</w:t>
            </w:r>
          </w:p>
        </w:tc>
        <w:tc>
          <w:tcPr>
            <w:tcW w:w="3260" w:type="dxa"/>
            <w:tcBorders>
              <w:top w:val="nil"/>
              <w:bottom w:val="nil"/>
            </w:tcBorders>
            <w:shd w:val="clear" w:color="000000" w:fill="auto"/>
          </w:tcPr>
          <w:p w14:paraId="3E46005C" w14:textId="77777777" w:rsidR="008E7FC3" w:rsidRPr="00D126B3" w:rsidRDefault="008E7FC3" w:rsidP="00177648">
            <w:pPr>
              <w:pStyle w:val="TableBody"/>
              <w:spacing w:before="45" w:after="45"/>
              <w:ind w:right="108"/>
              <w:jc w:val="right"/>
              <w:rPr>
                <w:rFonts w:ascii="Arial (Body)" w:hAnsi="Arial (Body)"/>
                <w:color w:val="000000"/>
              </w:rPr>
            </w:pPr>
            <w:r w:rsidRPr="000B6B56">
              <w:t>0.</w:t>
            </w:r>
            <w:r w:rsidRPr="00390F82">
              <w:t>12</w:t>
            </w:r>
          </w:p>
        </w:tc>
      </w:tr>
      <w:tr w:rsidR="008E7FC3" w:rsidRPr="00D126B3" w14:paraId="6D85D1C8" w14:textId="77777777" w:rsidTr="00177648">
        <w:tc>
          <w:tcPr>
            <w:tcW w:w="9639" w:type="dxa"/>
            <w:gridSpan w:val="2"/>
            <w:tcBorders>
              <w:top w:val="nil"/>
              <w:bottom w:val="nil"/>
            </w:tcBorders>
            <w:shd w:val="clear" w:color="auto" w:fill="CBDDF2" w:themeFill="background2" w:themeFillTint="33"/>
          </w:tcPr>
          <w:p w14:paraId="78A1AD64" w14:textId="77777777" w:rsidR="008E7FC3" w:rsidRPr="007E2E3E" w:rsidRDefault="008E7FC3" w:rsidP="006510ED">
            <w:pPr>
              <w:pStyle w:val="TableBody"/>
              <w:spacing w:before="45" w:after="45"/>
              <w:ind w:right="108"/>
              <w:rPr>
                <w:rFonts w:ascii="Arial (Body)" w:hAnsi="Arial (Body)"/>
                <w:b/>
                <w:bCs/>
              </w:rPr>
            </w:pPr>
            <w:r>
              <w:rPr>
                <w:rFonts w:ascii="Arial (Body)" w:hAnsi="Arial (Body)"/>
                <w:b/>
              </w:rPr>
              <w:t xml:space="preserve">Partnered </w:t>
            </w:r>
            <w:r>
              <w:rPr>
                <w:rFonts w:ascii="Arial (Body)" w:hAnsi="Arial (Body)"/>
                <w:b/>
                <w:bCs/>
              </w:rPr>
              <w:t xml:space="preserve">primary carer </w:t>
            </w:r>
            <w:r>
              <w:rPr>
                <w:rFonts w:ascii="Arial (Body)" w:hAnsi="Arial (Body)"/>
                <w:b/>
              </w:rPr>
              <w:t>parents</w:t>
            </w:r>
          </w:p>
        </w:tc>
      </w:tr>
      <w:tr w:rsidR="008E7FC3" w:rsidRPr="00D126B3" w14:paraId="311646E1" w14:textId="77777777" w:rsidTr="00177648">
        <w:tc>
          <w:tcPr>
            <w:tcW w:w="6379" w:type="dxa"/>
            <w:tcBorders>
              <w:top w:val="nil"/>
              <w:bottom w:val="nil"/>
            </w:tcBorders>
            <w:shd w:val="clear" w:color="auto" w:fill="F2F2F2" w:themeFill="background1" w:themeFillShade="F2"/>
          </w:tcPr>
          <w:p w14:paraId="41CDDA9F"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Low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y=$60,000</m:t>
              </m:r>
            </m:oMath>
            <w:r>
              <w:rPr>
                <w:rFonts w:eastAsiaTheme="minorEastAsia"/>
                <w:color w:val="265A9A"/>
              </w:rPr>
              <w:t>)</w:t>
            </w:r>
          </w:p>
        </w:tc>
        <w:tc>
          <w:tcPr>
            <w:tcW w:w="3260" w:type="dxa"/>
            <w:tcBorders>
              <w:top w:val="nil"/>
              <w:bottom w:val="nil"/>
            </w:tcBorders>
            <w:shd w:val="clear" w:color="auto" w:fill="F2F2F2" w:themeFill="background1" w:themeFillShade="F2"/>
          </w:tcPr>
          <w:p w14:paraId="1148CE12" w14:textId="77777777" w:rsidR="008E7FC3" w:rsidRPr="00D126B3" w:rsidRDefault="008E7FC3" w:rsidP="00177648">
            <w:pPr>
              <w:pStyle w:val="TableBody"/>
              <w:spacing w:before="45" w:after="45"/>
              <w:ind w:right="108"/>
              <w:jc w:val="right"/>
              <w:rPr>
                <w:rFonts w:ascii="Arial (Body)" w:hAnsi="Arial (Body)"/>
                <w:color w:val="000000"/>
              </w:rPr>
            </w:pPr>
            <w:r w:rsidRPr="00E269AD">
              <w:t>-0.</w:t>
            </w:r>
            <w:r w:rsidRPr="007F42C0">
              <w:t>15</w:t>
            </w:r>
          </w:p>
        </w:tc>
      </w:tr>
      <w:tr w:rsidR="008E7FC3" w:rsidRPr="00D126B3" w14:paraId="3004F515" w14:textId="77777777" w:rsidTr="00177648">
        <w:tc>
          <w:tcPr>
            <w:tcW w:w="6379" w:type="dxa"/>
            <w:tcBorders>
              <w:top w:val="nil"/>
              <w:bottom w:val="nil"/>
            </w:tcBorders>
            <w:shd w:val="clear" w:color="000000" w:fill="auto"/>
          </w:tcPr>
          <w:p w14:paraId="3EAA0460"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Low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y=$60,000</m:t>
              </m:r>
            </m:oMath>
            <w:r>
              <w:rPr>
                <w:rFonts w:eastAsiaTheme="minorEastAsia"/>
                <w:color w:val="265A9A"/>
              </w:rPr>
              <w:t>)</w:t>
            </w:r>
          </w:p>
        </w:tc>
        <w:tc>
          <w:tcPr>
            <w:tcW w:w="3260" w:type="dxa"/>
            <w:tcBorders>
              <w:top w:val="nil"/>
              <w:bottom w:val="nil"/>
            </w:tcBorders>
            <w:shd w:val="clear" w:color="000000" w:fill="auto"/>
          </w:tcPr>
          <w:p w14:paraId="1B769A2A" w14:textId="77777777" w:rsidR="008E7FC3" w:rsidRPr="00D126B3" w:rsidRDefault="008E7FC3" w:rsidP="00177648">
            <w:pPr>
              <w:pStyle w:val="TableBody"/>
              <w:spacing w:before="45" w:after="45"/>
              <w:ind w:right="108"/>
              <w:jc w:val="right"/>
              <w:rPr>
                <w:rFonts w:ascii="Arial (Body)" w:hAnsi="Arial (Body)"/>
                <w:color w:val="000000"/>
              </w:rPr>
            </w:pPr>
            <w:r w:rsidRPr="00E269AD">
              <w:t>0.</w:t>
            </w:r>
            <w:r w:rsidRPr="007F42C0">
              <w:t>00</w:t>
            </w:r>
          </w:p>
        </w:tc>
      </w:tr>
      <w:tr w:rsidR="008E7FC3" w:rsidRPr="00D126B3" w14:paraId="1C96FB09" w14:textId="77777777" w:rsidTr="00177648">
        <w:tc>
          <w:tcPr>
            <w:tcW w:w="6379" w:type="dxa"/>
            <w:tcBorders>
              <w:top w:val="nil"/>
              <w:bottom w:val="nil"/>
            </w:tcBorders>
            <w:shd w:val="clear" w:color="auto" w:fill="F2F2F2" w:themeFill="background1" w:themeFillShade="F2"/>
          </w:tcPr>
          <w:p w14:paraId="493AE678"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=10, y=$80,000</m:t>
              </m:r>
            </m:oMath>
            <w:r>
              <w:rPr>
                <w:rFonts w:eastAsiaTheme="minorEastAsia"/>
                <w:color w:val="265A9A"/>
              </w:rPr>
              <w:t>)</w:t>
            </w:r>
          </w:p>
        </w:tc>
        <w:tc>
          <w:tcPr>
            <w:tcW w:w="3260" w:type="dxa"/>
            <w:tcBorders>
              <w:top w:val="nil"/>
              <w:bottom w:val="nil"/>
            </w:tcBorders>
            <w:shd w:val="clear" w:color="auto" w:fill="F2F2F2" w:themeFill="background1" w:themeFillShade="F2"/>
          </w:tcPr>
          <w:p w14:paraId="73A85A24" w14:textId="77777777" w:rsidR="008E7FC3" w:rsidRDefault="008E7FC3" w:rsidP="00177648">
            <w:pPr>
              <w:pStyle w:val="TableBody"/>
              <w:spacing w:before="45" w:after="45"/>
              <w:ind w:right="108"/>
              <w:jc w:val="right"/>
              <w:rPr>
                <w:rFonts w:ascii="Arial (Body)" w:hAnsi="Arial (Body)"/>
                <w:color w:val="000000"/>
              </w:rPr>
            </w:pPr>
            <w:r w:rsidRPr="007F42C0">
              <w:t>-</w:t>
            </w:r>
            <w:r w:rsidRPr="00E269AD">
              <w:t>0.</w:t>
            </w:r>
            <w:r w:rsidRPr="007F42C0">
              <w:t>05</w:t>
            </w:r>
          </w:p>
        </w:tc>
      </w:tr>
      <w:tr w:rsidR="008E7FC3" w:rsidRPr="00D126B3" w14:paraId="00D3A759" w14:textId="77777777" w:rsidTr="00177648">
        <w:tc>
          <w:tcPr>
            <w:tcW w:w="6379" w:type="dxa"/>
            <w:tcBorders>
              <w:top w:val="nil"/>
              <w:bottom w:val="nil"/>
            </w:tcBorders>
            <w:shd w:val="clear" w:color="auto" w:fill="FFFFFF" w:themeFill="background1"/>
          </w:tcPr>
          <w:p w14:paraId="672947BB"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w:t>
            </w:r>
            <w:r w:rsidRPr="002A4882">
              <w:rPr>
                <w:rFonts w:eastAsiaTheme="minorEastAsia"/>
                <w:color w:val="265A9A"/>
              </w:rPr>
              <w:t xml:space="preserve">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y=$80,000</m:t>
              </m:r>
            </m:oMath>
            <w:r w:rsidRPr="002A4882">
              <w:rPr>
                <w:rFonts w:eastAsiaTheme="minorEastAsia"/>
                <w:color w:val="265A9A"/>
              </w:rPr>
              <w:t>)</w:t>
            </w:r>
          </w:p>
        </w:tc>
        <w:tc>
          <w:tcPr>
            <w:tcW w:w="3260" w:type="dxa"/>
            <w:tcBorders>
              <w:top w:val="nil"/>
              <w:bottom w:val="nil"/>
            </w:tcBorders>
            <w:shd w:val="clear" w:color="auto" w:fill="FFFFFF" w:themeFill="background1"/>
          </w:tcPr>
          <w:p w14:paraId="35B1CB5E" w14:textId="77777777" w:rsidR="008E7FC3" w:rsidRDefault="008E7FC3" w:rsidP="00177648">
            <w:pPr>
              <w:pStyle w:val="TableBody"/>
              <w:spacing w:before="45" w:after="45"/>
              <w:ind w:right="108"/>
              <w:jc w:val="right"/>
              <w:rPr>
                <w:rFonts w:ascii="Arial (Body)" w:hAnsi="Arial (Body)"/>
                <w:color w:val="000000"/>
              </w:rPr>
            </w:pPr>
            <w:r w:rsidRPr="00E269AD">
              <w:t>0.</w:t>
            </w:r>
            <w:r w:rsidRPr="007F42C0">
              <w:t>07</w:t>
            </w:r>
          </w:p>
        </w:tc>
      </w:tr>
      <w:tr w:rsidR="008E7FC3" w:rsidRPr="00D126B3" w14:paraId="01246554" w14:textId="77777777" w:rsidTr="00177648">
        <w:tc>
          <w:tcPr>
            <w:tcW w:w="6379" w:type="dxa"/>
            <w:tcBorders>
              <w:top w:val="nil"/>
              <w:bottom w:val="nil"/>
            </w:tcBorders>
            <w:shd w:val="clear" w:color="auto" w:fill="F2F2F2" w:themeFill="background1" w:themeFillShade="F2"/>
          </w:tcPr>
          <w:p w14:paraId="52C7BEC6" w14:textId="77777777" w:rsidR="008E7FC3" w:rsidRDefault="008E7FC3" w:rsidP="00177648">
            <w:pPr>
              <w:pStyle w:val="TableHeading"/>
              <w:spacing w:before="45" w:after="45"/>
              <w:ind w:right="108"/>
              <w:rPr>
                <w:rFonts w:eastAsiaTheme="minorEastAsia"/>
                <w:color w:val="265A9A"/>
              </w:rPr>
            </w:pPr>
            <w:r>
              <w:rPr>
                <w:rFonts w:eastAsiaTheme="minorEastAsia"/>
                <w:color w:val="265A9A"/>
              </w:rPr>
              <w:t>High labour supply, low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=0, y=$200,000</m:t>
              </m:r>
            </m:oMath>
            <w:r>
              <w:rPr>
                <w:rFonts w:eastAsiaTheme="minorEastAsia"/>
                <w:color w:val="265A9A"/>
              </w:rPr>
              <w:t>)</w:t>
            </w:r>
          </w:p>
        </w:tc>
        <w:tc>
          <w:tcPr>
            <w:tcW w:w="3260" w:type="dxa"/>
            <w:tcBorders>
              <w:top w:val="nil"/>
              <w:bottom w:val="nil"/>
            </w:tcBorders>
            <w:shd w:val="clear" w:color="auto" w:fill="F2F2F2" w:themeFill="background1" w:themeFillShade="F2"/>
          </w:tcPr>
          <w:p w14:paraId="53EE89AC" w14:textId="77777777" w:rsidR="008E7FC3" w:rsidRPr="00D126B3" w:rsidRDefault="008E7FC3" w:rsidP="00177648">
            <w:pPr>
              <w:pStyle w:val="TableBody"/>
              <w:spacing w:before="45" w:after="45"/>
              <w:ind w:right="108"/>
              <w:jc w:val="right"/>
              <w:rPr>
                <w:rFonts w:ascii="Arial (Body)" w:hAnsi="Arial (Body)"/>
                <w:color w:val="000000"/>
              </w:rPr>
            </w:pPr>
            <w:r w:rsidRPr="007F42C0">
              <w:t>-</w:t>
            </w:r>
            <w:r w:rsidRPr="00E269AD">
              <w:t>0.</w:t>
            </w:r>
            <w:r w:rsidRPr="007F42C0">
              <w:t>04</w:t>
            </w:r>
          </w:p>
        </w:tc>
      </w:tr>
      <w:tr w:rsidR="008E7FC3" w:rsidRPr="00D126B3" w14:paraId="327519D6" w14:textId="77777777" w:rsidTr="00177648">
        <w:tc>
          <w:tcPr>
            <w:tcW w:w="6379" w:type="dxa"/>
            <w:tcBorders>
              <w:bottom w:val="single" w:sz="4" w:space="0" w:color="B3B3B3"/>
            </w:tcBorders>
            <w:shd w:val="clear" w:color="auto" w:fill="auto"/>
          </w:tcPr>
          <w:p w14:paraId="6C4FF2D2" w14:textId="77777777" w:rsidR="008E7FC3" w:rsidRPr="00D126B3" w:rsidRDefault="008E7FC3" w:rsidP="00177648">
            <w:pPr>
              <w:pStyle w:val="TableHeading"/>
              <w:spacing w:before="45" w:after="45"/>
              <w:ind w:right="108"/>
              <w:rPr>
                <w:rFonts w:ascii="Arial (Body)" w:hAnsi="Arial (Body)"/>
                <w:color w:val="265A9A"/>
              </w:rPr>
            </w:pPr>
            <w:r>
              <w:rPr>
                <w:rFonts w:eastAsiaTheme="minorEastAsia"/>
                <w:color w:val="265A9A"/>
              </w:rPr>
              <w:t>High labour supply, high ECEC demand (</w:t>
            </w:r>
            <m:oMath>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w</m:t>
                  </m:r>
                </m:sub>
              </m:sSub>
              <m:r>
                <m:rPr>
                  <m:sty m:val="bi"/>
                </m:rPr>
                <w:rPr>
                  <w:rFonts w:ascii="Cambria Math" w:hAnsi="Cambria Math"/>
                  <w:color w:val="265A9A"/>
                </w:rPr>
                <m:t xml:space="preserve">=60, </m:t>
              </m:r>
              <m:sSub>
                <m:sSubPr>
                  <m:ctrlPr>
                    <w:rPr>
                      <w:rFonts w:ascii="Cambria Math" w:hAnsi="Cambria Math"/>
                      <w:i/>
                      <w:color w:val="265A9A"/>
                    </w:rPr>
                  </m:ctrlPr>
                </m:sSubPr>
                <m:e>
                  <m:r>
                    <m:rPr>
                      <m:sty m:val="bi"/>
                    </m:rPr>
                    <w:rPr>
                      <w:rFonts w:ascii="Cambria Math" w:hAnsi="Cambria Math"/>
                      <w:color w:val="265A9A"/>
                    </w:rPr>
                    <m:t>h</m:t>
                  </m:r>
                </m:e>
                <m:sub>
                  <m:r>
                    <m:rPr>
                      <m:sty m:val="bi"/>
                    </m:rPr>
                    <w:rPr>
                      <w:rFonts w:ascii="Cambria Math" w:hAnsi="Cambria Math"/>
                      <w:color w:val="265A9A"/>
                    </w:rPr>
                    <m:t>c</m:t>
                  </m:r>
                </m:sub>
              </m:sSub>
              <m:r>
                <m:rPr>
                  <m:sty m:val="bi"/>
                </m:rPr>
                <w:rPr>
                  <w:rFonts w:ascii="Cambria Math" w:hAnsi="Cambria Math"/>
                  <w:color w:val="265A9A"/>
                </w:rPr>
                <m:t>=50, y=$200,000</m:t>
              </m:r>
            </m:oMath>
            <w:r>
              <w:rPr>
                <w:rFonts w:eastAsiaTheme="minorEastAsia"/>
                <w:color w:val="265A9A"/>
              </w:rPr>
              <w:t>)</w:t>
            </w:r>
          </w:p>
        </w:tc>
        <w:tc>
          <w:tcPr>
            <w:tcW w:w="3260" w:type="dxa"/>
            <w:tcBorders>
              <w:bottom w:val="single" w:sz="4" w:space="0" w:color="B3B3B3"/>
            </w:tcBorders>
            <w:shd w:val="clear" w:color="auto" w:fill="auto"/>
          </w:tcPr>
          <w:p w14:paraId="5223620B" w14:textId="77777777" w:rsidR="008E7FC3" w:rsidRPr="00D126B3" w:rsidRDefault="008E7FC3" w:rsidP="00177648">
            <w:pPr>
              <w:pStyle w:val="TableBody"/>
              <w:spacing w:before="45" w:after="45"/>
              <w:ind w:right="108"/>
              <w:jc w:val="right"/>
              <w:rPr>
                <w:rFonts w:ascii="Arial (Body)" w:hAnsi="Arial (Body)"/>
                <w:color w:val="000000"/>
              </w:rPr>
            </w:pPr>
            <w:r w:rsidRPr="00E269AD">
              <w:t>0.</w:t>
            </w:r>
            <w:r w:rsidRPr="007F42C0">
              <w:t>0</w:t>
            </w:r>
            <w:r>
              <w:t>8</w:t>
            </w:r>
          </w:p>
        </w:tc>
      </w:tr>
    </w:tbl>
    <w:p w14:paraId="516CF86A" w14:textId="77777777" w:rsidR="008E7FC3" w:rsidRDefault="008E7FC3" w:rsidP="008E7FC3">
      <w:pPr>
        <w:pStyle w:val="Note"/>
        <w:rPr>
          <w:rFonts w:eastAsiaTheme="minorEastAsia"/>
        </w:rPr>
      </w:pPr>
      <w:r w:rsidRPr="00C36914">
        <w:rPr>
          <w:b/>
          <w:bCs/>
        </w:rPr>
        <w:t>a.</w:t>
      </w:r>
      <w:r w:rsidRPr="00C36914">
        <w:t xml:space="preserve"> </w:t>
      </w:r>
      <w:r>
        <w:t>The individual is assumed to be female, 30 years old and have two children (with the youngest child aged between three and four years old</w:t>
      </w:r>
      <w:r w:rsidRPr="00F9175F">
        <w:t xml:space="preserve">). </w:t>
      </w:r>
      <w:r>
        <w:t xml:space="preserve">The sole parent has a high school education and the partnered parent has a diploma education. </w:t>
      </w:r>
      <w:r w:rsidRPr="005D3A65">
        <w:t>In partnered parent families, the primary earner is assumed to work 40 hours per week.</w:t>
      </w:r>
      <w:r>
        <w:t xml:space="preserve"> </w:t>
      </w:r>
      <w:r>
        <w:rPr>
          <w:b/>
          <w:bCs/>
        </w:rPr>
        <w:t>b. </w:t>
      </w:r>
      <w:r w:rsidRPr="007E2E3E">
        <w:t>Labour supply (</w:t>
      </w: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Pr="007E2E3E">
        <w:rPr>
          <w:rFonts w:eastAsiaTheme="minorEastAsia"/>
        </w:rPr>
        <w:t>), ECEC demand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oMath>
      <w:r w:rsidRPr="007E2E3E">
        <w:rPr>
          <w:rFonts w:eastAsiaTheme="minorEastAsia"/>
        </w:rPr>
        <w:t>) and net family income (</w:t>
      </w:r>
      <m:oMath>
        <m:r>
          <w:rPr>
            <w:rFonts w:ascii="Cambria Math" w:eastAsiaTheme="minorEastAsia" w:hAnsi="Cambria Math"/>
          </w:rPr>
          <m:t>y</m:t>
        </m:r>
      </m:oMath>
      <w:r w:rsidRPr="007E2E3E">
        <w:rPr>
          <w:rFonts w:eastAsiaTheme="minorEastAsia"/>
        </w:rPr>
        <w:t>) are also assumed values.</w:t>
      </w:r>
      <w:r>
        <w:rPr>
          <w:rFonts w:eastAsiaTheme="minorEastAsia"/>
        </w:rPr>
        <w:t xml:space="preserve"> Net annual incomes are converted to fortnightly incomes for consistency with units used in the utility equation.</w:t>
      </w:r>
    </w:p>
    <w:p w14:paraId="5C82D3E5" w14:textId="77777777" w:rsidR="008E7FC3" w:rsidRDefault="008E7FC3" w:rsidP="008E7FC3">
      <w:pPr>
        <w:pStyle w:val="Source"/>
      </w:pPr>
      <w:r w:rsidRPr="00696447">
        <w:t xml:space="preserve">Source: </w:t>
      </w:r>
      <w:r>
        <w:t>Productivity Commission estimates</w:t>
      </w:r>
      <w:r w:rsidRPr="00696447">
        <w:t>.</w:t>
      </w:r>
    </w:p>
    <w:p w14:paraId="2207ECC8" w14:textId="77777777" w:rsidR="008E7FC3" w:rsidRDefault="008E7FC3" w:rsidP="008E7FC3">
      <w:pPr>
        <w:pStyle w:val="Heading3"/>
      </w:pPr>
      <w:r>
        <w:t>Elasticity estimates</w:t>
      </w:r>
    </w:p>
    <w:p w14:paraId="25138069" w14:textId="77777777" w:rsidR="008E7FC3" w:rsidRDefault="008E7FC3" w:rsidP="008E7FC3">
      <w:pPr>
        <w:pStyle w:val="BodyText"/>
      </w:pPr>
      <w:r>
        <w:t xml:space="preserve">Elasticity estimates were obtained by running simulations of wage and price increases. Labour supply and ECEC demand elasticities with respect to gross wages were estimated from a simulated 10% increase in gross wages. Elasticities with respect to gross ECEC prices were estimated from a simulated 10% increase in gross ECEC prices – that is, the fees charged by the ECEC service. Elasticities with respect to net ECEC prices were also simulated – that is, with respect to changes in out-of-pocket ECEC expenses after CCS is taken into account. As noted by Gong, Breunig and King </w:t>
      </w:r>
      <w:r w:rsidRPr="00EF01A4">
        <w:rPr>
          <w:rFonts w:ascii="Arial" w:hAnsi="Arial" w:cs="Arial"/>
        </w:rPr>
        <w:t>(2014, p. 53)</w:t>
      </w:r>
      <w:r>
        <w:t>, net ECEC prices are harder to estimate – they are endogenous and vary with labour supply and ECEC usage.</w:t>
      </w:r>
    </w:p>
    <w:p w14:paraId="7832081E" w14:textId="77777777" w:rsidR="008E7FC3" w:rsidRDefault="008E7FC3" w:rsidP="008E7FC3">
      <w:pPr>
        <w:pStyle w:val="BodyText"/>
      </w:pPr>
      <w:r>
        <w:t>The simulations underlying these elasticities were run assuming tax and transfer policies, including CCS, as per 2023</w:t>
      </w:r>
      <w:r>
        <w:noBreakHyphen/>
        <w:t>24.</w:t>
      </w:r>
      <w:r w:rsidDel="002F4196">
        <w:t xml:space="preserve"> </w:t>
      </w:r>
      <w:r>
        <w:t>These elasticities are presented at an aggregate level in tables G.9 to G.13. As an example of how to interpret these elasticities, a 1% increase in the gross ECEC price is estimated to decrease the labour supply of partnered primary carer parents by 0.03%.</w:t>
      </w:r>
    </w:p>
    <w:p w14:paraId="326E6E25" w14:textId="77777777" w:rsidR="008E7FC3" w:rsidRDefault="008E7FC3" w:rsidP="008E7FC3">
      <w:pPr>
        <w:pStyle w:val="BodyText"/>
      </w:pPr>
      <w:r>
        <w:lastRenderedPageBreak/>
        <w:t>The estimated labour supply elasticities with respect to gross and net ECEC prices have the expected negative sign (tables G.8 and G.9). An increase in ECEC prices is expected to reduce labour supply hours – more expensive ECEC would increase the costs of working and some parents may choose to reduce their labour supply in response.</w:t>
      </w:r>
    </w:p>
    <w:p w14:paraId="51845609" w14:textId="77777777" w:rsidR="008E7FC3" w:rsidRDefault="008E7FC3" w:rsidP="008E7FC3">
      <w:pPr>
        <w:pStyle w:val="BodyText"/>
      </w:pPr>
      <w:r>
        <w:t xml:space="preserve">Broadly the Commission’s estimates of labour supply elasticities with respect to gross and net ECEC prices are smaller in size compared to previous estimates (except for Kalb and Lee </w:t>
      </w:r>
      <w:r w:rsidRPr="00CA7EE7">
        <w:rPr>
          <w:rFonts w:ascii="Arial" w:hAnsi="Arial" w:cs="Arial"/>
        </w:rPr>
        <w:t>(2008)</w:t>
      </w:r>
      <w:r>
        <w:t xml:space="preserve"> and Doiron and Kalb </w:t>
      </w:r>
      <w:r w:rsidRPr="00F57969">
        <w:rPr>
          <w:rFonts w:ascii="Arial" w:hAnsi="Arial" w:cs="Arial"/>
        </w:rPr>
        <w:t>(2005)</w:t>
      </w:r>
      <w:r>
        <w:t>). Both differences in the time period of data used and methodology can explain these differences.</w:t>
      </w:r>
    </w:p>
    <w:p w14:paraId="5CE573E1" w14:textId="77777777" w:rsidR="008E7FC3" w:rsidRDefault="008E7FC3" w:rsidP="008E7FC3">
      <w:pPr>
        <w:pStyle w:val="FigureTableHeading"/>
      </w:pPr>
      <w:r>
        <w:t xml:space="preserve">Table </w:t>
      </w:r>
      <w:r>
        <w:rPr>
          <w:noProof/>
        </w:rPr>
        <w:t>G</w:t>
      </w:r>
      <w:r>
        <w:t>.8</w:t>
      </w:r>
      <w:r>
        <w:rPr>
          <w:noProof/>
        </w:rPr>
        <w:t xml:space="preserve"> – Labour supply hours elasticity with respect to gross ECEC prices</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1417"/>
        <w:gridCol w:w="1417"/>
        <w:gridCol w:w="3402"/>
      </w:tblGrid>
      <w:tr w:rsidR="008E7FC3" w:rsidRPr="00030C67" w14:paraId="50A5E777" w14:textId="77777777" w:rsidTr="00177648">
        <w:trPr>
          <w:tblHeader/>
        </w:trPr>
        <w:tc>
          <w:tcPr>
            <w:tcW w:w="3402" w:type="dxa"/>
            <w:tcBorders>
              <w:bottom w:val="single" w:sz="4" w:space="0" w:color="B3B3B3"/>
            </w:tcBorders>
            <w:shd w:val="clear" w:color="000000" w:fill="auto"/>
            <w:vAlign w:val="bottom"/>
          </w:tcPr>
          <w:p w14:paraId="699B6C0E" w14:textId="77777777" w:rsidR="008E7FC3" w:rsidRPr="008F7397" w:rsidRDefault="008E7FC3" w:rsidP="00177648">
            <w:pPr>
              <w:pStyle w:val="TableHeading"/>
            </w:pPr>
            <w:r w:rsidRPr="008F7397">
              <w:t>Author(s)</w:t>
            </w:r>
          </w:p>
        </w:tc>
        <w:tc>
          <w:tcPr>
            <w:tcW w:w="1417" w:type="dxa"/>
            <w:tcBorders>
              <w:bottom w:val="single" w:sz="4" w:space="0" w:color="B3B3B3"/>
            </w:tcBorders>
            <w:shd w:val="clear" w:color="000000" w:fill="auto"/>
            <w:vAlign w:val="bottom"/>
          </w:tcPr>
          <w:p w14:paraId="0A8D55D1" w14:textId="77777777" w:rsidR="008E7FC3" w:rsidRPr="00030C67" w:rsidRDefault="008E7FC3" w:rsidP="00177648">
            <w:pPr>
              <w:pStyle w:val="TableHeading"/>
              <w:jc w:val="right"/>
            </w:pPr>
            <w:r w:rsidRPr="008F7397">
              <w:t>Children’s age</w:t>
            </w:r>
          </w:p>
        </w:tc>
        <w:tc>
          <w:tcPr>
            <w:tcW w:w="1417" w:type="dxa"/>
            <w:tcBorders>
              <w:bottom w:val="single" w:sz="4" w:space="0" w:color="B3B3B3"/>
            </w:tcBorders>
            <w:shd w:val="clear" w:color="000000" w:fill="auto"/>
            <w:vAlign w:val="bottom"/>
          </w:tcPr>
          <w:p w14:paraId="6B21E8A6" w14:textId="77777777" w:rsidR="008E7FC3" w:rsidRPr="00030C67" w:rsidRDefault="008E7FC3" w:rsidP="00177648">
            <w:pPr>
              <w:pStyle w:val="TableHeading"/>
              <w:jc w:val="right"/>
            </w:pPr>
            <w:r w:rsidRPr="008F7397">
              <w:t>Family type</w:t>
            </w:r>
          </w:p>
        </w:tc>
        <w:tc>
          <w:tcPr>
            <w:tcW w:w="3402" w:type="dxa"/>
            <w:tcBorders>
              <w:bottom w:val="single" w:sz="4" w:space="0" w:color="B3B3B3"/>
            </w:tcBorders>
            <w:shd w:val="clear" w:color="000000" w:fill="auto"/>
            <w:vAlign w:val="bottom"/>
          </w:tcPr>
          <w:p w14:paraId="0EE70B37" w14:textId="77777777" w:rsidR="008E7FC3" w:rsidRPr="00030C67" w:rsidRDefault="008E7FC3" w:rsidP="00177648">
            <w:pPr>
              <w:pStyle w:val="TableHeading"/>
              <w:jc w:val="right"/>
            </w:pPr>
            <w:r w:rsidRPr="008F7397">
              <w:t xml:space="preserve">Effect of 1% increase in gross ECEC prices on </w:t>
            </w:r>
            <w:r>
              <w:t xml:space="preserve">labour supply </w:t>
            </w:r>
            <w:r w:rsidRPr="008F7397">
              <w:t xml:space="preserve">hours </w:t>
            </w:r>
          </w:p>
        </w:tc>
      </w:tr>
      <w:tr w:rsidR="008E7FC3" w:rsidRPr="00030C67" w14:paraId="1828208D" w14:textId="77777777" w:rsidTr="00177648">
        <w:tc>
          <w:tcPr>
            <w:tcW w:w="3402" w:type="dxa"/>
            <w:tcBorders>
              <w:top w:val="single" w:sz="4" w:space="0" w:color="B3B3B3"/>
              <w:bottom w:val="nil"/>
            </w:tcBorders>
            <w:shd w:val="clear" w:color="000000" w:fill="F2F2F2"/>
          </w:tcPr>
          <w:p w14:paraId="07AD99B3" w14:textId="77777777" w:rsidR="008E7FC3" w:rsidRPr="00030C67" w:rsidRDefault="008E7FC3" w:rsidP="00177648">
            <w:pPr>
              <w:pStyle w:val="TableHeading"/>
            </w:pPr>
            <w:r w:rsidRPr="008F7397">
              <w:t>PC (2024)</w:t>
            </w:r>
          </w:p>
        </w:tc>
        <w:tc>
          <w:tcPr>
            <w:tcW w:w="1417" w:type="dxa"/>
            <w:tcBorders>
              <w:top w:val="single" w:sz="4" w:space="0" w:color="B3B3B3"/>
              <w:bottom w:val="nil"/>
            </w:tcBorders>
            <w:shd w:val="clear" w:color="000000" w:fill="F2F2F2"/>
            <w:vAlign w:val="bottom"/>
          </w:tcPr>
          <w:p w14:paraId="29EE16DC"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single" w:sz="4" w:space="0" w:color="B3B3B3"/>
              <w:bottom w:val="nil"/>
            </w:tcBorders>
            <w:shd w:val="clear" w:color="000000" w:fill="F2F2F2"/>
            <w:vAlign w:val="bottom"/>
          </w:tcPr>
          <w:p w14:paraId="2DEFBD8E"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single" w:sz="4" w:space="0" w:color="B3B3B3"/>
              <w:bottom w:val="nil"/>
            </w:tcBorders>
            <w:shd w:val="clear" w:color="000000" w:fill="F2F2F2"/>
            <w:vAlign w:val="bottom"/>
          </w:tcPr>
          <w:p w14:paraId="6147BCF0"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-0.03%</w:t>
            </w:r>
          </w:p>
        </w:tc>
      </w:tr>
      <w:tr w:rsidR="008E7FC3" w:rsidRPr="00030C67" w14:paraId="7C5B20F5" w14:textId="77777777" w:rsidTr="00177648">
        <w:tc>
          <w:tcPr>
            <w:tcW w:w="3402" w:type="dxa"/>
            <w:tcBorders>
              <w:top w:val="nil"/>
              <w:bottom w:val="nil"/>
            </w:tcBorders>
            <w:shd w:val="clear" w:color="auto" w:fill="FFFFFF" w:themeFill="background1"/>
          </w:tcPr>
          <w:p w14:paraId="56758123" w14:textId="77777777" w:rsidR="008E7FC3" w:rsidRPr="00030C67" w:rsidRDefault="008E7FC3" w:rsidP="00177648">
            <w:pPr>
              <w:pStyle w:val="TableHeading"/>
            </w:pPr>
            <w:r w:rsidRPr="008F7397">
              <w:t>PC (2024)</w:t>
            </w:r>
          </w:p>
        </w:tc>
        <w:tc>
          <w:tcPr>
            <w:tcW w:w="1417" w:type="dxa"/>
            <w:tcBorders>
              <w:top w:val="nil"/>
              <w:bottom w:val="nil"/>
            </w:tcBorders>
            <w:shd w:val="clear" w:color="auto" w:fill="FFFFFF" w:themeFill="background1"/>
            <w:vAlign w:val="bottom"/>
          </w:tcPr>
          <w:p w14:paraId="74E7F33A"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auto" w:fill="FFFFFF" w:themeFill="background1"/>
            <w:vAlign w:val="bottom"/>
          </w:tcPr>
          <w:p w14:paraId="016AFE45"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Sole</w:t>
            </w:r>
          </w:p>
        </w:tc>
        <w:tc>
          <w:tcPr>
            <w:tcW w:w="3402" w:type="dxa"/>
            <w:tcBorders>
              <w:top w:val="nil"/>
              <w:bottom w:val="nil"/>
            </w:tcBorders>
            <w:shd w:val="clear" w:color="auto" w:fill="FFFFFF" w:themeFill="background1"/>
            <w:vAlign w:val="bottom"/>
          </w:tcPr>
          <w:p w14:paraId="00A95CD6"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-0.01%</w:t>
            </w:r>
          </w:p>
        </w:tc>
      </w:tr>
      <w:tr w:rsidR="008E7FC3" w:rsidRPr="00030C67" w14:paraId="09E20C26" w14:textId="77777777" w:rsidTr="00177648">
        <w:tc>
          <w:tcPr>
            <w:tcW w:w="3402" w:type="dxa"/>
            <w:tcBorders>
              <w:top w:val="nil"/>
              <w:bottom w:val="nil"/>
            </w:tcBorders>
            <w:shd w:val="clear" w:color="000000" w:fill="F2F2F2"/>
          </w:tcPr>
          <w:p w14:paraId="4F0C4A94" w14:textId="77777777" w:rsidR="008E7FC3" w:rsidRPr="00030C67" w:rsidRDefault="008E7FC3" w:rsidP="00177648">
            <w:pPr>
              <w:pStyle w:val="TableHeading"/>
            </w:pPr>
            <w:r w:rsidRPr="008F7397">
              <w:t>PC (2024)</w:t>
            </w:r>
          </w:p>
        </w:tc>
        <w:tc>
          <w:tcPr>
            <w:tcW w:w="1417" w:type="dxa"/>
            <w:tcBorders>
              <w:top w:val="nil"/>
              <w:bottom w:val="nil"/>
            </w:tcBorders>
            <w:shd w:val="clear" w:color="000000" w:fill="F2F2F2"/>
            <w:vAlign w:val="bottom"/>
          </w:tcPr>
          <w:p w14:paraId="2595ECC1"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000000" w:fill="F2F2F2"/>
            <w:vAlign w:val="bottom"/>
          </w:tcPr>
          <w:p w14:paraId="03A86B8E"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Both</w:t>
            </w:r>
          </w:p>
        </w:tc>
        <w:tc>
          <w:tcPr>
            <w:tcW w:w="3402" w:type="dxa"/>
            <w:tcBorders>
              <w:top w:val="nil"/>
              <w:bottom w:val="nil"/>
            </w:tcBorders>
            <w:shd w:val="clear" w:color="000000" w:fill="F2F2F2"/>
            <w:vAlign w:val="bottom"/>
          </w:tcPr>
          <w:p w14:paraId="6F32C5FA"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-0.02%</w:t>
            </w:r>
          </w:p>
        </w:tc>
      </w:tr>
      <w:tr w:rsidR="008E7FC3" w:rsidRPr="00030C67" w14:paraId="16CFD928" w14:textId="77777777" w:rsidTr="00177648">
        <w:tc>
          <w:tcPr>
            <w:tcW w:w="3402" w:type="dxa"/>
            <w:tcBorders>
              <w:top w:val="nil"/>
              <w:bottom w:val="nil"/>
            </w:tcBorders>
            <w:shd w:val="clear" w:color="auto" w:fill="CBDDF2" w:themeFill="background2" w:themeFillTint="33"/>
          </w:tcPr>
          <w:p w14:paraId="3FF8B8E4" w14:textId="77777777" w:rsidR="008E7FC3" w:rsidRPr="00030C67" w:rsidRDefault="008E7FC3" w:rsidP="00177648">
            <w:pPr>
              <w:pStyle w:val="TableHeading"/>
            </w:pPr>
          </w:p>
        </w:tc>
        <w:tc>
          <w:tcPr>
            <w:tcW w:w="1417" w:type="dxa"/>
            <w:tcBorders>
              <w:top w:val="nil"/>
              <w:bottom w:val="nil"/>
            </w:tcBorders>
            <w:shd w:val="clear" w:color="auto" w:fill="CBDDF2" w:themeFill="background2" w:themeFillTint="33"/>
            <w:vAlign w:val="bottom"/>
          </w:tcPr>
          <w:p w14:paraId="43D9C750" w14:textId="77777777" w:rsidR="008E7FC3" w:rsidRDefault="008E7FC3" w:rsidP="00177648">
            <w:pPr>
              <w:pStyle w:val="TableBody"/>
              <w:spacing w:before="45" w:after="45"/>
              <w:ind w:right="108"/>
              <w:jc w:val="right"/>
              <w:rPr>
                <w:rFonts w:ascii="Arial (Body)" w:hAnsi="Arial (Body)"/>
                <w:color w:val="000000"/>
              </w:rPr>
            </w:pPr>
          </w:p>
        </w:tc>
        <w:tc>
          <w:tcPr>
            <w:tcW w:w="1417" w:type="dxa"/>
            <w:tcBorders>
              <w:top w:val="nil"/>
              <w:bottom w:val="nil"/>
            </w:tcBorders>
            <w:shd w:val="clear" w:color="auto" w:fill="CBDDF2" w:themeFill="background2" w:themeFillTint="33"/>
            <w:vAlign w:val="bottom"/>
          </w:tcPr>
          <w:p w14:paraId="14C022A7" w14:textId="77777777" w:rsidR="008E7FC3" w:rsidRDefault="008E7FC3" w:rsidP="00177648">
            <w:pPr>
              <w:pStyle w:val="TableBody"/>
              <w:spacing w:before="45" w:after="45"/>
              <w:ind w:right="108"/>
              <w:jc w:val="right"/>
              <w:rPr>
                <w:rFonts w:ascii="Arial (Body)" w:hAnsi="Arial (Body)"/>
                <w:color w:val="000000"/>
              </w:rPr>
            </w:pPr>
          </w:p>
        </w:tc>
        <w:tc>
          <w:tcPr>
            <w:tcW w:w="3402" w:type="dxa"/>
            <w:tcBorders>
              <w:top w:val="nil"/>
              <w:bottom w:val="nil"/>
            </w:tcBorders>
            <w:shd w:val="clear" w:color="auto" w:fill="CBDDF2" w:themeFill="background2" w:themeFillTint="33"/>
            <w:vAlign w:val="bottom"/>
          </w:tcPr>
          <w:p w14:paraId="29FE2B4C" w14:textId="77777777" w:rsidR="008E7FC3" w:rsidRDefault="008E7FC3" w:rsidP="00177648">
            <w:pPr>
              <w:pStyle w:val="TableBody"/>
              <w:spacing w:before="45" w:after="45"/>
              <w:ind w:right="108"/>
              <w:jc w:val="right"/>
              <w:rPr>
                <w:rFonts w:ascii="Arial (Body)" w:hAnsi="Arial (Body)"/>
                <w:color w:val="000000"/>
              </w:rPr>
            </w:pPr>
          </w:p>
        </w:tc>
      </w:tr>
      <w:tr w:rsidR="008E7FC3" w:rsidRPr="00030C67" w14:paraId="3945FF96" w14:textId="77777777" w:rsidTr="00177648">
        <w:tc>
          <w:tcPr>
            <w:tcW w:w="3402" w:type="dxa"/>
            <w:tcBorders>
              <w:top w:val="nil"/>
              <w:bottom w:val="nil"/>
            </w:tcBorders>
            <w:shd w:val="clear" w:color="000000" w:fill="F2F2F2"/>
          </w:tcPr>
          <w:p w14:paraId="3ECA7F24" w14:textId="77777777" w:rsidR="008E7FC3" w:rsidRPr="00030C67" w:rsidRDefault="008E7FC3" w:rsidP="00177648">
            <w:pPr>
              <w:pStyle w:val="TableHeading"/>
            </w:pPr>
            <w:r w:rsidRPr="008F7397">
              <w:t>Kalb and Lee (2008)</w:t>
            </w:r>
          </w:p>
        </w:tc>
        <w:tc>
          <w:tcPr>
            <w:tcW w:w="1417" w:type="dxa"/>
            <w:tcBorders>
              <w:top w:val="nil"/>
              <w:bottom w:val="nil"/>
            </w:tcBorders>
            <w:shd w:val="clear" w:color="000000" w:fill="F2F2F2"/>
            <w:vAlign w:val="bottom"/>
          </w:tcPr>
          <w:p w14:paraId="797C56F9"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000000" w:fill="F2F2F2"/>
            <w:vAlign w:val="bottom"/>
          </w:tcPr>
          <w:p w14:paraId="322198ED"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000000" w:fill="F2F2F2"/>
            <w:vAlign w:val="bottom"/>
          </w:tcPr>
          <w:p w14:paraId="4DF48959"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p>
        </w:tc>
      </w:tr>
      <w:tr w:rsidR="008E7FC3" w:rsidRPr="00030C67" w14:paraId="629A92BC" w14:textId="77777777" w:rsidTr="00177648">
        <w:tc>
          <w:tcPr>
            <w:tcW w:w="3402" w:type="dxa"/>
            <w:tcBorders>
              <w:top w:val="nil"/>
              <w:bottom w:val="nil"/>
            </w:tcBorders>
            <w:shd w:val="clear" w:color="auto" w:fill="FFFFFF" w:themeFill="background1"/>
          </w:tcPr>
          <w:p w14:paraId="4D6AF8AE" w14:textId="77777777" w:rsidR="008E7FC3" w:rsidRPr="00030C67" w:rsidRDefault="008E7FC3" w:rsidP="00177648">
            <w:pPr>
              <w:pStyle w:val="TableHeading"/>
            </w:pPr>
            <w:r w:rsidRPr="008F7397">
              <w:t>Doiron and Kalb (2005)</w:t>
            </w:r>
          </w:p>
        </w:tc>
        <w:tc>
          <w:tcPr>
            <w:tcW w:w="1417" w:type="dxa"/>
            <w:tcBorders>
              <w:top w:val="nil"/>
              <w:bottom w:val="nil"/>
            </w:tcBorders>
            <w:shd w:val="clear" w:color="auto" w:fill="FFFFFF" w:themeFill="background1"/>
            <w:vAlign w:val="bottom"/>
          </w:tcPr>
          <w:p w14:paraId="1BD3073A"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auto" w:fill="FFFFFF" w:themeFill="background1"/>
            <w:vAlign w:val="bottom"/>
          </w:tcPr>
          <w:p w14:paraId="09C8F1A6"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auto" w:fill="FFFFFF" w:themeFill="background1"/>
            <w:vAlign w:val="bottom"/>
          </w:tcPr>
          <w:p w14:paraId="7CEB1BE8"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-0.02%</w:t>
            </w:r>
          </w:p>
        </w:tc>
      </w:tr>
      <w:tr w:rsidR="008E7FC3" w:rsidRPr="00030C67" w14:paraId="17AFC91C" w14:textId="77777777" w:rsidTr="00177648">
        <w:tc>
          <w:tcPr>
            <w:tcW w:w="3402" w:type="dxa"/>
            <w:tcBorders>
              <w:top w:val="nil"/>
              <w:bottom w:val="nil"/>
            </w:tcBorders>
            <w:shd w:val="clear" w:color="000000" w:fill="F2F2F2"/>
          </w:tcPr>
          <w:p w14:paraId="5EFC0F16" w14:textId="77777777" w:rsidR="008E7FC3" w:rsidRPr="00030C67" w:rsidRDefault="008E7FC3" w:rsidP="00177648">
            <w:pPr>
              <w:pStyle w:val="TableHeading"/>
            </w:pPr>
            <w:r w:rsidRPr="008F7397">
              <w:t>Apps et al. (2016)</w:t>
            </w:r>
          </w:p>
        </w:tc>
        <w:tc>
          <w:tcPr>
            <w:tcW w:w="1417" w:type="dxa"/>
            <w:tcBorders>
              <w:top w:val="nil"/>
              <w:bottom w:val="nil"/>
            </w:tcBorders>
            <w:shd w:val="clear" w:color="000000" w:fill="F2F2F2"/>
            <w:vAlign w:val="bottom"/>
          </w:tcPr>
          <w:p w14:paraId="06DBA233"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–4</w:t>
            </w:r>
            <w:r w:rsidRPr="009023B1">
              <w:rPr>
                <w:rFonts w:ascii="Arial (Body)" w:hAnsi="Arial (Body)"/>
                <w:color w:val="000000"/>
                <w:vertAlign w:val="superscript"/>
              </w:rPr>
              <w:t>a</w:t>
            </w:r>
          </w:p>
        </w:tc>
        <w:tc>
          <w:tcPr>
            <w:tcW w:w="1417" w:type="dxa"/>
            <w:tcBorders>
              <w:top w:val="nil"/>
              <w:bottom w:val="nil"/>
            </w:tcBorders>
            <w:shd w:val="clear" w:color="000000" w:fill="F2F2F2"/>
            <w:vAlign w:val="bottom"/>
          </w:tcPr>
          <w:p w14:paraId="32EA44E3"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000000" w:fill="F2F2F2"/>
            <w:vAlign w:val="bottom"/>
          </w:tcPr>
          <w:p w14:paraId="60618171"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25</w:t>
            </w:r>
            <w:r w:rsidRPr="008F7397">
              <w:rPr>
                <w:rFonts w:ascii="Arial (Body)" w:hAnsi="Arial (Body)"/>
                <w:color w:val="000000"/>
              </w:rPr>
              <w:t>%</w:t>
            </w:r>
          </w:p>
        </w:tc>
      </w:tr>
      <w:tr w:rsidR="008E7FC3" w:rsidRPr="00030C67" w14:paraId="5982CF2F" w14:textId="77777777" w:rsidTr="00177648">
        <w:tc>
          <w:tcPr>
            <w:tcW w:w="3402" w:type="dxa"/>
            <w:tcBorders>
              <w:top w:val="nil"/>
              <w:bottom w:val="nil"/>
            </w:tcBorders>
            <w:shd w:val="clear" w:color="auto" w:fill="FFFFFF" w:themeFill="background1"/>
          </w:tcPr>
          <w:p w14:paraId="4DC2F0B7" w14:textId="77777777" w:rsidR="008E7FC3" w:rsidRPr="00030C67" w:rsidRDefault="008E7FC3" w:rsidP="00177648">
            <w:pPr>
              <w:pStyle w:val="TableHeading"/>
            </w:pPr>
            <w:r w:rsidRPr="008F7397">
              <w:t>Gong and Breunig (2017)</w:t>
            </w:r>
          </w:p>
        </w:tc>
        <w:tc>
          <w:tcPr>
            <w:tcW w:w="1417" w:type="dxa"/>
            <w:tcBorders>
              <w:top w:val="nil"/>
              <w:bottom w:val="nil"/>
            </w:tcBorders>
            <w:shd w:val="clear" w:color="auto" w:fill="FFFFFF" w:themeFill="background1"/>
            <w:vAlign w:val="bottom"/>
          </w:tcPr>
          <w:p w14:paraId="4A998980"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5</w:t>
            </w:r>
          </w:p>
        </w:tc>
        <w:tc>
          <w:tcPr>
            <w:tcW w:w="1417" w:type="dxa"/>
            <w:tcBorders>
              <w:top w:val="nil"/>
              <w:bottom w:val="nil"/>
            </w:tcBorders>
            <w:shd w:val="clear" w:color="auto" w:fill="FFFFFF" w:themeFill="background1"/>
            <w:vAlign w:val="bottom"/>
          </w:tcPr>
          <w:p w14:paraId="7F3CD85A"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auto" w:fill="FFFFFF" w:themeFill="background1"/>
            <w:vAlign w:val="bottom"/>
          </w:tcPr>
          <w:p w14:paraId="5C44E144"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-0.11%</w:t>
            </w:r>
          </w:p>
        </w:tc>
      </w:tr>
      <w:tr w:rsidR="008E7FC3" w:rsidRPr="00030C67" w14:paraId="0A316D26" w14:textId="77777777" w:rsidTr="00177648">
        <w:tc>
          <w:tcPr>
            <w:tcW w:w="3402" w:type="dxa"/>
            <w:tcBorders>
              <w:top w:val="nil"/>
              <w:bottom w:val="nil"/>
            </w:tcBorders>
            <w:shd w:val="clear" w:color="000000" w:fill="F2F2F2"/>
          </w:tcPr>
          <w:p w14:paraId="0A5323FB" w14:textId="77777777" w:rsidR="008E7FC3" w:rsidRPr="00030C67" w:rsidRDefault="008E7FC3" w:rsidP="00177648">
            <w:pPr>
              <w:pStyle w:val="TableHeading"/>
            </w:pPr>
            <w:r w:rsidRPr="008F7397">
              <w:t>Mumford et al. (2020)</w:t>
            </w:r>
          </w:p>
        </w:tc>
        <w:tc>
          <w:tcPr>
            <w:tcW w:w="1417" w:type="dxa"/>
            <w:tcBorders>
              <w:top w:val="nil"/>
              <w:bottom w:val="nil"/>
            </w:tcBorders>
            <w:shd w:val="clear" w:color="000000" w:fill="F2F2F2"/>
            <w:vAlign w:val="bottom"/>
          </w:tcPr>
          <w:p w14:paraId="329808D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0–5</w:t>
            </w:r>
          </w:p>
        </w:tc>
        <w:tc>
          <w:tcPr>
            <w:tcW w:w="1417" w:type="dxa"/>
            <w:tcBorders>
              <w:top w:val="nil"/>
              <w:bottom w:val="nil"/>
            </w:tcBorders>
            <w:shd w:val="clear" w:color="000000" w:fill="F2F2F2"/>
            <w:vAlign w:val="bottom"/>
          </w:tcPr>
          <w:p w14:paraId="0D98AE00"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Partnered</w:t>
            </w:r>
          </w:p>
        </w:tc>
        <w:tc>
          <w:tcPr>
            <w:tcW w:w="3402" w:type="dxa"/>
            <w:tcBorders>
              <w:top w:val="nil"/>
              <w:bottom w:val="nil"/>
            </w:tcBorders>
            <w:shd w:val="clear" w:color="000000" w:fill="F2F2F2"/>
            <w:vAlign w:val="bottom"/>
          </w:tcPr>
          <w:p w14:paraId="3557F3D1"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-0.20%</w:t>
            </w:r>
          </w:p>
        </w:tc>
      </w:tr>
      <w:tr w:rsidR="008E7FC3" w:rsidRPr="00030C67" w14:paraId="2CB06A6C" w14:textId="77777777" w:rsidTr="00177648">
        <w:tc>
          <w:tcPr>
            <w:tcW w:w="3402" w:type="dxa"/>
            <w:tcBorders>
              <w:top w:val="nil"/>
              <w:bottom w:val="nil"/>
            </w:tcBorders>
            <w:shd w:val="clear" w:color="000000" w:fill="FFFFFF" w:themeFill="background1"/>
          </w:tcPr>
          <w:p w14:paraId="25350494" w14:textId="77777777" w:rsidR="008E7FC3" w:rsidRPr="00030C67" w:rsidRDefault="008E7FC3" w:rsidP="00177648">
            <w:pPr>
              <w:pStyle w:val="TableHeading"/>
            </w:pPr>
            <w:r w:rsidRPr="008F7397">
              <w:t>Kalb and Lee (2008)</w:t>
            </w:r>
          </w:p>
        </w:tc>
        <w:tc>
          <w:tcPr>
            <w:tcW w:w="1417" w:type="dxa"/>
            <w:tcBorders>
              <w:top w:val="nil"/>
              <w:bottom w:val="nil"/>
            </w:tcBorders>
            <w:shd w:val="clear" w:color="000000" w:fill="FFFFFF" w:themeFill="background1"/>
            <w:vAlign w:val="bottom"/>
          </w:tcPr>
          <w:p w14:paraId="7DFD56F6"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000000" w:fill="FFFFFF" w:themeFill="background1"/>
            <w:vAlign w:val="bottom"/>
          </w:tcPr>
          <w:p w14:paraId="7AFE1A38"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Sole</w:t>
            </w:r>
          </w:p>
        </w:tc>
        <w:tc>
          <w:tcPr>
            <w:tcW w:w="3402" w:type="dxa"/>
            <w:tcBorders>
              <w:top w:val="nil"/>
              <w:bottom w:val="nil"/>
            </w:tcBorders>
            <w:shd w:val="clear" w:color="000000" w:fill="FFFFFF" w:themeFill="background1"/>
            <w:vAlign w:val="bottom"/>
          </w:tcPr>
          <w:p w14:paraId="0140C41E"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-0.16%</w:t>
            </w:r>
          </w:p>
        </w:tc>
      </w:tr>
      <w:tr w:rsidR="008E7FC3" w:rsidRPr="00030C67" w14:paraId="3CED6FF4" w14:textId="77777777" w:rsidTr="00177648">
        <w:tc>
          <w:tcPr>
            <w:tcW w:w="3402" w:type="dxa"/>
            <w:tcBorders>
              <w:top w:val="nil"/>
              <w:bottom w:val="nil"/>
            </w:tcBorders>
            <w:shd w:val="clear" w:color="000000" w:fill="F2F2F2"/>
          </w:tcPr>
          <w:p w14:paraId="06EF7B91" w14:textId="77777777" w:rsidR="008E7FC3" w:rsidRPr="00030C67" w:rsidRDefault="008E7FC3" w:rsidP="00177648">
            <w:pPr>
              <w:pStyle w:val="TableHeading"/>
            </w:pPr>
            <w:r w:rsidRPr="008F7397">
              <w:t>Doiron and Kalb (2005)</w:t>
            </w:r>
          </w:p>
        </w:tc>
        <w:tc>
          <w:tcPr>
            <w:tcW w:w="1417" w:type="dxa"/>
            <w:tcBorders>
              <w:top w:val="nil"/>
              <w:bottom w:val="nil"/>
            </w:tcBorders>
            <w:shd w:val="clear" w:color="000000" w:fill="F2F2F2"/>
            <w:vAlign w:val="bottom"/>
          </w:tcPr>
          <w:p w14:paraId="2C642FD9"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12</w:t>
            </w:r>
          </w:p>
        </w:tc>
        <w:tc>
          <w:tcPr>
            <w:tcW w:w="1417" w:type="dxa"/>
            <w:tcBorders>
              <w:top w:val="nil"/>
              <w:bottom w:val="nil"/>
            </w:tcBorders>
            <w:shd w:val="clear" w:color="000000" w:fill="F2F2F2"/>
            <w:vAlign w:val="bottom"/>
          </w:tcPr>
          <w:p w14:paraId="1A8C6293"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Sole</w:t>
            </w:r>
          </w:p>
        </w:tc>
        <w:tc>
          <w:tcPr>
            <w:tcW w:w="3402" w:type="dxa"/>
            <w:tcBorders>
              <w:top w:val="nil"/>
              <w:bottom w:val="nil"/>
            </w:tcBorders>
            <w:shd w:val="clear" w:color="000000" w:fill="F2F2F2"/>
            <w:vAlign w:val="bottom"/>
          </w:tcPr>
          <w:p w14:paraId="16AE6F38"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-0.05%</w:t>
            </w:r>
          </w:p>
        </w:tc>
      </w:tr>
      <w:tr w:rsidR="008E7FC3" w:rsidRPr="00030C67" w14:paraId="09E5F465" w14:textId="77777777" w:rsidTr="00177648">
        <w:tc>
          <w:tcPr>
            <w:tcW w:w="3402" w:type="dxa"/>
            <w:tcBorders>
              <w:bottom w:val="single" w:sz="4" w:space="0" w:color="B3B3B3"/>
            </w:tcBorders>
            <w:shd w:val="clear" w:color="000000" w:fill="FFFFFF" w:themeFill="background1"/>
          </w:tcPr>
          <w:p w14:paraId="7BECB319" w14:textId="77777777" w:rsidR="008E7FC3" w:rsidRPr="00030C67" w:rsidRDefault="008E7FC3" w:rsidP="00177648">
            <w:pPr>
              <w:pStyle w:val="TableHeading"/>
            </w:pPr>
            <w:r w:rsidRPr="008F7397">
              <w:t>NSW P</w:t>
            </w:r>
            <w:r>
              <w:t xml:space="preserve">roductivity </w:t>
            </w:r>
            <w:r w:rsidRPr="008F7397">
              <w:t>C</w:t>
            </w:r>
            <w:r>
              <w:t>ommission</w:t>
            </w:r>
            <w:r w:rsidRPr="008F7397">
              <w:t xml:space="preserve"> (2022)</w:t>
            </w:r>
          </w:p>
        </w:tc>
        <w:tc>
          <w:tcPr>
            <w:tcW w:w="1417" w:type="dxa"/>
            <w:tcBorders>
              <w:bottom w:val="single" w:sz="4" w:space="0" w:color="B3B3B3"/>
            </w:tcBorders>
            <w:shd w:val="clear" w:color="000000" w:fill="FFFFFF" w:themeFill="background1"/>
            <w:vAlign w:val="bottom"/>
          </w:tcPr>
          <w:p w14:paraId="429FCB4E"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w:t>
            </w:r>
            <w:r>
              <w:rPr>
                <w:rFonts w:ascii="Arial (Body)" w:hAnsi="Arial (Body)"/>
                <w:color w:val="000000"/>
              </w:rPr>
              <w:t>–</w:t>
            </w:r>
            <w:r w:rsidRPr="008F7397">
              <w:rPr>
                <w:rFonts w:ascii="Arial (Body)" w:hAnsi="Arial (Body)"/>
                <w:color w:val="000000"/>
              </w:rPr>
              <w:t>4</w:t>
            </w:r>
          </w:p>
        </w:tc>
        <w:tc>
          <w:tcPr>
            <w:tcW w:w="1417" w:type="dxa"/>
            <w:tcBorders>
              <w:bottom w:val="single" w:sz="4" w:space="0" w:color="B3B3B3"/>
            </w:tcBorders>
            <w:shd w:val="clear" w:color="000000" w:fill="FFFFFF" w:themeFill="background1"/>
            <w:vAlign w:val="bottom"/>
          </w:tcPr>
          <w:p w14:paraId="074747AE" w14:textId="77777777" w:rsidR="008E7FC3" w:rsidRPr="00030C67"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Both</w:t>
            </w:r>
          </w:p>
        </w:tc>
        <w:tc>
          <w:tcPr>
            <w:tcW w:w="3402" w:type="dxa"/>
            <w:tcBorders>
              <w:bottom w:val="single" w:sz="4" w:space="0" w:color="B3B3B3"/>
            </w:tcBorders>
            <w:shd w:val="clear" w:color="000000" w:fill="FFFFFF" w:themeFill="background1"/>
            <w:vAlign w:val="bottom"/>
          </w:tcPr>
          <w:p w14:paraId="5495979B" w14:textId="77777777" w:rsidR="008E7FC3" w:rsidRDefault="008E7FC3" w:rsidP="00177648">
            <w:pPr>
              <w:pStyle w:val="TableBody"/>
              <w:spacing w:before="45" w:after="45"/>
              <w:ind w:right="108"/>
              <w:jc w:val="right"/>
              <w:rPr>
                <w:rFonts w:ascii="Arial (Body)" w:hAnsi="Arial (Body)"/>
                <w:color w:val="000000"/>
              </w:rPr>
            </w:pPr>
            <w:r w:rsidRPr="008F7397">
              <w:rPr>
                <w:rFonts w:ascii="Arial (Body)" w:hAnsi="Arial (Body)"/>
                <w:color w:val="000000"/>
              </w:rPr>
              <w:t>-0.16% </w:t>
            </w:r>
          </w:p>
        </w:tc>
      </w:tr>
    </w:tbl>
    <w:p w14:paraId="55DD8D6C"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t>–</w:t>
      </w:r>
      <w:r w:rsidRPr="00C847EB">
        <w:t xml:space="preserve">5. To be conservative, </w:t>
      </w:r>
      <w:r>
        <w:t xml:space="preserve">children aged </w:t>
      </w:r>
      <w:r w:rsidRPr="00C847EB">
        <w:t>0</w:t>
      </w:r>
      <w:r>
        <w:t>–</w:t>
      </w:r>
      <w:r w:rsidRPr="00C847EB">
        <w:t xml:space="preserve">4 </w:t>
      </w:r>
      <w:r>
        <w:t>were</w:t>
      </w:r>
      <w:r w:rsidRPr="00C847EB">
        <w:t xml:space="preserve"> </w:t>
      </w:r>
      <w:r>
        <w:t>included</w:t>
      </w:r>
      <w:r w:rsidRPr="00C847EB">
        <w:t xml:space="preserve"> in this table</w:t>
      </w:r>
      <w:r w:rsidRPr="00522577">
        <w:t>.</w:t>
      </w:r>
    </w:p>
    <w:p w14:paraId="2F87540F" w14:textId="77777777" w:rsidR="008E7FC3" w:rsidRDefault="008E7FC3" w:rsidP="008E7FC3">
      <w:pPr>
        <w:pStyle w:val="Source"/>
      </w:pPr>
      <w:r w:rsidRPr="00696447">
        <w:t xml:space="preserve">Source: </w:t>
      </w:r>
      <w:r>
        <w:t xml:space="preserve">Productivity Commission estimates; Kalb and Lee </w:t>
      </w:r>
      <w:r w:rsidRPr="00D94D16">
        <w:rPr>
          <w:rFonts w:ascii="Arial" w:hAnsi="Arial" w:cs="Arial"/>
        </w:rPr>
        <w:t>(2008)</w:t>
      </w:r>
      <w:r>
        <w:t xml:space="preserve">; Doiron and Kalb </w:t>
      </w:r>
      <w:r w:rsidRPr="00D75BF4">
        <w:rPr>
          <w:rFonts w:ascii="Arial" w:hAnsi="Arial" w:cs="Arial"/>
        </w:rPr>
        <w:t>(2005)</w:t>
      </w:r>
      <w:r>
        <w:t>; Apps et al</w:t>
      </w:r>
      <w:r w:rsidRPr="00696447">
        <w:t>.</w:t>
      </w:r>
      <w:r>
        <w:t xml:space="preserve"> </w:t>
      </w:r>
      <w:r w:rsidRPr="00CF494D">
        <w:rPr>
          <w:rFonts w:ascii="Arial" w:hAnsi="Arial" w:cs="Arial"/>
        </w:rPr>
        <w:t>(2016)</w:t>
      </w:r>
      <w:r>
        <w:t xml:space="preserve">; Gong and Breunig </w:t>
      </w:r>
      <w:r w:rsidRPr="00917459">
        <w:rPr>
          <w:rFonts w:ascii="Arial" w:hAnsi="Arial" w:cs="Arial"/>
        </w:rPr>
        <w:t>(2017)</w:t>
      </w:r>
      <w:r>
        <w:t xml:space="preserve">; Mumford et al. </w:t>
      </w:r>
      <w:r w:rsidRPr="00EF7448">
        <w:rPr>
          <w:rFonts w:ascii="Arial" w:hAnsi="Arial" w:cs="Arial"/>
        </w:rPr>
        <w:t>(2020)</w:t>
      </w:r>
      <w:r>
        <w:t xml:space="preserve">; NSW Productivity Commission </w:t>
      </w:r>
      <w:r w:rsidRPr="00684C43">
        <w:rPr>
          <w:rFonts w:ascii="Arial" w:hAnsi="Arial" w:cs="Arial"/>
        </w:rPr>
        <w:t>(2022)</w:t>
      </w:r>
      <w:r>
        <w:t>.</w:t>
      </w:r>
    </w:p>
    <w:p w14:paraId="75B08588" w14:textId="77777777" w:rsidR="008E7FC3" w:rsidRDefault="008E7FC3" w:rsidP="008E7FC3">
      <w:pPr>
        <w:pStyle w:val="BodyText"/>
      </w:pPr>
      <w:r>
        <w:t>The CAPITA-B with ECEC model</w:t>
      </w:r>
      <w:r w:rsidRPr="00893740" w:rsidDel="006A57B0">
        <w:t xml:space="preserve"> </w:t>
      </w:r>
      <w:r>
        <w:t>uses more recent data, from the 2019</w:t>
      </w:r>
      <w:r>
        <w:noBreakHyphen/>
        <w:t xml:space="preserve">20 SIH, linked with administrative CCS data. All other previous estimates in table G.9 used older data. For example, Gong and Breunig </w:t>
      </w:r>
      <w:r w:rsidRPr="000676D5">
        <w:rPr>
          <w:rFonts w:ascii="Arial" w:hAnsi="Arial" w:cs="Arial"/>
        </w:rPr>
        <w:t>(2017)</w:t>
      </w:r>
      <w:r>
        <w:t xml:space="preserve"> use HILDA data covering the years 2005</w:t>
      </w:r>
      <w:r>
        <w:noBreakHyphen/>
        <w:t xml:space="preserve">06 and Mumford et al. </w:t>
      </w:r>
      <w:r w:rsidRPr="00E01971">
        <w:rPr>
          <w:rFonts w:ascii="Arial" w:hAnsi="Arial" w:cs="Arial"/>
        </w:rPr>
        <w:t>(2020)</w:t>
      </w:r>
      <w:r>
        <w:t xml:space="preserve"> also use HILDA data covering the years 2003</w:t>
      </w:r>
      <w:r>
        <w:noBreakHyphen/>
        <w:t>04 to 2008</w:t>
      </w:r>
      <w:r>
        <w:noBreakHyphen/>
        <w:t>09.</w:t>
      </w:r>
    </w:p>
    <w:p w14:paraId="0FFFBA8E" w14:textId="77777777" w:rsidR="008E7FC3" w:rsidRPr="00893740" w:rsidRDefault="008E7FC3" w:rsidP="008E7FC3">
      <w:pPr>
        <w:pStyle w:val="BodyText"/>
      </w:pPr>
      <w:r>
        <w:t>Labour supply elasticities with respect to ECEC prices would be expected to change over time. This is due to changes to ECEC subsidy policies and in trends in the labour force participation rate of sole parents and partnered primary carer parents. ECEC subsidies have become more generous over the last 10–15 years, including with the introduction of the CCS in 2018. This means that the financial impact on families from a gross ECEC price change is lessened as a larger proportion is subsidised, thus leading to a smaller impact on out</w:t>
      </w:r>
      <w:r>
        <w:noBreakHyphen/>
        <w:t>of</w:t>
      </w:r>
      <w:r>
        <w:noBreakHyphen/>
        <w:t xml:space="preserve">pocket ECEC expenses. The dollar impact of a percentage increase in net ECEC prices is also smaller than it would have been under less generous subsidy schemes because net prices are starting from a lower base value. Further, the labour force participation rate of mothers has increased over time (paper 4) – there is less capacity for a reduction in ECEC prices to lead to large percentage increases in labour supply. </w:t>
      </w:r>
      <w:r>
        <w:lastRenderedPageBreak/>
        <w:t>These factors mean that the labour supply elasticity with respect to gross and net ECEC prices would be expected to be smaller now than in the past.</w:t>
      </w:r>
    </w:p>
    <w:p w14:paraId="60A48EB5" w14:textId="77777777" w:rsidR="008E7FC3" w:rsidRDefault="008E7FC3" w:rsidP="008E7FC3">
      <w:pPr>
        <w:pStyle w:val="BodyText"/>
      </w:pPr>
      <w:r>
        <w:t xml:space="preserve">Some other studies used a different the approach. Kalb and Lee </w:t>
      </w:r>
      <w:r w:rsidRPr="00737C0D">
        <w:rPr>
          <w:rFonts w:ascii="Arial" w:hAnsi="Arial" w:cs="Arial"/>
        </w:rPr>
        <w:t>(2008)</w:t>
      </w:r>
      <w:r>
        <w:t xml:space="preserve"> (which extends the methodology in Doiron and Kalb </w:t>
      </w:r>
      <w:r w:rsidRPr="00730D38">
        <w:rPr>
          <w:rFonts w:ascii="Arial" w:hAnsi="Arial" w:cs="Arial"/>
        </w:rPr>
        <w:t>(2005)</w:t>
      </w:r>
      <w:r>
        <w:t>) imputes total childcare costs for different levels of labour supply based on a childcare demand model, which is then incorporated in the estimation procedure of structural labour supply models for couple and sole parent families. CAPITA</w:t>
      </w:r>
      <w:r>
        <w:noBreakHyphen/>
        <w:t>B with ECEC</w:t>
      </w:r>
      <w:r w:rsidDel="00E34E22">
        <w:t xml:space="preserve"> </w:t>
      </w:r>
      <w:r>
        <w:t>estimates ECEC demand and labour supply hours simultaneously, so the results are less comparable.</w:t>
      </w:r>
    </w:p>
    <w:p w14:paraId="2403ADA4" w14:textId="77777777" w:rsidR="008E7FC3" w:rsidRDefault="008E7FC3" w:rsidP="008E7FC3">
      <w:pPr>
        <w:pStyle w:val="FigureTableHeading"/>
      </w:pPr>
      <w:r>
        <w:t xml:space="preserve">Table </w:t>
      </w:r>
      <w:r>
        <w:rPr>
          <w:noProof/>
        </w:rPr>
        <w:t>G</w:t>
      </w:r>
      <w:r>
        <w:t>.</w:t>
      </w:r>
      <w:r>
        <w:rPr>
          <w:noProof/>
        </w:rPr>
        <w:t>9 – Labour supply hours elasticity with respect to net ECEC prices</w:t>
      </w:r>
      <w:r w:rsidRPr="009023B1">
        <w:rPr>
          <w:noProof/>
          <w:vertAlign w:val="superscript"/>
        </w:rPr>
        <w:t>b</w:t>
      </w:r>
    </w:p>
    <w:tbl>
      <w:tblPr>
        <w:tblW w:w="992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750"/>
        <w:gridCol w:w="2126"/>
        <w:gridCol w:w="3213"/>
      </w:tblGrid>
      <w:tr w:rsidR="008E7FC3" w:rsidRPr="00030C67" w14:paraId="6B9A5234" w14:textId="77777777" w:rsidTr="00177648">
        <w:trPr>
          <w:tblHeader/>
        </w:trPr>
        <w:tc>
          <w:tcPr>
            <w:tcW w:w="2835" w:type="dxa"/>
            <w:tcBorders>
              <w:bottom w:val="single" w:sz="4" w:space="0" w:color="B3B3B3"/>
            </w:tcBorders>
            <w:shd w:val="clear" w:color="000000" w:fill="auto"/>
            <w:vAlign w:val="bottom"/>
          </w:tcPr>
          <w:p w14:paraId="3C293808" w14:textId="77777777" w:rsidR="008E7FC3" w:rsidRPr="003503D1" w:rsidRDefault="008E7FC3" w:rsidP="00177648">
            <w:pPr>
              <w:pStyle w:val="TableHeading"/>
            </w:pPr>
            <w:r w:rsidRPr="003503D1">
              <w:t>Author(s) </w:t>
            </w:r>
          </w:p>
        </w:tc>
        <w:tc>
          <w:tcPr>
            <w:tcW w:w="1750" w:type="dxa"/>
            <w:tcBorders>
              <w:bottom w:val="single" w:sz="4" w:space="0" w:color="B3B3B3"/>
            </w:tcBorders>
            <w:shd w:val="clear" w:color="000000" w:fill="auto"/>
            <w:vAlign w:val="bottom"/>
          </w:tcPr>
          <w:p w14:paraId="14576160" w14:textId="77777777" w:rsidR="008E7FC3" w:rsidRPr="00030C67" w:rsidRDefault="008E7FC3" w:rsidP="00177648">
            <w:pPr>
              <w:pStyle w:val="TableHeading"/>
            </w:pPr>
            <w:r w:rsidRPr="003503D1">
              <w:t>Children’s age </w:t>
            </w:r>
          </w:p>
        </w:tc>
        <w:tc>
          <w:tcPr>
            <w:tcW w:w="2126" w:type="dxa"/>
            <w:tcBorders>
              <w:bottom w:val="single" w:sz="4" w:space="0" w:color="B3B3B3"/>
            </w:tcBorders>
            <w:shd w:val="clear" w:color="000000" w:fill="auto"/>
            <w:vAlign w:val="bottom"/>
          </w:tcPr>
          <w:p w14:paraId="773F6AE0" w14:textId="77777777" w:rsidR="008E7FC3" w:rsidRPr="00030C67" w:rsidRDefault="008E7FC3" w:rsidP="00177648">
            <w:pPr>
              <w:pStyle w:val="TableHeading"/>
            </w:pPr>
            <w:r w:rsidRPr="003503D1">
              <w:t>Family type </w:t>
            </w:r>
          </w:p>
        </w:tc>
        <w:tc>
          <w:tcPr>
            <w:tcW w:w="3213" w:type="dxa"/>
            <w:tcBorders>
              <w:bottom w:val="single" w:sz="4" w:space="0" w:color="B3B3B3"/>
            </w:tcBorders>
            <w:shd w:val="clear" w:color="000000" w:fill="auto"/>
            <w:vAlign w:val="bottom"/>
          </w:tcPr>
          <w:p w14:paraId="56F40CC2" w14:textId="77777777" w:rsidR="008E7FC3" w:rsidRPr="00030C67" w:rsidRDefault="008E7FC3" w:rsidP="00177648">
            <w:pPr>
              <w:pStyle w:val="TableHeading"/>
            </w:pPr>
            <w:r w:rsidRPr="003503D1">
              <w:t xml:space="preserve">Effect of 1% increase in </w:t>
            </w:r>
            <w:r>
              <w:t>net</w:t>
            </w:r>
            <w:r w:rsidRPr="003503D1">
              <w:t xml:space="preserve"> ECEC prices on </w:t>
            </w:r>
            <w:r>
              <w:t>labour supply hours</w:t>
            </w:r>
          </w:p>
        </w:tc>
      </w:tr>
      <w:tr w:rsidR="008E7FC3" w:rsidRPr="00030C67" w14:paraId="5BAD840C" w14:textId="77777777" w:rsidTr="00177648">
        <w:tc>
          <w:tcPr>
            <w:tcW w:w="2835" w:type="dxa"/>
            <w:tcBorders>
              <w:top w:val="nil"/>
              <w:bottom w:val="nil"/>
            </w:tcBorders>
            <w:shd w:val="clear" w:color="000000" w:fill="F2F2F2"/>
          </w:tcPr>
          <w:p w14:paraId="1A508C07" w14:textId="77777777" w:rsidR="008E7FC3" w:rsidRPr="00030C67" w:rsidRDefault="008E7FC3" w:rsidP="00177648">
            <w:pPr>
              <w:pStyle w:val="TableHeading"/>
            </w:pPr>
            <w:r w:rsidRPr="003503D1">
              <w:t>PC (2024) </w:t>
            </w:r>
          </w:p>
        </w:tc>
        <w:tc>
          <w:tcPr>
            <w:tcW w:w="1750" w:type="dxa"/>
            <w:tcBorders>
              <w:top w:val="nil"/>
              <w:bottom w:val="nil"/>
            </w:tcBorders>
            <w:shd w:val="clear" w:color="000000" w:fill="F2F2F2"/>
          </w:tcPr>
          <w:p w14:paraId="1F18BB31"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top w:val="nil"/>
              <w:bottom w:val="nil"/>
            </w:tcBorders>
            <w:shd w:val="clear" w:color="000000" w:fill="F2F2F2"/>
          </w:tcPr>
          <w:p w14:paraId="12D207B1"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Both </w:t>
            </w:r>
          </w:p>
        </w:tc>
        <w:tc>
          <w:tcPr>
            <w:tcW w:w="3213" w:type="dxa"/>
            <w:tcBorders>
              <w:top w:val="nil"/>
              <w:bottom w:val="nil"/>
            </w:tcBorders>
            <w:shd w:val="clear" w:color="000000" w:fill="F2F2F2"/>
          </w:tcPr>
          <w:p w14:paraId="1E7DD051"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-0.0</w:t>
            </w:r>
            <w:r>
              <w:rPr>
                <w:rFonts w:ascii="Arial (Body)" w:hAnsi="Arial (Body)"/>
                <w:color w:val="000000"/>
              </w:rPr>
              <w:t>4</w:t>
            </w:r>
            <w:r w:rsidRPr="003503D1">
              <w:rPr>
                <w:rFonts w:ascii="Arial (Body)" w:hAnsi="Arial (Body)"/>
                <w:color w:val="000000"/>
              </w:rPr>
              <w:t>% </w:t>
            </w:r>
          </w:p>
        </w:tc>
      </w:tr>
      <w:tr w:rsidR="008E7FC3" w:rsidRPr="00030C67" w14:paraId="2FDB8778" w14:textId="77777777" w:rsidTr="00177648">
        <w:tc>
          <w:tcPr>
            <w:tcW w:w="2835" w:type="dxa"/>
            <w:tcBorders>
              <w:top w:val="nil"/>
              <w:bottom w:val="nil"/>
            </w:tcBorders>
            <w:shd w:val="clear" w:color="auto" w:fill="CBDDF2" w:themeFill="background2" w:themeFillTint="33"/>
          </w:tcPr>
          <w:p w14:paraId="2AAFAB49" w14:textId="77777777" w:rsidR="008E7FC3" w:rsidRPr="00030C67" w:rsidRDefault="008E7FC3" w:rsidP="00177648">
            <w:pPr>
              <w:pStyle w:val="TableHeading"/>
            </w:pPr>
          </w:p>
        </w:tc>
        <w:tc>
          <w:tcPr>
            <w:tcW w:w="1750" w:type="dxa"/>
            <w:tcBorders>
              <w:top w:val="nil"/>
              <w:bottom w:val="nil"/>
            </w:tcBorders>
            <w:shd w:val="clear" w:color="auto" w:fill="CBDDF2" w:themeFill="background2" w:themeFillTint="33"/>
          </w:tcPr>
          <w:p w14:paraId="304ACAB7" w14:textId="77777777" w:rsidR="008E7FC3" w:rsidRDefault="008E7FC3" w:rsidP="00177648">
            <w:pPr>
              <w:pStyle w:val="TableBody"/>
              <w:spacing w:before="45" w:after="45"/>
              <w:ind w:right="108"/>
              <w:rPr>
                <w:rFonts w:ascii="Arial (Body)" w:hAnsi="Arial (Body)"/>
                <w:color w:val="000000"/>
              </w:rPr>
            </w:pPr>
          </w:p>
        </w:tc>
        <w:tc>
          <w:tcPr>
            <w:tcW w:w="2126" w:type="dxa"/>
            <w:tcBorders>
              <w:top w:val="nil"/>
              <w:bottom w:val="nil"/>
            </w:tcBorders>
            <w:shd w:val="clear" w:color="auto" w:fill="CBDDF2" w:themeFill="background2" w:themeFillTint="33"/>
          </w:tcPr>
          <w:p w14:paraId="404F94FD" w14:textId="77777777" w:rsidR="008E7FC3" w:rsidRDefault="008E7FC3" w:rsidP="00177648">
            <w:pPr>
              <w:pStyle w:val="TableBody"/>
              <w:spacing w:before="45" w:after="45"/>
              <w:ind w:right="108"/>
              <w:rPr>
                <w:rFonts w:ascii="Arial (Body)" w:hAnsi="Arial (Body)"/>
                <w:color w:val="000000"/>
              </w:rPr>
            </w:pPr>
          </w:p>
        </w:tc>
        <w:tc>
          <w:tcPr>
            <w:tcW w:w="3213" w:type="dxa"/>
            <w:tcBorders>
              <w:top w:val="nil"/>
              <w:bottom w:val="nil"/>
            </w:tcBorders>
            <w:shd w:val="clear" w:color="auto" w:fill="CBDDF2" w:themeFill="background2" w:themeFillTint="33"/>
          </w:tcPr>
          <w:p w14:paraId="481384D4" w14:textId="77777777" w:rsidR="008E7FC3" w:rsidRDefault="008E7FC3" w:rsidP="00177648">
            <w:pPr>
              <w:pStyle w:val="TableBody"/>
              <w:spacing w:before="45" w:after="45"/>
              <w:ind w:right="108"/>
              <w:rPr>
                <w:rFonts w:ascii="Arial (Body)" w:hAnsi="Arial (Body)"/>
                <w:color w:val="000000"/>
              </w:rPr>
            </w:pPr>
          </w:p>
        </w:tc>
      </w:tr>
      <w:tr w:rsidR="008E7FC3" w:rsidRPr="00030C67" w14:paraId="5A9E03F8" w14:textId="77777777" w:rsidTr="00177648">
        <w:tc>
          <w:tcPr>
            <w:tcW w:w="2835" w:type="dxa"/>
            <w:tcBorders>
              <w:top w:val="nil"/>
              <w:bottom w:val="nil"/>
            </w:tcBorders>
            <w:shd w:val="clear" w:color="000000" w:fill="F2F2F2"/>
          </w:tcPr>
          <w:p w14:paraId="13E8C0E4" w14:textId="77777777" w:rsidR="008E7FC3" w:rsidRPr="00030C67" w:rsidRDefault="008E7FC3" w:rsidP="00177648">
            <w:pPr>
              <w:pStyle w:val="TableHeading"/>
            </w:pPr>
            <w:r w:rsidRPr="003503D1">
              <w:t>Kalb and Lee (2008) </w:t>
            </w:r>
          </w:p>
        </w:tc>
        <w:tc>
          <w:tcPr>
            <w:tcW w:w="1750" w:type="dxa"/>
            <w:tcBorders>
              <w:top w:val="nil"/>
              <w:bottom w:val="nil"/>
            </w:tcBorders>
            <w:shd w:val="clear" w:color="000000" w:fill="F2F2F2"/>
          </w:tcPr>
          <w:p w14:paraId="633CAA71"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top w:val="nil"/>
              <w:bottom w:val="nil"/>
            </w:tcBorders>
            <w:shd w:val="clear" w:color="000000" w:fill="F2F2F2"/>
          </w:tcPr>
          <w:p w14:paraId="2963930F"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Partnered </w:t>
            </w:r>
          </w:p>
        </w:tc>
        <w:tc>
          <w:tcPr>
            <w:tcW w:w="3213" w:type="dxa"/>
            <w:tcBorders>
              <w:top w:val="nil"/>
              <w:bottom w:val="nil"/>
            </w:tcBorders>
            <w:shd w:val="clear" w:color="000000" w:fill="F2F2F2"/>
          </w:tcPr>
          <w:p w14:paraId="6C0D7067"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-0.03</w:t>
            </w:r>
            <w:r w:rsidRPr="003503D1">
              <w:rPr>
                <w:rFonts w:ascii="Arial (Body)" w:hAnsi="Arial (Body)"/>
                <w:color w:val="000000"/>
              </w:rPr>
              <w:t>%</w:t>
            </w:r>
          </w:p>
        </w:tc>
      </w:tr>
      <w:tr w:rsidR="008E7FC3" w:rsidRPr="00030C67" w14:paraId="4C74F11E" w14:textId="77777777" w:rsidTr="00177648">
        <w:tc>
          <w:tcPr>
            <w:tcW w:w="2835" w:type="dxa"/>
            <w:tcBorders>
              <w:top w:val="nil"/>
              <w:bottom w:val="nil"/>
            </w:tcBorders>
            <w:shd w:val="clear" w:color="auto" w:fill="FFFFFF" w:themeFill="background1"/>
          </w:tcPr>
          <w:p w14:paraId="7B0B384D" w14:textId="77777777" w:rsidR="008E7FC3" w:rsidRPr="00030C67" w:rsidRDefault="008E7FC3" w:rsidP="00177648">
            <w:pPr>
              <w:pStyle w:val="TableHeading"/>
            </w:pPr>
            <w:r w:rsidRPr="003503D1">
              <w:t>Doiron and Kalb (2005) </w:t>
            </w:r>
          </w:p>
        </w:tc>
        <w:tc>
          <w:tcPr>
            <w:tcW w:w="1750" w:type="dxa"/>
            <w:tcBorders>
              <w:top w:val="nil"/>
              <w:bottom w:val="nil"/>
            </w:tcBorders>
            <w:shd w:val="clear" w:color="auto" w:fill="FFFFFF" w:themeFill="background1"/>
          </w:tcPr>
          <w:p w14:paraId="787BE1CC"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top w:val="nil"/>
              <w:bottom w:val="nil"/>
            </w:tcBorders>
            <w:shd w:val="clear" w:color="auto" w:fill="FFFFFF" w:themeFill="background1"/>
          </w:tcPr>
          <w:p w14:paraId="43924AD1"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Partnered </w:t>
            </w:r>
          </w:p>
        </w:tc>
        <w:tc>
          <w:tcPr>
            <w:tcW w:w="3213" w:type="dxa"/>
            <w:tcBorders>
              <w:top w:val="nil"/>
              <w:bottom w:val="nil"/>
            </w:tcBorders>
            <w:shd w:val="clear" w:color="auto" w:fill="FFFFFF" w:themeFill="background1"/>
          </w:tcPr>
          <w:p w14:paraId="5E4D0991"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-0.0</w:t>
            </w:r>
            <w:r>
              <w:rPr>
                <w:rFonts w:ascii="Arial (Body)" w:hAnsi="Arial (Body)"/>
                <w:color w:val="000000"/>
              </w:rPr>
              <w:t>3</w:t>
            </w:r>
            <w:r w:rsidRPr="003503D1">
              <w:rPr>
                <w:rFonts w:ascii="Arial (Body)" w:hAnsi="Arial (Body)"/>
                <w:color w:val="000000"/>
              </w:rPr>
              <w:t>% </w:t>
            </w:r>
          </w:p>
        </w:tc>
      </w:tr>
      <w:tr w:rsidR="008E7FC3" w:rsidRPr="00030C67" w14:paraId="66D297BC" w14:textId="77777777" w:rsidTr="00177648">
        <w:tc>
          <w:tcPr>
            <w:tcW w:w="2835" w:type="dxa"/>
            <w:tcBorders>
              <w:top w:val="nil"/>
              <w:bottom w:val="nil"/>
            </w:tcBorders>
            <w:shd w:val="clear" w:color="000000" w:fill="F2F2F2"/>
          </w:tcPr>
          <w:p w14:paraId="3D52E5E3" w14:textId="77777777" w:rsidR="008E7FC3" w:rsidRPr="00030C67" w:rsidRDefault="008E7FC3" w:rsidP="00177648">
            <w:pPr>
              <w:pStyle w:val="TableHeading"/>
            </w:pPr>
            <w:r w:rsidRPr="003503D1">
              <w:t>Apps et al. (2016) </w:t>
            </w:r>
          </w:p>
        </w:tc>
        <w:tc>
          <w:tcPr>
            <w:tcW w:w="1750" w:type="dxa"/>
            <w:tcBorders>
              <w:top w:val="nil"/>
              <w:bottom w:val="nil"/>
            </w:tcBorders>
            <w:shd w:val="clear" w:color="000000" w:fill="F2F2F2"/>
          </w:tcPr>
          <w:p w14:paraId="304A1513"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–4</w:t>
            </w:r>
            <w:r w:rsidRPr="00522577">
              <w:rPr>
                <w:rFonts w:ascii="Arial (Body)" w:hAnsi="Arial (Body)"/>
                <w:color w:val="000000"/>
                <w:vertAlign w:val="superscript"/>
              </w:rPr>
              <w:t>a</w:t>
            </w:r>
          </w:p>
        </w:tc>
        <w:tc>
          <w:tcPr>
            <w:tcW w:w="2126" w:type="dxa"/>
            <w:tcBorders>
              <w:top w:val="nil"/>
              <w:bottom w:val="nil"/>
            </w:tcBorders>
            <w:shd w:val="clear" w:color="000000" w:fill="F2F2F2"/>
          </w:tcPr>
          <w:p w14:paraId="25174B0D"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Partnered </w:t>
            </w:r>
          </w:p>
        </w:tc>
        <w:tc>
          <w:tcPr>
            <w:tcW w:w="3213" w:type="dxa"/>
            <w:tcBorders>
              <w:top w:val="nil"/>
              <w:bottom w:val="nil"/>
            </w:tcBorders>
            <w:shd w:val="clear" w:color="000000" w:fill="F2F2F2"/>
          </w:tcPr>
          <w:p w14:paraId="09A700B3"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17</w:t>
            </w:r>
            <w:r w:rsidRPr="003503D1">
              <w:rPr>
                <w:rFonts w:ascii="Arial (Body)" w:hAnsi="Arial (Body)"/>
                <w:color w:val="000000"/>
              </w:rPr>
              <w:t>% </w:t>
            </w:r>
          </w:p>
        </w:tc>
      </w:tr>
      <w:tr w:rsidR="008E7FC3" w:rsidRPr="00030C67" w14:paraId="619D12A7" w14:textId="77777777" w:rsidTr="00177648">
        <w:tc>
          <w:tcPr>
            <w:tcW w:w="2835" w:type="dxa"/>
            <w:tcBorders>
              <w:top w:val="nil"/>
              <w:bottom w:val="nil"/>
            </w:tcBorders>
            <w:shd w:val="clear" w:color="auto" w:fill="FFFFFF" w:themeFill="background1"/>
          </w:tcPr>
          <w:p w14:paraId="3813F6CA" w14:textId="77777777" w:rsidR="008E7FC3" w:rsidRPr="00030C67" w:rsidRDefault="008E7FC3" w:rsidP="00177648">
            <w:pPr>
              <w:pStyle w:val="TableHeading"/>
            </w:pPr>
            <w:r w:rsidRPr="003503D1">
              <w:t>Gong and Breunig (2017) </w:t>
            </w:r>
          </w:p>
        </w:tc>
        <w:tc>
          <w:tcPr>
            <w:tcW w:w="1750" w:type="dxa"/>
            <w:tcBorders>
              <w:top w:val="nil"/>
              <w:bottom w:val="nil"/>
            </w:tcBorders>
            <w:shd w:val="clear" w:color="auto" w:fill="FFFFFF" w:themeFill="background1"/>
          </w:tcPr>
          <w:p w14:paraId="70EF8802"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5</w:t>
            </w:r>
          </w:p>
        </w:tc>
        <w:tc>
          <w:tcPr>
            <w:tcW w:w="2126" w:type="dxa"/>
            <w:tcBorders>
              <w:top w:val="nil"/>
              <w:bottom w:val="nil"/>
            </w:tcBorders>
            <w:shd w:val="clear" w:color="auto" w:fill="FFFFFF" w:themeFill="background1"/>
          </w:tcPr>
          <w:p w14:paraId="3041B2C2"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Partnered </w:t>
            </w:r>
          </w:p>
        </w:tc>
        <w:tc>
          <w:tcPr>
            <w:tcW w:w="3213" w:type="dxa"/>
            <w:tcBorders>
              <w:top w:val="nil"/>
              <w:bottom w:val="nil"/>
            </w:tcBorders>
            <w:shd w:val="clear" w:color="auto" w:fill="FFFFFF" w:themeFill="background1"/>
          </w:tcPr>
          <w:p w14:paraId="63738408"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08</w:t>
            </w:r>
            <w:r w:rsidRPr="003503D1">
              <w:rPr>
                <w:rFonts w:ascii="Arial (Body)" w:hAnsi="Arial (Body)"/>
                <w:color w:val="000000"/>
              </w:rPr>
              <w:t>% </w:t>
            </w:r>
          </w:p>
        </w:tc>
      </w:tr>
      <w:tr w:rsidR="008E7FC3" w:rsidRPr="00030C67" w14:paraId="208C6078" w14:textId="77777777" w:rsidTr="00177648">
        <w:tc>
          <w:tcPr>
            <w:tcW w:w="2835" w:type="dxa"/>
            <w:tcBorders>
              <w:top w:val="nil"/>
              <w:bottom w:val="nil"/>
            </w:tcBorders>
            <w:shd w:val="clear" w:color="auto" w:fill="F2F2F2"/>
          </w:tcPr>
          <w:p w14:paraId="61E17226" w14:textId="77777777" w:rsidR="008E7FC3" w:rsidRPr="00030C67" w:rsidRDefault="008E7FC3" w:rsidP="00177648">
            <w:pPr>
              <w:pStyle w:val="TableHeading"/>
            </w:pPr>
            <w:r w:rsidRPr="003503D1">
              <w:t>Kalb and Lee (2008) </w:t>
            </w:r>
          </w:p>
        </w:tc>
        <w:tc>
          <w:tcPr>
            <w:tcW w:w="1750" w:type="dxa"/>
            <w:tcBorders>
              <w:top w:val="nil"/>
              <w:bottom w:val="nil"/>
            </w:tcBorders>
            <w:shd w:val="clear" w:color="auto" w:fill="F2F2F2"/>
          </w:tcPr>
          <w:p w14:paraId="20E501B6" w14:textId="77777777" w:rsidR="008E7FC3"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top w:val="nil"/>
              <w:bottom w:val="nil"/>
            </w:tcBorders>
            <w:shd w:val="clear" w:color="auto" w:fill="F2F2F2"/>
          </w:tcPr>
          <w:p w14:paraId="0C7F57CC"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Sole </w:t>
            </w:r>
          </w:p>
        </w:tc>
        <w:tc>
          <w:tcPr>
            <w:tcW w:w="3213" w:type="dxa"/>
            <w:tcBorders>
              <w:top w:val="nil"/>
              <w:bottom w:val="nil"/>
            </w:tcBorders>
            <w:shd w:val="clear" w:color="auto" w:fill="F2F2F2"/>
          </w:tcPr>
          <w:p w14:paraId="0C57D4D3"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-0.1</w:t>
            </w:r>
            <w:r>
              <w:rPr>
                <w:rFonts w:ascii="Arial (Body)" w:hAnsi="Arial (Body)"/>
                <w:color w:val="000000"/>
              </w:rPr>
              <w:t>4</w:t>
            </w:r>
            <w:r w:rsidRPr="003503D1">
              <w:rPr>
                <w:rFonts w:ascii="Arial (Body)" w:hAnsi="Arial (Body)"/>
                <w:color w:val="000000"/>
              </w:rPr>
              <w:t>% </w:t>
            </w:r>
          </w:p>
        </w:tc>
      </w:tr>
      <w:tr w:rsidR="008E7FC3" w:rsidRPr="00030C67" w14:paraId="0115FEB9" w14:textId="77777777" w:rsidTr="00177648">
        <w:tc>
          <w:tcPr>
            <w:tcW w:w="2835" w:type="dxa"/>
            <w:tcBorders>
              <w:bottom w:val="single" w:sz="4" w:space="0" w:color="B3B3B3"/>
            </w:tcBorders>
            <w:shd w:val="clear" w:color="000000" w:fill="FFFFFF" w:themeFill="background1"/>
          </w:tcPr>
          <w:p w14:paraId="445DAFD0" w14:textId="77777777" w:rsidR="008E7FC3" w:rsidRPr="00030C67" w:rsidRDefault="008E7FC3" w:rsidP="00177648">
            <w:pPr>
              <w:pStyle w:val="TableHeading"/>
            </w:pPr>
            <w:r w:rsidRPr="003503D1">
              <w:t>Doiron and Kalb (2005) </w:t>
            </w:r>
          </w:p>
        </w:tc>
        <w:tc>
          <w:tcPr>
            <w:tcW w:w="1750" w:type="dxa"/>
            <w:tcBorders>
              <w:bottom w:val="single" w:sz="4" w:space="0" w:color="B3B3B3"/>
            </w:tcBorders>
            <w:shd w:val="clear" w:color="000000" w:fill="FFFFFF" w:themeFill="background1"/>
          </w:tcPr>
          <w:p w14:paraId="592E9EB2" w14:textId="77777777" w:rsidR="008E7FC3" w:rsidRPr="00030C67" w:rsidRDefault="008E7FC3" w:rsidP="00177648">
            <w:pPr>
              <w:pStyle w:val="TableBody"/>
              <w:spacing w:before="45" w:after="45"/>
              <w:ind w:right="108"/>
              <w:rPr>
                <w:rFonts w:ascii="Arial (Body)" w:hAnsi="Arial (Body)"/>
                <w:color w:val="000000"/>
              </w:rPr>
            </w:pPr>
            <w:r>
              <w:rPr>
                <w:rFonts w:ascii="Arial (Body)" w:hAnsi="Arial (Body)"/>
                <w:color w:val="000000"/>
              </w:rPr>
              <w:t>0–12</w:t>
            </w:r>
          </w:p>
        </w:tc>
        <w:tc>
          <w:tcPr>
            <w:tcW w:w="2126" w:type="dxa"/>
            <w:tcBorders>
              <w:bottom w:val="single" w:sz="4" w:space="0" w:color="B3B3B3"/>
            </w:tcBorders>
            <w:shd w:val="clear" w:color="000000" w:fill="FFFFFF" w:themeFill="background1"/>
          </w:tcPr>
          <w:p w14:paraId="6C8AEE39" w14:textId="77777777" w:rsidR="008E7FC3" w:rsidRPr="00030C67" w:rsidRDefault="008E7FC3" w:rsidP="00177648">
            <w:pPr>
              <w:pStyle w:val="TableBody"/>
              <w:spacing w:before="45" w:after="45"/>
              <w:ind w:right="108"/>
              <w:rPr>
                <w:rFonts w:ascii="Arial (Body)" w:hAnsi="Arial (Body)"/>
                <w:color w:val="000000"/>
              </w:rPr>
            </w:pPr>
            <w:r w:rsidRPr="003503D1">
              <w:rPr>
                <w:rFonts w:ascii="Arial (Body)" w:hAnsi="Arial (Body)"/>
                <w:color w:val="000000"/>
              </w:rPr>
              <w:t>Sole </w:t>
            </w:r>
          </w:p>
        </w:tc>
        <w:tc>
          <w:tcPr>
            <w:tcW w:w="3213" w:type="dxa"/>
            <w:tcBorders>
              <w:bottom w:val="single" w:sz="4" w:space="0" w:color="B3B3B3"/>
            </w:tcBorders>
            <w:shd w:val="clear" w:color="000000" w:fill="FFFFFF" w:themeFill="background1"/>
          </w:tcPr>
          <w:p w14:paraId="28E1FF90" w14:textId="77777777" w:rsidR="008E7FC3" w:rsidRDefault="008E7FC3" w:rsidP="00177648">
            <w:pPr>
              <w:pStyle w:val="TableBody"/>
              <w:spacing w:before="45" w:after="45"/>
              <w:ind w:right="108"/>
              <w:rPr>
                <w:rFonts w:ascii="Arial (Body)" w:hAnsi="Arial (Body)"/>
                <w:color w:val="000000"/>
              </w:rPr>
            </w:pPr>
            <w:r w:rsidRPr="003503D1">
              <w:rPr>
                <w:rFonts w:ascii="Arial (Body)" w:hAnsi="Arial (Body)"/>
                <w:color w:val="000000"/>
              </w:rPr>
              <w:t>-0.</w:t>
            </w:r>
            <w:r>
              <w:rPr>
                <w:rFonts w:ascii="Arial (Body)" w:hAnsi="Arial (Body)"/>
                <w:color w:val="000000"/>
              </w:rPr>
              <w:t>1</w:t>
            </w:r>
            <w:r w:rsidRPr="003503D1">
              <w:rPr>
                <w:rFonts w:ascii="Arial (Body)" w:hAnsi="Arial (Body)"/>
                <w:color w:val="000000"/>
              </w:rPr>
              <w:t>5% </w:t>
            </w:r>
          </w:p>
        </w:tc>
      </w:tr>
    </w:tbl>
    <w:p w14:paraId="43D9B6A7"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t>–</w:t>
      </w:r>
      <w:r w:rsidRPr="00C847EB">
        <w:t xml:space="preserve">5. To be conservative, </w:t>
      </w:r>
      <w:r>
        <w:t xml:space="preserve">children aged </w:t>
      </w:r>
      <w:r w:rsidRPr="00C847EB">
        <w:t>0</w:t>
      </w:r>
      <w:r>
        <w:t>–</w:t>
      </w:r>
      <w:r w:rsidRPr="00C847EB">
        <w:t xml:space="preserve">4 </w:t>
      </w:r>
      <w:r>
        <w:t>were</w:t>
      </w:r>
      <w:r w:rsidRPr="00C847EB">
        <w:t xml:space="preserve"> </w:t>
      </w:r>
      <w:r>
        <w:t>included</w:t>
      </w:r>
      <w:r w:rsidRPr="00C847EB">
        <w:t xml:space="preserve"> in this table</w:t>
      </w:r>
      <w:r w:rsidRPr="00522577">
        <w:t>.</w:t>
      </w:r>
      <w:r>
        <w:t xml:space="preserve"> </w:t>
      </w:r>
      <w:r w:rsidRPr="009023B1">
        <w:rPr>
          <w:b/>
          <w:bCs/>
        </w:rPr>
        <w:t>b.</w:t>
      </w:r>
      <w:r>
        <w:t xml:space="preserve"> The net ECEC price elasticity was estimating by simulating an increase in out</w:t>
      </w:r>
      <w:r>
        <w:noBreakHyphen/>
        <w:t>of</w:t>
      </w:r>
      <w:r>
        <w:noBreakHyphen/>
        <w:t>pocket ECEC expenses.</w:t>
      </w:r>
    </w:p>
    <w:p w14:paraId="12410E65" w14:textId="77777777" w:rsidR="008E7FC3" w:rsidRDefault="008E7FC3" w:rsidP="008E7FC3">
      <w:pPr>
        <w:pStyle w:val="Source"/>
      </w:pPr>
      <w:r w:rsidRPr="00696447">
        <w:t xml:space="preserve">Source: </w:t>
      </w:r>
      <w:r>
        <w:t xml:space="preserve">Productivity Commission estimates; Kalb and Lee </w:t>
      </w:r>
      <w:r w:rsidRPr="00D94D16">
        <w:rPr>
          <w:rFonts w:ascii="Arial" w:hAnsi="Arial" w:cs="Arial"/>
        </w:rPr>
        <w:t>(2008)</w:t>
      </w:r>
      <w:r>
        <w:t xml:space="preserve">; Doiron and Kalb </w:t>
      </w:r>
      <w:r w:rsidRPr="00D75BF4">
        <w:rPr>
          <w:rFonts w:ascii="Arial" w:hAnsi="Arial" w:cs="Arial"/>
        </w:rPr>
        <w:t>(2005)</w:t>
      </w:r>
      <w:r>
        <w:t>; Apps et al</w:t>
      </w:r>
      <w:r w:rsidRPr="00696447">
        <w:t>.</w:t>
      </w:r>
      <w:r>
        <w:t xml:space="preserve"> </w:t>
      </w:r>
      <w:r w:rsidRPr="00CF494D">
        <w:rPr>
          <w:rFonts w:ascii="Arial" w:hAnsi="Arial" w:cs="Arial"/>
        </w:rPr>
        <w:t>(2016)</w:t>
      </w:r>
      <w:r>
        <w:t xml:space="preserve">; Gong and Breunig </w:t>
      </w:r>
      <w:r w:rsidRPr="00917459">
        <w:rPr>
          <w:rFonts w:ascii="Arial" w:hAnsi="Arial" w:cs="Arial"/>
        </w:rPr>
        <w:t>(2017)</w:t>
      </w:r>
      <w:r>
        <w:t>.</w:t>
      </w:r>
    </w:p>
    <w:p w14:paraId="64D202F2" w14:textId="77777777" w:rsidR="008E7FC3" w:rsidRPr="00651253" w:rsidRDefault="008E7FC3" w:rsidP="008E7FC3">
      <w:pPr>
        <w:pStyle w:val="BodyText"/>
        <w:rPr>
          <w:spacing w:val="-2"/>
        </w:rPr>
      </w:pPr>
      <w:r>
        <w:t>The Commission’s estimated net ECEC price elasticity is larger than the gross ECEC price elasticity, unlike in some past studies. The change from past studies reflects changes in subsidy regimes over time and that the out</w:t>
      </w:r>
      <w:r>
        <w:noBreakHyphen/>
        <w:t>of</w:t>
      </w:r>
      <w:r>
        <w:noBreakHyphen/>
        <w:t>pocket ECEC expense (the net price) is now more closely tied to gross prices</w:t>
      </w:r>
      <w:r w:rsidRPr="002A0D86">
        <w:t>.</w:t>
      </w:r>
      <w:r>
        <w:t xml:space="preserve"> </w:t>
      </w:r>
      <w:r w:rsidRPr="002A0D86">
        <w:t xml:space="preserve">For the majority of families, the CCS subsidises families’ gross ECEC expenses by a percentage determined by family income. </w:t>
      </w:r>
      <w:r w:rsidRPr="00966E8F">
        <w:rPr>
          <w:spacing w:val="-2"/>
        </w:rPr>
        <w:t>This means that the net ECEC</w:t>
      </w:r>
      <w:r w:rsidRPr="002A0D86">
        <w:t xml:space="preserve"> price or net out</w:t>
      </w:r>
      <w:r w:rsidRPr="002A0D86">
        <w:noBreakHyphen/>
        <w:t>of</w:t>
      </w:r>
      <w:r w:rsidRPr="002A0D86">
        <w:noBreakHyphen/>
        <w:t xml:space="preserve">pocket ECEC expense will, for the majority of families, always be a function of their gross </w:t>
      </w:r>
      <w:r w:rsidRPr="00651253">
        <w:rPr>
          <w:spacing w:val="-2"/>
        </w:rPr>
        <w:t>ECEC price. Previous subsid</w:t>
      </w:r>
      <w:r>
        <w:rPr>
          <w:spacing w:val="-2"/>
        </w:rPr>
        <w:t>y regimes</w:t>
      </w:r>
      <w:r w:rsidRPr="00651253">
        <w:rPr>
          <w:spacing w:val="-2"/>
        </w:rPr>
        <w:t xml:space="preserve"> such as Child Care Benefit and Child Care Rebate were structured differently</w:t>
      </w:r>
      <w:r>
        <w:rPr>
          <w:spacing w:val="-2"/>
        </w:rPr>
        <w:t xml:space="preserve"> (appendix D)</w:t>
      </w:r>
      <w:r w:rsidRPr="00651253">
        <w:rPr>
          <w:spacing w:val="-2"/>
        </w:rPr>
        <w:t>.</w:t>
      </w:r>
    </w:p>
    <w:p w14:paraId="67C7D7FA" w14:textId="77777777" w:rsidR="008E7FC3" w:rsidRDefault="008E7FC3" w:rsidP="008E7FC3">
      <w:pPr>
        <w:pStyle w:val="BodyText"/>
      </w:pPr>
      <w:r>
        <w:t>The estimated ECEC demand elasticity with respect to gross ECEC prices has the expected negative sign (table G.10). More expensive ECEC is expected reduce demand for ECEC.</w:t>
      </w:r>
      <w:r w:rsidDel="003F6320">
        <w:t xml:space="preserve"> </w:t>
      </w:r>
      <w:r>
        <w:t>This estimated elasticity is smaller than estimates in past studies. Both changes in subsidy regimes and trends over time and differences in methodologies between studies (described above), explain these differences.</w:t>
      </w:r>
    </w:p>
    <w:p w14:paraId="78B57865" w14:textId="77777777" w:rsidR="008E7FC3" w:rsidRPr="00BB436B" w:rsidRDefault="008E7FC3" w:rsidP="008E7FC3">
      <w:pPr>
        <w:pStyle w:val="BodyText"/>
      </w:pPr>
      <w:r w:rsidRPr="00BB436B">
        <w:br w:type="page"/>
      </w:r>
    </w:p>
    <w:p w14:paraId="64D8AE14" w14:textId="77777777" w:rsidR="008E7FC3" w:rsidRDefault="008E7FC3" w:rsidP="008E7FC3">
      <w:pPr>
        <w:pStyle w:val="FigureTableHeading"/>
      </w:pPr>
      <w:r>
        <w:lastRenderedPageBreak/>
        <w:t xml:space="preserve">Table </w:t>
      </w:r>
      <w:r>
        <w:rPr>
          <w:noProof/>
        </w:rPr>
        <w:t>G</w:t>
      </w:r>
      <w:r>
        <w:t>.</w:t>
      </w:r>
      <w:r>
        <w:rPr>
          <w:noProof/>
        </w:rPr>
        <w:t>10 – ECEC demand hours elasticity with respect to gross ECEC prices</w:t>
      </w:r>
    </w:p>
    <w:tbl>
      <w:tblPr>
        <w:tblW w:w="992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750"/>
        <w:gridCol w:w="2126"/>
        <w:gridCol w:w="3213"/>
      </w:tblGrid>
      <w:tr w:rsidR="008E7FC3" w:rsidRPr="00030C67" w14:paraId="33987602" w14:textId="77777777" w:rsidTr="00177648">
        <w:trPr>
          <w:tblHeader/>
        </w:trPr>
        <w:tc>
          <w:tcPr>
            <w:tcW w:w="2835" w:type="dxa"/>
            <w:tcBorders>
              <w:bottom w:val="single" w:sz="4" w:space="0" w:color="B3B3B3"/>
            </w:tcBorders>
            <w:shd w:val="clear" w:color="000000" w:fill="auto"/>
            <w:vAlign w:val="bottom"/>
          </w:tcPr>
          <w:p w14:paraId="679B2AFA" w14:textId="77777777" w:rsidR="008E7FC3" w:rsidRPr="003503D1" w:rsidRDefault="008E7FC3" w:rsidP="00177648">
            <w:pPr>
              <w:pStyle w:val="TableHeading"/>
            </w:pPr>
            <w:r w:rsidRPr="003503D1">
              <w:t>Author(s)</w:t>
            </w:r>
          </w:p>
        </w:tc>
        <w:tc>
          <w:tcPr>
            <w:tcW w:w="1750" w:type="dxa"/>
            <w:tcBorders>
              <w:bottom w:val="single" w:sz="4" w:space="0" w:color="B3B3B3"/>
            </w:tcBorders>
            <w:shd w:val="clear" w:color="000000" w:fill="auto"/>
            <w:vAlign w:val="bottom"/>
          </w:tcPr>
          <w:p w14:paraId="46CCA05F" w14:textId="77777777" w:rsidR="008E7FC3" w:rsidRPr="00030C67" w:rsidRDefault="008E7FC3" w:rsidP="00177648">
            <w:pPr>
              <w:pStyle w:val="TableHeading"/>
              <w:jc w:val="right"/>
            </w:pPr>
            <w:r w:rsidRPr="003503D1">
              <w:t>Children’s age</w:t>
            </w:r>
          </w:p>
        </w:tc>
        <w:tc>
          <w:tcPr>
            <w:tcW w:w="2126" w:type="dxa"/>
            <w:tcBorders>
              <w:bottom w:val="single" w:sz="4" w:space="0" w:color="B3B3B3"/>
            </w:tcBorders>
            <w:shd w:val="clear" w:color="000000" w:fill="auto"/>
            <w:vAlign w:val="bottom"/>
          </w:tcPr>
          <w:p w14:paraId="33313767" w14:textId="77777777" w:rsidR="008E7FC3" w:rsidRPr="00030C67" w:rsidRDefault="008E7FC3" w:rsidP="00177648">
            <w:pPr>
              <w:pStyle w:val="TableHeading"/>
              <w:jc w:val="right"/>
            </w:pPr>
            <w:r w:rsidRPr="003503D1">
              <w:t>Family type</w:t>
            </w:r>
          </w:p>
        </w:tc>
        <w:tc>
          <w:tcPr>
            <w:tcW w:w="3213" w:type="dxa"/>
            <w:tcBorders>
              <w:bottom w:val="single" w:sz="4" w:space="0" w:color="B3B3B3"/>
            </w:tcBorders>
            <w:shd w:val="clear" w:color="000000" w:fill="auto"/>
            <w:vAlign w:val="bottom"/>
          </w:tcPr>
          <w:p w14:paraId="02272A90" w14:textId="5B2CFFCC" w:rsidR="008E7FC3" w:rsidRPr="00030C67" w:rsidRDefault="008E7FC3" w:rsidP="00177648">
            <w:pPr>
              <w:pStyle w:val="TableHeading"/>
              <w:jc w:val="right"/>
            </w:pPr>
            <w:r w:rsidRPr="003503D1">
              <w:t xml:space="preserve">Effect of 1% increase in gross ECEC prices on </w:t>
            </w:r>
            <w:r>
              <w:t>ECEC</w:t>
            </w:r>
            <w:r w:rsidR="00B46C1D">
              <w:t xml:space="preserve"> </w:t>
            </w:r>
            <w:r w:rsidR="00B46C1D">
              <w:t>demand</w:t>
            </w:r>
            <w:r>
              <w:t xml:space="preserve"> </w:t>
            </w:r>
            <w:r w:rsidRPr="003503D1">
              <w:t xml:space="preserve">hours </w:t>
            </w:r>
          </w:p>
        </w:tc>
      </w:tr>
      <w:tr w:rsidR="008E7FC3" w:rsidRPr="00030C67" w14:paraId="6321EBD5" w14:textId="77777777" w:rsidTr="00177648">
        <w:tc>
          <w:tcPr>
            <w:tcW w:w="2835" w:type="dxa"/>
            <w:tcBorders>
              <w:top w:val="single" w:sz="4" w:space="0" w:color="B3B3B3"/>
              <w:bottom w:val="nil"/>
            </w:tcBorders>
            <w:shd w:val="clear" w:color="000000" w:fill="F2F2F2"/>
          </w:tcPr>
          <w:p w14:paraId="7AF3FE32" w14:textId="77777777" w:rsidR="008E7FC3" w:rsidRPr="00030C67" w:rsidRDefault="008E7FC3" w:rsidP="00177648">
            <w:pPr>
              <w:pStyle w:val="TableHeading"/>
            </w:pPr>
            <w:r w:rsidRPr="003503D1">
              <w:t>PC (2024)</w:t>
            </w:r>
          </w:p>
        </w:tc>
        <w:tc>
          <w:tcPr>
            <w:tcW w:w="1750" w:type="dxa"/>
            <w:tcBorders>
              <w:top w:val="single" w:sz="4" w:space="0" w:color="B3B3B3"/>
              <w:bottom w:val="nil"/>
            </w:tcBorders>
            <w:shd w:val="clear" w:color="000000" w:fill="F2F2F2"/>
            <w:vAlign w:val="bottom"/>
          </w:tcPr>
          <w:p w14:paraId="7D6BC257"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single" w:sz="4" w:space="0" w:color="B3B3B3"/>
              <w:bottom w:val="nil"/>
            </w:tcBorders>
            <w:shd w:val="clear" w:color="000000" w:fill="F2F2F2"/>
            <w:vAlign w:val="bottom"/>
          </w:tcPr>
          <w:p w14:paraId="2A0B7F50"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single" w:sz="4" w:space="0" w:color="B3B3B3"/>
              <w:bottom w:val="nil"/>
            </w:tcBorders>
            <w:shd w:val="clear" w:color="000000" w:fill="F2F2F2"/>
            <w:vAlign w:val="bottom"/>
          </w:tcPr>
          <w:p w14:paraId="161FF5B5"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w:t>
            </w:r>
            <w:r>
              <w:rPr>
                <w:rFonts w:ascii="Arial (Body)" w:hAnsi="Arial (Body)"/>
                <w:color w:val="000000"/>
              </w:rPr>
              <w:t>0.20</w:t>
            </w:r>
            <w:r w:rsidRPr="003503D1">
              <w:rPr>
                <w:rFonts w:ascii="Arial (Body)" w:hAnsi="Arial (Body)"/>
                <w:color w:val="000000"/>
              </w:rPr>
              <w:t>%</w:t>
            </w:r>
          </w:p>
        </w:tc>
      </w:tr>
      <w:tr w:rsidR="008E7FC3" w:rsidRPr="00030C67" w14:paraId="4C77174E" w14:textId="77777777" w:rsidTr="00177648">
        <w:tc>
          <w:tcPr>
            <w:tcW w:w="2835" w:type="dxa"/>
            <w:tcBorders>
              <w:top w:val="nil"/>
              <w:bottom w:val="nil"/>
            </w:tcBorders>
            <w:shd w:val="clear" w:color="auto" w:fill="FFFFFF" w:themeFill="background1"/>
          </w:tcPr>
          <w:p w14:paraId="2761245F" w14:textId="77777777" w:rsidR="008E7FC3" w:rsidRPr="00030C67" w:rsidRDefault="008E7FC3" w:rsidP="00177648">
            <w:pPr>
              <w:pStyle w:val="TableHeading"/>
            </w:pPr>
            <w:r w:rsidRPr="003503D1">
              <w:t>PC (2024)</w:t>
            </w:r>
          </w:p>
        </w:tc>
        <w:tc>
          <w:tcPr>
            <w:tcW w:w="1750" w:type="dxa"/>
            <w:tcBorders>
              <w:top w:val="nil"/>
              <w:bottom w:val="nil"/>
            </w:tcBorders>
            <w:shd w:val="clear" w:color="auto" w:fill="FFFFFF" w:themeFill="background1"/>
            <w:vAlign w:val="bottom"/>
          </w:tcPr>
          <w:p w14:paraId="54BD09C2"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auto" w:fill="FFFFFF" w:themeFill="background1"/>
            <w:vAlign w:val="bottom"/>
          </w:tcPr>
          <w:p w14:paraId="732C289F"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Sole</w:t>
            </w:r>
          </w:p>
        </w:tc>
        <w:tc>
          <w:tcPr>
            <w:tcW w:w="3213" w:type="dxa"/>
            <w:tcBorders>
              <w:top w:val="nil"/>
              <w:bottom w:val="nil"/>
            </w:tcBorders>
            <w:shd w:val="clear" w:color="auto" w:fill="FFFFFF" w:themeFill="background1"/>
            <w:vAlign w:val="bottom"/>
          </w:tcPr>
          <w:p w14:paraId="001F511B"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w:t>
            </w:r>
            <w:r>
              <w:rPr>
                <w:rFonts w:ascii="Arial (Body)" w:hAnsi="Arial (Body)"/>
                <w:color w:val="000000"/>
              </w:rPr>
              <w:t>0.40</w:t>
            </w:r>
            <w:r w:rsidRPr="003503D1">
              <w:rPr>
                <w:rFonts w:ascii="Arial (Body)" w:hAnsi="Arial (Body)"/>
                <w:color w:val="000000"/>
              </w:rPr>
              <w:t>%</w:t>
            </w:r>
          </w:p>
        </w:tc>
      </w:tr>
      <w:tr w:rsidR="008E7FC3" w:rsidRPr="00030C67" w14:paraId="183689B8" w14:textId="77777777" w:rsidTr="00177648">
        <w:tc>
          <w:tcPr>
            <w:tcW w:w="2835" w:type="dxa"/>
            <w:tcBorders>
              <w:top w:val="nil"/>
              <w:bottom w:val="nil"/>
            </w:tcBorders>
            <w:shd w:val="clear" w:color="000000" w:fill="F2F2F2"/>
          </w:tcPr>
          <w:p w14:paraId="0FC5E268" w14:textId="77777777" w:rsidR="008E7FC3" w:rsidRPr="00030C67" w:rsidRDefault="008E7FC3" w:rsidP="00177648">
            <w:pPr>
              <w:pStyle w:val="TableHeading"/>
            </w:pPr>
            <w:r w:rsidRPr="003503D1">
              <w:t>PC (2024)</w:t>
            </w:r>
          </w:p>
        </w:tc>
        <w:tc>
          <w:tcPr>
            <w:tcW w:w="1750" w:type="dxa"/>
            <w:tcBorders>
              <w:top w:val="nil"/>
              <w:bottom w:val="nil"/>
            </w:tcBorders>
            <w:shd w:val="clear" w:color="000000" w:fill="F2F2F2"/>
            <w:vAlign w:val="bottom"/>
          </w:tcPr>
          <w:p w14:paraId="358B7431"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000000" w:fill="F2F2F2"/>
            <w:vAlign w:val="bottom"/>
          </w:tcPr>
          <w:p w14:paraId="41F54F6C"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Both</w:t>
            </w:r>
          </w:p>
        </w:tc>
        <w:tc>
          <w:tcPr>
            <w:tcW w:w="3213" w:type="dxa"/>
            <w:tcBorders>
              <w:top w:val="nil"/>
              <w:bottom w:val="nil"/>
            </w:tcBorders>
            <w:shd w:val="clear" w:color="000000" w:fill="F2F2F2"/>
            <w:vAlign w:val="bottom"/>
          </w:tcPr>
          <w:p w14:paraId="7AF4B0FB"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24</w:t>
            </w:r>
            <w:r w:rsidRPr="003503D1">
              <w:rPr>
                <w:rFonts w:ascii="Arial (Body)" w:hAnsi="Arial (Body)"/>
                <w:color w:val="000000"/>
              </w:rPr>
              <w:t>%</w:t>
            </w:r>
          </w:p>
        </w:tc>
      </w:tr>
      <w:tr w:rsidR="008E7FC3" w:rsidRPr="00030C67" w14:paraId="223A21A2" w14:textId="77777777" w:rsidTr="00177648">
        <w:tc>
          <w:tcPr>
            <w:tcW w:w="2835" w:type="dxa"/>
            <w:tcBorders>
              <w:top w:val="nil"/>
              <w:bottom w:val="nil"/>
            </w:tcBorders>
            <w:shd w:val="clear" w:color="auto" w:fill="CBDDF2" w:themeFill="background2" w:themeFillTint="33"/>
          </w:tcPr>
          <w:p w14:paraId="7F4E071F" w14:textId="77777777" w:rsidR="008E7FC3" w:rsidRPr="00030C67" w:rsidRDefault="008E7FC3" w:rsidP="00177648">
            <w:pPr>
              <w:pStyle w:val="TableHeading"/>
            </w:pPr>
          </w:p>
        </w:tc>
        <w:tc>
          <w:tcPr>
            <w:tcW w:w="1750" w:type="dxa"/>
            <w:tcBorders>
              <w:top w:val="nil"/>
              <w:bottom w:val="nil"/>
            </w:tcBorders>
            <w:shd w:val="clear" w:color="auto" w:fill="CBDDF2" w:themeFill="background2" w:themeFillTint="33"/>
            <w:vAlign w:val="bottom"/>
          </w:tcPr>
          <w:p w14:paraId="6F7421B3" w14:textId="77777777" w:rsidR="008E7FC3" w:rsidRDefault="008E7FC3" w:rsidP="00177648">
            <w:pPr>
              <w:pStyle w:val="TableBody"/>
              <w:spacing w:before="45" w:after="45"/>
              <w:ind w:right="108"/>
              <w:jc w:val="right"/>
              <w:rPr>
                <w:rFonts w:ascii="Arial (Body)" w:hAnsi="Arial (Body)"/>
                <w:color w:val="000000"/>
              </w:rPr>
            </w:pPr>
          </w:p>
        </w:tc>
        <w:tc>
          <w:tcPr>
            <w:tcW w:w="2126" w:type="dxa"/>
            <w:tcBorders>
              <w:top w:val="nil"/>
              <w:bottom w:val="nil"/>
            </w:tcBorders>
            <w:shd w:val="clear" w:color="auto" w:fill="CBDDF2" w:themeFill="background2" w:themeFillTint="33"/>
            <w:vAlign w:val="bottom"/>
          </w:tcPr>
          <w:p w14:paraId="553DD087" w14:textId="77777777" w:rsidR="008E7FC3" w:rsidRDefault="008E7FC3" w:rsidP="00177648">
            <w:pPr>
              <w:pStyle w:val="TableBody"/>
              <w:spacing w:before="45" w:after="45"/>
              <w:ind w:right="108"/>
              <w:jc w:val="right"/>
              <w:rPr>
                <w:rFonts w:ascii="Arial (Body)" w:hAnsi="Arial (Body)"/>
                <w:color w:val="000000"/>
              </w:rPr>
            </w:pPr>
          </w:p>
        </w:tc>
        <w:tc>
          <w:tcPr>
            <w:tcW w:w="3213" w:type="dxa"/>
            <w:tcBorders>
              <w:top w:val="nil"/>
              <w:bottom w:val="nil"/>
            </w:tcBorders>
            <w:shd w:val="clear" w:color="auto" w:fill="CBDDF2" w:themeFill="background2" w:themeFillTint="33"/>
            <w:vAlign w:val="bottom"/>
          </w:tcPr>
          <w:p w14:paraId="3F75B8AA" w14:textId="77777777" w:rsidR="008E7FC3" w:rsidRDefault="008E7FC3" w:rsidP="00177648">
            <w:pPr>
              <w:pStyle w:val="TableBody"/>
              <w:spacing w:before="45" w:after="45"/>
              <w:ind w:right="108"/>
              <w:jc w:val="right"/>
              <w:rPr>
                <w:rFonts w:ascii="Arial (Body)" w:hAnsi="Arial (Body)"/>
                <w:color w:val="000000"/>
              </w:rPr>
            </w:pPr>
          </w:p>
        </w:tc>
      </w:tr>
      <w:tr w:rsidR="008E7FC3" w:rsidRPr="00030C67" w14:paraId="2317EB18" w14:textId="77777777" w:rsidTr="00177648">
        <w:tc>
          <w:tcPr>
            <w:tcW w:w="2835" w:type="dxa"/>
            <w:tcBorders>
              <w:top w:val="nil"/>
              <w:bottom w:val="nil"/>
            </w:tcBorders>
            <w:shd w:val="clear" w:color="000000" w:fill="F2F2F2"/>
          </w:tcPr>
          <w:p w14:paraId="2B290F75" w14:textId="77777777" w:rsidR="008E7FC3" w:rsidRPr="00030C67" w:rsidRDefault="008E7FC3" w:rsidP="00177648">
            <w:pPr>
              <w:pStyle w:val="TableHeading"/>
            </w:pPr>
            <w:r w:rsidRPr="003503D1">
              <w:t>Apps et al. (2016)</w:t>
            </w:r>
          </w:p>
        </w:tc>
        <w:tc>
          <w:tcPr>
            <w:tcW w:w="1750" w:type="dxa"/>
            <w:tcBorders>
              <w:top w:val="nil"/>
              <w:bottom w:val="nil"/>
            </w:tcBorders>
            <w:shd w:val="clear" w:color="000000" w:fill="F2F2F2"/>
            <w:vAlign w:val="bottom"/>
          </w:tcPr>
          <w:p w14:paraId="6142B98B"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–4</w:t>
            </w:r>
            <w:r w:rsidRPr="00522577">
              <w:rPr>
                <w:rFonts w:ascii="Arial (Body)" w:hAnsi="Arial (Body)"/>
                <w:color w:val="000000"/>
                <w:vertAlign w:val="superscript"/>
              </w:rPr>
              <w:t>a</w:t>
            </w:r>
          </w:p>
        </w:tc>
        <w:tc>
          <w:tcPr>
            <w:tcW w:w="2126" w:type="dxa"/>
            <w:tcBorders>
              <w:top w:val="nil"/>
              <w:bottom w:val="nil"/>
            </w:tcBorders>
            <w:shd w:val="clear" w:color="000000" w:fill="F2F2F2"/>
            <w:vAlign w:val="bottom"/>
          </w:tcPr>
          <w:p w14:paraId="57D4F29F"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000000" w:fill="F2F2F2"/>
            <w:vAlign w:val="bottom"/>
          </w:tcPr>
          <w:p w14:paraId="1F6C9189"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-0.78%</w:t>
            </w:r>
          </w:p>
        </w:tc>
      </w:tr>
      <w:tr w:rsidR="008E7FC3" w:rsidRPr="00030C67" w14:paraId="020C29C7" w14:textId="77777777" w:rsidTr="00177648">
        <w:tc>
          <w:tcPr>
            <w:tcW w:w="2835" w:type="dxa"/>
            <w:tcBorders>
              <w:top w:val="nil"/>
              <w:bottom w:val="nil"/>
            </w:tcBorders>
            <w:shd w:val="clear" w:color="auto" w:fill="FFFFFF" w:themeFill="background1"/>
          </w:tcPr>
          <w:p w14:paraId="67A2C5A4" w14:textId="77777777" w:rsidR="008E7FC3" w:rsidRPr="00030C67" w:rsidRDefault="008E7FC3" w:rsidP="00177648">
            <w:pPr>
              <w:pStyle w:val="TableHeading"/>
            </w:pPr>
            <w:r w:rsidRPr="003503D1">
              <w:t>Gong and Breunig (2017)</w:t>
            </w:r>
          </w:p>
        </w:tc>
        <w:tc>
          <w:tcPr>
            <w:tcW w:w="1750" w:type="dxa"/>
            <w:tcBorders>
              <w:top w:val="nil"/>
              <w:bottom w:val="nil"/>
            </w:tcBorders>
            <w:shd w:val="clear" w:color="auto" w:fill="FFFFFF" w:themeFill="background1"/>
            <w:vAlign w:val="bottom"/>
          </w:tcPr>
          <w:p w14:paraId="6A85212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5</w:t>
            </w:r>
          </w:p>
        </w:tc>
        <w:tc>
          <w:tcPr>
            <w:tcW w:w="2126" w:type="dxa"/>
            <w:tcBorders>
              <w:top w:val="nil"/>
              <w:bottom w:val="nil"/>
            </w:tcBorders>
            <w:shd w:val="clear" w:color="auto" w:fill="FFFFFF" w:themeFill="background1"/>
            <w:vAlign w:val="bottom"/>
          </w:tcPr>
          <w:p w14:paraId="1056E48A"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auto" w:fill="FFFFFF" w:themeFill="background1"/>
            <w:vAlign w:val="bottom"/>
          </w:tcPr>
          <w:p w14:paraId="708A3B27"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27</w:t>
            </w:r>
            <w:r w:rsidRPr="003503D1">
              <w:rPr>
                <w:rFonts w:ascii="Arial (Body)" w:hAnsi="Arial (Body)"/>
                <w:color w:val="000000"/>
              </w:rPr>
              <w:t>%</w:t>
            </w:r>
          </w:p>
        </w:tc>
      </w:tr>
      <w:tr w:rsidR="008E7FC3" w:rsidRPr="00030C67" w14:paraId="715D8C57" w14:textId="77777777" w:rsidTr="00177648">
        <w:tc>
          <w:tcPr>
            <w:tcW w:w="2835" w:type="dxa"/>
            <w:tcBorders>
              <w:top w:val="nil"/>
              <w:bottom w:val="single" w:sz="4" w:space="0" w:color="B3B3B3"/>
            </w:tcBorders>
            <w:shd w:val="clear" w:color="000000" w:fill="F2F2F2"/>
          </w:tcPr>
          <w:p w14:paraId="27AB6C45" w14:textId="77777777" w:rsidR="008E7FC3" w:rsidRPr="003503D1" w:rsidRDefault="008E7FC3" w:rsidP="00177648">
            <w:pPr>
              <w:pStyle w:val="TableHeading"/>
            </w:pPr>
            <w:r w:rsidRPr="003503D1">
              <w:t>Mumford et al. (2020)</w:t>
            </w:r>
          </w:p>
        </w:tc>
        <w:tc>
          <w:tcPr>
            <w:tcW w:w="1750" w:type="dxa"/>
            <w:tcBorders>
              <w:top w:val="nil"/>
              <w:bottom w:val="single" w:sz="4" w:space="0" w:color="B3B3B3"/>
            </w:tcBorders>
            <w:shd w:val="clear" w:color="000000" w:fill="F2F2F2"/>
            <w:vAlign w:val="bottom"/>
          </w:tcPr>
          <w:p w14:paraId="766556A7" w14:textId="77777777" w:rsidR="008E7FC3" w:rsidRPr="003503D1" w:rsidRDefault="008E7FC3" w:rsidP="00177648">
            <w:pPr>
              <w:pStyle w:val="TableBody"/>
              <w:spacing w:before="45" w:after="45"/>
              <w:ind w:right="108"/>
              <w:jc w:val="right"/>
              <w:rPr>
                <w:rFonts w:ascii="Arial (Body)" w:hAnsi="Arial (Body)"/>
                <w:color w:val="000000"/>
              </w:rPr>
            </w:pPr>
            <w:r>
              <w:rPr>
                <w:rFonts w:ascii="Arial (Body)" w:hAnsi="Arial (Body)"/>
                <w:color w:val="000000"/>
              </w:rPr>
              <w:t>0–5</w:t>
            </w:r>
          </w:p>
        </w:tc>
        <w:tc>
          <w:tcPr>
            <w:tcW w:w="2126" w:type="dxa"/>
            <w:tcBorders>
              <w:top w:val="nil"/>
              <w:bottom w:val="single" w:sz="4" w:space="0" w:color="B3B3B3"/>
            </w:tcBorders>
            <w:shd w:val="clear" w:color="000000" w:fill="F2F2F2"/>
            <w:vAlign w:val="bottom"/>
          </w:tcPr>
          <w:p w14:paraId="28BA2F5E" w14:textId="77777777" w:rsidR="008E7FC3" w:rsidRPr="003503D1"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single" w:sz="4" w:space="0" w:color="B3B3B3"/>
            </w:tcBorders>
            <w:shd w:val="clear" w:color="000000" w:fill="F2F2F2"/>
            <w:vAlign w:val="bottom"/>
          </w:tcPr>
          <w:p w14:paraId="09B7F5CE" w14:textId="77777777" w:rsidR="008E7FC3" w:rsidRPr="003503D1" w:rsidRDefault="008E7FC3" w:rsidP="00177648">
            <w:pPr>
              <w:pStyle w:val="TableBody"/>
              <w:spacing w:before="45" w:after="45"/>
              <w:ind w:right="108"/>
              <w:jc w:val="right"/>
              <w:rPr>
                <w:rFonts w:ascii="Arial (Body)" w:hAnsi="Arial (Body)"/>
                <w:color w:val="000000"/>
              </w:rPr>
            </w:pPr>
            <w:r>
              <w:rPr>
                <w:rFonts w:ascii="Arial (Body)" w:hAnsi="Arial (Body)"/>
                <w:color w:val="000000"/>
              </w:rPr>
              <w:t>-0.52%</w:t>
            </w:r>
          </w:p>
        </w:tc>
      </w:tr>
    </w:tbl>
    <w:p w14:paraId="2CDDE1C3"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rsidRPr="00C847EB">
        <w:noBreakHyphen/>
        <w:t xml:space="preserve">5. To be conservative, </w:t>
      </w:r>
      <w:r>
        <w:t xml:space="preserve">children aged </w:t>
      </w:r>
      <w:r w:rsidRPr="00C847EB">
        <w:t>0</w:t>
      </w:r>
      <w:r>
        <w:t>–</w:t>
      </w:r>
      <w:r w:rsidRPr="00C847EB">
        <w:t xml:space="preserve">4 </w:t>
      </w:r>
      <w:r>
        <w:t>were</w:t>
      </w:r>
      <w:r w:rsidRPr="00C847EB">
        <w:t xml:space="preserve"> </w:t>
      </w:r>
      <w:r>
        <w:t>included</w:t>
      </w:r>
      <w:r w:rsidRPr="00C847EB">
        <w:t xml:space="preserve"> in this table</w:t>
      </w:r>
      <w:r w:rsidRPr="00522577">
        <w:t>.</w:t>
      </w:r>
    </w:p>
    <w:p w14:paraId="572ACEEE" w14:textId="77777777" w:rsidR="008E7FC3" w:rsidRDefault="008E7FC3" w:rsidP="008E7FC3">
      <w:pPr>
        <w:pStyle w:val="Source"/>
      </w:pPr>
      <w:r w:rsidRPr="00696447">
        <w:t xml:space="preserve">Source: </w:t>
      </w:r>
      <w:r>
        <w:t>Productivity Commission estimates; Apps et al</w:t>
      </w:r>
      <w:r w:rsidRPr="00696447">
        <w:t>.</w:t>
      </w:r>
      <w:r>
        <w:t xml:space="preserve"> </w:t>
      </w:r>
      <w:r w:rsidRPr="00CF494D">
        <w:rPr>
          <w:rFonts w:ascii="Arial" w:hAnsi="Arial" w:cs="Arial"/>
        </w:rPr>
        <w:t>(2016)</w:t>
      </w:r>
      <w:r>
        <w:t xml:space="preserve">; Gong and Breunig </w:t>
      </w:r>
      <w:r w:rsidRPr="00917459">
        <w:rPr>
          <w:rFonts w:ascii="Arial" w:hAnsi="Arial" w:cs="Arial"/>
        </w:rPr>
        <w:t>(2017)</w:t>
      </w:r>
      <w:r>
        <w:t xml:space="preserve">; Mumford et al. </w:t>
      </w:r>
      <w:r w:rsidRPr="00EF7448">
        <w:rPr>
          <w:rFonts w:ascii="Arial" w:hAnsi="Arial" w:cs="Arial"/>
        </w:rPr>
        <w:t>(2020)</w:t>
      </w:r>
      <w:r>
        <w:t>.</w:t>
      </w:r>
    </w:p>
    <w:p w14:paraId="2051592E" w14:textId="77777777" w:rsidR="008E7FC3" w:rsidRDefault="008E7FC3" w:rsidP="008E7FC3">
      <w:pPr>
        <w:pStyle w:val="BodyText"/>
      </w:pPr>
      <w:r>
        <w:t>Estimates of the labour supply elasticity and ECEC demand elasticity with respect to gross wages are smaller than previous elasticity estimates (tables G.11 and G.12). Both have the expected sign – an increase in gross wages is expected to increase labour supply hours and to increase ECEC demand hours.</w:t>
      </w:r>
    </w:p>
    <w:p w14:paraId="6BD6EF95" w14:textId="77777777" w:rsidR="008E7FC3" w:rsidRDefault="008E7FC3" w:rsidP="008E7FC3">
      <w:pPr>
        <w:pStyle w:val="FigureTableHeading"/>
      </w:pPr>
      <w:r>
        <w:t xml:space="preserve">Table </w:t>
      </w:r>
      <w:r>
        <w:rPr>
          <w:noProof/>
        </w:rPr>
        <w:t>G</w:t>
      </w:r>
      <w:r>
        <w:t>.11</w:t>
      </w:r>
      <w:r>
        <w:rPr>
          <w:noProof/>
        </w:rPr>
        <w:t xml:space="preserve"> – Labour supply hours elasticity with respect to gross wages</w:t>
      </w:r>
    </w:p>
    <w:tbl>
      <w:tblPr>
        <w:tblW w:w="992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750"/>
        <w:gridCol w:w="2126"/>
        <w:gridCol w:w="3213"/>
      </w:tblGrid>
      <w:tr w:rsidR="008E7FC3" w:rsidRPr="00030C67" w14:paraId="0385C7DC" w14:textId="77777777" w:rsidTr="00177648">
        <w:trPr>
          <w:tblHeader/>
        </w:trPr>
        <w:tc>
          <w:tcPr>
            <w:tcW w:w="2835" w:type="dxa"/>
            <w:tcBorders>
              <w:bottom w:val="single" w:sz="4" w:space="0" w:color="B3B3B3"/>
            </w:tcBorders>
            <w:shd w:val="clear" w:color="000000" w:fill="auto"/>
            <w:vAlign w:val="bottom"/>
          </w:tcPr>
          <w:p w14:paraId="2FB217F9" w14:textId="77777777" w:rsidR="008E7FC3" w:rsidRPr="003503D1" w:rsidRDefault="008E7FC3" w:rsidP="00177648">
            <w:pPr>
              <w:pStyle w:val="TableHeading"/>
            </w:pPr>
            <w:r w:rsidRPr="003503D1">
              <w:t>Author(s)</w:t>
            </w:r>
          </w:p>
        </w:tc>
        <w:tc>
          <w:tcPr>
            <w:tcW w:w="1750" w:type="dxa"/>
            <w:tcBorders>
              <w:bottom w:val="single" w:sz="4" w:space="0" w:color="B3B3B3"/>
            </w:tcBorders>
            <w:shd w:val="clear" w:color="000000" w:fill="auto"/>
            <w:vAlign w:val="bottom"/>
          </w:tcPr>
          <w:p w14:paraId="5E4E7436" w14:textId="77777777" w:rsidR="008E7FC3" w:rsidRPr="00030C67" w:rsidRDefault="008E7FC3" w:rsidP="00177648">
            <w:pPr>
              <w:pStyle w:val="TableHeading"/>
              <w:jc w:val="right"/>
            </w:pPr>
            <w:r w:rsidRPr="003503D1">
              <w:t>Children’s age</w:t>
            </w:r>
          </w:p>
        </w:tc>
        <w:tc>
          <w:tcPr>
            <w:tcW w:w="2126" w:type="dxa"/>
            <w:tcBorders>
              <w:bottom w:val="single" w:sz="4" w:space="0" w:color="B3B3B3"/>
            </w:tcBorders>
            <w:shd w:val="clear" w:color="000000" w:fill="auto"/>
            <w:vAlign w:val="bottom"/>
          </w:tcPr>
          <w:p w14:paraId="02CD23C6" w14:textId="77777777" w:rsidR="008E7FC3" w:rsidRPr="00030C67" w:rsidRDefault="008E7FC3" w:rsidP="00177648">
            <w:pPr>
              <w:pStyle w:val="TableHeading"/>
              <w:jc w:val="right"/>
            </w:pPr>
            <w:r w:rsidRPr="003503D1">
              <w:t>Family type</w:t>
            </w:r>
          </w:p>
        </w:tc>
        <w:tc>
          <w:tcPr>
            <w:tcW w:w="3213" w:type="dxa"/>
            <w:tcBorders>
              <w:bottom w:val="single" w:sz="4" w:space="0" w:color="B3B3B3"/>
            </w:tcBorders>
            <w:shd w:val="clear" w:color="000000" w:fill="auto"/>
            <w:vAlign w:val="bottom"/>
          </w:tcPr>
          <w:p w14:paraId="12E2027A" w14:textId="6132DDD0" w:rsidR="008E7FC3" w:rsidRPr="00030C67" w:rsidRDefault="008E7FC3" w:rsidP="00177648">
            <w:pPr>
              <w:pStyle w:val="TableHeading"/>
              <w:jc w:val="right"/>
            </w:pPr>
            <w:r w:rsidRPr="003503D1">
              <w:t xml:space="preserve">Effect of 1% increase in gross </w:t>
            </w:r>
            <w:r w:rsidR="00B46C1D">
              <w:t>wages</w:t>
            </w:r>
            <w:r w:rsidRPr="003503D1">
              <w:t xml:space="preserve"> on </w:t>
            </w:r>
            <w:r>
              <w:t>labour supply hours</w:t>
            </w:r>
          </w:p>
        </w:tc>
      </w:tr>
      <w:tr w:rsidR="008E7FC3" w:rsidRPr="00030C67" w14:paraId="49765599" w14:textId="77777777" w:rsidTr="00177648">
        <w:tc>
          <w:tcPr>
            <w:tcW w:w="2835" w:type="dxa"/>
            <w:tcBorders>
              <w:top w:val="single" w:sz="4" w:space="0" w:color="B3B3B3"/>
              <w:bottom w:val="nil"/>
            </w:tcBorders>
            <w:shd w:val="clear" w:color="000000" w:fill="F2F2F2"/>
          </w:tcPr>
          <w:p w14:paraId="3E50FC9E" w14:textId="77777777" w:rsidR="008E7FC3" w:rsidRPr="00030C67" w:rsidRDefault="008E7FC3" w:rsidP="00177648">
            <w:pPr>
              <w:pStyle w:val="TableHeading"/>
            </w:pPr>
            <w:r w:rsidRPr="003503D1">
              <w:t>PC (2024)</w:t>
            </w:r>
          </w:p>
        </w:tc>
        <w:tc>
          <w:tcPr>
            <w:tcW w:w="1750" w:type="dxa"/>
            <w:tcBorders>
              <w:top w:val="single" w:sz="4" w:space="0" w:color="B3B3B3"/>
              <w:bottom w:val="nil"/>
            </w:tcBorders>
            <w:shd w:val="clear" w:color="000000" w:fill="F2F2F2"/>
            <w:vAlign w:val="bottom"/>
          </w:tcPr>
          <w:p w14:paraId="43F80DFE"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single" w:sz="4" w:space="0" w:color="B3B3B3"/>
              <w:bottom w:val="nil"/>
            </w:tcBorders>
            <w:shd w:val="clear" w:color="000000" w:fill="F2F2F2"/>
            <w:vAlign w:val="bottom"/>
          </w:tcPr>
          <w:p w14:paraId="1E3DA5E3"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single" w:sz="4" w:space="0" w:color="B3B3B3"/>
              <w:bottom w:val="nil"/>
            </w:tcBorders>
            <w:shd w:val="clear" w:color="000000" w:fill="F2F2F2"/>
            <w:vAlign w:val="bottom"/>
          </w:tcPr>
          <w:p w14:paraId="3E11BC6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0.25%</w:t>
            </w:r>
          </w:p>
        </w:tc>
      </w:tr>
      <w:tr w:rsidR="008E7FC3" w:rsidRPr="00030C67" w14:paraId="67187FF0" w14:textId="77777777" w:rsidTr="00177648">
        <w:tc>
          <w:tcPr>
            <w:tcW w:w="2835" w:type="dxa"/>
            <w:tcBorders>
              <w:top w:val="nil"/>
              <w:bottom w:val="nil"/>
            </w:tcBorders>
            <w:shd w:val="clear" w:color="auto" w:fill="FFFFFF" w:themeFill="background1"/>
          </w:tcPr>
          <w:p w14:paraId="5BBEAAAB" w14:textId="77777777" w:rsidR="008E7FC3" w:rsidRPr="00030C67" w:rsidRDefault="008E7FC3" w:rsidP="00177648">
            <w:pPr>
              <w:pStyle w:val="TableHeading"/>
            </w:pPr>
            <w:r w:rsidRPr="003503D1">
              <w:t>PC (2024)</w:t>
            </w:r>
          </w:p>
        </w:tc>
        <w:tc>
          <w:tcPr>
            <w:tcW w:w="1750" w:type="dxa"/>
            <w:tcBorders>
              <w:top w:val="nil"/>
              <w:bottom w:val="nil"/>
            </w:tcBorders>
            <w:shd w:val="clear" w:color="auto" w:fill="FFFFFF" w:themeFill="background1"/>
            <w:vAlign w:val="bottom"/>
          </w:tcPr>
          <w:p w14:paraId="3CA64507"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auto" w:fill="FFFFFF" w:themeFill="background1"/>
            <w:vAlign w:val="bottom"/>
          </w:tcPr>
          <w:p w14:paraId="51B2EE64"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Sole</w:t>
            </w:r>
          </w:p>
        </w:tc>
        <w:tc>
          <w:tcPr>
            <w:tcW w:w="3213" w:type="dxa"/>
            <w:tcBorders>
              <w:top w:val="nil"/>
              <w:bottom w:val="nil"/>
            </w:tcBorders>
            <w:shd w:val="clear" w:color="auto" w:fill="FFFFFF" w:themeFill="background1"/>
            <w:vAlign w:val="bottom"/>
          </w:tcPr>
          <w:p w14:paraId="58704BCB"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0.62%</w:t>
            </w:r>
          </w:p>
        </w:tc>
      </w:tr>
      <w:tr w:rsidR="008E7FC3" w:rsidRPr="00030C67" w14:paraId="7B9CA7AB" w14:textId="77777777" w:rsidTr="00177648">
        <w:tc>
          <w:tcPr>
            <w:tcW w:w="2835" w:type="dxa"/>
            <w:tcBorders>
              <w:top w:val="nil"/>
              <w:bottom w:val="nil"/>
            </w:tcBorders>
            <w:shd w:val="clear" w:color="000000" w:fill="F2F2F2"/>
          </w:tcPr>
          <w:p w14:paraId="31F1082F" w14:textId="77777777" w:rsidR="008E7FC3" w:rsidRPr="00030C67" w:rsidRDefault="008E7FC3" w:rsidP="00177648">
            <w:pPr>
              <w:pStyle w:val="TableHeading"/>
            </w:pPr>
            <w:r w:rsidRPr="003503D1">
              <w:t>PC (2024)</w:t>
            </w:r>
          </w:p>
        </w:tc>
        <w:tc>
          <w:tcPr>
            <w:tcW w:w="1750" w:type="dxa"/>
            <w:tcBorders>
              <w:top w:val="nil"/>
              <w:bottom w:val="nil"/>
            </w:tcBorders>
            <w:shd w:val="clear" w:color="000000" w:fill="F2F2F2"/>
            <w:vAlign w:val="bottom"/>
          </w:tcPr>
          <w:p w14:paraId="06D3BF6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000000" w:fill="F2F2F2"/>
            <w:vAlign w:val="bottom"/>
          </w:tcPr>
          <w:p w14:paraId="046395F6"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Both</w:t>
            </w:r>
          </w:p>
        </w:tc>
        <w:tc>
          <w:tcPr>
            <w:tcW w:w="3213" w:type="dxa"/>
            <w:tcBorders>
              <w:top w:val="nil"/>
              <w:bottom w:val="nil"/>
            </w:tcBorders>
            <w:shd w:val="clear" w:color="000000" w:fill="F2F2F2"/>
            <w:vAlign w:val="bottom"/>
          </w:tcPr>
          <w:p w14:paraId="7B7CBE4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0.31%</w:t>
            </w:r>
          </w:p>
        </w:tc>
      </w:tr>
      <w:tr w:rsidR="008E7FC3" w:rsidRPr="00030C67" w14:paraId="6378E72F" w14:textId="77777777" w:rsidTr="00177648">
        <w:tc>
          <w:tcPr>
            <w:tcW w:w="2835" w:type="dxa"/>
            <w:tcBorders>
              <w:top w:val="nil"/>
              <w:bottom w:val="nil"/>
            </w:tcBorders>
            <w:shd w:val="clear" w:color="auto" w:fill="CBDDF2" w:themeFill="background2" w:themeFillTint="33"/>
          </w:tcPr>
          <w:p w14:paraId="43D95151" w14:textId="77777777" w:rsidR="008E7FC3" w:rsidRPr="00030C67" w:rsidRDefault="008E7FC3" w:rsidP="00177648">
            <w:pPr>
              <w:pStyle w:val="TableHeading"/>
            </w:pPr>
          </w:p>
        </w:tc>
        <w:tc>
          <w:tcPr>
            <w:tcW w:w="1750" w:type="dxa"/>
            <w:tcBorders>
              <w:top w:val="nil"/>
              <w:bottom w:val="nil"/>
            </w:tcBorders>
            <w:shd w:val="clear" w:color="auto" w:fill="CBDDF2" w:themeFill="background2" w:themeFillTint="33"/>
            <w:vAlign w:val="bottom"/>
          </w:tcPr>
          <w:p w14:paraId="0311768F" w14:textId="77777777" w:rsidR="008E7FC3" w:rsidRDefault="008E7FC3" w:rsidP="00177648">
            <w:pPr>
              <w:pStyle w:val="TableBody"/>
              <w:spacing w:before="45" w:after="45"/>
              <w:ind w:right="108"/>
              <w:jc w:val="right"/>
              <w:rPr>
                <w:rFonts w:ascii="Arial (Body)" w:hAnsi="Arial (Body)"/>
                <w:color w:val="000000"/>
              </w:rPr>
            </w:pPr>
          </w:p>
        </w:tc>
        <w:tc>
          <w:tcPr>
            <w:tcW w:w="2126" w:type="dxa"/>
            <w:tcBorders>
              <w:top w:val="nil"/>
              <w:bottom w:val="nil"/>
            </w:tcBorders>
            <w:shd w:val="clear" w:color="auto" w:fill="CBDDF2" w:themeFill="background2" w:themeFillTint="33"/>
            <w:vAlign w:val="bottom"/>
          </w:tcPr>
          <w:p w14:paraId="4FFDEF2A" w14:textId="77777777" w:rsidR="008E7FC3" w:rsidRDefault="008E7FC3" w:rsidP="00177648">
            <w:pPr>
              <w:pStyle w:val="TableBody"/>
              <w:spacing w:before="45" w:after="45"/>
              <w:ind w:right="108"/>
              <w:jc w:val="right"/>
              <w:rPr>
                <w:rFonts w:ascii="Arial (Body)" w:hAnsi="Arial (Body)"/>
                <w:color w:val="000000"/>
              </w:rPr>
            </w:pPr>
          </w:p>
        </w:tc>
        <w:tc>
          <w:tcPr>
            <w:tcW w:w="3213" w:type="dxa"/>
            <w:tcBorders>
              <w:top w:val="nil"/>
              <w:bottom w:val="nil"/>
            </w:tcBorders>
            <w:shd w:val="clear" w:color="auto" w:fill="CBDDF2" w:themeFill="background2" w:themeFillTint="33"/>
            <w:vAlign w:val="bottom"/>
          </w:tcPr>
          <w:p w14:paraId="5BCD0656" w14:textId="77777777" w:rsidR="008E7FC3" w:rsidRDefault="008E7FC3" w:rsidP="00177648">
            <w:pPr>
              <w:pStyle w:val="TableBody"/>
              <w:spacing w:before="45" w:after="45"/>
              <w:ind w:right="108"/>
              <w:jc w:val="right"/>
              <w:rPr>
                <w:rFonts w:ascii="Arial (Body)" w:hAnsi="Arial (Body)"/>
                <w:color w:val="000000"/>
              </w:rPr>
            </w:pPr>
          </w:p>
        </w:tc>
      </w:tr>
      <w:tr w:rsidR="008E7FC3" w:rsidRPr="00030C67" w14:paraId="29716C50" w14:textId="77777777" w:rsidTr="00177648">
        <w:tc>
          <w:tcPr>
            <w:tcW w:w="2835" w:type="dxa"/>
            <w:tcBorders>
              <w:top w:val="nil"/>
              <w:bottom w:val="nil"/>
            </w:tcBorders>
            <w:shd w:val="clear" w:color="000000" w:fill="F2F2F2"/>
          </w:tcPr>
          <w:p w14:paraId="3049DD07" w14:textId="77777777" w:rsidR="008E7FC3" w:rsidRPr="00030C67" w:rsidRDefault="008E7FC3" w:rsidP="00177648">
            <w:pPr>
              <w:pStyle w:val="TableHeading"/>
            </w:pPr>
            <w:r w:rsidRPr="003503D1">
              <w:t>Apps et al. (2016)</w:t>
            </w:r>
          </w:p>
        </w:tc>
        <w:tc>
          <w:tcPr>
            <w:tcW w:w="1750" w:type="dxa"/>
            <w:tcBorders>
              <w:top w:val="nil"/>
              <w:bottom w:val="nil"/>
            </w:tcBorders>
            <w:shd w:val="clear" w:color="000000" w:fill="F2F2F2"/>
            <w:vAlign w:val="bottom"/>
          </w:tcPr>
          <w:p w14:paraId="1CB11F0D"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–4</w:t>
            </w:r>
            <w:r w:rsidRPr="00522577">
              <w:rPr>
                <w:rFonts w:ascii="Arial (Body)" w:hAnsi="Arial (Body)"/>
                <w:color w:val="000000"/>
                <w:vertAlign w:val="superscript"/>
              </w:rPr>
              <w:t>a</w:t>
            </w:r>
          </w:p>
        </w:tc>
        <w:tc>
          <w:tcPr>
            <w:tcW w:w="2126" w:type="dxa"/>
            <w:tcBorders>
              <w:top w:val="nil"/>
              <w:bottom w:val="nil"/>
            </w:tcBorders>
            <w:shd w:val="clear" w:color="000000" w:fill="F2F2F2"/>
            <w:vAlign w:val="bottom"/>
          </w:tcPr>
          <w:p w14:paraId="5200F077"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000000" w:fill="F2F2F2"/>
            <w:vAlign w:val="bottom"/>
          </w:tcPr>
          <w:p w14:paraId="0915EEA9"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1.02%</w:t>
            </w:r>
          </w:p>
        </w:tc>
      </w:tr>
      <w:tr w:rsidR="008E7FC3" w:rsidRPr="00030C67" w14:paraId="116D7101" w14:textId="77777777" w:rsidTr="00177648">
        <w:tc>
          <w:tcPr>
            <w:tcW w:w="2835" w:type="dxa"/>
            <w:tcBorders>
              <w:top w:val="nil"/>
              <w:bottom w:val="nil"/>
            </w:tcBorders>
            <w:shd w:val="clear" w:color="auto" w:fill="FFFFFF" w:themeFill="background1"/>
          </w:tcPr>
          <w:p w14:paraId="7F550543" w14:textId="77777777" w:rsidR="008E7FC3" w:rsidRPr="00030C67" w:rsidRDefault="008E7FC3" w:rsidP="00177648">
            <w:pPr>
              <w:pStyle w:val="TableHeading"/>
            </w:pPr>
            <w:r w:rsidRPr="003503D1">
              <w:t>Gong and Breunig (2017)</w:t>
            </w:r>
          </w:p>
        </w:tc>
        <w:tc>
          <w:tcPr>
            <w:tcW w:w="1750" w:type="dxa"/>
            <w:tcBorders>
              <w:top w:val="nil"/>
              <w:bottom w:val="nil"/>
            </w:tcBorders>
            <w:shd w:val="clear" w:color="auto" w:fill="FFFFFF" w:themeFill="background1"/>
            <w:vAlign w:val="bottom"/>
          </w:tcPr>
          <w:p w14:paraId="7BB7D120"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5</w:t>
            </w:r>
          </w:p>
        </w:tc>
        <w:tc>
          <w:tcPr>
            <w:tcW w:w="2126" w:type="dxa"/>
            <w:tcBorders>
              <w:top w:val="nil"/>
              <w:bottom w:val="nil"/>
            </w:tcBorders>
            <w:shd w:val="clear" w:color="auto" w:fill="FFFFFF" w:themeFill="background1"/>
            <w:vAlign w:val="bottom"/>
          </w:tcPr>
          <w:p w14:paraId="55DEA725"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auto" w:fill="FFFFFF" w:themeFill="background1"/>
            <w:vAlign w:val="bottom"/>
          </w:tcPr>
          <w:p w14:paraId="59BF0D48"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0.42%</w:t>
            </w:r>
          </w:p>
        </w:tc>
      </w:tr>
      <w:tr w:rsidR="008E7FC3" w:rsidRPr="00030C67" w14:paraId="46E01919" w14:textId="77777777" w:rsidTr="00177648">
        <w:tc>
          <w:tcPr>
            <w:tcW w:w="2835" w:type="dxa"/>
            <w:tcBorders>
              <w:top w:val="nil"/>
              <w:bottom w:val="single" w:sz="4" w:space="0" w:color="B3B3B3"/>
            </w:tcBorders>
            <w:shd w:val="clear" w:color="auto" w:fill="F2F2F2"/>
          </w:tcPr>
          <w:p w14:paraId="2E94F1C8" w14:textId="77777777" w:rsidR="008E7FC3" w:rsidRPr="00030C67" w:rsidRDefault="008E7FC3" w:rsidP="00177648">
            <w:pPr>
              <w:pStyle w:val="TableHeading"/>
            </w:pPr>
            <w:r w:rsidRPr="003503D1">
              <w:t>Mumford et al. (2020)</w:t>
            </w:r>
          </w:p>
        </w:tc>
        <w:tc>
          <w:tcPr>
            <w:tcW w:w="1750" w:type="dxa"/>
            <w:tcBorders>
              <w:top w:val="nil"/>
              <w:bottom w:val="single" w:sz="4" w:space="0" w:color="B3B3B3"/>
            </w:tcBorders>
            <w:shd w:val="clear" w:color="auto" w:fill="F2F2F2"/>
            <w:vAlign w:val="bottom"/>
          </w:tcPr>
          <w:p w14:paraId="230C44E6"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0–5</w:t>
            </w:r>
          </w:p>
        </w:tc>
        <w:tc>
          <w:tcPr>
            <w:tcW w:w="2126" w:type="dxa"/>
            <w:tcBorders>
              <w:top w:val="nil"/>
              <w:bottom w:val="single" w:sz="4" w:space="0" w:color="B3B3B3"/>
            </w:tcBorders>
            <w:shd w:val="clear" w:color="auto" w:fill="F2F2F2"/>
            <w:vAlign w:val="bottom"/>
          </w:tcPr>
          <w:p w14:paraId="28BBEAB9"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single" w:sz="4" w:space="0" w:color="B3B3B3"/>
            </w:tcBorders>
            <w:shd w:val="clear" w:color="auto" w:fill="F2F2F2"/>
            <w:vAlign w:val="bottom"/>
          </w:tcPr>
          <w:p w14:paraId="4C28736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1.72%</w:t>
            </w:r>
          </w:p>
        </w:tc>
      </w:tr>
    </w:tbl>
    <w:p w14:paraId="1E2FB664"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rsidRPr="00C847EB">
        <w:noBreakHyphen/>
        <w:t>5. To be conservative, 0</w:t>
      </w:r>
      <w:r w:rsidRPr="00C847EB">
        <w:noBreakHyphen/>
        <w:t>4 was put in this table</w:t>
      </w:r>
      <w:r w:rsidRPr="00522577">
        <w:t>.</w:t>
      </w:r>
    </w:p>
    <w:p w14:paraId="2774D9CB" w14:textId="77777777" w:rsidR="008E7FC3" w:rsidRDefault="008E7FC3" w:rsidP="008E7FC3">
      <w:pPr>
        <w:pStyle w:val="Source"/>
      </w:pPr>
      <w:r w:rsidRPr="00696447">
        <w:t xml:space="preserve">Source: </w:t>
      </w:r>
      <w:r>
        <w:t>Productivity Commission estimates; Apps et al</w:t>
      </w:r>
      <w:r w:rsidRPr="00696447">
        <w:t>.</w:t>
      </w:r>
      <w:r>
        <w:t xml:space="preserve"> </w:t>
      </w:r>
      <w:r w:rsidRPr="008F7397">
        <w:t>(2016)</w:t>
      </w:r>
      <w:r>
        <w:t xml:space="preserve">; Gong and Breunig </w:t>
      </w:r>
      <w:r w:rsidRPr="008F7397">
        <w:t>(2017)</w:t>
      </w:r>
      <w:r>
        <w:t xml:space="preserve">; Mumford et al. </w:t>
      </w:r>
      <w:r w:rsidRPr="00143F4C">
        <w:rPr>
          <w:rFonts w:ascii="Arial" w:hAnsi="Arial" w:cs="Arial"/>
        </w:rPr>
        <w:t>(2020)</w:t>
      </w:r>
      <w:r>
        <w:t>.</w:t>
      </w:r>
    </w:p>
    <w:p w14:paraId="48D414D1" w14:textId="77777777" w:rsidR="008E7FC3" w:rsidRPr="007D1D7D" w:rsidRDefault="008E7FC3" w:rsidP="008E7FC3">
      <w:pPr>
        <w:pStyle w:val="BodyText"/>
      </w:pPr>
      <w:r w:rsidRPr="007D1D7D">
        <w:br w:type="page"/>
      </w:r>
    </w:p>
    <w:p w14:paraId="0B2F6820" w14:textId="77777777" w:rsidR="008E7FC3" w:rsidRDefault="008E7FC3" w:rsidP="008E7FC3">
      <w:pPr>
        <w:pStyle w:val="FigureTableHeading"/>
      </w:pPr>
      <w:r>
        <w:lastRenderedPageBreak/>
        <w:t xml:space="preserve">Table </w:t>
      </w:r>
      <w:r>
        <w:rPr>
          <w:noProof/>
        </w:rPr>
        <w:t>G</w:t>
      </w:r>
      <w:r>
        <w:t>.12</w:t>
      </w:r>
      <w:r>
        <w:rPr>
          <w:noProof/>
        </w:rPr>
        <w:t xml:space="preserve"> – ECEC demand hours elasticity with respect to gross wages</w:t>
      </w:r>
    </w:p>
    <w:tbl>
      <w:tblPr>
        <w:tblW w:w="992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750"/>
        <w:gridCol w:w="2126"/>
        <w:gridCol w:w="3213"/>
      </w:tblGrid>
      <w:tr w:rsidR="008E7FC3" w:rsidRPr="00030C67" w14:paraId="70D974BD" w14:textId="77777777" w:rsidTr="00177648">
        <w:trPr>
          <w:tblHeader/>
        </w:trPr>
        <w:tc>
          <w:tcPr>
            <w:tcW w:w="2835" w:type="dxa"/>
            <w:tcBorders>
              <w:bottom w:val="single" w:sz="4" w:space="0" w:color="B3B3B3"/>
            </w:tcBorders>
            <w:shd w:val="clear" w:color="000000" w:fill="auto"/>
            <w:vAlign w:val="bottom"/>
          </w:tcPr>
          <w:p w14:paraId="34BA5111" w14:textId="77777777" w:rsidR="008E7FC3" w:rsidRPr="003503D1" w:rsidRDefault="008E7FC3" w:rsidP="00177648">
            <w:pPr>
              <w:pStyle w:val="TableHeading"/>
            </w:pPr>
            <w:r w:rsidRPr="003503D1">
              <w:t>Author(s)</w:t>
            </w:r>
          </w:p>
        </w:tc>
        <w:tc>
          <w:tcPr>
            <w:tcW w:w="1750" w:type="dxa"/>
            <w:tcBorders>
              <w:bottom w:val="single" w:sz="4" w:space="0" w:color="B3B3B3"/>
            </w:tcBorders>
            <w:shd w:val="clear" w:color="000000" w:fill="auto"/>
            <w:vAlign w:val="bottom"/>
          </w:tcPr>
          <w:p w14:paraId="6AC4D0EA" w14:textId="77777777" w:rsidR="008E7FC3" w:rsidRPr="00030C67" w:rsidRDefault="008E7FC3" w:rsidP="00177648">
            <w:pPr>
              <w:pStyle w:val="TableHeading"/>
              <w:jc w:val="right"/>
            </w:pPr>
            <w:r w:rsidRPr="003503D1">
              <w:t>Children’s age</w:t>
            </w:r>
          </w:p>
        </w:tc>
        <w:tc>
          <w:tcPr>
            <w:tcW w:w="2126" w:type="dxa"/>
            <w:tcBorders>
              <w:bottom w:val="single" w:sz="4" w:space="0" w:color="B3B3B3"/>
            </w:tcBorders>
            <w:shd w:val="clear" w:color="000000" w:fill="auto"/>
            <w:vAlign w:val="bottom"/>
          </w:tcPr>
          <w:p w14:paraId="1B8F95C0" w14:textId="77777777" w:rsidR="008E7FC3" w:rsidRPr="00030C67" w:rsidRDefault="008E7FC3" w:rsidP="00177648">
            <w:pPr>
              <w:pStyle w:val="TableHeading"/>
              <w:jc w:val="right"/>
            </w:pPr>
            <w:r w:rsidRPr="003503D1">
              <w:t>Family type</w:t>
            </w:r>
          </w:p>
        </w:tc>
        <w:tc>
          <w:tcPr>
            <w:tcW w:w="3213" w:type="dxa"/>
            <w:tcBorders>
              <w:bottom w:val="single" w:sz="4" w:space="0" w:color="B3B3B3"/>
            </w:tcBorders>
            <w:shd w:val="clear" w:color="000000" w:fill="auto"/>
            <w:vAlign w:val="bottom"/>
          </w:tcPr>
          <w:p w14:paraId="6E709A39" w14:textId="337E25A7" w:rsidR="008E7FC3" w:rsidRPr="00030C67" w:rsidRDefault="008E7FC3" w:rsidP="00177648">
            <w:pPr>
              <w:pStyle w:val="TableHeading"/>
              <w:jc w:val="right"/>
            </w:pPr>
            <w:r w:rsidRPr="003503D1">
              <w:t xml:space="preserve">Effect of 1% increase in </w:t>
            </w:r>
            <w:r w:rsidR="00790ADA">
              <w:t>wages</w:t>
            </w:r>
            <w:r w:rsidRPr="003503D1">
              <w:t xml:space="preserve"> on </w:t>
            </w:r>
            <w:r w:rsidR="00790ADA">
              <w:t>ECEC demand</w:t>
            </w:r>
            <w:r>
              <w:t xml:space="preserve"> hours</w:t>
            </w:r>
          </w:p>
        </w:tc>
      </w:tr>
      <w:tr w:rsidR="008E7FC3" w:rsidRPr="00030C67" w14:paraId="5AD136D9" w14:textId="77777777" w:rsidTr="00177648">
        <w:tc>
          <w:tcPr>
            <w:tcW w:w="2835" w:type="dxa"/>
            <w:tcBorders>
              <w:top w:val="single" w:sz="4" w:space="0" w:color="B3B3B3"/>
              <w:bottom w:val="nil"/>
            </w:tcBorders>
            <w:shd w:val="clear" w:color="000000" w:fill="F2F2F2"/>
          </w:tcPr>
          <w:p w14:paraId="61607690" w14:textId="77777777" w:rsidR="008E7FC3" w:rsidRPr="00030C67" w:rsidRDefault="008E7FC3" w:rsidP="00177648">
            <w:pPr>
              <w:pStyle w:val="TableHeading"/>
            </w:pPr>
            <w:r w:rsidRPr="003503D1">
              <w:t>PC (2024)</w:t>
            </w:r>
          </w:p>
        </w:tc>
        <w:tc>
          <w:tcPr>
            <w:tcW w:w="1750" w:type="dxa"/>
            <w:tcBorders>
              <w:top w:val="single" w:sz="4" w:space="0" w:color="B3B3B3"/>
              <w:bottom w:val="nil"/>
            </w:tcBorders>
            <w:shd w:val="clear" w:color="000000" w:fill="F2F2F2"/>
            <w:vAlign w:val="bottom"/>
          </w:tcPr>
          <w:p w14:paraId="4CB14E8C"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single" w:sz="4" w:space="0" w:color="B3B3B3"/>
              <w:bottom w:val="nil"/>
            </w:tcBorders>
            <w:shd w:val="clear" w:color="000000" w:fill="F2F2F2"/>
            <w:vAlign w:val="bottom"/>
          </w:tcPr>
          <w:p w14:paraId="491F41B3" w14:textId="77777777" w:rsidR="008E7FC3" w:rsidRPr="00030C67"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single" w:sz="4" w:space="0" w:color="B3B3B3"/>
              <w:bottom w:val="nil"/>
            </w:tcBorders>
            <w:shd w:val="clear" w:color="000000" w:fill="F2F2F2"/>
            <w:vAlign w:val="bottom"/>
          </w:tcPr>
          <w:p w14:paraId="4F285EFF"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0.19%</w:t>
            </w:r>
          </w:p>
        </w:tc>
      </w:tr>
      <w:tr w:rsidR="008E7FC3" w:rsidRPr="00030C67" w14:paraId="7FF84A7B" w14:textId="77777777" w:rsidTr="00177648">
        <w:tc>
          <w:tcPr>
            <w:tcW w:w="2835" w:type="dxa"/>
            <w:tcBorders>
              <w:top w:val="nil"/>
              <w:bottom w:val="nil"/>
            </w:tcBorders>
            <w:shd w:val="clear" w:color="auto" w:fill="FFFFFF" w:themeFill="background1"/>
          </w:tcPr>
          <w:p w14:paraId="27321759" w14:textId="77777777" w:rsidR="008E7FC3" w:rsidRPr="00030C67" w:rsidRDefault="008E7FC3" w:rsidP="00177648">
            <w:pPr>
              <w:pStyle w:val="TableHeading"/>
            </w:pPr>
            <w:r w:rsidRPr="003503D1">
              <w:t>PC (2024)</w:t>
            </w:r>
          </w:p>
        </w:tc>
        <w:tc>
          <w:tcPr>
            <w:tcW w:w="1750" w:type="dxa"/>
            <w:tcBorders>
              <w:top w:val="nil"/>
              <w:bottom w:val="nil"/>
            </w:tcBorders>
            <w:shd w:val="clear" w:color="auto" w:fill="FFFFFF" w:themeFill="background1"/>
            <w:vAlign w:val="bottom"/>
          </w:tcPr>
          <w:p w14:paraId="47B6761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auto" w:fill="FFFFFF" w:themeFill="background1"/>
            <w:vAlign w:val="bottom"/>
          </w:tcPr>
          <w:p w14:paraId="3DDE2CFF"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Sole</w:t>
            </w:r>
          </w:p>
        </w:tc>
        <w:tc>
          <w:tcPr>
            <w:tcW w:w="3213" w:type="dxa"/>
            <w:tcBorders>
              <w:top w:val="nil"/>
              <w:bottom w:val="nil"/>
            </w:tcBorders>
            <w:shd w:val="clear" w:color="auto" w:fill="FFFFFF" w:themeFill="background1"/>
            <w:vAlign w:val="bottom"/>
          </w:tcPr>
          <w:p w14:paraId="0F711326"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0.40%</w:t>
            </w:r>
          </w:p>
        </w:tc>
      </w:tr>
      <w:tr w:rsidR="008E7FC3" w:rsidRPr="00030C67" w14:paraId="7A783833" w14:textId="77777777" w:rsidTr="00177648">
        <w:tc>
          <w:tcPr>
            <w:tcW w:w="2835" w:type="dxa"/>
            <w:tcBorders>
              <w:top w:val="nil"/>
              <w:bottom w:val="nil"/>
            </w:tcBorders>
            <w:shd w:val="clear" w:color="000000" w:fill="F2F2F2"/>
          </w:tcPr>
          <w:p w14:paraId="734E3AEE" w14:textId="77777777" w:rsidR="008E7FC3" w:rsidRPr="00030C67" w:rsidRDefault="008E7FC3" w:rsidP="00177648">
            <w:pPr>
              <w:pStyle w:val="TableHeading"/>
            </w:pPr>
            <w:r w:rsidRPr="003503D1">
              <w:t>PC (2024)</w:t>
            </w:r>
          </w:p>
        </w:tc>
        <w:tc>
          <w:tcPr>
            <w:tcW w:w="1750" w:type="dxa"/>
            <w:tcBorders>
              <w:top w:val="nil"/>
              <w:bottom w:val="nil"/>
            </w:tcBorders>
            <w:shd w:val="clear" w:color="000000" w:fill="F2F2F2"/>
            <w:vAlign w:val="bottom"/>
          </w:tcPr>
          <w:p w14:paraId="1B37AC2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12</w:t>
            </w:r>
          </w:p>
        </w:tc>
        <w:tc>
          <w:tcPr>
            <w:tcW w:w="2126" w:type="dxa"/>
            <w:tcBorders>
              <w:top w:val="nil"/>
              <w:bottom w:val="nil"/>
            </w:tcBorders>
            <w:shd w:val="clear" w:color="000000" w:fill="F2F2F2"/>
            <w:vAlign w:val="bottom"/>
          </w:tcPr>
          <w:p w14:paraId="41D533F5"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Both</w:t>
            </w:r>
          </w:p>
        </w:tc>
        <w:tc>
          <w:tcPr>
            <w:tcW w:w="3213" w:type="dxa"/>
            <w:tcBorders>
              <w:top w:val="nil"/>
              <w:bottom w:val="nil"/>
            </w:tcBorders>
            <w:shd w:val="clear" w:color="000000" w:fill="F2F2F2"/>
            <w:vAlign w:val="bottom"/>
          </w:tcPr>
          <w:p w14:paraId="2B37104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0.23%</w:t>
            </w:r>
          </w:p>
        </w:tc>
      </w:tr>
      <w:tr w:rsidR="008E7FC3" w:rsidRPr="00030C67" w14:paraId="09E276A2" w14:textId="77777777" w:rsidTr="00177648">
        <w:tc>
          <w:tcPr>
            <w:tcW w:w="2835" w:type="dxa"/>
            <w:tcBorders>
              <w:top w:val="nil"/>
              <w:bottom w:val="nil"/>
            </w:tcBorders>
            <w:shd w:val="clear" w:color="auto" w:fill="CBDDF2" w:themeFill="background2" w:themeFillTint="33"/>
          </w:tcPr>
          <w:p w14:paraId="7110F682" w14:textId="77777777" w:rsidR="008E7FC3" w:rsidRPr="00030C67" w:rsidRDefault="008E7FC3" w:rsidP="00177648">
            <w:pPr>
              <w:pStyle w:val="TableHeading"/>
            </w:pPr>
          </w:p>
        </w:tc>
        <w:tc>
          <w:tcPr>
            <w:tcW w:w="1750" w:type="dxa"/>
            <w:tcBorders>
              <w:top w:val="nil"/>
              <w:bottom w:val="nil"/>
            </w:tcBorders>
            <w:shd w:val="clear" w:color="auto" w:fill="CBDDF2" w:themeFill="background2" w:themeFillTint="33"/>
            <w:vAlign w:val="bottom"/>
          </w:tcPr>
          <w:p w14:paraId="32CDCE57" w14:textId="77777777" w:rsidR="008E7FC3" w:rsidRDefault="008E7FC3" w:rsidP="00177648">
            <w:pPr>
              <w:pStyle w:val="TableBody"/>
              <w:spacing w:before="45" w:after="45"/>
              <w:ind w:right="108"/>
              <w:jc w:val="right"/>
              <w:rPr>
                <w:rFonts w:ascii="Arial (Body)" w:hAnsi="Arial (Body)"/>
                <w:color w:val="000000"/>
              </w:rPr>
            </w:pPr>
          </w:p>
        </w:tc>
        <w:tc>
          <w:tcPr>
            <w:tcW w:w="2126" w:type="dxa"/>
            <w:tcBorders>
              <w:top w:val="nil"/>
              <w:bottom w:val="nil"/>
            </w:tcBorders>
            <w:shd w:val="clear" w:color="auto" w:fill="CBDDF2" w:themeFill="background2" w:themeFillTint="33"/>
            <w:vAlign w:val="bottom"/>
          </w:tcPr>
          <w:p w14:paraId="1C71B5DA" w14:textId="77777777" w:rsidR="008E7FC3" w:rsidRDefault="008E7FC3" w:rsidP="00177648">
            <w:pPr>
              <w:pStyle w:val="TableBody"/>
              <w:spacing w:before="45" w:after="45"/>
              <w:ind w:right="108"/>
              <w:jc w:val="right"/>
              <w:rPr>
                <w:rFonts w:ascii="Arial (Body)" w:hAnsi="Arial (Body)"/>
                <w:color w:val="000000"/>
              </w:rPr>
            </w:pPr>
          </w:p>
        </w:tc>
        <w:tc>
          <w:tcPr>
            <w:tcW w:w="3213" w:type="dxa"/>
            <w:tcBorders>
              <w:top w:val="nil"/>
              <w:bottom w:val="nil"/>
            </w:tcBorders>
            <w:shd w:val="clear" w:color="auto" w:fill="CBDDF2" w:themeFill="background2" w:themeFillTint="33"/>
            <w:vAlign w:val="bottom"/>
          </w:tcPr>
          <w:p w14:paraId="515A224B" w14:textId="77777777" w:rsidR="008E7FC3" w:rsidRDefault="008E7FC3" w:rsidP="00177648">
            <w:pPr>
              <w:pStyle w:val="TableBody"/>
              <w:spacing w:before="45" w:after="45"/>
              <w:ind w:right="108"/>
              <w:jc w:val="right"/>
              <w:rPr>
                <w:rFonts w:ascii="Arial (Body)" w:hAnsi="Arial (Body)"/>
                <w:color w:val="000000"/>
              </w:rPr>
            </w:pPr>
          </w:p>
        </w:tc>
      </w:tr>
      <w:tr w:rsidR="008E7FC3" w:rsidRPr="00030C67" w14:paraId="2F93E531" w14:textId="77777777" w:rsidTr="00177648">
        <w:tc>
          <w:tcPr>
            <w:tcW w:w="2835" w:type="dxa"/>
            <w:tcBorders>
              <w:top w:val="nil"/>
              <w:bottom w:val="nil"/>
            </w:tcBorders>
            <w:shd w:val="clear" w:color="000000" w:fill="F2F2F2"/>
          </w:tcPr>
          <w:p w14:paraId="4FEDE118" w14:textId="77777777" w:rsidR="008E7FC3" w:rsidRPr="00030C67" w:rsidRDefault="008E7FC3" w:rsidP="00177648">
            <w:pPr>
              <w:pStyle w:val="TableHeading"/>
            </w:pPr>
            <w:r w:rsidRPr="003503D1">
              <w:t>Apps et al. (2016)</w:t>
            </w:r>
          </w:p>
        </w:tc>
        <w:tc>
          <w:tcPr>
            <w:tcW w:w="1750" w:type="dxa"/>
            <w:tcBorders>
              <w:top w:val="nil"/>
              <w:bottom w:val="nil"/>
            </w:tcBorders>
            <w:shd w:val="clear" w:color="000000" w:fill="F2F2F2"/>
            <w:vAlign w:val="bottom"/>
          </w:tcPr>
          <w:p w14:paraId="73E1310E"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–4</w:t>
            </w:r>
            <w:r w:rsidRPr="00893A17">
              <w:rPr>
                <w:rFonts w:ascii="Arial (Body)" w:hAnsi="Arial (Body)"/>
                <w:color w:val="000000"/>
                <w:vertAlign w:val="superscript"/>
              </w:rPr>
              <w:t>a</w:t>
            </w:r>
          </w:p>
        </w:tc>
        <w:tc>
          <w:tcPr>
            <w:tcW w:w="2126" w:type="dxa"/>
            <w:tcBorders>
              <w:top w:val="nil"/>
              <w:bottom w:val="nil"/>
            </w:tcBorders>
            <w:shd w:val="clear" w:color="000000" w:fill="F2F2F2"/>
            <w:vAlign w:val="bottom"/>
          </w:tcPr>
          <w:p w14:paraId="2123D009"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000000" w:fill="F2F2F2"/>
            <w:vAlign w:val="bottom"/>
          </w:tcPr>
          <w:p w14:paraId="75F0BD1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0.70%</w:t>
            </w:r>
          </w:p>
        </w:tc>
      </w:tr>
      <w:tr w:rsidR="008E7FC3" w:rsidRPr="00030C67" w14:paraId="132E785D" w14:textId="77777777" w:rsidTr="00177648">
        <w:tc>
          <w:tcPr>
            <w:tcW w:w="2835" w:type="dxa"/>
            <w:tcBorders>
              <w:top w:val="nil"/>
              <w:bottom w:val="nil"/>
            </w:tcBorders>
            <w:shd w:val="clear" w:color="auto" w:fill="FFFFFF" w:themeFill="background1"/>
          </w:tcPr>
          <w:p w14:paraId="57CC52C1" w14:textId="77777777" w:rsidR="008E7FC3" w:rsidRPr="00030C67" w:rsidRDefault="008E7FC3" w:rsidP="00177648">
            <w:pPr>
              <w:pStyle w:val="TableHeading"/>
            </w:pPr>
            <w:r w:rsidRPr="003503D1">
              <w:t>Gong and Breunig (2017)</w:t>
            </w:r>
          </w:p>
        </w:tc>
        <w:tc>
          <w:tcPr>
            <w:tcW w:w="1750" w:type="dxa"/>
            <w:tcBorders>
              <w:top w:val="nil"/>
              <w:bottom w:val="nil"/>
            </w:tcBorders>
            <w:shd w:val="clear" w:color="auto" w:fill="FFFFFF" w:themeFill="background1"/>
            <w:vAlign w:val="bottom"/>
          </w:tcPr>
          <w:p w14:paraId="548F9AAB"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0</w:t>
            </w:r>
            <w:r>
              <w:rPr>
                <w:rFonts w:ascii="Arial (Body)" w:hAnsi="Arial (Body)"/>
                <w:color w:val="000000"/>
              </w:rPr>
              <w:t>–</w:t>
            </w:r>
            <w:r w:rsidRPr="003503D1">
              <w:rPr>
                <w:rFonts w:ascii="Arial (Body)" w:hAnsi="Arial (Body)"/>
                <w:color w:val="000000"/>
              </w:rPr>
              <w:t>5</w:t>
            </w:r>
          </w:p>
        </w:tc>
        <w:tc>
          <w:tcPr>
            <w:tcW w:w="2126" w:type="dxa"/>
            <w:tcBorders>
              <w:top w:val="nil"/>
              <w:bottom w:val="nil"/>
            </w:tcBorders>
            <w:shd w:val="clear" w:color="auto" w:fill="FFFFFF" w:themeFill="background1"/>
            <w:vAlign w:val="bottom"/>
          </w:tcPr>
          <w:p w14:paraId="242D62D2"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nil"/>
            </w:tcBorders>
            <w:shd w:val="clear" w:color="auto" w:fill="FFFFFF" w:themeFill="background1"/>
            <w:vAlign w:val="bottom"/>
          </w:tcPr>
          <w:p w14:paraId="7C34DDD0"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0.27%</w:t>
            </w:r>
          </w:p>
        </w:tc>
      </w:tr>
      <w:tr w:rsidR="008E7FC3" w:rsidRPr="00030C67" w14:paraId="54B03544" w14:textId="77777777" w:rsidTr="00177648">
        <w:tc>
          <w:tcPr>
            <w:tcW w:w="2835" w:type="dxa"/>
            <w:tcBorders>
              <w:top w:val="nil"/>
              <w:bottom w:val="single" w:sz="4" w:space="0" w:color="B3B3B3"/>
            </w:tcBorders>
            <w:shd w:val="clear" w:color="auto" w:fill="F2F2F2"/>
          </w:tcPr>
          <w:p w14:paraId="78CC4EBD" w14:textId="77777777" w:rsidR="008E7FC3" w:rsidRPr="00030C67" w:rsidRDefault="008E7FC3" w:rsidP="00177648">
            <w:pPr>
              <w:pStyle w:val="TableHeading"/>
            </w:pPr>
            <w:r w:rsidRPr="003503D1">
              <w:t>Mumford et al. (2020)</w:t>
            </w:r>
          </w:p>
        </w:tc>
        <w:tc>
          <w:tcPr>
            <w:tcW w:w="1750" w:type="dxa"/>
            <w:tcBorders>
              <w:top w:val="nil"/>
              <w:bottom w:val="single" w:sz="4" w:space="0" w:color="B3B3B3"/>
            </w:tcBorders>
            <w:shd w:val="clear" w:color="auto" w:fill="F2F2F2"/>
            <w:vAlign w:val="bottom"/>
          </w:tcPr>
          <w:p w14:paraId="50F5A963"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0–5</w:t>
            </w:r>
          </w:p>
        </w:tc>
        <w:tc>
          <w:tcPr>
            <w:tcW w:w="2126" w:type="dxa"/>
            <w:tcBorders>
              <w:top w:val="nil"/>
              <w:bottom w:val="single" w:sz="4" w:space="0" w:color="B3B3B3"/>
            </w:tcBorders>
            <w:shd w:val="clear" w:color="auto" w:fill="F2F2F2"/>
            <w:vAlign w:val="bottom"/>
          </w:tcPr>
          <w:p w14:paraId="7B701733" w14:textId="77777777" w:rsidR="008E7FC3" w:rsidRDefault="008E7FC3" w:rsidP="00177648">
            <w:pPr>
              <w:pStyle w:val="TableBody"/>
              <w:spacing w:before="45" w:after="45"/>
              <w:ind w:right="108"/>
              <w:jc w:val="right"/>
              <w:rPr>
                <w:rFonts w:ascii="Arial (Body)" w:hAnsi="Arial (Body)"/>
                <w:color w:val="000000"/>
              </w:rPr>
            </w:pPr>
            <w:r w:rsidRPr="003503D1">
              <w:rPr>
                <w:rFonts w:ascii="Arial (Body)" w:hAnsi="Arial (Body)"/>
                <w:color w:val="000000"/>
              </w:rPr>
              <w:t>Partnered</w:t>
            </w:r>
          </w:p>
        </w:tc>
        <w:tc>
          <w:tcPr>
            <w:tcW w:w="3213" w:type="dxa"/>
            <w:tcBorders>
              <w:top w:val="nil"/>
              <w:bottom w:val="single" w:sz="4" w:space="0" w:color="B3B3B3"/>
            </w:tcBorders>
            <w:shd w:val="clear" w:color="auto" w:fill="F2F2F2"/>
            <w:vAlign w:val="bottom"/>
          </w:tcPr>
          <w:p w14:paraId="1636F05F"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1.13%</w:t>
            </w:r>
          </w:p>
        </w:tc>
      </w:tr>
    </w:tbl>
    <w:p w14:paraId="06F859DB" w14:textId="77777777" w:rsidR="008E7FC3" w:rsidRPr="00C847EB" w:rsidRDefault="008E7FC3" w:rsidP="008E7FC3">
      <w:pPr>
        <w:pStyle w:val="Note"/>
      </w:pPr>
      <w:r w:rsidRPr="00522577">
        <w:rPr>
          <w:b/>
          <w:bCs/>
        </w:rPr>
        <w:t xml:space="preserve">a. </w:t>
      </w:r>
      <w:r w:rsidRPr="00C847EB">
        <w:t xml:space="preserve">Apps et al. (2016) focused on coupled families with preschool aged children and does not clearly specify the age range of these preschool aged children. It may be that Apps et al. </w:t>
      </w:r>
      <w:r w:rsidRPr="00522577">
        <w:t>(2016)</w:t>
      </w:r>
      <w:r w:rsidRPr="00C847EB">
        <w:t xml:space="preserve"> captured partnered families with children aged 0</w:t>
      </w:r>
      <w:r w:rsidRPr="00C847EB">
        <w:noBreakHyphen/>
        <w:t xml:space="preserve">5. To be conservative, </w:t>
      </w:r>
      <w:r>
        <w:t xml:space="preserve">children aged </w:t>
      </w:r>
      <w:r w:rsidRPr="00C847EB">
        <w:t>0</w:t>
      </w:r>
      <w:r>
        <w:t>–</w:t>
      </w:r>
      <w:r w:rsidRPr="00C847EB">
        <w:t xml:space="preserve">4 </w:t>
      </w:r>
      <w:r>
        <w:t>were</w:t>
      </w:r>
      <w:r w:rsidRPr="00C847EB">
        <w:t xml:space="preserve"> </w:t>
      </w:r>
      <w:r>
        <w:t>included</w:t>
      </w:r>
      <w:r w:rsidRPr="00C847EB">
        <w:t xml:space="preserve"> in this table</w:t>
      </w:r>
      <w:r w:rsidRPr="00522577">
        <w:t>.</w:t>
      </w:r>
    </w:p>
    <w:p w14:paraId="009BEC79" w14:textId="77777777" w:rsidR="008E7FC3" w:rsidRDefault="008E7FC3" w:rsidP="008E7FC3">
      <w:pPr>
        <w:pStyle w:val="Source"/>
      </w:pPr>
      <w:r w:rsidRPr="009F7029">
        <w:t xml:space="preserve">Source: Productivity Commission estimates; Apps et al. </w:t>
      </w:r>
      <w:r w:rsidRPr="003503D1">
        <w:t>(2016)</w:t>
      </w:r>
      <w:r w:rsidRPr="009F7029">
        <w:t xml:space="preserve">; Gong and Breunig </w:t>
      </w:r>
      <w:r w:rsidRPr="003503D1">
        <w:t>(2017)</w:t>
      </w:r>
      <w:r>
        <w:t xml:space="preserve">; Mumford et al. </w:t>
      </w:r>
      <w:r w:rsidRPr="00143F4C">
        <w:rPr>
          <w:rFonts w:ascii="Arial" w:hAnsi="Arial" w:cs="Arial"/>
        </w:rPr>
        <w:t>(2020)</w:t>
      </w:r>
      <w:r>
        <w:t>.</w:t>
      </w:r>
    </w:p>
    <w:p w14:paraId="78CB7D20" w14:textId="77777777" w:rsidR="008E7FC3" w:rsidRDefault="008E7FC3" w:rsidP="008E7FC3">
      <w:pPr>
        <w:pStyle w:val="Heading2-Appendix"/>
      </w:pPr>
      <w:bookmarkStart w:id="49" w:name="_Toc172213600"/>
      <w:r>
        <w:t>Results of simulated changes to ECEC subsidies</w:t>
      </w:r>
      <w:bookmarkEnd w:id="49"/>
    </w:p>
    <w:p w14:paraId="318C240C" w14:textId="77777777" w:rsidR="008E7FC3" w:rsidRDefault="008E7FC3" w:rsidP="008E7FC3">
      <w:pPr>
        <w:pStyle w:val="BodyText"/>
      </w:pPr>
      <w:r>
        <w:t>A range of options was modelled using CAPITA</w:t>
      </w:r>
      <w:r>
        <w:noBreakHyphen/>
        <w:t>B with ECEC. Table G.13 sets out the options modelled and the rest of this section sets out the results for each of the options. All options were modelled based on the 2023</w:t>
      </w:r>
      <w:r>
        <w:noBreakHyphen/>
        <w:t>24 tax and transfer system. Option 1 in this appendix corresponds to option A in the report, option 5 corresponds to option B and option 6 corresponds to option C.</w:t>
      </w:r>
    </w:p>
    <w:p w14:paraId="684FA345" w14:textId="77777777" w:rsidR="008E7FC3" w:rsidRDefault="008E7FC3" w:rsidP="008E7FC3">
      <w:pPr>
        <w:pStyle w:val="FigureTableHeading"/>
      </w:pPr>
      <w:r>
        <w:t xml:space="preserve">Table </w:t>
      </w:r>
      <w:r>
        <w:rPr>
          <w:noProof/>
        </w:rPr>
        <w:t>G</w:t>
      </w:r>
      <w:r>
        <w:t>.</w:t>
      </w:r>
      <w:r>
        <w:rPr>
          <w:noProof/>
        </w:rPr>
        <w:t xml:space="preserve">13 – </w:t>
      </w:r>
      <w:r>
        <w:t>Modelled ECEC Subsidy policy options</w:t>
      </w:r>
    </w:p>
    <w:tbl>
      <w:tblPr>
        <w:tblpPr w:leftFromText="180" w:rightFromText="180" w:vertAnchor="text" w:tblpY="1"/>
        <w:tblOverlap w:val="never"/>
        <w:tblW w:w="5148"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78"/>
        <w:gridCol w:w="2473"/>
        <w:gridCol w:w="2552"/>
        <w:gridCol w:w="1844"/>
        <w:gridCol w:w="1276"/>
      </w:tblGrid>
      <w:tr w:rsidR="008E7FC3" w:rsidRPr="00D562BD" w14:paraId="6496F7F6" w14:textId="77777777" w:rsidTr="006510ED">
        <w:trPr>
          <w:trHeight w:val="594"/>
          <w:tblHeader/>
        </w:trPr>
        <w:tc>
          <w:tcPr>
            <w:tcW w:w="896" w:type="pct"/>
            <w:tcBorders>
              <w:bottom w:val="single" w:sz="4" w:space="0" w:color="B3B3B3"/>
            </w:tcBorders>
            <w:shd w:val="clear" w:color="000000" w:fill="auto"/>
            <w:tcMar>
              <w:top w:w="15" w:type="dxa"/>
              <w:left w:w="15" w:type="dxa"/>
              <w:bottom w:w="0" w:type="dxa"/>
              <w:right w:w="15" w:type="dxa"/>
            </w:tcMar>
            <w:vAlign w:val="bottom"/>
            <w:hideMark/>
          </w:tcPr>
          <w:p w14:paraId="52376FC6" w14:textId="77777777" w:rsidR="008E7FC3" w:rsidRPr="00D562BD" w:rsidRDefault="008E7FC3" w:rsidP="006510ED">
            <w:pPr>
              <w:pStyle w:val="BodyText"/>
              <w:spacing w:before="45" w:after="45"/>
              <w:ind w:left="57" w:right="108"/>
              <w:rPr>
                <w:rFonts w:ascii="Arial (Body)" w:hAnsi="Arial (Body)"/>
                <w:b/>
                <w:color w:val="265A9A"/>
                <w:sz w:val="18"/>
              </w:rPr>
            </w:pPr>
            <w:r>
              <w:rPr>
                <w:rFonts w:ascii="Arial (Body)" w:hAnsi="Arial (Body)"/>
                <w:b/>
                <w:bCs/>
                <w:color w:val="265A9A"/>
                <w:sz w:val="18"/>
              </w:rPr>
              <w:t>Options</w:t>
            </w:r>
          </w:p>
        </w:tc>
        <w:tc>
          <w:tcPr>
            <w:tcW w:w="1246" w:type="pct"/>
            <w:tcBorders>
              <w:bottom w:val="single" w:sz="4" w:space="0" w:color="B3B3B3"/>
            </w:tcBorders>
            <w:shd w:val="clear" w:color="000000" w:fill="auto"/>
            <w:tcMar>
              <w:top w:w="15" w:type="dxa"/>
              <w:left w:w="15" w:type="dxa"/>
              <w:bottom w:w="0" w:type="dxa"/>
              <w:right w:w="15" w:type="dxa"/>
            </w:tcMar>
            <w:vAlign w:val="bottom"/>
            <w:hideMark/>
          </w:tcPr>
          <w:p w14:paraId="33C7D360" w14:textId="77777777" w:rsidR="008E7FC3" w:rsidRPr="00D562BD" w:rsidRDefault="008E7FC3" w:rsidP="006510ED">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rate</w:t>
            </w:r>
          </w:p>
        </w:tc>
        <w:tc>
          <w:tcPr>
            <w:tcW w:w="1286" w:type="pct"/>
            <w:tcBorders>
              <w:bottom w:val="single" w:sz="4" w:space="0" w:color="B3B3B3"/>
            </w:tcBorders>
            <w:shd w:val="clear" w:color="000000" w:fill="auto"/>
            <w:tcMar>
              <w:top w:w="15" w:type="dxa"/>
              <w:left w:w="15" w:type="dxa"/>
              <w:bottom w:w="0" w:type="dxa"/>
              <w:right w:w="15" w:type="dxa"/>
            </w:tcMar>
            <w:vAlign w:val="bottom"/>
            <w:hideMark/>
          </w:tcPr>
          <w:p w14:paraId="1404D88D" w14:textId="77777777" w:rsidR="008E7FC3" w:rsidRPr="00D562BD" w:rsidRDefault="008E7FC3" w:rsidP="006510ED">
            <w:pPr>
              <w:pStyle w:val="BodyText"/>
              <w:spacing w:before="45" w:after="45"/>
              <w:ind w:left="57" w:right="108"/>
              <w:rPr>
                <w:rFonts w:ascii="Arial (Body)" w:hAnsi="Arial (Body)"/>
                <w:b/>
                <w:color w:val="265A9A"/>
                <w:sz w:val="18"/>
              </w:rPr>
            </w:pPr>
            <w:r w:rsidRPr="00D562BD">
              <w:rPr>
                <w:rFonts w:ascii="Arial (Body)" w:hAnsi="Arial (Body)"/>
                <w:b/>
                <w:bCs/>
                <w:color w:val="265A9A"/>
                <w:sz w:val="18"/>
              </w:rPr>
              <w:t>Higher CCS rate</w:t>
            </w:r>
          </w:p>
        </w:tc>
        <w:tc>
          <w:tcPr>
            <w:tcW w:w="929" w:type="pct"/>
            <w:tcBorders>
              <w:bottom w:val="single" w:sz="4" w:space="0" w:color="B3B3B3"/>
            </w:tcBorders>
            <w:shd w:val="clear" w:color="000000" w:fill="auto"/>
            <w:tcMar>
              <w:top w:w="15" w:type="dxa"/>
              <w:left w:w="15" w:type="dxa"/>
              <w:bottom w:w="0" w:type="dxa"/>
              <w:right w:w="15" w:type="dxa"/>
            </w:tcMar>
            <w:vAlign w:val="bottom"/>
            <w:hideMark/>
          </w:tcPr>
          <w:p w14:paraId="18F4686D" w14:textId="77777777" w:rsidR="008E7FC3" w:rsidRPr="00D562BD" w:rsidRDefault="008E7FC3" w:rsidP="006510ED">
            <w:pPr>
              <w:pStyle w:val="BodyText"/>
              <w:spacing w:before="45" w:after="45"/>
              <w:ind w:left="57" w:right="108"/>
              <w:rPr>
                <w:rFonts w:ascii="Arial (Body)" w:hAnsi="Arial (Body)"/>
                <w:b/>
                <w:color w:val="265A9A"/>
                <w:sz w:val="18"/>
              </w:rPr>
            </w:pPr>
            <w:r w:rsidRPr="00D562BD">
              <w:rPr>
                <w:rFonts w:ascii="Arial (Body)" w:hAnsi="Arial (Body)"/>
                <w:b/>
                <w:bCs/>
                <w:color w:val="265A9A"/>
                <w:sz w:val="18"/>
              </w:rPr>
              <w:t>Activity test</w:t>
            </w:r>
          </w:p>
        </w:tc>
        <w:tc>
          <w:tcPr>
            <w:tcW w:w="643" w:type="pct"/>
            <w:tcBorders>
              <w:bottom w:val="single" w:sz="4" w:space="0" w:color="B3B3B3"/>
            </w:tcBorders>
            <w:shd w:val="clear" w:color="000000" w:fill="auto"/>
            <w:tcMar>
              <w:top w:w="15" w:type="dxa"/>
              <w:left w:w="15" w:type="dxa"/>
              <w:bottom w:w="0" w:type="dxa"/>
              <w:right w:w="15" w:type="dxa"/>
            </w:tcMar>
            <w:vAlign w:val="bottom"/>
            <w:hideMark/>
          </w:tcPr>
          <w:p w14:paraId="7356D0D9" w14:textId="77777777" w:rsidR="008E7FC3" w:rsidRPr="00D562BD" w:rsidRDefault="008E7FC3" w:rsidP="006510ED">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hourly rate cap</w:t>
            </w:r>
          </w:p>
        </w:tc>
      </w:tr>
      <w:tr w:rsidR="008E7FC3" w:rsidRPr="00D562BD" w14:paraId="349433FE" w14:textId="77777777" w:rsidTr="00177648">
        <w:trPr>
          <w:trHeight w:val="1295"/>
        </w:trPr>
        <w:tc>
          <w:tcPr>
            <w:tcW w:w="896" w:type="pct"/>
            <w:tcBorders>
              <w:top w:val="single" w:sz="4" w:space="0" w:color="B3B3B3"/>
              <w:bottom w:val="nil"/>
            </w:tcBorders>
            <w:shd w:val="clear" w:color="000000" w:fill="F2F2F2"/>
            <w:tcMar>
              <w:top w:w="15" w:type="dxa"/>
              <w:left w:w="15" w:type="dxa"/>
              <w:bottom w:w="0" w:type="dxa"/>
              <w:right w:w="15" w:type="dxa"/>
            </w:tcMar>
          </w:tcPr>
          <w:p w14:paraId="0EB37E33"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 xml:space="preserve">1: Remove the activity test and increase the subsidy rate </w:t>
            </w:r>
            <w:r w:rsidRPr="00AC4EC9">
              <w:rPr>
                <w:rFonts w:ascii="Arial (Body)" w:hAnsi="Arial (Body)"/>
                <w:b/>
                <w:bCs/>
                <w:color w:val="265A9A"/>
                <w:sz w:val="18"/>
              </w:rPr>
              <w:t>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p w14:paraId="16FD183D"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(Option A)</w:t>
            </w:r>
          </w:p>
        </w:tc>
        <w:tc>
          <w:tcPr>
            <w:tcW w:w="1246" w:type="pct"/>
            <w:tcBorders>
              <w:top w:val="single" w:sz="4" w:space="0" w:color="B3B3B3"/>
              <w:bottom w:val="nil"/>
            </w:tcBorders>
            <w:shd w:val="clear" w:color="000000" w:fill="F2F2F2"/>
            <w:tcMar>
              <w:top w:w="15" w:type="dxa"/>
              <w:left w:w="15" w:type="dxa"/>
              <w:bottom w:w="0" w:type="dxa"/>
              <w:right w:w="15" w:type="dxa"/>
            </w:tcMar>
          </w:tcPr>
          <w:p w14:paraId="069787FF"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7E48FF13"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286" w:type="pct"/>
            <w:tcBorders>
              <w:top w:val="single" w:sz="4" w:space="0" w:color="B3B3B3"/>
              <w:bottom w:val="nil"/>
            </w:tcBorders>
            <w:shd w:val="clear" w:color="000000" w:fill="F2F2F2"/>
            <w:tcMar>
              <w:top w:w="15" w:type="dxa"/>
              <w:left w:w="15" w:type="dxa"/>
              <w:bottom w:w="0" w:type="dxa"/>
              <w:right w:w="15" w:type="dxa"/>
            </w:tcMar>
          </w:tcPr>
          <w:p w14:paraId="516E7A02"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164B6D2E" w14:textId="77777777" w:rsidR="008E7FC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$80,000</w:t>
            </w:r>
          </w:p>
          <w:p w14:paraId="66A83801"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929" w:type="pct"/>
            <w:tcBorders>
              <w:top w:val="single" w:sz="4" w:space="0" w:color="B3B3B3"/>
              <w:bottom w:val="nil"/>
            </w:tcBorders>
            <w:shd w:val="clear" w:color="000000" w:fill="F2F2F2"/>
            <w:tcMar>
              <w:top w:w="15" w:type="dxa"/>
              <w:left w:w="15" w:type="dxa"/>
              <w:bottom w:w="0" w:type="dxa"/>
              <w:right w:w="15" w:type="dxa"/>
            </w:tcMar>
          </w:tcPr>
          <w:p w14:paraId="5E796457"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w:t>
            </w:r>
            <w:r>
              <w:rPr>
                <w:rFonts w:ascii="Arial (Body)" w:hAnsi="Arial (Body)" w:hint="eastAsia"/>
                <w:color w:val="000000"/>
                <w:sz w:val="18"/>
              </w:rPr>
              <w:t> </w:t>
            </w:r>
            <w:r>
              <w:rPr>
                <w:rFonts w:ascii="Arial (Body)" w:hAnsi="Arial (Body)"/>
                <w:color w:val="000000"/>
                <w:sz w:val="18"/>
              </w:rPr>
              <w:t>hours per fortnight)</w:t>
            </w:r>
          </w:p>
        </w:tc>
        <w:tc>
          <w:tcPr>
            <w:tcW w:w="643" w:type="pct"/>
            <w:tcBorders>
              <w:top w:val="single" w:sz="4" w:space="0" w:color="B3B3B3"/>
              <w:bottom w:val="nil"/>
            </w:tcBorders>
            <w:shd w:val="clear" w:color="000000" w:fill="F2F2F2"/>
            <w:tcMar>
              <w:top w:w="15" w:type="dxa"/>
              <w:left w:w="15" w:type="dxa"/>
              <w:bottom w:w="0" w:type="dxa"/>
              <w:right w:w="15" w:type="dxa"/>
            </w:tcMar>
          </w:tcPr>
          <w:p w14:paraId="720B3F9C"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r>
      <w:tr w:rsidR="008E7FC3" w:rsidRPr="00D562BD" w14:paraId="6F8FDF8B" w14:textId="77777777" w:rsidTr="00177648">
        <w:trPr>
          <w:trHeight w:val="1295"/>
        </w:trPr>
        <w:tc>
          <w:tcPr>
            <w:tcW w:w="896" w:type="pct"/>
            <w:tcBorders>
              <w:top w:val="nil"/>
              <w:bottom w:val="nil"/>
            </w:tcBorders>
            <w:shd w:val="clear" w:color="000000" w:fill="auto"/>
            <w:tcMar>
              <w:top w:w="15" w:type="dxa"/>
              <w:left w:w="15" w:type="dxa"/>
              <w:bottom w:w="0" w:type="dxa"/>
              <w:right w:w="15" w:type="dxa"/>
            </w:tcMar>
          </w:tcPr>
          <w:p w14:paraId="349B558A"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2:</w:t>
            </w:r>
            <w:r>
              <w:t xml:space="preserve"> </w:t>
            </w:r>
            <w:r w:rsidRPr="00AE0407">
              <w:rPr>
                <w:rFonts w:ascii="Arial (Body)" w:hAnsi="Arial (Body)"/>
                <w:b/>
                <w:bCs/>
                <w:color w:val="265A9A"/>
                <w:sz w:val="18"/>
              </w:rPr>
              <w:t>Increase the subsidy rate to 100% for low</w:t>
            </w:r>
            <w:r>
              <w:rPr>
                <w:rFonts w:ascii="Arial (Body)" w:hAnsi="Arial (Body)"/>
                <w:b/>
                <w:bCs/>
                <w:color w:val="265A9A"/>
                <w:sz w:val="18"/>
              </w:rPr>
              <w:t>er</w:t>
            </w:r>
            <w:r>
              <w:rPr>
                <w:rFonts w:ascii="Arial (Body)" w:hAnsi="Arial (Body)"/>
                <w:b/>
                <w:bCs/>
                <w:color w:val="265A9A"/>
                <w:sz w:val="18"/>
              </w:rPr>
              <w:noBreakHyphen/>
            </w:r>
            <w:r w:rsidRPr="00AE0407">
              <w:rPr>
                <w:rFonts w:ascii="Arial (Body)" w:hAnsi="Arial (Body)"/>
                <w:b/>
                <w:bCs/>
                <w:color w:val="265A9A"/>
                <w:sz w:val="18"/>
              </w:rPr>
              <w:t>income families</w:t>
            </w:r>
          </w:p>
        </w:tc>
        <w:tc>
          <w:tcPr>
            <w:tcW w:w="1246" w:type="pct"/>
            <w:tcBorders>
              <w:top w:val="nil"/>
              <w:bottom w:val="nil"/>
            </w:tcBorders>
            <w:shd w:val="clear" w:color="000000" w:fill="auto"/>
            <w:tcMar>
              <w:top w:w="15" w:type="dxa"/>
              <w:left w:w="15" w:type="dxa"/>
              <w:bottom w:w="0" w:type="dxa"/>
              <w:right w:w="15" w:type="dxa"/>
            </w:tcMar>
          </w:tcPr>
          <w:p w14:paraId="462D66CD"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56CD8DE1"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 for every $5,000 over $80,000</w:t>
            </w:r>
          </w:p>
        </w:tc>
        <w:tc>
          <w:tcPr>
            <w:tcW w:w="1286" w:type="pct"/>
            <w:tcBorders>
              <w:top w:val="nil"/>
              <w:bottom w:val="nil"/>
            </w:tcBorders>
            <w:shd w:val="clear" w:color="000000" w:fill="auto"/>
            <w:tcMar>
              <w:top w:w="15" w:type="dxa"/>
              <w:left w:w="15" w:type="dxa"/>
              <w:bottom w:w="0" w:type="dxa"/>
              <w:right w:w="15" w:type="dxa"/>
            </w:tcMar>
          </w:tcPr>
          <w:p w14:paraId="26C8CE8D"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 HCCS rate tapers down from 100% by 1% for every $5,000 over $80,000</w:t>
            </w:r>
          </w:p>
          <w:p w14:paraId="00A8BA96"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929" w:type="pct"/>
            <w:tcBorders>
              <w:top w:val="nil"/>
              <w:bottom w:val="nil"/>
            </w:tcBorders>
            <w:shd w:val="clear" w:color="000000" w:fill="auto"/>
            <w:tcMar>
              <w:top w:w="15" w:type="dxa"/>
              <w:left w:w="15" w:type="dxa"/>
              <w:bottom w:w="0" w:type="dxa"/>
              <w:right w:w="15" w:type="dxa"/>
            </w:tcMar>
          </w:tcPr>
          <w:p w14:paraId="640ACB48"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643" w:type="pct"/>
            <w:tcBorders>
              <w:top w:val="nil"/>
              <w:bottom w:val="nil"/>
            </w:tcBorders>
            <w:shd w:val="clear" w:color="000000" w:fill="auto"/>
            <w:tcMar>
              <w:top w:w="15" w:type="dxa"/>
              <w:left w:w="15" w:type="dxa"/>
              <w:bottom w:w="0" w:type="dxa"/>
              <w:right w:w="15" w:type="dxa"/>
            </w:tcMar>
          </w:tcPr>
          <w:p w14:paraId="0D256B3E" w14:textId="77777777" w:rsidR="008E7FC3" w:rsidRPr="00D562BD" w:rsidRDefault="008E7FC3" w:rsidP="00177648">
            <w:pPr>
              <w:pStyle w:val="BodyText"/>
              <w:spacing w:before="45" w:after="45"/>
              <w:ind w:left="57" w:right="108"/>
              <w:rPr>
                <w:rFonts w:ascii="Arial (Body)" w:hAnsi="Arial (Body)"/>
                <w:color w:val="000000"/>
                <w:sz w:val="18"/>
              </w:rPr>
            </w:pPr>
            <w:r w:rsidRPr="005917E4">
              <w:rPr>
                <w:rFonts w:ascii="Arial (Body)" w:hAnsi="Arial (Body)"/>
                <w:color w:val="000000"/>
                <w:sz w:val="18"/>
              </w:rPr>
              <w:t>No change</w:t>
            </w:r>
          </w:p>
        </w:tc>
      </w:tr>
      <w:tr w:rsidR="008E7FC3" w:rsidRPr="00D562BD" w14:paraId="21833272" w14:textId="77777777" w:rsidTr="00177648">
        <w:trPr>
          <w:trHeight w:val="1295"/>
        </w:trPr>
        <w:tc>
          <w:tcPr>
            <w:tcW w:w="896" w:type="pct"/>
            <w:tcBorders>
              <w:top w:val="nil"/>
              <w:bottom w:val="nil"/>
            </w:tcBorders>
            <w:shd w:val="clear" w:color="000000" w:fill="F2F2F2"/>
            <w:tcMar>
              <w:top w:w="15" w:type="dxa"/>
              <w:left w:w="15" w:type="dxa"/>
              <w:bottom w:w="0" w:type="dxa"/>
              <w:right w:w="15" w:type="dxa"/>
            </w:tcMar>
          </w:tcPr>
          <w:p w14:paraId="7D7FD645"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lastRenderedPageBreak/>
              <w:t>3: Remove the activity test for all families and retain income testing</w:t>
            </w:r>
          </w:p>
        </w:tc>
        <w:tc>
          <w:tcPr>
            <w:tcW w:w="1246" w:type="pct"/>
            <w:tcBorders>
              <w:top w:val="nil"/>
              <w:bottom w:val="nil"/>
            </w:tcBorders>
            <w:shd w:val="clear" w:color="000000" w:fill="F2F2F2"/>
            <w:tcMar>
              <w:top w:w="15" w:type="dxa"/>
              <w:left w:w="15" w:type="dxa"/>
              <w:bottom w:w="0" w:type="dxa"/>
              <w:right w:w="15" w:type="dxa"/>
            </w:tcMar>
          </w:tcPr>
          <w:p w14:paraId="2C4C2228"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1286" w:type="pct"/>
            <w:tcBorders>
              <w:top w:val="nil"/>
              <w:bottom w:val="nil"/>
            </w:tcBorders>
            <w:shd w:val="clear" w:color="000000" w:fill="F2F2F2"/>
            <w:tcMar>
              <w:top w:w="15" w:type="dxa"/>
              <w:left w:w="15" w:type="dxa"/>
              <w:bottom w:w="0" w:type="dxa"/>
              <w:right w:w="15" w:type="dxa"/>
            </w:tcMar>
          </w:tcPr>
          <w:p w14:paraId="7FC73391"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c>
          <w:tcPr>
            <w:tcW w:w="929" w:type="pct"/>
            <w:tcBorders>
              <w:top w:val="nil"/>
              <w:bottom w:val="nil"/>
            </w:tcBorders>
            <w:shd w:val="clear" w:color="000000" w:fill="F2F2F2"/>
            <w:tcMar>
              <w:top w:w="15" w:type="dxa"/>
              <w:left w:w="15" w:type="dxa"/>
              <w:bottom w:w="0" w:type="dxa"/>
              <w:right w:w="15" w:type="dxa"/>
            </w:tcMar>
          </w:tcPr>
          <w:p w14:paraId="1812361E"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w:t>
            </w:r>
            <w:r>
              <w:rPr>
                <w:rFonts w:ascii="Arial (Body)" w:hAnsi="Arial (Body)" w:hint="eastAsia"/>
                <w:color w:val="000000"/>
                <w:sz w:val="18"/>
              </w:rPr>
              <w:t> </w:t>
            </w:r>
            <w:r>
              <w:rPr>
                <w:rFonts w:ascii="Arial (Body)" w:hAnsi="Arial (Body)"/>
                <w:color w:val="000000"/>
                <w:sz w:val="18"/>
              </w:rPr>
              <w:t>hours per fortnight)</w:t>
            </w:r>
          </w:p>
        </w:tc>
        <w:tc>
          <w:tcPr>
            <w:tcW w:w="643" w:type="pct"/>
            <w:tcBorders>
              <w:top w:val="nil"/>
              <w:bottom w:val="nil"/>
            </w:tcBorders>
            <w:shd w:val="clear" w:color="000000" w:fill="F2F2F2"/>
            <w:tcMar>
              <w:top w:w="15" w:type="dxa"/>
              <w:left w:w="15" w:type="dxa"/>
              <w:bottom w:w="0" w:type="dxa"/>
              <w:right w:w="15" w:type="dxa"/>
            </w:tcMar>
          </w:tcPr>
          <w:p w14:paraId="0DB2DADE"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r>
      <w:tr w:rsidR="008E7FC3" w:rsidRPr="00D562BD" w14:paraId="0326DF47" w14:textId="77777777" w:rsidTr="00177648">
        <w:trPr>
          <w:trHeight w:val="1295"/>
        </w:trPr>
        <w:tc>
          <w:tcPr>
            <w:tcW w:w="896" w:type="pct"/>
            <w:tcBorders>
              <w:top w:val="nil"/>
              <w:bottom w:val="nil"/>
            </w:tcBorders>
            <w:shd w:val="clear" w:color="auto" w:fill="auto"/>
            <w:tcMar>
              <w:top w:w="15" w:type="dxa"/>
              <w:left w:w="15" w:type="dxa"/>
              <w:bottom w:w="0" w:type="dxa"/>
              <w:right w:w="15" w:type="dxa"/>
            </w:tcMar>
            <w:hideMark/>
          </w:tcPr>
          <w:p w14:paraId="4132F0F1" w14:textId="77777777" w:rsidR="008E7FC3" w:rsidRPr="00D562BD" w:rsidRDefault="008E7FC3" w:rsidP="00177648">
            <w:pPr>
              <w:pStyle w:val="BodyText"/>
              <w:spacing w:before="45" w:after="45"/>
              <w:ind w:left="57" w:right="108"/>
              <w:rPr>
                <w:rFonts w:ascii="Arial (Body)" w:hAnsi="Arial (Body)"/>
                <w:b/>
                <w:color w:val="265A9A"/>
                <w:sz w:val="18"/>
              </w:rPr>
            </w:pPr>
            <w:r>
              <w:rPr>
                <w:rFonts w:ascii="Arial (Body)" w:hAnsi="Arial (Body)"/>
                <w:b/>
                <w:bCs/>
                <w:color w:val="265A9A"/>
                <w:sz w:val="18"/>
              </w:rPr>
              <w:t>4: Relax the activity test and increase the subsidy rate</w:t>
            </w:r>
            <w:r w:rsidRPr="00AC4EC9">
              <w:rPr>
                <w:rFonts w:ascii="Arial (Body)" w:hAnsi="Arial (Body)"/>
                <w:b/>
                <w:bCs/>
                <w:color w:val="265A9A"/>
                <w:sz w:val="18"/>
              </w:rPr>
              <w:t xml:space="preserve"> to 100% for lo</w:t>
            </w:r>
            <w:r>
              <w:rPr>
                <w:rFonts w:ascii="Arial (Body)" w:hAnsi="Arial (Body)"/>
                <w:b/>
                <w:bCs/>
                <w:color w:val="265A9A"/>
                <w:sz w:val="18"/>
              </w:rPr>
              <w:t>wer</w:t>
            </w:r>
            <w:r>
              <w:rPr>
                <w:rFonts w:ascii="Arial (Body)" w:hAnsi="Arial (Body)"/>
                <w:b/>
                <w:bCs/>
                <w:color w:val="265A9A"/>
                <w:sz w:val="18"/>
              </w:rPr>
              <w:noBreakHyphen/>
            </w:r>
            <w:r w:rsidRPr="00AC4EC9">
              <w:rPr>
                <w:rFonts w:ascii="Arial (Body)" w:hAnsi="Arial (Body)"/>
                <w:b/>
                <w:bCs/>
                <w:color w:val="265A9A"/>
                <w:sz w:val="18"/>
              </w:rPr>
              <w:t>income families</w:t>
            </w:r>
          </w:p>
        </w:tc>
        <w:tc>
          <w:tcPr>
            <w:tcW w:w="1246" w:type="pct"/>
            <w:tcBorders>
              <w:top w:val="nil"/>
              <w:bottom w:val="nil"/>
            </w:tcBorders>
            <w:shd w:val="clear" w:color="auto" w:fill="auto"/>
            <w:tcMar>
              <w:top w:w="15" w:type="dxa"/>
              <w:left w:w="15" w:type="dxa"/>
              <w:bottom w:w="0" w:type="dxa"/>
              <w:right w:w="15" w:type="dxa"/>
            </w:tcMar>
            <w:hideMark/>
          </w:tcPr>
          <w:p w14:paraId="5A5229DC"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1D1CD4BC"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1ppt for every $5,000 over $80,000</w:t>
            </w:r>
          </w:p>
        </w:tc>
        <w:tc>
          <w:tcPr>
            <w:tcW w:w="1286" w:type="pct"/>
            <w:tcBorders>
              <w:top w:val="nil"/>
              <w:bottom w:val="nil"/>
            </w:tcBorders>
            <w:shd w:val="clear" w:color="auto" w:fill="auto"/>
            <w:tcMar>
              <w:top w:w="15" w:type="dxa"/>
              <w:left w:w="15" w:type="dxa"/>
              <w:bottom w:w="0" w:type="dxa"/>
              <w:right w:w="15" w:type="dxa"/>
            </w:tcMar>
            <w:hideMark/>
          </w:tcPr>
          <w:p w14:paraId="7619F4C7"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5CD0773E" w14:textId="77777777" w:rsidR="008E7FC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1ppt for every $5,000 over $80,000</w:t>
            </w:r>
          </w:p>
          <w:p w14:paraId="447B7697" w14:textId="77777777" w:rsidR="008E7FC3" w:rsidRPr="00D562BD"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Families with an adjusted taxable income of $580,000 and above ineligible</w:t>
            </w:r>
          </w:p>
        </w:tc>
        <w:tc>
          <w:tcPr>
            <w:tcW w:w="929" w:type="pct"/>
            <w:tcBorders>
              <w:top w:val="nil"/>
              <w:bottom w:val="nil"/>
            </w:tcBorders>
            <w:shd w:val="clear" w:color="auto" w:fill="auto"/>
            <w:tcMar>
              <w:top w:w="15" w:type="dxa"/>
              <w:left w:w="15" w:type="dxa"/>
              <w:bottom w:w="0" w:type="dxa"/>
              <w:right w:w="15" w:type="dxa"/>
            </w:tcMar>
            <w:hideMark/>
          </w:tcPr>
          <w:p w14:paraId="4F815C5E"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None for three days of ECEC</w:t>
            </w:r>
            <w:r>
              <w:rPr>
                <w:rFonts w:ascii="Arial (Body)" w:hAnsi="Arial (Body)"/>
                <w:color w:val="000000"/>
                <w:sz w:val="18"/>
              </w:rPr>
              <w:t xml:space="preserve"> per week</w:t>
            </w:r>
            <w:r w:rsidRPr="00D562BD">
              <w:rPr>
                <w:rFonts w:ascii="Arial (Body)" w:hAnsi="Arial (Body)"/>
                <w:color w:val="000000"/>
                <w:sz w:val="18"/>
              </w:rPr>
              <w:t xml:space="preserve"> (</w:t>
            </w:r>
            <w:r w:rsidRPr="00CF6DDF">
              <w:rPr>
                <w:rFonts w:ascii="Arial (Body)" w:hAnsi="Arial (Body)"/>
                <w:color w:val="000000"/>
                <w:sz w:val="18"/>
              </w:rPr>
              <w:t>72</w:t>
            </w:r>
            <w:r>
              <w:rPr>
                <w:rFonts w:ascii="Arial (Body)" w:hAnsi="Arial (Body)" w:hint="eastAsia"/>
                <w:color w:val="000000"/>
                <w:sz w:val="18"/>
              </w:rPr>
              <w:t> </w:t>
            </w:r>
            <w:r w:rsidRPr="00D562BD">
              <w:rPr>
                <w:rFonts w:ascii="Arial (Body)" w:hAnsi="Arial (Body)"/>
                <w:color w:val="000000"/>
                <w:sz w:val="18"/>
              </w:rPr>
              <w:t>hours per fortnight)</w:t>
            </w:r>
            <w:r>
              <w:rPr>
                <w:rFonts w:ascii="Arial (Body)" w:hAnsi="Arial (Body)"/>
                <w:color w:val="000000"/>
                <w:sz w:val="18"/>
              </w:rPr>
              <w:t>, and n</w:t>
            </w:r>
            <w:r w:rsidRPr="00D562BD">
              <w:rPr>
                <w:rFonts w:ascii="Arial (Body)" w:hAnsi="Arial (Body)"/>
                <w:color w:val="000000"/>
                <w:sz w:val="18"/>
              </w:rPr>
              <w:t>o change for days four and five</w:t>
            </w:r>
          </w:p>
        </w:tc>
        <w:tc>
          <w:tcPr>
            <w:tcW w:w="643" w:type="pct"/>
            <w:tcBorders>
              <w:top w:val="nil"/>
              <w:bottom w:val="nil"/>
            </w:tcBorders>
            <w:shd w:val="clear" w:color="auto" w:fill="auto"/>
            <w:tcMar>
              <w:top w:w="15" w:type="dxa"/>
              <w:left w:w="15" w:type="dxa"/>
              <w:bottom w:w="0" w:type="dxa"/>
              <w:right w:w="15" w:type="dxa"/>
            </w:tcMar>
            <w:hideMark/>
          </w:tcPr>
          <w:p w14:paraId="30C15000"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r>
      <w:tr w:rsidR="008E7FC3" w:rsidRPr="00A26FFC" w14:paraId="7630C8C2" w14:textId="77777777" w:rsidTr="00177648">
        <w:trPr>
          <w:trHeight w:val="1605"/>
        </w:trPr>
        <w:tc>
          <w:tcPr>
            <w:tcW w:w="896" w:type="pct"/>
            <w:tcBorders>
              <w:bottom w:val="nil"/>
            </w:tcBorders>
            <w:shd w:val="clear" w:color="000000" w:fill="F2F2F2"/>
            <w:tcMar>
              <w:top w:w="15" w:type="dxa"/>
              <w:left w:w="15" w:type="dxa"/>
              <w:bottom w:w="0" w:type="dxa"/>
              <w:right w:w="15" w:type="dxa"/>
            </w:tcMar>
            <w:hideMark/>
          </w:tcPr>
          <w:p w14:paraId="05506104" w14:textId="77777777" w:rsidR="008E7FC3" w:rsidRPr="00D562BD" w:rsidRDefault="008E7FC3" w:rsidP="00177648">
            <w:pPr>
              <w:pStyle w:val="BodyText"/>
              <w:spacing w:before="45" w:after="45"/>
              <w:ind w:left="57" w:right="108"/>
              <w:rPr>
                <w:rFonts w:ascii="Arial (Body)" w:hAnsi="Arial (Body)"/>
                <w:b/>
                <w:color w:val="265A9A"/>
                <w:sz w:val="18"/>
              </w:rPr>
            </w:pPr>
            <w:r>
              <w:rPr>
                <w:rFonts w:ascii="Arial (Body)" w:hAnsi="Arial (Body)"/>
                <w:b/>
                <w:bCs/>
                <w:color w:val="265A9A"/>
                <w:sz w:val="18"/>
              </w:rPr>
              <w:t>4a</w:t>
            </w:r>
            <w:r w:rsidRPr="00D562BD">
              <w:rPr>
                <w:rFonts w:ascii="Arial (Body)" w:hAnsi="Arial (Body)"/>
                <w:b/>
                <w:bCs/>
                <w:color w:val="265A9A"/>
                <w:sz w:val="18"/>
              </w:rPr>
              <w:t xml:space="preserve">: </w:t>
            </w:r>
            <w:r>
              <w:rPr>
                <w:rFonts w:ascii="Arial (Body)" w:hAnsi="Arial (Body)"/>
                <w:b/>
                <w:bCs/>
                <w:color w:val="265A9A"/>
                <w:sz w:val="18"/>
              </w:rPr>
              <w:t>Relax</w:t>
            </w:r>
            <w:r w:rsidRPr="00D562BD">
              <w:rPr>
                <w:rFonts w:ascii="Arial (Body)" w:hAnsi="Arial (Body)"/>
                <w:b/>
                <w:bCs/>
                <w:color w:val="265A9A"/>
                <w:sz w:val="18"/>
              </w:rPr>
              <w:t xml:space="preserve"> the activity test</w:t>
            </w:r>
            <w:r>
              <w:rPr>
                <w:rFonts w:ascii="Arial (Body)" w:hAnsi="Arial (Body)"/>
                <w:b/>
                <w:bCs/>
                <w:color w:val="265A9A"/>
                <w:sz w:val="18"/>
              </w:rPr>
              <w:t xml:space="preserve"> for all families and</w:t>
            </w:r>
            <w:r w:rsidRPr="00D562BD">
              <w:rPr>
                <w:rFonts w:ascii="Arial (Body)" w:hAnsi="Arial (Body)"/>
                <w:b/>
                <w:bCs/>
                <w:color w:val="265A9A"/>
                <w:sz w:val="18"/>
              </w:rPr>
              <w:t xml:space="preserve"> retain income testing</w:t>
            </w:r>
          </w:p>
        </w:tc>
        <w:tc>
          <w:tcPr>
            <w:tcW w:w="1246" w:type="pct"/>
            <w:tcBorders>
              <w:bottom w:val="nil"/>
            </w:tcBorders>
            <w:shd w:val="clear" w:color="000000" w:fill="F2F2F2"/>
            <w:tcMar>
              <w:top w:w="15" w:type="dxa"/>
              <w:left w:w="15" w:type="dxa"/>
              <w:bottom w:w="0" w:type="dxa"/>
              <w:right w:w="15" w:type="dxa"/>
            </w:tcMar>
            <w:hideMark/>
          </w:tcPr>
          <w:p w14:paraId="77A68F19"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 – based on current income test for all days of ECEC</w:t>
            </w:r>
          </w:p>
        </w:tc>
        <w:tc>
          <w:tcPr>
            <w:tcW w:w="1286" w:type="pct"/>
            <w:tcBorders>
              <w:bottom w:val="nil"/>
            </w:tcBorders>
            <w:shd w:val="clear" w:color="000000" w:fill="F2F2F2"/>
            <w:tcMar>
              <w:top w:w="15" w:type="dxa"/>
              <w:left w:w="15" w:type="dxa"/>
              <w:bottom w:w="0" w:type="dxa"/>
              <w:right w:w="15" w:type="dxa"/>
            </w:tcMar>
            <w:hideMark/>
          </w:tcPr>
          <w:p w14:paraId="4BCCAF34"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c>
          <w:tcPr>
            <w:tcW w:w="929" w:type="pct"/>
            <w:tcBorders>
              <w:bottom w:val="nil"/>
            </w:tcBorders>
            <w:shd w:val="clear" w:color="000000" w:fill="F2F2F2"/>
            <w:tcMar>
              <w:top w:w="15" w:type="dxa"/>
              <w:left w:w="15" w:type="dxa"/>
              <w:bottom w:w="0" w:type="dxa"/>
              <w:right w:w="15" w:type="dxa"/>
            </w:tcMar>
            <w:hideMark/>
          </w:tcPr>
          <w:p w14:paraId="066A35A3" w14:textId="77777777" w:rsidR="008E7FC3" w:rsidRPr="00D562BD"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None for three days of ECEC</w:t>
            </w:r>
            <w:r>
              <w:rPr>
                <w:rFonts w:ascii="Arial (Body)" w:hAnsi="Arial (Body)"/>
                <w:color w:val="000000"/>
                <w:sz w:val="18"/>
              </w:rPr>
              <w:t xml:space="preserve"> per week</w:t>
            </w:r>
            <w:r w:rsidRPr="00D562BD">
              <w:rPr>
                <w:rFonts w:ascii="Arial (Body)" w:hAnsi="Arial (Body)"/>
                <w:color w:val="000000"/>
                <w:sz w:val="18"/>
              </w:rPr>
              <w:t xml:space="preserve"> (</w:t>
            </w:r>
            <w:r w:rsidRPr="00CF6DDF">
              <w:rPr>
                <w:rFonts w:ascii="Arial (Body)" w:hAnsi="Arial (Body)"/>
                <w:color w:val="000000"/>
                <w:sz w:val="18"/>
              </w:rPr>
              <w:t>72</w:t>
            </w:r>
            <w:r>
              <w:rPr>
                <w:rFonts w:ascii="Arial (Body)" w:hAnsi="Arial (Body)" w:hint="eastAsia"/>
                <w:color w:val="000000"/>
                <w:sz w:val="18"/>
              </w:rPr>
              <w:t> </w:t>
            </w:r>
            <w:r w:rsidRPr="00D562BD">
              <w:rPr>
                <w:rFonts w:ascii="Arial (Body)" w:hAnsi="Arial (Body)"/>
                <w:color w:val="000000"/>
                <w:sz w:val="18"/>
              </w:rPr>
              <w:t>hours per fortnight)</w:t>
            </w:r>
            <w:r>
              <w:rPr>
                <w:rFonts w:ascii="Arial (Body)" w:hAnsi="Arial (Body)"/>
                <w:color w:val="000000"/>
                <w:sz w:val="18"/>
              </w:rPr>
              <w:t>, and n</w:t>
            </w:r>
            <w:r w:rsidRPr="00D562BD">
              <w:rPr>
                <w:rFonts w:ascii="Arial (Body)" w:hAnsi="Arial (Body)"/>
                <w:color w:val="000000"/>
                <w:sz w:val="18"/>
              </w:rPr>
              <w:t>o change for days four and five</w:t>
            </w:r>
          </w:p>
        </w:tc>
        <w:tc>
          <w:tcPr>
            <w:tcW w:w="643" w:type="pct"/>
            <w:tcBorders>
              <w:bottom w:val="nil"/>
            </w:tcBorders>
            <w:shd w:val="clear" w:color="000000" w:fill="F2F2F2"/>
            <w:tcMar>
              <w:top w:w="15" w:type="dxa"/>
              <w:left w:w="15" w:type="dxa"/>
              <w:bottom w:w="0" w:type="dxa"/>
              <w:right w:w="15" w:type="dxa"/>
            </w:tcMar>
            <w:hideMark/>
          </w:tcPr>
          <w:p w14:paraId="3398563A" w14:textId="77777777" w:rsidR="008E7FC3" w:rsidRPr="00A26FFC"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r>
      <w:tr w:rsidR="008E7FC3" w:rsidRPr="00A26FFC" w14:paraId="495135AC" w14:textId="77777777" w:rsidTr="00177648">
        <w:trPr>
          <w:trHeight w:val="668"/>
        </w:trPr>
        <w:tc>
          <w:tcPr>
            <w:tcW w:w="896" w:type="pct"/>
            <w:tcBorders>
              <w:top w:val="nil"/>
              <w:bottom w:val="nil"/>
            </w:tcBorders>
            <w:shd w:val="clear" w:color="000000" w:fill="auto"/>
            <w:tcMar>
              <w:top w:w="15" w:type="dxa"/>
              <w:left w:w="15" w:type="dxa"/>
              <w:bottom w:w="0" w:type="dxa"/>
              <w:right w:w="15" w:type="dxa"/>
            </w:tcMar>
            <w:hideMark/>
          </w:tcPr>
          <w:p w14:paraId="4892A493"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5</w:t>
            </w:r>
            <w:r w:rsidRPr="00D562BD">
              <w:rPr>
                <w:rFonts w:ascii="Arial (Body)" w:hAnsi="Arial (Body)"/>
                <w:b/>
                <w:bCs/>
                <w:color w:val="265A9A"/>
                <w:sz w:val="18"/>
              </w:rPr>
              <w:t>:</w:t>
            </w:r>
            <w:r>
              <w:rPr>
                <w:rFonts w:ascii="Arial (Body)" w:hAnsi="Arial (Body)"/>
                <w:b/>
                <w:bCs/>
                <w:color w:val="265A9A"/>
                <w:sz w:val="18"/>
              </w:rPr>
              <w:t xml:space="preserve"> </w:t>
            </w:r>
            <w:r w:rsidRPr="009F52F1">
              <w:rPr>
                <w:rFonts w:ascii="Arial (Body)" w:hAnsi="Arial (Body)"/>
                <w:b/>
                <w:bCs/>
                <w:color w:val="265A9A"/>
                <w:sz w:val="18"/>
              </w:rPr>
              <w:t>90% subsidy for all families</w:t>
            </w:r>
            <w:r>
              <w:rPr>
                <w:rFonts w:ascii="Arial (Body)" w:hAnsi="Arial (Body)"/>
                <w:b/>
                <w:bCs/>
                <w:color w:val="265A9A"/>
                <w:sz w:val="18"/>
              </w:rPr>
              <w:t xml:space="preserve"> and retain activity test</w:t>
            </w:r>
          </w:p>
          <w:p w14:paraId="3CC07D09" w14:textId="77777777" w:rsidR="008E7FC3" w:rsidRPr="00D562BD" w:rsidRDefault="008E7FC3" w:rsidP="00177648">
            <w:pPr>
              <w:pStyle w:val="BodyText"/>
              <w:spacing w:before="45" w:after="45"/>
              <w:ind w:left="57" w:right="108"/>
              <w:rPr>
                <w:rFonts w:ascii="Arial (Body)" w:hAnsi="Arial (Body)"/>
                <w:b/>
                <w:color w:val="265A9A"/>
                <w:sz w:val="18"/>
              </w:rPr>
            </w:pPr>
            <w:r>
              <w:rPr>
                <w:rFonts w:ascii="Arial (Body)" w:hAnsi="Arial (Body)"/>
                <w:b/>
                <w:bCs/>
                <w:color w:val="265A9A"/>
                <w:sz w:val="18"/>
              </w:rPr>
              <w:t>(Option B)</w:t>
            </w:r>
          </w:p>
        </w:tc>
        <w:tc>
          <w:tcPr>
            <w:tcW w:w="1246" w:type="pct"/>
            <w:tcBorders>
              <w:top w:val="nil"/>
              <w:bottom w:val="nil"/>
            </w:tcBorders>
            <w:shd w:val="clear" w:color="000000" w:fill="auto"/>
            <w:tcMar>
              <w:top w:w="15" w:type="dxa"/>
              <w:left w:w="15" w:type="dxa"/>
              <w:bottom w:w="0" w:type="dxa"/>
              <w:right w:w="15" w:type="dxa"/>
            </w:tcMar>
            <w:hideMark/>
          </w:tcPr>
          <w:p w14:paraId="3F898FBF" w14:textId="77777777" w:rsidR="008E7FC3" w:rsidRPr="00D562BD" w:rsidRDefault="008E7FC3" w:rsidP="00177648">
            <w:pPr>
              <w:pStyle w:val="BodyText"/>
              <w:spacing w:before="45" w:after="45"/>
              <w:ind w:left="57" w:right="108"/>
              <w:rPr>
                <w:rFonts w:ascii="Arial (Body)" w:hAnsi="Arial (Body)"/>
                <w:color w:val="000000"/>
                <w:sz w:val="18"/>
              </w:rPr>
            </w:pPr>
            <w:r w:rsidRPr="0090065D">
              <w:rPr>
                <w:rFonts w:ascii="Arial (Body)" w:hAnsi="Arial (Body)"/>
                <w:color w:val="000000"/>
                <w:sz w:val="18"/>
              </w:rPr>
              <w:t>90% for all families</w:t>
            </w:r>
          </w:p>
        </w:tc>
        <w:tc>
          <w:tcPr>
            <w:tcW w:w="1286" w:type="pct"/>
            <w:tcBorders>
              <w:top w:val="nil"/>
              <w:bottom w:val="nil"/>
            </w:tcBorders>
            <w:shd w:val="clear" w:color="000000" w:fill="auto"/>
            <w:tcMar>
              <w:top w:w="15" w:type="dxa"/>
              <w:left w:w="15" w:type="dxa"/>
              <w:bottom w:w="0" w:type="dxa"/>
              <w:right w:w="15" w:type="dxa"/>
            </w:tcMar>
            <w:hideMark/>
          </w:tcPr>
          <w:p w14:paraId="1B5C652F" w14:textId="77777777" w:rsidR="008E7FC3" w:rsidRPr="00B50357"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Families remain receiving the HCCS rate if they are eligible for a rate greater than 90%</w:t>
            </w:r>
          </w:p>
        </w:tc>
        <w:tc>
          <w:tcPr>
            <w:tcW w:w="929" w:type="pct"/>
            <w:tcBorders>
              <w:top w:val="nil"/>
              <w:bottom w:val="nil"/>
            </w:tcBorders>
            <w:shd w:val="clear" w:color="000000" w:fill="auto"/>
            <w:tcMar>
              <w:top w:w="15" w:type="dxa"/>
              <w:left w:w="15" w:type="dxa"/>
              <w:bottom w:w="0" w:type="dxa"/>
              <w:right w:w="15" w:type="dxa"/>
            </w:tcMar>
            <w:hideMark/>
          </w:tcPr>
          <w:p w14:paraId="42A28AE6" w14:textId="77777777" w:rsidR="008E7FC3" w:rsidRPr="00D562BD" w:rsidRDefault="008E7FC3" w:rsidP="00177648">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c>
          <w:tcPr>
            <w:tcW w:w="643" w:type="pct"/>
            <w:tcBorders>
              <w:top w:val="nil"/>
              <w:bottom w:val="nil"/>
            </w:tcBorders>
            <w:shd w:val="clear" w:color="000000" w:fill="auto"/>
            <w:tcMar>
              <w:top w:w="15" w:type="dxa"/>
              <w:left w:w="15" w:type="dxa"/>
              <w:bottom w:w="0" w:type="dxa"/>
              <w:right w:w="15" w:type="dxa"/>
            </w:tcMar>
            <w:hideMark/>
          </w:tcPr>
          <w:p w14:paraId="70B776B0" w14:textId="77777777" w:rsidR="008E7FC3" w:rsidRPr="00A26FFC" w:rsidRDefault="008E7FC3" w:rsidP="00177648">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r>
      <w:tr w:rsidR="008E7FC3" w:rsidRPr="006255B2" w14:paraId="1A086E3B" w14:textId="77777777" w:rsidTr="00177648">
        <w:trPr>
          <w:trHeight w:val="668"/>
        </w:trPr>
        <w:tc>
          <w:tcPr>
            <w:tcW w:w="896" w:type="pct"/>
            <w:tcBorders>
              <w:bottom w:val="nil"/>
            </w:tcBorders>
            <w:shd w:val="clear" w:color="000000" w:fill="F2F2F2"/>
            <w:tcMar>
              <w:top w:w="15" w:type="dxa"/>
              <w:left w:w="15" w:type="dxa"/>
              <w:bottom w:w="0" w:type="dxa"/>
              <w:right w:w="15" w:type="dxa"/>
            </w:tcMar>
          </w:tcPr>
          <w:p w14:paraId="4B84EB83"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6</w:t>
            </w:r>
            <w:r w:rsidRPr="00D562BD">
              <w:rPr>
                <w:rFonts w:ascii="Arial (Body)" w:hAnsi="Arial (Body)"/>
                <w:b/>
                <w:bCs/>
                <w:color w:val="265A9A"/>
                <w:sz w:val="18"/>
              </w:rPr>
              <w:t xml:space="preserve">: </w:t>
            </w:r>
            <w:r>
              <w:rPr>
                <w:rFonts w:ascii="Arial (Body)" w:hAnsi="Arial (Body)"/>
                <w:b/>
                <w:bCs/>
                <w:color w:val="265A9A"/>
                <w:sz w:val="18"/>
              </w:rPr>
              <w:t>Flat fee ECEC expense per day of $10 for all families and remove activity test</w:t>
            </w:r>
          </w:p>
          <w:p w14:paraId="454BED3C"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(Option C)</w:t>
            </w:r>
          </w:p>
        </w:tc>
        <w:tc>
          <w:tcPr>
            <w:tcW w:w="1246" w:type="pct"/>
            <w:tcBorders>
              <w:bottom w:val="nil"/>
            </w:tcBorders>
            <w:shd w:val="clear" w:color="000000" w:fill="F2F2F2"/>
            <w:tcMar>
              <w:top w:w="15" w:type="dxa"/>
              <w:left w:w="15" w:type="dxa"/>
              <w:bottom w:w="0" w:type="dxa"/>
              <w:right w:w="15" w:type="dxa"/>
            </w:tcMar>
          </w:tcPr>
          <w:p w14:paraId="0CD8FF2D" w14:textId="77777777" w:rsidR="008E7FC3" w:rsidDel="00135A5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the CCS and replace with a $10 flat fee out</w:t>
            </w:r>
            <w:r>
              <w:rPr>
                <w:rFonts w:ascii="Arial (Body)" w:hAnsi="Arial (Body)"/>
                <w:color w:val="000000"/>
                <w:sz w:val="18"/>
              </w:rPr>
              <w:noBreakHyphen/>
              <w:t>of</w:t>
            </w:r>
            <w:r>
              <w:rPr>
                <w:rFonts w:ascii="Arial (Body)" w:hAnsi="Arial (Body)"/>
                <w:color w:val="000000"/>
                <w:sz w:val="18"/>
              </w:rPr>
              <w:noBreakHyphen/>
              <w:t>pocket expense per day for each child</w:t>
            </w:r>
          </w:p>
        </w:tc>
        <w:tc>
          <w:tcPr>
            <w:tcW w:w="1286" w:type="pct"/>
            <w:tcBorders>
              <w:bottom w:val="nil"/>
            </w:tcBorders>
            <w:shd w:val="clear" w:color="000000" w:fill="F2F2F2"/>
            <w:tcMar>
              <w:top w:w="15" w:type="dxa"/>
              <w:left w:w="15" w:type="dxa"/>
              <w:bottom w:w="0" w:type="dxa"/>
              <w:right w:w="15" w:type="dxa"/>
            </w:tcMar>
          </w:tcPr>
          <w:p w14:paraId="7BC215CB" w14:textId="77777777" w:rsidR="008E7FC3" w:rsidDel="00135A5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w:t>
            </w:r>
          </w:p>
        </w:tc>
        <w:tc>
          <w:tcPr>
            <w:tcW w:w="929" w:type="pct"/>
            <w:tcBorders>
              <w:bottom w:val="nil"/>
            </w:tcBorders>
            <w:shd w:val="clear" w:color="000000" w:fill="F2F2F2"/>
            <w:tcMar>
              <w:top w:w="15" w:type="dxa"/>
              <w:left w:w="15" w:type="dxa"/>
              <w:bottom w:w="0" w:type="dxa"/>
              <w:right w:w="15" w:type="dxa"/>
            </w:tcMar>
          </w:tcPr>
          <w:p w14:paraId="5FCB12A4" w14:textId="77777777" w:rsidR="008E7FC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w:t>
            </w:r>
            <w:r>
              <w:rPr>
                <w:rFonts w:ascii="Arial (Body)" w:hAnsi="Arial (Body)" w:hint="eastAsia"/>
                <w:color w:val="000000"/>
                <w:sz w:val="18"/>
              </w:rPr>
              <w:t> </w:t>
            </w:r>
            <w:r>
              <w:rPr>
                <w:rFonts w:ascii="Arial (Body)" w:hAnsi="Arial (Body)"/>
                <w:color w:val="000000"/>
                <w:sz w:val="18"/>
              </w:rPr>
              <w:t>hours per fortnight)</w:t>
            </w:r>
          </w:p>
        </w:tc>
        <w:tc>
          <w:tcPr>
            <w:tcW w:w="643" w:type="pct"/>
            <w:tcBorders>
              <w:bottom w:val="nil"/>
            </w:tcBorders>
            <w:shd w:val="clear" w:color="000000" w:fill="F2F2F2"/>
            <w:tcMar>
              <w:top w:w="15" w:type="dxa"/>
              <w:left w:w="15" w:type="dxa"/>
              <w:bottom w:w="0" w:type="dxa"/>
              <w:right w:w="15" w:type="dxa"/>
            </w:tcMar>
          </w:tcPr>
          <w:p w14:paraId="0C970E33" w14:textId="77777777" w:rsidR="008E7FC3" w:rsidRDefault="008E7FC3" w:rsidP="00177648">
            <w:pPr>
              <w:pStyle w:val="BodyText"/>
              <w:spacing w:before="45" w:after="45"/>
              <w:ind w:left="57" w:right="108"/>
              <w:rPr>
                <w:rFonts w:ascii="Arial (Body)" w:hAnsi="Arial (Body)"/>
                <w:color w:val="000000"/>
                <w:sz w:val="18"/>
              </w:rPr>
            </w:pPr>
            <w:r w:rsidRPr="005917E4">
              <w:rPr>
                <w:rFonts w:ascii="Arial (Body)" w:hAnsi="Arial (Body)"/>
                <w:color w:val="000000"/>
                <w:sz w:val="18"/>
              </w:rPr>
              <w:t>No change</w:t>
            </w:r>
          </w:p>
        </w:tc>
      </w:tr>
      <w:tr w:rsidR="008E7FC3" w:rsidRPr="006255B2" w14:paraId="21428942" w14:textId="77777777" w:rsidTr="00177648">
        <w:trPr>
          <w:trHeight w:val="668"/>
        </w:trPr>
        <w:tc>
          <w:tcPr>
            <w:tcW w:w="896" w:type="pct"/>
            <w:tcBorders>
              <w:top w:val="nil"/>
            </w:tcBorders>
            <w:shd w:val="clear" w:color="000000" w:fill="auto"/>
            <w:tcMar>
              <w:top w:w="15" w:type="dxa"/>
              <w:left w:w="15" w:type="dxa"/>
              <w:bottom w:w="0" w:type="dxa"/>
              <w:right w:w="15" w:type="dxa"/>
            </w:tcMar>
          </w:tcPr>
          <w:p w14:paraId="50798DA5" w14:textId="77777777" w:rsidR="008E7FC3" w:rsidRDefault="008E7FC3" w:rsidP="00177648">
            <w:pPr>
              <w:pStyle w:val="BodyText"/>
              <w:spacing w:before="45" w:after="45"/>
              <w:ind w:left="57" w:right="108"/>
              <w:rPr>
                <w:rFonts w:ascii="Arial (Body)" w:hAnsi="Arial (Body)"/>
                <w:b/>
                <w:bCs/>
                <w:color w:val="265A9A"/>
                <w:sz w:val="18"/>
              </w:rPr>
            </w:pPr>
            <w:r>
              <w:rPr>
                <w:rFonts w:ascii="Arial (Body)" w:hAnsi="Arial (Body)"/>
                <w:b/>
                <w:bCs/>
                <w:color w:val="265A9A"/>
                <w:sz w:val="18"/>
              </w:rPr>
              <w:t>6a: Flat fee ECEC expense per day of $10, 100% subsidy rate for lower</w:t>
            </w:r>
            <w:r>
              <w:rPr>
                <w:rFonts w:ascii="Arial (Body)" w:hAnsi="Arial (Body)"/>
                <w:b/>
                <w:bCs/>
                <w:color w:val="265A9A"/>
                <w:sz w:val="18"/>
              </w:rPr>
              <w:noBreakHyphen/>
              <w:t>income families and remove activity test</w:t>
            </w:r>
          </w:p>
        </w:tc>
        <w:tc>
          <w:tcPr>
            <w:tcW w:w="1246" w:type="pct"/>
            <w:tcBorders>
              <w:top w:val="nil"/>
            </w:tcBorders>
            <w:shd w:val="clear" w:color="000000" w:fill="auto"/>
            <w:tcMar>
              <w:top w:w="15" w:type="dxa"/>
              <w:left w:w="15" w:type="dxa"/>
              <w:bottom w:w="0" w:type="dxa"/>
              <w:right w:w="15" w:type="dxa"/>
            </w:tcMar>
          </w:tcPr>
          <w:p w14:paraId="623BE654" w14:textId="77777777" w:rsidR="008E7FC3" w:rsidRDefault="008E7FC3" w:rsidP="0017764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an adjusted taxable income of $80,000 and under</w:t>
            </w:r>
          </w:p>
          <w:p w14:paraId="2F001A3B" w14:textId="77777777" w:rsidR="008E7FC3" w:rsidRPr="00D562BD" w:rsidDel="00BB3D22"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the CCS and replace with a $10 flat fee out</w:t>
            </w:r>
            <w:r>
              <w:rPr>
                <w:rFonts w:ascii="Arial (Body)" w:hAnsi="Arial (Body)"/>
                <w:color w:val="000000"/>
                <w:sz w:val="18"/>
              </w:rPr>
              <w:noBreakHyphen/>
              <w:t>of</w:t>
            </w:r>
            <w:r>
              <w:rPr>
                <w:rFonts w:ascii="Arial (Body)" w:hAnsi="Arial (Body)"/>
                <w:color w:val="000000"/>
                <w:sz w:val="18"/>
              </w:rPr>
              <w:noBreakHyphen/>
              <w:t>pocket expense per day for each child</w:t>
            </w:r>
          </w:p>
        </w:tc>
        <w:tc>
          <w:tcPr>
            <w:tcW w:w="1286" w:type="pct"/>
            <w:tcBorders>
              <w:top w:val="nil"/>
            </w:tcBorders>
            <w:shd w:val="clear" w:color="000000" w:fill="auto"/>
            <w:tcMar>
              <w:top w:w="15" w:type="dxa"/>
              <w:left w:w="15" w:type="dxa"/>
              <w:bottom w:w="0" w:type="dxa"/>
              <w:right w:w="15" w:type="dxa"/>
            </w:tcMar>
          </w:tcPr>
          <w:p w14:paraId="31FB0A9F" w14:textId="77777777" w:rsidR="008E7FC3" w:rsidRPr="00D562BD" w:rsidDel="00FD40F0"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w:t>
            </w:r>
          </w:p>
        </w:tc>
        <w:tc>
          <w:tcPr>
            <w:tcW w:w="929" w:type="pct"/>
            <w:tcBorders>
              <w:top w:val="nil"/>
            </w:tcBorders>
            <w:shd w:val="clear" w:color="000000" w:fill="auto"/>
            <w:tcMar>
              <w:top w:w="15" w:type="dxa"/>
              <w:left w:w="15" w:type="dxa"/>
              <w:bottom w:w="0" w:type="dxa"/>
              <w:right w:w="15" w:type="dxa"/>
            </w:tcMar>
          </w:tcPr>
          <w:p w14:paraId="06D350A7" w14:textId="77777777" w:rsidR="008E7FC3"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Remove so that all families are eligible for 50 subsidised hours of ECEC per week (100</w:t>
            </w:r>
            <w:r>
              <w:rPr>
                <w:rFonts w:ascii="Arial (Body)" w:hAnsi="Arial (Body)" w:hint="eastAsia"/>
                <w:color w:val="000000"/>
                <w:sz w:val="18"/>
              </w:rPr>
              <w:t> </w:t>
            </w:r>
            <w:r>
              <w:rPr>
                <w:rFonts w:ascii="Arial (Body)" w:hAnsi="Arial (Body)"/>
                <w:color w:val="000000"/>
                <w:sz w:val="18"/>
              </w:rPr>
              <w:t>hours per fortnight)</w:t>
            </w:r>
          </w:p>
        </w:tc>
        <w:tc>
          <w:tcPr>
            <w:tcW w:w="643" w:type="pct"/>
            <w:tcBorders>
              <w:top w:val="nil"/>
            </w:tcBorders>
            <w:shd w:val="clear" w:color="000000" w:fill="auto"/>
            <w:tcMar>
              <w:top w:w="15" w:type="dxa"/>
              <w:left w:w="15" w:type="dxa"/>
              <w:bottom w:w="0" w:type="dxa"/>
              <w:right w:w="15" w:type="dxa"/>
            </w:tcMar>
          </w:tcPr>
          <w:p w14:paraId="73C9D6CE" w14:textId="77777777" w:rsidR="008E7FC3" w:rsidRPr="005917E4" w:rsidRDefault="008E7FC3" w:rsidP="00177648">
            <w:pPr>
              <w:pStyle w:val="BodyText"/>
              <w:spacing w:before="45" w:after="45"/>
              <w:ind w:left="57" w:right="108"/>
              <w:rPr>
                <w:rFonts w:ascii="Arial (Body)" w:hAnsi="Arial (Body)"/>
                <w:color w:val="000000"/>
                <w:sz w:val="18"/>
              </w:rPr>
            </w:pPr>
            <w:r>
              <w:rPr>
                <w:rFonts w:ascii="Arial (Body)" w:hAnsi="Arial (Body)"/>
                <w:color w:val="000000"/>
                <w:sz w:val="18"/>
              </w:rPr>
              <w:t>No change</w:t>
            </w:r>
          </w:p>
        </w:tc>
      </w:tr>
    </w:tbl>
    <w:p w14:paraId="10987C86" w14:textId="77777777" w:rsidR="008E7FC3" w:rsidRDefault="008E7FC3" w:rsidP="008E7FC3">
      <w:pPr>
        <w:pStyle w:val="Heading3"/>
      </w:pPr>
      <w:r>
        <w:lastRenderedPageBreak/>
        <w:t>Summary of results</w:t>
      </w:r>
    </w:p>
    <w:p w14:paraId="44EDE876" w14:textId="77777777" w:rsidR="008E7FC3" w:rsidRDefault="008E7FC3" w:rsidP="008E7FC3">
      <w:pPr>
        <w:pStyle w:val="BodyText"/>
      </w:pPr>
      <w:r>
        <w:t>This section sets out results for the options modelled as part of the inquiry (as presented in table G.13). The results are presented by income quartile. Tables G.14 to G.17 present percentage changes and full-time equivalent changes in labour supply and ECEC demand hours. Tables G.18 to G.21 distinguish between changes in labour supply and ECEC demand that are due to new entrants and people who increase hours (extensive and intensive margins). Table G.22 shows changes in CCS expenditure, and table G.23 shows changes in net fiscal impacts.</w:t>
      </w:r>
    </w:p>
    <w:p w14:paraId="75FBD127" w14:textId="77777777" w:rsidR="008E7FC3" w:rsidRDefault="008E7FC3" w:rsidP="008E7FC3">
      <w:pPr>
        <w:pStyle w:val="BodyText"/>
      </w:pPr>
      <w:r>
        <w:t>Paper 6 includes detailed discussion of the results.</w:t>
      </w:r>
    </w:p>
    <w:p w14:paraId="5893C0A6" w14:textId="77777777" w:rsidR="008E7FC3" w:rsidRDefault="008E7FC3" w:rsidP="008E7FC3">
      <w:pPr>
        <w:pStyle w:val="FigureTableHeading"/>
      </w:pPr>
      <w:r>
        <w:t xml:space="preserve">Table </w:t>
      </w:r>
      <w:r>
        <w:rPr>
          <w:noProof/>
        </w:rPr>
        <w:t>G</w:t>
      </w:r>
      <w:r>
        <w:t>.</w:t>
      </w:r>
      <w:r>
        <w:rPr>
          <w:noProof/>
        </w:rPr>
        <w:t xml:space="preserve">14 – </w:t>
      </w:r>
      <w:r>
        <w:t>Percentage change in labour supply hours by income quartile</w:t>
      </w:r>
      <w:r w:rsidRPr="00EC0C27">
        <w:rPr>
          <w:vertAlign w:val="superscript"/>
        </w:rPr>
        <w:t>a</w:t>
      </w:r>
    </w:p>
    <w:p w14:paraId="37528755" w14:textId="77777777" w:rsidR="008E7FC3" w:rsidRDefault="008E7FC3" w:rsidP="008E7FC3">
      <w:pPr>
        <w:pStyle w:val="FigureTableSubheading"/>
      </w:pPr>
      <w:r>
        <w:t>Modelled estimates, 2023</w:t>
      </w:r>
      <w:r>
        <w:noBreakHyphen/>
        <w:t>24</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17"/>
        <w:gridCol w:w="1365"/>
        <w:gridCol w:w="1365"/>
        <w:gridCol w:w="1365"/>
        <w:gridCol w:w="1365"/>
        <w:gridCol w:w="1361"/>
      </w:tblGrid>
      <w:tr w:rsidR="008E7FC3" w:rsidRPr="00030C67" w14:paraId="784D5746" w14:textId="77777777" w:rsidTr="006510ED">
        <w:trPr>
          <w:tblHeader/>
        </w:trPr>
        <w:tc>
          <w:tcPr>
            <w:tcW w:w="1462" w:type="pct"/>
            <w:tcBorders>
              <w:bottom w:val="single" w:sz="4" w:space="0" w:color="B3B3B3"/>
            </w:tcBorders>
            <w:shd w:val="clear" w:color="000000" w:fill="auto"/>
          </w:tcPr>
          <w:p w14:paraId="741E9859" w14:textId="77777777" w:rsidR="008E7FC3" w:rsidRPr="00030C67" w:rsidRDefault="008E7FC3" w:rsidP="00177648">
            <w:pPr>
              <w:pStyle w:val="TableHeading"/>
              <w:rPr>
                <w:rFonts w:ascii="Arial (Body)" w:hAnsi="Arial (Body)"/>
                <w:color w:val="265A9A"/>
              </w:rPr>
            </w:pPr>
            <w:r w:rsidRPr="00225C46">
              <w:t>Options</w:t>
            </w:r>
          </w:p>
        </w:tc>
        <w:tc>
          <w:tcPr>
            <w:tcW w:w="708" w:type="pct"/>
            <w:tcBorders>
              <w:bottom w:val="single" w:sz="4" w:space="0" w:color="B3B3B3"/>
            </w:tcBorders>
            <w:shd w:val="clear" w:color="000000" w:fill="auto"/>
          </w:tcPr>
          <w:p w14:paraId="54C791AE" w14:textId="77777777" w:rsidR="008E7FC3" w:rsidRPr="00030C67" w:rsidRDefault="008E7FC3" w:rsidP="00177648">
            <w:pPr>
              <w:pStyle w:val="TableHeading"/>
              <w:jc w:val="right"/>
            </w:pPr>
            <w:r>
              <w:t>First income quartile</w:t>
            </w:r>
          </w:p>
        </w:tc>
        <w:tc>
          <w:tcPr>
            <w:tcW w:w="708" w:type="pct"/>
            <w:tcBorders>
              <w:bottom w:val="single" w:sz="4" w:space="0" w:color="B3B3B3"/>
            </w:tcBorders>
            <w:shd w:val="clear" w:color="000000" w:fill="auto"/>
          </w:tcPr>
          <w:p w14:paraId="072CAA17" w14:textId="77777777" w:rsidR="008E7FC3" w:rsidRPr="00030C67" w:rsidRDefault="008E7FC3" w:rsidP="00177648">
            <w:pPr>
              <w:pStyle w:val="TableHeading"/>
              <w:jc w:val="right"/>
            </w:pPr>
            <w:r w:rsidRPr="00B26E46">
              <w:rPr>
                <w:spacing w:val="-2"/>
              </w:rPr>
              <w:t>Second income</w:t>
            </w:r>
            <w:r>
              <w:t xml:space="preserve"> quartile</w:t>
            </w:r>
          </w:p>
        </w:tc>
        <w:tc>
          <w:tcPr>
            <w:tcW w:w="708" w:type="pct"/>
            <w:tcBorders>
              <w:bottom w:val="single" w:sz="4" w:space="0" w:color="B3B3B3"/>
            </w:tcBorders>
            <w:shd w:val="clear" w:color="000000" w:fill="auto"/>
          </w:tcPr>
          <w:p w14:paraId="5785DAB8" w14:textId="77777777" w:rsidR="008E7FC3" w:rsidRPr="00030C67" w:rsidRDefault="008E7FC3" w:rsidP="00177648">
            <w:pPr>
              <w:pStyle w:val="TableHeading"/>
              <w:jc w:val="right"/>
            </w:pPr>
            <w:r>
              <w:t>Third income quartile</w:t>
            </w:r>
          </w:p>
        </w:tc>
        <w:tc>
          <w:tcPr>
            <w:tcW w:w="708" w:type="pct"/>
            <w:tcBorders>
              <w:bottom w:val="single" w:sz="4" w:space="0" w:color="B3B3B3"/>
            </w:tcBorders>
            <w:shd w:val="clear" w:color="000000" w:fill="auto"/>
          </w:tcPr>
          <w:p w14:paraId="45249EAF" w14:textId="77777777" w:rsidR="008E7FC3" w:rsidRPr="00030C67" w:rsidRDefault="008E7FC3" w:rsidP="00177648">
            <w:pPr>
              <w:pStyle w:val="TableHeading"/>
              <w:jc w:val="right"/>
            </w:pPr>
            <w:r>
              <w:t>Fourth income quartile</w:t>
            </w:r>
          </w:p>
        </w:tc>
        <w:tc>
          <w:tcPr>
            <w:tcW w:w="708" w:type="pct"/>
            <w:tcBorders>
              <w:bottom w:val="single" w:sz="4" w:space="0" w:color="B3B3B3"/>
            </w:tcBorders>
            <w:shd w:val="clear" w:color="000000" w:fill="auto"/>
            <w:vAlign w:val="bottom"/>
          </w:tcPr>
          <w:p w14:paraId="28E8713F" w14:textId="77777777" w:rsidR="008E7FC3" w:rsidRDefault="008E7FC3" w:rsidP="006510ED">
            <w:pPr>
              <w:pStyle w:val="TableHeading"/>
              <w:jc w:val="right"/>
            </w:pPr>
            <w:r>
              <w:t>Overall</w:t>
            </w:r>
          </w:p>
        </w:tc>
      </w:tr>
      <w:tr w:rsidR="008E7FC3" w:rsidRPr="00030C67" w14:paraId="7AFCB81F" w14:textId="77777777" w:rsidTr="00177648">
        <w:tc>
          <w:tcPr>
            <w:tcW w:w="1462" w:type="pct"/>
            <w:tcBorders>
              <w:top w:val="single" w:sz="4" w:space="0" w:color="B3B3B3"/>
              <w:bottom w:val="nil"/>
            </w:tcBorders>
            <w:shd w:val="clear" w:color="000000" w:fill="F2F2F2"/>
          </w:tcPr>
          <w:p w14:paraId="4A1A0D05"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708" w:type="pct"/>
            <w:tcBorders>
              <w:top w:val="single" w:sz="4" w:space="0" w:color="B3B3B3"/>
              <w:bottom w:val="nil"/>
            </w:tcBorders>
            <w:shd w:val="clear" w:color="000000" w:fill="F2F2F2"/>
          </w:tcPr>
          <w:p w14:paraId="64724491" w14:textId="77777777" w:rsidR="008E7FC3" w:rsidRPr="00030C67" w:rsidRDefault="008E7FC3" w:rsidP="00177648">
            <w:pPr>
              <w:pStyle w:val="TableBody"/>
              <w:spacing w:before="45" w:after="45"/>
              <w:ind w:right="108"/>
              <w:jc w:val="right"/>
              <w:rPr>
                <w:rFonts w:ascii="Arial (Body)" w:hAnsi="Arial (Body)"/>
                <w:color w:val="000000"/>
              </w:rPr>
            </w:pPr>
            <w:r w:rsidRPr="00F04A20">
              <w:t>0.2%</w:t>
            </w:r>
          </w:p>
        </w:tc>
        <w:tc>
          <w:tcPr>
            <w:tcW w:w="708" w:type="pct"/>
            <w:tcBorders>
              <w:top w:val="single" w:sz="4" w:space="0" w:color="B3B3B3"/>
              <w:bottom w:val="nil"/>
            </w:tcBorders>
            <w:shd w:val="clear" w:color="000000" w:fill="F2F2F2"/>
          </w:tcPr>
          <w:p w14:paraId="0EBD6105" w14:textId="77777777" w:rsidR="008E7FC3" w:rsidRPr="00030C67" w:rsidRDefault="008E7FC3" w:rsidP="00177648">
            <w:pPr>
              <w:pStyle w:val="TableBody"/>
              <w:spacing w:before="45" w:after="45"/>
              <w:ind w:right="108"/>
              <w:jc w:val="right"/>
              <w:rPr>
                <w:rFonts w:ascii="Arial (Body)" w:hAnsi="Arial (Body)"/>
                <w:color w:val="000000"/>
              </w:rPr>
            </w:pPr>
            <w:r w:rsidRPr="00F04A20">
              <w:t>-0.4%</w:t>
            </w:r>
          </w:p>
        </w:tc>
        <w:tc>
          <w:tcPr>
            <w:tcW w:w="708" w:type="pct"/>
            <w:tcBorders>
              <w:top w:val="single" w:sz="4" w:space="0" w:color="B3B3B3"/>
              <w:bottom w:val="nil"/>
            </w:tcBorders>
            <w:shd w:val="clear" w:color="000000" w:fill="F2F2F2"/>
          </w:tcPr>
          <w:p w14:paraId="123FB757" w14:textId="77777777" w:rsidR="008E7FC3" w:rsidRDefault="008E7FC3" w:rsidP="00177648">
            <w:pPr>
              <w:pStyle w:val="TableBody"/>
              <w:spacing w:before="45" w:after="45"/>
              <w:ind w:right="108"/>
              <w:jc w:val="right"/>
              <w:rPr>
                <w:rFonts w:ascii="Arial (Body)" w:hAnsi="Arial (Body)"/>
                <w:color w:val="000000"/>
              </w:rPr>
            </w:pPr>
            <w:r w:rsidRPr="00F04A20">
              <w:t>-0.4%</w:t>
            </w:r>
          </w:p>
        </w:tc>
        <w:tc>
          <w:tcPr>
            <w:tcW w:w="708" w:type="pct"/>
            <w:tcBorders>
              <w:top w:val="single" w:sz="4" w:space="0" w:color="B3B3B3"/>
              <w:bottom w:val="nil"/>
            </w:tcBorders>
            <w:shd w:val="clear" w:color="000000" w:fill="F2F2F2"/>
          </w:tcPr>
          <w:p w14:paraId="316932C3" w14:textId="77777777" w:rsidR="008E7FC3" w:rsidRDefault="008E7FC3" w:rsidP="00177648">
            <w:pPr>
              <w:pStyle w:val="TableBody"/>
              <w:spacing w:before="45" w:after="45"/>
              <w:ind w:right="108"/>
              <w:jc w:val="right"/>
              <w:rPr>
                <w:rFonts w:ascii="Arial (Body)" w:hAnsi="Arial (Body)"/>
                <w:color w:val="000000"/>
              </w:rPr>
            </w:pPr>
            <w:r w:rsidRPr="00F04A20">
              <w:t>-0.1%</w:t>
            </w:r>
          </w:p>
        </w:tc>
        <w:tc>
          <w:tcPr>
            <w:tcW w:w="708" w:type="pct"/>
            <w:tcBorders>
              <w:top w:val="single" w:sz="4" w:space="0" w:color="B3B3B3"/>
              <w:bottom w:val="nil"/>
            </w:tcBorders>
            <w:shd w:val="clear" w:color="000000" w:fill="F2F2F2"/>
          </w:tcPr>
          <w:p w14:paraId="2BCD387C" w14:textId="77777777" w:rsidR="008E7FC3" w:rsidRPr="00F04A20" w:rsidRDefault="008E7FC3" w:rsidP="00177648">
            <w:pPr>
              <w:pStyle w:val="TableBody"/>
              <w:spacing w:before="45" w:after="45"/>
              <w:ind w:right="108"/>
              <w:jc w:val="right"/>
            </w:pPr>
            <w:r w:rsidRPr="002D19E6">
              <w:t>-0.2%</w:t>
            </w:r>
          </w:p>
        </w:tc>
      </w:tr>
      <w:tr w:rsidR="008E7FC3" w:rsidRPr="00030C67" w14:paraId="43E2BC28" w14:textId="77777777" w:rsidTr="00177648">
        <w:tc>
          <w:tcPr>
            <w:tcW w:w="1462" w:type="pct"/>
            <w:tcBorders>
              <w:top w:val="nil"/>
              <w:bottom w:val="nil"/>
            </w:tcBorders>
            <w:shd w:val="clear" w:color="000000" w:fill="auto"/>
          </w:tcPr>
          <w:p w14:paraId="4C307D9D"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708" w:type="pct"/>
            <w:tcBorders>
              <w:top w:val="nil"/>
              <w:bottom w:val="nil"/>
            </w:tcBorders>
            <w:shd w:val="clear" w:color="000000" w:fill="auto"/>
          </w:tcPr>
          <w:p w14:paraId="7B4FCFB7" w14:textId="77777777" w:rsidR="008E7FC3" w:rsidRPr="00030C67" w:rsidRDefault="008E7FC3" w:rsidP="00177648">
            <w:pPr>
              <w:pStyle w:val="TableBody"/>
              <w:spacing w:before="45" w:after="45"/>
              <w:ind w:right="108"/>
              <w:jc w:val="right"/>
              <w:rPr>
                <w:rFonts w:ascii="Arial (Body)" w:hAnsi="Arial (Body)"/>
                <w:color w:val="000000"/>
              </w:rPr>
            </w:pPr>
            <w:r w:rsidRPr="00F04A20">
              <w:t>3.0%</w:t>
            </w:r>
          </w:p>
        </w:tc>
        <w:tc>
          <w:tcPr>
            <w:tcW w:w="708" w:type="pct"/>
            <w:tcBorders>
              <w:top w:val="nil"/>
              <w:bottom w:val="nil"/>
            </w:tcBorders>
            <w:shd w:val="clear" w:color="000000" w:fill="auto"/>
          </w:tcPr>
          <w:p w14:paraId="3FE09DF6" w14:textId="77777777" w:rsidR="008E7FC3" w:rsidRPr="00030C67" w:rsidRDefault="008E7FC3" w:rsidP="00177648">
            <w:pPr>
              <w:pStyle w:val="TableBody"/>
              <w:spacing w:before="45" w:after="45"/>
              <w:ind w:right="108"/>
              <w:jc w:val="right"/>
              <w:rPr>
                <w:rFonts w:ascii="Arial (Body)" w:hAnsi="Arial (Body)"/>
                <w:color w:val="000000"/>
              </w:rPr>
            </w:pPr>
            <w:r w:rsidRPr="00F04A20">
              <w:t>1.7%</w:t>
            </w:r>
          </w:p>
        </w:tc>
        <w:tc>
          <w:tcPr>
            <w:tcW w:w="708" w:type="pct"/>
            <w:tcBorders>
              <w:top w:val="nil"/>
              <w:bottom w:val="nil"/>
            </w:tcBorders>
            <w:shd w:val="clear" w:color="000000" w:fill="auto"/>
          </w:tcPr>
          <w:p w14:paraId="2718B139" w14:textId="77777777" w:rsidR="008E7FC3" w:rsidRDefault="008E7FC3" w:rsidP="00177648">
            <w:pPr>
              <w:pStyle w:val="TableBody"/>
              <w:spacing w:before="45" w:after="45"/>
              <w:ind w:right="108"/>
              <w:jc w:val="right"/>
              <w:rPr>
                <w:rFonts w:ascii="Arial (Body)" w:hAnsi="Arial (Body)"/>
                <w:color w:val="000000"/>
              </w:rPr>
            </w:pPr>
            <w:r w:rsidRPr="00F04A20">
              <w:t>0.2%</w:t>
            </w:r>
          </w:p>
        </w:tc>
        <w:tc>
          <w:tcPr>
            <w:tcW w:w="708" w:type="pct"/>
            <w:tcBorders>
              <w:top w:val="nil"/>
              <w:bottom w:val="nil"/>
            </w:tcBorders>
            <w:shd w:val="clear" w:color="000000" w:fill="auto"/>
          </w:tcPr>
          <w:p w14:paraId="79539CCA" w14:textId="77777777" w:rsidR="008E7FC3" w:rsidRDefault="008E7FC3" w:rsidP="00177648">
            <w:pPr>
              <w:pStyle w:val="TableBody"/>
              <w:spacing w:before="45" w:after="45"/>
              <w:ind w:right="108"/>
              <w:jc w:val="right"/>
              <w:rPr>
                <w:rFonts w:ascii="Arial (Body)" w:hAnsi="Arial (Body)"/>
                <w:color w:val="000000"/>
              </w:rPr>
            </w:pPr>
            <w:r w:rsidRPr="00F04A20">
              <w:t>0.3%</w:t>
            </w:r>
          </w:p>
        </w:tc>
        <w:tc>
          <w:tcPr>
            <w:tcW w:w="708" w:type="pct"/>
            <w:tcBorders>
              <w:top w:val="nil"/>
              <w:bottom w:val="nil"/>
            </w:tcBorders>
            <w:shd w:val="clear" w:color="000000" w:fill="auto"/>
          </w:tcPr>
          <w:p w14:paraId="17B2DD5B" w14:textId="77777777" w:rsidR="008E7FC3" w:rsidRPr="00F04A20" w:rsidRDefault="008E7FC3" w:rsidP="00177648">
            <w:pPr>
              <w:pStyle w:val="TableBody"/>
              <w:spacing w:before="45" w:after="45"/>
              <w:ind w:right="108"/>
              <w:jc w:val="right"/>
            </w:pPr>
            <w:r w:rsidRPr="002D19E6">
              <w:t>0.9%</w:t>
            </w:r>
          </w:p>
        </w:tc>
      </w:tr>
      <w:tr w:rsidR="008E7FC3" w:rsidRPr="00030C67" w14:paraId="18476AA4" w14:textId="77777777" w:rsidTr="00177648">
        <w:tc>
          <w:tcPr>
            <w:tcW w:w="1462" w:type="pct"/>
            <w:tcBorders>
              <w:bottom w:val="nil"/>
            </w:tcBorders>
            <w:shd w:val="clear" w:color="000000" w:fill="F2F2F2"/>
          </w:tcPr>
          <w:p w14:paraId="6C592B09" w14:textId="77777777" w:rsidR="008E7FC3" w:rsidRPr="00030C67" w:rsidRDefault="008E7FC3" w:rsidP="00177648">
            <w:pPr>
              <w:pStyle w:val="TableHeading"/>
            </w:pPr>
            <w:r w:rsidRPr="00F04A20">
              <w:t>3: Abolish the activity test for all families and retain income testing</w:t>
            </w:r>
          </w:p>
        </w:tc>
        <w:tc>
          <w:tcPr>
            <w:tcW w:w="708" w:type="pct"/>
            <w:tcBorders>
              <w:bottom w:val="nil"/>
            </w:tcBorders>
            <w:shd w:val="clear" w:color="000000" w:fill="F2F2F2"/>
          </w:tcPr>
          <w:p w14:paraId="33D4F6AD" w14:textId="77777777" w:rsidR="008E7FC3" w:rsidRPr="00030C67" w:rsidRDefault="008E7FC3" w:rsidP="00177648">
            <w:pPr>
              <w:pStyle w:val="TableBody"/>
              <w:spacing w:before="45" w:after="45"/>
              <w:ind w:right="108"/>
              <w:jc w:val="right"/>
              <w:rPr>
                <w:rFonts w:ascii="Arial (Body)" w:hAnsi="Arial (Body)"/>
                <w:color w:val="000000"/>
              </w:rPr>
            </w:pPr>
            <w:r w:rsidRPr="00F04A20">
              <w:t>-2.0%</w:t>
            </w:r>
          </w:p>
        </w:tc>
        <w:tc>
          <w:tcPr>
            <w:tcW w:w="708" w:type="pct"/>
            <w:tcBorders>
              <w:bottom w:val="nil"/>
            </w:tcBorders>
            <w:shd w:val="clear" w:color="000000" w:fill="F2F2F2"/>
          </w:tcPr>
          <w:p w14:paraId="0C080ED0" w14:textId="77777777" w:rsidR="008E7FC3" w:rsidRPr="00030C67" w:rsidRDefault="008E7FC3" w:rsidP="00177648">
            <w:pPr>
              <w:pStyle w:val="TableBody"/>
              <w:spacing w:before="45" w:after="45"/>
              <w:ind w:right="108"/>
              <w:jc w:val="right"/>
              <w:rPr>
                <w:rFonts w:ascii="Arial (Body)" w:hAnsi="Arial (Body)"/>
                <w:color w:val="000000"/>
              </w:rPr>
            </w:pPr>
            <w:r w:rsidRPr="00F04A20">
              <w:t>-1.6%</w:t>
            </w:r>
          </w:p>
        </w:tc>
        <w:tc>
          <w:tcPr>
            <w:tcW w:w="708" w:type="pct"/>
            <w:tcBorders>
              <w:bottom w:val="nil"/>
            </w:tcBorders>
            <w:shd w:val="clear" w:color="000000" w:fill="F2F2F2"/>
          </w:tcPr>
          <w:p w14:paraId="2C2CEB60" w14:textId="77777777" w:rsidR="008E7FC3" w:rsidRDefault="008E7FC3" w:rsidP="00177648">
            <w:pPr>
              <w:pStyle w:val="TableBody"/>
              <w:spacing w:before="45" w:after="45"/>
              <w:ind w:right="108"/>
              <w:jc w:val="right"/>
              <w:rPr>
                <w:rFonts w:ascii="Arial (Body)" w:hAnsi="Arial (Body)"/>
                <w:color w:val="000000"/>
              </w:rPr>
            </w:pPr>
            <w:r w:rsidRPr="00F04A20">
              <w:t>-0.6%</w:t>
            </w:r>
          </w:p>
        </w:tc>
        <w:tc>
          <w:tcPr>
            <w:tcW w:w="708" w:type="pct"/>
            <w:tcBorders>
              <w:bottom w:val="nil"/>
            </w:tcBorders>
            <w:shd w:val="clear" w:color="000000" w:fill="F2F2F2"/>
          </w:tcPr>
          <w:p w14:paraId="524E82FD" w14:textId="77777777" w:rsidR="008E7FC3" w:rsidRDefault="008E7FC3" w:rsidP="00177648">
            <w:pPr>
              <w:pStyle w:val="TableBody"/>
              <w:spacing w:before="45" w:after="45"/>
              <w:ind w:right="108"/>
              <w:jc w:val="right"/>
              <w:rPr>
                <w:rFonts w:ascii="Arial (Body)" w:hAnsi="Arial (Body)"/>
                <w:color w:val="000000"/>
              </w:rPr>
            </w:pPr>
            <w:r w:rsidRPr="00F04A20">
              <w:t>-0.3%</w:t>
            </w:r>
          </w:p>
        </w:tc>
        <w:tc>
          <w:tcPr>
            <w:tcW w:w="708" w:type="pct"/>
            <w:tcBorders>
              <w:bottom w:val="nil"/>
            </w:tcBorders>
            <w:shd w:val="clear" w:color="000000" w:fill="F2F2F2"/>
          </w:tcPr>
          <w:p w14:paraId="2903F7D5" w14:textId="77777777" w:rsidR="008E7FC3" w:rsidRPr="00F04A20" w:rsidRDefault="008E7FC3" w:rsidP="00177648">
            <w:pPr>
              <w:pStyle w:val="TableBody"/>
              <w:spacing w:before="45" w:after="45"/>
              <w:ind w:right="108"/>
              <w:jc w:val="right"/>
            </w:pPr>
            <w:r w:rsidRPr="002D19E6">
              <w:t>-0.9%</w:t>
            </w:r>
          </w:p>
        </w:tc>
      </w:tr>
      <w:tr w:rsidR="008E7FC3" w:rsidRPr="00030C67" w14:paraId="0ABC7026" w14:textId="77777777" w:rsidTr="00177648">
        <w:tc>
          <w:tcPr>
            <w:tcW w:w="1462" w:type="pct"/>
            <w:tcBorders>
              <w:bottom w:val="nil"/>
            </w:tcBorders>
            <w:shd w:val="clear" w:color="000000" w:fill="auto"/>
          </w:tcPr>
          <w:p w14:paraId="06D2DB44"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708" w:type="pct"/>
            <w:tcBorders>
              <w:bottom w:val="nil"/>
            </w:tcBorders>
            <w:shd w:val="clear" w:color="000000" w:fill="auto"/>
          </w:tcPr>
          <w:p w14:paraId="62327054" w14:textId="77777777" w:rsidR="008E7FC3" w:rsidRDefault="008E7FC3" w:rsidP="00177648">
            <w:pPr>
              <w:pStyle w:val="TableBody"/>
              <w:spacing w:before="45" w:after="45"/>
              <w:ind w:right="108"/>
              <w:jc w:val="right"/>
              <w:rPr>
                <w:rFonts w:ascii="Arial (Body)" w:hAnsi="Arial (Body)"/>
                <w:color w:val="000000"/>
              </w:rPr>
            </w:pPr>
            <w:r w:rsidRPr="00F04A20">
              <w:t>0.7%</w:t>
            </w:r>
          </w:p>
        </w:tc>
        <w:tc>
          <w:tcPr>
            <w:tcW w:w="708" w:type="pct"/>
            <w:tcBorders>
              <w:bottom w:val="nil"/>
            </w:tcBorders>
            <w:shd w:val="clear" w:color="000000" w:fill="auto"/>
          </w:tcPr>
          <w:p w14:paraId="440C424C" w14:textId="77777777" w:rsidR="008E7FC3" w:rsidRDefault="008E7FC3" w:rsidP="00177648">
            <w:pPr>
              <w:pStyle w:val="TableBody"/>
              <w:spacing w:before="45" w:after="45"/>
              <w:ind w:right="108"/>
              <w:jc w:val="right"/>
              <w:rPr>
                <w:rFonts w:ascii="Arial (Body)" w:hAnsi="Arial (Body)"/>
                <w:color w:val="000000"/>
              </w:rPr>
            </w:pPr>
            <w:r w:rsidRPr="00F04A20">
              <w:t>0.1%</w:t>
            </w:r>
          </w:p>
        </w:tc>
        <w:tc>
          <w:tcPr>
            <w:tcW w:w="708" w:type="pct"/>
            <w:tcBorders>
              <w:bottom w:val="nil"/>
            </w:tcBorders>
            <w:shd w:val="clear" w:color="000000" w:fill="auto"/>
          </w:tcPr>
          <w:p w14:paraId="25583A26" w14:textId="77777777" w:rsidR="008E7FC3" w:rsidRDefault="008E7FC3" w:rsidP="00177648">
            <w:pPr>
              <w:pStyle w:val="TableBody"/>
              <w:spacing w:before="45" w:after="45"/>
              <w:ind w:right="108"/>
              <w:jc w:val="right"/>
              <w:rPr>
                <w:rFonts w:ascii="Arial (Body)" w:hAnsi="Arial (Body)"/>
                <w:color w:val="000000"/>
              </w:rPr>
            </w:pPr>
            <w:r w:rsidRPr="00F04A20">
              <w:t>-0.3%</w:t>
            </w:r>
          </w:p>
        </w:tc>
        <w:tc>
          <w:tcPr>
            <w:tcW w:w="708" w:type="pct"/>
            <w:tcBorders>
              <w:bottom w:val="nil"/>
            </w:tcBorders>
            <w:shd w:val="clear" w:color="000000" w:fill="auto"/>
          </w:tcPr>
          <w:p w14:paraId="44BB83CB" w14:textId="77777777" w:rsidR="008E7FC3" w:rsidRDefault="008E7FC3" w:rsidP="00177648">
            <w:pPr>
              <w:pStyle w:val="TableBody"/>
              <w:spacing w:before="45" w:after="45"/>
              <w:ind w:right="108"/>
              <w:jc w:val="right"/>
              <w:rPr>
                <w:rFonts w:ascii="Arial (Body)" w:hAnsi="Arial (Body)"/>
                <w:color w:val="000000"/>
              </w:rPr>
            </w:pPr>
            <w:r w:rsidRPr="00F04A20">
              <w:t>0.0%</w:t>
            </w:r>
          </w:p>
        </w:tc>
        <w:tc>
          <w:tcPr>
            <w:tcW w:w="708" w:type="pct"/>
            <w:tcBorders>
              <w:bottom w:val="nil"/>
            </w:tcBorders>
            <w:shd w:val="clear" w:color="000000" w:fill="auto"/>
          </w:tcPr>
          <w:p w14:paraId="68BBE13A" w14:textId="77777777" w:rsidR="008E7FC3" w:rsidRPr="00F04A20" w:rsidRDefault="008E7FC3" w:rsidP="00177648">
            <w:pPr>
              <w:pStyle w:val="TableBody"/>
              <w:spacing w:before="45" w:after="45"/>
              <w:ind w:right="108"/>
              <w:jc w:val="right"/>
            </w:pPr>
            <w:r w:rsidRPr="002D19E6">
              <w:t>0.0%</w:t>
            </w:r>
          </w:p>
        </w:tc>
      </w:tr>
      <w:tr w:rsidR="008E7FC3" w:rsidRPr="00030C67" w14:paraId="1C3664F7" w14:textId="77777777" w:rsidTr="00177648">
        <w:tc>
          <w:tcPr>
            <w:tcW w:w="1462" w:type="pct"/>
            <w:tcBorders>
              <w:top w:val="nil"/>
              <w:bottom w:val="nil"/>
            </w:tcBorders>
            <w:shd w:val="clear" w:color="000000" w:fill="F2F2F2"/>
          </w:tcPr>
          <w:p w14:paraId="7A2721DD" w14:textId="77777777" w:rsidR="008E7FC3" w:rsidRPr="00030C67" w:rsidRDefault="008E7FC3" w:rsidP="00177648">
            <w:pPr>
              <w:pStyle w:val="TableHeading"/>
            </w:pPr>
            <w:r>
              <w:t>4a</w:t>
            </w:r>
            <w:r w:rsidRPr="00F04A20">
              <w:t>: Relax the activity test for all families and retain income testing</w:t>
            </w:r>
          </w:p>
        </w:tc>
        <w:tc>
          <w:tcPr>
            <w:tcW w:w="708" w:type="pct"/>
            <w:tcBorders>
              <w:top w:val="nil"/>
              <w:bottom w:val="nil"/>
            </w:tcBorders>
            <w:shd w:val="clear" w:color="000000" w:fill="F2F2F2"/>
          </w:tcPr>
          <w:p w14:paraId="4A4B271A" w14:textId="77777777" w:rsidR="008E7FC3" w:rsidRDefault="008E7FC3" w:rsidP="00177648">
            <w:pPr>
              <w:pStyle w:val="TableBody"/>
              <w:spacing w:before="45" w:after="45"/>
              <w:ind w:right="108"/>
              <w:jc w:val="right"/>
              <w:rPr>
                <w:rFonts w:ascii="Arial (Body)" w:hAnsi="Arial (Body)"/>
                <w:color w:val="000000"/>
              </w:rPr>
            </w:pPr>
            <w:r w:rsidRPr="00F04A20">
              <w:t>-1.7%</w:t>
            </w:r>
          </w:p>
        </w:tc>
        <w:tc>
          <w:tcPr>
            <w:tcW w:w="708" w:type="pct"/>
            <w:tcBorders>
              <w:top w:val="nil"/>
              <w:bottom w:val="nil"/>
            </w:tcBorders>
            <w:shd w:val="clear" w:color="000000" w:fill="F2F2F2"/>
          </w:tcPr>
          <w:p w14:paraId="4027E830" w14:textId="77777777" w:rsidR="008E7FC3" w:rsidRDefault="008E7FC3" w:rsidP="00177648">
            <w:pPr>
              <w:pStyle w:val="TableBody"/>
              <w:spacing w:before="45" w:after="45"/>
              <w:ind w:right="108"/>
              <w:jc w:val="right"/>
              <w:rPr>
                <w:rFonts w:ascii="Arial (Body)" w:hAnsi="Arial (Body)"/>
                <w:color w:val="000000"/>
              </w:rPr>
            </w:pPr>
            <w:r w:rsidRPr="00F04A20">
              <w:t>-1.3%</w:t>
            </w:r>
          </w:p>
        </w:tc>
        <w:tc>
          <w:tcPr>
            <w:tcW w:w="708" w:type="pct"/>
            <w:tcBorders>
              <w:top w:val="nil"/>
              <w:bottom w:val="nil"/>
            </w:tcBorders>
            <w:shd w:val="clear" w:color="000000" w:fill="F2F2F2"/>
          </w:tcPr>
          <w:p w14:paraId="560347D0" w14:textId="77777777" w:rsidR="008E7FC3" w:rsidRDefault="008E7FC3" w:rsidP="00177648">
            <w:pPr>
              <w:pStyle w:val="TableBody"/>
              <w:spacing w:before="45" w:after="45"/>
              <w:ind w:right="108"/>
              <w:jc w:val="right"/>
              <w:rPr>
                <w:rFonts w:ascii="Arial (Body)" w:hAnsi="Arial (Body)"/>
                <w:color w:val="000000"/>
              </w:rPr>
            </w:pPr>
            <w:r w:rsidRPr="00F04A20">
              <w:t>-0.5%</w:t>
            </w:r>
          </w:p>
        </w:tc>
        <w:tc>
          <w:tcPr>
            <w:tcW w:w="708" w:type="pct"/>
            <w:tcBorders>
              <w:top w:val="nil"/>
              <w:bottom w:val="nil"/>
            </w:tcBorders>
            <w:shd w:val="clear" w:color="000000" w:fill="F2F2F2"/>
          </w:tcPr>
          <w:p w14:paraId="56E6D040" w14:textId="77777777" w:rsidR="008E7FC3" w:rsidRDefault="008E7FC3" w:rsidP="00177648">
            <w:pPr>
              <w:pStyle w:val="TableBody"/>
              <w:spacing w:before="45" w:after="45"/>
              <w:ind w:right="108"/>
              <w:jc w:val="right"/>
              <w:rPr>
                <w:rFonts w:ascii="Arial (Body)" w:hAnsi="Arial (Body)"/>
                <w:color w:val="000000"/>
              </w:rPr>
            </w:pPr>
            <w:r w:rsidRPr="00F04A20">
              <w:t>-0.3%</w:t>
            </w:r>
          </w:p>
        </w:tc>
        <w:tc>
          <w:tcPr>
            <w:tcW w:w="708" w:type="pct"/>
            <w:tcBorders>
              <w:top w:val="nil"/>
              <w:bottom w:val="nil"/>
            </w:tcBorders>
            <w:shd w:val="clear" w:color="000000" w:fill="F2F2F2"/>
          </w:tcPr>
          <w:p w14:paraId="6FD01159" w14:textId="77777777" w:rsidR="008E7FC3" w:rsidRPr="00F04A20" w:rsidRDefault="008E7FC3" w:rsidP="00177648">
            <w:pPr>
              <w:pStyle w:val="TableBody"/>
              <w:spacing w:before="45" w:after="45"/>
              <w:ind w:right="108"/>
              <w:jc w:val="right"/>
            </w:pPr>
            <w:r w:rsidRPr="002D19E6">
              <w:t>-0.7%</w:t>
            </w:r>
          </w:p>
        </w:tc>
      </w:tr>
      <w:tr w:rsidR="008E7FC3" w:rsidRPr="00030C67" w14:paraId="7667E8B0" w14:textId="77777777" w:rsidTr="00177648">
        <w:tc>
          <w:tcPr>
            <w:tcW w:w="1462" w:type="pct"/>
            <w:tcBorders>
              <w:bottom w:val="nil"/>
            </w:tcBorders>
            <w:shd w:val="clear" w:color="000000" w:fill="auto"/>
          </w:tcPr>
          <w:p w14:paraId="6DCC2547" w14:textId="77777777" w:rsidR="008E7FC3" w:rsidRPr="00030C67" w:rsidRDefault="008E7FC3" w:rsidP="00177648">
            <w:pPr>
              <w:pStyle w:val="TableHeading"/>
            </w:pPr>
            <w:r>
              <w:t>5</w:t>
            </w:r>
            <w:r w:rsidRPr="00F04A20">
              <w:t>: 90% subsidy rate for all families with activity test</w:t>
            </w:r>
          </w:p>
        </w:tc>
        <w:tc>
          <w:tcPr>
            <w:tcW w:w="708" w:type="pct"/>
            <w:tcBorders>
              <w:bottom w:val="nil"/>
            </w:tcBorders>
            <w:shd w:val="clear" w:color="000000" w:fill="auto"/>
          </w:tcPr>
          <w:p w14:paraId="4BBF14EC" w14:textId="77777777" w:rsidR="008E7FC3" w:rsidRDefault="008E7FC3" w:rsidP="00177648">
            <w:pPr>
              <w:pStyle w:val="TableBody"/>
              <w:spacing w:before="45" w:after="45"/>
              <w:ind w:right="108"/>
              <w:jc w:val="right"/>
              <w:rPr>
                <w:rFonts w:ascii="Arial (Body)" w:hAnsi="Arial (Body)"/>
                <w:color w:val="000000"/>
              </w:rPr>
            </w:pPr>
            <w:r w:rsidRPr="00F04A20">
              <w:t>0.6%</w:t>
            </w:r>
          </w:p>
        </w:tc>
        <w:tc>
          <w:tcPr>
            <w:tcW w:w="708" w:type="pct"/>
            <w:tcBorders>
              <w:bottom w:val="nil"/>
            </w:tcBorders>
            <w:shd w:val="clear" w:color="000000" w:fill="auto"/>
          </w:tcPr>
          <w:p w14:paraId="7C926C96" w14:textId="77777777" w:rsidR="008E7FC3" w:rsidRDefault="008E7FC3" w:rsidP="00177648">
            <w:pPr>
              <w:pStyle w:val="TableBody"/>
              <w:spacing w:before="45" w:after="45"/>
              <w:ind w:right="108"/>
              <w:jc w:val="right"/>
              <w:rPr>
                <w:rFonts w:ascii="Arial (Body)" w:hAnsi="Arial (Body)"/>
                <w:color w:val="000000"/>
              </w:rPr>
            </w:pPr>
            <w:r w:rsidRPr="00F04A20">
              <w:t>1.6%</w:t>
            </w:r>
          </w:p>
        </w:tc>
        <w:tc>
          <w:tcPr>
            <w:tcW w:w="708" w:type="pct"/>
            <w:tcBorders>
              <w:bottom w:val="nil"/>
            </w:tcBorders>
            <w:shd w:val="clear" w:color="000000" w:fill="auto"/>
          </w:tcPr>
          <w:p w14:paraId="185CA1F1" w14:textId="77777777" w:rsidR="008E7FC3" w:rsidRDefault="008E7FC3" w:rsidP="00177648">
            <w:pPr>
              <w:pStyle w:val="TableBody"/>
              <w:spacing w:before="45" w:after="45"/>
              <w:ind w:right="108"/>
              <w:jc w:val="right"/>
              <w:rPr>
                <w:rFonts w:ascii="Arial (Body)" w:hAnsi="Arial (Body)"/>
                <w:color w:val="000000"/>
              </w:rPr>
            </w:pPr>
            <w:r w:rsidRPr="00F04A20">
              <w:t>0.9%</w:t>
            </w:r>
          </w:p>
        </w:tc>
        <w:tc>
          <w:tcPr>
            <w:tcW w:w="708" w:type="pct"/>
            <w:tcBorders>
              <w:bottom w:val="nil"/>
            </w:tcBorders>
            <w:shd w:val="clear" w:color="000000" w:fill="auto"/>
          </w:tcPr>
          <w:p w14:paraId="34BD604F" w14:textId="77777777" w:rsidR="008E7FC3" w:rsidRDefault="008E7FC3" w:rsidP="00177648">
            <w:pPr>
              <w:pStyle w:val="TableBody"/>
              <w:spacing w:before="45" w:after="45"/>
              <w:ind w:right="108"/>
              <w:jc w:val="right"/>
              <w:rPr>
                <w:rFonts w:ascii="Arial (Body)" w:hAnsi="Arial (Body)"/>
                <w:color w:val="000000"/>
              </w:rPr>
            </w:pPr>
            <w:r w:rsidRPr="00F04A20">
              <w:t>2.2%</w:t>
            </w:r>
          </w:p>
        </w:tc>
        <w:tc>
          <w:tcPr>
            <w:tcW w:w="708" w:type="pct"/>
            <w:tcBorders>
              <w:bottom w:val="nil"/>
            </w:tcBorders>
            <w:shd w:val="clear" w:color="000000" w:fill="auto"/>
          </w:tcPr>
          <w:p w14:paraId="602494A8" w14:textId="77777777" w:rsidR="008E7FC3" w:rsidRPr="00F04A20" w:rsidRDefault="008E7FC3" w:rsidP="00177648">
            <w:pPr>
              <w:pStyle w:val="TableBody"/>
              <w:spacing w:before="45" w:after="45"/>
              <w:ind w:right="108"/>
              <w:jc w:val="right"/>
            </w:pPr>
            <w:r w:rsidRPr="002D19E6">
              <w:t>1.4%</w:t>
            </w:r>
          </w:p>
        </w:tc>
      </w:tr>
      <w:tr w:rsidR="008E7FC3" w:rsidRPr="00030C67" w14:paraId="70ED7A17" w14:textId="77777777" w:rsidTr="00177648">
        <w:tc>
          <w:tcPr>
            <w:tcW w:w="1462" w:type="pct"/>
            <w:tcBorders>
              <w:top w:val="nil"/>
              <w:bottom w:val="nil"/>
            </w:tcBorders>
            <w:shd w:val="clear" w:color="000000" w:fill="F2F2F2"/>
          </w:tcPr>
          <w:p w14:paraId="0B56AB37" w14:textId="77777777" w:rsidR="008E7FC3" w:rsidRPr="00030C67" w:rsidRDefault="008E7FC3" w:rsidP="00177648">
            <w:pPr>
              <w:pStyle w:val="TableHeading"/>
            </w:pPr>
            <w:r>
              <w:t>6</w:t>
            </w:r>
            <w:r w:rsidRPr="00F04A20">
              <w:t>: Flat fee ECEC expense per day of $10 for all families and remove activity test</w:t>
            </w:r>
          </w:p>
        </w:tc>
        <w:tc>
          <w:tcPr>
            <w:tcW w:w="708" w:type="pct"/>
            <w:tcBorders>
              <w:top w:val="nil"/>
              <w:bottom w:val="nil"/>
            </w:tcBorders>
            <w:shd w:val="clear" w:color="000000" w:fill="F2F2F2"/>
          </w:tcPr>
          <w:p w14:paraId="16F31973" w14:textId="77777777" w:rsidR="008E7FC3" w:rsidRDefault="008E7FC3" w:rsidP="00177648">
            <w:pPr>
              <w:pStyle w:val="TableBody"/>
              <w:spacing w:before="45" w:after="45"/>
              <w:ind w:right="108"/>
              <w:jc w:val="right"/>
              <w:rPr>
                <w:rFonts w:ascii="Arial (Body)" w:hAnsi="Arial (Body)"/>
                <w:color w:val="000000"/>
              </w:rPr>
            </w:pPr>
            <w:r w:rsidRPr="00F04A20">
              <w:t>-1.0%</w:t>
            </w:r>
          </w:p>
        </w:tc>
        <w:tc>
          <w:tcPr>
            <w:tcW w:w="708" w:type="pct"/>
            <w:tcBorders>
              <w:top w:val="nil"/>
              <w:bottom w:val="nil"/>
            </w:tcBorders>
            <w:shd w:val="clear" w:color="000000" w:fill="F2F2F2"/>
          </w:tcPr>
          <w:p w14:paraId="07241AA9" w14:textId="77777777" w:rsidR="008E7FC3" w:rsidRDefault="008E7FC3" w:rsidP="00177648">
            <w:pPr>
              <w:pStyle w:val="TableBody"/>
              <w:spacing w:before="45" w:after="45"/>
              <w:ind w:right="108"/>
              <w:jc w:val="right"/>
              <w:rPr>
                <w:rFonts w:ascii="Arial (Body)" w:hAnsi="Arial (Body)"/>
                <w:color w:val="000000"/>
              </w:rPr>
            </w:pPr>
            <w:r w:rsidRPr="00F04A20">
              <w:t>0.5%</w:t>
            </w:r>
          </w:p>
        </w:tc>
        <w:tc>
          <w:tcPr>
            <w:tcW w:w="708" w:type="pct"/>
            <w:tcBorders>
              <w:top w:val="nil"/>
              <w:bottom w:val="nil"/>
            </w:tcBorders>
            <w:shd w:val="clear" w:color="000000" w:fill="F2F2F2"/>
          </w:tcPr>
          <w:p w14:paraId="0F1F7C9F" w14:textId="77777777" w:rsidR="008E7FC3" w:rsidRDefault="008E7FC3" w:rsidP="00177648">
            <w:pPr>
              <w:pStyle w:val="TableBody"/>
              <w:spacing w:before="45" w:after="45"/>
              <w:ind w:right="108"/>
              <w:jc w:val="right"/>
              <w:rPr>
                <w:rFonts w:ascii="Arial (Body)" w:hAnsi="Arial (Body)"/>
                <w:color w:val="000000"/>
              </w:rPr>
            </w:pPr>
            <w:r w:rsidRPr="00F04A20">
              <w:t>0.7%</w:t>
            </w:r>
          </w:p>
        </w:tc>
        <w:tc>
          <w:tcPr>
            <w:tcW w:w="708" w:type="pct"/>
            <w:tcBorders>
              <w:top w:val="nil"/>
              <w:bottom w:val="nil"/>
            </w:tcBorders>
            <w:shd w:val="clear" w:color="000000" w:fill="F2F2F2"/>
          </w:tcPr>
          <w:p w14:paraId="45FC8E38" w14:textId="77777777" w:rsidR="008E7FC3" w:rsidRDefault="008E7FC3" w:rsidP="00177648">
            <w:pPr>
              <w:pStyle w:val="TableBody"/>
              <w:spacing w:before="45" w:after="45"/>
              <w:ind w:right="108"/>
              <w:jc w:val="right"/>
              <w:rPr>
                <w:rFonts w:ascii="Arial (Body)" w:hAnsi="Arial (Body)"/>
                <w:color w:val="000000"/>
              </w:rPr>
            </w:pPr>
            <w:r w:rsidRPr="00F04A20">
              <w:t>2.1%</w:t>
            </w:r>
          </w:p>
        </w:tc>
        <w:tc>
          <w:tcPr>
            <w:tcW w:w="708" w:type="pct"/>
            <w:tcBorders>
              <w:top w:val="nil"/>
              <w:bottom w:val="nil"/>
            </w:tcBorders>
            <w:shd w:val="clear" w:color="000000" w:fill="F2F2F2"/>
          </w:tcPr>
          <w:p w14:paraId="04E8C580" w14:textId="77777777" w:rsidR="008E7FC3" w:rsidRPr="00F04A20" w:rsidRDefault="008E7FC3" w:rsidP="00177648">
            <w:pPr>
              <w:pStyle w:val="TableBody"/>
              <w:spacing w:before="45" w:after="45"/>
              <w:ind w:right="108"/>
              <w:jc w:val="right"/>
            </w:pPr>
            <w:r w:rsidRPr="002D19E6">
              <w:t>0.9%</w:t>
            </w:r>
          </w:p>
        </w:tc>
      </w:tr>
      <w:tr w:rsidR="008E7FC3" w:rsidRPr="00030C67" w14:paraId="0E1D3085" w14:textId="77777777" w:rsidTr="00177648">
        <w:tc>
          <w:tcPr>
            <w:tcW w:w="1462" w:type="pct"/>
            <w:tcBorders>
              <w:bottom w:val="single" w:sz="4" w:space="0" w:color="B3B3B3"/>
            </w:tcBorders>
            <w:shd w:val="clear" w:color="000000" w:fill="auto"/>
          </w:tcPr>
          <w:p w14:paraId="6171C634"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708" w:type="pct"/>
            <w:tcBorders>
              <w:bottom w:val="single" w:sz="4" w:space="0" w:color="B3B3B3"/>
            </w:tcBorders>
            <w:shd w:val="clear" w:color="000000" w:fill="auto"/>
          </w:tcPr>
          <w:p w14:paraId="64CDB0D9" w14:textId="77777777" w:rsidR="008E7FC3" w:rsidRDefault="008E7FC3" w:rsidP="00177648">
            <w:pPr>
              <w:pStyle w:val="TableBody"/>
              <w:spacing w:before="45" w:after="45"/>
              <w:ind w:right="108"/>
              <w:jc w:val="right"/>
              <w:rPr>
                <w:rFonts w:ascii="Arial (Body)" w:hAnsi="Arial (Body)"/>
                <w:color w:val="000000"/>
              </w:rPr>
            </w:pPr>
            <w:r w:rsidRPr="00F04A20">
              <w:t>0.5%</w:t>
            </w:r>
          </w:p>
        </w:tc>
        <w:tc>
          <w:tcPr>
            <w:tcW w:w="708" w:type="pct"/>
            <w:tcBorders>
              <w:bottom w:val="single" w:sz="4" w:space="0" w:color="B3B3B3"/>
            </w:tcBorders>
            <w:shd w:val="clear" w:color="000000" w:fill="auto"/>
          </w:tcPr>
          <w:p w14:paraId="42066D9E" w14:textId="77777777" w:rsidR="008E7FC3" w:rsidRDefault="008E7FC3" w:rsidP="00177648">
            <w:pPr>
              <w:pStyle w:val="TableBody"/>
              <w:spacing w:before="45" w:after="45"/>
              <w:ind w:right="108"/>
              <w:jc w:val="right"/>
              <w:rPr>
                <w:rFonts w:ascii="Arial (Body)" w:hAnsi="Arial (Body)"/>
                <w:color w:val="000000"/>
              </w:rPr>
            </w:pPr>
            <w:r w:rsidRPr="00F04A20">
              <w:t>0.6%</w:t>
            </w:r>
          </w:p>
        </w:tc>
        <w:tc>
          <w:tcPr>
            <w:tcW w:w="708" w:type="pct"/>
            <w:tcBorders>
              <w:bottom w:val="single" w:sz="4" w:space="0" w:color="B3B3B3"/>
            </w:tcBorders>
            <w:shd w:val="clear" w:color="000000" w:fill="auto"/>
          </w:tcPr>
          <w:p w14:paraId="0BA818C0" w14:textId="77777777" w:rsidR="008E7FC3" w:rsidRDefault="008E7FC3" w:rsidP="00177648">
            <w:pPr>
              <w:pStyle w:val="TableBody"/>
              <w:spacing w:before="45" w:after="45"/>
              <w:ind w:right="108"/>
              <w:jc w:val="right"/>
              <w:rPr>
                <w:rFonts w:ascii="Arial (Body)" w:hAnsi="Arial (Body)"/>
                <w:color w:val="000000"/>
              </w:rPr>
            </w:pPr>
            <w:r w:rsidRPr="00F04A20">
              <w:t>0.7%</w:t>
            </w:r>
          </w:p>
        </w:tc>
        <w:tc>
          <w:tcPr>
            <w:tcW w:w="708" w:type="pct"/>
            <w:tcBorders>
              <w:bottom w:val="single" w:sz="4" w:space="0" w:color="B3B3B3"/>
            </w:tcBorders>
            <w:shd w:val="clear" w:color="000000" w:fill="auto"/>
          </w:tcPr>
          <w:p w14:paraId="4ACA22C4" w14:textId="77777777" w:rsidR="008E7FC3" w:rsidRDefault="008E7FC3" w:rsidP="00177648">
            <w:pPr>
              <w:pStyle w:val="TableBody"/>
              <w:spacing w:before="45" w:after="45"/>
              <w:ind w:right="108"/>
              <w:jc w:val="right"/>
              <w:rPr>
                <w:rFonts w:ascii="Arial (Body)" w:hAnsi="Arial (Body)"/>
                <w:color w:val="000000"/>
              </w:rPr>
            </w:pPr>
            <w:r w:rsidRPr="00F04A20">
              <w:t>2.1%</w:t>
            </w:r>
          </w:p>
        </w:tc>
        <w:tc>
          <w:tcPr>
            <w:tcW w:w="708" w:type="pct"/>
            <w:tcBorders>
              <w:bottom w:val="single" w:sz="4" w:space="0" w:color="B3B3B3"/>
            </w:tcBorders>
            <w:shd w:val="clear" w:color="000000" w:fill="auto"/>
          </w:tcPr>
          <w:p w14:paraId="47A488B4" w14:textId="77777777" w:rsidR="008E7FC3" w:rsidRPr="00F04A20" w:rsidRDefault="008E7FC3" w:rsidP="00177648">
            <w:pPr>
              <w:pStyle w:val="TableBody"/>
              <w:spacing w:before="45" w:after="45"/>
              <w:ind w:right="108"/>
              <w:jc w:val="right"/>
            </w:pPr>
            <w:r w:rsidRPr="002D19E6">
              <w:t>1.1%</w:t>
            </w:r>
          </w:p>
        </w:tc>
      </w:tr>
    </w:tbl>
    <w:p w14:paraId="10DB0A9A"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w:t>
      </w:r>
    </w:p>
    <w:p w14:paraId="3E3276D5"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3105AEC2" w14:textId="77777777" w:rsidR="008E7FC3" w:rsidRPr="00A80C1A" w:rsidRDefault="008E7FC3" w:rsidP="008E7FC3">
      <w:pPr>
        <w:pStyle w:val="BodyText"/>
      </w:pPr>
      <w:r w:rsidRPr="00A80C1A">
        <w:br w:type="page"/>
      </w:r>
    </w:p>
    <w:p w14:paraId="420E1919" w14:textId="77777777" w:rsidR="008E7FC3" w:rsidRDefault="008E7FC3" w:rsidP="008E7FC3">
      <w:pPr>
        <w:pStyle w:val="FigureTableHeading"/>
      </w:pPr>
      <w:r>
        <w:lastRenderedPageBreak/>
        <w:t xml:space="preserve">Table </w:t>
      </w:r>
      <w:r>
        <w:rPr>
          <w:noProof/>
        </w:rPr>
        <w:t>G</w:t>
      </w:r>
      <w:r>
        <w:t>.15</w:t>
      </w:r>
      <w:r>
        <w:rPr>
          <w:noProof/>
        </w:rPr>
        <w:t xml:space="preserve"> – </w:t>
      </w:r>
      <w:r>
        <w:t>Percentage change in ECEC demand hours by income quartile</w:t>
      </w:r>
      <w:r w:rsidRPr="00EC0C27">
        <w:rPr>
          <w:vertAlign w:val="superscript"/>
        </w:rPr>
        <w:t>a</w:t>
      </w:r>
    </w:p>
    <w:p w14:paraId="31E5BF02"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6E6953B2" w14:textId="77777777" w:rsidTr="006510ED">
        <w:trPr>
          <w:tblHeader/>
        </w:trPr>
        <w:tc>
          <w:tcPr>
            <w:tcW w:w="2694" w:type="dxa"/>
            <w:tcBorders>
              <w:bottom w:val="single" w:sz="4" w:space="0" w:color="B3B3B3"/>
            </w:tcBorders>
            <w:shd w:val="clear" w:color="000000" w:fill="auto"/>
          </w:tcPr>
          <w:p w14:paraId="55DD6AEB"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2A5BA63E" w14:textId="77777777" w:rsidR="008E7FC3" w:rsidRPr="00225C46" w:rsidRDefault="008E7FC3" w:rsidP="00177648">
            <w:pPr>
              <w:pStyle w:val="TableHeading"/>
              <w:jc w:val="right"/>
              <w:rPr>
                <w:rFonts w:ascii="Arial (Body)" w:hAnsi="Arial (Body)"/>
                <w:color w:val="265A9A"/>
              </w:rPr>
            </w:pPr>
            <w:r w:rsidRPr="00225C46">
              <w:rPr>
                <w:rFonts w:ascii="Arial (Body)" w:hAnsi="Arial (Body)"/>
                <w:color w:val="265A9A"/>
              </w:rPr>
              <w:t>First income quartile</w:t>
            </w:r>
          </w:p>
        </w:tc>
        <w:tc>
          <w:tcPr>
            <w:tcW w:w="1417" w:type="dxa"/>
            <w:tcBorders>
              <w:bottom w:val="single" w:sz="4" w:space="0" w:color="B3B3B3"/>
            </w:tcBorders>
            <w:shd w:val="clear" w:color="000000" w:fill="auto"/>
          </w:tcPr>
          <w:p w14:paraId="19056F71" w14:textId="77777777" w:rsidR="008E7FC3" w:rsidRPr="00225C46" w:rsidRDefault="008E7FC3" w:rsidP="00177648">
            <w:pPr>
              <w:pStyle w:val="TableHeading"/>
              <w:jc w:val="right"/>
              <w:rPr>
                <w:rFonts w:ascii="Arial (Body)" w:hAnsi="Arial (Body)"/>
                <w:color w:val="265A9A"/>
              </w:rPr>
            </w:pPr>
            <w:r w:rsidRPr="00225C46">
              <w:rPr>
                <w:rFonts w:ascii="Arial (Body)" w:hAnsi="Arial (Body)"/>
                <w:color w:val="265A9A"/>
              </w:rPr>
              <w:t>Second income quartile</w:t>
            </w:r>
          </w:p>
        </w:tc>
        <w:tc>
          <w:tcPr>
            <w:tcW w:w="1276" w:type="dxa"/>
            <w:tcBorders>
              <w:bottom w:val="single" w:sz="4" w:space="0" w:color="B3B3B3"/>
            </w:tcBorders>
            <w:shd w:val="clear" w:color="000000" w:fill="auto"/>
          </w:tcPr>
          <w:p w14:paraId="00911081" w14:textId="77777777" w:rsidR="008E7FC3" w:rsidRPr="00225C46" w:rsidRDefault="008E7FC3" w:rsidP="00177648">
            <w:pPr>
              <w:pStyle w:val="TableHeading"/>
              <w:jc w:val="right"/>
              <w:rPr>
                <w:rFonts w:ascii="Arial (Body)" w:hAnsi="Arial (Body)"/>
                <w:color w:val="265A9A"/>
              </w:rPr>
            </w:pPr>
            <w:r w:rsidRPr="00225C46">
              <w:rPr>
                <w:rFonts w:ascii="Arial (Body)" w:hAnsi="Arial (Body)"/>
                <w:color w:val="265A9A"/>
              </w:rPr>
              <w:t>Third income quartile</w:t>
            </w:r>
          </w:p>
        </w:tc>
        <w:tc>
          <w:tcPr>
            <w:tcW w:w="1417" w:type="dxa"/>
            <w:tcBorders>
              <w:bottom w:val="single" w:sz="4" w:space="0" w:color="B3B3B3"/>
            </w:tcBorders>
            <w:shd w:val="clear" w:color="000000" w:fill="auto"/>
          </w:tcPr>
          <w:p w14:paraId="5832DF28" w14:textId="77777777" w:rsidR="008E7FC3" w:rsidRPr="00225C46" w:rsidRDefault="008E7FC3" w:rsidP="00177648">
            <w:pPr>
              <w:pStyle w:val="TableHeading"/>
              <w:jc w:val="right"/>
              <w:rPr>
                <w:rFonts w:ascii="Arial (Body)" w:hAnsi="Arial (Body)"/>
                <w:color w:val="265A9A"/>
              </w:rPr>
            </w:pPr>
            <w:r w:rsidRPr="00225C46">
              <w:rPr>
                <w:rFonts w:ascii="Arial (Body)" w:hAnsi="Arial (Body)"/>
                <w:color w:val="265A9A"/>
              </w:rPr>
              <w:t>Fourth income quartile</w:t>
            </w:r>
          </w:p>
        </w:tc>
        <w:tc>
          <w:tcPr>
            <w:tcW w:w="1417" w:type="dxa"/>
            <w:tcBorders>
              <w:bottom w:val="single" w:sz="4" w:space="0" w:color="B3B3B3"/>
            </w:tcBorders>
            <w:shd w:val="clear" w:color="000000" w:fill="auto"/>
            <w:vAlign w:val="bottom"/>
          </w:tcPr>
          <w:p w14:paraId="32A7E783" w14:textId="77777777" w:rsidR="008E7FC3" w:rsidRPr="00225C46" w:rsidRDefault="008E7FC3" w:rsidP="006510ED">
            <w:pPr>
              <w:pStyle w:val="TableHeading"/>
              <w:jc w:val="right"/>
              <w:rPr>
                <w:rFonts w:ascii="Arial (Body)" w:hAnsi="Arial (Body)"/>
                <w:color w:val="265A9A"/>
              </w:rPr>
            </w:pPr>
            <w:r w:rsidRPr="00225C46">
              <w:rPr>
                <w:rFonts w:ascii="Arial (Body)" w:hAnsi="Arial (Body)"/>
                <w:color w:val="265A9A"/>
              </w:rPr>
              <w:t>Overall</w:t>
            </w:r>
          </w:p>
        </w:tc>
      </w:tr>
      <w:tr w:rsidR="008E7FC3" w:rsidRPr="00030C67" w14:paraId="76E2A7A7" w14:textId="77777777" w:rsidTr="00177648">
        <w:tc>
          <w:tcPr>
            <w:tcW w:w="2694" w:type="dxa"/>
            <w:tcBorders>
              <w:top w:val="single" w:sz="4" w:space="0" w:color="B3B3B3"/>
              <w:bottom w:val="nil"/>
            </w:tcBorders>
            <w:shd w:val="clear" w:color="000000" w:fill="F2F2F2"/>
          </w:tcPr>
          <w:p w14:paraId="59BCBBF7"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3883C693" w14:textId="77777777" w:rsidR="008E7FC3" w:rsidRPr="00030C67" w:rsidRDefault="008E7FC3" w:rsidP="00177648">
            <w:pPr>
              <w:pStyle w:val="TableBody"/>
              <w:spacing w:before="45" w:after="45"/>
              <w:ind w:right="108"/>
              <w:jc w:val="right"/>
              <w:rPr>
                <w:rFonts w:ascii="Arial (Body)" w:hAnsi="Arial (Body)"/>
                <w:color w:val="000000"/>
              </w:rPr>
            </w:pPr>
            <w:r w:rsidRPr="00D4419A">
              <w:t>28%</w:t>
            </w:r>
          </w:p>
        </w:tc>
        <w:tc>
          <w:tcPr>
            <w:tcW w:w="1417" w:type="dxa"/>
            <w:tcBorders>
              <w:top w:val="single" w:sz="4" w:space="0" w:color="B3B3B3"/>
              <w:bottom w:val="nil"/>
            </w:tcBorders>
            <w:shd w:val="clear" w:color="000000" w:fill="F2F2F2"/>
          </w:tcPr>
          <w:p w14:paraId="3265D90F" w14:textId="77777777" w:rsidR="008E7FC3" w:rsidRPr="00030C67" w:rsidRDefault="008E7FC3" w:rsidP="00177648">
            <w:pPr>
              <w:pStyle w:val="TableBody"/>
              <w:spacing w:before="45" w:after="45"/>
              <w:ind w:right="108"/>
              <w:jc w:val="right"/>
              <w:rPr>
                <w:rFonts w:ascii="Arial (Body)" w:hAnsi="Arial (Body)"/>
                <w:color w:val="000000"/>
              </w:rPr>
            </w:pPr>
            <w:r w:rsidRPr="00D4419A">
              <w:t>11%</w:t>
            </w:r>
          </w:p>
        </w:tc>
        <w:tc>
          <w:tcPr>
            <w:tcW w:w="1276" w:type="dxa"/>
            <w:tcBorders>
              <w:top w:val="single" w:sz="4" w:space="0" w:color="B3B3B3"/>
              <w:bottom w:val="nil"/>
            </w:tcBorders>
            <w:shd w:val="clear" w:color="000000" w:fill="F2F2F2"/>
          </w:tcPr>
          <w:p w14:paraId="0844DE42" w14:textId="77777777" w:rsidR="008E7FC3" w:rsidRDefault="008E7FC3" w:rsidP="00177648">
            <w:pPr>
              <w:pStyle w:val="TableBody"/>
              <w:spacing w:before="45" w:after="45"/>
              <w:ind w:right="108"/>
              <w:jc w:val="right"/>
              <w:rPr>
                <w:rFonts w:ascii="Arial (Body)" w:hAnsi="Arial (Body)"/>
                <w:color w:val="000000"/>
              </w:rPr>
            </w:pPr>
            <w:r w:rsidRPr="00D4419A">
              <w:t>3%</w:t>
            </w:r>
          </w:p>
        </w:tc>
        <w:tc>
          <w:tcPr>
            <w:tcW w:w="1417" w:type="dxa"/>
            <w:tcBorders>
              <w:top w:val="single" w:sz="4" w:space="0" w:color="B3B3B3"/>
              <w:bottom w:val="nil"/>
            </w:tcBorders>
            <w:shd w:val="clear" w:color="000000" w:fill="F2F2F2"/>
          </w:tcPr>
          <w:p w14:paraId="550F3A3B" w14:textId="77777777" w:rsidR="008E7FC3" w:rsidRDefault="008E7FC3" w:rsidP="00177648">
            <w:pPr>
              <w:pStyle w:val="TableBody"/>
              <w:spacing w:before="45" w:after="45"/>
              <w:ind w:right="108"/>
              <w:jc w:val="right"/>
              <w:rPr>
                <w:rFonts w:ascii="Arial (Body)" w:hAnsi="Arial (Body)"/>
                <w:color w:val="000000"/>
              </w:rPr>
            </w:pPr>
            <w:r w:rsidRPr="00D4419A">
              <w:t>4%</w:t>
            </w:r>
          </w:p>
        </w:tc>
        <w:tc>
          <w:tcPr>
            <w:tcW w:w="1417" w:type="dxa"/>
            <w:tcBorders>
              <w:top w:val="single" w:sz="4" w:space="0" w:color="B3B3B3"/>
              <w:bottom w:val="nil"/>
            </w:tcBorders>
            <w:shd w:val="clear" w:color="000000" w:fill="F2F2F2"/>
          </w:tcPr>
          <w:p w14:paraId="4439C260" w14:textId="77777777" w:rsidR="008E7FC3" w:rsidRPr="00D4419A" w:rsidRDefault="008E7FC3" w:rsidP="00177648">
            <w:pPr>
              <w:pStyle w:val="TableBody"/>
              <w:spacing w:before="45" w:after="45"/>
              <w:ind w:right="108"/>
              <w:jc w:val="right"/>
            </w:pPr>
            <w:r w:rsidRPr="00D74B37">
              <w:t>10%</w:t>
            </w:r>
          </w:p>
        </w:tc>
      </w:tr>
      <w:tr w:rsidR="008E7FC3" w:rsidRPr="00030C67" w14:paraId="1B26D806" w14:textId="77777777" w:rsidTr="00177648">
        <w:tc>
          <w:tcPr>
            <w:tcW w:w="2694" w:type="dxa"/>
            <w:tcBorders>
              <w:top w:val="nil"/>
              <w:bottom w:val="nil"/>
            </w:tcBorders>
            <w:shd w:val="clear" w:color="000000" w:fill="auto"/>
          </w:tcPr>
          <w:p w14:paraId="70469625"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5EFAF99C" w14:textId="77777777" w:rsidR="008E7FC3" w:rsidRPr="00030C67" w:rsidRDefault="008E7FC3" w:rsidP="00177648">
            <w:pPr>
              <w:pStyle w:val="TableBody"/>
              <w:spacing w:before="45" w:after="45"/>
              <w:ind w:right="108"/>
              <w:jc w:val="right"/>
              <w:rPr>
                <w:rFonts w:ascii="Arial (Body)" w:hAnsi="Arial (Body)"/>
                <w:color w:val="000000"/>
              </w:rPr>
            </w:pPr>
            <w:r w:rsidRPr="00D4419A">
              <w:t>9%</w:t>
            </w:r>
          </w:p>
        </w:tc>
        <w:tc>
          <w:tcPr>
            <w:tcW w:w="1417" w:type="dxa"/>
            <w:tcBorders>
              <w:top w:val="nil"/>
              <w:bottom w:val="nil"/>
            </w:tcBorders>
            <w:shd w:val="clear" w:color="000000" w:fill="auto"/>
          </w:tcPr>
          <w:p w14:paraId="5D46AC5D" w14:textId="77777777" w:rsidR="008E7FC3" w:rsidRPr="00030C67" w:rsidRDefault="008E7FC3" w:rsidP="00177648">
            <w:pPr>
              <w:pStyle w:val="TableBody"/>
              <w:spacing w:before="45" w:after="45"/>
              <w:ind w:right="108"/>
              <w:jc w:val="right"/>
              <w:rPr>
                <w:rFonts w:ascii="Arial (Body)" w:hAnsi="Arial (Body)"/>
                <w:color w:val="000000"/>
              </w:rPr>
            </w:pPr>
            <w:r w:rsidRPr="00D4419A">
              <w:t>7%</w:t>
            </w:r>
          </w:p>
        </w:tc>
        <w:tc>
          <w:tcPr>
            <w:tcW w:w="1276" w:type="dxa"/>
            <w:tcBorders>
              <w:top w:val="nil"/>
              <w:bottom w:val="nil"/>
            </w:tcBorders>
            <w:shd w:val="clear" w:color="000000" w:fill="auto"/>
          </w:tcPr>
          <w:p w14:paraId="7B4F4BB1" w14:textId="77777777" w:rsidR="008E7FC3" w:rsidRDefault="008E7FC3" w:rsidP="00177648">
            <w:pPr>
              <w:pStyle w:val="TableBody"/>
              <w:spacing w:before="45" w:after="45"/>
              <w:ind w:right="108"/>
              <w:jc w:val="right"/>
              <w:rPr>
                <w:rFonts w:ascii="Arial (Body)" w:hAnsi="Arial (Body)"/>
                <w:color w:val="000000"/>
              </w:rPr>
            </w:pPr>
            <w:r w:rsidRPr="00D4419A">
              <w:t>2%</w:t>
            </w:r>
          </w:p>
        </w:tc>
        <w:tc>
          <w:tcPr>
            <w:tcW w:w="1417" w:type="dxa"/>
            <w:tcBorders>
              <w:top w:val="nil"/>
              <w:bottom w:val="nil"/>
            </w:tcBorders>
            <w:shd w:val="clear" w:color="000000" w:fill="auto"/>
          </w:tcPr>
          <w:p w14:paraId="2C17B253" w14:textId="77777777" w:rsidR="008E7FC3" w:rsidRDefault="008E7FC3" w:rsidP="00177648">
            <w:pPr>
              <w:pStyle w:val="TableBody"/>
              <w:spacing w:before="45" w:after="45"/>
              <w:ind w:right="108"/>
              <w:jc w:val="right"/>
              <w:rPr>
                <w:rFonts w:ascii="Arial (Body)" w:hAnsi="Arial (Body)"/>
                <w:color w:val="000000"/>
              </w:rPr>
            </w:pPr>
            <w:r w:rsidRPr="00D4419A">
              <w:t>3%</w:t>
            </w:r>
          </w:p>
        </w:tc>
        <w:tc>
          <w:tcPr>
            <w:tcW w:w="1417" w:type="dxa"/>
            <w:tcBorders>
              <w:top w:val="nil"/>
              <w:bottom w:val="nil"/>
            </w:tcBorders>
            <w:shd w:val="clear" w:color="000000" w:fill="auto"/>
          </w:tcPr>
          <w:p w14:paraId="2420D8B8" w14:textId="77777777" w:rsidR="008E7FC3" w:rsidRPr="00D4419A" w:rsidRDefault="008E7FC3" w:rsidP="00177648">
            <w:pPr>
              <w:pStyle w:val="TableBody"/>
              <w:spacing w:before="45" w:after="45"/>
              <w:ind w:right="108"/>
              <w:jc w:val="right"/>
            </w:pPr>
            <w:r w:rsidRPr="00D74B37">
              <w:t>5%</w:t>
            </w:r>
          </w:p>
        </w:tc>
      </w:tr>
      <w:tr w:rsidR="008E7FC3" w:rsidRPr="00030C67" w14:paraId="65D9C8C1" w14:textId="77777777" w:rsidTr="00177648">
        <w:tc>
          <w:tcPr>
            <w:tcW w:w="2694" w:type="dxa"/>
            <w:tcBorders>
              <w:bottom w:val="nil"/>
            </w:tcBorders>
            <w:shd w:val="clear" w:color="000000" w:fill="F2F2F2"/>
          </w:tcPr>
          <w:p w14:paraId="3C3A151A"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1B4865C2" w14:textId="77777777" w:rsidR="008E7FC3" w:rsidRPr="00030C67" w:rsidRDefault="008E7FC3" w:rsidP="00177648">
            <w:pPr>
              <w:pStyle w:val="TableBody"/>
              <w:spacing w:before="45" w:after="45"/>
              <w:ind w:right="108"/>
              <w:jc w:val="right"/>
              <w:rPr>
                <w:rFonts w:ascii="Arial (Body)" w:hAnsi="Arial (Body)"/>
                <w:color w:val="000000"/>
              </w:rPr>
            </w:pPr>
            <w:r w:rsidRPr="00D4419A">
              <w:t>15%</w:t>
            </w:r>
          </w:p>
        </w:tc>
        <w:tc>
          <w:tcPr>
            <w:tcW w:w="1417" w:type="dxa"/>
            <w:tcBorders>
              <w:bottom w:val="nil"/>
            </w:tcBorders>
            <w:shd w:val="clear" w:color="000000" w:fill="F2F2F2"/>
          </w:tcPr>
          <w:p w14:paraId="437478C0" w14:textId="77777777" w:rsidR="008E7FC3" w:rsidRPr="00030C67" w:rsidRDefault="008E7FC3" w:rsidP="00177648">
            <w:pPr>
              <w:pStyle w:val="TableBody"/>
              <w:spacing w:before="45" w:after="45"/>
              <w:ind w:right="108"/>
              <w:jc w:val="right"/>
              <w:rPr>
                <w:rFonts w:ascii="Arial (Body)" w:hAnsi="Arial (Body)"/>
                <w:color w:val="000000"/>
              </w:rPr>
            </w:pPr>
            <w:r w:rsidRPr="00D4419A">
              <w:t>4%</w:t>
            </w:r>
          </w:p>
        </w:tc>
        <w:tc>
          <w:tcPr>
            <w:tcW w:w="1276" w:type="dxa"/>
            <w:tcBorders>
              <w:bottom w:val="nil"/>
            </w:tcBorders>
            <w:shd w:val="clear" w:color="000000" w:fill="F2F2F2"/>
          </w:tcPr>
          <w:p w14:paraId="66493D35" w14:textId="77777777" w:rsidR="008E7FC3" w:rsidRDefault="008E7FC3" w:rsidP="00177648">
            <w:pPr>
              <w:pStyle w:val="TableBody"/>
              <w:spacing w:before="45" w:after="45"/>
              <w:ind w:right="108"/>
              <w:jc w:val="right"/>
              <w:rPr>
                <w:rFonts w:ascii="Arial (Body)" w:hAnsi="Arial (Body)"/>
                <w:color w:val="000000"/>
              </w:rPr>
            </w:pPr>
            <w:r w:rsidRPr="00D4419A">
              <w:t>1%</w:t>
            </w:r>
          </w:p>
        </w:tc>
        <w:tc>
          <w:tcPr>
            <w:tcW w:w="1417" w:type="dxa"/>
            <w:tcBorders>
              <w:bottom w:val="nil"/>
            </w:tcBorders>
            <w:shd w:val="clear" w:color="000000" w:fill="F2F2F2"/>
          </w:tcPr>
          <w:p w14:paraId="22BE03D4" w14:textId="77777777" w:rsidR="008E7FC3" w:rsidRDefault="008E7FC3" w:rsidP="00177648">
            <w:pPr>
              <w:pStyle w:val="TableBody"/>
              <w:spacing w:before="45" w:after="45"/>
              <w:ind w:right="108"/>
              <w:jc w:val="right"/>
              <w:rPr>
                <w:rFonts w:ascii="Arial (Body)" w:hAnsi="Arial (Body)"/>
                <w:color w:val="000000"/>
              </w:rPr>
            </w:pPr>
            <w:r w:rsidRPr="00D4419A">
              <w:t>0%</w:t>
            </w:r>
          </w:p>
        </w:tc>
        <w:tc>
          <w:tcPr>
            <w:tcW w:w="1417" w:type="dxa"/>
            <w:tcBorders>
              <w:bottom w:val="nil"/>
            </w:tcBorders>
            <w:shd w:val="clear" w:color="000000" w:fill="F2F2F2"/>
          </w:tcPr>
          <w:p w14:paraId="6EA5B33B" w14:textId="77777777" w:rsidR="008E7FC3" w:rsidRPr="00D4419A" w:rsidRDefault="008E7FC3" w:rsidP="00177648">
            <w:pPr>
              <w:pStyle w:val="TableBody"/>
              <w:spacing w:before="45" w:after="45"/>
              <w:ind w:right="108"/>
              <w:jc w:val="right"/>
            </w:pPr>
            <w:r w:rsidRPr="00D74B37">
              <w:t>4%</w:t>
            </w:r>
          </w:p>
        </w:tc>
      </w:tr>
      <w:tr w:rsidR="008E7FC3" w:rsidRPr="00030C67" w14:paraId="4778EF20" w14:textId="77777777" w:rsidTr="00177648">
        <w:tc>
          <w:tcPr>
            <w:tcW w:w="2694" w:type="dxa"/>
            <w:tcBorders>
              <w:bottom w:val="nil"/>
            </w:tcBorders>
            <w:shd w:val="clear" w:color="000000" w:fill="auto"/>
          </w:tcPr>
          <w:p w14:paraId="6EF78AB9"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2991C9A7" w14:textId="77777777" w:rsidR="008E7FC3" w:rsidRDefault="008E7FC3" w:rsidP="00177648">
            <w:pPr>
              <w:pStyle w:val="TableBody"/>
              <w:spacing w:before="45" w:after="45"/>
              <w:ind w:right="108"/>
              <w:jc w:val="right"/>
              <w:rPr>
                <w:rFonts w:ascii="Arial (Body)" w:hAnsi="Arial (Body)"/>
                <w:color w:val="000000"/>
              </w:rPr>
            </w:pPr>
            <w:r w:rsidRPr="00D4419A">
              <w:t>20%</w:t>
            </w:r>
          </w:p>
        </w:tc>
        <w:tc>
          <w:tcPr>
            <w:tcW w:w="1417" w:type="dxa"/>
            <w:tcBorders>
              <w:bottom w:val="nil"/>
            </w:tcBorders>
            <w:shd w:val="clear" w:color="000000" w:fill="auto"/>
          </w:tcPr>
          <w:p w14:paraId="58F1DB9E" w14:textId="77777777" w:rsidR="008E7FC3" w:rsidRDefault="008E7FC3" w:rsidP="00177648">
            <w:pPr>
              <w:pStyle w:val="TableBody"/>
              <w:spacing w:before="45" w:after="45"/>
              <w:ind w:right="108"/>
              <w:jc w:val="right"/>
              <w:rPr>
                <w:rFonts w:ascii="Arial (Body)" w:hAnsi="Arial (Body)"/>
                <w:color w:val="000000"/>
              </w:rPr>
            </w:pPr>
            <w:r w:rsidRPr="00D4419A">
              <w:t>9%</w:t>
            </w:r>
          </w:p>
        </w:tc>
        <w:tc>
          <w:tcPr>
            <w:tcW w:w="1276" w:type="dxa"/>
            <w:tcBorders>
              <w:bottom w:val="nil"/>
            </w:tcBorders>
            <w:shd w:val="clear" w:color="000000" w:fill="auto"/>
          </w:tcPr>
          <w:p w14:paraId="51830EF8" w14:textId="77777777" w:rsidR="008E7FC3" w:rsidRDefault="008E7FC3" w:rsidP="00177648">
            <w:pPr>
              <w:pStyle w:val="TableBody"/>
              <w:spacing w:before="45" w:after="45"/>
              <w:ind w:right="108"/>
              <w:jc w:val="right"/>
              <w:rPr>
                <w:rFonts w:ascii="Arial (Body)" w:hAnsi="Arial (Body)"/>
                <w:color w:val="000000"/>
              </w:rPr>
            </w:pPr>
            <w:r w:rsidRPr="00D4419A">
              <w:t>3%</w:t>
            </w:r>
          </w:p>
        </w:tc>
        <w:tc>
          <w:tcPr>
            <w:tcW w:w="1417" w:type="dxa"/>
            <w:tcBorders>
              <w:bottom w:val="nil"/>
            </w:tcBorders>
            <w:shd w:val="clear" w:color="000000" w:fill="auto"/>
          </w:tcPr>
          <w:p w14:paraId="2BE22061" w14:textId="77777777" w:rsidR="008E7FC3" w:rsidRDefault="008E7FC3" w:rsidP="00177648">
            <w:pPr>
              <w:pStyle w:val="TableBody"/>
              <w:spacing w:before="45" w:after="45"/>
              <w:ind w:right="108"/>
              <w:jc w:val="right"/>
              <w:rPr>
                <w:rFonts w:ascii="Arial (Body)" w:hAnsi="Arial (Body)"/>
                <w:color w:val="000000"/>
              </w:rPr>
            </w:pPr>
            <w:r w:rsidRPr="00D4419A">
              <w:t>4%</w:t>
            </w:r>
          </w:p>
        </w:tc>
        <w:tc>
          <w:tcPr>
            <w:tcW w:w="1417" w:type="dxa"/>
            <w:tcBorders>
              <w:bottom w:val="nil"/>
            </w:tcBorders>
            <w:shd w:val="clear" w:color="000000" w:fill="auto"/>
          </w:tcPr>
          <w:p w14:paraId="1D00EC60" w14:textId="77777777" w:rsidR="008E7FC3" w:rsidRPr="00D4419A" w:rsidRDefault="008E7FC3" w:rsidP="00177648">
            <w:pPr>
              <w:pStyle w:val="TableBody"/>
              <w:spacing w:before="45" w:after="45"/>
              <w:ind w:right="108"/>
              <w:jc w:val="right"/>
            </w:pPr>
            <w:r w:rsidRPr="00D74B37">
              <w:t>8%</w:t>
            </w:r>
          </w:p>
        </w:tc>
      </w:tr>
      <w:tr w:rsidR="008E7FC3" w:rsidRPr="00030C67" w14:paraId="2E4C5701" w14:textId="77777777" w:rsidTr="00177648">
        <w:tc>
          <w:tcPr>
            <w:tcW w:w="2694" w:type="dxa"/>
            <w:tcBorders>
              <w:top w:val="nil"/>
              <w:bottom w:val="nil"/>
            </w:tcBorders>
            <w:shd w:val="clear" w:color="000000" w:fill="F2F2F2"/>
          </w:tcPr>
          <w:p w14:paraId="057A66B6"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43C2FD8D" w14:textId="77777777" w:rsidR="008E7FC3" w:rsidRDefault="008E7FC3" w:rsidP="00177648">
            <w:pPr>
              <w:pStyle w:val="TableBody"/>
              <w:spacing w:before="45" w:after="45"/>
              <w:ind w:right="108"/>
              <w:jc w:val="right"/>
              <w:rPr>
                <w:rFonts w:ascii="Arial (Body)" w:hAnsi="Arial (Body)"/>
                <w:color w:val="000000"/>
              </w:rPr>
            </w:pPr>
            <w:r w:rsidRPr="00D4419A">
              <w:t>9%</w:t>
            </w:r>
          </w:p>
        </w:tc>
        <w:tc>
          <w:tcPr>
            <w:tcW w:w="1417" w:type="dxa"/>
            <w:tcBorders>
              <w:top w:val="nil"/>
              <w:bottom w:val="nil"/>
            </w:tcBorders>
            <w:shd w:val="clear" w:color="000000" w:fill="F2F2F2"/>
          </w:tcPr>
          <w:p w14:paraId="2A85F539" w14:textId="77777777" w:rsidR="008E7FC3" w:rsidRDefault="008E7FC3" w:rsidP="00177648">
            <w:pPr>
              <w:pStyle w:val="TableBody"/>
              <w:spacing w:before="45" w:after="45"/>
              <w:ind w:right="108"/>
              <w:jc w:val="right"/>
              <w:rPr>
                <w:rFonts w:ascii="Arial (Body)" w:hAnsi="Arial (Body)"/>
                <w:color w:val="000000"/>
              </w:rPr>
            </w:pPr>
            <w:r w:rsidRPr="00D4419A">
              <w:t>3%</w:t>
            </w:r>
          </w:p>
        </w:tc>
        <w:tc>
          <w:tcPr>
            <w:tcW w:w="1276" w:type="dxa"/>
            <w:tcBorders>
              <w:top w:val="nil"/>
              <w:bottom w:val="nil"/>
            </w:tcBorders>
            <w:shd w:val="clear" w:color="000000" w:fill="F2F2F2"/>
          </w:tcPr>
          <w:p w14:paraId="701D4DDE" w14:textId="77777777" w:rsidR="008E7FC3" w:rsidRDefault="008E7FC3" w:rsidP="00177648">
            <w:pPr>
              <w:pStyle w:val="TableBody"/>
              <w:spacing w:before="45" w:after="45"/>
              <w:ind w:right="108"/>
              <w:jc w:val="right"/>
              <w:rPr>
                <w:rFonts w:ascii="Arial (Body)" w:hAnsi="Arial (Body)"/>
                <w:color w:val="000000"/>
              </w:rPr>
            </w:pPr>
            <w:r w:rsidRPr="00D4419A">
              <w:t>0%</w:t>
            </w:r>
          </w:p>
        </w:tc>
        <w:tc>
          <w:tcPr>
            <w:tcW w:w="1417" w:type="dxa"/>
            <w:tcBorders>
              <w:top w:val="nil"/>
              <w:bottom w:val="nil"/>
            </w:tcBorders>
            <w:shd w:val="clear" w:color="000000" w:fill="F2F2F2"/>
          </w:tcPr>
          <w:p w14:paraId="2F412666" w14:textId="77777777" w:rsidR="008E7FC3" w:rsidRDefault="008E7FC3" w:rsidP="00177648">
            <w:pPr>
              <w:pStyle w:val="TableBody"/>
              <w:spacing w:before="45" w:after="45"/>
              <w:ind w:right="108"/>
              <w:jc w:val="right"/>
              <w:rPr>
                <w:rFonts w:ascii="Arial (Body)" w:hAnsi="Arial (Body)"/>
                <w:color w:val="000000"/>
              </w:rPr>
            </w:pPr>
            <w:r w:rsidRPr="00D4419A">
              <w:t>0%</w:t>
            </w:r>
          </w:p>
        </w:tc>
        <w:tc>
          <w:tcPr>
            <w:tcW w:w="1417" w:type="dxa"/>
            <w:tcBorders>
              <w:top w:val="nil"/>
              <w:bottom w:val="nil"/>
            </w:tcBorders>
            <w:shd w:val="clear" w:color="000000" w:fill="F2F2F2"/>
          </w:tcPr>
          <w:p w14:paraId="716AEE7E" w14:textId="77777777" w:rsidR="008E7FC3" w:rsidRPr="00D4419A" w:rsidRDefault="008E7FC3" w:rsidP="00177648">
            <w:pPr>
              <w:pStyle w:val="TableBody"/>
              <w:spacing w:before="45" w:after="45"/>
              <w:ind w:right="108"/>
              <w:jc w:val="right"/>
            </w:pPr>
            <w:r w:rsidRPr="00D74B37">
              <w:t>2%</w:t>
            </w:r>
          </w:p>
        </w:tc>
      </w:tr>
      <w:tr w:rsidR="008E7FC3" w:rsidRPr="00030C67" w14:paraId="6603937F" w14:textId="77777777" w:rsidTr="00177648">
        <w:tc>
          <w:tcPr>
            <w:tcW w:w="2694" w:type="dxa"/>
            <w:tcBorders>
              <w:bottom w:val="nil"/>
            </w:tcBorders>
            <w:shd w:val="clear" w:color="000000" w:fill="auto"/>
          </w:tcPr>
          <w:p w14:paraId="41B28553"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78B19153" w14:textId="77777777" w:rsidR="008E7FC3" w:rsidRDefault="008E7FC3" w:rsidP="00177648">
            <w:pPr>
              <w:pStyle w:val="TableBody"/>
              <w:spacing w:before="45" w:after="45"/>
              <w:ind w:right="108"/>
              <w:jc w:val="right"/>
              <w:rPr>
                <w:rFonts w:ascii="Arial (Body)" w:hAnsi="Arial (Body)"/>
                <w:color w:val="000000"/>
              </w:rPr>
            </w:pPr>
            <w:r w:rsidRPr="00D4419A">
              <w:t>1%</w:t>
            </w:r>
          </w:p>
        </w:tc>
        <w:tc>
          <w:tcPr>
            <w:tcW w:w="1417" w:type="dxa"/>
            <w:tcBorders>
              <w:bottom w:val="nil"/>
            </w:tcBorders>
            <w:shd w:val="clear" w:color="000000" w:fill="auto"/>
          </w:tcPr>
          <w:p w14:paraId="4F2104A1" w14:textId="77777777" w:rsidR="008E7FC3" w:rsidRDefault="008E7FC3" w:rsidP="00177648">
            <w:pPr>
              <w:pStyle w:val="TableBody"/>
              <w:spacing w:before="45" w:after="45"/>
              <w:ind w:right="108"/>
              <w:jc w:val="right"/>
              <w:rPr>
                <w:rFonts w:ascii="Arial (Body)" w:hAnsi="Arial (Body)"/>
                <w:color w:val="000000"/>
              </w:rPr>
            </w:pPr>
            <w:r w:rsidRPr="00D4419A">
              <w:t>6%</w:t>
            </w:r>
          </w:p>
        </w:tc>
        <w:tc>
          <w:tcPr>
            <w:tcW w:w="1276" w:type="dxa"/>
            <w:tcBorders>
              <w:bottom w:val="nil"/>
            </w:tcBorders>
            <w:shd w:val="clear" w:color="000000" w:fill="auto"/>
          </w:tcPr>
          <w:p w14:paraId="40BB687C" w14:textId="77777777" w:rsidR="008E7FC3" w:rsidRDefault="008E7FC3" w:rsidP="00177648">
            <w:pPr>
              <w:pStyle w:val="TableBody"/>
              <w:spacing w:before="45" w:after="45"/>
              <w:ind w:right="108"/>
              <w:jc w:val="right"/>
              <w:rPr>
                <w:rFonts w:ascii="Arial (Body)" w:hAnsi="Arial (Body)"/>
                <w:color w:val="000000"/>
              </w:rPr>
            </w:pPr>
            <w:r w:rsidRPr="00D4419A">
              <w:t>7%</w:t>
            </w:r>
          </w:p>
        </w:tc>
        <w:tc>
          <w:tcPr>
            <w:tcW w:w="1417" w:type="dxa"/>
            <w:tcBorders>
              <w:bottom w:val="nil"/>
            </w:tcBorders>
            <w:shd w:val="clear" w:color="000000" w:fill="auto"/>
          </w:tcPr>
          <w:p w14:paraId="70A42846" w14:textId="77777777" w:rsidR="008E7FC3" w:rsidRDefault="008E7FC3" w:rsidP="00177648">
            <w:pPr>
              <w:pStyle w:val="TableBody"/>
              <w:spacing w:before="45" w:after="45"/>
              <w:ind w:right="108"/>
              <w:jc w:val="right"/>
              <w:rPr>
                <w:rFonts w:ascii="Arial (Body)" w:hAnsi="Arial (Body)"/>
                <w:color w:val="000000"/>
              </w:rPr>
            </w:pPr>
            <w:r w:rsidRPr="00D4419A">
              <w:t>22%</w:t>
            </w:r>
          </w:p>
        </w:tc>
        <w:tc>
          <w:tcPr>
            <w:tcW w:w="1417" w:type="dxa"/>
            <w:tcBorders>
              <w:bottom w:val="nil"/>
            </w:tcBorders>
            <w:shd w:val="clear" w:color="000000" w:fill="auto"/>
          </w:tcPr>
          <w:p w14:paraId="64A9ED5A" w14:textId="77777777" w:rsidR="008E7FC3" w:rsidRPr="00D4419A" w:rsidRDefault="008E7FC3" w:rsidP="00177648">
            <w:pPr>
              <w:pStyle w:val="TableBody"/>
              <w:spacing w:before="45" w:after="45"/>
              <w:ind w:right="108"/>
              <w:jc w:val="right"/>
            </w:pPr>
            <w:r w:rsidRPr="00D74B37">
              <w:t>9%</w:t>
            </w:r>
          </w:p>
        </w:tc>
      </w:tr>
      <w:tr w:rsidR="008E7FC3" w:rsidRPr="00030C67" w14:paraId="3A87D5BC" w14:textId="77777777" w:rsidTr="00177648">
        <w:tc>
          <w:tcPr>
            <w:tcW w:w="2694" w:type="dxa"/>
            <w:tcBorders>
              <w:top w:val="nil"/>
              <w:bottom w:val="nil"/>
            </w:tcBorders>
            <w:shd w:val="clear" w:color="000000" w:fill="F2F2F2"/>
          </w:tcPr>
          <w:p w14:paraId="323E6E5E"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201CCFF6" w14:textId="77777777" w:rsidR="008E7FC3" w:rsidRDefault="008E7FC3" w:rsidP="00177648">
            <w:pPr>
              <w:pStyle w:val="TableBody"/>
              <w:spacing w:before="45" w:after="45"/>
              <w:ind w:right="108"/>
              <w:jc w:val="right"/>
              <w:rPr>
                <w:rFonts w:ascii="Arial (Body)" w:hAnsi="Arial (Body)"/>
                <w:color w:val="000000"/>
              </w:rPr>
            </w:pPr>
            <w:r w:rsidRPr="00D4419A">
              <w:t>17%</w:t>
            </w:r>
          </w:p>
        </w:tc>
        <w:tc>
          <w:tcPr>
            <w:tcW w:w="1417" w:type="dxa"/>
            <w:tcBorders>
              <w:top w:val="nil"/>
              <w:bottom w:val="nil"/>
            </w:tcBorders>
            <w:shd w:val="clear" w:color="000000" w:fill="F2F2F2"/>
          </w:tcPr>
          <w:p w14:paraId="0C62D29B" w14:textId="77777777" w:rsidR="008E7FC3" w:rsidRDefault="008E7FC3" w:rsidP="00177648">
            <w:pPr>
              <w:pStyle w:val="TableBody"/>
              <w:spacing w:before="45" w:after="45"/>
              <w:ind w:right="108"/>
              <w:jc w:val="right"/>
              <w:rPr>
                <w:rFonts w:ascii="Arial (Body)" w:hAnsi="Arial (Body)"/>
                <w:color w:val="000000"/>
              </w:rPr>
            </w:pPr>
            <w:r w:rsidRPr="00D4419A">
              <w:t>10%</w:t>
            </w:r>
          </w:p>
        </w:tc>
        <w:tc>
          <w:tcPr>
            <w:tcW w:w="1276" w:type="dxa"/>
            <w:tcBorders>
              <w:top w:val="nil"/>
              <w:bottom w:val="nil"/>
            </w:tcBorders>
            <w:shd w:val="clear" w:color="000000" w:fill="F2F2F2"/>
          </w:tcPr>
          <w:p w14:paraId="46364DAA" w14:textId="77777777" w:rsidR="008E7FC3" w:rsidRDefault="008E7FC3" w:rsidP="00177648">
            <w:pPr>
              <w:pStyle w:val="TableBody"/>
              <w:spacing w:before="45" w:after="45"/>
              <w:ind w:right="108"/>
              <w:jc w:val="right"/>
              <w:rPr>
                <w:rFonts w:ascii="Arial (Body)" w:hAnsi="Arial (Body)"/>
                <w:color w:val="000000"/>
              </w:rPr>
            </w:pPr>
            <w:r w:rsidRPr="00D4419A">
              <w:t>8%</w:t>
            </w:r>
          </w:p>
        </w:tc>
        <w:tc>
          <w:tcPr>
            <w:tcW w:w="1417" w:type="dxa"/>
            <w:tcBorders>
              <w:top w:val="nil"/>
              <w:bottom w:val="nil"/>
            </w:tcBorders>
            <w:shd w:val="clear" w:color="000000" w:fill="F2F2F2"/>
          </w:tcPr>
          <w:p w14:paraId="2C4E45EE" w14:textId="77777777" w:rsidR="008E7FC3" w:rsidRDefault="008E7FC3" w:rsidP="00177648">
            <w:pPr>
              <w:pStyle w:val="TableBody"/>
              <w:spacing w:before="45" w:after="45"/>
              <w:ind w:right="108"/>
              <w:jc w:val="right"/>
              <w:rPr>
                <w:rFonts w:ascii="Arial (Body)" w:hAnsi="Arial (Body)"/>
                <w:color w:val="000000"/>
              </w:rPr>
            </w:pPr>
            <w:r w:rsidRPr="00D4419A">
              <w:t>24%</w:t>
            </w:r>
          </w:p>
        </w:tc>
        <w:tc>
          <w:tcPr>
            <w:tcW w:w="1417" w:type="dxa"/>
            <w:tcBorders>
              <w:top w:val="nil"/>
              <w:bottom w:val="nil"/>
            </w:tcBorders>
            <w:shd w:val="clear" w:color="000000" w:fill="F2F2F2"/>
          </w:tcPr>
          <w:p w14:paraId="51DD86C3" w14:textId="77777777" w:rsidR="008E7FC3" w:rsidRPr="00D4419A" w:rsidRDefault="008E7FC3" w:rsidP="00177648">
            <w:pPr>
              <w:pStyle w:val="TableBody"/>
              <w:spacing w:before="45" w:after="45"/>
              <w:ind w:right="108"/>
              <w:jc w:val="right"/>
            </w:pPr>
            <w:r w:rsidRPr="00D74B37">
              <w:t>14%</w:t>
            </w:r>
          </w:p>
        </w:tc>
      </w:tr>
      <w:tr w:rsidR="008E7FC3" w:rsidRPr="00030C67" w14:paraId="24BD7D13" w14:textId="77777777" w:rsidTr="00177648">
        <w:tc>
          <w:tcPr>
            <w:tcW w:w="2694" w:type="dxa"/>
            <w:tcBorders>
              <w:bottom w:val="single" w:sz="4" w:space="0" w:color="B3B3B3"/>
            </w:tcBorders>
            <w:shd w:val="clear" w:color="000000" w:fill="auto"/>
          </w:tcPr>
          <w:p w14:paraId="081F608C"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36C786C5" w14:textId="77777777" w:rsidR="008E7FC3" w:rsidRDefault="008E7FC3" w:rsidP="00177648">
            <w:pPr>
              <w:pStyle w:val="TableBody"/>
              <w:spacing w:before="45" w:after="45"/>
              <w:ind w:right="108"/>
              <w:jc w:val="right"/>
              <w:rPr>
                <w:rFonts w:ascii="Arial (Body)" w:hAnsi="Arial (Body)"/>
                <w:color w:val="000000"/>
              </w:rPr>
            </w:pPr>
            <w:r w:rsidRPr="00D4419A">
              <w:t>28%</w:t>
            </w:r>
          </w:p>
        </w:tc>
        <w:tc>
          <w:tcPr>
            <w:tcW w:w="1417" w:type="dxa"/>
            <w:tcBorders>
              <w:bottom w:val="single" w:sz="4" w:space="0" w:color="B3B3B3"/>
            </w:tcBorders>
            <w:shd w:val="clear" w:color="000000" w:fill="auto"/>
          </w:tcPr>
          <w:p w14:paraId="1F89F7FA" w14:textId="77777777" w:rsidR="008E7FC3" w:rsidRDefault="008E7FC3" w:rsidP="00177648">
            <w:pPr>
              <w:pStyle w:val="TableBody"/>
              <w:spacing w:before="45" w:after="45"/>
              <w:ind w:right="108"/>
              <w:jc w:val="right"/>
              <w:rPr>
                <w:rFonts w:ascii="Arial (Body)" w:hAnsi="Arial (Body)"/>
                <w:color w:val="000000"/>
              </w:rPr>
            </w:pPr>
            <w:r w:rsidRPr="00D4419A">
              <w:t>13%</w:t>
            </w:r>
          </w:p>
        </w:tc>
        <w:tc>
          <w:tcPr>
            <w:tcW w:w="1276" w:type="dxa"/>
            <w:tcBorders>
              <w:bottom w:val="single" w:sz="4" w:space="0" w:color="B3B3B3"/>
            </w:tcBorders>
            <w:shd w:val="clear" w:color="000000" w:fill="auto"/>
          </w:tcPr>
          <w:p w14:paraId="0AFB0572" w14:textId="77777777" w:rsidR="008E7FC3" w:rsidRDefault="008E7FC3" w:rsidP="00177648">
            <w:pPr>
              <w:pStyle w:val="TableBody"/>
              <w:spacing w:before="45" w:after="45"/>
              <w:ind w:right="108"/>
              <w:jc w:val="right"/>
              <w:rPr>
                <w:rFonts w:ascii="Arial (Body)" w:hAnsi="Arial (Body)"/>
                <w:color w:val="000000"/>
              </w:rPr>
            </w:pPr>
            <w:r w:rsidRPr="00D4419A">
              <w:t>8%</w:t>
            </w:r>
          </w:p>
        </w:tc>
        <w:tc>
          <w:tcPr>
            <w:tcW w:w="1417" w:type="dxa"/>
            <w:tcBorders>
              <w:bottom w:val="single" w:sz="4" w:space="0" w:color="B3B3B3"/>
            </w:tcBorders>
            <w:shd w:val="clear" w:color="000000" w:fill="auto"/>
          </w:tcPr>
          <w:p w14:paraId="5B0C8ECD" w14:textId="77777777" w:rsidR="008E7FC3" w:rsidRDefault="008E7FC3" w:rsidP="00177648">
            <w:pPr>
              <w:pStyle w:val="TableBody"/>
              <w:spacing w:before="45" w:after="45"/>
              <w:ind w:right="108"/>
              <w:jc w:val="right"/>
              <w:rPr>
                <w:rFonts w:ascii="Arial (Body)" w:hAnsi="Arial (Body)"/>
                <w:color w:val="000000"/>
              </w:rPr>
            </w:pPr>
            <w:r w:rsidRPr="00D4419A">
              <w:t>24%</w:t>
            </w:r>
          </w:p>
        </w:tc>
        <w:tc>
          <w:tcPr>
            <w:tcW w:w="1417" w:type="dxa"/>
            <w:tcBorders>
              <w:bottom w:val="single" w:sz="4" w:space="0" w:color="B3B3B3"/>
            </w:tcBorders>
            <w:shd w:val="clear" w:color="000000" w:fill="auto"/>
          </w:tcPr>
          <w:p w14:paraId="0BCF24A5" w14:textId="77777777" w:rsidR="008E7FC3" w:rsidRPr="00D4419A" w:rsidRDefault="008E7FC3" w:rsidP="00177648">
            <w:pPr>
              <w:pStyle w:val="TableBody"/>
              <w:spacing w:before="45" w:after="45"/>
              <w:ind w:right="108"/>
              <w:jc w:val="right"/>
            </w:pPr>
            <w:r w:rsidRPr="00D74B37">
              <w:t>17%</w:t>
            </w:r>
          </w:p>
        </w:tc>
      </w:tr>
    </w:tbl>
    <w:p w14:paraId="1473FF0C"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w:t>
      </w:r>
    </w:p>
    <w:p w14:paraId="410C2B3A"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0AE32EEF" w14:textId="77777777" w:rsidR="008E7FC3" w:rsidRPr="00A80C1A" w:rsidRDefault="008E7FC3" w:rsidP="008E7FC3">
      <w:pPr>
        <w:pStyle w:val="BodyText"/>
      </w:pPr>
      <w:r w:rsidRPr="00A80C1A">
        <w:br w:type="page"/>
      </w:r>
    </w:p>
    <w:p w14:paraId="488C38A7" w14:textId="77777777" w:rsidR="008E7FC3" w:rsidRDefault="008E7FC3" w:rsidP="008E7FC3">
      <w:pPr>
        <w:pStyle w:val="FigureTableHeading"/>
      </w:pPr>
      <w:r>
        <w:lastRenderedPageBreak/>
        <w:t xml:space="preserve">Table </w:t>
      </w:r>
      <w:r>
        <w:rPr>
          <w:noProof/>
        </w:rPr>
        <w:t>G</w:t>
      </w:r>
      <w:r>
        <w:t>.16</w:t>
      </w:r>
      <w:r>
        <w:rPr>
          <w:noProof/>
        </w:rPr>
        <w:t xml:space="preserve"> – </w:t>
      </w:r>
      <w:r>
        <w:t>Full–time equivalent change of labour supply by income quartile</w:t>
      </w:r>
      <w:r w:rsidRPr="00EC0C27">
        <w:rPr>
          <w:vertAlign w:val="superscript"/>
        </w:rPr>
        <w:t>a,b</w:t>
      </w:r>
      <w:r>
        <w:rPr>
          <w:vertAlign w:val="superscript"/>
        </w:rPr>
        <w:t>,c</w:t>
      </w:r>
    </w:p>
    <w:p w14:paraId="4666307D"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5F38872B" w14:textId="77777777" w:rsidTr="006510ED">
        <w:trPr>
          <w:tblHeader/>
        </w:trPr>
        <w:tc>
          <w:tcPr>
            <w:tcW w:w="2694" w:type="dxa"/>
            <w:tcBorders>
              <w:bottom w:val="single" w:sz="4" w:space="0" w:color="B3B3B3"/>
            </w:tcBorders>
            <w:shd w:val="clear" w:color="000000" w:fill="auto"/>
          </w:tcPr>
          <w:p w14:paraId="595F12BC"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2F5EA2A5"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5C926071"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768ABA58"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431BC65E"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vAlign w:val="bottom"/>
          </w:tcPr>
          <w:p w14:paraId="1B95DC7E" w14:textId="77777777" w:rsidR="008E7FC3" w:rsidRDefault="008E7FC3" w:rsidP="006510ED">
            <w:pPr>
              <w:pStyle w:val="TableHeading"/>
              <w:jc w:val="right"/>
            </w:pPr>
            <w:r>
              <w:t>Overall</w:t>
            </w:r>
          </w:p>
        </w:tc>
      </w:tr>
      <w:tr w:rsidR="008E7FC3" w:rsidRPr="00030C67" w14:paraId="234EC487" w14:textId="77777777" w:rsidTr="00177648">
        <w:tc>
          <w:tcPr>
            <w:tcW w:w="2694" w:type="dxa"/>
            <w:tcBorders>
              <w:top w:val="single" w:sz="4" w:space="0" w:color="B3B3B3"/>
              <w:bottom w:val="nil"/>
            </w:tcBorders>
            <w:shd w:val="clear" w:color="000000" w:fill="F2F2F2"/>
          </w:tcPr>
          <w:p w14:paraId="16A65BB5"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0718F57D" w14:textId="77777777" w:rsidR="008E7FC3" w:rsidRPr="00030C67" w:rsidRDefault="008E7FC3" w:rsidP="00177648">
            <w:pPr>
              <w:pStyle w:val="TableBody"/>
              <w:spacing w:before="45" w:after="45"/>
              <w:ind w:right="108"/>
              <w:jc w:val="right"/>
              <w:rPr>
                <w:rFonts w:ascii="Arial (Body)" w:hAnsi="Arial (Body)"/>
                <w:color w:val="000000"/>
              </w:rPr>
            </w:pPr>
            <w:r w:rsidRPr="001A666D">
              <w:t>200</w:t>
            </w:r>
          </w:p>
        </w:tc>
        <w:tc>
          <w:tcPr>
            <w:tcW w:w="1417" w:type="dxa"/>
            <w:tcBorders>
              <w:top w:val="single" w:sz="4" w:space="0" w:color="B3B3B3"/>
              <w:bottom w:val="nil"/>
            </w:tcBorders>
            <w:shd w:val="clear" w:color="000000" w:fill="F2F2F2"/>
          </w:tcPr>
          <w:p w14:paraId="638E81DE" w14:textId="77777777" w:rsidR="008E7FC3" w:rsidRPr="00030C67" w:rsidRDefault="008E7FC3" w:rsidP="00177648">
            <w:pPr>
              <w:pStyle w:val="TableBody"/>
              <w:spacing w:before="45" w:after="45"/>
              <w:ind w:right="108"/>
              <w:jc w:val="right"/>
              <w:rPr>
                <w:rFonts w:ascii="Arial (Body)" w:hAnsi="Arial (Body)"/>
                <w:color w:val="000000"/>
              </w:rPr>
            </w:pPr>
            <w:r w:rsidRPr="001A666D">
              <w:t>-700</w:t>
            </w:r>
          </w:p>
        </w:tc>
        <w:tc>
          <w:tcPr>
            <w:tcW w:w="1276" w:type="dxa"/>
            <w:tcBorders>
              <w:top w:val="single" w:sz="4" w:space="0" w:color="B3B3B3"/>
              <w:bottom w:val="nil"/>
            </w:tcBorders>
            <w:shd w:val="clear" w:color="000000" w:fill="F2F2F2"/>
          </w:tcPr>
          <w:p w14:paraId="6D190A19" w14:textId="77777777" w:rsidR="008E7FC3" w:rsidRDefault="008E7FC3" w:rsidP="00177648">
            <w:pPr>
              <w:pStyle w:val="TableBody"/>
              <w:spacing w:before="45" w:after="45"/>
              <w:ind w:right="108"/>
              <w:jc w:val="right"/>
              <w:rPr>
                <w:rFonts w:ascii="Arial (Body)" w:hAnsi="Arial (Body)"/>
                <w:color w:val="000000"/>
              </w:rPr>
            </w:pPr>
            <w:r w:rsidRPr="001A666D">
              <w:t>-1,000</w:t>
            </w:r>
          </w:p>
        </w:tc>
        <w:tc>
          <w:tcPr>
            <w:tcW w:w="1417" w:type="dxa"/>
            <w:tcBorders>
              <w:top w:val="single" w:sz="4" w:space="0" w:color="B3B3B3"/>
              <w:bottom w:val="nil"/>
            </w:tcBorders>
            <w:shd w:val="clear" w:color="000000" w:fill="F2F2F2"/>
          </w:tcPr>
          <w:p w14:paraId="74A542DC" w14:textId="77777777" w:rsidR="008E7FC3" w:rsidRDefault="008E7FC3" w:rsidP="00177648">
            <w:pPr>
              <w:pStyle w:val="TableBody"/>
              <w:spacing w:before="45" w:after="45"/>
              <w:ind w:right="108"/>
              <w:jc w:val="right"/>
              <w:rPr>
                <w:rFonts w:ascii="Arial (Body)" w:hAnsi="Arial (Body)"/>
                <w:color w:val="000000"/>
              </w:rPr>
            </w:pPr>
            <w:r w:rsidRPr="001A666D">
              <w:t>-200</w:t>
            </w:r>
          </w:p>
        </w:tc>
        <w:tc>
          <w:tcPr>
            <w:tcW w:w="1417" w:type="dxa"/>
            <w:tcBorders>
              <w:top w:val="single" w:sz="4" w:space="0" w:color="B3B3B3"/>
              <w:bottom w:val="nil"/>
            </w:tcBorders>
            <w:shd w:val="clear" w:color="000000" w:fill="F2F2F2"/>
          </w:tcPr>
          <w:p w14:paraId="0302F3C7" w14:textId="77777777" w:rsidR="008E7FC3" w:rsidRPr="00D4419A" w:rsidRDefault="008E7FC3" w:rsidP="00177648">
            <w:pPr>
              <w:pStyle w:val="TableBody"/>
              <w:spacing w:before="45" w:after="45"/>
              <w:ind w:right="108"/>
              <w:jc w:val="right"/>
            </w:pPr>
            <w:r w:rsidRPr="00BC318D">
              <w:t>-1,700</w:t>
            </w:r>
          </w:p>
        </w:tc>
      </w:tr>
      <w:tr w:rsidR="008E7FC3" w:rsidRPr="00030C67" w14:paraId="154A0F1F" w14:textId="77777777" w:rsidTr="00177648">
        <w:tc>
          <w:tcPr>
            <w:tcW w:w="2694" w:type="dxa"/>
            <w:tcBorders>
              <w:top w:val="nil"/>
              <w:bottom w:val="nil"/>
            </w:tcBorders>
            <w:shd w:val="clear" w:color="000000" w:fill="auto"/>
          </w:tcPr>
          <w:p w14:paraId="1FD64178"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799A5B94" w14:textId="77777777" w:rsidR="008E7FC3" w:rsidRPr="00030C67" w:rsidRDefault="008E7FC3" w:rsidP="00177648">
            <w:pPr>
              <w:pStyle w:val="TableBody"/>
              <w:spacing w:before="45" w:after="45"/>
              <w:ind w:right="108"/>
              <w:jc w:val="right"/>
              <w:rPr>
                <w:rFonts w:ascii="Arial (Body)" w:hAnsi="Arial (Body)"/>
                <w:color w:val="000000"/>
              </w:rPr>
            </w:pPr>
            <w:r w:rsidRPr="001A666D">
              <w:t>2,700</w:t>
            </w:r>
          </w:p>
        </w:tc>
        <w:tc>
          <w:tcPr>
            <w:tcW w:w="1417" w:type="dxa"/>
            <w:tcBorders>
              <w:top w:val="nil"/>
              <w:bottom w:val="nil"/>
            </w:tcBorders>
            <w:shd w:val="clear" w:color="000000" w:fill="auto"/>
          </w:tcPr>
          <w:p w14:paraId="31B82571" w14:textId="77777777" w:rsidR="008E7FC3" w:rsidRPr="00030C67" w:rsidRDefault="008E7FC3" w:rsidP="00177648">
            <w:pPr>
              <w:pStyle w:val="TableBody"/>
              <w:spacing w:before="45" w:after="45"/>
              <w:ind w:right="108"/>
              <w:jc w:val="right"/>
              <w:rPr>
                <w:rFonts w:ascii="Arial (Body)" w:hAnsi="Arial (Body)"/>
                <w:color w:val="000000"/>
              </w:rPr>
            </w:pPr>
            <w:r w:rsidRPr="001A666D">
              <w:t>3,000</w:t>
            </w:r>
          </w:p>
        </w:tc>
        <w:tc>
          <w:tcPr>
            <w:tcW w:w="1276" w:type="dxa"/>
            <w:tcBorders>
              <w:top w:val="nil"/>
              <w:bottom w:val="nil"/>
            </w:tcBorders>
            <w:shd w:val="clear" w:color="000000" w:fill="auto"/>
          </w:tcPr>
          <w:p w14:paraId="00813074" w14:textId="77777777" w:rsidR="008E7FC3" w:rsidRDefault="008E7FC3" w:rsidP="00177648">
            <w:pPr>
              <w:pStyle w:val="TableBody"/>
              <w:spacing w:before="45" w:after="45"/>
              <w:ind w:right="108"/>
              <w:jc w:val="right"/>
              <w:rPr>
                <w:rFonts w:ascii="Arial (Body)" w:hAnsi="Arial (Body)"/>
                <w:color w:val="000000"/>
              </w:rPr>
            </w:pPr>
            <w:r w:rsidRPr="001A666D">
              <w:t>700</w:t>
            </w:r>
          </w:p>
        </w:tc>
        <w:tc>
          <w:tcPr>
            <w:tcW w:w="1417" w:type="dxa"/>
            <w:tcBorders>
              <w:top w:val="nil"/>
              <w:bottom w:val="nil"/>
            </w:tcBorders>
            <w:shd w:val="clear" w:color="000000" w:fill="auto"/>
          </w:tcPr>
          <w:p w14:paraId="772C81CB" w14:textId="77777777" w:rsidR="008E7FC3" w:rsidRDefault="008E7FC3" w:rsidP="00177648">
            <w:pPr>
              <w:pStyle w:val="TableBody"/>
              <w:spacing w:before="45" w:after="45"/>
              <w:ind w:right="108"/>
              <w:jc w:val="right"/>
              <w:rPr>
                <w:rFonts w:ascii="Arial (Body)" w:hAnsi="Arial (Body)"/>
                <w:color w:val="000000"/>
              </w:rPr>
            </w:pPr>
            <w:r w:rsidRPr="001A666D">
              <w:t>700</w:t>
            </w:r>
          </w:p>
        </w:tc>
        <w:tc>
          <w:tcPr>
            <w:tcW w:w="1417" w:type="dxa"/>
            <w:tcBorders>
              <w:top w:val="nil"/>
              <w:bottom w:val="nil"/>
            </w:tcBorders>
            <w:shd w:val="clear" w:color="000000" w:fill="auto"/>
          </w:tcPr>
          <w:p w14:paraId="017C36AC" w14:textId="77777777" w:rsidR="008E7FC3" w:rsidRPr="00D4419A" w:rsidRDefault="008E7FC3" w:rsidP="00177648">
            <w:pPr>
              <w:pStyle w:val="TableBody"/>
              <w:spacing w:before="45" w:after="45"/>
              <w:ind w:right="108"/>
              <w:jc w:val="right"/>
            </w:pPr>
            <w:r w:rsidRPr="00BC318D">
              <w:t>7,100</w:t>
            </w:r>
          </w:p>
        </w:tc>
      </w:tr>
      <w:tr w:rsidR="008E7FC3" w:rsidRPr="00030C67" w14:paraId="2AD0E37C" w14:textId="77777777" w:rsidTr="00177648">
        <w:tc>
          <w:tcPr>
            <w:tcW w:w="2694" w:type="dxa"/>
            <w:tcBorders>
              <w:bottom w:val="nil"/>
            </w:tcBorders>
            <w:shd w:val="clear" w:color="000000" w:fill="F2F2F2"/>
          </w:tcPr>
          <w:p w14:paraId="5532D94D"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1AC7376E" w14:textId="77777777" w:rsidR="008E7FC3" w:rsidRPr="00030C67" w:rsidRDefault="008E7FC3" w:rsidP="00177648">
            <w:pPr>
              <w:pStyle w:val="TableBody"/>
              <w:spacing w:before="45" w:after="45"/>
              <w:ind w:right="108"/>
              <w:jc w:val="right"/>
              <w:rPr>
                <w:rFonts w:ascii="Arial (Body)" w:hAnsi="Arial (Body)"/>
                <w:color w:val="000000"/>
              </w:rPr>
            </w:pPr>
            <w:r w:rsidRPr="001A666D">
              <w:t>-1,800</w:t>
            </w:r>
          </w:p>
        </w:tc>
        <w:tc>
          <w:tcPr>
            <w:tcW w:w="1417" w:type="dxa"/>
            <w:tcBorders>
              <w:bottom w:val="nil"/>
            </w:tcBorders>
            <w:shd w:val="clear" w:color="000000" w:fill="F2F2F2"/>
          </w:tcPr>
          <w:p w14:paraId="67A627AA" w14:textId="77777777" w:rsidR="008E7FC3" w:rsidRPr="00030C67" w:rsidRDefault="008E7FC3" w:rsidP="00177648">
            <w:pPr>
              <w:pStyle w:val="TableBody"/>
              <w:spacing w:before="45" w:after="45"/>
              <w:ind w:right="108"/>
              <w:jc w:val="right"/>
              <w:rPr>
                <w:rFonts w:ascii="Arial (Body)" w:hAnsi="Arial (Body)"/>
                <w:color w:val="000000"/>
              </w:rPr>
            </w:pPr>
            <w:r w:rsidRPr="001A666D">
              <w:t>-2,800</w:t>
            </w:r>
          </w:p>
        </w:tc>
        <w:tc>
          <w:tcPr>
            <w:tcW w:w="1276" w:type="dxa"/>
            <w:tcBorders>
              <w:bottom w:val="nil"/>
            </w:tcBorders>
            <w:shd w:val="clear" w:color="000000" w:fill="F2F2F2"/>
          </w:tcPr>
          <w:p w14:paraId="6C4C8124" w14:textId="77777777" w:rsidR="008E7FC3" w:rsidRDefault="008E7FC3" w:rsidP="00177648">
            <w:pPr>
              <w:pStyle w:val="TableBody"/>
              <w:spacing w:before="45" w:after="45"/>
              <w:ind w:right="108"/>
              <w:jc w:val="right"/>
              <w:rPr>
                <w:rFonts w:ascii="Arial (Body)" w:hAnsi="Arial (Body)"/>
                <w:color w:val="000000"/>
              </w:rPr>
            </w:pPr>
            <w:r w:rsidRPr="001A666D">
              <w:t>-1,500</w:t>
            </w:r>
          </w:p>
        </w:tc>
        <w:tc>
          <w:tcPr>
            <w:tcW w:w="1417" w:type="dxa"/>
            <w:tcBorders>
              <w:bottom w:val="nil"/>
            </w:tcBorders>
            <w:shd w:val="clear" w:color="000000" w:fill="F2F2F2"/>
          </w:tcPr>
          <w:p w14:paraId="4E0340DB" w14:textId="77777777" w:rsidR="008E7FC3" w:rsidRDefault="008E7FC3" w:rsidP="00177648">
            <w:pPr>
              <w:pStyle w:val="TableBody"/>
              <w:spacing w:before="45" w:after="45"/>
              <w:ind w:right="108"/>
              <w:jc w:val="right"/>
              <w:rPr>
                <w:rFonts w:ascii="Arial (Body)" w:hAnsi="Arial (Body)"/>
                <w:color w:val="000000"/>
              </w:rPr>
            </w:pPr>
            <w:r w:rsidRPr="001A666D">
              <w:t>-800</w:t>
            </w:r>
          </w:p>
        </w:tc>
        <w:tc>
          <w:tcPr>
            <w:tcW w:w="1417" w:type="dxa"/>
            <w:tcBorders>
              <w:bottom w:val="nil"/>
            </w:tcBorders>
            <w:shd w:val="clear" w:color="000000" w:fill="F2F2F2"/>
          </w:tcPr>
          <w:p w14:paraId="6DDBF848" w14:textId="77777777" w:rsidR="008E7FC3" w:rsidRPr="00D4419A" w:rsidRDefault="008E7FC3" w:rsidP="00177648">
            <w:pPr>
              <w:pStyle w:val="TableBody"/>
              <w:spacing w:before="45" w:after="45"/>
              <w:ind w:right="108"/>
              <w:jc w:val="right"/>
            </w:pPr>
            <w:r w:rsidRPr="00BC318D">
              <w:t>-6,900</w:t>
            </w:r>
          </w:p>
        </w:tc>
      </w:tr>
      <w:tr w:rsidR="008E7FC3" w:rsidRPr="00030C67" w14:paraId="1901C51C" w14:textId="77777777" w:rsidTr="00177648">
        <w:tc>
          <w:tcPr>
            <w:tcW w:w="2694" w:type="dxa"/>
            <w:tcBorders>
              <w:bottom w:val="nil"/>
            </w:tcBorders>
            <w:shd w:val="clear" w:color="000000" w:fill="auto"/>
          </w:tcPr>
          <w:p w14:paraId="2AB3D34E"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4FBE2735" w14:textId="77777777" w:rsidR="008E7FC3" w:rsidRDefault="008E7FC3" w:rsidP="00177648">
            <w:pPr>
              <w:pStyle w:val="TableBody"/>
              <w:spacing w:before="45" w:after="45"/>
              <w:ind w:right="108"/>
              <w:jc w:val="right"/>
              <w:rPr>
                <w:rFonts w:ascii="Arial (Body)" w:hAnsi="Arial (Body)"/>
                <w:color w:val="000000"/>
              </w:rPr>
            </w:pPr>
            <w:r w:rsidRPr="001A666D">
              <w:t>600</w:t>
            </w:r>
          </w:p>
        </w:tc>
        <w:tc>
          <w:tcPr>
            <w:tcW w:w="1417" w:type="dxa"/>
            <w:tcBorders>
              <w:bottom w:val="nil"/>
            </w:tcBorders>
            <w:shd w:val="clear" w:color="000000" w:fill="auto"/>
          </w:tcPr>
          <w:p w14:paraId="4CF30E38" w14:textId="77777777" w:rsidR="008E7FC3" w:rsidRDefault="008E7FC3" w:rsidP="00177648">
            <w:pPr>
              <w:pStyle w:val="TableBody"/>
              <w:spacing w:before="45" w:after="45"/>
              <w:ind w:right="108"/>
              <w:jc w:val="right"/>
              <w:rPr>
                <w:rFonts w:ascii="Arial (Body)" w:hAnsi="Arial (Body)"/>
                <w:color w:val="000000"/>
              </w:rPr>
            </w:pPr>
            <w:r w:rsidRPr="001A666D">
              <w:t>200</w:t>
            </w:r>
          </w:p>
        </w:tc>
        <w:tc>
          <w:tcPr>
            <w:tcW w:w="1276" w:type="dxa"/>
            <w:tcBorders>
              <w:bottom w:val="nil"/>
            </w:tcBorders>
            <w:shd w:val="clear" w:color="000000" w:fill="auto"/>
          </w:tcPr>
          <w:p w14:paraId="23755EC0" w14:textId="77777777" w:rsidR="008E7FC3" w:rsidRDefault="008E7FC3" w:rsidP="00177648">
            <w:pPr>
              <w:pStyle w:val="TableBody"/>
              <w:spacing w:before="45" w:after="45"/>
              <w:ind w:right="108"/>
              <w:jc w:val="right"/>
              <w:rPr>
                <w:rFonts w:ascii="Arial (Body)" w:hAnsi="Arial (Body)"/>
                <w:color w:val="000000"/>
              </w:rPr>
            </w:pPr>
            <w:r w:rsidRPr="001A666D">
              <w:t>-800</w:t>
            </w:r>
          </w:p>
        </w:tc>
        <w:tc>
          <w:tcPr>
            <w:tcW w:w="1417" w:type="dxa"/>
            <w:tcBorders>
              <w:bottom w:val="nil"/>
            </w:tcBorders>
            <w:shd w:val="clear" w:color="000000" w:fill="auto"/>
          </w:tcPr>
          <w:p w14:paraId="68C0AE82" w14:textId="77777777" w:rsidR="008E7FC3" w:rsidRDefault="008E7FC3" w:rsidP="00177648">
            <w:pPr>
              <w:pStyle w:val="TableBody"/>
              <w:spacing w:before="45" w:after="45"/>
              <w:ind w:right="108"/>
              <w:jc w:val="right"/>
              <w:rPr>
                <w:rFonts w:ascii="Arial (Body)" w:hAnsi="Arial (Body)"/>
                <w:color w:val="000000"/>
              </w:rPr>
            </w:pPr>
            <w:r w:rsidRPr="001A666D">
              <w:t>0</w:t>
            </w:r>
          </w:p>
        </w:tc>
        <w:tc>
          <w:tcPr>
            <w:tcW w:w="1417" w:type="dxa"/>
            <w:tcBorders>
              <w:bottom w:val="nil"/>
            </w:tcBorders>
            <w:shd w:val="clear" w:color="000000" w:fill="auto"/>
          </w:tcPr>
          <w:p w14:paraId="42F3AB5C" w14:textId="77777777" w:rsidR="008E7FC3" w:rsidRPr="00D4419A" w:rsidRDefault="008E7FC3" w:rsidP="00177648">
            <w:pPr>
              <w:pStyle w:val="TableBody"/>
              <w:spacing w:before="45" w:after="45"/>
              <w:ind w:right="108"/>
              <w:jc w:val="right"/>
            </w:pPr>
            <w:r w:rsidRPr="00147058">
              <w:t>0</w:t>
            </w:r>
          </w:p>
        </w:tc>
      </w:tr>
      <w:tr w:rsidR="008E7FC3" w:rsidRPr="00030C67" w14:paraId="560C0000" w14:textId="77777777" w:rsidTr="00177648">
        <w:tc>
          <w:tcPr>
            <w:tcW w:w="2694" w:type="dxa"/>
            <w:tcBorders>
              <w:top w:val="nil"/>
              <w:bottom w:val="nil"/>
            </w:tcBorders>
            <w:shd w:val="clear" w:color="000000" w:fill="F2F2F2"/>
          </w:tcPr>
          <w:p w14:paraId="73F39118"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62124253" w14:textId="77777777" w:rsidR="008E7FC3" w:rsidRDefault="008E7FC3" w:rsidP="00177648">
            <w:pPr>
              <w:pStyle w:val="TableBody"/>
              <w:spacing w:before="45" w:after="45"/>
              <w:ind w:right="108"/>
              <w:jc w:val="right"/>
              <w:rPr>
                <w:rFonts w:ascii="Arial (Body)" w:hAnsi="Arial (Body)"/>
                <w:color w:val="000000"/>
              </w:rPr>
            </w:pPr>
            <w:r w:rsidRPr="001A666D">
              <w:t>-1,500</w:t>
            </w:r>
          </w:p>
        </w:tc>
        <w:tc>
          <w:tcPr>
            <w:tcW w:w="1417" w:type="dxa"/>
            <w:tcBorders>
              <w:top w:val="nil"/>
              <w:bottom w:val="nil"/>
            </w:tcBorders>
            <w:shd w:val="clear" w:color="000000" w:fill="F2F2F2"/>
          </w:tcPr>
          <w:p w14:paraId="718746B0" w14:textId="77777777" w:rsidR="008E7FC3" w:rsidRDefault="008E7FC3" w:rsidP="00177648">
            <w:pPr>
              <w:pStyle w:val="TableBody"/>
              <w:spacing w:before="45" w:after="45"/>
              <w:ind w:right="108"/>
              <w:jc w:val="right"/>
              <w:rPr>
                <w:rFonts w:ascii="Arial (Body)" w:hAnsi="Arial (Body)"/>
                <w:color w:val="000000"/>
              </w:rPr>
            </w:pPr>
            <w:r w:rsidRPr="001A666D">
              <w:t>-2,300</w:t>
            </w:r>
          </w:p>
        </w:tc>
        <w:tc>
          <w:tcPr>
            <w:tcW w:w="1276" w:type="dxa"/>
            <w:tcBorders>
              <w:top w:val="nil"/>
              <w:bottom w:val="nil"/>
            </w:tcBorders>
            <w:shd w:val="clear" w:color="000000" w:fill="F2F2F2"/>
          </w:tcPr>
          <w:p w14:paraId="6DAFB449" w14:textId="77777777" w:rsidR="008E7FC3" w:rsidRDefault="008E7FC3" w:rsidP="00177648">
            <w:pPr>
              <w:pStyle w:val="TableBody"/>
              <w:spacing w:before="45" w:after="45"/>
              <w:ind w:right="108"/>
              <w:jc w:val="right"/>
              <w:rPr>
                <w:rFonts w:ascii="Arial (Body)" w:hAnsi="Arial (Body)"/>
                <w:color w:val="000000"/>
              </w:rPr>
            </w:pPr>
            <w:r w:rsidRPr="001A666D">
              <w:t>-1,400</w:t>
            </w:r>
          </w:p>
        </w:tc>
        <w:tc>
          <w:tcPr>
            <w:tcW w:w="1417" w:type="dxa"/>
            <w:tcBorders>
              <w:top w:val="nil"/>
              <w:bottom w:val="nil"/>
            </w:tcBorders>
            <w:shd w:val="clear" w:color="000000" w:fill="F2F2F2"/>
          </w:tcPr>
          <w:p w14:paraId="08A45985" w14:textId="77777777" w:rsidR="008E7FC3" w:rsidRDefault="008E7FC3" w:rsidP="00177648">
            <w:pPr>
              <w:pStyle w:val="TableBody"/>
              <w:spacing w:before="45" w:after="45"/>
              <w:ind w:right="108"/>
              <w:jc w:val="right"/>
              <w:rPr>
                <w:rFonts w:ascii="Arial (Body)" w:hAnsi="Arial (Body)"/>
                <w:color w:val="000000"/>
              </w:rPr>
            </w:pPr>
            <w:r w:rsidRPr="001A666D">
              <w:t>-700</w:t>
            </w:r>
          </w:p>
        </w:tc>
        <w:tc>
          <w:tcPr>
            <w:tcW w:w="1417" w:type="dxa"/>
            <w:tcBorders>
              <w:top w:val="nil"/>
              <w:bottom w:val="nil"/>
            </w:tcBorders>
            <w:shd w:val="clear" w:color="000000" w:fill="F2F2F2"/>
          </w:tcPr>
          <w:p w14:paraId="240B06AE" w14:textId="77777777" w:rsidR="008E7FC3" w:rsidRPr="00D4419A" w:rsidRDefault="008E7FC3" w:rsidP="00177648">
            <w:pPr>
              <w:pStyle w:val="TableBody"/>
              <w:spacing w:before="45" w:after="45"/>
              <w:ind w:right="108"/>
              <w:jc w:val="right"/>
            </w:pPr>
            <w:r w:rsidRPr="00BC318D">
              <w:t>-5,900</w:t>
            </w:r>
          </w:p>
        </w:tc>
      </w:tr>
      <w:tr w:rsidR="008E7FC3" w:rsidRPr="00030C67" w14:paraId="67AC8F3B" w14:textId="77777777" w:rsidTr="00177648">
        <w:tc>
          <w:tcPr>
            <w:tcW w:w="2694" w:type="dxa"/>
            <w:tcBorders>
              <w:bottom w:val="nil"/>
            </w:tcBorders>
            <w:shd w:val="clear" w:color="000000" w:fill="auto"/>
          </w:tcPr>
          <w:p w14:paraId="2568E215"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43B6108D" w14:textId="77777777" w:rsidR="008E7FC3" w:rsidRDefault="008E7FC3" w:rsidP="00177648">
            <w:pPr>
              <w:pStyle w:val="TableBody"/>
              <w:spacing w:before="45" w:after="45"/>
              <w:ind w:right="108"/>
              <w:jc w:val="right"/>
              <w:rPr>
                <w:rFonts w:ascii="Arial (Body)" w:hAnsi="Arial (Body)"/>
                <w:color w:val="000000"/>
              </w:rPr>
            </w:pPr>
            <w:r w:rsidRPr="001A666D">
              <w:t>500</w:t>
            </w:r>
          </w:p>
        </w:tc>
        <w:tc>
          <w:tcPr>
            <w:tcW w:w="1417" w:type="dxa"/>
            <w:tcBorders>
              <w:bottom w:val="nil"/>
            </w:tcBorders>
            <w:shd w:val="clear" w:color="000000" w:fill="auto"/>
          </w:tcPr>
          <w:p w14:paraId="3AA5D1A8" w14:textId="77777777" w:rsidR="008E7FC3" w:rsidRDefault="008E7FC3" w:rsidP="00177648">
            <w:pPr>
              <w:pStyle w:val="TableBody"/>
              <w:spacing w:before="45" w:after="45"/>
              <w:ind w:right="108"/>
              <w:jc w:val="right"/>
              <w:rPr>
                <w:rFonts w:ascii="Arial (Body)" w:hAnsi="Arial (Body)"/>
                <w:color w:val="000000"/>
              </w:rPr>
            </w:pPr>
            <w:r w:rsidRPr="001A666D">
              <w:t>2,800</w:t>
            </w:r>
          </w:p>
        </w:tc>
        <w:tc>
          <w:tcPr>
            <w:tcW w:w="1276" w:type="dxa"/>
            <w:tcBorders>
              <w:bottom w:val="nil"/>
            </w:tcBorders>
            <w:shd w:val="clear" w:color="000000" w:fill="auto"/>
          </w:tcPr>
          <w:p w14:paraId="0668EB1C" w14:textId="77777777" w:rsidR="008E7FC3" w:rsidRDefault="008E7FC3" w:rsidP="00177648">
            <w:pPr>
              <w:pStyle w:val="TableBody"/>
              <w:spacing w:before="45" w:after="45"/>
              <w:ind w:right="108"/>
              <w:jc w:val="right"/>
              <w:rPr>
                <w:rFonts w:ascii="Arial (Body)" w:hAnsi="Arial (Body)"/>
                <w:color w:val="000000"/>
              </w:rPr>
            </w:pPr>
            <w:r w:rsidRPr="001A666D">
              <w:t>2,500</w:t>
            </w:r>
          </w:p>
        </w:tc>
        <w:tc>
          <w:tcPr>
            <w:tcW w:w="1417" w:type="dxa"/>
            <w:tcBorders>
              <w:bottom w:val="nil"/>
            </w:tcBorders>
            <w:shd w:val="clear" w:color="000000" w:fill="auto"/>
          </w:tcPr>
          <w:p w14:paraId="021032D2" w14:textId="77777777" w:rsidR="008E7FC3" w:rsidRDefault="008E7FC3" w:rsidP="00177648">
            <w:pPr>
              <w:pStyle w:val="TableBody"/>
              <w:spacing w:before="45" w:after="45"/>
              <w:ind w:right="108"/>
              <w:jc w:val="right"/>
              <w:rPr>
                <w:rFonts w:ascii="Arial (Body)" w:hAnsi="Arial (Body)"/>
                <w:color w:val="000000"/>
              </w:rPr>
            </w:pPr>
            <w:r w:rsidRPr="001A666D">
              <w:t>5,700</w:t>
            </w:r>
          </w:p>
        </w:tc>
        <w:tc>
          <w:tcPr>
            <w:tcW w:w="1417" w:type="dxa"/>
            <w:tcBorders>
              <w:bottom w:val="nil"/>
            </w:tcBorders>
            <w:shd w:val="clear" w:color="000000" w:fill="auto"/>
          </w:tcPr>
          <w:p w14:paraId="427A44C2" w14:textId="77777777" w:rsidR="008E7FC3" w:rsidRPr="00D4419A" w:rsidRDefault="008E7FC3" w:rsidP="00177648">
            <w:pPr>
              <w:pStyle w:val="TableBody"/>
              <w:spacing w:before="45" w:after="45"/>
              <w:ind w:right="108"/>
              <w:jc w:val="right"/>
            </w:pPr>
            <w:r w:rsidRPr="00BC318D">
              <w:t>11,500</w:t>
            </w:r>
          </w:p>
        </w:tc>
      </w:tr>
      <w:tr w:rsidR="008E7FC3" w:rsidRPr="00030C67" w14:paraId="5E8B93C8" w14:textId="77777777" w:rsidTr="00177648">
        <w:tc>
          <w:tcPr>
            <w:tcW w:w="2694" w:type="dxa"/>
            <w:tcBorders>
              <w:top w:val="nil"/>
              <w:bottom w:val="nil"/>
            </w:tcBorders>
            <w:shd w:val="clear" w:color="000000" w:fill="F2F2F2"/>
          </w:tcPr>
          <w:p w14:paraId="61FFC996"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2CE562B3" w14:textId="77777777" w:rsidR="008E7FC3" w:rsidRDefault="008E7FC3" w:rsidP="00177648">
            <w:pPr>
              <w:pStyle w:val="TableBody"/>
              <w:spacing w:before="45" w:after="45"/>
              <w:ind w:right="108"/>
              <w:jc w:val="right"/>
              <w:rPr>
                <w:rFonts w:ascii="Arial (Body)" w:hAnsi="Arial (Body)"/>
                <w:color w:val="000000"/>
              </w:rPr>
            </w:pPr>
            <w:r w:rsidRPr="001A666D">
              <w:t>-1,000</w:t>
            </w:r>
          </w:p>
        </w:tc>
        <w:tc>
          <w:tcPr>
            <w:tcW w:w="1417" w:type="dxa"/>
            <w:tcBorders>
              <w:top w:val="nil"/>
              <w:bottom w:val="nil"/>
            </w:tcBorders>
            <w:shd w:val="clear" w:color="000000" w:fill="F2F2F2"/>
          </w:tcPr>
          <w:p w14:paraId="77083362" w14:textId="77777777" w:rsidR="008E7FC3" w:rsidRDefault="008E7FC3" w:rsidP="00177648">
            <w:pPr>
              <w:pStyle w:val="TableBody"/>
              <w:spacing w:before="45" w:after="45"/>
              <w:ind w:right="108"/>
              <w:jc w:val="right"/>
              <w:rPr>
                <w:rFonts w:ascii="Arial (Body)" w:hAnsi="Arial (Body)"/>
                <w:color w:val="000000"/>
              </w:rPr>
            </w:pPr>
            <w:r w:rsidRPr="001A666D">
              <w:t>800</w:t>
            </w:r>
          </w:p>
        </w:tc>
        <w:tc>
          <w:tcPr>
            <w:tcW w:w="1276" w:type="dxa"/>
            <w:tcBorders>
              <w:top w:val="nil"/>
              <w:bottom w:val="nil"/>
            </w:tcBorders>
            <w:shd w:val="clear" w:color="000000" w:fill="F2F2F2"/>
          </w:tcPr>
          <w:p w14:paraId="10A825F3" w14:textId="77777777" w:rsidR="008E7FC3" w:rsidRDefault="008E7FC3" w:rsidP="00177648">
            <w:pPr>
              <w:pStyle w:val="TableBody"/>
              <w:spacing w:before="45" w:after="45"/>
              <w:ind w:right="108"/>
              <w:jc w:val="right"/>
              <w:rPr>
                <w:rFonts w:ascii="Arial (Body)" w:hAnsi="Arial (Body)"/>
                <w:color w:val="000000"/>
              </w:rPr>
            </w:pPr>
            <w:r w:rsidRPr="001A666D">
              <w:t>1,900</w:t>
            </w:r>
          </w:p>
        </w:tc>
        <w:tc>
          <w:tcPr>
            <w:tcW w:w="1417" w:type="dxa"/>
            <w:tcBorders>
              <w:top w:val="nil"/>
              <w:bottom w:val="nil"/>
            </w:tcBorders>
            <w:shd w:val="clear" w:color="000000" w:fill="F2F2F2"/>
          </w:tcPr>
          <w:p w14:paraId="1DC48BC2" w14:textId="77777777" w:rsidR="008E7FC3" w:rsidRDefault="008E7FC3" w:rsidP="00177648">
            <w:pPr>
              <w:pStyle w:val="TableBody"/>
              <w:spacing w:before="45" w:after="45"/>
              <w:ind w:right="108"/>
              <w:jc w:val="right"/>
              <w:rPr>
                <w:rFonts w:ascii="Arial (Body)" w:hAnsi="Arial (Body)"/>
                <w:color w:val="000000"/>
              </w:rPr>
            </w:pPr>
            <w:r w:rsidRPr="001A666D">
              <w:t>5,600</w:t>
            </w:r>
          </w:p>
        </w:tc>
        <w:tc>
          <w:tcPr>
            <w:tcW w:w="1417" w:type="dxa"/>
            <w:tcBorders>
              <w:top w:val="nil"/>
              <w:bottom w:val="nil"/>
            </w:tcBorders>
            <w:shd w:val="clear" w:color="000000" w:fill="F2F2F2"/>
          </w:tcPr>
          <w:p w14:paraId="183258F6" w14:textId="77777777" w:rsidR="008E7FC3" w:rsidRPr="00D4419A" w:rsidRDefault="008E7FC3" w:rsidP="00177648">
            <w:pPr>
              <w:pStyle w:val="TableBody"/>
              <w:spacing w:before="45" w:after="45"/>
              <w:ind w:right="108"/>
              <w:jc w:val="right"/>
            </w:pPr>
            <w:r w:rsidRPr="00BC318D">
              <w:t>7,300</w:t>
            </w:r>
          </w:p>
        </w:tc>
      </w:tr>
      <w:tr w:rsidR="008E7FC3" w:rsidRPr="00030C67" w14:paraId="6BD42EC9" w14:textId="77777777" w:rsidTr="00177648">
        <w:tc>
          <w:tcPr>
            <w:tcW w:w="2694" w:type="dxa"/>
            <w:tcBorders>
              <w:bottom w:val="single" w:sz="4" w:space="0" w:color="B3B3B3"/>
            </w:tcBorders>
            <w:shd w:val="clear" w:color="000000" w:fill="auto"/>
          </w:tcPr>
          <w:p w14:paraId="2BB14543"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4ABADA81" w14:textId="77777777" w:rsidR="008E7FC3" w:rsidRDefault="008E7FC3" w:rsidP="00177648">
            <w:pPr>
              <w:pStyle w:val="TableBody"/>
              <w:spacing w:before="45" w:after="45"/>
              <w:ind w:right="108"/>
              <w:jc w:val="right"/>
              <w:rPr>
                <w:rFonts w:ascii="Arial (Body)" w:hAnsi="Arial (Body)"/>
                <w:color w:val="000000"/>
              </w:rPr>
            </w:pPr>
            <w:r w:rsidRPr="001A666D">
              <w:t>400</w:t>
            </w:r>
          </w:p>
        </w:tc>
        <w:tc>
          <w:tcPr>
            <w:tcW w:w="1417" w:type="dxa"/>
            <w:tcBorders>
              <w:bottom w:val="single" w:sz="4" w:space="0" w:color="B3B3B3"/>
            </w:tcBorders>
            <w:shd w:val="clear" w:color="000000" w:fill="auto"/>
          </w:tcPr>
          <w:p w14:paraId="7D5D656B" w14:textId="77777777" w:rsidR="008E7FC3" w:rsidRDefault="008E7FC3" w:rsidP="00177648">
            <w:pPr>
              <w:pStyle w:val="TableBody"/>
              <w:spacing w:before="45" w:after="45"/>
              <w:ind w:right="108"/>
              <w:jc w:val="right"/>
              <w:rPr>
                <w:rFonts w:ascii="Arial (Body)" w:hAnsi="Arial (Body)"/>
                <w:color w:val="000000"/>
              </w:rPr>
            </w:pPr>
            <w:r w:rsidRPr="001A666D">
              <w:t>1,100</w:t>
            </w:r>
          </w:p>
        </w:tc>
        <w:tc>
          <w:tcPr>
            <w:tcW w:w="1276" w:type="dxa"/>
            <w:tcBorders>
              <w:bottom w:val="single" w:sz="4" w:space="0" w:color="B3B3B3"/>
            </w:tcBorders>
            <w:shd w:val="clear" w:color="000000" w:fill="auto"/>
          </w:tcPr>
          <w:p w14:paraId="0308C2EB" w14:textId="77777777" w:rsidR="008E7FC3" w:rsidRDefault="008E7FC3" w:rsidP="00177648">
            <w:pPr>
              <w:pStyle w:val="TableBody"/>
              <w:spacing w:before="45" w:after="45"/>
              <w:ind w:right="108"/>
              <w:jc w:val="right"/>
              <w:rPr>
                <w:rFonts w:ascii="Arial (Body)" w:hAnsi="Arial (Body)"/>
                <w:color w:val="000000"/>
              </w:rPr>
            </w:pPr>
            <w:r w:rsidRPr="001A666D">
              <w:t>1,800</w:t>
            </w:r>
          </w:p>
        </w:tc>
        <w:tc>
          <w:tcPr>
            <w:tcW w:w="1417" w:type="dxa"/>
            <w:tcBorders>
              <w:bottom w:val="single" w:sz="4" w:space="0" w:color="B3B3B3"/>
            </w:tcBorders>
            <w:shd w:val="clear" w:color="000000" w:fill="auto"/>
          </w:tcPr>
          <w:p w14:paraId="022A6D65" w14:textId="77777777" w:rsidR="008E7FC3" w:rsidRDefault="008E7FC3" w:rsidP="00177648">
            <w:pPr>
              <w:pStyle w:val="TableBody"/>
              <w:spacing w:before="45" w:after="45"/>
              <w:ind w:right="108"/>
              <w:jc w:val="right"/>
              <w:rPr>
                <w:rFonts w:ascii="Arial (Body)" w:hAnsi="Arial (Body)"/>
                <w:color w:val="000000"/>
              </w:rPr>
            </w:pPr>
            <w:r w:rsidRPr="001A666D">
              <w:t>5,600</w:t>
            </w:r>
          </w:p>
        </w:tc>
        <w:tc>
          <w:tcPr>
            <w:tcW w:w="1417" w:type="dxa"/>
            <w:tcBorders>
              <w:bottom w:val="single" w:sz="4" w:space="0" w:color="B3B3B3"/>
            </w:tcBorders>
            <w:shd w:val="clear" w:color="000000" w:fill="auto"/>
          </w:tcPr>
          <w:p w14:paraId="30B35BC4" w14:textId="77777777" w:rsidR="008E7FC3" w:rsidRPr="00D4419A" w:rsidRDefault="008E7FC3" w:rsidP="00177648">
            <w:pPr>
              <w:pStyle w:val="TableBody"/>
              <w:spacing w:before="45" w:after="45"/>
              <w:ind w:right="108"/>
              <w:jc w:val="right"/>
            </w:pPr>
            <w:r w:rsidRPr="00147058">
              <w:t>8,900</w:t>
            </w:r>
          </w:p>
        </w:tc>
      </w:tr>
    </w:tbl>
    <w:p w14:paraId="4613BD3F"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C36914">
        <w:rPr>
          <w:b/>
          <w:bCs/>
        </w:rPr>
        <w:t>b.</w:t>
      </w:r>
      <w:r w:rsidRPr="00C36914">
        <w:t xml:space="preserve"> </w:t>
      </w:r>
      <w:r>
        <w:t>Estimates rounded to the closest hundred</w:t>
      </w:r>
      <w:r w:rsidRPr="00C36914">
        <w:t>.</w:t>
      </w:r>
      <w:r>
        <w:t xml:space="preserve"> </w:t>
      </w:r>
      <w:r w:rsidRPr="004F6485">
        <w:rPr>
          <w:b/>
          <w:bCs/>
        </w:rPr>
        <w:t>c.</w:t>
      </w:r>
      <w:r>
        <w:t xml:space="preserve"> Full</w:t>
      </w:r>
      <w:r>
        <w:noBreakHyphen/>
        <w:t>time equivalent work was assumed as 35 hours per week.</w:t>
      </w:r>
    </w:p>
    <w:p w14:paraId="7E4FE6D6"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5A578E7C" w14:textId="77777777" w:rsidR="008E7FC3" w:rsidRPr="00A80C1A" w:rsidRDefault="008E7FC3" w:rsidP="008E7FC3">
      <w:pPr>
        <w:pStyle w:val="BodyText"/>
      </w:pPr>
      <w:r w:rsidRPr="00A80C1A">
        <w:br w:type="page"/>
      </w:r>
    </w:p>
    <w:p w14:paraId="6C0216DE" w14:textId="77777777" w:rsidR="008E7FC3" w:rsidRDefault="008E7FC3" w:rsidP="008E7FC3">
      <w:pPr>
        <w:pStyle w:val="FigureTableHeading"/>
      </w:pPr>
      <w:r>
        <w:lastRenderedPageBreak/>
        <w:t xml:space="preserve">Table </w:t>
      </w:r>
      <w:r>
        <w:rPr>
          <w:noProof/>
        </w:rPr>
        <w:t>G</w:t>
      </w:r>
      <w:r>
        <w:t>.</w:t>
      </w:r>
      <w:r>
        <w:rPr>
          <w:noProof/>
        </w:rPr>
        <w:t xml:space="preserve">17 – </w:t>
      </w:r>
      <w:r>
        <w:t>Full</w:t>
      </w:r>
      <w:r>
        <w:noBreakHyphen/>
        <w:t>time equivalent change of ECEC demand by income quartile</w:t>
      </w:r>
      <w:r w:rsidRPr="00EC0C27">
        <w:rPr>
          <w:vertAlign w:val="superscript"/>
        </w:rPr>
        <w:t>a,b</w:t>
      </w:r>
      <w:r>
        <w:rPr>
          <w:vertAlign w:val="superscript"/>
        </w:rPr>
        <w:t>,c</w:t>
      </w:r>
    </w:p>
    <w:p w14:paraId="27342B1A"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0C9B4EFA" w14:textId="77777777" w:rsidTr="006510ED">
        <w:trPr>
          <w:tblHeader/>
        </w:trPr>
        <w:tc>
          <w:tcPr>
            <w:tcW w:w="2694" w:type="dxa"/>
            <w:tcBorders>
              <w:bottom w:val="single" w:sz="4" w:space="0" w:color="B3B3B3"/>
            </w:tcBorders>
            <w:shd w:val="clear" w:color="000000" w:fill="auto"/>
            <w:vAlign w:val="bottom"/>
          </w:tcPr>
          <w:p w14:paraId="17664004"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48B29C70"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07285D5E"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3292891C"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3AA2C639"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vAlign w:val="bottom"/>
          </w:tcPr>
          <w:p w14:paraId="119B4463" w14:textId="77777777" w:rsidR="008E7FC3" w:rsidRDefault="008E7FC3" w:rsidP="006510ED">
            <w:pPr>
              <w:pStyle w:val="TableHeading"/>
              <w:jc w:val="right"/>
            </w:pPr>
            <w:r>
              <w:t>Overall</w:t>
            </w:r>
          </w:p>
        </w:tc>
      </w:tr>
      <w:tr w:rsidR="008E7FC3" w:rsidRPr="00030C67" w14:paraId="387626AF" w14:textId="77777777" w:rsidTr="00177648">
        <w:tc>
          <w:tcPr>
            <w:tcW w:w="2694" w:type="dxa"/>
            <w:tcBorders>
              <w:top w:val="single" w:sz="4" w:space="0" w:color="B3B3B3"/>
              <w:bottom w:val="nil"/>
            </w:tcBorders>
            <w:shd w:val="clear" w:color="000000" w:fill="F2F2F2"/>
          </w:tcPr>
          <w:p w14:paraId="3D318B76"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30C00203" w14:textId="77777777" w:rsidR="008E7FC3" w:rsidRPr="00030C67" w:rsidRDefault="008E7FC3" w:rsidP="00177648">
            <w:pPr>
              <w:pStyle w:val="TableBody"/>
              <w:spacing w:before="45" w:after="45"/>
              <w:ind w:right="108"/>
              <w:jc w:val="right"/>
              <w:rPr>
                <w:rFonts w:ascii="Arial (Body)" w:hAnsi="Arial (Body)"/>
                <w:color w:val="000000"/>
              </w:rPr>
            </w:pPr>
            <w:r w:rsidRPr="00F53B90">
              <w:t>23,900</w:t>
            </w:r>
          </w:p>
        </w:tc>
        <w:tc>
          <w:tcPr>
            <w:tcW w:w="1417" w:type="dxa"/>
            <w:tcBorders>
              <w:top w:val="single" w:sz="4" w:space="0" w:color="B3B3B3"/>
              <w:bottom w:val="nil"/>
            </w:tcBorders>
            <w:shd w:val="clear" w:color="000000" w:fill="F2F2F2"/>
          </w:tcPr>
          <w:p w14:paraId="511A0641" w14:textId="77777777" w:rsidR="008E7FC3" w:rsidRPr="00030C67" w:rsidRDefault="008E7FC3" w:rsidP="00177648">
            <w:pPr>
              <w:pStyle w:val="TableBody"/>
              <w:spacing w:before="45" w:after="45"/>
              <w:ind w:right="108"/>
              <w:jc w:val="right"/>
              <w:rPr>
                <w:rFonts w:ascii="Arial (Body)" w:hAnsi="Arial (Body)"/>
                <w:color w:val="000000"/>
              </w:rPr>
            </w:pPr>
            <w:r w:rsidRPr="00F53B90">
              <w:t>12,400</w:t>
            </w:r>
          </w:p>
        </w:tc>
        <w:tc>
          <w:tcPr>
            <w:tcW w:w="1276" w:type="dxa"/>
            <w:tcBorders>
              <w:top w:val="single" w:sz="4" w:space="0" w:color="B3B3B3"/>
              <w:bottom w:val="nil"/>
            </w:tcBorders>
            <w:shd w:val="clear" w:color="000000" w:fill="F2F2F2"/>
          </w:tcPr>
          <w:p w14:paraId="6E6ECB4B" w14:textId="77777777" w:rsidR="008E7FC3" w:rsidRDefault="008E7FC3" w:rsidP="00177648">
            <w:pPr>
              <w:pStyle w:val="TableBody"/>
              <w:spacing w:before="45" w:after="45"/>
              <w:ind w:right="108"/>
              <w:jc w:val="right"/>
              <w:rPr>
                <w:rFonts w:ascii="Arial (Body)" w:hAnsi="Arial (Body)"/>
                <w:color w:val="000000"/>
              </w:rPr>
            </w:pPr>
            <w:r w:rsidRPr="00F53B90">
              <w:t>4,200</w:t>
            </w:r>
          </w:p>
        </w:tc>
        <w:tc>
          <w:tcPr>
            <w:tcW w:w="1417" w:type="dxa"/>
            <w:tcBorders>
              <w:top w:val="single" w:sz="4" w:space="0" w:color="B3B3B3"/>
              <w:bottom w:val="nil"/>
            </w:tcBorders>
            <w:shd w:val="clear" w:color="000000" w:fill="F2F2F2"/>
          </w:tcPr>
          <w:p w14:paraId="2B79FABA" w14:textId="77777777" w:rsidR="008E7FC3" w:rsidRDefault="008E7FC3" w:rsidP="00177648">
            <w:pPr>
              <w:pStyle w:val="TableBody"/>
              <w:spacing w:before="45" w:after="45"/>
              <w:ind w:right="108"/>
              <w:jc w:val="right"/>
              <w:rPr>
                <w:rFonts w:ascii="Arial (Body)" w:hAnsi="Arial (Body)"/>
                <w:color w:val="000000"/>
              </w:rPr>
            </w:pPr>
            <w:r w:rsidRPr="00F53B90">
              <w:t>4,600</w:t>
            </w:r>
          </w:p>
        </w:tc>
        <w:tc>
          <w:tcPr>
            <w:tcW w:w="1417" w:type="dxa"/>
            <w:tcBorders>
              <w:top w:val="single" w:sz="4" w:space="0" w:color="B3B3B3"/>
              <w:bottom w:val="nil"/>
            </w:tcBorders>
            <w:shd w:val="clear" w:color="000000" w:fill="F2F2F2"/>
          </w:tcPr>
          <w:p w14:paraId="01947C6E" w14:textId="77777777" w:rsidR="008E7FC3" w:rsidRPr="00D4419A" w:rsidRDefault="008E7FC3" w:rsidP="00177648">
            <w:pPr>
              <w:pStyle w:val="TableBody"/>
              <w:spacing w:before="45" w:after="45"/>
              <w:ind w:right="108"/>
              <w:jc w:val="right"/>
            </w:pPr>
            <w:r w:rsidRPr="00F53B90">
              <w:t>45,100</w:t>
            </w:r>
          </w:p>
        </w:tc>
      </w:tr>
      <w:tr w:rsidR="008E7FC3" w:rsidRPr="00030C67" w14:paraId="1B68E89F" w14:textId="77777777" w:rsidTr="00177648">
        <w:tc>
          <w:tcPr>
            <w:tcW w:w="2694" w:type="dxa"/>
            <w:tcBorders>
              <w:top w:val="nil"/>
              <w:bottom w:val="nil"/>
            </w:tcBorders>
            <w:shd w:val="clear" w:color="000000" w:fill="auto"/>
          </w:tcPr>
          <w:p w14:paraId="27B6CD30"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2AEA5F90" w14:textId="77777777" w:rsidR="008E7FC3" w:rsidRPr="00030C67" w:rsidRDefault="008E7FC3" w:rsidP="00177648">
            <w:pPr>
              <w:pStyle w:val="TableBody"/>
              <w:spacing w:before="45" w:after="45"/>
              <w:ind w:right="108"/>
              <w:jc w:val="right"/>
              <w:rPr>
                <w:rFonts w:ascii="Arial (Body)" w:hAnsi="Arial (Body)"/>
                <w:color w:val="000000"/>
              </w:rPr>
            </w:pPr>
            <w:r w:rsidRPr="00F53B90">
              <w:t>8,000</w:t>
            </w:r>
          </w:p>
        </w:tc>
        <w:tc>
          <w:tcPr>
            <w:tcW w:w="1417" w:type="dxa"/>
            <w:tcBorders>
              <w:top w:val="nil"/>
              <w:bottom w:val="nil"/>
            </w:tcBorders>
            <w:shd w:val="clear" w:color="000000" w:fill="auto"/>
          </w:tcPr>
          <w:p w14:paraId="7C60E8D5" w14:textId="77777777" w:rsidR="008E7FC3" w:rsidRPr="00030C67" w:rsidRDefault="008E7FC3" w:rsidP="00177648">
            <w:pPr>
              <w:pStyle w:val="TableBody"/>
              <w:spacing w:before="45" w:after="45"/>
              <w:ind w:right="108"/>
              <w:jc w:val="right"/>
              <w:rPr>
                <w:rFonts w:ascii="Arial (Body)" w:hAnsi="Arial (Body)"/>
                <w:color w:val="000000"/>
              </w:rPr>
            </w:pPr>
            <w:r w:rsidRPr="00F53B90">
              <w:t>7,800</w:t>
            </w:r>
          </w:p>
        </w:tc>
        <w:tc>
          <w:tcPr>
            <w:tcW w:w="1276" w:type="dxa"/>
            <w:tcBorders>
              <w:top w:val="nil"/>
              <w:bottom w:val="nil"/>
            </w:tcBorders>
            <w:shd w:val="clear" w:color="000000" w:fill="auto"/>
          </w:tcPr>
          <w:p w14:paraId="2CD12532" w14:textId="77777777" w:rsidR="008E7FC3" w:rsidRDefault="008E7FC3" w:rsidP="00177648">
            <w:pPr>
              <w:pStyle w:val="TableBody"/>
              <w:spacing w:before="45" w:after="45"/>
              <w:ind w:right="108"/>
              <w:jc w:val="right"/>
              <w:rPr>
                <w:rFonts w:ascii="Arial (Body)" w:hAnsi="Arial (Body)"/>
                <w:color w:val="000000"/>
              </w:rPr>
            </w:pPr>
            <w:r w:rsidRPr="00F53B90">
              <w:t>3,100</w:t>
            </w:r>
          </w:p>
        </w:tc>
        <w:tc>
          <w:tcPr>
            <w:tcW w:w="1417" w:type="dxa"/>
            <w:tcBorders>
              <w:top w:val="nil"/>
              <w:bottom w:val="nil"/>
            </w:tcBorders>
            <w:shd w:val="clear" w:color="000000" w:fill="auto"/>
          </w:tcPr>
          <w:p w14:paraId="6E8CC5B4" w14:textId="77777777" w:rsidR="008E7FC3" w:rsidRDefault="008E7FC3" w:rsidP="00177648">
            <w:pPr>
              <w:pStyle w:val="TableBody"/>
              <w:spacing w:before="45" w:after="45"/>
              <w:ind w:right="108"/>
              <w:jc w:val="right"/>
              <w:rPr>
                <w:rFonts w:ascii="Arial (Body)" w:hAnsi="Arial (Body)"/>
                <w:color w:val="000000"/>
              </w:rPr>
            </w:pPr>
            <w:r w:rsidRPr="00F53B90">
              <w:t>4,000</w:t>
            </w:r>
          </w:p>
        </w:tc>
        <w:tc>
          <w:tcPr>
            <w:tcW w:w="1417" w:type="dxa"/>
            <w:tcBorders>
              <w:top w:val="nil"/>
              <w:bottom w:val="nil"/>
            </w:tcBorders>
            <w:shd w:val="clear" w:color="000000" w:fill="auto"/>
          </w:tcPr>
          <w:p w14:paraId="298982BA" w14:textId="77777777" w:rsidR="008E7FC3" w:rsidRPr="00D4419A" w:rsidRDefault="008E7FC3" w:rsidP="00177648">
            <w:pPr>
              <w:pStyle w:val="TableBody"/>
              <w:spacing w:before="45" w:after="45"/>
              <w:ind w:right="108"/>
              <w:jc w:val="right"/>
            </w:pPr>
            <w:r w:rsidRPr="00F53B90">
              <w:t>22,900</w:t>
            </w:r>
          </w:p>
        </w:tc>
      </w:tr>
      <w:tr w:rsidR="008E7FC3" w:rsidRPr="00030C67" w14:paraId="495E06D5" w14:textId="77777777" w:rsidTr="00177648">
        <w:tc>
          <w:tcPr>
            <w:tcW w:w="2694" w:type="dxa"/>
            <w:tcBorders>
              <w:bottom w:val="nil"/>
            </w:tcBorders>
            <w:shd w:val="clear" w:color="000000" w:fill="F2F2F2"/>
          </w:tcPr>
          <w:p w14:paraId="22B0E771"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77AB9F0F" w14:textId="77777777" w:rsidR="008E7FC3" w:rsidRPr="00030C67" w:rsidRDefault="008E7FC3" w:rsidP="00177648">
            <w:pPr>
              <w:pStyle w:val="TableBody"/>
              <w:spacing w:before="45" w:after="45"/>
              <w:ind w:right="108"/>
              <w:jc w:val="right"/>
              <w:rPr>
                <w:rFonts w:ascii="Arial (Body)" w:hAnsi="Arial (Body)"/>
                <w:color w:val="000000"/>
              </w:rPr>
            </w:pPr>
            <w:r w:rsidRPr="00F53B90">
              <w:t>12,400</w:t>
            </w:r>
          </w:p>
        </w:tc>
        <w:tc>
          <w:tcPr>
            <w:tcW w:w="1417" w:type="dxa"/>
            <w:tcBorders>
              <w:bottom w:val="nil"/>
            </w:tcBorders>
            <w:shd w:val="clear" w:color="000000" w:fill="F2F2F2"/>
          </w:tcPr>
          <w:p w14:paraId="0E01E775" w14:textId="77777777" w:rsidR="008E7FC3" w:rsidRPr="00030C67" w:rsidRDefault="008E7FC3" w:rsidP="00177648">
            <w:pPr>
              <w:pStyle w:val="TableBody"/>
              <w:spacing w:before="45" w:after="45"/>
              <w:ind w:right="108"/>
              <w:jc w:val="right"/>
              <w:rPr>
                <w:rFonts w:ascii="Arial (Body)" w:hAnsi="Arial (Body)"/>
                <w:color w:val="000000"/>
              </w:rPr>
            </w:pPr>
            <w:r w:rsidRPr="00F53B90">
              <w:t>4,600</w:t>
            </w:r>
          </w:p>
        </w:tc>
        <w:tc>
          <w:tcPr>
            <w:tcW w:w="1276" w:type="dxa"/>
            <w:tcBorders>
              <w:bottom w:val="nil"/>
            </w:tcBorders>
            <w:shd w:val="clear" w:color="000000" w:fill="F2F2F2"/>
          </w:tcPr>
          <w:p w14:paraId="7A192148" w14:textId="77777777" w:rsidR="008E7FC3" w:rsidRDefault="008E7FC3" w:rsidP="00177648">
            <w:pPr>
              <w:pStyle w:val="TableBody"/>
              <w:spacing w:before="45" w:after="45"/>
              <w:ind w:right="108"/>
              <w:jc w:val="right"/>
              <w:rPr>
                <w:rFonts w:ascii="Arial (Body)" w:hAnsi="Arial (Body)"/>
                <w:color w:val="000000"/>
              </w:rPr>
            </w:pPr>
            <w:r w:rsidRPr="00F53B90">
              <w:t>900</w:t>
            </w:r>
          </w:p>
        </w:tc>
        <w:tc>
          <w:tcPr>
            <w:tcW w:w="1417" w:type="dxa"/>
            <w:tcBorders>
              <w:bottom w:val="nil"/>
            </w:tcBorders>
            <w:shd w:val="clear" w:color="000000" w:fill="F2F2F2"/>
          </w:tcPr>
          <w:p w14:paraId="311EC6AF" w14:textId="77777777" w:rsidR="008E7FC3" w:rsidRDefault="008E7FC3" w:rsidP="00177648">
            <w:pPr>
              <w:pStyle w:val="TableBody"/>
              <w:spacing w:before="45" w:after="45"/>
              <w:ind w:right="108"/>
              <w:jc w:val="right"/>
              <w:rPr>
                <w:rFonts w:ascii="Arial (Body)" w:hAnsi="Arial (Body)"/>
                <w:color w:val="000000"/>
              </w:rPr>
            </w:pPr>
            <w:r w:rsidRPr="00F53B90">
              <w:t>500</w:t>
            </w:r>
          </w:p>
        </w:tc>
        <w:tc>
          <w:tcPr>
            <w:tcW w:w="1417" w:type="dxa"/>
            <w:tcBorders>
              <w:bottom w:val="nil"/>
            </w:tcBorders>
            <w:shd w:val="clear" w:color="000000" w:fill="F2F2F2"/>
          </w:tcPr>
          <w:p w14:paraId="04B90769" w14:textId="77777777" w:rsidR="008E7FC3" w:rsidRPr="00D4419A" w:rsidRDefault="008E7FC3" w:rsidP="00177648">
            <w:pPr>
              <w:pStyle w:val="TableBody"/>
              <w:spacing w:before="45" w:after="45"/>
              <w:ind w:right="108"/>
              <w:jc w:val="right"/>
            </w:pPr>
            <w:r w:rsidRPr="00F53B90">
              <w:t>18,400</w:t>
            </w:r>
          </w:p>
        </w:tc>
      </w:tr>
      <w:tr w:rsidR="008E7FC3" w:rsidRPr="00030C67" w14:paraId="7077E7E9" w14:textId="77777777" w:rsidTr="00177648">
        <w:tc>
          <w:tcPr>
            <w:tcW w:w="2694" w:type="dxa"/>
            <w:tcBorders>
              <w:bottom w:val="nil"/>
            </w:tcBorders>
            <w:shd w:val="clear" w:color="000000" w:fill="auto"/>
          </w:tcPr>
          <w:p w14:paraId="3739025B"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211C22E5" w14:textId="77777777" w:rsidR="008E7FC3" w:rsidRDefault="008E7FC3" w:rsidP="00177648">
            <w:pPr>
              <w:pStyle w:val="TableBody"/>
              <w:spacing w:before="45" w:after="45"/>
              <w:ind w:right="108"/>
              <w:jc w:val="right"/>
              <w:rPr>
                <w:rFonts w:ascii="Arial (Body)" w:hAnsi="Arial (Body)"/>
                <w:color w:val="000000"/>
              </w:rPr>
            </w:pPr>
            <w:r w:rsidRPr="00F53B90">
              <w:t>17,500</w:t>
            </w:r>
          </w:p>
        </w:tc>
        <w:tc>
          <w:tcPr>
            <w:tcW w:w="1417" w:type="dxa"/>
            <w:tcBorders>
              <w:bottom w:val="nil"/>
            </w:tcBorders>
            <w:shd w:val="clear" w:color="000000" w:fill="auto"/>
          </w:tcPr>
          <w:p w14:paraId="4F7369C2" w14:textId="77777777" w:rsidR="008E7FC3" w:rsidRDefault="008E7FC3" w:rsidP="00177648">
            <w:pPr>
              <w:pStyle w:val="TableBody"/>
              <w:spacing w:before="45" w:after="45"/>
              <w:ind w:right="108"/>
              <w:jc w:val="right"/>
              <w:rPr>
                <w:rFonts w:ascii="Arial (Body)" w:hAnsi="Arial (Body)"/>
                <w:color w:val="000000"/>
              </w:rPr>
            </w:pPr>
            <w:r w:rsidRPr="00F53B90">
              <w:t>10,500</w:t>
            </w:r>
          </w:p>
        </w:tc>
        <w:tc>
          <w:tcPr>
            <w:tcW w:w="1276" w:type="dxa"/>
            <w:tcBorders>
              <w:bottom w:val="nil"/>
            </w:tcBorders>
            <w:shd w:val="clear" w:color="000000" w:fill="auto"/>
          </w:tcPr>
          <w:p w14:paraId="19AD04A8" w14:textId="77777777" w:rsidR="008E7FC3" w:rsidRDefault="008E7FC3" w:rsidP="00177648">
            <w:pPr>
              <w:pStyle w:val="TableBody"/>
              <w:spacing w:before="45" w:after="45"/>
              <w:ind w:right="108"/>
              <w:jc w:val="right"/>
              <w:rPr>
                <w:rFonts w:ascii="Arial (Body)" w:hAnsi="Arial (Body)"/>
                <w:color w:val="000000"/>
              </w:rPr>
            </w:pPr>
            <w:r w:rsidRPr="00F53B90">
              <w:t>3,800</w:t>
            </w:r>
          </w:p>
        </w:tc>
        <w:tc>
          <w:tcPr>
            <w:tcW w:w="1417" w:type="dxa"/>
            <w:tcBorders>
              <w:bottom w:val="nil"/>
            </w:tcBorders>
            <w:shd w:val="clear" w:color="000000" w:fill="auto"/>
          </w:tcPr>
          <w:p w14:paraId="1D9857F5" w14:textId="77777777" w:rsidR="008E7FC3" w:rsidRDefault="008E7FC3" w:rsidP="00177648">
            <w:pPr>
              <w:pStyle w:val="TableBody"/>
              <w:spacing w:before="45" w:after="45"/>
              <w:ind w:right="108"/>
              <w:jc w:val="right"/>
              <w:rPr>
                <w:rFonts w:ascii="Arial (Body)" w:hAnsi="Arial (Body)"/>
                <w:color w:val="000000"/>
              </w:rPr>
            </w:pPr>
            <w:r w:rsidRPr="00F53B90">
              <w:t>4,300</w:t>
            </w:r>
          </w:p>
        </w:tc>
        <w:tc>
          <w:tcPr>
            <w:tcW w:w="1417" w:type="dxa"/>
            <w:tcBorders>
              <w:bottom w:val="nil"/>
            </w:tcBorders>
            <w:shd w:val="clear" w:color="000000" w:fill="auto"/>
          </w:tcPr>
          <w:p w14:paraId="78730AF2" w14:textId="77777777" w:rsidR="008E7FC3" w:rsidRPr="00D4419A" w:rsidRDefault="008E7FC3" w:rsidP="00177648">
            <w:pPr>
              <w:pStyle w:val="TableBody"/>
              <w:spacing w:before="45" w:after="45"/>
              <w:ind w:right="108"/>
              <w:jc w:val="right"/>
            </w:pPr>
            <w:r w:rsidRPr="00F53B90">
              <w:t>36,100</w:t>
            </w:r>
          </w:p>
        </w:tc>
      </w:tr>
      <w:tr w:rsidR="008E7FC3" w:rsidRPr="00030C67" w14:paraId="3DBC8915" w14:textId="77777777" w:rsidTr="00177648">
        <w:tc>
          <w:tcPr>
            <w:tcW w:w="2694" w:type="dxa"/>
            <w:tcBorders>
              <w:top w:val="nil"/>
              <w:bottom w:val="nil"/>
            </w:tcBorders>
            <w:shd w:val="clear" w:color="000000" w:fill="F2F2F2"/>
          </w:tcPr>
          <w:p w14:paraId="4308DB8B"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45DB2DC0" w14:textId="77777777" w:rsidR="008E7FC3" w:rsidRDefault="008E7FC3" w:rsidP="00177648">
            <w:pPr>
              <w:pStyle w:val="TableBody"/>
              <w:spacing w:before="45" w:after="45"/>
              <w:ind w:right="108"/>
              <w:jc w:val="right"/>
              <w:rPr>
                <w:rFonts w:ascii="Arial (Body)" w:hAnsi="Arial (Body)"/>
                <w:color w:val="000000"/>
              </w:rPr>
            </w:pPr>
            <w:r w:rsidRPr="00F53B90">
              <w:t>7,700</w:t>
            </w:r>
          </w:p>
        </w:tc>
        <w:tc>
          <w:tcPr>
            <w:tcW w:w="1417" w:type="dxa"/>
            <w:tcBorders>
              <w:top w:val="nil"/>
              <w:bottom w:val="nil"/>
            </w:tcBorders>
            <w:shd w:val="clear" w:color="000000" w:fill="F2F2F2"/>
          </w:tcPr>
          <w:p w14:paraId="0476F8D1" w14:textId="77777777" w:rsidR="008E7FC3" w:rsidRDefault="008E7FC3" w:rsidP="00177648">
            <w:pPr>
              <w:pStyle w:val="TableBody"/>
              <w:spacing w:before="45" w:after="45"/>
              <w:ind w:right="108"/>
              <w:jc w:val="right"/>
              <w:rPr>
                <w:rFonts w:ascii="Arial (Body)" w:hAnsi="Arial (Body)"/>
                <w:color w:val="000000"/>
              </w:rPr>
            </w:pPr>
            <w:r w:rsidRPr="00F53B90">
              <w:t>3,400</w:t>
            </w:r>
          </w:p>
        </w:tc>
        <w:tc>
          <w:tcPr>
            <w:tcW w:w="1276" w:type="dxa"/>
            <w:tcBorders>
              <w:top w:val="nil"/>
              <w:bottom w:val="nil"/>
            </w:tcBorders>
            <w:shd w:val="clear" w:color="000000" w:fill="F2F2F2"/>
          </w:tcPr>
          <w:p w14:paraId="63342A23" w14:textId="77777777" w:rsidR="008E7FC3" w:rsidRDefault="008E7FC3" w:rsidP="00177648">
            <w:pPr>
              <w:pStyle w:val="TableBody"/>
              <w:spacing w:before="45" w:after="45"/>
              <w:ind w:right="108"/>
              <w:jc w:val="right"/>
              <w:rPr>
                <w:rFonts w:ascii="Arial (Body)" w:hAnsi="Arial (Body)"/>
                <w:color w:val="000000"/>
              </w:rPr>
            </w:pPr>
            <w:r w:rsidRPr="00F53B90">
              <w:t>600</w:t>
            </w:r>
          </w:p>
        </w:tc>
        <w:tc>
          <w:tcPr>
            <w:tcW w:w="1417" w:type="dxa"/>
            <w:tcBorders>
              <w:top w:val="nil"/>
              <w:bottom w:val="nil"/>
            </w:tcBorders>
            <w:shd w:val="clear" w:color="000000" w:fill="F2F2F2"/>
          </w:tcPr>
          <w:p w14:paraId="6341741A" w14:textId="77777777" w:rsidR="008E7FC3" w:rsidRDefault="008E7FC3" w:rsidP="00177648">
            <w:pPr>
              <w:pStyle w:val="TableBody"/>
              <w:spacing w:before="45" w:after="45"/>
              <w:ind w:right="108"/>
              <w:jc w:val="right"/>
              <w:rPr>
                <w:rFonts w:ascii="Arial (Body)" w:hAnsi="Arial (Body)"/>
                <w:color w:val="000000"/>
              </w:rPr>
            </w:pPr>
            <w:r w:rsidRPr="00F53B90">
              <w:t>300</w:t>
            </w:r>
          </w:p>
        </w:tc>
        <w:tc>
          <w:tcPr>
            <w:tcW w:w="1417" w:type="dxa"/>
            <w:tcBorders>
              <w:top w:val="nil"/>
              <w:bottom w:val="nil"/>
            </w:tcBorders>
            <w:shd w:val="clear" w:color="000000" w:fill="F2F2F2"/>
          </w:tcPr>
          <w:p w14:paraId="610FFF28" w14:textId="77777777" w:rsidR="008E7FC3" w:rsidRPr="00D4419A" w:rsidRDefault="008E7FC3" w:rsidP="00177648">
            <w:pPr>
              <w:pStyle w:val="TableBody"/>
              <w:spacing w:before="45" w:after="45"/>
              <w:ind w:right="108"/>
              <w:jc w:val="right"/>
            </w:pPr>
            <w:r w:rsidRPr="00F53B90">
              <w:t>12,000</w:t>
            </w:r>
          </w:p>
        </w:tc>
      </w:tr>
      <w:tr w:rsidR="008E7FC3" w:rsidRPr="00030C67" w14:paraId="232D3A21" w14:textId="77777777" w:rsidTr="00177648">
        <w:tc>
          <w:tcPr>
            <w:tcW w:w="2694" w:type="dxa"/>
            <w:tcBorders>
              <w:bottom w:val="nil"/>
            </w:tcBorders>
            <w:shd w:val="clear" w:color="000000" w:fill="auto"/>
          </w:tcPr>
          <w:p w14:paraId="04E3C585"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311D3F75" w14:textId="77777777" w:rsidR="008E7FC3" w:rsidRDefault="008E7FC3" w:rsidP="00177648">
            <w:pPr>
              <w:pStyle w:val="TableBody"/>
              <w:spacing w:before="45" w:after="45"/>
              <w:ind w:right="108"/>
              <w:jc w:val="right"/>
              <w:rPr>
                <w:rFonts w:ascii="Arial (Body)" w:hAnsi="Arial (Body)"/>
                <w:color w:val="000000"/>
              </w:rPr>
            </w:pPr>
            <w:r w:rsidRPr="00F53B90">
              <w:t>600</w:t>
            </w:r>
          </w:p>
        </w:tc>
        <w:tc>
          <w:tcPr>
            <w:tcW w:w="1417" w:type="dxa"/>
            <w:tcBorders>
              <w:bottom w:val="nil"/>
            </w:tcBorders>
            <w:shd w:val="clear" w:color="000000" w:fill="auto"/>
          </w:tcPr>
          <w:p w14:paraId="4A183190" w14:textId="77777777" w:rsidR="008E7FC3" w:rsidRDefault="008E7FC3" w:rsidP="00177648">
            <w:pPr>
              <w:pStyle w:val="TableBody"/>
              <w:spacing w:before="45" w:after="45"/>
              <w:ind w:right="108"/>
              <w:jc w:val="right"/>
              <w:rPr>
                <w:rFonts w:ascii="Arial (Body)" w:hAnsi="Arial (Body)"/>
                <w:color w:val="000000"/>
              </w:rPr>
            </w:pPr>
            <w:r w:rsidRPr="00F53B90">
              <w:t>5,400</w:t>
            </w:r>
          </w:p>
        </w:tc>
        <w:tc>
          <w:tcPr>
            <w:tcW w:w="1276" w:type="dxa"/>
            <w:tcBorders>
              <w:bottom w:val="nil"/>
            </w:tcBorders>
            <w:shd w:val="clear" w:color="000000" w:fill="auto"/>
          </w:tcPr>
          <w:p w14:paraId="1D3234C9" w14:textId="77777777" w:rsidR="008E7FC3" w:rsidRDefault="008E7FC3" w:rsidP="00177648">
            <w:pPr>
              <w:pStyle w:val="TableBody"/>
              <w:spacing w:before="45" w:after="45"/>
              <w:ind w:right="108"/>
              <w:jc w:val="right"/>
              <w:rPr>
                <w:rFonts w:ascii="Arial (Body)" w:hAnsi="Arial (Body)"/>
                <w:color w:val="000000"/>
              </w:rPr>
            </w:pPr>
            <w:r w:rsidRPr="00F53B90">
              <w:t>8,800</w:t>
            </w:r>
          </w:p>
        </w:tc>
        <w:tc>
          <w:tcPr>
            <w:tcW w:w="1417" w:type="dxa"/>
            <w:tcBorders>
              <w:bottom w:val="nil"/>
            </w:tcBorders>
            <w:shd w:val="clear" w:color="000000" w:fill="auto"/>
          </w:tcPr>
          <w:p w14:paraId="2A1FC3D6" w14:textId="77777777" w:rsidR="008E7FC3" w:rsidRDefault="008E7FC3" w:rsidP="00177648">
            <w:pPr>
              <w:pStyle w:val="TableBody"/>
              <w:spacing w:before="45" w:after="45"/>
              <w:ind w:right="108"/>
              <w:jc w:val="right"/>
              <w:rPr>
                <w:rFonts w:ascii="Arial (Body)" w:hAnsi="Arial (Body)"/>
                <w:color w:val="000000"/>
              </w:rPr>
            </w:pPr>
            <w:r w:rsidRPr="00F53B90">
              <w:t>24,800</w:t>
            </w:r>
          </w:p>
        </w:tc>
        <w:tc>
          <w:tcPr>
            <w:tcW w:w="1417" w:type="dxa"/>
            <w:tcBorders>
              <w:bottom w:val="nil"/>
            </w:tcBorders>
            <w:shd w:val="clear" w:color="000000" w:fill="auto"/>
          </w:tcPr>
          <w:p w14:paraId="1FA8A0CA" w14:textId="77777777" w:rsidR="008E7FC3" w:rsidRPr="00D4419A" w:rsidRDefault="008E7FC3" w:rsidP="00177648">
            <w:pPr>
              <w:pStyle w:val="TableBody"/>
              <w:spacing w:before="45" w:after="45"/>
              <w:ind w:right="108"/>
              <w:jc w:val="right"/>
            </w:pPr>
            <w:r w:rsidRPr="00F53B90">
              <w:t>39,600</w:t>
            </w:r>
          </w:p>
        </w:tc>
      </w:tr>
      <w:tr w:rsidR="008E7FC3" w:rsidRPr="00030C67" w14:paraId="007F0551" w14:textId="77777777" w:rsidTr="00177648">
        <w:tc>
          <w:tcPr>
            <w:tcW w:w="2694" w:type="dxa"/>
            <w:tcBorders>
              <w:top w:val="nil"/>
              <w:bottom w:val="nil"/>
            </w:tcBorders>
            <w:shd w:val="clear" w:color="000000" w:fill="F2F2F2"/>
          </w:tcPr>
          <w:p w14:paraId="191BC82D"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59DB2510" w14:textId="77777777" w:rsidR="008E7FC3" w:rsidRDefault="008E7FC3" w:rsidP="00177648">
            <w:pPr>
              <w:pStyle w:val="TableBody"/>
              <w:spacing w:before="45" w:after="45"/>
              <w:ind w:right="108"/>
              <w:jc w:val="right"/>
              <w:rPr>
                <w:rFonts w:ascii="Arial (Body)" w:hAnsi="Arial (Body)"/>
                <w:color w:val="000000"/>
              </w:rPr>
            </w:pPr>
            <w:r w:rsidRPr="00F53B90">
              <w:t>13,800</w:t>
            </w:r>
          </w:p>
        </w:tc>
        <w:tc>
          <w:tcPr>
            <w:tcW w:w="1417" w:type="dxa"/>
            <w:tcBorders>
              <w:top w:val="nil"/>
              <w:bottom w:val="nil"/>
            </w:tcBorders>
            <w:shd w:val="clear" w:color="000000" w:fill="F2F2F2"/>
          </w:tcPr>
          <w:p w14:paraId="4729B1ED" w14:textId="77777777" w:rsidR="008E7FC3" w:rsidRDefault="008E7FC3" w:rsidP="00177648">
            <w:pPr>
              <w:pStyle w:val="TableBody"/>
              <w:spacing w:before="45" w:after="45"/>
              <w:ind w:right="108"/>
              <w:jc w:val="right"/>
              <w:rPr>
                <w:rFonts w:ascii="Arial (Body)" w:hAnsi="Arial (Body)"/>
                <w:color w:val="000000"/>
              </w:rPr>
            </w:pPr>
            <w:r w:rsidRPr="00F53B90">
              <w:t>10,100</w:t>
            </w:r>
          </w:p>
        </w:tc>
        <w:tc>
          <w:tcPr>
            <w:tcW w:w="1276" w:type="dxa"/>
            <w:tcBorders>
              <w:top w:val="nil"/>
              <w:bottom w:val="nil"/>
            </w:tcBorders>
            <w:shd w:val="clear" w:color="000000" w:fill="F2F2F2"/>
          </w:tcPr>
          <w:p w14:paraId="259BA625" w14:textId="77777777" w:rsidR="008E7FC3" w:rsidRDefault="008E7FC3" w:rsidP="00177648">
            <w:pPr>
              <w:pStyle w:val="TableBody"/>
              <w:spacing w:before="45" w:after="45"/>
              <w:ind w:right="108"/>
              <w:jc w:val="right"/>
              <w:rPr>
                <w:rFonts w:ascii="Arial (Body)" w:hAnsi="Arial (Body)"/>
                <w:color w:val="000000"/>
              </w:rPr>
            </w:pPr>
            <w:r w:rsidRPr="00F53B90">
              <w:t>10,300</w:t>
            </w:r>
          </w:p>
        </w:tc>
        <w:tc>
          <w:tcPr>
            <w:tcW w:w="1417" w:type="dxa"/>
            <w:tcBorders>
              <w:top w:val="nil"/>
              <w:bottom w:val="nil"/>
            </w:tcBorders>
            <w:shd w:val="clear" w:color="000000" w:fill="F2F2F2"/>
          </w:tcPr>
          <w:p w14:paraId="5F419322" w14:textId="77777777" w:rsidR="008E7FC3" w:rsidRDefault="008E7FC3" w:rsidP="00177648">
            <w:pPr>
              <w:pStyle w:val="TableBody"/>
              <w:spacing w:before="45" w:after="45"/>
              <w:ind w:right="108"/>
              <w:jc w:val="right"/>
              <w:rPr>
                <w:rFonts w:ascii="Arial (Body)" w:hAnsi="Arial (Body)"/>
                <w:color w:val="000000"/>
              </w:rPr>
            </w:pPr>
            <w:r w:rsidRPr="00F53B90">
              <w:t>27,700</w:t>
            </w:r>
          </w:p>
        </w:tc>
        <w:tc>
          <w:tcPr>
            <w:tcW w:w="1417" w:type="dxa"/>
            <w:tcBorders>
              <w:top w:val="nil"/>
              <w:bottom w:val="nil"/>
            </w:tcBorders>
            <w:shd w:val="clear" w:color="000000" w:fill="F2F2F2"/>
          </w:tcPr>
          <w:p w14:paraId="71B67A4E" w14:textId="77777777" w:rsidR="008E7FC3" w:rsidRPr="00D4419A" w:rsidRDefault="008E7FC3" w:rsidP="00177648">
            <w:pPr>
              <w:pStyle w:val="TableBody"/>
              <w:spacing w:before="45" w:after="45"/>
              <w:ind w:right="108"/>
              <w:jc w:val="right"/>
            </w:pPr>
            <w:r w:rsidRPr="00F53B90">
              <w:t>61,900</w:t>
            </w:r>
          </w:p>
        </w:tc>
      </w:tr>
      <w:tr w:rsidR="008E7FC3" w:rsidRPr="00030C67" w14:paraId="47D91A0F" w14:textId="77777777" w:rsidTr="00177648">
        <w:tc>
          <w:tcPr>
            <w:tcW w:w="2694" w:type="dxa"/>
            <w:tcBorders>
              <w:bottom w:val="single" w:sz="4" w:space="0" w:color="B3B3B3"/>
            </w:tcBorders>
            <w:shd w:val="clear" w:color="000000" w:fill="auto"/>
          </w:tcPr>
          <w:p w14:paraId="23FB9506"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0590BB2F" w14:textId="77777777" w:rsidR="008E7FC3" w:rsidRDefault="008E7FC3" w:rsidP="00177648">
            <w:pPr>
              <w:pStyle w:val="TableBody"/>
              <w:spacing w:before="45" w:after="45"/>
              <w:ind w:right="108"/>
              <w:jc w:val="right"/>
              <w:rPr>
                <w:rFonts w:ascii="Arial (Body)" w:hAnsi="Arial (Body)"/>
                <w:color w:val="000000"/>
              </w:rPr>
            </w:pPr>
            <w:r w:rsidRPr="00F53B90">
              <w:t>24,000</w:t>
            </w:r>
          </w:p>
        </w:tc>
        <w:tc>
          <w:tcPr>
            <w:tcW w:w="1417" w:type="dxa"/>
            <w:tcBorders>
              <w:bottom w:val="single" w:sz="4" w:space="0" w:color="B3B3B3"/>
            </w:tcBorders>
            <w:shd w:val="clear" w:color="000000" w:fill="auto"/>
          </w:tcPr>
          <w:p w14:paraId="1C69BB4D" w14:textId="77777777" w:rsidR="008E7FC3" w:rsidRDefault="008E7FC3" w:rsidP="00177648">
            <w:pPr>
              <w:pStyle w:val="TableBody"/>
              <w:spacing w:before="45" w:after="45"/>
              <w:ind w:right="108"/>
              <w:jc w:val="right"/>
              <w:rPr>
                <w:rFonts w:ascii="Arial (Body)" w:hAnsi="Arial (Body)"/>
                <w:color w:val="000000"/>
              </w:rPr>
            </w:pPr>
            <w:r w:rsidRPr="00F53B90">
              <w:t>14,600</w:t>
            </w:r>
          </w:p>
        </w:tc>
        <w:tc>
          <w:tcPr>
            <w:tcW w:w="1276" w:type="dxa"/>
            <w:tcBorders>
              <w:bottom w:val="single" w:sz="4" w:space="0" w:color="B3B3B3"/>
            </w:tcBorders>
            <w:shd w:val="clear" w:color="000000" w:fill="auto"/>
          </w:tcPr>
          <w:p w14:paraId="1F43442A" w14:textId="77777777" w:rsidR="008E7FC3" w:rsidRDefault="008E7FC3" w:rsidP="00177648">
            <w:pPr>
              <w:pStyle w:val="TableBody"/>
              <w:spacing w:before="45" w:after="45"/>
              <w:ind w:right="108"/>
              <w:jc w:val="right"/>
              <w:rPr>
                <w:rFonts w:ascii="Arial (Body)" w:hAnsi="Arial (Body)"/>
                <w:color w:val="000000"/>
              </w:rPr>
            </w:pPr>
            <w:r w:rsidRPr="00F53B90">
              <w:t>10,300</w:t>
            </w:r>
          </w:p>
        </w:tc>
        <w:tc>
          <w:tcPr>
            <w:tcW w:w="1417" w:type="dxa"/>
            <w:tcBorders>
              <w:bottom w:val="single" w:sz="4" w:space="0" w:color="B3B3B3"/>
            </w:tcBorders>
            <w:shd w:val="clear" w:color="000000" w:fill="auto"/>
          </w:tcPr>
          <w:p w14:paraId="729AD084" w14:textId="77777777" w:rsidR="008E7FC3" w:rsidRDefault="008E7FC3" w:rsidP="00177648">
            <w:pPr>
              <w:pStyle w:val="TableBody"/>
              <w:spacing w:before="45" w:after="45"/>
              <w:ind w:right="108"/>
              <w:jc w:val="right"/>
              <w:rPr>
                <w:rFonts w:ascii="Arial (Body)" w:hAnsi="Arial (Body)"/>
                <w:color w:val="000000"/>
              </w:rPr>
            </w:pPr>
            <w:r w:rsidRPr="00F53B90">
              <w:t>27,700</w:t>
            </w:r>
          </w:p>
        </w:tc>
        <w:tc>
          <w:tcPr>
            <w:tcW w:w="1417" w:type="dxa"/>
            <w:tcBorders>
              <w:bottom w:val="single" w:sz="4" w:space="0" w:color="B3B3B3"/>
            </w:tcBorders>
            <w:shd w:val="clear" w:color="000000" w:fill="auto"/>
          </w:tcPr>
          <w:p w14:paraId="383E4490" w14:textId="77777777" w:rsidR="008E7FC3" w:rsidRPr="00D4419A" w:rsidRDefault="008E7FC3" w:rsidP="00177648">
            <w:pPr>
              <w:pStyle w:val="TableBody"/>
              <w:spacing w:before="45" w:after="45"/>
              <w:ind w:right="108"/>
              <w:jc w:val="right"/>
            </w:pPr>
            <w:r w:rsidRPr="00F53B90">
              <w:t>76,600</w:t>
            </w:r>
          </w:p>
        </w:tc>
      </w:tr>
    </w:tbl>
    <w:p w14:paraId="6EC991CE"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C36914">
        <w:rPr>
          <w:b/>
          <w:bCs/>
        </w:rPr>
        <w:t>b.</w:t>
      </w:r>
      <w:r w:rsidRPr="00C36914">
        <w:t xml:space="preserve"> </w:t>
      </w:r>
      <w:r>
        <w:t>Estimates rounded to the closest hundred</w:t>
      </w:r>
      <w:r w:rsidRPr="00C36914">
        <w:t>.</w:t>
      </w:r>
      <w:r>
        <w:t xml:space="preserve"> </w:t>
      </w:r>
      <w:r w:rsidRPr="003D1CEF">
        <w:rPr>
          <w:b/>
          <w:bCs/>
        </w:rPr>
        <w:t>c.</w:t>
      </w:r>
      <w:r>
        <w:t xml:space="preserve"> Full</w:t>
      </w:r>
      <w:r>
        <w:noBreakHyphen/>
        <w:t>time equivalent hours for CBDC is 50 hours per week. Full</w:t>
      </w:r>
      <w:r>
        <w:noBreakHyphen/>
        <w:t>time equivalent hours for OSHC is 20 hours per week.</w:t>
      </w:r>
    </w:p>
    <w:p w14:paraId="45EB7C4E"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760C8889" w14:textId="77777777" w:rsidR="008E7FC3" w:rsidRPr="00A80C1A" w:rsidRDefault="008E7FC3" w:rsidP="008E7FC3">
      <w:pPr>
        <w:pStyle w:val="BodyText"/>
      </w:pPr>
      <w:r w:rsidRPr="00A80C1A">
        <w:br w:type="page"/>
      </w:r>
    </w:p>
    <w:p w14:paraId="59DEE58E" w14:textId="77777777" w:rsidR="008E7FC3" w:rsidRDefault="008E7FC3" w:rsidP="008E7FC3">
      <w:pPr>
        <w:pStyle w:val="FigureTableHeading"/>
      </w:pPr>
      <w:r>
        <w:lastRenderedPageBreak/>
        <w:t xml:space="preserve">Table </w:t>
      </w:r>
      <w:r>
        <w:rPr>
          <w:noProof/>
        </w:rPr>
        <w:t>G</w:t>
      </w:r>
      <w:r>
        <w:t>.18</w:t>
      </w:r>
      <w:r>
        <w:rPr>
          <w:noProof/>
        </w:rPr>
        <w:t xml:space="preserve"> – Net </w:t>
      </w:r>
      <w:r>
        <w:t>full</w:t>
      </w:r>
      <w:r>
        <w:noBreakHyphen/>
        <w:t>time equivalent change in labour supply due to entering or exiting the labour force, by income quartile</w:t>
      </w:r>
      <w:r w:rsidRPr="00EC0C27">
        <w:rPr>
          <w:vertAlign w:val="superscript"/>
        </w:rPr>
        <w:t>a,b</w:t>
      </w:r>
      <w:r>
        <w:rPr>
          <w:vertAlign w:val="superscript"/>
        </w:rPr>
        <w:t>,c,d</w:t>
      </w:r>
    </w:p>
    <w:p w14:paraId="5719671B"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56206C03" w14:textId="77777777" w:rsidTr="006510ED">
        <w:trPr>
          <w:tblHeader/>
        </w:trPr>
        <w:tc>
          <w:tcPr>
            <w:tcW w:w="2694" w:type="dxa"/>
            <w:tcBorders>
              <w:bottom w:val="single" w:sz="4" w:space="0" w:color="B3B3B3"/>
            </w:tcBorders>
            <w:shd w:val="clear" w:color="000000" w:fill="auto"/>
          </w:tcPr>
          <w:p w14:paraId="04954D94"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6ECDE747"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6C2E77B1"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4DB2A687"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59AB722B"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vAlign w:val="bottom"/>
          </w:tcPr>
          <w:p w14:paraId="2147AF65" w14:textId="77777777" w:rsidR="008E7FC3" w:rsidRDefault="008E7FC3" w:rsidP="006510ED">
            <w:pPr>
              <w:pStyle w:val="TableHeading"/>
              <w:jc w:val="right"/>
            </w:pPr>
            <w:r>
              <w:t>Overall</w:t>
            </w:r>
          </w:p>
        </w:tc>
      </w:tr>
      <w:tr w:rsidR="008E7FC3" w:rsidRPr="00030C67" w14:paraId="07E0BE04" w14:textId="77777777" w:rsidTr="00177648">
        <w:tc>
          <w:tcPr>
            <w:tcW w:w="2694" w:type="dxa"/>
            <w:tcBorders>
              <w:top w:val="single" w:sz="4" w:space="0" w:color="B3B3B3"/>
              <w:bottom w:val="nil"/>
            </w:tcBorders>
            <w:shd w:val="clear" w:color="000000" w:fill="F2F2F2"/>
          </w:tcPr>
          <w:p w14:paraId="34DCA361"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0F74967C" w14:textId="77777777" w:rsidR="008E7FC3" w:rsidRPr="00030C67" w:rsidRDefault="008E7FC3" w:rsidP="00177648">
            <w:pPr>
              <w:pStyle w:val="TableBody"/>
              <w:spacing w:before="45" w:after="45"/>
              <w:ind w:right="108"/>
              <w:jc w:val="right"/>
              <w:rPr>
                <w:rFonts w:ascii="Arial (Body)" w:hAnsi="Arial (Body)"/>
                <w:color w:val="000000"/>
              </w:rPr>
            </w:pPr>
            <w:r w:rsidRPr="00414AEF">
              <w:t>200</w:t>
            </w:r>
          </w:p>
        </w:tc>
        <w:tc>
          <w:tcPr>
            <w:tcW w:w="1417" w:type="dxa"/>
            <w:tcBorders>
              <w:top w:val="single" w:sz="4" w:space="0" w:color="B3B3B3"/>
              <w:bottom w:val="nil"/>
            </w:tcBorders>
            <w:shd w:val="clear" w:color="000000" w:fill="F2F2F2"/>
          </w:tcPr>
          <w:p w14:paraId="06BDC926" w14:textId="77777777" w:rsidR="008E7FC3" w:rsidRPr="00030C67" w:rsidRDefault="008E7FC3" w:rsidP="00177648">
            <w:pPr>
              <w:pStyle w:val="TableBody"/>
              <w:spacing w:before="45" w:after="45"/>
              <w:ind w:right="108"/>
              <w:jc w:val="right"/>
              <w:rPr>
                <w:rFonts w:ascii="Arial (Body)" w:hAnsi="Arial (Body)"/>
                <w:color w:val="000000"/>
              </w:rPr>
            </w:pPr>
            <w:r w:rsidRPr="00414AEF">
              <w:t>-800</w:t>
            </w:r>
          </w:p>
        </w:tc>
        <w:tc>
          <w:tcPr>
            <w:tcW w:w="1276" w:type="dxa"/>
            <w:tcBorders>
              <w:top w:val="single" w:sz="4" w:space="0" w:color="B3B3B3"/>
              <w:bottom w:val="nil"/>
            </w:tcBorders>
            <w:shd w:val="clear" w:color="000000" w:fill="F2F2F2"/>
          </w:tcPr>
          <w:p w14:paraId="39DA6FD3" w14:textId="77777777" w:rsidR="008E7FC3" w:rsidRDefault="008E7FC3" w:rsidP="00177648">
            <w:pPr>
              <w:pStyle w:val="TableBody"/>
              <w:spacing w:before="45" w:after="45"/>
              <w:ind w:right="108"/>
              <w:jc w:val="right"/>
              <w:rPr>
                <w:rFonts w:ascii="Arial (Body)" w:hAnsi="Arial (Body)"/>
                <w:color w:val="000000"/>
              </w:rPr>
            </w:pPr>
            <w:r w:rsidRPr="00414AEF">
              <w:t>-900</w:t>
            </w:r>
          </w:p>
        </w:tc>
        <w:tc>
          <w:tcPr>
            <w:tcW w:w="1417" w:type="dxa"/>
            <w:tcBorders>
              <w:top w:val="single" w:sz="4" w:space="0" w:color="B3B3B3"/>
              <w:bottom w:val="nil"/>
            </w:tcBorders>
            <w:shd w:val="clear" w:color="000000" w:fill="F2F2F2"/>
          </w:tcPr>
          <w:p w14:paraId="0C00D443" w14:textId="77777777" w:rsidR="008E7FC3" w:rsidRDefault="008E7FC3" w:rsidP="00177648">
            <w:pPr>
              <w:pStyle w:val="TableBody"/>
              <w:spacing w:before="45" w:after="45"/>
              <w:ind w:right="108"/>
              <w:jc w:val="right"/>
              <w:rPr>
                <w:rFonts w:ascii="Arial (Body)" w:hAnsi="Arial (Body)"/>
                <w:color w:val="000000"/>
              </w:rPr>
            </w:pPr>
            <w:r w:rsidRPr="00414AEF">
              <w:t>-100</w:t>
            </w:r>
          </w:p>
        </w:tc>
        <w:tc>
          <w:tcPr>
            <w:tcW w:w="1417" w:type="dxa"/>
            <w:tcBorders>
              <w:top w:val="single" w:sz="4" w:space="0" w:color="B3B3B3"/>
              <w:bottom w:val="nil"/>
            </w:tcBorders>
            <w:shd w:val="clear" w:color="000000" w:fill="F2F2F2"/>
          </w:tcPr>
          <w:p w14:paraId="16DBC351" w14:textId="77777777" w:rsidR="008E7FC3" w:rsidRPr="00D4419A" w:rsidRDefault="008E7FC3" w:rsidP="00177648">
            <w:pPr>
              <w:pStyle w:val="TableBody"/>
              <w:spacing w:before="45" w:after="45"/>
              <w:ind w:right="108"/>
              <w:jc w:val="right"/>
            </w:pPr>
            <w:r w:rsidRPr="00414AEF">
              <w:t>-1,600</w:t>
            </w:r>
          </w:p>
        </w:tc>
      </w:tr>
      <w:tr w:rsidR="008E7FC3" w:rsidRPr="00030C67" w14:paraId="2E3FC89B" w14:textId="77777777" w:rsidTr="00177648">
        <w:tc>
          <w:tcPr>
            <w:tcW w:w="2694" w:type="dxa"/>
            <w:tcBorders>
              <w:top w:val="nil"/>
              <w:bottom w:val="nil"/>
            </w:tcBorders>
            <w:shd w:val="clear" w:color="000000" w:fill="auto"/>
          </w:tcPr>
          <w:p w14:paraId="53E64CC9"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451C90BD" w14:textId="77777777" w:rsidR="008E7FC3" w:rsidRPr="00030C67" w:rsidRDefault="008E7FC3" w:rsidP="00177648">
            <w:pPr>
              <w:pStyle w:val="TableBody"/>
              <w:spacing w:before="45" w:after="45"/>
              <w:ind w:right="108"/>
              <w:jc w:val="right"/>
              <w:rPr>
                <w:rFonts w:ascii="Arial (Body)" w:hAnsi="Arial (Body)"/>
                <w:color w:val="000000"/>
              </w:rPr>
            </w:pPr>
            <w:r w:rsidRPr="00414AEF">
              <w:t>2,600</w:t>
            </w:r>
          </w:p>
        </w:tc>
        <w:tc>
          <w:tcPr>
            <w:tcW w:w="1417" w:type="dxa"/>
            <w:tcBorders>
              <w:top w:val="nil"/>
              <w:bottom w:val="nil"/>
            </w:tcBorders>
            <w:shd w:val="clear" w:color="000000" w:fill="auto"/>
          </w:tcPr>
          <w:p w14:paraId="73E974B4" w14:textId="77777777" w:rsidR="008E7FC3" w:rsidRPr="00030C67" w:rsidRDefault="008E7FC3" w:rsidP="00177648">
            <w:pPr>
              <w:pStyle w:val="TableBody"/>
              <w:spacing w:before="45" w:after="45"/>
              <w:ind w:right="108"/>
              <w:jc w:val="right"/>
              <w:rPr>
                <w:rFonts w:ascii="Arial (Body)" w:hAnsi="Arial (Body)"/>
                <w:color w:val="000000"/>
              </w:rPr>
            </w:pPr>
            <w:r w:rsidRPr="00414AEF">
              <w:t>2,800</w:t>
            </w:r>
          </w:p>
        </w:tc>
        <w:tc>
          <w:tcPr>
            <w:tcW w:w="1276" w:type="dxa"/>
            <w:tcBorders>
              <w:top w:val="nil"/>
              <w:bottom w:val="nil"/>
            </w:tcBorders>
            <w:shd w:val="clear" w:color="000000" w:fill="auto"/>
          </w:tcPr>
          <w:p w14:paraId="5E2F199F" w14:textId="77777777" w:rsidR="008E7FC3" w:rsidRDefault="008E7FC3" w:rsidP="00177648">
            <w:pPr>
              <w:pStyle w:val="TableBody"/>
              <w:spacing w:before="45" w:after="45"/>
              <w:ind w:right="108"/>
              <w:jc w:val="right"/>
              <w:rPr>
                <w:rFonts w:ascii="Arial (Body)" w:hAnsi="Arial (Body)"/>
                <w:color w:val="000000"/>
              </w:rPr>
            </w:pPr>
            <w:r w:rsidRPr="00414AEF">
              <w:t>600</w:t>
            </w:r>
          </w:p>
        </w:tc>
        <w:tc>
          <w:tcPr>
            <w:tcW w:w="1417" w:type="dxa"/>
            <w:tcBorders>
              <w:top w:val="nil"/>
              <w:bottom w:val="nil"/>
            </w:tcBorders>
            <w:shd w:val="clear" w:color="000000" w:fill="auto"/>
          </w:tcPr>
          <w:p w14:paraId="4FF6C8E5" w14:textId="77777777" w:rsidR="008E7FC3" w:rsidRDefault="008E7FC3" w:rsidP="00177648">
            <w:pPr>
              <w:pStyle w:val="TableBody"/>
              <w:spacing w:before="45" w:after="45"/>
              <w:ind w:right="108"/>
              <w:jc w:val="right"/>
              <w:rPr>
                <w:rFonts w:ascii="Arial (Body)" w:hAnsi="Arial (Body)"/>
                <w:color w:val="000000"/>
              </w:rPr>
            </w:pPr>
            <w:r w:rsidRPr="00414AEF">
              <w:t>600</w:t>
            </w:r>
          </w:p>
        </w:tc>
        <w:tc>
          <w:tcPr>
            <w:tcW w:w="1417" w:type="dxa"/>
            <w:tcBorders>
              <w:top w:val="nil"/>
              <w:bottom w:val="nil"/>
            </w:tcBorders>
            <w:shd w:val="clear" w:color="000000" w:fill="auto"/>
          </w:tcPr>
          <w:p w14:paraId="4985D4C1" w14:textId="77777777" w:rsidR="008E7FC3" w:rsidRPr="00D4419A" w:rsidRDefault="008E7FC3" w:rsidP="00177648">
            <w:pPr>
              <w:pStyle w:val="TableBody"/>
              <w:spacing w:before="45" w:after="45"/>
              <w:ind w:right="108"/>
              <w:jc w:val="right"/>
            </w:pPr>
            <w:r w:rsidRPr="00414AEF">
              <w:t>6,600</w:t>
            </w:r>
          </w:p>
        </w:tc>
      </w:tr>
      <w:tr w:rsidR="008E7FC3" w:rsidRPr="00030C67" w14:paraId="21FC8237" w14:textId="77777777" w:rsidTr="00177648">
        <w:tc>
          <w:tcPr>
            <w:tcW w:w="2694" w:type="dxa"/>
            <w:tcBorders>
              <w:bottom w:val="nil"/>
            </w:tcBorders>
            <w:shd w:val="clear" w:color="000000" w:fill="F2F2F2"/>
          </w:tcPr>
          <w:p w14:paraId="5FFFA9A4"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6E1BCF6B" w14:textId="77777777" w:rsidR="008E7FC3" w:rsidRPr="00030C67" w:rsidRDefault="008E7FC3" w:rsidP="00177648">
            <w:pPr>
              <w:pStyle w:val="TableBody"/>
              <w:spacing w:before="45" w:after="45"/>
              <w:ind w:right="108"/>
              <w:jc w:val="right"/>
              <w:rPr>
                <w:rFonts w:ascii="Arial (Body)" w:hAnsi="Arial (Body)"/>
                <w:color w:val="000000"/>
              </w:rPr>
            </w:pPr>
            <w:r w:rsidRPr="00414AEF">
              <w:t>-1,700</w:t>
            </w:r>
          </w:p>
        </w:tc>
        <w:tc>
          <w:tcPr>
            <w:tcW w:w="1417" w:type="dxa"/>
            <w:tcBorders>
              <w:bottom w:val="nil"/>
            </w:tcBorders>
            <w:shd w:val="clear" w:color="000000" w:fill="F2F2F2"/>
          </w:tcPr>
          <w:p w14:paraId="3BF129B7" w14:textId="77777777" w:rsidR="008E7FC3" w:rsidRPr="00030C67" w:rsidRDefault="008E7FC3" w:rsidP="00177648">
            <w:pPr>
              <w:pStyle w:val="TableBody"/>
              <w:spacing w:before="45" w:after="45"/>
              <w:ind w:right="108"/>
              <w:jc w:val="right"/>
              <w:rPr>
                <w:rFonts w:ascii="Arial (Body)" w:hAnsi="Arial (Body)"/>
                <w:color w:val="000000"/>
              </w:rPr>
            </w:pPr>
            <w:r w:rsidRPr="00414AEF">
              <w:t>-2,700</w:t>
            </w:r>
          </w:p>
        </w:tc>
        <w:tc>
          <w:tcPr>
            <w:tcW w:w="1276" w:type="dxa"/>
            <w:tcBorders>
              <w:bottom w:val="nil"/>
            </w:tcBorders>
            <w:shd w:val="clear" w:color="000000" w:fill="F2F2F2"/>
          </w:tcPr>
          <w:p w14:paraId="2DDA3669" w14:textId="77777777" w:rsidR="008E7FC3" w:rsidRDefault="008E7FC3" w:rsidP="00177648">
            <w:pPr>
              <w:pStyle w:val="TableBody"/>
              <w:spacing w:before="45" w:after="45"/>
              <w:ind w:right="108"/>
              <w:jc w:val="right"/>
              <w:rPr>
                <w:rFonts w:ascii="Arial (Body)" w:hAnsi="Arial (Body)"/>
                <w:color w:val="000000"/>
              </w:rPr>
            </w:pPr>
            <w:r w:rsidRPr="00414AEF">
              <w:t>-1,400</w:t>
            </w:r>
          </w:p>
        </w:tc>
        <w:tc>
          <w:tcPr>
            <w:tcW w:w="1417" w:type="dxa"/>
            <w:tcBorders>
              <w:bottom w:val="nil"/>
            </w:tcBorders>
            <w:shd w:val="clear" w:color="000000" w:fill="F2F2F2"/>
          </w:tcPr>
          <w:p w14:paraId="27662753" w14:textId="77777777" w:rsidR="008E7FC3" w:rsidRDefault="008E7FC3" w:rsidP="00177648">
            <w:pPr>
              <w:pStyle w:val="TableBody"/>
              <w:spacing w:before="45" w:after="45"/>
              <w:ind w:right="108"/>
              <w:jc w:val="right"/>
              <w:rPr>
                <w:rFonts w:ascii="Arial (Body)" w:hAnsi="Arial (Body)"/>
                <w:color w:val="000000"/>
              </w:rPr>
            </w:pPr>
            <w:r w:rsidRPr="00414AEF">
              <w:t>-700</w:t>
            </w:r>
          </w:p>
        </w:tc>
        <w:tc>
          <w:tcPr>
            <w:tcW w:w="1417" w:type="dxa"/>
            <w:tcBorders>
              <w:bottom w:val="nil"/>
            </w:tcBorders>
            <w:shd w:val="clear" w:color="000000" w:fill="F2F2F2"/>
          </w:tcPr>
          <w:p w14:paraId="14FF5214" w14:textId="77777777" w:rsidR="008E7FC3" w:rsidRPr="00D4419A" w:rsidRDefault="008E7FC3" w:rsidP="00177648">
            <w:pPr>
              <w:pStyle w:val="TableBody"/>
              <w:spacing w:before="45" w:after="45"/>
              <w:ind w:right="108"/>
              <w:jc w:val="right"/>
            </w:pPr>
            <w:r w:rsidRPr="00414AEF">
              <w:t>-6,500</w:t>
            </w:r>
          </w:p>
        </w:tc>
      </w:tr>
      <w:tr w:rsidR="008E7FC3" w:rsidRPr="00030C67" w14:paraId="2C6BDCE6" w14:textId="77777777" w:rsidTr="00177648">
        <w:tc>
          <w:tcPr>
            <w:tcW w:w="2694" w:type="dxa"/>
            <w:tcBorders>
              <w:bottom w:val="nil"/>
            </w:tcBorders>
            <w:shd w:val="clear" w:color="000000" w:fill="auto"/>
          </w:tcPr>
          <w:p w14:paraId="6F1C2D40"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2700F613" w14:textId="77777777" w:rsidR="008E7FC3" w:rsidRDefault="008E7FC3" w:rsidP="00177648">
            <w:pPr>
              <w:pStyle w:val="TableBody"/>
              <w:spacing w:before="45" w:after="45"/>
              <w:ind w:right="108"/>
              <w:jc w:val="right"/>
              <w:rPr>
                <w:rFonts w:ascii="Arial (Body)" w:hAnsi="Arial (Body)"/>
                <w:color w:val="000000"/>
              </w:rPr>
            </w:pPr>
            <w:r w:rsidRPr="00414AEF">
              <w:t>500</w:t>
            </w:r>
          </w:p>
        </w:tc>
        <w:tc>
          <w:tcPr>
            <w:tcW w:w="1417" w:type="dxa"/>
            <w:tcBorders>
              <w:bottom w:val="nil"/>
            </w:tcBorders>
            <w:shd w:val="clear" w:color="000000" w:fill="auto"/>
          </w:tcPr>
          <w:p w14:paraId="6AECFA43" w14:textId="77777777" w:rsidR="008E7FC3" w:rsidRDefault="008E7FC3" w:rsidP="00177648">
            <w:pPr>
              <w:pStyle w:val="TableBody"/>
              <w:spacing w:before="45" w:after="45"/>
              <w:ind w:right="108"/>
              <w:jc w:val="right"/>
              <w:rPr>
                <w:rFonts w:ascii="Arial (Body)" w:hAnsi="Arial (Body)"/>
                <w:color w:val="000000"/>
              </w:rPr>
            </w:pPr>
            <w:r w:rsidRPr="00414AEF">
              <w:t>-100</w:t>
            </w:r>
          </w:p>
        </w:tc>
        <w:tc>
          <w:tcPr>
            <w:tcW w:w="1276" w:type="dxa"/>
            <w:tcBorders>
              <w:bottom w:val="nil"/>
            </w:tcBorders>
            <w:shd w:val="clear" w:color="000000" w:fill="auto"/>
          </w:tcPr>
          <w:p w14:paraId="2049C17F" w14:textId="77777777" w:rsidR="008E7FC3" w:rsidRDefault="008E7FC3" w:rsidP="00177648">
            <w:pPr>
              <w:pStyle w:val="TableBody"/>
              <w:spacing w:before="45" w:after="45"/>
              <w:ind w:right="108"/>
              <w:jc w:val="right"/>
              <w:rPr>
                <w:rFonts w:ascii="Arial (Body)" w:hAnsi="Arial (Body)"/>
                <w:color w:val="000000"/>
              </w:rPr>
            </w:pPr>
            <w:r w:rsidRPr="00414AEF">
              <w:t>-800</w:t>
            </w:r>
          </w:p>
        </w:tc>
        <w:tc>
          <w:tcPr>
            <w:tcW w:w="1417" w:type="dxa"/>
            <w:tcBorders>
              <w:bottom w:val="nil"/>
            </w:tcBorders>
            <w:shd w:val="clear" w:color="000000" w:fill="auto"/>
          </w:tcPr>
          <w:p w14:paraId="4890E101" w14:textId="77777777" w:rsidR="008E7FC3" w:rsidRDefault="008E7FC3" w:rsidP="00177648">
            <w:pPr>
              <w:pStyle w:val="TableBody"/>
              <w:spacing w:before="45" w:after="45"/>
              <w:ind w:right="108"/>
              <w:jc w:val="right"/>
              <w:rPr>
                <w:rFonts w:ascii="Arial (Body)" w:hAnsi="Arial (Body)"/>
                <w:color w:val="000000"/>
              </w:rPr>
            </w:pPr>
            <w:r w:rsidRPr="00414AEF">
              <w:t>0</w:t>
            </w:r>
          </w:p>
        </w:tc>
        <w:tc>
          <w:tcPr>
            <w:tcW w:w="1417" w:type="dxa"/>
            <w:tcBorders>
              <w:bottom w:val="nil"/>
            </w:tcBorders>
            <w:shd w:val="clear" w:color="000000" w:fill="auto"/>
          </w:tcPr>
          <w:p w14:paraId="7914C238" w14:textId="77777777" w:rsidR="008E7FC3" w:rsidRPr="00D4419A" w:rsidRDefault="008E7FC3" w:rsidP="00177648">
            <w:pPr>
              <w:pStyle w:val="TableBody"/>
              <w:spacing w:before="45" w:after="45"/>
              <w:ind w:right="108"/>
              <w:jc w:val="right"/>
            </w:pPr>
            <w:r w:rsidRPr="00414AEF">
              <w:t>-400</w:t>
            </w:r>
          </w:p>
        </w:tc>
      </w:tr>
      <w:tr w:rsidR="008E7FC3" w:rsidRPr="00030C67" w14:paraId="0235669C" w14:textId="77777777" w:rsidTr="00177648">
        <w:tc>
          <w:tcPr>
            <w:tcW w:w="2694" w:type="dxa"/>
            <w:tcBorders>
              <w:top w:val="nil"/>
              <w:bottom w:val="nil"/>
            </w:tcBorders>
            <w:shd w:val="clear" w:color="000000" w:fill="F2F2F2"/>
          </w:tcPr>
          <w:p w14:paraId="41063574"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263D6B13" w14:textId="77777777" w:rsidR="008E7FC3" w:rsidRDefault="008E7FC3" w:rsidP="00177648">
            <w:pPr>
              <w:pStyle w:val="TableBody"/>
              <w:spacing w:before="45" w:after="45"/>
              <w:ind w:right="108"/>
              <w:jc w:val="right"/>
              <w:rPr>
                <w:rFonts w:ascii="Arial (Body)" w:hAnsi="Arial (Body)"/>
                <w:color w:val="000000"/>
              </w:rPr>
            </w:pPr>
            <w:r w:rsidRPr="00414AEF">
              <w:t>-1,500</w:t>
            </w:r>
          </w:p>
        </w:tc>
        <w:tc>
          <w:tcPr>
            <w:tcW w:w="1417" w:type="dxa"/>
            <w:tcBorders>
              <w:top w:val="nil"/>
              <w:bottom w:val="nil"/>
            </w:tcBorders>
            <w:shd w:val="clear" w:color="000000" w:fill="F2F2F2"/>
          </w:tcPr>
          <w:p w14:paraId="1D4179C4" w14:textId="77777777" w:rsidR="008E7FC3" w:rsidRDefault="008E7FC3" w:rsidP="00177648">
            <w:pPr>
              <w:pStyle w:val="TableBody"/>
              <w:spacing w:before="45" w:after="45"/>
              <w:ind w:right="108"/>
              <w:jc w:val="right"/>
              <w:rPr>
                <w:rFonts w:ascii="Arial (Body)" w:hAnsi="Arial (Body)"/>
                <w:color w:val="000000"/>
              </w:rPr>
            </w:pPr>
            <w:r w:rsidRPr="00414AEF">
              <w:t>-2,400</w:t>
            </w:r>
          </w:p>
        </w:tc>
        <w:tc>
          <w:tcPr>
            <w:tcW w:w="1276" w:type="dxa"/>
            <w:tcBorders>
              <w:top w:val="nil"/>
              <w:bottom w:val="nil"/>
            </w:tcBorders>
            <w:shd w:val="clear" w:color="000000" w:fill="F2F2F2"/>
          </w:tcPr>
          <w:p w14:paraId="73E92114" w14:textId="77777777" w:rsidR="008E7FC3" w:rsidRDefault="008E7FC3" w:rsidP="00177648">
            <w:pPr>
              <w:pStyle w:val="TableBody"/>
              <w:spacing w:before="45" w:after="45"/>
              <w:ind w:right="108"/>
              <w:jc w:val="right"/>
              <w:rPr>
                <w:rFonts w:ascii="Arial (Body)" w:hAnsi="Arial (Body)"/>
                <w:color w:val="000000"/>
              </w:rPr>
            </w:pPr>
            <w:r w:rsidRPr="00414AEF">
              <w:t>-1,300</w:t>
            </w:r>
          </w:p>
        </w:tc>
        <w:tc>
          <w:tcPr>
            <w:tcW w:w="1417" w:type="dxa"/>
            <w:tcBorders>
              <w:top w:val="nil"/>
              <w:bottom w:val="nil"/>
            </w:tcBorders>
            <w:shd w:val="clear" w:color="000000" w:fill="F2F2F2"/>
          </w:tcPr>
          <w:p w14:paraId="51A6E40A" w14:textId="77777777" w:rsidR="008E7FC3" w:rsidRDefault="008E7FC3" w:rsidP="00177648">
            <w:pPr>
              <w:pStyle w:val="TableBody"/>
              <w:spacing w:before="45" w:after="45"/>
              <w:ind w:right="108"/>
              <w:jc w:val="right"/>
              <w:rPr>
                <w:rFonts w:ascii="Arial (Body)" w:hAnsi="Arial (Body)"/>
                <w:color w:val="000000"/>
              </w:rPr>
            </w:pPr>
            <w:r w:rsidRPr="00414AEF">
              <w:t>-700</w:t>
            </w:r>
          </w:p>
        </w:tc>
        <w:tc>
          <w:tcPr>
            <w:tcW w:w="1417" w:type="dxa"/>
            <w:tcBorders>
              <w:top w:val="nil"/>
              <w:bottom w:val="nil"/>
            </w:tcBorders>
            <w:shd w:val="clear" w:color="000000" w:fill="F2F2F2"/>
          </w:tcPr>
          <w:p w14:paraId="0A874381" w14:textId="77777777" w:rsidR="008E7FC3" w:rsidRPr="00D4419A" w:rsidRDefault="008E7FC3" w:rsidP="00177648">
            <w:pPr>
              <w:pStyle w:val="TableBody"/>
              <w:spacing w:before="45" w:after="45"/>
              <w:ind w:right="108"/>
              <w:jc w:val="right"/>
            </w:pPr>
            <w:r w:rsidRPr="00414AEF">
              <w:t>-5,900</w:t>
            </w:r>
          </w:p>
        </w:tc>
      </w:tr>
      <w:tr w:rsidR="008E7FC3" w:rsidRPr="00030C67" w14:paraId="6D560E41" w14:textId="77777777" w:rsidTr="00177648">
        <w:tc>
          <w:tcPr>
            <w:tcW w:w="2694" w:type="dxa"/>
            <w:tcBorders>
              <w:bottom w:val="nil"/>
            </w:tcBorders>
            <w:shd w:val="clear" w:color="000000" w:fill="auto"/>
          </w:tcPr>
          <w:p w14:paraId="55AE31BB"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16B6C295" w14:textId="77777777" w:rsidR="008E7FC3" w:rsidRDefault="008E7FC3" w:rsidP="00177648">
            <w:pPr>
              <w:pStyle w:val="TableBody"/>
              <w:spacing w:before="45" w:after="45"/>
              <w:ind w:right="108"/>
              <w:jc w:val="right"/>
              <w:rPr>
                <w:rFonts w:ascii="Arial (Body)" w:hAnsi="Arial (Body)"/>
                <w:color w:val="000000"/>
              </w:rPr>
            </w:pPr>
            <w:r w:rsidRPr="00414AEF">
              <w:t>400</w:t>
            </w:r>
          </w:p>
        </w:tc>
        <w:tc>
          <w:tcPr>
            <w:tcW w:w="1417" w:type="dxa"/>
            <w:tcBorders>
              <w:bottom w:val="nil"/>
            </w:tcBorders>
            <w:shd w:val="clear" w:color="000000" w:fill="auto"/>
          </w:tcPr>
          <w:p w14:paraId="7C538AF8" w14:textId="77777777" w:rsidR="008E7FC3" w:rsidRDefault="008E7FC3" w:rsidP="00177648">
            <w:pPr>
              <w:pStyle w:val="TableBody"/>
              <w:spacing w:before="45" w:after="45"/>
              <w:ind w:right="108"/>
              <w:jc w:val="right"/>
              <w:rPr>
                <w:rFonts w:ascii="Arial (Body)" w:hAnsi="Arial (Body)"/>
                <w:color w:val="000000"/>
              </w:rPr>
            </w:pPr>
            <w:r w:rsidRPr="00414AEF">
              <w:t>2,000</w:t>
            </w:r>
          </w:p>
        </w:tc>
        <w:tc>
          <w:tcPr>
            <w:tcW w:w="1276" w:type="dxa"/>
            <w:tcBorders>
              <w:bottom w:val="nil"/>
            </w:tcBorders>
            <w:shd w:val="clear" w:color="000000" w:fill="auto"/>
          </w:tcPr>
          <w:p w14:paraId="2C0738D1" w14:textId="77777777" w:rsidR="008E7FC3" w:rsidRDefault="008E7FC3" w:rsidP="00177648">
            <w:pPr>
              <w:pStyle w:val="TableBody"/>
              <w:spacing w:before="45" w:after="45"/>
              <w:ind w:right="108"/>
              <w:jc w:val="right"/>
              <w:rPr>
                <w:rFonts w:ascii="Arial (Body)" w:hAnsi="Arial (Body)"/>
                <w:color w:val="000000"/>
              </w:rPr>
            </w:pPr>
            <w:r w:rsidRPr="00414AEF">
              <w:t>1,500</w:t>
            </w:r>
          </w:p>
        </w:tc>
        <w:tc>
          <w:tcPr>
            <w:tcW w:w="1417" w:type="dxa"/>
            <w:tcBorders>
              <w:bottom w:val="nil"/>
            </w:tcBorders>
            <w:shd w:val="clear" w:color="000000" w:fill="auto"/>
          </w:tcPr>
          <w:p w14:paraId="2C1B72FB" w14:textId="77777777" w:rsidR="008E7FC3" w:rsidRDefault="008E7FC3" w:rsidP="00177648">
            <w:pPr>
              <w:pStyle w:val="TableBody"/>
              <w:spacing w:before="45" w:after="45"/>
              <w:ind w:right="108"/>
              <w:jc w:val="right"/>
              <w:rPr>
                <w:rFonts w:ascii="Arial (Body)" w:hAnsi="Arial (Body)"/>
                <w:color w:val="000000"/>
              </w:rPr>
            </w:pPr>
            <w:r w:rsidRPr="00414AEF">
              <w:t>3,700</w:t>
            </w:r>
          </w:p>
        </w:tc>
        <w:tc>
          <w:tcPr>
            <w:tcW w:w="1417" w:type="dxa"/>
            <w:tcBorders>
              <w:bottom w:val="nil"/>
            </w:tcBorders>
            <w:shd w:val="clear" w:color="000000" w:fill="auto"/>
          </w:tcPr>
          <w:p w14:paraId="3416E4D8" w14:textId="77777777" w:rsidR="008E7FC3" w:rsidRPr="00D4419A" w:rsidRDefault="008E7FC3" w:rsidP="00177648">
            <w:pPr>
              <w:pStyle w:val="TableBody"/>
              <w:spacing w:before="45" w:after="45"/>
              <w:ind w:right="108"/>
              <w:jc w:val="right"/>
            </w:pPr>
            <w:r w:rsidRPr="00414AEF">
              <w:t>7,600</w:t>
            </w:r>
          </w:p>
        </w:tc>
      </w:tr>
      <w:tr w:rsidR="008E7FC3" w:rsidRPr="00030C67" w14:paraId="4DE320E3" w14:textId="77777777" w:rsidTr="00177648">
        <w:tc>
          <w:tcPr>
            <w:tcW w:w="2694" w:type="dxa"/>
            <w:tcBorders>
              <w:top w:val="nil"/>
              <w:bottom w:val="nil"/>
            </w:tcBorders>
            <w:shd w:val="clear" w:color="000000" w:fill="F2F2F2"/>
          </w:tcPr>
          <w:p w14:paraId="196DC103"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22924B0F" w14:textId="77777777" w:rsidR="008E7FC3" w:rsidRDefault="008E7FC3" w:rsidP="00177648">
            <w:pPr>
              <w:pStyle w:val="TableBody"/>
              <w:spacing w:before="45" w:after="45"/>
              <w:ind w:right="108"/>
              <w:jc w:val="right"/>
              <w:rPr>
                <w:rFonts w:ascii="Arial (Body)" w:hAnsi="Arial (Body)"/>
                <w:color w:val="000000"/>
              </w:rPr>
            </w:pPr>
            <w:r w:rsidRPr="00414AEF">
              <w:t>-1,000</w:t>
            </w:r>
          </w:p>
        </w:tc>
        <w:tc>
          <w:tcPr>
            <w:tcW w:w="1417" w:type="dxa"/>
            <w:tcBorders>
              <w:top w:val="nil"/>
              <w:bottom w:val="nil"/>
            </w:tcBorders>
            <w:shd w:val="clear" w:color="000000" w:fill="F2F2F2"/>
          </w:tcPr>
          <w:p w14:paraId="6156566A" w14:textId="77777777" w:rsidR="008E7FC3" w:rsidRDefault="008E7FC3" w:rsidP="00177648">
            <w:pPr>
              <w:pStyle w:val="TableBody"/>
              <w:spacing w:before="45" w:after="45"/>
              <w:ind w:right="108"/>
              <w:jc w:val="right"/>
              <w:rPr>
                <w:rFonts w:ascii="Arial (Body)" w:hAnsi="Arial (Body)"/>
                <w:color w:val="000000"/>
              </w:rPr>
            </w:pPr>
            <w:r w:rsidRPr="00414AEF">
              <w:t>100</w:t>
            </w:r>
          </w:p>
        </w:tc>
        <w:tc>
          <w:tcPr>
            <w:tcW w:w="1276" w:type="dxa"/>
            <w:tcBorders>
              <w:top w:val="nil"/>
              <w:bottom w:val="nil"/>
            </w:tcBorders>
            <w:shd w:val="clear" w:color="000000" w:fill="F2F2F2"/>
          </w:tcPr>
          <w:p w14:paraId="483E03CA" w14:textId="77777777" w:rsidR="008E7FC3" w:rsidRDefault="008E7FC3" w:rsidP="00177648">
            <w:pPr>
              <w:pStyle w:val="TableBody"/>
              <w:spacing w:before="45" w:after="45"/>
              <w:ind w:right="108"/>
              <w:jc w:val="right"/>
              <w:rPr>
                <w:rFonts w:ascii="Arial (Body)" w:hAnsi="Arial (Body)"/>
                <w:color w:val="000000"/>
              </w:rPr>
            </w:pPr>
            <w:r w:rsidRPr="00414AEF">
              <w:t>900</w:t>
            </w:r>
          </w:p>
        </w:tc>
        <w:tc>
          <w:tcPr>
            <w:tcW w:w="1417" w:type="dxa"/>
            <w:tcBorders>
              <w:top w:val="nil"/>
              <w:bottom w:val="nil"/>
            </w:tcBorders>
            <w:shd w:val="clear" w:color="000000" w:fill="F2F2F2"/>
          </w:tcPr>
          <w:p w14:paraId="0E2429B6" w14:textId="77777777" w:rsidR="008E7FC3" w:rsidRDefault="008E7FC3" w:rsidP="00177648">
            <w:pPr>
              <w:pStyle w:val="TableBody"/>
              <w:spacing w:before="45" w:after="45"/>
              <w:ind w:right="108"/>
              <w:jc w:val="right"/>
              <w:rPr>
                <w:rFonts w:ascii="Arial (Body)" w:hAnsi="Arial (Body)"/>
                <w:color w:val="000000"/>
              </w:rPr>
            </w:pPr>
            <w:r w:rsidRPr="00414AEF">
              <w:t>3,600</w:t>
            </w:r>
          </w:p>
        </w:tc>
        <w:tc>
          <w:tcPr>
            <w:tcW w:w="1417" w:type="dxa"/>
            <w:tcBorders>
              <w:top w:val="nil"/>
              <w:bottom w:val="nil"/>
            </w:tcBorders>
            <w:shd w:val="clear" w:color="000000" w:fill="F2F2F2"/>
          </w:tcPr>
          <w:p w14:paraId="1C60EFFB" w14:textId="77777777" w:rsidR="008E7FC3" w:rsidRPr="00D4419A" w:rsidRDefault="008E7FC3" w:rsidP="00177648">
            <w:pPr>
              <w:pStyle w:val="TableBody"/>
              <w:spacing w:before="45" w:after="45"/>
              <w:ind w:right="108"/>
              <w:jc w:val="right"/>
            </w:pPr>
            <w:r w:rsidRPr="00414AEF">
              <w:t>3,600</w:t>
            </w:r>
          </w:p>
        </w:tc>
      </w:tr>
      <w:tr w:rsidR="008E7FC3" w:rsidRPr="00030C67" w14:paraId="61CF431D" w14:textId="77777777" w:rsidTr="00177648">
        <w:tc>
          <w:tcPr>
            <w:tcW w:w="2694" w:type="dxa"/>
            <w:tcBorders>
              <w:bottom w:val="single" w:sz="4" w:space="0" w:color="B3B3B3"/>
            </w:tcBorders>
            <w:shd w:val="clear" w:color="000000" w:fill="auto"/>
          </w:tcPr>
          <w:p w14:paraId="1D7180DB"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2669039D" w14:textId="77777777" w:rsidR="008E7FC3" w:rsidRDefault="008E7FC3" w:rsidP="00177648">
            <w:pPr>
              <w:pStyle w:val="TableBody"/>
              <w:spacing w:before="45" w:after="45"/>
              <w:ind w:right="108"/>
              <w:jc w:val="right"/>
              <w:rPr>
                <w:rFonts w:ascii="Arial (Body)" w:hAnsi="Arial (Body)"/>
                <w:color w:val="000000"/>
              </w:rPr>
            </w:pPr>
            <w:r w:rsidRPr="00414AEF">
              <w:t>400</w:t>
            </w:r>
          </w:p>
        </w:tc>
        <w:tc>
          <w:tcPr>
            <w:tcW w:w="1417" w:type="dxa"/>
            <w:tcBorders>
              <w:bottom w:val="single" w:sz="4" w:space="0" w:color="B3B3B3"/>
            </w:tcBorders>
            <w:shd w:val="clear" w:color="000000" w:fill="auto"/>
          </w:tcPr>
          <w:p w14:paraId="25BC5E67" w14:textId="77777777" w:rsidR="008E7FC3" w:rsidRDefault="008E7FC3" w:rsidP="00177648">
            <w:pPr>
              <w:pStyle w:val="TableBody"/>
              <w:spacing w:before="45" w:after="45"/>
              <w:ind w:right="108"/>
              <w:jc w:val="right"/>
              <w:rPr>
                <w:rFonts w:ascii="Arial (Body)" w:hAnsi="Arial (Body)"/>
                <w:color w:val="000000"/>
              </w:rPr>
            </w:pPr>
            <w:r w:rsidRPr="00414AEF">
              <w:t>500</w:t>
            </w:r>
          </w:p>
        </w:tc>
        <w:tc>
          <w:tcPr>
            <w:tcW w:w="1276" w:type="dxa"/>
            <w:tcBorders>
              <w:bottom w:val="single" w:sz="4" w:space="0" w:color="B3B3B3"/>
            </w:tcBorders>
            <w:shd w:val="clear" w:color="000000" w:fill="auto"/>
          </w:tcPr>
          <w:p w14:paraId="467E4A04" w14:textId="77777777" w:rsidR="008E7FC3" w:rsidRDefault="008E7FC3" w:rsidP="00177648">
            <w:pPr>
              <w:pStyle w:val="TableBody"/>
              <w:spacing w:before="45" w:after="45"/>
              <w:ind w:right="108"/>
              <w:jc w:val="right"/>
              <w:rPr>
                <w:rFonts w:ascii="Arial (Body)" w:hAnsi="Arial (Body)"/>
                <w:color w:val="000000"/>
              </w:rPr>
            </w:pPr>
            <w:r w:rsidRPr="00414AEF">
              <w:t>900</w:t>
            </w:r>
          </w:p>
        </w:tc>
        <w:tc>
          <w:tcPr>
            <w:tcW w:w="1417" w:type="dxa"/>
            <w:tcBorders>
              <w:bottom w:val="single" w:sz="4" w:space="0" w:color="B3B3B3"/>
            </w:tcBorders>
            <w:shd w:val="clear" w:color="000000" w:fill="auto"/>
          </w:tcPr>
          <w:p w14:paraId="75EA68EC" w14:textId="77777777" w:rsidR="008E7FC3" w:rsidRDefault="008E7FC3" w:rsidP="00177648">
            <w:pPr>
              <w:pStyle w:val="TableBody"/>
              <w:spacing w:before="45" w:after="45"/>
              <w:ind w:right="108"/>
              <w:jc w:val="right"/>
              <w:rPr>
                <w:rFonts w:ascii="Arial (Body)" w:hAnsi="Arial (Body)"/>
                <w:color w:val="000000"/>
              </w:rPr>
            </w:pPr>
            <w:r w:rsidRPr="00414AEF">
              <w:t>3,600</w:t>
            </w:r>
          </w:p>
        </w:tc>
        <w:tc>
          <w:tcPr>
            <w:tcW w:w="1417" w:type="dxa"/>
            <w:tcBorders>
              <w:bottom w:val="single" w:sz="4" w:space="0" w:color="B3B3B3"/>
            </w:tcBorders>
            <w:shd w:val="clear" w:color="000000" w:fill="auto"/>
          </w:tcPr>
          <w:p w14:paraId="3CC80E09" w14:textId="77777777" w:rsidR="008E7FC3" w:rsidRPr="00D4419A" w:rsidRDefault="008E7FC3" w:rsidP="00177648">
            <w:pPr>
              <w:pStyle w:val="TableBody"/>
              <w:spacing w:before="45" w:after="45"/>
              <w:ind w:right="108"/>
              <w:jc w:val="right"/>
            </w:pPr>
            <w:r w:rsidRPr="00414AEF">
              <w:t>5,400</w:t>
            </w:r>
          </w:p>
        </w:tc>
      </w:tr>
    </w:tbl>
    <w:p w14:paraId="674E9330"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C36914">
        <w:rPr>
          <w:b/>
          <w:bCs/>
        </w:rPr>
        <w:t>b.</w:t>
      </w:r>
      <w:r w:rsidRPr="00C36914">
        <w:t xml:space="preserve"> </w:t>
      </w:r>
      <w:r>
        <w:t>Estimates rounded to the closest hundred</w:t>
      </w:r>
      <w:r w:rsidRPr="00C36914">
        <w:t>.</w:t>
      </w:r>
      <w:r>
        <w:t xml:space="preserve"> </w:t>
      </w:r>
      <w:r w:rsidRPr="004F6485">
        <w:rPr>
          <w:b/>
          <w:bCs/>
        </w:rPr>
        <w:t>c.</w:t>
      </w:r>
      <w:r>
        <w:t xml:space="preserve"> Full</w:t>
      </w:r>
      <w:r>
        <w:noBreakHyphen/>
        <w:t xml:space="preserve">time equivalent work was assumed as 35 hours per week. </w:t>
      </w:r>
      <w:r>
        <w:rPr>
          <w:b/>
          <w:bCs/>
        </w:rPr>
        <w:t>d</w:t>
      </w:r>
      <w:r w:rsidRPr="00225C46">
        <w:rPr>
          <w:b/>
          <w:bCs/>
        </w:rPr>
        <w:t>.</w:t>
      </w:r>
      <w:r>
        <w:t xml:space="preserve"> Due to rounding, the sum of the components in tables G.18 and G.19 may not add to the numbers in table G.16.</w:t>
      </w:r>
    </w:p>
    <w:p w14:paraId="4C71889B"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3A9278ED" w14:textId="77777777" w:rsidR="008E7FC3" w:rsidRPr="00A80C1A" w:rsidRDefault="008E7FC3" w:rsidP="008E7FC3">
      <w:pPr>
        <w:pStyle w:val="BodyText"/>
      </w:pPr>
      <w:r w:rsidRPr="00A80C1A">
        <w:br w:type="page"/>
      </w:r>
    </w:p>
    <w:p w14:paraId="2035F50A" w14:textId="77777777" w:rsidR="008E7FC3" w:rsidRDefault="008E7FC3" w:rsidP="008E7FC3">
      <w:pPr>
        <w:pStyle w:val="FigureTableHeading"/>
      </w:pPr>
      <w:r>
        <w:lastRenderedPageBreak/>
        <w:t xml:space="preserve">Table </w:t>
      </w:r>
      <w:r>
        <w:rPr>
          <w:noProof/>
        </w:rPr>
        <w:t>G</w:t>
      </w:r>
      <w:r>
        <w:t>.19</w:t>
      </w:r>
      <w:r>
        <w:rPr>
          <w:noProof/>
        </w:rPr>
        <w:t xml:space="preserve"> – Net </w:t>
      </w:r>
      <w:r>
        <w:t>full</w:t>
      </w:r>
      <w:r>
        <w:noBreakHyphen/>
        <w:t>time equivalent change in labour supply due to increasing or decreasing labour supply hours, by income quartile</w:t>
      </w:r>
      <w:r w:rsidRPr="00EC0C27">
        <w:rPr>
          <w:vertAlign w:val="superscript"/>
        </w:rPr>
        <w:t>a,b</w:t>
      </w:r>
      <w:r>
        <w:rPr>
          <w:vertAlign w:val="superscript"/>
        </w:rPr>
        <w:t>,c,d</w:t>
      </w:r>
    </w:p>
    <w:p w14:paraId="51064B69"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26DE7AFE" w14:textId="77777777" w:rsidTr="006510ED">
        <w:trPr>
          <w:tblHeader/>
        </w:trPr>
        <w:tc>
          <w:tcPr>
            <w:tcW w:w="2694" w:type="dxa"/>
            <w:tcBorders>
              <w:bottom w:val="single" w:sz="4" w:space="0" w:color="B3B3B3"/>
            </w:tcBorders>
            <w:shd w:val="clear" w:color="000000" w:fill="auto"/>
          </w:tcPr>
          <w:p w14:paraId="7987DF9F"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6C9AC6DA"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08CB8F36"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0441C165"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69A4EAB3"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vAlign w:val="bottom"/>
          </w:tcPr>
          <w:p w14:paraId="76CCB8E7" w14:textId="77777777" w:rsidR="008E7FC3" w:rsidRDefault="008E7FC3" w:rsidP="006510ED">
            <w:pPr>
              <w:pStyle w:val="TableHeading"/>
              <w:jc w:val="right"/>
            </w:pPr>
            <w:r>
              <w:t>Overall</w:t>
            </w:r>
          </w:p>
        </w:tc>
      </w:tr>
      <w:tr w:rsidR="008E7FC3" w:rsidRPr="00030C67" w14:paraId="461E56F3" w14:textId="77777777" w:rsidTr="00177648">
        <w:tc>
          <w:tcPr>
            <w:tcW w:w="2694" w:type="dxa"/>
            <w:tcBorders>
              <w:top w:val="single" w:sz="4" w:space="0" w:color="B3B3B3"/>
              <w:bottom w:val="nil"/>
            </w:tcBorders>
            <w:shd w:val="clear" w:color="000000" w:fill="F2F2F2"/>
          </w:tcPr>
          <w:p w14:paraId="40212C87"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53B6111B" w14:textId="77777777" w:rsidR="008E7FC3" w:rsidRPr="00030C67"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single" w:sz="4" w:space="0" w:color="B3B3B3"/>
              <w:bottom w:val="nil"/>
            </w:tcBorders>
            <w:shd w:val="clear" w:color="000000" w:fill="F2F2F2"/>
          </w:tcPr>
          <w:p w14:paraId="0ABB1F64" w14:textId="77777777" w:rsidR="008E7FC3" w:rsidRPr="00030C67" w:rsidRDefault="008E7FC3" w:rsidP="00177648">
            <w:pPr>
              <w:pStyle w:val="TableBody"/>
              <w:spacing w:before="45" w:after="45"/>
              <w:ind w:right="108"/>
              <w:jc w:val="right"/>
              <w:rPr>
                <w:rFonts w:ascii="Arial (Body)" w:hAnsi="Arial (Body)"/>
                <w:color w:val="000000"/>
              </w:rPr>
            </w:pPr>
            <w:r w:rsidRPr="008A5473">
              <w:t>100</w:t>
            </w:r>
          </w:p>
        </w:tc>
        <w:tc>
          <w:tcPr>
            <w:tcW w:w="1276" w:type="dxa"/>
            <w:tcBorders>
              <w:top w:val="single" w:sz="4" w:space="0" w:color="B3B3B3"/>
              <w:bottom w:val="nil"/>
            </w:tcBorders>
            <w:shd w:val="clear" w:color="000000" w:fill="F2F2F2"/>
          </w:tcPr>
          <w:p w14:paraId="47AFE5FE"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single" w:sz="4" w:space="0" w:color="B3B3B3"/>
              <w:bottom w:val="nil"/>
            </w:tcBorders>
            <w:shd w:val="clear" w:color="000000" w:fill="F2F2F2"/>
          </w:tcPr>
          <w:p w14:paraId="4217109F"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single" w:sz="4" w:space="0" w:color="B3B3B3"/>
              <w:bottom w:val="nil"/>
            </w:tcBorders>
            <w:shd w:val="clear" w:color="000000" w:fill="F2F2F2"/>
          </w:tcPr>
          <w:p w14:paraId="09E58B51" w14:textId="77777777" w:rsidR="008E7FC3" w:rsidRPr="00D4419A" w:rsidRDefault="008E7FC3" w:rsidP="00177648">
            <w:pPr>
              <w:pStyle w:val="TableBody"/>
              <w:spacing w:before="45" w:after="45"/>
              <w:ind w:right="108"/>
              <w:jc w:val="right"/>
            </w:pPr>
            <w:r w:rsidRPr="008A5473">
              <w:t>-100</w:t>
            </w:r>
          </w:p>
        </w:tc>
      </w:tr>
      <w:tr w:rsidR="008E7FC3" w:rsidRPr="00030C67" w14:paraId="0AE397B0" w14:textId="77777777" w:rsidTr="00177648">
        <w:tc>
          <w:tcPr>
            <w:tcW w:w="2694" w:type="dxa"/>
            <w:tcBorders>
              <w:top w:val="nil"/>
              <w:bottom w:val="nil"/>
            </w:tcBorders>
            <w:shd w:val="clear" w:color="000000" w:fill="auto"/>
          </w:tcPr>
          <w:p w14:paraId="14FA8EC8"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6B4454B6" w14:textId="77777777" w:rsidR="008E7FC3" w:rsidRPr="00030C67"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nil"/>
              <w:bottom w:val="nil"/>
            </w:tcBorders>
            <w:shd w:val="clear" w:color="000000" w:fill="auto"/>
          </w:tcPr>
          <w:p w14:paraId="3772C3F4" w14:textId="77777777" w:rsidR="008E7FC3" w:rsidRPr="00030C67" w:rsidRDefault="008E7FC3" w:rsidP="00177648">
            <w:pPr>
              <w:pStyle w:val="TableBody"/>
              <w:spacing w:before="45" w:after="45"/>
              <w:ind w:right="108"/>
              <w:jc w:val="right"/>
              <w:rPr>
                <w:rFonts w:ascii="Arial (Body)" w:hAnsi="Arial (Body)"/>
                <w:color w:val="000000"/>
              </w:rPr>
            </w:pPr>
            <w:r w:rsidRPr="008A5473">
              <w:t>200</w:t>
            </w:r>
          </w:p>
        </w:tc>
        <w:tc>
          <w:tcPr>
            <w:tcW w:w="1276" w:type="dxa"/>
            <w:tcBorders>
              <w:top w:val="nil"/>
              <w:bottom w:val="nil"/>
            </w:tcBorders>
            <w:shd w:val="clear" w:color="000000" w:fill="auto"/>
          </w:tcPr>
          <w:p w14:paraId="48D4289A"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nil"/>
              <w:bottom w:val="nil"/>
            </w:tcBorders>
            <w:shd w:val="clear" w:color="000000" w:fill="auto"/>
          </w:tcPr>
          <w:p w14:paraId="0E26884C"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nil"/>
              <w:bottom w:val="nil"/>
            </w:tcBorders>
            <w:shd w:val="clear" w:color="000000" w:fill="auto"/>
          </w:tcPr>
          <w:p w14:paraId="774771BF" w14:textId="77777777" w:rsidR="008E7FC3" w:rsidRPr="00D4419A" w:rsidRDefault="008E7FC3" w:rsidP="00177648">
            <w:pPr>
              <w:pStyle w:val="TableBody"/>
              <w:spacing w:before="45" w:after="45"/>
              <w:ind w:right="108"/>
              <w:jc w:val="right"/>
            </w:pPr>
            <w:r w:rsidRPr="008A5473">
              <w:t>400</w:t>
            </w:r>
          </w:p>
        </w:tc>
      </w:tr>
      <w:tr w:rsidR="008E7FC3" w:rsidRPr="00030C67" w14:paraId="6BC1356B" w14:textId="77777777" w:rsidTr="00177648">
        <w:tc>
          <w:tcPr>
            <w:tcW w:w="2694" w:type="dxa"/>
            <w:tcBorders>
              <w:bottom w:val="nil"/>
            </w:tcBorders>
            <w:shd w:val="clear" w:color="000000" w:fill="F2F2F2"/>
          </w:tcPr>
          <w:p w14:paraId="583EF29C"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01EE22F1" w14:textId="77777777" w:rsidR="008E7FC3" w:rsidRPr="00030C67" w:rsidRDefault="008E7FC3" w:rsidP="00177648">
            <w:pPr>
              <w:pStyle w:val="TableBody"/>
              <w:spacing w:before="45" w:after="45"/>
              <w:ind w:right="108"/>
              <w:jc w:val="right"/>
              <w:rPr>
                <w:rFonts w:ascii="Arial (Body)" w:hAnsi="Arial (Body)"/>
                <w:color w:val="000000"/>
              </w:rPr>
            </w:pPr>
            <w:r w:rsidRPr="008A5473">
              <w:t>-100</w:t>
            </w:r>
          </w:p>
        </w:tc>
        <w:tc>
          <w:tcPr>
            <w:tcW w:w="1417" w:type="dxa"/>
            <w:tcBorders>
              <w:bottom w:val="nil"/>
            </w:tcBorders>
            <w:shd w:val="clear" w:color="000000" w:fill="F2F2F2"/>
          </w:tcPr>
          <w:p w14:paraId="27BF29FB" w14:textId="77777777" w:rsidR="008E7FC3" w:rsidRPr="00030C67" w:rsidRDefault="008E7FC3" w:rsidP="00177648">
            <w:pPr>
              <w:pStyle w:val="TableBody"/>
              <w:spacing w:before="45" w:after="45"/>
              <w:ind w:right="108"/>
              <w:jc w:val="right"/>
              <w:rPr>
                <w:rFonts w:ascii="Arial (Body)" w:hAnsi="Arial (Body)"/>
                <w:color w:val="000000"/>
              </w:rPr>
            </w:pPr>
            <w:r w:rsidRPr="008A5473">
              <w:t>-100</w:t>
            </w:r>
          </w:p>
        </w:tc>
        <w:tc>
          <w:tcPr>
            <w:tcW w:w="1276" w:type="dxa"/>
            <w:tcBorders>
              <w:bottom w:val="nil"/>
            </w:tcBorders>
            <w:shd w:val="clear" w:color="000000" w:fill="F2F2F2"/>
          </w:tcPr>
          <w:p w14:paraId="6BBA3F06" w14:textId="77777777" w:rsidR="008E7FC3" w:rsidRDefault="008E7FC3" w:rsidP="00177648">
            <w:pPr>
              <w:pStyle w:val="TableBody"/>
              <w:spacing w:before="45" w:after="45"/>
              <w:ind w:right="108"/>
              <w:jc w:val="right"/>
              <w:rPr>
                <w:rFonts w:ascii="Arial (Body)" w:hAnsi="Arial (Body)"/>
                <w:color w:val="000000"/>
              </w:rPr>
            </w:pPr>
            <w:r w:rsidRPr="008A5473">
              <w:t>-200</w:t>
            </w:r>
          </w:p>
        </w:tc>
        <w:tc>
          <w:tcPr>
            <w:tcW w:w="1417" w:type="dxa"/>
            <w:tcBorders>
              <w:bottom w:val="nil"/>
            </w:tcBorders>
            <w:shd w:val="clear" w:color="000000" w:fill="F2F2F2"/>
          </w:tcPr>
          <w:p w14:paraId="6310CCE7"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bottom w:val="nil"/>
            </w:tcBorders>
            <w:shd w:val="clear" w:color="000000" w:fill="F2F2F2"/>
          </w:tcPr>
          <w:p w14:paraId="1691A059" w14:textId="77777777" w:rsidR="008E7FC3" w:rsidRPr="00D4419A" w:rsidRDefault="008E7FC3" w:rsidP="00177648">
            <w:pPr>
              <w:pStyle w:val="TableBody"/>
              <w:spacing w:before="45" w:after="45"/>
              <w:ind w:right="108"/>
              <w:jc w:val="right"/>
            </w:pPr>
            <w:r w:rsidRPr="008A5473">
              <w:t>-500</w:t>
            </w:r>
          </w:p>
        </w:tc>
      </w:tr>
      <w:tr w:rsidR="008E7FC3" w:rsidRPr="00030C67" w14:paraId="2026C20B" w14:textId="77777777" w:rsidTr="00177648">
        <w:tc>
          <w:tcPr>
            <w:tcW w:w="2694" w:type="dxa"/>
            <w:tcBorders>
              <w:bottom w:val="nil"/>
            </w:tcBorders>
            <w:shd w:val="clear" w:color="000000" w:fill="auto"/>
          </w:tcPr>
          <w:p w14:paraId="6E2B47D3"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0D6F5088"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bottom w:val="nil"/>
            </w:tcBorders>
            <w:shd w:val="clear" w:color="000000" w:fill="auto"/>
          </w:tcPr>
          <w:p w14:paraId="02713406" w14:textId="77777777" w:rsidR="008E7FC3" w:rsidRDefault="008E7FC3" w:rsidP="00177648">
            <w:pPr>
              <w:pStyle w:val="TableBody"/>
              <w:spacing w:before="45" w:after="45"/>
              <w:ind w:right="108"/>
              <w:jc w:val="right"/>
              <w:rPr>
                <w:rFonts w:ascii="Arial (Body)" w:hAnsi="Arial (Body)"/>
                <w:color w:val="000000"/>
              </w:rPr>
            </w:pPr>
            <w:r w:rsidRPr="008A5473">
              <w:t>300</w:t>
            </w:r>
          </w:p>
        </w:tc>
        <w:tc>
          <w:tcPr>
            <w:tcW w:w="1276" w:type="dxa"/>
            <w:tcBorders>
              <w:bottom w:val="nil"/>
            </w:tcBorders>
            <w:shd w:val="clear" w:color="000000" w:fill="auto"/>
          </w:tcPr>
          <w:p w14:paraId="4BE569A6"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bottom w:val="nil"/>
            </w:tcBorders>
            <w:shd w:val="clear" w:color="000000" w:fill="auto"/>
          </w:tcPr>
          <w:p w14:paraId="3B12EA3C"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bottom w:val="nil"/>
            </w:tcBorders>
            <w:shd w:val="clear" w:color="000000" w:fill="auto"/>
          </w:tcPr>
          <w:p w14:paraId="5FB0E3F9" w14:textId="77777777" w:rsidR="008E7FC3" w:rsidRPr="00D4419A" w:rsidRDefault="008E7FC3" w:rsidP="00177648">
            <w:pPr>
              <w:pStyle w:val="TableBody"/>
              <w:spacing w:before="45" w:after="45"/>
              <w:ind w:right="108"/>
              <w:jc w:val="right"/>
            </w:pPr>
            <w:r w:rsidRPr="008A5473">
              <w:t>400</w:t>
            </w:r>
          </w:p>
        </w:tc>
      </w:tr>
      <w:tr w:rsidR="008E7FC3" w:rsidRPr="00030C67" w14:paraId="5CA40C09" w14:textId="77777777" w:rsidTr="00177648">
        <w:tc>
          <w:tcPr>
            <w:tcW w:w="2694" w:type="dxa"/>
            <w:tcBorders>
              <w:top w:val="nil"/>
              <w:bottom w:val="nil"/>
            </w:tcBorders>
            <w:shd w:val="clear" w:color="000000" w:fill="F2F2F2"/>
          </w:tcPr>
          <w:p w14:paraId="09EED9C5"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2B250FC4"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nil"/>
              <w:bottom w:val="nil"/>
            </w:tcBorders>
            <w:shd w:val="clear" w:color="000000" w:fill="F2F2F2"/>
          </w:tcPr>
          <w:p w14:paraId="47DAAAB1"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276" w:type="dxa"/>
            <w:tcBorders>
              <w:top w:val="nil"/>
              <w:bottom w:val="nil"/>
            </w:tcBorders>
            <w:shd w:val="clear" w:color="000000" w:fill="F2F2F2"/>
          </w:tcPr>
          <w:p w14:paraId="2AD335FF"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nil"/>
              <w:bottom w:val="nil"/>
            </w:tcBorders>
            <w:shd w:val="clear" w:color="000000" w:fill="F2F2F2"/>
          </w:tcPr>
          <w:p w14:paraId="03CB4E7C"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top w:val="nil"/>
              <w:bottom w:val="nil"/>
            </w:tcBorders>
            <w:shd w:val="clear" w:color="000000" w:fill="F2F2F2"/>
          </w:tcPr>
          <w:p w14:paraId="298E8C2B" w14:textId="77777777" w:rsidR="008E7FC3" w:rsidRPr="00D4419A" w:rsidRDefault="008E7FC3" w:rsidP="00177648">
            <w:pPr>
              <w:pStyle w:val="TableBody"/>
              <w:spacing w:before="45" w:after="45"/>
              <w:ind w:right="108"/>
              <w:jc w:val="right"/>
            </w:pPr>
            <w:r w:rsidRPr="008A5473">
              <w:t>100</w:t>
            </w:r>
          </w:p>
        </w:tc>
      </w:tr>
      <w:tr w:rsidR="008E7FC3" w:rsidRPr="00030C67" w14:paraId="6C2B9A4D" w14:textId="77777777" w:rsidTr="00177648">
        <w:tc>
          <w:tcPr>
            <w:tcW w:w="2694" w:type="dxa"/>
            <w:tcBorders>
              <w:bottom w:val="nil"/>
            </w:tcBorders>
            <w:shd w:val="clear" w:color="000000" w:fill="auto"/>
          </w:tcPr>
          <w:p w14:paraId="1C6E9AE0"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5A38428A"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bottom w:val="nil"/>
            </w:tcBorders>
            <w:shd w:val="clear" w:color="000000" w:fill="auto"/>
          </w:tcPr>
          <w:p w14:paraId="3B5D86B1" w14:textId="77777777" w:rsidR="008E7FC3" w:rsidRDefault="008E7FC3" w:rsidP="00177648">
            <w:pPr>
              <w:pStyle w:val="TableBody"/>
              <w:spacing w:before="45" w:after="45"/>
              <w:ind w:right="108"/>
              <w:jc w:val="right"/>
              <w:rPr>
                <w:rFonts w:ascii="Arial (Body)" w:hAnsi="Arial (Body)"/>
                <w:color w:val="000000"/>
              </w:rPr>
            </w:pPr>
            <w:r w:rsidRPr="008A5473">
              <w:t>800</w:t>
            </w:r>
          </w:p>
        </w:tc>
        <w:tc>
          <w:tcPr>
            <w:tcW w:w="1276" w:type="dxa"/>
            <w:tcBorders>
              <w:bottom w:val="nil"/>
            </w:tcBorders>
            <w:shd w:val="clear" w:color="000000" w:fill="auto"/>
          </w:tcPr>
          <w:p w14:paraId="0E0516FC" w14:textId="77777777" w:rsidR="008E7FC3" w:rsidRDefault="008E7FC3" w:rsidP="00177648">
            <w:pPr>
              <w:pStyle w:val="TableBody"/>
              <w:spacing w:before="45" w:after="45"/>
              <w:ind w:right="108"/>
              <w:jc w:val="right"/>
              <w:rPr>
                <w:rFonts w:ascii="Arial (Body)" w:hAnsi="Arial (Body)"/>
                <w:color w:val="000000"/>
              </w:rPr>
            </w:pPr>
            <w:r w:rsidRPr="008A5473">
              <w:t>1,000</w:t>
            </w:r>
          </w:p>
        </w:tc>
        <w:tc>
          <w:tcPr>
            <w:tcW w:w="1417" w:type="dxa"/>
            <w:tcBorders>
              <w:bottom w:val="nil"/>
            </w:tcBorders>
            <w:shd w:val="clear" w:color="000000" w:fill="auto"/>
          </w:tcPr>
          <w:p w14:paraId="744F7D7D" w14:textId="77777777" w:rsidR="008E7FC3" w:rsidRDefault="008E7FC3" w:rsidP="00177648">
            <w:pPr>
              <w:pStyle w:val="TableBody"/>
              <w:spacing w:before="45" w:after="45"/>
              <w:ind w:right="108"/>
              <w:jc w:val="right"/>
              <w:rPr>
                <w:rFonts w:ascii="Arial (Body)" w:hAnsi="Arial (Body)"/>
                <w:color w:val="000000"/>
              </w:rPr>
            </w:pPr>
            <w:r w:rsidRPr="008A5473">
              <w:t>2,000</w:t>
            </w:r>
          </w:p>
        </w:tc>
        <w:tc>
          <w:tcPr>
            <w:tcW w:w="1417" w:type="dxa"/>
            <w:tcBorders>
              <w:bottom w:val="nil"/>
            </w:tcBorders>
            <w:shd w:val="clear" w:color="000000" w:fill="auto"/>
          </w:tcPr>
          <w:p w14:paraId="288E0A3D" w14:textId="77777777" w:rsidR="008E7FC3" w:rsidRPr="00D4419A" w:rsidRDefault="008E7FC3" w:rsidP="00177648">
            <w:pPr>
              <w:pStyle w:val="TableBody"/>
              <w:spacing w:before="45" w:after="45"/>
              <w:ind w:right="108"/>
              <w:jc w:val="right"/>
            </w:pPr>
            <w:r w:rsidRPr="008A5473">
              <w:t>3,900</w:t>
            </w:r>
          </w:p>
        </w:tc>
      </w:tr>
      <w:tr w:rsidR="008E7FC3" w:rsidRPr="00030C67" w14:paraId="664FE6F4" w14:textId="77777777" w:rsidTr="00177648">
        <w:tc>
          <w:tcPr>
            <w:tcW w:w="2694" w:type="dxa"/>
            <w:tcBorders>
              <w:top w:val="nil"/>
              <w:bottom w:val="nil"/>
            </w:tcBorders>
            <w:shd w:val="clear" w:color="000000" w:fill="F2F2F2"/>
          </w:tcPr>
          <w:p w14:paraId="5FCB7B80"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1C4DBD56" w14:textId="77777777" w:rsidR="008E7FC3" w:rsidRDefault="008E7FC3" w:rsidP="00177648">
            <w:pPr>
              <w:pStyle w:val="TableBody"/>
              <w:spacing w:before="45" w:after="45"/>
              <w:ind w:right="108"/>
              <w:jc w:val="right"/>
              <w:rPr>
                <w:rFonts w:ascii="Arial (Body)" w:hAnsi="Arial (Body)"/>
                <w:color w:val="000000"/>
              </w:rPr>
            </w:pPr>
            <w:r w:rsidRPr="008A5473">
              <w:t>100</w:t>
            </w:r>
          </w:p>
        </w:tc>
        <w:tc>
          <w:tcPr>
            <w:tcW w:w="1417" w:type="dxa"/>
            <w:tcBorders>
              <w:top w:val="nil"/>
              <w:bottom w:val="nil"/>
            </w:tcBorders>
            <w:shd w:val="clear" w:color="000000" w:fill="F2F2F2"/>
          </w:tcPr>
          <w:p w14:paraId="6D654BEE" w14:textId="77777777" w:rsidR="008E7FC3" w:rsidRDefault="008E7FC3" w:rsidP="00177648">
            <w:pPr>
              <w:pStyle w:val="TableBody"/>
              <w:spacing w:before="45" w:after="45"/>
              <w:ind w:right="108"/>
              <w:jc w:val="right"/>
              <w:rPr>
                <w:rFonts w:ascii="Arial (Body)" w:hAnsi="Arial (Body)"/>
                <w:color w:val="000000"/>
              </w:rPr>
            </w:pPr>
            <w:r w:rsidRPr="008A5473">
              <w:t>800</w:t>
            </w:r>
          </w:p>
        </w:tc>
        <w:tc>
          <w:tcPr>
            <w:tcW w:w="1276" w:type="dxa"/>
            <w:tcBorders>
              <w:top w:val="nil"/>
              <w:bottom w:val="nil"/>
            </w:tcBorders>
            <w:shd w:val="clear" w:color="000000" w:fill="F2F2F2"/>
          </w:tcPr>
          <w:p w14:paraId="621ED26F" w14:textId="77777777" w:rsidR="008E7FC3" w:rsidRDefault="008E7FC3" w:rsidP="00177648">
            <w:pPr>
              <w:pStyle w:val="TableBody"/>
              <w:spacing w:before="45" w:after="45"/>
              <w:ind w:right="108"/>
              <w:jc w:val="right"/>
              <w:rPr>
                <w:rFonts w:ascii="Arial (Body)" w:hAnsi="Arial (Body)"/>
                <w:color w:val="000000"/>
              </w:rPr>
            </w:pPr>
            <w:r w:rsidRPr="008A5473">
              <w:t>900</w:t>
            </w:r>
          </w:p>
        </w:tc>
        <w:tc>
          <w:tcPr>
            <w:tcW w:w="1417" w:type="dxa"/>
            <w:tcBorders>
              <w:top w:val="nil"/>
              <w:bottom w:val="nil"/>
            </w:tcBorders>
            <w:shd w:val="clear" w:color="000000" w:fill="F2F2F2"/>
          </w:tcPr>
          <w:p w14:paraId="537BD898" w14:textId="77777777" w:rsidR="008E7FC3" w:rsidRDefault="008E7FC3" w:rsidP="00177648">
            <w:pPr>
              <w:pStyle w:val="TableBody"/>
              <w:spacing w:before="45" w:after="45"/>
              <w:ind w:right="108"/>
              <w:jc w:val="right"/>
              <w:rPr>
                <w:rFonts w:ascii="Arial (Body)" w:hAnsi="Arial (Body)"/>
                <w:color w:val="000000"/>
              </w:rPr>
            </w:pPr>
            <w:r w:rsidRPr="008A5473">
              <w:t>2,000</w:t>
            </w:r>
          </w:p>
        </w:tc>
        <w:tc>
          <w:tcPr>
            <w:tcW w:w="1417" w:type="dxa"/>
            <w:tcBorders>
              <w:top w:val="nil"/>
              <w:bottom w:val="nil"/>
            </w:tcBorders>
            <w:shd w:val="clear" w:color="000000" w:fill="F2F2F2"/>
          </w:tcPr>
          <w:p w14:paraId="51312B1D" w14:textId="77777777" w:rsidR="008E7FC3" w:rsidRPr="00D4419A" w:rsidRDefault="008E7FC3" w:rsidP="00177648">
            <w:pPr>
              <w:pStyle w:val="TableBody"/>
              <w:spacing w:before="45" w:after="45"/>
              <w:ind w:right="108"/>
              <w:jc w:val="right"/>
            </w:pPr>
            <w:r w:rsidRPr="008A5473">
              <w:t>3,800</w:t>
            </w:r>
          </w:p>
        </w:tc>
      </w:tr>
      <w:tr w:rsidR="008E7FC3" w:rsidRPr="00030C67" w14:paraId="5001EE06" w14:textId="77777777" w:rsidTr="00177648">
        <w:tc>
          <w:tcPr>
            <w:tcW w:w="2694" w:type="dxa"/>
            <w:tcBorders>
              <w:bottom w:val="single" w:sz="4" w:space="0" w:color="B3B3B3"/>
            </w:tcBorders>
            <w:shd w:val="clear" w:color="000000" w:fill="auto"/>
          </w:tcPr>
          <w:p w14:paraId="225BFC4E"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3DEAF1C3" w14:textId="77777777" w:rsidR="008E7FC3" w:rsidRDefault="008E7FC3" w:rsidP="00177648">
            <w:pPr>
              <w:pStyle w:val="TableBody"/>
              <w:spacing w:before="45" w:after="45"/>
              <w:ind w:right="108"/>
              <w:jc w:val="right"/>
              <w:rPr>
                <w:rFonts w:ascii="Arial (Body)" w:hAnsi="Arial (Body)"/>
                <w:color w:val="000000"/>
              </w:rPr>
            </w:pPr>
            <w:r w:rsidRPr="008A5473">
              <w:t>0</w:t>
            </w:r>
          </w:p>
        </w:tc>
        <w:tc>
          <w:tcPr>
            <w:tcW w:w="1417" w:type="dxa"/>
            <w:tcBorders>
              <w:bottom w:val="single" w:sz="4" w:space="0" w:color="B3B3B3"/>
            </w:tcBorders>
            <w:shd w:val="clear" w:color="000000" w:fill="auto"/>
          </w:tcPr>
          <w:p w14:paraId="79498CDE" w14:textId="77777777" w:rsidR="008E7FC3" w:rsidRDefault="008E7FC3" w:rsidP="00177648">
            <w:pPr>
              <w:pStyle w:val="TableBody"/>
              <w:spacing w:before="45" w:after="45"/>
              <w:ind w:right="108"/>
              <w:jc w:val="right"/>
              <w:rPr>
                <w:rFonts w:ascii="Arial (Body)" w:hAnsi="Arial (Body)"/>
                <w:color w:val="000000"/>
              </w:rPr>
            </w:pPr>
            <w:r w:rsidRPr="008A5473">
              <w:t>600</w:t>
            </w:r>
          </w:p>
        </w:tc>
        <w:tc>
          <w:tcPr>
            <w:tcW w:w="1276" w:type="dxa"/>
            <w:tcBorders>
              <w:bottom w:val="single" w:sz="4" w:space="0" w:color="B3B3B3"/>
            </w:tcBorders>
            <w:shd w:val="clear" w:color="000000" w:fill="auto"/>
          </w:tcPr>
          <w:p w14:paraId="15AE2859" w14:textId="77777777" w:rsidR="008E7FC3" w:rsidRDefault="008E7FC3" w:rsidP="00177648">
            <w:pPr>
              <w:pStyle w:val="TableBody"/>
              <w:spacing w:before="45" w:after="45"/>
              <w:ind w:right="108"/>
              <w:jc w:val="right"/>
              <w:rPr>
                <w:rFonts w:ascii="Arial (Body)" w:hAnsi="Arial (Body)"/>
                <w:color w:val="000000"/>
              </w:rPr>
            </w:pPr>
            <w:r w:rsidRPr="008A5473">
              <w:t>900</w:t>
            </w:r>
          </w:p>
        </w:tc>
        <w:tc>
          <w:tcPr>
            <w:tcW w:w="1417" w:type="dxa"/>
            <w:tcBorders>
              <w:bottom w:val="single" w:sz="4" w:space="0" w:color="B3B3B3"/>
            </w:tcBorders>
            <w:shd w:val="clear" w:color="000000" w:fill="auto"/>
          </w:tcPr>
          <w:p w14:paraId="554E9002" w14:textId="77777777" w:rsidR="008E7FC3" w:rsidRDefault="008E7FC3" w:rsidP="00177648">
            <w:pPr>
              <w:pStyle w:val="TableBody"/>
              <w:spacing w:before="45" w:after="45"/>
              <w:ind w:right="108"/>
              <w:jc w:val="right"/>
              <w:rPr>
                <w:rFonts w:ascii="Arial (Body)" w:hAnsi="Arial (Body)"/>
                <w:color w:val="000000"/>
              </w:rPr>
            </w:pPr>
            <w:r w:rsidRPr="008A5473">
              <w:t>2,000</w:t>
            </w:r>
          </w:p>
        </w:tc>
        <w:tc>
          <w:tcPr>
            <w:tcW w:w="1417" w:type="dxa"/>
            <w:tcBorders>
              <w:bottom w:val="single" w:sz="4" w:space="0" w:color="B3B3B3"/>
            </w:tcBorders>
            <w:shd w:val="clear" w:color="000000" w:fill="auto"/>
          </w:tcPr>
          <w:p w14:paraId="41F786FA" w14:textId="77777777" w:rsidR="008E7FC3" w:rsidRPr="00D4419A" w:rsidRDefault="008E7FC3" w:rsidP="00177648">
            <w:pPr>
              <w:pStyle w:val="TableBody"/>
              <w:spacing w:before="45" w:after="45"/>
              <w:ind w:right="108"/>
              <w:jc w:val="right"/>
            </w:pPr>
            <w:r w:rsidRPr="008A5473">
              <w:t>3,500</w:t>
            </w:r>
          </w:p>
        </w:tc>
      </w:tr>
    </w:tbl>
    <w:p w14:paraId="751547C6"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C36914">
        <w:rPr>
          <w:b/>
          <w:bCs/>
        </w:rPr>
        <w:t>b.</w:t>
      </w:r>
      <w:r w:rsidRPr="00C36914">
        <w:t xml:space="preserve"> </w:t>
      </w:r>
      <w:r>
        <w:t>Estimates rounded to the closest hundred</w:t>
      </w:r>
      <w:r w:rsidRPr="00C36914">
        <w:t>.</w:t>
      </w:r>
      <w:r>
        <w:t xml:space="preserve"> </w:t>
      </w:r>
      <w:r w:rsidRPr="004F6485">
        <w:rPr>
          <w:b/>
          <w:bCs/>
        </w:rPr>
        <w:t>c.</w:t>
      </w:r>
      <w:r>
        <w:t xml:space="preserve"> Full</w:t>
      </w:r>
      <w:r>
        <w:noBreakHyphen/>
        <w:t>time equivalent work was assumed as 35 hours per week.</w:t>
      </w:r>
      <w:r w:rsidRPr="00AA4F15">
        <w:rPr>
          <w:b/>
          <w:bCs/>
        </w:rPr>
        <w:t xml:space="preserve"> </w:t>
      </w:r>
      <w:r>
        <w:rPr>
          <w:b/>
          <w:bCs/>
        </w:rPr>
        <w:t>d</w:t>
      </w:r>
      <w:r w:rsidRPr="00522577">
        <w:rPr>
          <w:b/>
          <w:bCs/>
        </w:rPr>
        <w:t>.</w:t>
      </w:r>
      <w:r>
        <w:t xml:space="preserve"> Due to rounding, the sum of the components in tables G.18 and G.19 may not add to the numbers in table G.16.</w:t>
      </w:r>
    </w:p>
    <w:p w14:paraId="4C6F70D6"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6A48AFF6" w14:textId="77777777" w:rsidR="008E7FC3" w:rsidRPr="00A80C1A" w:rsidRDefault="008E7FC3" w:rsidP="008E7FC3">
      <w:pPr>
        <w:pStyle w:val="BodyText"/>
      </w:pPr>
      <w:r w:rsidRPr="00A80C1A">
        <w:br w:type="page"/>
      </w:r>
    </w:p>
    <w:p w14:paraId="019351A1" w14:textId="77777777" w:rsidR="008E7FC3" w:rsidRDefault="008E7FC3" w:rsidP="008E7FC3">
      <w:pPr>
        <w:pStyle w:val="FigureTableHeading"/>
      </w:pPr>
      <w:r>
        <w:lastRenderedPageBreak/>
        <w:t xml:space="preserve">Table </w:t>
      </w:r>
      <w:r>
        <w:rPr>
          <w:noProof/>
        </w:rPr>
        <w:t>G</w:t>
      </w:r>
      <w:r>
        <w:t>.20</w:t>
      </w:r>
      <w:r>
        <w:rPr>
          <w:noProof/>
        </w:rPr>
        <w:t xml:space="preserve"> – </w:t>
      </w:r>
      <w:r>
        <w:t>Net number of children entering ECEC by income quartile</w:t>
      </w:r>
      <w:r w:rsidRPr="00EC0C27">
        <w:rPr>
          <w:vertAlign w:val="superscript"/>
        </w:rPr>
        <w:t>a</w:t>
      </w:r>
    </w:p>
    <w:p w14:paraId="0BAF3820"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42449B07" w14:textId="77777777" w:rsidTr="00177648">
        <w:trPr>
          <w:tblHeader/>
        </w:trPr>
        <w:tc>
          <w:tcPr>
            <w:tcW w:w="2694" w:type="dxa"/>
            <w:tcBorders>
              <w:bottom w:val="single" w:sz="4" w:space="0" w:color="B3B3B3"/>
            </w:tcBorders>
            <w:shd w:val="clear" w:color="000000" w:fill="auto"/>
          </w:tcPr>
          <w:p w14:paraId="5C08E4AA"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5C392636"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177BBCB0"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010261F7"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5374F2C8"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tcPr>
          <w:p w14:paraId="4892C962" w14:textId="77777777" w:rsidR="008E7FC3" w:rsidRDefault="008E7FC3" w:rsidP="00177648">
            <w:pPr>
              <w:pStyle w:val="TableHeading"/>
              <w:jc w:val="right"/>
            </w:pPr>
            <w:r>
              <w:t>Overall</w:t>
            </w:r>
          </w:p>
        </w:tc>
      </w:tr>
      <w:tr w:rsidR="008E7FC3" w:rsidRPr="00030C67" w14:paraId="054E36C3" w14:textId="77777777" w:rsidTr="00177648">
        <w:tc>
          <w:tcPr>
            <w:tcW w:w="2694" w:type="dxa"/>
            <w:tcBorders>
              <w:top w:val="single" w:sz="4" w:space="0" w:color="B3B3B3"/>
              <w:bottom w:val="nil"/>
            </w:tcBorders>
            <w:shd w:val="clear" w:color="000000" w:fill="F2F2F2"/>
          </w:tcPr>
          <w:p w14:paraId="5CFC40FF"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54564E3A" w14:textId="77777777" w:rsidR="008E7FC3" w:rsidRPr="00030C67" w:rsidRDefault="008E7FC3" w:rsidP="00177648">
            <w:pPr>
              <w:pStyle w:val="TableBody"/>
              <w:spacing w:before="45" w:after="45"/>
              <w:ind w:right="108"/>
              <w:jc w:val="right"/>
              <w:rPr>
                <w:rFonts w:ascii="Arial (Body)" w:hAnsi="Arial (Body)"/>
                <w:color w:val="000000"/>
              </w:rPr>
            </w:pPr>
            <w:r w:rsidRPr="00AF6FCE">
              <w:t>26,600</w:t>
            </w:r>
          </w:p>
        </w:tc>
        <w:tc>
          <w:tcPr>
            <w:tcW w:w="1417" w:type="dxa"/>
            <w:tcBorders>
              <w:top w:val="single" w:sz="4" w:space="0" w:color="B3B3B3"/>
              <w:bottom w:val="nil"/>
            </w:tcBorders>
            <w:shd w:val="clear" w:color="000000" w:fill="F2F2F2"/>
          </w:tcPr>
          <w:p w14:paraId="0E03EDE0" w14:textId="77777777" w:rsidR="008E7FC3" w:rsidRPr="00030C67" w:rsidRDefault="008E7FC3" w:rsidP="00177648">
            <w:pPr>
              <w:pStyle w:val="TableBody"/>
              <w:spacing w:before="45" w:after="45"/>
              <w:ind w:right="108"/>
              <w:jc w:val="right"/>
              <w:rPr>
                <w:rFonts w:ascii="Arial (Body)" w:hAnsi="Arial (Body)"/>
                <w:color w:val="000000"/>
              </w:rPr>
            </w:pPr>
            <w:r w:rsidRPr="00AF6FCE">
              <w:t>12,900</w:t>
            </w:r>
          </w:p>
        </w:tc>
        <w:tc>
          <w:tcPr>
            <w:tcW w:w="1276" w:type="dxa"/>
            <w:tcBorders>
              <w:top w:val="single" w:sz="4" w:space="0" w:color="B3B3B3"/>
              <w:bottom w:val="nil"/>
            </w:tcBorders>
            <w:shd w:val="clear" w:color="000000" w:fill="F2F2F2"/>
          </w:tcPr>
          <w:p w14:paraId="47C965F1" w14:textId="77777777" w:rsidR="008E7FC3" w:rsidRDefault="008E7FC3" w:rsidP="00177648">
            <w:pPr>
              <w:pStyle w:val="TableBody"/>
              <w:spacing w:before="45" w:after="45"/>
              <w:ind w:right="108"/>
              <w:jc w:val="right"/>
              <w:rPr>
                <w:rFonts w:ascii="Arial (Body)" w:hAnsi="Arial (Body)"/>
                <w:color w:val="000000"/>
              </w:rPr>
            </w:pPr>
            <w:r w:rsidRPr="00AF6FCE">
              <w:t>6,400</w:t>
            </w:r>
          </w:p>
        </w:tc>
        <w:tc>
          <w:tcPr>
            <w:tcW w:w="1417" w:type="dxa"/>
            <w:tcBorders>
              <w:top w:val="single" w:sz="4" w:space="0" w:color="B3B3B3"/>
              <w:bottom w:val="nil"/>
            </w:tcBorders>
            <w:shd w:val="clear" w:color="000000" w:fill="F2F2F2"/>
          </w:tcPr>
          <w:p w14:paraId="1458B7E7" w14:textId="77777777" w:rsidR="008E7FC3" w:rsidRDefault="008E7FC3" w:rsidP="00177648">
            <w:pPr>
              <w:pStyle w:val="TableBody"/>
              <w:spacing w:before="45" w:after="45"/>
              <w:ind w:right="108"/>
              <w:jc w:val="right"/>
              <w:rPr>
                <w:rFonts w:ascii="Arial (Body)" w:hAnsi="Arial (Body)"/>
                <w:color w:val="000000"/>
              </w:rPr>
            </w:pPr>
            <w:r w:rsidRPr="00AF6FCE">
              <w:t>5,400</w:t>
            </w:r>
          </w:p>
        </w:tc>
        <w:tc>
          <w:tcPr>
            <w:tcW w:w="1417" w:type="dxa"/>
            <w:tcBorders>
              <w:top w:val="single" w:sz="4" w:space="0" w:color="B3B3B3"/>
              <w:bottom w:val="nil"/>
            </w:tcBorders>
            <w:shd w:val="clear" w:color="000000" w:fill="F2F2F2"/>
          </w:tcPr>
          <w:p w14:paraId="2A93DB3B" w14:textId="77777777" w:rsidR="008E7FC3" w:rsidRPr="00D4419A" w:rsidRDefault="008E7FC3" w:rsidP="00177648">
            <w:pPr>
              <w:pStyle w:val="TableBody"/>
              <w:spacing w:before="45" w:after="45"/>
              <w:ind w:right="108"/>
              <w:jc w:val="right"/>
            </w:pPr>
            <w:r w:rsidRPr="00AF6FCE">
              <w:t>51,300</w:t>
            </w:r>
          </w:p>
        </w:tc>
      </w:tr>
      <w:tr w:rsidR="008E7FC3" w:rsidRPr="00030C67" w14:paraId="0B6A43EB" w14:textId="77777777" w:rsidTr="00177648">
        <w:tc>
          <w:tcPr>
            <w:tcW w:w="2694" w:type="dxa"/>
            <w:tcBorders>
              <w:top w:val="nil"/>
              <w:bottom w:val="nil"/>
            </w:tcBorders>
            <w:shd w:val="clear" w:color="000000" w:fill="auto"/>
          </w:tcPr>
          <w:p w14:paraId="24977F87"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630429B8" w14:textId="77777777" w:rsidR="008E7FC3" w:rsidRPr="00030C67" w:rsidRDefault="008E7FC3" w:rsidP="00177648">
            <w:pPr>
              <w:pStyle w:val="TableBody"/>
              <w:spacing w:before="45" w:after="45"/>
              <w:ind w:right="108"/>
              <w:jc w:val="right"/>
              <w:rPr>
                <w:rFonts w:ascii="Arial (Body)" w:hAnsi="Arial (Body)"/>
                <w:color w:val="000000"/>
              </w:rPr>
            </w:pPr>
            <w:r w:rsidRPr="00AF6FCE">
              <w:t>10,800</w:t>
            </w:r>
          </w:p>
        </w:tc>
        <w:tc>
          <w:tcPr>
            <w:tcW w:w="1417" w:type="dxa"/>
            <w:tcBorders>
              <w:top w:val="nil"/>
              <w:bottom w:val="nil"/>
            </w:tcBorders>
            <w:shd w:val="clear" w:color="000000" w:fill="auto"/>
          </w:tcPr>
          <w:p w14:paraId="31C16338" w14:textId="77777777" w:rsidR="008E7FC3" w:rsidRPr="00030C67" w:rsidRDefault="008E7FC3" w:rsidP="00177648">
            <w:pPr>
              <w:pStyle w:val="TableBody"/>
              <w:spacing w:before="45" w:after="45"/>
              <w:ind w:right="108"/>
              <w:jc w:val="right"/>
              <w:rPr>
                <w:rFonts w:ascii="Arial (Body)" w:hAnsi="Arial (Body)"/>
                <w:color w:val="000000"/>
              </w:rPr>
            </w:pPr>
            <w:r w:rsidRPr="00AF6FCE">
              <w:t>7,700</w:t>
            </w:r>
          </w:p>
        </w:tc>
        <w:tc>
          <w:tcPr>
            <w:tcW w:w="1276" w:type="dxa"/>
            <w:tcBorders>
              <w:top w:val="nil"/>
              <w:bottom w:val="nil"/>
            </w:tcBorders>
            <w:shd w:val="clear" w:color="000000" w:fill="auto"/>
          </w:tcPr>
          <w:p w14:paraId="630819FB" w14:textId="77777777" w:rsidR="008E7FC3" w:rsidRDefault="008E7FC3" w:rsidP="00177648">
            <w:pPr>
              <w:pStyle w:val="TableBody"/>
              <w:spacing w:before="45" w:after="45"/>
              <w:ind w:right="108"/>
              <w:jc w:val="right"/>
              <w:rPr>
                <w:rFonts w:ascii="Arial (Body)" w:hAnsi="Arial (Body)"/>
                <w:color w:val="000000"/>
              </w:rPr>
            </w:pPr>
            <w:r w:rsidRPr="00AF6FCE">
              <w:t>3,700</w:t>
            </w:r>
          </w:p>
        </w:tc>
        <w:tc>
          <w:tcPr>
            <w:tcW w:w="1417" w:type="dxa"/>
            <w:tcBorders>
              <w:top w:val="nil"/>
              <w:bottom w:val="nil"/>
            </w:tcBorders>
            <w:shd w:val="clear" w:color="000000" w:fill="auto"/>
          </w:tcPr>
          <w:p w14:paraId="48D9ACB1" w14:textId="77777777" w:rsidR="008E7FC3" w:rsidRDefault="008E7FC3" w:rsidP="00177648">
            <w:pPr>
              <w:pStyle w:val="TableBody"/>
              <w:spacing w:before="45" w:after="45"/>
              <w:ind w:right="108"/>
              <w:jc w:val="right"/>
              <w:rPr>
                <w:rFonts w:ascii="Arial (Body)" w:hAnsi="Arial (Body)"/>
                <w:color w:val="000000"/>
              </w:rPr>
            </w:pPr>
            <w:r w:rsidRPr="00AF6FCE">
              <w:t>4,100</w:t>
            </w:r>
          </w:p>
        </w:tc>
        <w:tc>
          <w:tcPr>
            <w:tcW w:w="1417" w:type="dxa"/>
            <w:tcBorders>
              <w:top w:val="nil"/>
              <w:bottom w:val="nil"/>
            </w:tcBorders>
            <w:shd w:val="clear" w:color="000000" w:fill="auto"/>
          </w:tcPr>
          <w:p w14:paraId="61C2DB77" w14:textId="77777777" w:rsidR="008E7FC3" w:rsidRPr="00D4419A" w:rsidRDefault="008E7FC3" w:rsidP="00177648">
            <w:pPr>
              <w:pStyle w:val="TableBody"/>
              <w:spacing w:before="45" w:after="45"/>
              <w:ind w:right="108"/>
              <w:jc w:val="right"/>
            </w:pPr>
            <w:r w:rsidRPr="00AF6FCE">
              <w:t>26,300</w:t>
            </w:r>
          </w:p>
        </w:tc>
      </w:tr>
      <w:tr w:rsidR="008E7FC3" w:rsidRPr="00030C67" w14:paraId="632E234A" w14:textId="77777777" w:rsidTr="00177648">
        <w:tc>
          <w:tcPr>
            <w:tcW w:w="2694" w:type="dxa"/>
            <w:tcBorders>
              <w:bottom w:val="nil"/>
            </w:tcBorders>
            <w:shd w:val="clear" w:color="000000" w:fill="F2F2F2"/>
          </w:tcPr>
          <w:p w14:paraId="06BC4021"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7EF4D67A" w14:textId="77777777" w:rsidR="008E7FC3" w:rsidRPr="00030C67" w:rsidRDefault="008E7FC3" w:rsidP="00177648">
            <w:pPr>
              <w:pStyle w:val="TableBody"/>
              <w:spacing w:before="45" w:after="45"/>
              <w:ind w:right="108"/>
              <w:jc w:val="right"/>
              <w:rPr>
                <w:rFonts w:ascii="Arial (Body)" w:hAnsi="Arial (Body)"/>
                <w:color w:val="000000"/>
              </w:rPr>
            </w:pPr>
            <w:r w:rsidRPr="00AF6FCE">
              <w:t>12,600</w:t>
            </w:r>
          </w:p>
        </w:tc>
        <w:tc>
          <w:tcPr>
            <w:tcW w:w="1417" w:type="dxa"/>
            <w:tcBorders>
              <w:bottom w:val="nil"/>
            </w:tcBorders>
            <w:shd w:val="clear" w:color="000000" w:fill="F2F2F2"/>
          </w:tcPr>
          <w:p w14:paraId="11D4F1C5" w14:textId="77777777" w:rsidR="008E7FC3" w:rsidRPr="00030C67" w:rsidRDefault="008E7FC3" w:rsidP="00177648">
            <w:pPr>
              <w:pStyle w:val="TableBody"/>
              <w:spacing w:before="45" w:after="45"/>
              <w:ind w:right="108"/>
              <w:jc w:val="right"/>
              <w:rPr>
                <w:rFonts w:ascii="Arial (Body)" w:hAnsi="Arial (Body)"/>
                <w:color w:val="000000"/>
              </w:rPr>
            </w:pPr>
            <w:r w:rsidRPr="00AF6FCE">
              <w:t>5,500</w:t>
            </w:r>
          </w:p>
        </w:tc>
        <w:tc>
          <w:tcPr>
            <w:tcW w:w="1276" w:type="dxa"/>
            <w:tcBorders>
              <w:bottom w:val="nil"/>
            </w:tcBorders>
            <w:shd w:val="clear" w:color="000000" w:fill="F2F2F2"/>
          </w:tcPr>
          <w:p w14:paraId="314BD853" w14:textId="77777777" w:rsidR="008E7FC3" w:rsidRDefault="008E7FC3" w:rsidP="00177648">
            <w:pPr>
              <w:pStyle w:val="TableBody"/>
              <w:spacing w:before="45" w:after="45"/>
              <w:ind w:right="108"/>
              <w:jc w:val="right"/>
              <w:rPr>
                <w:rFonts w:ascii="Arial (Body)" w:hAnsi="Arial (Body)"/>
                <w:color w:val="000000"/>
              </w:rPr>
            </w:pPr>
            <w:r w:rsidRPr="00AF6FCE">
              <w:t>2,400</w:t>
            </w:r>
          </w:p>
        </w:tc>
        <w:tc>
          <w:tcPr>
            <w:tcW w:w="1417" w:type="dxa"/>
            <w:tcBorders>
              <w:bottom w:val="nil"/>
            </w:tcBorders>
            <w:shd w:val="clear" w:color="000000" w:fill="F2F2F2"/>
          </w:tcPr>
          <w:p w14:paraId="45B6C61D" w14:textId="77777777" w:rsidR="008E7FC3" w:rsidRDefault="008E7FC3" w:rsidP="00177648">
            <w:pPr>
              <w:pStyle w:val="TableBody"/>
              <w:spacing w:before="45" w:after="45"/>
              <w:ind w:right="108"/>
              <w:jc w:val="right"/>
              <w:rPr>
                <w:rFonts w:ascii="Arial (Body)" w:hAnsi="Arial (Body)"/>
                <w:color w:val="000000"/>
              </w:rPr>
            </w:pPr>
            <w:r w:rsidRPr="00AF6FCE">
              <w:t>1,100</w:t>
            </w:r>
          </w:p>
        </w:tc>
        <w:tc>
          <w:tcPr>
            <w:tcW w:w="1417" w:type="dxa"/>
            <w:tcBorders>
              <w:bottom w:val="nil"/>
            </w:tcBorders>
            <w:shd w:val="clear" w:color="000000" w:fill="F2F2F2"/>
          </w:tcPr>
          <w:p w14:paraId="0FDB17D6" w14:textId="77777777" w:rsidR="008E7FC3" w:rsidRPr="00D4419A" w:rsidRDefault="008E7FC3" w:rsidP="00177648">
            <w:pPr>
              <w:pStyle w:val="TableBody"/>
              <w:spacing w:before="45" w:after="45"/>
              <w:ind w:right="108"/>
              <w:jc w:val="right"/>
            </w:pPr>
            <w:r w:rsidRPr="00AF6FCE">
              <w:t>21,600</w:t>
            </w:r>
          </w:p>
        </w:tc>
      </w:tr>
      <w:tr w:rsidR="008E7FC3" w:rsidRPr="00030C67" w14:paraId="5F6E7A95" w14:textId="77777777" w:rsidTr="00177648">
        <w:tc>
          <w:tcPr>
            <w:tcW w:w="2694" w:type="dxa"/>
            <w:tcBorders>
              <w:bottom w:val="nil"/>
            </w:tcBorders>
            <w:shd w:val="clear" w:color="000000" w:fill="auto"/>
          </w:tcPr>
          <w:p w14:paraId="7C0CB0B6"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0DE4265D" w14:textId="77777777" w:rsidR="008E7FC3" w:rsidRDefault="008E7FC3" w:rsidP="00177648">
            <w:pPr>
              <w:pStyle w:val="TableBody"/>
              <w:spacing w:before="45" w:after="45"/>
              <w:ind w:right="108"/>
              <w:jc w:val="right"/>
              <w:rPr>
                <w:rFonts w:ascii="Arial (Body)" w:hAnsi="Arial (Body)"/>
                <w:color w:val="000000"/>
              </w:rPr>
            </w:pPr>
            <w:r w:rsidRPr="00AF6FCE">
              <w:t>21,900</w:t>
            </w:r>
          </w:p>
        </w:tc>
        <w:tc>
          <w:tcPr>
            <w:tcW w:w="1417" w:type="dxa"/>
            <w:tcBorders>
              <w:bottom w:val="nil"/>
            </w:tcBorders>
            <w:shd w:val="clear" w:color="000000" w:fill="auto"/>
          </w:tcPr>
          <w:p w14:paraId="04A07529" w14:textId="77777777" w:rsidR="008E7FC3" w:rsidRDefault="008E7FC3" w:rsidP="00177648">
            <w:pPr>
              <w:pStyle w:val="TableBody"/>
              <w:spacing w:before="45" w:after="45"/>
              <w:ind w:right="108"/>
              <w:jc w:val="right"/>
              <w:rPr>
                <w:rFonts w:ascii="Arial (Body)" w:hAnsi="Arial (Body)"/>
                <w:color w:val="000000"/>
              </w:rPr>
            </w:pPr>
            <w:r w:rsidRPr="00AF6FCE">
              <w:t>12,400</w:t>
            </w:r>
          </w:p>
        </w:tc>
        <w:tc>
          <w:tcPr>
            <w:tcW w:w="1276" w:type="dxa"/>
            <w:tcBorders>
              <w:bottom w:val="nil"/>
            </w:tcBorders>
            <w:shd w:val="clear" w:color="000000" w:fill="auto"/>
          </w:tcPr>
          <w:p w14:paraId="1ABB624A" w14:textId="77777777" w:rsidR="008E7FC3" w:rsidRDefault="008E7FC3" w:rsidP="00177648">
            <w:pPr>
              <w:pStyle w:val="TableBody"/>
              <w:spacing w:before="45" w:after="45"/>
              <w:ind w:right="108"/>
              <w:jc w:val="right"/>
              <w:rPr>
                <w:rFonts w:ascii="Arial (Body)" w:hAnsi="Arial (Body)"/>
                <w:color w:val="000000"/>
              </w:rPr>
            </w:pPr>
            <w:r w:rsidRPr="00AF6FCE">
              <w:t>6,100</w:t>
            </w:r>
          </w:p>
        </w:tc>
        <w:tc>
          <w:tcPr>
            <w:tcW w:w="1417" w:type="dxa"/>
            <w:tcBorders>
              <w:bottom w:val="nil"/>
            </w:tcBorders>
            <w:shd w:val="clear" w:color="000000" w:fill="auto"/>
          </w:tcPr>
          <w:p w14:paraId="21B673CC" w14:textId="77777777" w:rsidR="008E7FC3" w:rsidRDefault="008E7FC3" w:rsidP="00177648">
            <w:pPr>
              <w:pStyle w:val="TableBody"/>
              <w:spacing w:before="45" w:after="45"/>
              <w:ind w:right="108"/>
              <w:jc w:val="right"/>
              <w:rPr>
                <w:rFonts w:ascii="Arial (Body)" w:hAnsi="Arial (Body)"/>
                <w:color w:val="000000"/>
              </w:rPr>
            </w:pPr>
            <w:r w:rsidRPr="00AF6FCE">
              <w:t>5,200</w:t>
            </w:r>
          </w:p>
        </w:tc>
        <w:tc>
          <w:tcPr>
            <w:tcW w:w="1417" w:type="dxa"/>
            <w:tcBorders>
              <w:bottom w:val="nil"/>
            </w:tcBorders>
            <w:shd w:val="clear" w:color="000000" w:fill="auto"/>
          </w:tcPr>
          <w:p w14:paraId="6F851473" w14:textId="77777777" w:rsidR="008E7FC3" w:rsidRPr="00D4419A" w:rsidRDefault="008E7FC3" w:rsidP="00177648">
            <w:pPr>
              <w:pStyle w:val="TableBody"/>
              <w:spacing w:before="45" w:after="45"/>
              <w:ind w:right="108"/>
              <w:jc w:val="right"/>
            </w:pPr>
            <w:r w:rsidRPr="00AF6FCE">
              <w:t>45,600</w:t>
            </w:r>
          </w:p>
        </w:tc>
      </w:tr>
      <w:tr w:rsidR="008E7FC3" w:rsidRPr="00030C67" w14:paraId="56AB3FB0" w14:textId="77777777" w:rsidTr="00177648">
        <w:tc>
          <w:tcPr>
            <w:tcW w:w="2694" w:type="dxa"/>
            <w:tcBorders>
              <w:top w:val="nil"/>
              <w:bottom w:val="nil"/>
            </w:tcBorders>
            <w:shd w:val="clear" w:color="000000" w:fill="F2F2F2"/>
          </w:tcPr>
          <w:p w14:paraId="2C619B3E"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378D6FB1" w14:textId="77777777" w:rsidR="008E7FC3" w:rsidRDefault="008E7FC3" w:rsidP="00177648">
            <w:pPr>
              <w:pStyle w:val="TableBody"/>
              <w:spacing w:before="45" w:after="45"/>
              <w:ind w:right="108"/>
              <w:jc w:val="right"/>
              <w:rPr>
                <w:rFonts w:ascii="Arial (Body)" w:hAnsi="Arial (Body)"/>
                <w:color w:val="000000"/>
              </w:rPr>
            </w:pPr>
            <w:r w:rsidRPr="00AF6FCE">
              <w:t>8,600</w:t>
            </w:r>
          </w:p>
        </w:tc>
        <w:tc>
          <w:tcPr>
            <w:tcW w:w="1417" w:type="dxa"/>
            <w:tcBorders>
              <w:top w:val="nil"/>
              <w:bottom w:val="nil"/>
            </w:tcBorders>
            <w:shd w:val="clear" w:color="000000" w:fill="F2F2F2"/>
          </w:tcPr>
          <w:p w14:paraId="4802AECB" w14:textId="77777777" w:rsidR="008E7FC3" w:rsidRDefault="008E7FC3" w:rsidP="00177648">
            <w:pPr>
              <w:pStyle w:val="TableBody"/>
              <w:spacing w:before="45" w:after="45"/>
              <w:ind w:right="108"/>
              <w:jc w:val="right"/>
              <w:rPr>
                <w:rFonts w:ascii="Arial (Body)" w:hAnsi="Arial (Body)"/>
                <w:color w:val="000000"/>
              </w:rPr>
            </w:pPr>
            <w:r w:rsidRPr="00AF6FCE">
              <w:t>5,100</w:t>
            </w:r>
          </w:p>
        </w:tc>
        <w:tc>
          <w:tcPr>
            <w:tcW w:w="1276" w:type="dxa"/>
            <w:tcBorders>
              <w:top w:val="nil"/>
              <w:bottom w:val="nil"/>
            </w:tcBorders>
            <w:shd w:val="clear" w:color="000000" w:fill="F2F2F2"/>
          </w:tcPr>
          <w:p w14:paraId="29F88541" w14:textId="77777777" w:rsidR="008E7FC3" w:rsidRDefault="008E7FC3" w:rsidP="00177648">
            <w:pPr>
              <w:pStyle w:val="TableBody"/>
              <w:spacing w:before="45" w:after="45"/>
              <w:ind w:right="108"/>
              <w:jc w:val="right"/>
              <w:rPr>
                <w:rFonts w:ascii="Arial (Body)" w:hAnsi="Arial (Body)"/>
                <w:color w:val="000000"/>
              </w:rPr>
            </w:pPr>
            <w:r w:rsidRPr="00AF6FCE">
              <w:t>2,200</w:t>
            </w:r>
          </w:p>
        </w:tc>
        <w:tc>
          <w:tcPr>
            <w:tcW w:w="1417" w:type="dxa"/>
            <w:tcBorders>
              <w:top w:val="nil"/>
              <w:bottom w:val="nil"/>
            </w:tcBorders>
            <w:shd w:val="clear" w:color="000000" w:fill="F2F2F2"/>
          </w:tcPr>
          <w:p w14:paraId="3E1CCA7B" w14:textId="77777777" w:rsidR="008E7FC3" w:rsidRDefault="008E7FC3" w:rsidP="00177648">
            <w:pPr>
              <w:pStyle w:val="TableBody"/>
              <w:spacing w:before="45" w:after="45"/>
              <w:ind w:right="108"/>
              <w:jc w:val="right"/>
              <w:rPr>
                <w:rFonts w:ascii="Arial (Body)" w:hAnsi="Arial (Body)"/>
                <w:color w:val="000000"/>
              </w:rPr>
            </w:pPr>
            <w:r w:rsidRPr="00AF6FCE">
              <w:t>1,000</w:t>
            </w:r>
          </w:p>
        </w:tc>
        <w:tc>
          <w:tcPr>
            <w:tcW w:w="1417" w:type="dxa"/>
            <w:tcBorders>
              <w:top w:val="nil"/>
              <w:bottom w:val="nil"/>
            </w:tcBorders>
            <w:shd w:val="clear" w:color="000000" w:fill="F2F2F2"/>
          </w:tcPr>
          <w:p w14:paraId="7190AF8A" w14:textId="77777777" w:rsidR="008E7FC3" w:rsidRPr="00D4419A" w:rsidRDefault="008E7FC3" w:rsidP="00177648">
            <w:pPr>
              <w:pStyle w:val="TableBody"/>
              <w:spacing w:before="45" w:after="45"/>
              <w:ind w:right="108"/>
              <w:jc w:val="right"/>
            </w:pPr>
            <w:r w:rsidRPr="00AF6FCE">
              <w:t>16,900</w:t>
            </w:r>
          </w:p>
        </w:tc>
      </w:tr>
      <w:tr w:rsidR="008E7FC3" w:rsidRPr="00030C67" w14:paraId="3C6625A2" w14:textId="77777777" w:rsidTr="00177648">
        <w:tc>
          <w:tcPr>
            <w:tcW w:w="2694" w:type="dxa"/>
            <w:tcBorders>
              <w:bottom w:val="nil"/>
            </w:tcBorders>
            <w:shd w:val="clear" w:color="000000" w:fill="auto"/>
          </w:tcPr>
          <w:p w14:paraId="02B714D7"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44A71DAC" w14:textId="77777777" w:rsidR="008E7FC3" w:rsidRDefault="008E7FC3" w:rsidP="00177648">
            <w:pPr>
              <w:pStyle w:val="TableBody"/>
              <w:spacing w:before="45" w:after="45"/>
              <w:ind w:right="108"/>
              <w:jc w:val="right"/>
              <w:rPr>
                <w:rFonts w:ascii="Arial (Body)" w:hAnsi="Arial (Body)"/>
                <w:color w:val="000000"/>
              </w:rPr>
            </w:pPr>
            <w:r w:rsidRPr="00AF6FCE">
              <w:t>700</w:t>
            </w:r>
          </w:p>
        </w:tc>
        <w:tc>
          <w:tcPr>
            <w:tcW w:w="1417" w:type="dxa"/>
            <w:tcBorders>
              <w:bottom w:val="nil"/>
            </w:tcBorders>
            <w:shd w:val="clear" w:color="000000" w:fill="auto"/>
          </w:tcPr>
          <w:p w14:paraId="5A2A37B6" w14:textId="77777777" w:rsidR="008E7FC3" w:rsidRDefault="008E7FC3" w:rsidP="00177648">
            <w:pPr>
              <w:pStyle w:val="TableBody"/>
              <w:spacing w:before="45" w:after="45"/>
              <w:ind w:right="108"/>
              <w:jc w:val="right"/>
              <w:rPr>
                <w:rFonts w:ascii="Arial (Body)" w:hAnsi="Arial (Body)"/>
                <w:color w:val="000000"/>
              </w:rPr>
            </w:pPr>
            <w:r w:rsidRPr="00AF6FCE">
              <w:t>7,300</w:t>
            </w:r>
          </w:p>
        </w:tc>
        <w:tc>
          <w:tcPr>
            <w:tcW w:w="1276" w:type="dxa"/>
            <w:tcBorders>
              <w:bottom w:val="nil"/>
            </w:tcBorders>
            <w:shd w:val="clear" w:color="000000" w:fill="auto"/>
          </w:tcPr>
          <w:p w14:paraId="20A82500" w14:textId="77777777" w:rsidR="008E7FC3" w:rsidRDefault="008E7FC3" w:rsidP="00177648">
            <w:pPr>
              <w:pStyle w:val="TableBody"/>
              <w:spacing w:before="45" w:after="45"/>
              <w:ind w:right="108"/>
              <w:jc w:val="right"/>
              <w:rPr>
                <w:rFonts w:ascii="Arial (Body)" w:hAnsi="Arial (Body)"/>
                <w:color w:val="000000"/>
              </w:rPr>
            </w:pPr>
            <w:r w:rsidRPr="00AF6FCE">
              <w:t>10,800</w:t>
            </w:r>
          </w:p>
        </w:tc>
        <w:tc>
          <w:tcPr>
            <w:tcW w:w="1417" w:type="dxa"/>
            <w:tcBorders>
              <w:bottom w:val="nil"/>
            </w:tcBorders>
            <w:shd w:val="clear" w:color="000000" w:fill="auto"/>
          </w:tcPr>
          <w:p w14:paraId="6DA02958" w14:textId="77777777" w:rsidR="008E7FC3" w:rsidRDefault="008E7FC3" w:rsidP="00177648">
            <w:pPr>
              <w:pStyle w:val="TableBody"/>
              <w:spacing w:before="45" w:after="45"/>
              <w:ind w:right="108"/>
              <w:jc w:val="right"/>
              <w:rPr>
                <w:rFonts w:ascii="Arial (Body)" w:hAnsi="Arial (Body)"/>
                <w:color w:val="000000"/>
              </w:rPr>
            </w:pPr>
            <w:r w:rsidRPr="00AF6FCE">
              <w:t>26,700</w:t>
            </w:r>
          </w:p>
        </w:tc>
        <w:tc>
          <w:tcPr>
            <w:tcW w:w="1417" w:type="dxa"/>
            <w:tcBorders>
              <w:bottom w:val="nil"/>
            </w:tcBorders>
            <w:shd w:val="clear" w:color="000000" w:fill="auto"/>
          </w:tcPr>
          <w:p w14:paraId="345F0596" w14:textId="77777777" w:rsidR="008E7FC3" w:rsidRPr="00D4419A" w:rsidRDefault="008E7FC3" w:rsidP="00177648">
            <w:pPr>
              <w:pStyle w:val="TableBody"/>
              <w:spacing w:before="45" w:after="45"/>
              <w:ind w:right="108"/>
              <w:jc w:val="right"/>
            </w:pPr>
            <w:r w:rsidRPr="00AF6FCE">
              <w:t>45,500</w:t>
            </w:r>
          </w:p>
        </w:tc>
      </w:tr>
      <w:tr w:rsidR="008E7FC3" w:rsidRPr="00030C67" w14:paraId="479AEBD0" w14:textId="77777777" w:rsidTr="00177648">
        <w:tc>
          <w:tcPr>
            <w:tcW w:w="2694" w:type="dxa"/>
            <w:tcBorders>
              <w:top w:val="nil"/>
              <w:bottom w:val="nil"/>
            </w:tcBorders>
            <w:shd w:val="clear" w:color="000000" w:fill="F2F2F2"/>
          </w:tcPr>
          <w:p w14:paraId="35BE7F09"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681C452C" w14:textId="77777777" w:rsidR="008E7FC3" w:rsidRDefault="008E7FC3" w:rsidP="00177648">
            <w:pPr>
              <w:pStyle w:val="TableBody"/>
              <w:spacing w:before="45" w:after="45"/>
              <w:ind w:right="108"/>
              <w:jc w:val="right"/>
              <w:rPr>
                <w:rFonts w:ascii="Arial (Body)" w:hAnsi="Arial (Body)"/>
                <w:color w:val="000000"/>
              </w:rPr>
            </w:pPr>
            <w:r w:rsidRPr="00AF6FCE">
              <w:t>14,200</w:t>
            </w:r>
          </w:p>
        </w:tc>
        <w:tc>
          <w:tcPr>
            <w:tcW w:w="1417" w:type="dxa"/>
            <w:tcBorders>
              <w:top w:val="nil"/>
              <w:bottom w:val="nil"/>
            </w:tcBorders>
            <w:shd w:val="clear" w:color="000000" w:fill="F2F2F2"/>
          </w:tcPr>
          <w:p w14:paraId="1F969F13" w14:textId="77777777" w:rsidR="008E7FC3" w:rsidRDefault="008E7FC3" w:rsidP="00177648">
            <w:pPr>
              <w:pStyle w:val="TableBody"/>
              <w:spacing w:before="45" w:after="45"/>
              <w:ind w:right="108"/>
              <w:jc w:val="right"/>
              <w:rPr>
                <w:rFonts w:ascii="Arial (Body)" w:hAnsi="Arial (Body)"/>
                <w:color w:val="000000"/>
              </w:rPr>
            </w:pPr>
            <w:r w:rsidRPr="00AF6FCE">
              <w:t>12,100</w:t>
            </w:r>
          </w:p>
        </w:tc>
        <w:tc>
          <w:tcPr>
            <w:tcW w:w="1276" w:type="dxa"/>
            <w:tcBorders>
              <w:top w:val="nil"/>
              <w:bottom w:val="nil"/>
            </w:tcBorders>
            <w:shd w:val="clear" w:color="000000" w:fill="F2F2F2"/>
          </w:tcPr>
          <w:p w14:paraId="70615991" w14:textId="77777777" w:rsidR="008E7FC3" w:rsidRDefault="008E7FC3" w:rsidP="00177648">
            <w:pPr>
              <w:pStyle w:val="TableBody"/>
              <w:spacing w:before="45" w:after="45"/>
              <w:ind w:right="108"/>
              <w:jc w:val="right"/>
              <w:rPr>
                <w:rFonts w:ascii="Arial (Body)" w:hAnsi="Arial (Body)"/>
                <w:color w:val="000000"/>
              </w:rPr>
            </w:pPr>
            <w:r w:rsidRPr="00AF6FCE">
              <w:t>12,900</w:t>
            </w:r>
          </w:p>
        </w:tc>
        <w:tc>
          <w:tcPr>
            <w:tcW w:w="1417" w:type="dxa"/>
            <w:tcBorders>
              <w:top w:val="nil"/>
              <w:bottom w:val="nil"/>
            </w:tcBorders>
            <w:shd w:val="clear" w:color="000000" w:fill="F2F2F2"/>
          </w:tcPr>
          <w:p w14:paraId="61B5FC52" w14:textId="77777777" w:rsidR="008E7FC3" w:rsidRDefault="008E7FC3" w:rsidP="00177648">
            <w:pPr>
              <w:pStyle w:val="TableBody"/>
              <w:spacing w:before="45" w:after="45"/>
              <w:ind w:right="108"/>
              <w:jc w:val="right"/>
              <w:rPr>
                <w:rFonts w:ascii="Arial (Body)" w:hAnsi="Arial (Body)"/>
                <w:color w:val="000000"/>
              </w:rPr>
            </w:pPr>
            <w:r w:rsidRPr="00AF6FCE">
              <w:t>29,900</w:t>
            </w:r>
          </w:p>
        </w:tc>
        <w:tc>
          <w:tcPr>
            <w:tcW w:w="1417" w:type="dxa"/>
            <w:tcBorders>
              <w:top w:val="nil"/>
              <w:bottom w:val="nil"/>
            </w:tcBorders>
            <w:shd w:val="clear" w:color="000000" w:fill="F2F2F2"/>
          </w:tcPr>
          <w:p w14:paraId="1D9DBE51" w14:textId="77777777" w:rsidR="008E7FC3" w:rsidRPr="00D4419A" w:rsidRDefault="008E7FC3" w:rsidP="00177648">
            <w:pPr>
              <w:pStyle w:val="TableBody"/>
              <w:spacing w:before="45" w:after="45"/>
              <w:ind w:right="108"/>
              <w:jc w:val="right"/>
            </w:pPr>
            <w:r w:rsidRPr="00AF6FCE">
              <w:t>69,100</w:t>
            </w:r>
          </w:p>
        </w:tc>
      </w:tr>
      <w:tr w:rsidR="008E7FC3" w:rsidRPr="00030C67" w14:paraId="52CB5154" w14:textId="77777777" w:rsidTr="00177648">
        <w:tc>
          <w:tcPr>
            <w:tcW w:w="2694" w:type="dxa"/>
            <w:tcBorders>
              <w:bottom w:val="single" w:sz="4" w:space="0" w:color="B3B3B3"/>
            </w:tcBorders>
            <w:shd w:val="clear" w:color="000000" w:fill="auto"/>
          </w:tcPr>
          <w:p w14:paraId="1D5561DB"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6F97D97C" w14:textId="77777777" w:rsidR="008E7FC3" w:rsidRDefault="008E7FC3" w:rsidP="00177648">
            <w:pPr>
              <w:pStyle w:val="TableBody"/>
              <w:spacing w:before="45" w:after="45"/>
              <w:ind w:right="108"/>
              <w:jc w:val="right"/>
              <w:rPr>
                <w:rFonts w:ascii="Arial (Body)" w:hAnsi="Arial (Body)"/>
                <w:color w:val="000000"/>
              </w:rPr>
            </w:pPr>
            <w:r w:rsidRPr="00AF6FCE">
              <w:t>26,700</w:t>
            </w:r>
          </w:p>
        </w:tc>
        <w:tc>
          <w:tcPr>
            <w:tcW w:w="1417" w:type="dxa"/>
            <w:tcBorders>
              <w:bottom w:val="single" w:sz="4" w:space="0" w:color="B3B3B3"/>
            </w:tcBorders>
            <w:shd w:val="clear" w:color="000000" w:fill="auto"/>
          </w:tcPr>
          <w:p w14:paraId="2F7F5C77" w14:textId="77777777" w:rsidR="008E7FC3" w:rsidRDefault="008E7FC3" w:rsidP="00177648">
            <w:pPr>
              <w:pStyle w:val="TableBody"/>
              <w:spacing w:before="45" w:after="45"/>
              <w:ind w:right="108"/>
              <w:jc w:val="right"/>
              <w:rPr>
                <w:rFonts w:ascii="Arial (Body)" w:hAnsi="Arial (Body)"/>
                <w:color w:val="000000"/>
              </w:rPr>
            </w:pPr>
            <w:r w:rsidRPr="00AF6FCE">
              <w:t>16,000</w:t>
            </w:r>
          </w:p>
        </w:tc>
        <w:tc>
          <w:tcPr>
            <w:tcW w:w="1276" w:type="dxa"/>
            <w:tcBorders>
              <w:bottom w:val="single" w:sz="4" w:space="0" w:color="B3B3B3"/>
            </w:tcBorders>
            <w:shd w:val="clear" w:color="000000" w:fill="auto"/>
          </w:tcPr>
          <w:p w14:paraId="440B02CB" w14:textId="77777777" w:rsidR="008E7FC3" w:rsidRDefault="008E7FC3" w:rsidP="00177648">
            <w:pPr>
              <w:pStyle w:val="TableBody"/>
              <w:spacing w:before="45" w:after="45"/>
              <w:ind w:right="108"/>
              <w:jc w:val="right"/>
              <w:rPr>
                <w:rFonts w:ascii="Arial (Body)" w:hAnsi="Arial (Body)"/>
                <w:color w:val="000000"/>
              </w:rPr>
            </w:pPr>
            <w:r w:rsidRPr="00AF6FCE">
              <w:t>12,900</w:t>
            </w:r>
          </w:p>
        </w:tc>
        <w:tc>
          <w:tcPr>
            <w:tcW w:w="1417" w:type="dxa"/>
            <w:tcBorders>
              <w:bottom w:val="single" w:sz="4" w:space="0" w:color="B3B3B3"/>
            </w:tcBorders>
            <w:shd w:val="clear" w:color="000000" w:fill="auto"/>
          </w:tcPr>
          <w:p w14:paraId="7576FD1C" w14:textId="77777777" w:rsidR="008E7FC3" w:rsidRDefault="008E7FC3" w:rsidP="00177648">
            <w:pPr>
              <w:pStyle w:val="TableBody"/>
              <w:spacing w:before="45" w:after="45"/>
              <w:ind w:right="108"/>
              <w:jc w:val="right"/>
              <w:rPr>
                <w:rFonts w:ascii="Arial (Body)" w:hAnsi="Arial (Body)"/>
                <w:color w:val="000000"/>
              </w:rPr>
            </w:pPr>
            <w:r w:rsidRPr="00AF6FCE">
              <w:t>29,900</w:t>
            </w:r>
          </w:p>
        </w:tc>
        <w:tc>
          <w:tcPr>
            <w:tcW w:w="1417" w:type="dxa"/>
            <w:tcBorders>
              <w:bottom w:val="single" w:sz="4" w:space="0" w:color="B3B3B3"/>
            </w:tcBorders>
            <w:shd w:val="clear" w:color="000000" w:fill="auto"/>
          </w:tcPr>
          <w:p w14:paraId="70D9136E" w14:textId="77777777" w:rsidR="008E7FC3" w:rsidRPr="00D4419A" w:rsidRDefault="008E7FC3" w:rsidP="00177648">
            <w:pPr>
              <w:pStyle w:val="TableBody"/>
              <w:spacing w:before="45" w:after="45"/>
              <w:ind w:right="108"/>
              <w:jc w:val="right"/>
            </w:pPr>
            <w:r w:rsidRPr="00AF6FCE">
              <w:t>85,500</w:t>
            </w:r>
          </w:p>
        </w:tc>
      </w:tr>
    </w:tbl>
    <w:p w14:paraId="5CFBF2C8" w14:textId="77777777" w:rsidR="008E7FC3" w:rsidRDefault="008E7FC3" w:rsidP="008E7FC3">
      <w:pPr>
        <w:pStyle w:val="Note"/>
      </w:pPr>
      <w:r w:rsidRPr="00C36914">
        <w:rPr>
          <w:b/>
          <w:bCs/>
        </w:rPr>
        <w:t>a.</w:t>
      </w:r>
      <w:r w:rsidRPr="00C36914">
        <w:t xml:space="preserve"> </w:t>
      </w:r>
      <w:r>
        <w:t xml:space="preserve">This table presents the </w:t>
      </w:r>
      <w:r w:rsidRPr="00BC0741">
        <w:rPr>
          <w:i/>
          <w:iCs/>
        </w:rPr>
        <w:t>number</w:t>
      </w:r>
      <w:r>
        <w:t xml:space="preserve"> of children not the FTE of changes in ECEC demand hours</w:t>
      </w:r>
      <w:r w:rsidRPr="00C36914">
        <w:t>.</w:t>
      </w:r>
    </w:p>
    <w:p w14:paraId="489DD8BE"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6A90D50D" w14:textId="77777777" w:rsidR="008E7FC3" w:rsidRPr="00A80C1A" w:rsidRDefault="008E7FC3" w:rsidP="008E7FC3">
      <w:pPr>
        <w:pStyle w:val="BodyText"/>
      </w:pPr>
      <w:r w:rsidRPr="00A80C1A">
        <w:br w:type="page"/>
      </w:r>
    </w:p>
    <w:p w14:paraId="514A405E" w14:textId="77777777" w:rsidR="008E7FC3" w:rsidRDefault="008E7FC3" w:rsidP="008E7FC3">
      <w:pPr>
        <w:pStyle w:val="FigureTableHeading"/>
      </w:pPr>
      <w:r>
        <w:lastRenderedPageBreak/>
        <w:t xml:space="preserve">Table </w:t>
      </w:r>
      <w:r>
        <w:rPr>
          <w:noProof/>
        </w:rPr>
        <w:t>G</w:t>
      </w:r>
      <w:r>
        <w:t>.21</w:t>
      </w:r>
      <w:r>
        <w:rPr>
          <w:noProof/>
        </w:rPr>
        <w:t xml:space="preserve"> – Net number of children increasing ECEC hours by income quartile</w:t>
      </w:r>
      <w:r w:rsidRPr="00EC0C27">
        <w:rPr>
          <w:vertAlign w:val="superscript"/>
        </w:rPr>
        <w:t>a</w:t>
      </w:r>
    </w:p>
    <w:p w14:paraId="28943E86" w14:textId="77777777" w:rsidR="008E7FC3" w:rsidRDefault="008E7FC3" w:rsidP="008E7FC3">
      <w:pPr>
        <w:pStyle w:val="FigureTableSubheading"/>
      </w:pPr>
      <w:r>
        <w:t>Modelled estimates, 2023</w:t>
      </w:r>
      <w:r>
        <w:noBreakHyphen/>
        <w:t>24</w:t>
      </w:r>
    </w:p>
    <w:tbl>
      <w:tblPr>
        <w:tblW w:w="935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134"/>
        <w:gridCol w:w="1417"/>
        <w:gridCol w:w="1276"/>
        <w:gridCol w:w="1417"/>
        <w:gridCol w:w="1417"/>
      </w:tblGrid>
      <w:tr w:rsidR="008E7FC3" w:rsidRPr="00030C67" w14:paraId="4E483B51" w14:textId="77777777" w:rsidTr="00177648">
        <w:trPr>
          <w:tblHeader/>
        </w:trPr>
        <w:tc>
          <w:tcPr>
            <w:tcW w:w="2694" w:type="dxa"/>
            <w:tcBorders>
              <w:bottom w:val="single" w:sz="4" w:space="0" w:color="B3B3B3"/>
            </w:tcBorders>
            <w:shd w:val="clear" w:color="000000" w:fill="auto"/>
          </w:tcPr>
          <w:p w14:paraId="5A2F757E"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134" w:type="dxa"/>
            <w:tcBorders>
              <w:bottom w:val="single" w:sz="4" w:space="0" w:color="B3B3B3"/>
            </w:tcBorders>
            <w:shd w:val="clear" w:color="000000" w:fill="auto"/>
          </w:tcPr>
          <w:p w14:paraId="69BB424E" w14:textId="77777777" w:rsidR="008E7FC3" w:rsidRPr="00030C67" w:rsidRDefault="008E7FC3" w:rsidP="00177648">
            <w:pPr>
              <w:pStyle w:val="TableHeading"/>
              <w:jc w:val="right"/>
            </w:pPr>
            <w:r>
              <w:t>First income quartile</w:t>
            </w:r>
          </w:p>
        </w:tc>
        <w:tc>
          <w:tcPr>
            <w:tcW w:w="1417" w:type="dxa"/>
            <w:tcBorders>
              <w:bottom w:val="single" w:sz="4" w:space="0" w:color="B3B3B3"/>
            </w:tcBorders>
            <w:shd w:val="clear" w:color="000000" w:fill="auto"/>
          </w:tcPr>
          <w:p w14:paraId="4FEB9AE1" w14:textId="77777777" w:rsidR="008E7FC3" w:rsidRPr="00030C67" w:rsidRDefault="008E7FC3" w:rsidP="00177648">
            <w:pPr>
              <w:pStyle w:val="TableHeading"/>
              <w:jc w:val="right"/>
            </w:pPr>
            <w:r>
              <w:t>Second income quartile</w:t>
            </w:r>
          </w:p>
        </w:tc>
        <w:tc>
          <w:tcPr>
            <w:tcW w:w="1276" w:type="dxa"/>
            <w:tcBorders>
              <w:bottom w:val="single" w:sz="4" w:space="0" w:color="B3B3B3"/>
            </w:tcBorders>
            <w:shd w:val="clear" w:color="000000" w:fill="auto"/>
          </w:tcPr>
          <w:p w14:paraId="1CA17CD6" w14:textId="77777777" w:rsidR="008E7FC3" w:rsidRPr="00030C67" w:rsidRDefault="008E7FC3" w:rsidP="00177648">
            <w:pPr>
              <w:pStyle w:val="TableHeading"/>
              <w:jc w:val="right"/>
            </w:pPr>
            <w:r>
              <w:t>Third income quartile</w:t>
            </w:r>
          </w:p>
        </w:tc>
        <w:tc>
          <w:tcPr>
            <w:tcW w:w="1417" w:type="dxa"/>
            <w:tcBorders>
              <w:bottom w:val="single" w:sz="4" w:space="0" w:color="B3B3B3"/>
            </w:tcBorders>
            <w:shd w:val="clear" w:color="000000" w:fill="auto"/>
          </w:tcPr>
          <w:p w14:paraId="7A3EE213" w14:textId="77777777" w:rsidR="008E7FC3" w:rsidRPr="00030C67" w:rsidRDefault="008E7FC3" w:rsidP="00177648">
            <w:pPr>
              <w:pStyle w:val="TableHeading"/>
              <w:jc w:val="right"/>
            </w:pPr>
            <w:r>
              <w:t>Fourth income quartile</w:t>
            </w:r>
          </w:p>
        </w:tc>
        <w:tc>
          <w:tcPr>
            <w:tcW w:w="1417" w:type="dxa"/>
            <w:tcBorders>
              <w:bottom w:val="single" w:sz="4" w:space="0" w:color="B3B3B3"/>
            </w:tcBorders>
            <w:shd w:val="clear" w:color="000000" w:fill="auto"/>
          </w:tcPr>
          <w:p w14:paraId="5973E5EB" w14:textId="77777777" w:rsidR="008E7FC3" w:rsidRDefault="008E7FC3" w:rsidP="00177648">
            <w:pPr>
              <w:pStyle w:val="TableHeading"/>
              <w:jc w:val="right"/>
            </w:pPr>
            <w:r>
              <w:t>Overall</w:t>
            </w:r>
          </w:p>
        </w:tc>
      </w:tr>
      <w:tr w:rsidR="008E7FC3" w:rsidRPr="00030C67" w14:paraId="59AA20E9" w14:textId="77777777" w:rsidTr="00177648">
        <w:tc>
          <w:tcPr>
            <w:tcW w:w="2694" w:type="dxa"/>
            <w:tcBorders>
              <w:top w:val="single" w:sz="4" w:space="0" w:color="B3B3B3"/>
              <w:bottom w:val="nil"/>
            </w:tcBorders>
            <w:shd w:val="clear" w:color="000000" w:fill="F2F2F2"/>
          </w:tcPr>
          <w:p w14:paraId="44186F30"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134" w:type="dxa"/>
            <w:tcBorders>
              <w:top w:val="single" w:sz="4" w:space="0" w:color="B3B3B3"/>
              <w:bottom w:val="nil"/>
            </w:tcBorders>
            <w:shd w:val="clear" w:color="000000" w:fill="F2F2F2"/>
          </w:tcPr>
          <w:p w14:paraId="786E5954" w14:textId="77777777" w:rsidR="008E7FC3" w:rsidRPr="00030C67" w:rsidRDefault="008E7FC3" w:rsidP="00177648">
            <w:pPr>
              <w:pStyle w:val="TableBody"/>
              <w:spacing w:before="45" w:after="45"/>
              <w:ind w:right="108"/>
              <w:jc w:val="right"/>
              <w:rPr>
                <w:rFonts w:ascii="Arial (Body)" w:hAnsi="Arial (Body)"/>
                <w:color w:val="000000"/>
              </w:rPr>
            </w:pPr>
            <w:r w:rsidRPr="001B6387">
              <w:t>8,400</w:t>
            </w:r>
          </w:p>
        </w:tc>
        <w:tc>
          <w:tcPr>
            <w:tcW w:w="1417" w:type="dxa"/>
            <w:tcBorders>
              <w:top w:val="single" w:sz="4" w:space="0" w:color="B3B3B3"/>
              <w:bottom w:val="nil"/>
            </w:tcBorders>
            <w:shd w:val="clear" w:color="000000" w:fill="F2F2F2"/>
          </w:tcPr>
          <w:p w14:paraId="3C65E400" w14:textId="77777777" w:rsidR="008E7FC3" w:rsidRPr="00030C67" w:rsidRDefault="008E7FC3" w:rsidP="00177648">
            <w:pPr>
              <w:pStyle w:val="TableBody"/>
              <w:spacing w:before="45" w:after="45"/>
              <w:ind w:right="108"/>
              <w:jc w:val="right"/>
              <w:rPr>
                <w:rFonts w:ascii="Arial (Body)" w:hAnsi="Arial (Body)"/>
                <w:color w:val="000000"/>
              </w:rPr>
            </w:pPr>
            <w:r w:rsidRPr="001B6387">
              <w:t>5,400</w:t>
            </w:r>
          </w:p>
        </w:tc>
        <w:tc>
          <w:tcPr>
            <w:tcW w:w="1276" w:type="dxa"/>
            <w:tcBorders>
              <w:top w:val="single" w:sz="4" w:space="0" w:color="B3B3B3"/>
              <w:bottom w:val="nil"/>
            </w:tcBorders>
            <w:shd w:val="clear" w:color="000000" w:fill="F2F2F2"/>
          </w:tcPr>
          <w:p w14:paraId="2BE8B0D6" w14:textId="77777777" w:rsidR="008E7FC3" w:rsidRDefault="008E7FC3" w:rsidP="00177648">
            <w:pPr>
              <w:pStyle w:val="TableBody"/>
              <w:spacing w:before="45" w:after="45"/>
              <w:ind w:right="108"/>
              <w:jc w:val="right"/>
              <w:rPr>
                <w:rFonts w:ascii="Arial (Body)" w:hAnsi="Arial (Body)"/>
                <w:color w:val="000000"/>
              </w:rPr>
            </w:pPr>
            <w:r w:rsidRPr="001B6387">
              <w:t>1,100</w:t>
            </w:r>
          </w:p>
        </w:tc>
        <w:tc>
          <w:tcPr>
            <w:tcW w:w="1417" w:type="dxa"/>
            <w:tcBorders>
              <w:top w:val="single" w:sz="4" w:space="0" w:color="B3B3B3"/>
              <w:bottom w:val="nil"/>
            </w:tcBorders>
            <w:shd w:val="clear" w:color="000000" w:fill="F2F2F2"/>
          </w:tcPr>
          <w:p w14:paraId="18D4DD9B" w14:textId="77777777" w:rsidR="008E7FC3" w:rsidRDefault="008E7FC3" w:rsidP="00177648">
            <w:pPr>
              <w:pStyle w:val="TableBody"/>
              <w:spacing w:before="45" w:after="45"/>
              <w:ind w:right="108"/>
              <w:jc w:val="right"/>
              <w:rPr>
                <w:rFonts w:ascii="Arial (Body)" w:hAnsi="Arial (Body)"/>
                <w:color w:val="000000"/>
              </w:rPr>
            </w:pPr>
            <w:r w:rsidRPr="001B6387">
              <w:t>1,400</w:t>
            </w:r>
          </w:p>
        </w:tc>
        <w:tc>
          <w:tcPr>
            <w:tcW w:w="1417" w:type="dxa"/>
            <w:tcBorders>
              <w:top w:val="single" w:sz="4" w:space="0" w:color="B3B3B3"/>
              <w:bottom w:val="nil"/>
            </w:tcBorders>
            <w:shd w:val="clear" w:color="000000" w:fill="F2F2F2"/>
          </w:tcPr>
          <w:p w14:paraId="3946514F" w14:textId="77777777" w:rsidR="008E7FC3" w:rsidRPr="00D4419A" w:rsidRDefault="008E7FC3" w:rsidP="00177648">
            <w:pPr>
              <w:pStyle w:val="TableBody"/>
              <w:spacing w:before="45" w:after="45"/>
              <w:ind w:right="108"/>
              <w:jc w:val="right"/>
            </w:pPr>
            <w:r w:rsidRPr="001B6387">
              <w:t>16,300</w:t>
            </w:r>
          </w:p>
        </w:tc>
      </w:tr>
      <w:tr w:rsidR="008E7FC3" w:rsidRPr="00030C67" w14:paraId="55519435" w14:textId="77777777" w:rsidTr="00177648">
        <w:tc>
          <w:tcPr>
            <w:tcW w:w="2694" w:type="dxa"/>
            <w:tcBorders>
              <w:top w:val="nil"/>
              <w:bottom w:val="nil"/>
            </w:tcBorders>
            <w:shd w:val="clear" w:color="000000" w:fill="auto"/>
          </w:tcPr>
          <w:p w14:paraId="6EBD62FC"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134" w:type="dxa"/>
            <w:tcBorders>
              <w:top w:val="nil"/>
              <w:bottom w:val="nil"/>
            </w:tcBorders>
            <w:shd w:val="clear" w:color="000000" w:fill="auto"/>
          </w:tcPr>
          <w:p w14:paraId="728B3D4D" w14:textId="77777777" w:rsidR="008E7FC3" w:rsidRPr="00030C67" w:rsidRDefault="008E7FC3" w:rsidP="00177648">
            <w:pPr>
              <w:pStyle w:val="TableBody"/>
              <w:spacing w:before="45" w:after="45"/>
              <w:ind w:right="108"/>
              <w:jc w:val="right"/>
              <w:rPr>
                <w:rFonts w:ascii="Arial (Body)" w:hAnsi="Arial (Body)"/>
                <w:color w:val="000000"/>
              </w:rPr>
            </w:pPr>
            <w:r w:rsidRPr="001B6387">
              <w:t>1,800</w:t>
            </w:r>
          </w:p>
        </w:tc>
        <w:tc>
          <w:tcPr>
            <w:tcW w:w="1417" w:type="dxa"/>
            <w:tcBorders>
              <w:top w:val="nil"/>
              <w:bottom w:val="nil"/>
            </w:tcBorders>
            <w:shd w:val="clear" w:color="000000" w:fill="auto"/>
          </w:tcPr>
          <w:p w14:paraId="62BBB891" w14:textId="77777777" w:rsidR="008E7FC3" w:rsidRPr="00030C67" w:rsidRDefault="008E7FC3" w:rsidP="00177648">
            <w:pPr>
              <w:pStyle w:val="TableBody"/>
              <w:spacing w:before="45" w:after="45"/>
              <w:ind w:right="108"/>
              <w:jc w:val="right"/>
              <w:rPr>
                <w:rFonts w:ascii="Arial (Body)" w:hAnsi="Arial (Body)"/>
                <w:color w:val="000000"/>
              </w:rPr>
            </w:pPr>
            <w:r w:rsidRPr="001B6387">
              <w:t>4,300</w:t>
            </w:r>
          </w:p>
        </w:tc>
        <w:tc>
          <w:tcPr>
            <w:tcW w:w="1276" w:type="dxa"/>
            <w:tcBorders>
              <w:top w:val="nil"/>
              <w:bottom w:val="nil"/>
            </w:tcBorders>
            <w:shd w:val="clear" w:color="000000" w:fill="auto"/>
          </w:tcPr>
          <w:p w14:paraId="56A48DC8" w14:textId="77777777" w:rsidR="008E7FC3" w:rsidRDefault="008E7FC3" w:rsidP="00177648">
            <w:pPr>
              <w:pStyle w:val="TableBody"/>
              <w:spacing w:before="45" w:after="45"/>
              <w:ind w:right="108"/>
              <w:jc w:val="right"/>
              <w:rPr>
                <w:rFonts w:ascii="Arial (Body)" w:hAnsi="Arial (Body)"/>
                <w:color w:val="000000"/>
              </w:rPr>
            </w:pPr>
            <w:r w:rsidRPr="001B6387">
              <w:t>1,100</w:t>
            </w:r>
          </w:p>
        </w:tc>
        <w:tc>
          <w:tcPr>
            <w:tcW w:w="1417" w:type="dxa"/>
            <w:tcBorders>
              <w:top w:val="nil"/>
              <w:bottom w:val="nil"/>
            </w:tcBorders>
            <w:shd w:val="clear" w:color="000000" w:fill="auto"/>
          </w:tcPr>
          <w:p w14:paraId="01E01C35" w14:textId="77777777" w:rsidR="008E7FC3" w:rsidRDefault="008E7FC3" w:rsidP="00177648">
            <w:pPr>
              <w:pStyle w:val="TableBody"/>
              <w:spacing w:before="45" w:after="45"/>
              <w:ind w:right="108"/>
              <w:jc w:val="right"/>
              <w:rPr>
                <w:rFonts w:ascii="Arial (Body)" w:hAnsi="Arial (Body)"/>
                <w:color w:val="000000"/>
              </w:rPr>
            </w:pPr>
            <w:r w:rsidRPr="001B6387">
              <w:t>1,500</w:t>
            </w:r>
          </w:p>
        </w:tc>
        <w:tc>
          <w:tcPr>
            <w:tcW w:w="1417" w:type="dxa"/>
            <w:tcBorders>
              <w:top w:val="nil"/>
              <w:bottom w:val="nil"/>
            </w:tcBorders>
            <w:shd w:val="clear" w:color="000000" w:fill="auto"/>
          </w:tcPr>
          <w:p w14:paraId="0DA6DBF9" w14:textId="77777777" w:rsidR="008E7FC3" w:rsidRPr="00D4419A" w:rsidRDefault="008E7FC3" w:rsidP="00177648">
            <w:pPr>
              <w:pStyle w:val="TableBody"/>
              <w:spacing w:before="45" w:after="45"/>
              <w:ind w:right="108"/>
              <w:jc w:val="right"/>
            </w:pPr>
            <w:r w:rsidRPr="001B6387">
              <w:t>8,700</w:t>
            </w:r>
          </w:p>
        </w:tc>
      </w:tr>
      <w:tr w:rsidR="008E7FC3" w:rsidRPr="00030C67" w14:paraId="5C1DB356" w14:textId="77777777" w:rsidTr="00177648">
        <w:tc>
          <w:tcPr>
            <w:tcW w:w="2694" w:type="dxa"/>
            <w:tcBorders>
              <w:bottom w:val="nil"/>
            </w:tcBorders>
            <w:shd w:val="clear" w:color="000000" w:fill="F2F2F2"/>
          </w:tcPr>
          <w:p w14:paraId="35AFA14D" w14:textId="77777777" w:rsidR="008E7FC3" w:rsidRPr="00030C67" w:rsidRDefault="008E7FC3" w:rsidP="00177648">
            <w:pPr>
              <w:pStyle w:val="TableHeading"/>
            </w:pPr>
            <w:r w:rsidRPr="00F04A20">
              <w:t>3: Abolish the activity test for all families and retain income testing</w:t>
            </w:r>
          </w:p>
        </w:tc>
        <w:tc>
          <w:tcPr>
            <w:tcW w:w="1134" w:type="dxa"/>
            <w:tcBorders>
              <w:bottom w:val="nil"/>
            </w:tcBorders>
            <w:shd w:val="clear" w:color="000000" w:fill="F2F2F2"/>
          </w:tcPr>
          <w:p w14:paraId="2DCBDDF7" w14:textId="77777777" w:rsidR="008E7FC3" w:rsidRPr="00030C67" w:rsidRDefault="008E7FC3" w:rsidP="00177648">
            <w:pPr>
              <w:pStyle w:val="TableBody"/>
              <w:spacing w:before="45" w:after="45"/>
              <w:ind w:right="108"/>
              <w:jc w:val="right"/>
              <w:rPr>
                <w:rFonts w:ascii="Arial (Body)" w:hAnsi="Arial (Body)"/>
                <w:color w:val="000000"/>
              </w:rPr>
            </w:pPr>
            <w:r w:rsidRPr="001B6387">
              <w:t>6,000</w:t>
            </w:r>
          </w:p>
        </w:tc>
        <w:tc>
          <w:tcPr>
            <w:tcW w:w="1417" w:type="dxa"/>
            <w:tcBorders>
              <w:bottom w:val="nil"/>
            </w:tcBorders>
            <w:shd w:val="clear" w:color="000000" w:fill="F2F2F2"/>
          </w:tcPr>
          <w:p w14:paraId="010F2227" w14:textId="77777777" w:rsidR="008E7FC3" w:rsidRPr="00030C67" w:rsidRDefault="008E7FC3" w:rsidP="00177648">
            <w:pPr>
              <w:pStyle w:val="TableBody"/>
              <w:spacing w:before="45" w:after="45"/>
              <w:ind w:right="108"/>
              <w:jc w:val="right"/>
              <w:rPr>
                <w:rFonts w:ascii="Arial (Body)" w:hAnsi="Arial (Body)"/>
                <w:color w:val="000000"/>
              </w:rPr>
            </w:pPr>
            <w:r w:rsidRPr="001B6387">
              <w:t>700</w:t>
            </w:r>
          </w:p>
        </w:tc>
        <w:tc>
          <w:tcPr>
            <w:tcW w:w="1276" w:type="dxa"/>
            <w:tcBorders>
              <w:bottom w:val="nil"/>
            </w:tcBorders>
            <w:shd w:val="clear" w:color="000000" w:fill="F2F2F2"/>
          </w:tcPr>
          <w:p w14:paraId="3C9DE857" w14:textId="77777777" w:rsidR="008E7FC3" w:rsidRDefault="008E7FC3" w:rsidP="00177648">
            <w:pPr>
              <w:pStyle w:val="TableBody"/>
              <w:spacing w:before="45" w:after="45"/>
              <w:ind w:right="108"/>
              <w:jc w:val="right"/>
              <w:rPr>
                <w:rFonts w:ascii="Arial (Body)" w:hAnsi="Arial (Body)"/>
                <w:color w:val="000000"/>
              </w:rPr>
            </w:pPr>
            <w:r w:rsidRPr="001B6387">
              <w:t>-100</w:t>
            </w:r>
          </w:p>
        </w:tc>
        <w:tc>
          <w:tcPr>
            <w:tcW w:w="1417" w:type="dxa"/>
            <w:tcBorders>
              <w:bottom w:val="nil"/>
            </w:tcBorders>
            <w:shd w:val="clear" w:color="000000" w:fill="F2F2F2"/>
          </w:tcPr>
          <w:p w14:paraId="10E737F6" w14:textId="77777777" w:rsidR="008E7FC3" w:rsidRDefault="008E7FC3" w:rsidP="00177648">
            <w:pPr>
              <w:pStyle w:val="TableBody"/>
              <w:spacing w:before="45" w:after="45"/>
              <w:ind w:right="108"/>
              <w:jc w:val="right"/>
              <w:rPr>
                <w:rFonts w:ascii="Arial (Body)" w:hAnsi="Arial (Body)"/>
                <w:color w:val="000000"/>
              </w:rPr>
            </w:pPr>
            <w:r w:rsidRPr="001B6387">
              <w:t>0</w:t>
            </w:r>
          </w:p>
        </w:tc>
        <w:tc>
          <w:tcPr>
            <w:tcW w:w="1417" w:type="dxa"/>
            <w:tcBorders>
              <w:bottom w:val="nil"/>
            </w:tcBorders>
            <w:shd w:val="clear" w:color="000000" w:fill="F2F2F2"/>
          </w:tcPr>
          <w:p w14:paraId="115A9BF5" w14:textId="77777777" w:rsidR="008E7FC3" w:rsidRPr="00D4419A" w:rsidRDefault="008E7FC3" w:rsidP="00177648">
            <w:pPr>
              <w:pStyle w:val="TableBody"/>
              <w:spacing w:before="45" w:after="45"/>
              <w:ind w:right="108"/>
              <w:jc w:val="right"/>
            </w:pPr>
            <w:r w:rsidRPr="001B6387">
              <w:t>6,600</w:t>
            </w:r>
          </w:p>
        </w:tc>
      </w:tr>
      <w:tr w:rsidR="008E7FC3" w:rsidRPr="00030C67" w14:paraId="5D45A0F4" w14:textId="77777777" w:rsidTr="00177648">
        <w:tc>
          <w:tcPr>
            <w:tcW w:w="2694" w:type="dxa"/>
            <w:tcBorders>
              <w:bottom w:val="nil"/>
            </w:tcBorders>
            <w:shd w:val="clear" w:color="000000" w:fill="auto"/>
          </w:tcPr>
          <w:p w14:paraId="7A75BFF5"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134" w:type="dxa"/>
            <w:tcBorders>
              <w:bottom w:val="nil"/>
            </w:tcBorders>
            <w:shd w:val="clear" w:color="000000" w:fill="auto"/>
          </w:tcPr>
          <w:p w14:paraId="1252126B" w14:textId="77777777" w:rsidR="008E7FC3" w:rsidRDefault="008E7FC3" w:rsidP="00177648">
            <w:pPr>
              <w:pStyle w:val="TableBody"/>
              <w:spacing w:before="45" w:after="45"/>
              <w:ind w:right="108"/>
              <w:jc w:val="right"/>
              <w:rPr>
                <w:rFonts w:ascii="Arial (Body)" w:hAnsi="Arial (Body)"/>
                <w:color w:val="000000"/>
              </w:rPr>
            </w:pPr>
            <w:r w:rsidRPr="001B6387">
              <w:t>6,300</w:t>
            </w:r>
          </w:p>
        </w:tc>
        <w:tc>
          <w:tcPr>
            <w:tcW w:w="1417" w:type="dxa"/>
            <w:tcBorders>
              <w:bottom w:val="nil"/>
            </w:tcBorders>
            <w:shd w:val="clear" w:color="000000" w:fill="auto"/>
          </w:tcPr>
          <w:p w14:paraId="71994273" w14:textId="77777777" w:rsidR="008E7FC3" w:rsidRDefault="008E7FC3" w:rsidP="00177648">
            <w:pPr>
              <w:pStyle w:val="TableBody"/>
              <w:spacing w:before="45" w:after="45"/>
              <w:ind w:right="108"/>
              <w:jc w:val="right"/>
              <w:rPr>
                <w:rFonts w:ascii="Arial (Body)" w:hAnsi="Arial (Body)"/>
                <w:color w:val="000000"/>
              </w:rPr>
            </w:pPr>
            <w:r w:rsidRPr="001B6387">
              <w:t>2,600</w:t>
            </w:r>
          </w:p>
        </w:tc>
        <w:tc>
          <w:tcPr>
            <w:tcW w:w="1276" w:type="dxa"/>
            <w:tcBorders>
              <w:bottom w:val="nil"/>
            </w:tcBorders>
            <w:shd w:val="clear" w:color="000000" w:fill="auto"/>
          </w:tcPr>
          <w:p w14:paraId="1F971CBB" w14:textId="77777777" w:rsidR="008E7FC3" w:rsidRDefault="008E7FC3" w:rsidP="00177648">
            <w:pPr>
              <w:pStyle w:val="TableBody"/>
              <w:spacing w:before="45" w:after="45"/>
              <w:ind w:right="108"/>
              <w:jc w:val="right"/>
              <w:rPr>
                <w:rFonts w:ascii="Arial (Body)" w:hAnsi="Arial (Body)"/>
                <w:color w:val="000000"/>
              </w:rPr>
            </w:pPr>
            <w:r w:rsidRPr="001B6387">
              <w:t>1,000</w:t>
            </w:r>
          </w:p>
        </w:tc>
        <w:tc>
          <w:tcPr>
            <w:tcW w:w="1417" w:type="dxa"/>
            <w:tcBorders>
              <w:bottom w:val="nil"/>
            </w:tcBorders>
            <w:shd w:val="clear" w:color="000000" w:fill="auto"/>
          </w:tcPr>
          <w:p w14:paraId="0335FB98" w14:textId="77777777" w:rsidR="008E7FC3" w:rsidRDefault="008E7FC3" w:rsidP="00177648">
            <w:pPr>
              <w:pStyle w:val="TableBody"/>
              <w:spacing w:before="45" w:after="45"/>
              <w:ind w:right="108"/>
              <w:jc w:val="right"/>
              <w:rPr>
                <w:rFonts w:ascii="Arial (Body)" w:hAnsi="Arial (Body)"/>
                <w:color w:val="000000"/>
              </w:rPr>
            </w:pPr>
            <w:r w:rsidRPr="001B6387">
              <w:t>1,300</w:t>
            </w:r>
          </w:p>
        </w:tc>
        <w:tc>
          <w:tcPr>
            <w:tcW w:w="1417" w:type="dxa"/>
            <w:tcBorders>
              <w:bottom w:val="nil"/>
            </w:tcBorders>
            <w:shd w:val="clear" w:color="000000" w:fill="auto"/>
          </w:tcPr>
          <w:p w14:paraId="49019889" w14:textId="77777777" w:rsidR="008E7FC3" w:rsidRPr="00D4419A" w:rsidRDefault="008E7FC3" w:rsidP="00177648">
            <w:pPr>
              <w:pStyle w:val="TableBody"/>
              <w:spacing w:before="45" w:after="45"/>
              <w:ind w:right="108"/>
              <w:jc w:val="right"/>
            </w:pPr>
            <w:r w:rsidRPr="001B6387">
              <w:t>11,200</w:t>
            </w:r>
          </w:p>
        </w:tc>
      </w:tr>
      <w:tr w:rsidR="008E7FC3" w:rsidRPr="00030C67" w14:paraId="1AEF8D17" w14:textId="77777777" w:rsidTr="00177648">
        <w:tc>
          <w:tcPr>
            <w:tcW w:w="2694" w:type="dxa"/>
            <w:tcBorders>
              <w:top w:val="nil"/>
              <w:bottom w:val="nil"/>
            </w:tcBorders>
            <w:shd w:val="clear" w:color="000000" w:fill="F2F2F2"/>
          </w:tcPr>
          <w:p w14:paraId="533C91AC" w14:textId="77777777" w:rsidR="008E7FC3" w:rsidRPr="00030C67" w:rsidRDefault="008E7FC3" w:rsidP="00177648">
            <w:pPr>
              <w:pStyle w:val="TableHeading"/>
            </w:pPr>
            <w:r>
              <w:t>4a</w:t>
            </w:r>
            <w:r w:rsidRPr="00F04A20">
              <w:t>: Relax the activity test for all families and retain income testing</w:t>
            </w:r>
          </w:p>
        </w:tc>
        <w:tc>
          <w:tcPr>
            <w:tcW w:w="1134" w:type="dxa"/>
            <w:tcBorders>
              <w:top w:val="nil"/>
              <w:bottom w:val="nil"/>
            </w:tcBorders>
            <w:shd w:val="clear" w:color="000000" w:fill="F2F2F2"/>
          </w:tcPr>
          <w:p w14:paraId="55AD55F0" w14:textId="77777777" w:rsidR="008E7FC3" w:rsidRDefault="008E7FC3" w:rsidP="00177648">
            <w:pPr>
              <w:pStyle w:val="TableBody"/>
              <w:spacing w:before="45" w:after="45"/>
              <w:ind w:right="108"/>
              <w:jc w:val="right"/>
              <w:rPr>
                <w:rFonts w:ascii="Arial (Body)" w:hAnsi="Arial (Body)"/>
                <w:color w:val="000000"/>
              </w:rPr>
            </w:pPr>
            <w:r w:rsidRPr="001B6387">
              <w:t>4,600</w:t>
            </w:r>
          </w:p>
        </w:tc>
        <w:tc>
          <w:tcPr>
            <w:tcW w:w="1417" w:type="dxa"/>
            <w:tcBorders>
              <w:top w:val="nil"/>
              <w:bottom w:val="nil"/>
            </w:tcBorders>
            <w:shd w:val="clear" w:color="000000" w:fill="F2F2F2"/>
          </w:tcPr>
          <w:p w14:paraId="75C6CBF3" w14:textId="77777777" w:rsidR="008E7FC3" w:rsidRDefault="008E7FC3" w:rsidP="00177648">
            <w:pPr>
              <w:pStyle w:val="TableBody"/>
              <w:spacing w:before="45" w:after="45"/>
              <w:ind w:right="108"/>
              <w:jc w:val="right"/>
              <w:rPr>
                <w:rFonts w:ascii="Arial (Body)" w:hAnsi="Arial (Body)"/>
                <w:color w:val="000000"/>
              </w:rPr>
            </w:pPr>
            <w:r w:rsidRPr="001B6387">
              <w:t>-1,200</w:t>
            </w:r>
          </w:p>
        </w:tc>
        <w:tc>
          <w:tcPr>
            <w:tcW w:w="1276" w:type="dxa"/>
            <w:tcBorders>
              <w:top w:val="nil"/>
              <w:bottom w:val="nil"/>
            </w:tcBorders>
            <w:shd w:val="clear" w:color="000000" w:fill="F2F2F2"/>
          </w:tcPr>
          <w:p w14:paraId="668B1B77" w14:textId="77777777" w:rsidR="008E7FC3" w:rsidRDefault="008E7FC3" w:rsidP="00177648">
            <w:pPr>
              <w:pStyle w:val="TableBody"/>
              <w:spacing w:before="45" w:after="45"/>
              <w:ind w:right="108"/>
              <w:jc w:val="right"/>
              <w:rPr>
                <w:rFonts w:ascii="Arial (Body)" w:hAnsi="Arial (Body)"/>
                <w:color w:val="000000"/>
              </w:rPr>
            </w:pPr>
            <w:r w:rsidRPr="001B6387">
              <w:t>-200</w:t>
            </w:r>
          </w:p>
        </w:tc>
        <w:tc>
          <w:tcPr>
            <w:tcW w:w="1417" w:type="dxa"/>
            <w:tcBorders>
              <w:top w:val="nil"/>
              <w:bottom w:val="nil"/>
            </w:tcBorders>
            <w:shd w:val="clear" w:color="000000" w:fill="F2F2F2"/>
          </w:tcPr>
          <w:p w14:paraId="01A99D8B" w14:textId="77777777" w:rsidR="008E7FC3" w:rsidRDefault="008E7FC3" w:rsidP="00177648">
            <w:pPr>
              <w:pStyle w:val="TableBody"/>
              <w:spacing w:before="45" w:after="45"/>
              <w:ind w:right="108"/>
              <w:jc w:val="right"/>
              <w:rPr>
                <w:rFonts w:ascii="Arial (Body)" w:hAnsi="Arial (Body)"/>
                <w:color w:val="000000"/>
              </w:rPr>
            </w:pPr>
            <w:r w:rsidRPr="001B6387">
              <w:t>-100</w:t>
            </w:r>
          </w:p>
        </w:tc>
        <w:tc>
          <w:tcPr>
            <w:tcW w:w="1417" w:type="dxa"/>
            <w:tcBorders>
              <w:top w:val="nil"/>
              <w:bottom w:val="nil"/>
            </w:tcBorders>
            <w:shd w:val="clear" w:color="000000" w:fill="F2F2F2"/>
          </w:tcPr>
          <w:p w14:paraId="630D93E4" w14:textId="77777777" w:rsidR="008E7FC3" w:rsidRPr="00D4419A" w:rsidRDefault="008E7FC3" w:rsidP="00177648">
            <w:pPr>
              <w:pStyle w:val="TableBody"/>
              <w:spacing w:before="45" w:after="45"/>
              <w:ind w:right="108"/>
              <w:jc w:val="right"/>
            </w:pPr>
            <w:r w:rsidRPr="001B6387">
              <w:t>3,100</w:t>
            </w:r>
          </w:p>
        </w:tc>
      </w:tr>
      <w:tr w:rsidR="008E7FC3" w:rsidRPr="00030C67" w14:paraId="7F03E2C4" w14:textId="77777777" w:rsidTr="00177648">
        <w:tc>
          <w:tcPr>
            <w:tcW w:w="2694" w:type="dxa"/>
            <w:tcBorders>
              <w:bottom w:val="nil"/>
            </w:tcBorders>
            <w:shd w:val="clear" w:color="000000" w:fill="auto"/>
          </w:tcPr>
          <w:p w14:paraId="73046293" w14:textId="77777777" w:rsidR="008E7FC3" w:rsidRPr="00030C67" w:rsidRDefault="008E7FC3" w:rsidP="00177648">
            <w:pPr>
              <w:pStyle w:val="TableHeading"/>
            </w:pPr>
            <w:r>
              <w:t>5</w:t>
            </w:r>
            <w:r w:rsidRPr="00F04A20">
              <w:t>: 90% subsidy rate for all families with activity test</w:t>
            </w:r>
          </w:p>
        </w:tc>
        <w:tc>
          <w:tcPr>
            <w:tcW w:w="1134" w:type="dxa"/>
            <w:tcBorders>
              <w:bottom w:val="nil"/>
            </w:tcBorders>
            <w:shd w:val="clear" w:color="000000" w:fill="auto"/>
          </w:tcPr>
          <w:p w14:paraId="0A469C97" w14:textId="77777777" w:rsidR="008E7FC3" w:rsidRDefault="008E7FC3" w:rsidP="00177648">
            <w:pPr>
              <w:pStyle w:val="TableBody"/>
              <w:spacing w:before="45" w:after="45"/>
              <w:ind w:right="108"/>
              <w:jc w:val="right"/>
              <w:rPr>
                <w:rFonts w:ascii="Arial (Body)" w:hAnsi="Arial (Body)"/>
                <w:color w:val="000000"/>
              </w:rPr>
            </w:pPr>
            <w:r w:rsidRPr="001B6387">
              <w:t>200</w:t>
            </w:r>
          </w:p>
        </w:tc>
        <w:tc>
          <w:tcPr>
            <w:tcW w:w="1417" w:type="dxa"/>
            <w:tcBorders>
              <w:bottom w:val="nil"/>
            </w:tcBorders>
            <w:shd w:val="clear" w:color="000000" w:fill="auto"/>
          </w:tcPr>
          <w:p w14:paraId="51F1F1A5" w14:textId="77777777" w:rsidR="008E7FC3" w:rsidRDefault="008E7FC3" w:rsidP="00177648">
            <w:pPr>
              <w:pStyle w:val="TableBody"/>
              <w:spacing w:before="45" w:after="45"/>
              <w:ind w:right="108"/>
              <w:jc w:val="right"/>
              <w:rPr>
                <w:rFonts w:ascii="Arial (Body)" w:hAnsi="Arial (Body)"/>
                <w:color w:val="000000"/>
              </w:rPr>
            </w:pPr>
            <w:r w:rsidRPr="001B6387">
              <w:t>900</w:t>
            </w:r>
          </w:p>
        </w:tc>
        <w:tc>
          <w:tcPr>
            <w:tcW w:w="1276" w:type="dxa"/>
            <w:tcBorders>
              <w:bottom w:val="nil"/>
            </w:tcBorders>
            <w:shd w:val="clear" w:color="000000" w:fill="auto"/>
          </w:tcPr>
          <w:p w14:paraId="49D027E6" w14:textId="77777777" w:rsidR="008E7FC3" w:rsidRDefault="008E7FC3" w:rsidP="00177648">
            <w:pPr>
              <w:pStyle w:val="TableBody"/>
              <w:spacing w:before="45" w:after="45"/>
              <w:ind w:right="108"/>
              <w:jc w:val="right"/>
              <w:rPr>
                <w:rFonts w:ascii="Arial (Body)" w:hAnsi="Arial (Body)"/>
                <w:color w:val="000000"/>
              </w:rPr>
            </w:pPr>
            <w:r w:rsidRPr="001B6387">
              <w:t>3,500</w:t>
            </w:r>
          </w:p>
        </w:tc>
        <w:tc>
          <w:tcPr>
            <w:tcW w:w="1417" w:type="dxa"/>
            <w:tcBorders>
              <w:bottom w:val="nil"/>
            </w:tcBorders>
            <w:shd w:val="clear" w:color="000000" w:fill="auto"/>
          </w:tcPr>
          <w:p w14:paraId="51977E0B" w14:textId="77777777" w:rsidR="008E7FC3" w:rsidRDefault="008E7FC3" w:rsidP="00177648">
            <w:pPr>
              <w:pStyle w:val="TableBody"/>
              <w:spacing w:before="45" w:after="45"/>
              <w:ind w:right="108"/>
              <w:jc w:val="right"/>
              <w:rPr>
                <w:rFonts w:ascii="Arial (Body)" w:hAnsi="Arial (Body)"/>
                <w:color w:val="000000"/>
              </w:rPr>
            </w:pPr>
            <w:r w:rsidRPr="001B6387">
              <w:t>8,100</w:t>
            </w:r>
          </w:p>
        </w:tc>
        <w:tc>
          <w:tcPr>
            <w:tcW w:w="1417" w:type="dxa"/>
            <w:tcBorders>
              <w:bottom w:val="nil"/>
            </w:tcBorders>
            <w:shd w:val="clear" w:color="000000" w:fill="auto"/>
          </w:tcPr>
          <w:p w14:paraId="3BCB3D85" w14:textId="77777777" w:rsidR="008E7FC3" w:rsidRPr="00D4419A" w:rsidRDefault="008E7FC3" w:rsidP="00177648">
            <w:pPr>
              <w:pStyle w:val="TableBody"/>
              <w:spacing w:before="45" w:after="45"/>
              <w:ind w:right="108"/>
              <w:jc w:val="right"/>
            </w:pPr>
            <w:r w:rsidRPr="001B6387">
              <w:t>12,700</w:t>
            </w:r>
          </w:p>
        </w:tc>
      </w:tr>
      <w:tr w:rsidR="008E7FC3" w:rsidRPr="00030C67" w14:paraId="4451C2AB" w14:textId="77777777" w:rsidTr="00177648">
        <w:tc>
          <w:tcPr>
            <w:tcW w:w="2694" w:type="dxa"/>
            <w:tcBorders>
              <w:top w:val="nil"/>
              <w:bottom w:val="nil"/>
            </w:tcBorders>
            <w:shd w:val="clear" w:color="000000" w:fill="F2F2F2"/>
          </w:tcPr>
          <w:p w14:paraId="531F7608" w14:textId="77777777" w:rsidR="008E7FC3" w:rsidRPr="00030C67" w:rsidRDefault="008E7FC3" w:rsidP="00177648">
            <w:pPr>
              <w:pStyle w:val="TableHeading"/>
            </w:pPr>
            <w:r>
              <w:t>6</w:t>
            </w:r>
            <w:r w:rsidRPr="00F04A20">
              <w:t>: Flat fee ECEC expense per day of $10 for all families and remove activity test</w:t>
            </w:r>
          </w:p>
        </w:tc>
        <w:tc>
          <w:tcPr>
            <w:tcW w:w="1134" w:type="dxa"/>
            <w:tcBorders>
              <w:top w:val="nil"/>
              <w:bottom w:val="nil"/>
            </w:tcBorders>
            <w:shd w:val="clear" w:color="000000" w:fill="F2F2F2"/>
          </w:tcPr>
          <w:p w14:paraId="7900026B" w14:textId="77777777" w:rsidR="008E7FC3" w:rsidRDefault="008E7FC3" w:rsidP="00177648">
            <w:pPr>
              <w:pStyle w:val="TableBody"/>
              <w:spacing w:before="45" w:after="45"/>
              <w:ind w:right="108"/>
              <w:jc w:val="right"/>
              <w:rPr>
                <w:rFonts w:ascii="Arial (Body)" w:hAnsi="Arial (Body)"/>
                <w:color w:val="000000"/>
              </w:rPr>
            </w:pPr>
            <w:r w:rsidRPr="001B6387">
              <w:t>6,500</w:t>
            </w:r>
          </w:p>
        </w:tc>
        <w:tc>
          <w:tcPr>
            <w:tcW w:w="1417" w:type="dxa"/>
            <w:tcBorders>
              <w:top w:val="nil"/>
              <w:bottom w:val="nil"/>
            </w:tcBorders>
            <w:shd w:val="clear" w:color="000000" w:fill="F2F2F2"/>
          </w:tcPr>
          <w:p w14:paraId="1069CA32" w14:textId="77777777" w:rsidR="008E7FC3" w:rsidRDefault="008E7FC3" w:rsidP="00177648">
            <w:pPr>
              <w:pStyle w:val="TableBody"/>
              <w:spacing w:before="45" w:after="45"/>
              <w:ind w:right="108"/>
              <w:jc w:val="right"/>
              <w:rPr>
                <w:rFonts w:ascii="Arial (Body)" w:hAnsi="Arial (Body)"/>
                <w:color w:val="000000"/>
              </w:rPr>
            </w:pPr>
            <w:r w:rsidRPr="001B6387">
              <w:t>1,800</w:t>
            </w:r>
          </w:p>
        </w:tc>
        <w:tc>
          <w:tcPr>
            <w:tcW w:w="1276" w:type="dxa"/>
            <w:tcBorders>
              <w:top w:val="nil"/>
              <w:bottom w:val="nil"/>
            </w:tcBorders>
            <w:shd w:val="clear" w:color="000000" w:fill="F2F2F2"/>
          </w:tcPr>
          <w:p w14:paraId="457E9570" w14:textId="77777777" w:rsidR="008E7FC3" w:rsidRDefault="008E7FC3" w:rsidP="00177648">
            <w:pPr>
              <w:pStyle w:val="TableBody"/>
              <w:spacing w:before="45" w:after="45"/>
              <w:ind w:right="108"/>
              <w:jc w:val="right"/>
              <w:rPr>
                <w:rFonts w:ascii="Arial (Body)" w:hAnsi="Arial (Body)"/>
                <w:color w:val="000000"/>
              </w:rPr>
            </w:pPr>
            <w:r w:rsidRPr="001B6387">
              <w:t>3,700</w:t>
            </w:r>
          </w:p>
        </w:tc>
        <w:tc>
          <w:tcPr>
            <w:tcW w:w="1417" w:type="dxa"/>
            <w:tcBorders>
              <w:top w:val="nil"/>
              <w:bottom w:val="nil"/>
            </w:tcBorders>
            <w:shd w:val="clear" w:color="000000" w:fill="F2F2F2"/>
          </w:tcPr>
          <w:p w14:paraId="2437C926" w14:textId="77777777" w:rsidR="008E7FC3" w:rsidRDefault="008E7FC3" w:rsidP="00177648">
            <w:pPr>
              <w:pStyle w:val="TableBody"/>
              <w:spacing w:before="45" w:after="45"/>
              <w:ind w:right="108"/>
              <w:jc w:val="right"/>
              <w:rPr>
                <w:rFonts w:ascii="Arial (Body)" w:hAnsi="Arial (Body)"/>
                <w:color w:val="000000"/>
              </w:rPr>
            </w:pPr>
            <w:r w:rsidRPr="001B6387">
              <w:t>8,700</w:t>
            </w:r>
          </w:p>
        </w:tc>
        <w:tc>
          <w:tcPr>
            <w:tcW w:w="1417" w:type="dxa"/>
            <w:tcBorders>
              <w:top w:val="nil"/>
              <w:bottom w:val="nil"/>
            </w:tcBorders>
            <w:shd w:val="clear" w:color="000000" w:fill="F2F2F2"/>
          </w:tcPr>
          <w:p w14:paraId="0B2C7A05" w14:textId="77777777" w:rsidR="008E7FC3" w:rsidRPr="00D4419A" w:rsidRDefault="008E7FC3" w:rsidP="00177648">
            <w:pPr>
              <w:pStyle w:val="TableBody"/>
              <w:spacing w:before="45" w:after="45"/>
              <w:ind w:right="108"/>
              <w:jc w:val="right"/>
            </w:pPr>
            <w:r w:rsidRPr="001B6387">
              <w:t>20,700</w:t>
            </w:r>
          </w:p>
        </w:tc>
      </w:tr>
      <w:tr w:rsidR="008E7FC3" w:rsidRPr="00030C67" w14:paraId="192F2D74" w14:textId="77777777" w:rsidTr="00177648">
        <w:tc>
          <w:tcPr>
            <w:tcW w:w="2694" w:type="dxa"/>
            <w:tcBorders>
              <w:bottom w:val="single" w:sz="4" w:space="0" w:color="B3B3B3"/>
            </w:tcBorders>
            <w:shd w:val="clear" w:color="000000" w:fill="auto"/>
          </w:tcPr>
          <w:p w14:paraId="0FA60473"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134" w:type="dxa"/>
            <w:tcBorders>
              <w:bottom w:val="single" w:sz="4" w:space="0" w:color="B3B3B3"/>
            </w:tcBorders>
            <w:shd w:val="clear" w:color="000000" w:fill="auto"/>
          </w:tcPr>
          <w:p w14:paraId="6F055996" w14:textId="77777777" w:rsidR="008E7FC3" w:rsidRDefault="008E7FC3" w:rsidP="00177648">
            <w:pPr>
              <w:pStyle w:val="TableBody"/>
              <w:spacing w:before="45" w:after="45"/>
              <w:ind w:right="108"/>
              <w:jc w:val="right"/>
              <w:rPr>
                <w:rFonts w:ascii="Arial (Body)" w:hAnsi="Arial (Body)"/>
                <w:color w:val="000000"/>
              </w:rPr>
            </w:pPr>
            <w:r w:rsidRPr="001B6387">
              <w:t>8,400</w:t>
            </w:r>
          </w:p>
        </w:tc>
        <w:tc>
          <w:tcPr>
            <w:tcW w:w="1417" w:type="dxa"/>
            <w:tcBorders>
              <w:bottom w:val="single" w:sz="4" w:space="0" w:color="B3B3B3"/>
            </w:tcBorders>
            <w:shd w:val="clear" w:color="000000" w:fill="auto"/>
          </w:tcPr>
          <w:p w14:paraId="3B4AB6F8" w14:textId="77777777" w:rsidR="008E7FC3" w:rsidRDefault="008E7FC3" w:rsidP="00177648">
            <w:pPr>
              <w:pStyle w:val="TableBody"/>
              <w:spacing w:before="45" w:after="45"/>
              <w:ind w:right="108"/>
              <w:jc w:val="right"/>
              <w:rPr>
                <w:rFonts w:ascii="Arial (Body)" w:hAnsi="Arial (Body)"/>
                <w:color w:val="000000"/>
              </w:rPr>
            </w:pPr>
            <w:r w:rsidRPr="001B6387">
              <w:t>5,500</w:t>
            </w:r>
          </w:p>
        </w:tc>
        <w:tc>
          <w:tcPr>
            <w:tcW w:w="1276" w:type="dxa"/>
            <w:tcBorders>
              <w:bottom w:val="single" w:sz="4" w:space="0" w:color="B3B3B3"/>
            </w:tcBorders>
            <w:shd w:val="clear" w:color="000000" w:fill="auto"/>
          </w:tcPr>
          <w:p w14:paraId="3C5A1C17" w14:textId="77777777" w:rsidR="008E7FC3" w:rsidRDefault="008E7FC3" w:rsidP="00177648">
            <w:pPr>
              <w:pStyle w:val="TableBody"/>
              <w:spacing w:before="45" w:after="45"/>
              <w:ind w:right="108"/>
              <w:jc w:val="right"/>
              <w:rPr>
                <w:rFonts w:ascii="Arial (Body)" w:hAnsi="Arial (Body)"/>
                <w:color w:val="000000"/>
              </w:rPr>
            </w:pPr>
            <w:r w:rsidRPr="001B6387">
              <w:t>3,700</w:t>
            </w:r>
          </w:p>
        </w:tc>
        <w:tc>
          <w:tcPr>
            <w:tcW w:w="1417" w:type="dxa"/>
            <w:tcBorders>
              <w:bottom w:val="single" w:sz="4" w:space="0" w:color="B3B3B3"/>
            </w:tcBorders>
            <w:shd w:val="clear" w:color="000000" w:fill="auto"/>
          </w:tcPr>
          <w:p w14:paraId="67F46995" w14:textId="77777777" w:rsidR="008E7FC3" w:rsidRDefault="008E7FC3" w:rsidP="00177648">
            <w:pPr>
              <w:pStyle w:val="TableBody"/>
              <w:spacing w:before="45" w:after="45"/>
              <w:ind w:right="108"/>
              <w:jc w:val="right"/>
              <w:rPr>
                <w:rFonts w:ascii="Arial (Body)" w:hAnsi="Arial (Body)"/>
                <w:color w:val="000000"/>
              </w:rPr>
            </w:pPr>
            <w:r w:rsidRPr="001B6387">
              <w:t>8,700</w:t>
            </w:r>
          </w:p>
        </w:tc>
        <w:tc>
          <w:tcPr>
            <w:tcW w:w="1417" w:type="dxa"/>
            <w:tcBorders>
              <w:bottom w:val="single" w:sz="4" w:space="0" w:color="B3B3B3"/>
            </w:tcBorders>
            <w:shd w:val="clear" w:color="000000" w:fill="auto"/>
          </w:tcPr>
          <w:p w14:paraId="2683610E" w14:textId="77777777" w:rsidR="008E7FC3" w:rsidRPr="00D4419A" w:rsidRDefault="008E7FC3" w:rsidP="00177648">
            <w:pPr>
              <w:pStyle w:val="TableBody"/>
              <w:spacing w:before="45" w:after="45"/>
              <w:ind w:right="108"/>
              <w:jc w:val="right"/>
            </w:pPr>
            <w:r w:rsidRPr="001B6387">
              <w:t>26,300</w:t>
            </w:r>
          </w:p>
        </w:tc>
      </w:tr>
    </w:tbl>
    <w:p w14:paraId="41EF8D0A" w14:textId="77777777" w:rsidR="008E7FC3" w:rsidRDefault="008E7FC3" w:rsidP="008E7FC3">
      <w:pPr>
        <w:pStyle w:val="Note"/>
      </w:pPr>
      <w:r w:rsidRPr="00C36914">
        <w:rPr>
          <w:b/>
          <w:bCs/>
        </w:rPr>
        <w:t>a.</w:t>
      </w:r>
      <w:r w:rsidRPr="00C36914">
        <w:t xml:space="preserve"> </w:t>
      </w:r>
      <w:r>
        <w:t xml:space="preserve">This table presents the </w:t>
      </w:r>
      <w:r w:rsidRPr="00BC0741">
        <w:rPr>
          <w:i/>
          <w:iCs/>
        </w:rPr>
        <w:t>number</w:t>
      </w:r>
      <w:r>
        <w:t xml:space="preserve"> of children not the FTE of changes in ECEC demand hours</w:t>
      </w:r>
      <w:r w:rsidRPr="00C36914">
        <w:t>.</w:t>
      </w:r>
    </w:p>
    <w:p w14:paraId="1E028091"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610AFC89" w14:textId="77777777" w:rsidR="008E7FC3" w:rsidRPr="00565F13" w:rsidRDefault="008E7FC3" w:rsidP="008E7FC3">
      <w:pPr>
        <w:pStyle w:val="BodyText"/>
      </w:pPr>
      <w:r w:rsidRPr="00565F13">
        <w:br w:type="page"/>
      </w:r>
    </w:p>
    <w:p w14:paraId="7D870701" w14:textId="77777777" w:rsidR="008E7FC3" w:rsidRDefault="008E7FC3" w:rsidP="008E7FC3">
      <w:pPr>
        <w:pStyle w:val="FigureTableHeading"/>
      </w:pPr>
      <w:r>
        <w:lastRenderedPageBreak/>
        <w:t xml:space="preserve">Table </w:t>
      </w:r>
      <w:r>
        <w:rPr>
          <w:noProof/>
        </w:rPr>
        <w:t>G</w:t>
      </w:r>
      <w:r>
        <w:t>.22</w:t>
      </w:r>
      <w:r>
        <w:rPr>
          <w:noProof/>
        </w:rPr>
        <w:t xml:space="preserve"> – </w:t>
      </w:r>
      <w:r>
        <w:t>Proportion of increased CCS expenditure that goes to families in each income quartile and change in CCS expenditure</w:t>
      </w:r>
      <w:r w:rsidRPr="00EC0C27">
        <w:rPr>
          <w:vertAlign w:val="superscript"/>
        </w:rPr>
        <w:t>a,b</w:t>
      </w:r>
    </w:p>
    <w:p w14:paraId="4024BF81" w14:textId="77777777" w:rsidR="008E7FC3" w:rsidRDefault="008E7FC3" w:rsidP="008E7FC3">
      <w:pPr>
        <w:pStyle w:val="FigureTableSubheading"/>
      </w:pPr>
      <w:r>
        <w:t>Modelled estimates, 2023</w:t>
      </w:r>
      <w:r>
        <w:noBreakHyphen/>
        <w:t>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389"/>
        <w:gridCol w:w="1389"/>
        <w:gridCol w:w="1389"/>
        <w:gridCol w:w="1389"/>
        <w:gridCol w:w="1389"/>
      </w:tblGrid>
      <w:tr w:rsidR="008E7FC3" w:rsidRPr="00030C67" w14:paraId="75B6E126" w14:textId="77777777" w:rsidTr="00177648">
        <w:trPr>
          <w:tblHeader/>
        </w:trPr>
        <w:tc>
          <w:tcPr>
            <w:tcW w:w="2694" w:type="dxa"/>
            <w:tcBorders>
              <w:bottom w:val="single" w:sz="4" w:space="0" w:color="B3B3B3"/>
            </w:tcBorders>
            <w:shd w:val="clear" w:color="000000" w:fill="auto"/>
          </w:tcPr>
          <w:p w14:paraId="5CD3815E"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389" w:type="dxa"/>
            <w:tcBorders>
              <w:bottom w:val="single" w:sz="4" w:space="0" w:color="B3B3B3"/>
            </w:tcBorders>
            <w:shd w:val="clear" w:color="000000" w:fill="auto"/>
          </w:tcPr>
          <w:p w14:paraId="3916D442" w14:textId="77777777" w:rsidR="008E7FC3" w:rsidRPr="00030C67" w:rsidRDefault="008E7FC3" w:rsidP="00177648">
            <w:pPr>
              <w:pStyle w:val="TableHeading"/>
              <w:jc w:val="right"/>
            </w:pPr>
            <w:r>
              <w:t>First income quartile</w:t>
            </w:r>
          </w:p>
        </w:tc>
        <w:tc>
          <w:tcPr>
            <w:tcW w:w="1389" w:type="dxa"/>
            <w:tcBorders>
              <w:bottom w:val="single" w:sz="4" w:space="0" w:color="B3B3B3"/>
            </w:tcBorders>
            <w:shd w:val="clear" w:color="000000" w:fill="auto"/>
          </w:tcPr>
          <w:p w14:paraId="3BD9AB0A" w14:textId="77777777" w:rsidR="008E7FC3" w:rsidRPr="00030C67" w:rsidRDefault="008E7FC3" w:rsidP="00177648">
            <w:pPr>
              <w:pStyle w:val="TableHeading"/>
              <w:jc w:val="right"/>
            </w:pPr>
            <w:r>
              <w:t>Second income quartile</w:t>
            </w:r>
          </w:p>
        </w:tc>
        <w:tc>
          <w:tcPr>
            <w:tcW w:w="1389" w:type="dxa"/>
            <w:tcBorders>
              <w:bottom w:val="single" w:sz="4" w:space="0" w:color="B3B3B3"/>
            </w:tcBorders>
            <w:shd w:val="clear" w:color="000000" w:fill="auto"/>
          </w:tcPr>
          <w:p w14:paraId="288367EA" w14:textId="77777777" w:rsidR="008E7FC3" w:rsidRPr="00030C67" w:rsidRDefault="008E7FC3" w:rsidP="00177648">
            <w:pPr>
              <w:pStyle w:val="TableHeading"/>
              <w:jc w:val="right"/>
            </w:pPr>
            <w:r>
              <w:t>Third income quartile</w:t>
            </w:r>
          </w:p>
        </w:tc>
        <w:tc>
          <w:tcPr>
            <w:tcW w:w="1389" w:type="dxa"/>
            <w:tcBorders>
              <w:bottom w:val="single" w:sz="4" w:space="0" w:color="B3B3B3"/>
            </w:tcBorders>
            <w:shd w:val="clear" w:color="000000" w:fill="auto"/>
          </w:tcPr>
          <w:p w14:paraId="54364835" w14:textId="77777777" w:rsidR="008E7FC3" w:rsidRPr="00030C67" w:rsidRDefault="008E7FC3" w:rsidP="00177648">
            <w:pPr>
              <w:pStyle w:val="TableHeading"/>
              <w:jc w:val="right"/>
            </w:pPr>
            <w:r>
              <w:t>Fourth income quartile</w:t>
            </w:r>
          </w:p>
        </w:tc>
        <w:tc>
          <w:tcPr>
            <w:tcW w:w="1389" w:type="dxa"/>
            <w:tcBorders>
              <w:bottom w:val="single" w:sz="4" w:space="0" w:color="B3B3B3"/>
            </w:tcBorders>
            <w:shd w:val="clear" w:color="000000" w:fill="auto"/>
          </w:tcPr>
          <w:p w14:paraId="417D0F0B" w14:textId="77777777" w:rsidR="008E7FC3" w:rsidRDefault="008E7FC3" w:rsidP="00177648">
            <w:pPr>
              <w:pStyle w:val="TableHeading"/>
              <w:jc w:val="right"/>
            </w:pPr>
            <w:r>
              <w:t>Change in CCS expenditure ($b)</w:t>
            </w:r>
          </w:p>
        </w:tc>
      </w:tr>
      <w:tr w:rsidR="008E7FC3" w:rsidRPr="00030C67" w14:paraId="063B3EED" w14:textId="77777777" w:rsidTr="00177648">
        <w:tc>
          <w:tcPr>
            <w:tcW w:w="2694" w:type="dxa"/>
            <w:tcBorders>
              <w:top w:val="single" w:sz="4" w:space="0" w:color="B3B3B3"/>
              <w:bottom w:val="nil"/>
            </w:tcBorders>
            <w:shd w:val="clear" w:color="000000" w:fill="F2F2F2"/>
          </w:tcPr>
          <w:p w14:paraId="03E86BF0"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389" w:type="dxa"/>
            <w:tcBorders>
              <w:top w:val="single" w:sz="4" w:space="0" w:color="B3B3B3"/>
              <w:bottom w:val="nil"/>
            </w:tcBorders>
            <w:shd w:val="clear" w:color="000000" w:fill="F2F2F2"/>
          </w:tcPr>
          <w:p w14:paraId="068196DB" w14:textId="77777777" w:rsidR="008E7FC3" w:rsidRPr="00030C67" w:rsidRDefault="008E7FC3" w:rsidP="00177648">
            <w:pPr>
              <w:pStyle w:val="TableBody"/>
              <w:spacing w:before="45" w:after="45"/>
              <w:ind w:right="108"/>
              <w:jc w:val="right"/>
              <w:rPr>
                <w:rFonts w:ascii="Arial (Body)" w:hAnsi="Arial (Body)"/>
                <w:color w:val="000000"/>
              </w:rPr>
            </w:pPr>
            <w:r w:rsidRPr="00EF0D5C">
              <w:t>40%</w:t>
            </w:r>
          </w:p>
        </w:tc>
        <w:tc>
          <w:tcPr>
            <w:tcW w:w="1389" w:type="dxa"/>
            <w:tcBorders>
              <w:top w:val="single" w:sz="4" w:space="0" w:color="B3B3B3"/>
              <w:bottom w:val="nil"/>
            </w:tcBorders>
            <w:shd w:val="clear" w:color="000000" w:fill="F2F2F2"/>
          </w:tcPr>
          <w:p w14:paraId="3484F9AB" w14:textId="77777777" w:rsidR="008E7FC3" w:rsidRPr="00030C67" w:rsidRDefault="008E7FC3" w:rsidP="00177648">
            <w:pPr>
              <w:pStyle w:val="TableBody"/>
              <w:spacing w:before="45" w:after="45"/>
              <w:ind w:right="108"/>
              <w:jc w:val="right"/>
              <w:rPr>
                <w:rFonts w:ascii="Arial (Body)" w:hAnsi="Arial (Body)"/>
                <w:color w:val="000000"/>
              </w:rPr>
            </w:pPr>
            <w:r w:rsidRPr="00EF0D5C">
              <w:t>27%</w:t>
            </w:r>
          </w:p>
        </w:tc>
        <w:tc>
          <w:tcPr>
            <w:tcW w:w="1389" w:type="dxa"/>
            <w:tcBorders>
              <w:top w:val="single" w:sz="4" w:space="0" w:color="B3B3B3"/>
              <w:bottom w:val="nil"/>
            </w:tcBorders>
            <w:shd w:val="clear" w:color="000000" w:fill="F2F2F2"/>
          </w:tcPr>
          <w:p w14:paraId="6C6AF21B" w14:textId="77777777" w:rsidR="008E7FC3" w:rsidRDefault="008E7FC3" w:rsidP="00177648">
            <w:pPr>
              <w:pStyle w:val="TableBody"/>
              <w:spacing w:before="45" w:after="45"/>
              <w:ind w:right="108"/>
              <w:jc w:val="right"/>
              <w:rPr>
                <w:rFonts w:ascii="Arial (Body)" w:hAnsi="Arial (Body)"/>
                <w:color w:val="000000"/>
              </w:rPr>
            </w:pPr>
            <w:r w:rsidRPr="00EF0D5C">
              <w:t>18%</w:t>
            </w:r>
          </w:p>
        </w:tc>
        <w:tc>
          <w:tcPr>
            <w:tcW w:w="1389" w:type="dxa"/>
            <w:tcBorders>
              <w:top w:val="single" w:sz="4" w:space="0" w:color="B3B3B3"/>
              <w:bottom w:val="nil"/>
            </w:tcBorders>
            <w:shd w:val="clear" w:color="000000" w:fill="F2F2F2"/>
          </w:tcPr>
          <w:p w14:paraId="5DD6DF9B" w14:textId="77777777" w:rsidR="008E7FC3" w:rsidRDefault="008E7FC3" w:rsidP="00177648">
            <w:pPr>
              <w:pStyle w:val="TableBody"/>
              <w:spacing w:before="45" w:after="45"/>
              <w:ind w:right="108"/>
              <w:jc w:val="right"/>
              <w:rPr>
                <w:rFonts w:ascii="Arial (Body)" w:hAnsi="Arial (Body)"/>
                <w:color w:val="000000"/>
              </w:rPr>
            </w:pPr>
            <w:r w:rsidRPr="00EF0D5C">
              <w:t>15%</w:t>
            </w:r>
          </w:p>
        </w:tc>
        <w:tc>
          <w:tcPr>
            <w:tcW w:w="1389" w:type="dxa"/>
            <w:tcBorders>
              <w:top w:val="single" w:sz="4" w:space="0" w:color="B3B3B3"/>
              <w:bottom w:val="nil"/>
            </w:tcBorders>
            <w:shd w:val="clear" w:color="000000" w:fill="F2F2F2"/>
          </w:tcPr>
          <w:p w14:paraId="174D296F" w14:textId="77777777" w:rsidR="008E7FC3" w:rsidRPr="00EF0D5C" w:rsidRDefault="008E7FC3" w:rsidP="00177648">
            <w:pPr>
              <w:pStyle w:val="TableBody"/>
              <w:spacing w:before="45" w:after="45"/>
              <w:ind w:right="108"/>
              <w:jc w:val="right"/>
            </w:pPr>
            <w:r w:rsidRPr="004B7738">
              <w:t>4.7</w:t>
            </w:r>
            <w:r>
              <w:t xml:space="preserve"> (37%)</w:t>
            </w:r>
          </w:p>
        </w:tc>
      </w:tr>
      <w:tr w:rsidR="008E7FC3" w:rsidRPr="00030C67" w14:paraId="7FD249DC" w14:textId="77777777" w:rsidTr="00177648">
        <w:tc>
          <w:tcPr>
            <w:tcW w:w="2694" w:type="dxa"/>
            <w:tcBorders>
              <w:top w:val="nil"/>
              <w:bottom w:val="nil"/>
            </w:tcBorders>
            <w:shd w:val="clear" w:color="000000" w:fill="auto"/>
          </w:tcPr>
          <w:p w14:paraId="29E9B509"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389" w:type="dxa"/>
            <w:tcBorders>
              <w:top w:val="nil"/>
              <w:bottom w:val="nil"/>
            </w:tcBorders>
            <w:shd w:val="clear" w:color="000000" w:fill="auto"/>
          </w:tcPr>
          <w:p w14:paraId="05D2D0D2" w14:textId="77777777" w:rsidR="008E7FC3" w:rsidRPr="00030C67" w:rsidRDefault="008E7FC3" w:rsidP="00177648">
            <w:pPr>
              <w:pStyle w:val="TableBody"/>
              <w:spacing w:before="45" w:after="45"/>
              <w:ind w:right="108"/>
              <w:jc w:val="right"/>
              <w:rPr>
                <w:rFonts w:ascii="Arial (Body)" w:hAnsi="Arial (Body)"/>
                <w:color w:val="000000"/>
              </w:rPr>
            </w:pPr>
            <w:r w:rsidRPr="00EF0D5C">
              <w:t>23%</w:t>
            </w:r>
          </w:p>
        </w:tc>
        <w:tc>
          <w:tcPr>
            <w:tcW w:w="1389" w:type="dxa"/>
            <w:tcBorders>
              <w:top w:val="nil"/>
              <w:bottom w:val="nil"/>
            </w:tcBorders>
            <w:shd w:val="clear" w:color="000000" w:fill="auto"/>
          </w:tcPr>
          <w:p w14:paraId="03A1C4C3" w14:textId="77777777" w:rsidR="008E7FC3" w:rsidRPr="00030C67" w:rsidRDefault="008E7FC3" w:rsidP="00177648">
            <w:pPr>
              <w:pStyle w:val="TableBody"/>
              <w:spacing w:before="45" w:after="45"/>
              <w:ind w:right="108"/>
              <w:jc w:val="right"/>
              <w:rPr>
                <w:rFonts w:ascii="Arial (Body)" w:hAnsi="Arial (Body)"/>
                <w:color w:val="000000"/>
              </w:rPr>
            </w:pPr>
            <w:r w:rsidRPr="00EF0D5C">
              <w:t>24%</w:t>
            </w:r>
          </w:p>
        </w:tc>
        <w:tc>
          <w:tcPr>
            <w:tcW w:w="1389" w:type="dxa"/>
            <w:tcBorders>
              <w:top w:val="nil"/>
              <w:bottom w:val="nil"/>
            </w:tcBorders>
            <w:shd w:val="clear" w:color="000000" w:fill="auto"/>
          </w:tcPr>
          <w:p w14:paraId="7006105A" w14:textId="77777777" w:rsidR="008E7FC3" w:rsidRDefault="008E7FC3" w:rsidP="00177648">
            <w:pPr>
              <w:pStyle w:val="TableBody"/>
              <w:spacing w:before="45" w:after="45"/>
              <w:ind w:right="108"/>
              <w:jc w:val="right"/>
              <w:rPr>
                <w:rFonts w:ascii="Arial (Body)" w:hAnsi="Arial (Body)"/>
                <w:color w:val="000000"/>
              </w:rPr>
            </w:pPr>
            <w:r w:rsidRPr="00EF0D5C">
              <w:t>28%</w:t>
            </w:r>
          </w:p>
        </w:tc>
        <w:tc>
          <w:tcPr>
            <w:tcW w:w="1389" w:type="dxa"/>
            <w:tcBorders>
              <w:top w:val="nil"/>
              <w:bottom w:val="nil"/>
            </w:tcBorders>
            <w:shd w:val="clear" w:color="000000" w:fill="auto"/>
          </w:tcPr>
          <w:p w14:paraId="33AE50A5" w14:textId="77777777" w:rsidR="008E7FC3" w:rsidRDefault="008E7FC3" w:rsidP="00177648">
            <w:pPr>
              <w:pStyle w:val="TableBody"/>
              <w:spacing w:before="45" w:after="45"/>
              <w:ind w:right="108"/>
              <w:jc w:val="right"/>
              <w:rPr>
                <w:rFonts w:ascii="Arial (Body)" w:hAnsi="Arial (Body)"/>
                <w:color w:val="000000"/>
              </w:rPr>
            </w:pPr>
            <w:r w:rsidRPr="00EF0D5C">
              <w:t>24%</w:t>
            </w:r>
          </w:p>
        </w:tc>
        <w:tc>
          <w:tcPr>
            <w:tcW w:w="1389" w:type="dxa"/>
            <w:tcBorders>
              <w:top w:val="nil"/>
              <w:bottom w:val="nil"/>
            </w:tcBorders>
            <w:shd w:val="clear" w:color="000000" w:fill="auto"/>
          </w:tcPr>
          <w:p w14:paraId="41589ED6" w14:textId="77777777" w:rsidR="008E7FC3" w:rsidRPr="00EF0D5C" w:rsidRDefault="008E7FC3" w:rsidP="00177648">
            <w:pPr>
              <w:pStyle w:val="TableBody"/>
              <w:spacing w:before="45" w:after="45"/>
              <w:ind w:right="108"/>
              <w:jc w:val="right"/>
            </w:pPr>
            <w:r w:rsidRPr="004B7738">
              <w:t>2.3</w:t>
            </w:r>
            <w:r>
              <w:t xml:space="preserve"> (18%)</w:t>
            </w:r>
          </w:p>
        </w:tc>
      </w:tr>
      <w:tr w:rsidR="008E7FC3" w:rsidRPr="00030C67" w14:paraId="79F58974" w14:textId="77777777" w:rsidTr="00177648">
        <w:tc>
          <w:tcPr>
            <w:tcW w:w="2694" w:type="dxa"/>
            <w:tcBorders>
              <w:bottom w:val="nil"/>
            </w:tcBorders>
            <w:shd w:val="clear" w:color="000000" w:fill="F2F2F2"/>
          </w:tcPr>
          <w:p w14:paraId="4168801F" w14:textId="77777777" w:rsidR="008E7FC3" w:rsidRPr="00030C67" w:rsidRDefault="008E7FC3" w:rsidP="00177648">
            <w:pPr>
              <w:pStyle w:val="TableHeading"/>
            </w:pPr>
            <w:r w:rsidRPr="00F04A20">
              <w:t>3: Abolish the activity test for all families and retain income testing</w:t>
            </w:r>
          </w:p>
        </w:tc>
        <w:tc>
          <w:tcPr>
            <w:tcW w:w="1389" w:type="dxa"/>
            <w:tcBorders>
              <w:bottom w:val="nil"/>
            </w:tcBorders>
            <w:shd w:val="clear" w:color="000000" w:fill="F2F2F2"/>
          </w:tcPr>
          <w:p w14:paraId="61080132" w14:textId="77777777" w:rsidR="008E7FC3" w:rsidRPr="00030C67" w:rsidRDefault="008E7FC3" w:rsidP="00177648">
            <w:pPr>
              <w:pStyle w:val="TableBody"/>
              <w:spacing w:before="45" w:after="45"/>
              <w:ind w:right="108"/>
              <w:jc w:val="right"/>
              <w:rPr>
                <w:rFonts w:ascii="Arial (Body)" w:hAnsi="Arial (Body)"/>
                <w:color w:val="000000"/>
              </w:rPr>
            </w:pPr>
            <w:r w:rsidRPr="00EF0D5C">
              <w:t>55%</w:t>
            </w:r>
          </w:p>
        </w:tc>
        <w:tc>
          <w:tcPr>
            <w:tcW w:w="1389" w:type="dxa"/>
            <w:tcBorders>
              <w:bottom w:val="nil"/>
            </w:tcBorders>
            <w:shd w:val="clear" w:color="000000" w:fill="F2F2F2"/>
          </w:tcPr>
          <w:p w14:paraId="0B22D680" w14:textId="77777777" w:rsidR="008E7FC3" w:rsidRPr="00030C67" w:rsidRDefault="008E7FC3" w:rsidP="00177648">
            <w:pPr>
              <w:pStyle w:val="TableBody"/>
              <w:spacing w:before="45" w:after="45"/>
              <w:ind w:right="108"/>
              <w:jc w:val="right"/>
              <w:rPr>
                <w:rFonts w:ascii="Arial (Body)" w:hAnsi="Arial (Body)"/>
                <w:color w:val="000000"/>
              </w:rPr>
            </w:pPr>
            <w:r w:rsidRPr="00EF0D5C">
              <w:t>31%</w:t>
            </w:r>
          </w:p>
        </w:tc>
        <w:tc>
          <w:tcPr>
            <w:tcW w:w="1389" w:type="dxa"/>
            <w:tcBorders>
              <w:bottom w:val="nil"/>
            </w:tcBorders>
            <w:shd w:val="clear" w:color="000000" w:fill="F2F2F2"/>
          </w:tcPr>
          <w:p w14:paraId="528B9F3A" w14:textId="77777777" w:rsidR="008E7FC3" w:rsidRDefault="008E7FC3" w:rsidP="00177648">
            <w:pPr>
              <w:pStyle w:val="TableBody"/>
              <w:spacing w:before="45" w:after="45"/>
              <w:ind w:right="108"/>
              <w:jc w:val="right"/>
              <w:rPr>
                <w:rFonts w:ascii="Arial (Body)" w:hAnsi="Arial (Body)"/>
                <w:color w:val="000000"/>
              </w:rPr>
            </w:pPr>
            <w:r w:rsidRPr="00EF0D5C">
              <w:t>8%</w:t>
            </w:r>
          </w:p>
        </w:tc>
        <w:tc>
          <w:tcPr>
            <w:tcW w:w="1389" w:type="dxa"/>
            <w:tcBorders>
              <w:bottom w:val="nil"/>
            </w:tcBorders>
            <w:shd w:val="clear" w:color="000000" w:fill="F2F2F2"/>
          </w:tcPr>
          <w:p w14:paraId="51684CC9" w14:textId="77777777" w:rsidR="008E7FC3" w:rsidRDefault="008E7FC3" w:rsidP="00177648">
            <w:pPr>
              <w:pStyle w:val="TableBody"/>
              <w:spacing w:before="45" w:after="45"/>
              <w:ind w:right="108"/>
              <w:jc w:val="right"/>
              <w:rPr>
                <w:rFonts w:ascii="Arial (Body)" w:hAnsi="Arial (Body)"/>
                <w:color w:val="000000"/>
              </w:rPr>
            </w:pPr>
            <w:r w:rsidRPr="00EF0D5C">
              <w:t>6%</w:t>
            </w:r>
          </w:p>
        </w:tc>
        <w:tc>
          <w:tcPr>
            <w:tcW w:w="1389" w:type="dxa"/>
            <w:tcBorders>
              <w:bottom w:val="nil"/>
            </w:tcBorders>
            <w:shd w:val="clear" w:color="000000" w:fill="F2F2F2"/>
          </w:tcPr>
          <w:p w14:paraId="29569742" w14:textId="77777777" w:rsidR="008E7FC3" w:rsidRPr="00EF0D5C" w:rsidRDefault="008E7FC3" w:rsidP="00177648">
            <w:pPr>
              <w:pStyle w:val="TableBody"/>
              <w:spacing w:before="45" w:after="45"/>
              <w:ind w:right="108"/>
              <w:jc w:val="right"/>
            </w:pPr>
            <w:r w:rsidRPr="004B7738">
              <w:t>2.1</w:t>
            </w:r>
            <w:r>
              <w:t xml:space="preserve"> (17%)</w:t>
            </w:r>
          </w:p>
        </w:tc>
      </w:tr>
      <w:tr w:rsidR="008E7FC3" w:rsidRPr="00030C67" w14:paraId="3396FF39" w14:textId="77777777" w:rsidTr="00177648">
        <w:tc>
          <w:tcPr>
            <w:tcW w:w="2694" w:type="dxa"/>
            <w:tcBorders>
              <w:bottom w:val="nil"/>
            </w:tcBorders>
            <w:shd w:val="clear" w:color="000000" w:fill="auto"/>
          </w:tcPr>
          <w:p w14:paraId="5BA7161C"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389" w:type="dxa"/>
            <w:tcBorders>
              <w:bottom w:val="nil"/>
            </w:tcBorders>
            <w:shd w:val="clear" w:color="000000" w:fill="auto"/>
          </w:tcPr>
          <w:p w14:paraId="34080A76" w14:textId="77777777" w:rsidR="008E7FC3" w:rsidRDefault="008E7FC3" w:rsidP="00177648">
            <w:pPr>
              <w:pStyle w:val="TableBody"/>
              <w:spacing w:before="45" w:after="45"/>
              <w:ind w:right="108"/>
              <w:jc w:val="right"/>
              <w:rPr>
                <w:rFonts w:ascii="Arial (Body)" w:hAnsi="Arial (Body)"/>
                <w:color w:val="000000"/>
              </w:rPr>
            </w:pPr>
            <w:r w:rsidRPr="00EF0D5C">
              <w:t>37%</w:t>
            </w:r>
          </w:p>
        </w:tc>
        <w:tc>
          <w:tcPr>
            <w:tcW w:w="1389" w:type="dxa"/>
            <w:tcBorders>
              <w:bottom w:val="nil"/>
            </w:tcBorders>
            <w:shd w:val="clear" w:color="000000" w:fill="auto"/>
          </w:tcPr>
          <w:p w14:paraId="338625FD" w14:textId="77777777" w:rsidR="008E7FC3" w:rsidRDefault="008E7FC3" w:rsidP="00177648">
            <w:pPr>
              <w:pStyle w:val="TableBody"/>
              <w:spacing w:before="45" w:after="45"/>
              <w:ind w:right="108"/>
              <w:jc w:val="right"/>
              <w:rPr>
                <w:rFonts w:ascii="Arial (Body)" w:hAnsi="Arial (Body)"/>
                <w:color w:val="000000"/>
              </w:rPr>
            </w:pPr>
            <w:r w:rsidRPr="00EF0D5C">
              <w:t>27%</w:t>
            </w:r>
          </w:p>
        </w:tc>
        <w:tc>
          <w:tcPr>
            <w:tcW w:w="1389" w:type="dxa"/>
            <w:tcBorders>
              <w:bottom w:val="nil"/>
            </w:tcBorders>
            <w:shd w:val="clear" w:color="000000" w:fill="auto"/>
          </w:tcPr>
          <w:p w14:paraId="3C6C1B93" w14:textId="77777777" w:rsidR="008E7FC3" w:rsidRDefault="008E7FC3" w:rsidP="00177648">
            <w:pPr>
              <w:pStyle w:val="TableBody"/>
              <w:spacing w:before="45" w:after="45"/>
              <w:ind w:right="108"/>
              <w:jc w:val="right"/>
              <w:rPr>
                <w:rFonts w:ascii="Arial (Body)" w:hAnsi="Arial (Body)"/>
                <w:color w:val="000000"/>
              </w:rPr>
            </w:pPr>
            <w:r w:rsidRPr="00EF0D5C">
              <w:t>20%</w:t>
            </w:r>
          </w:p>
        </w:tc>
        <w:tc>
          <w:tcPr>
            <w:tcW w:w="1389" w:type="dxa"/>
            <w:tcBorders>
              <w:bottom w:val="nil"/>
            </w:tcBorders>
            <w:shd w:val="clear" w:color="000000" w:fill="auto"/>
          </w:tcPr>
          <w:p w14:paraId="1A6AA6E1" w14:textId="77777777" w:rsidR="008E7FC3" w:rsidRDefault="008E7FC3" w:rsidP="00177648">
            <w:pPr>
              <w:pStyle w:val="TableBody"/>
              <w:spacing w:before="45" w:after="45"/>
              <w:ind w:right="108"/>
              <w:jc w:val="right"/>
              <w:rPr>
                <w:rFonts w:ascii="Arial (Body)" w:hAnsi="Arial (Body)"/>
                <w:color w:val="000000"/>
              </w:rPr>
            </w:pPr>
            <w:r w:rsidRPr="00EF0D5C">
              <w:t>16%</w:t>
            </w:r>
          </w:p>
        </w:tc>
        <w:tc>
          <w:tcPr>
            <w:tcW w:w="1389" w:type="dxa"/>
            <w:tcBorders>
              <w:bottom w:val="nil"/>
            </w:tcBorders>
            <w:shd w:val="clear" w:color="000000" w:fill="auto"/>
          </w:tcPr>
          <w:p w14:paraId="0890BC5D" w14:textId="77777777" w:rsidR="008E7FC3" w:rsidRPr="00EF0D5C" w:rsidRDefault="008E7FC3" w:rsidP="00177648">
            <w:pPr>
              <w:pStyle w:val="TableBody"/>
              <w:spacing w:before="45" w:after="45"/>
              <w:ind w:right="108"/>
              <w:jc w:val="right"/>
            </w:pPr>
            <w:r w:rsidRPr="004B7738">
              <w:t>4.3</w:t>
            </w:r>
            <w:r>
              <w:t xml:space="preserve"> (33%)</w:t>
            </w:r>
          </w:p>
        </w:tc>
      </w:tr>
      <w:tr w:rsidR="008E7FC3" w:rsidRPr="00030C67" w14:paraId="79B25B85" w14:textId="77777777" w:rsidTr="00177648">
        <w:tc>
          <w:tcPr>
            <w:tcW w:w="2694" w:type="dxa"/>
            <w:tcBorders>
              <w:top w:val="nil"/>
              <w:bottom w:val="nil"/>
            </w:tcBorders>
            <w:shd w:val="clear" w:color="000000" w:fill="F2F2F2"/>
          </w:tcPr>
          <w:p w14:paraId="42C9F377" w14:textId="77777777" w:rsidR="008E7FC3" w:rsidRPr="00030C67" w:rsidRDefault="008E7FC3" w:rsidP="00177648">
            <w:pPr>
              <w:pStyle w:val="TableHeading"/>
            </w:pPr>
            <w:r>
              <w:t>4a</w:t>
            </w:r>
            <w:r w:rsidRPr="00F04A20">
              <w:t>: Relax the activity test for all families and retain income testing</w:t>
            </w:r>
          </w:p>
        </w:tc>
        <w:tc>
          <w:tcPr>
            <w:tcW w:w="1389" w:type="dxa"/>
            <w:tcBorders>
              <w:top w:val="nil"/>
              <w:bottom w:val="nil"/>
            </w:tcBorders>
            <w:shd w:val="clear" w:color="000000" w:fill="F2F2F2"/>
          </w:tcPr>
          <w:p w14:paraId="588DFA30" w14:textId="77777777" w:rsidR="008E7FC3" w:rsidRDefault="008E7FC3" w:rsidP="00177648">
            <w:pPr>
              <w:pStyle w:val="TableBody"/>
              <w:spacing w:before="45" w:after="45"/>
              <w:ind w:right="108"/>
              <w:jc w:val="right"/>
              <w:rPr>
                <w:rFonts w:ascii="Arial (Body)" w:hAnsi="Arial (Body)"/>
                <w:color w:val="000000"/>
              </w:rPr>
            </w:pPr>
            <w:r w:rsidRPr="00EF0D5C">
              <w:t>52%</w:t>
            </w:r>
          </w:p>
        </w:tc>
        <w:tc>
          <w:tcPr>
            <w:tcW w:w="1389" w:type="dxa"/>
            <w:tcBorders>
              <w:top w:val="nil"/>
              <w:bottom w:val="nil"/>
            </w:tcBorders>
            <w:shd w:val="clear" w:color="000000" w:fill="F2F2F2"/>
          </w:tcPr>
          <w:p w14:paraId="59C3FB19" w14:textId="77777777" w:rsidR="008E7FC3" w:rsidRDefault="008E7FC3" w:rsidP="00177648">
            <w:pPr>
              <w:pStyle w:val="TableBody"/>
              <w:spacing w:before="45" w:after="45"/>
              <w:ind w:right="108"/>
              <w:jc w:val="right"/>
              <w:rPr>
                <w:rFonts w:ascii="Arial (Body)" w:hAnsi="Arial (Body)"/>
                <w:color w:val="000000"/>
              </w:rPr>
            </w:pPr>
            <w:r w:rsidRPr="00EF0D5C">
              <w:t>32%</w:t>
            </w:r>
          </w:p>
        </w:tc>
        <w:tc>
          <w:tcPr>
            <w:tcW w:w="1389" w:type="dxa"/>
            <w:tcBorders>
              <w:top w:val="nil"/>
              <w:bottom w:val="nil"/>
            </w:tcBorders>
            <w:shd w:val="clear" w:color="000000" w:fill="F2F2F2"/>
          </w:tcPr>
          <w:p w14:paraId="4E84CAFE" w14:textId="77777777" w:rsidR="008E7FC3" w:rsidRDefault="008E7FC3" w:rsidP="00177648">
            <w:pPr>
              <w:pStyle w:val="TableBody"/>
              <w:spacing w:before="45" w:after="45"/>
              <w:ind w:right="108"/>
              <w:jc w:val="right"/>
              <w:rPr>
                <w:rFonts w:ascii="Arial (Body)" w:hAnsi="Arial (Body)"/>
                <w:color w:val="000000"/>
              </w:rPr>
            </w:pPr>
            <w:r w:rsidRPr="00EF0D5C">
              <w:t>9%</w:t>
            </w:r>
          </w:p>
        </w:tc>
        <w:tc>
          <w:tcPr>
            <w:tcW w:w="1389" w:type="dxa"/>
            <w:tcBorders>
              <w:top w:val="nil"/>
              <w:bottom w:val="nil"/>
            </w:tcBorders>
            <w:shd w:val="clear" w:color="000000" w:fill="F2F2F2"/>
          </w:tcPr>
          <w:p w14:paraId="576C551A" w14:textId="77777777" w:rsidR="008E7FC3" w:rsidRDefault="008E7FC3" w:rsidP="00177648">
            <w:pPr>
              <w:pStyle w:val="TableBody"/>
              <w:spacing w:before="45" w:after="45"/>
              <w:ind w:right="108"/>
              <w:jc w:val="right"/>
              <w:rPr>
                <w:rFonts w:ascii="Arial (Body)" w:hAnsi="Arial (Body)"/>
                <w:color w:val="000000"/>
              </w:rPr>
            </w:pPr>
            <w:r w:rsidRPr="00EF0D5C">
              <w:t>6%</w:t>
            </w:r>
          </w:p>
        </w:tc>
        <w:tc>
          <w:tcPr>
            <w:tcW w:w="1389" w:type="dxa"/>
            <w:tcBorders>
              <w:top w:val="nil"/>
              <w:bottom w:val="nil"/>
            </w:tcBorders>
            <w:shd w:val="clear" w:color="000000" w:fill="F2F2F2"/>
          </w:tcPr>
          <w:p w14:paraId="7209B6AF" w14:textId="77777777" w:rsidR="008E7FC3" w:rsidRPr="00EF0D5C" w:rsidRDefault="008E7FC3" w:rsidP="00177648">
            <w:pPr>
              <w:pStyle w:val="TableBody"/>
              <w:spacing w:before="45" w:after="45"/>
              <w:ind w:right="108"/>
              <w:jc w:val="right"/>
            </w:pPr>
            <w:r w:rsidRPr="004B7738">
              <w:t>1.7</w:t>
            </w:r>
            <w:r>
              <w:t xml:space="preserve"> (14%)</w:t>
            </w:r>
          </w:p>
        </w:tc>
      </w:tr>
      <w:tr w:rsidR="008E7FC3" w:rsidRPr="00030C67" w14:paraId="0DB852B1" w14:textId="77777777" w:rsidTr="00177648">
        <w:tc>
          <w:tcPr>
            <w:tcW w:w="2694" w:type="dxa"/>
            <w:tcBorders>
              <w:bottom w:val="nil"/>
            </w:tcBorders>
            <w:shd w:val="clear" w:color="000000" w:fill="auto"/>
          </w:tcPr>
          <w:p w14:paraId="4A6DF893" w14:textId="77777777" w:rsidR="008E7FC3" w:rsidRPr="00030C67" w:rsidRDefault="008E7FC3" w:rsidP="00177648">
            <w:pPr>
              <w:pStyle w:val="TableHeading"/>
            </w:pPr>
            <w:r>
              <w:t>5</w:t>
            </w:r>
            <w:r w:rsidRPr="00F04A20">
              <w:t>: 90% subsidy rate for all families with activity test</w:t>
            </w:r>
          </w:p>
        </w:tc>
        <w:tc>
          <w:tcPr>
            <w:tcW w:w="1389" w:type="dxa"/>
            <w:tcBorders>
              <w:bottom w:val="nil"/>
            </w:tcBorders>
            <w:shd w:val="clear" w:color="000000" w:fill="auto"/>
          </w:tcPr>
          <w:p w14:paraId="77E5F198" w14:textId="77777777" w:rsidR="008E7FC3" w:rsidRDefault="008E7FC3" w:rsidP="00177648">
            <w:pPr>
              <w:pStyle w:val="TableBody"/>
              <w:spacing w:before="45" w:after="45"/>
              <w:ind w:right="108"/>
              <w:jc w:val="right"/>
              <w:rPr>
                <w:rFonts w:ascii="Arial (Body)" w:hAnsi="Arial (Body)"/>
                <w:color w:val="000000"/>
              </w:rPr>
            </w:pPr>
            <w:r w:rsidRPr="00EF0D5C">
              <w:t>1%</w:t>
            </w:r>
          </w:p>
        </w:tc>
        <w:tc>
          <w:tcPr>
            <w:tcW w:w="1389" w:type="dxa"/>
            <w:tcBorders>
              <w:bottom w:val="nil"/>
            </w:tcBorders>
            <w:shd w:val="clear" w:color="000000" w:fill="auto"/>
          </w:tcPr>
          <w:p w14:paraId="4B725E63" w14:textId="77777777" w:rsidR="008E7FC3" w:rsidRDefault="008E7FC3" w:rsidP="00177648">
            <w:pPr>
              <w:pStyle w:val="TableBody"/>
              <w:spacing w:before="45" w:after="45"/>
              <w:ind w:right="108"/>
              <w:jc w:val="right"/>
              <w:rPr>
                <w:rFonts w:ascii="Arial (Body)" w:hAnsi="Arial (Body)"/>
                <w:color w:val="000000"/>
              </w:rPr>
            </w:pPr>
            <w:r w:rsidRPr="00EF0D5C">
              <w:t>13%</w:t>
            </w:r>
          </w:p>
        </w:tc>
        <w:tc>
          <w:tcPr>
            <w:tcW w:w="1389" w:type="dxa"/>
            <w:tcBorders>
              <w:bottom w:val="nil"/>
            </w:tcBorders>
            <w:shd w:val="clear" w:color="000000" w:fill="auto"/>
          </w:tcPr>
          <w:p w14:paraId="7D9BD3B4" w14:textId="77777777" w:rsidR="008E7FC3" w:rsidRDefault="008E7FC3" w:rsidP="00177648">
            <w:pPr>
              <w:pStyle w:val="TableBody"/>
              <w:spacing w:before="45" w:after="45"/>
              <w:ind w:right="108"/>
              <w:jc w:val="right"/>
              <w:rPr>
                <w:rFonts w:ascii="Arial (Body)" w:hAnsi="Arial (Body)"/>
                <w:color w:val="000000"/>
              </w:rPr>
            </w:pPr>
            <w:r w:rsidRPr="00EF0D5C">
              <w:t>27%</w:t>
            </w:r>
          </w:p>
        </w:tc>
        <w:tc>
          <w:tcPr>
            <w:tcW w:w="1389" w:type="dxa"/>
            <w:tcBorders>
              <w:bottom w:val="nil"/>
            </w:tcBorders>
            <w:shd w:val="clear" w:color="000000" w:fill="auto"/>
          </w:tcPr>
          <w:p w14:paraId="5E159521" w14:textId="77777777" w:rsidR="008E7FC3" w:rsidRDefault="008E7FC3" w:rsidP="00177648">
            <w:pPr>
              <w:pStyle w:val="TableBody"/>
              <w:spacing w:before="45" w:after="45"/>
              <w:ind w:right="108"/>
              <w:jc w:val="right"/>
              <w:rPr>
                <w:rFonts w:ascii="Arial (Body)" w:hAnsi="Arial (Body)"/>
                <w:color w:val="000000"/>
              </w:rPr>
            </w:pPr>
            <w:r w:rsidRPr="00EF0D5C">
              <w:t>60%</w:t>
            </w:r>
          </w:p>
        </w:tc>
        <w:tc>
          <w:tcPr>
            <w:tcW w:w="1389" w:type="dxa"/>
            <w:tcBorders>
              <w:bottom w:val="nil"/>
            </w:tcBorders>
            <w:shd w:val="clear" w:color="000000" w:fill="auto"/>
          </w:tcPr>
          <w:p w14:paraId="7D06ECD3" w14:textId="77777777" w:rsidR="008E7FC3" w:rsidRPr="00EF0D5C" w:rsidRDefault="008E7FC3" w:rsidP="00177648">
            <w:pPr>
              <w:pStyle w:val="TableBody"/>
              <w:spacing w:before="45" w:after="45"/>
              <w:ind w:right="108"/>
              <w:jc w:val="right"/>
            </w:pPr>
            <w:r w:rsidRPr="004B7738">
              <w:t>6.0</w:t>
            </w:r>
            <w:r>
              <w:t xml:space="preserve"> (47%)</w:t>
            </w:r>
          </w:p>
        </w:tc>
      </w:tr>
      <w:tr w:rsidR="008E7FC3" w:rsidRPr="00030C67" w14:paraId="6C57C4CC" w14:textId="77777777" w:rsidTr="00177648">
        <w:tc>
          <w:tcPr>
            <w:tcW w:w="2694" w:type="dxa"/>
            <w:tcBorders>
              <w:top w:val="nil"/>
              <w:bottom w:val="nil"/>
            </w:tcBorders>
            <w:shd w:val="clear" w:color="000000" w:fill="F2F2F2"/>
          </w:tcPr>
          <w:p w14:paraId="73490379" w14:textId="77777777" w:rsidR="008E7FC3" w:rsidRPr="00030C67" w:rsidRDefault="008E7FC3" w:rsidP="00177648">
            <w:pPr>
              <w:pStyle w:val="TableHeading"/>
            </w:pPr>
            <w:r>
              <w:t>6</w:t>
            </w:r>
            <w:r w:rsidRPr="00F04A20">
              <w:t>: Flat fee ECEC expense per day of $10 for all families and remove activity test</w:t>
            </w:r>
          </w:p>
        </w:tc>
        <w:tc>
          <w:tcPr>
            <w:tcW w:w="1389" w:type="dxa"/>
            <w:tcBorders>
              <w:top w:val="nil"/>
              <w:bottom w:val="nil"/>
            </w:tcBorders>
            <w:shd w:val="clear" w:color="000000" w:fill="F2F2F2"/>
          </w:tcPr>
          <w:p w14:paraId="53173B7B" w14:textId="77777777" w:rsidR="008E7FC3" w:rsidRDefault="008E7FC3" w:rsidP="00177648">
            <w:pPr>
              <w:pStyle w:val="TableBody"/>
              <w:spacing w:before="45" w:after="45"/>
              <w:ind w:right="108"/>
              <w:jc w:val="right"/>
              <w:rPr>
                <w:rFonts w:ascii="Arial (Body)" w:hAnsi="Arial (Body)"/>
                <w:color w:val="000000"/>
              </w:rPr>
            </w:pPr>
            <w:r w:rsidRPr="00EF0D5C">
              <w:t>15%</w:t>
            </w:r>
          </w:p>
        </w:tc>
        <w:tc>
          <w:tcPr>
            <w:tcW w:w="1389" w:type="dxa"/>
            <w:tcBorders>
              <w:top w:val="nil"/>
              <w:bottom w:val="nil"/>
            </w:tcBorders>
            <w:shd w:val="clear" w:color="000000" w:fill="F2F2F2"/>
          </w:tcPr>
          <w:p w14:paraId="3D51C7B5" w14:textId="77777777" w:rsidR="008E7FC3" w:rsidRDefault="008E7FC3" w:rsidP="00177648">
            <w:pPr>
              <w:pStyle w:val="TableBody"/>
              <w:spacing w:before="45" w:after="45"/>
              <w:ind w:right="108"/>
              <w:jc w:val="right"/>
              <w:rPr>
                <w:rFonts w:ascii="Arial (Body)" w:hAnsi="Arial (Body)"/>
                <w:color w:val="000000"/>
              </w:rPr>
            </w:pPr>
            <w:r w:rsidRPr="00EF0D5C">
              <w:t>15%</w:t>
            </w:r>
          </w:p>
        </w:tc>
        <w:tc>
          <w:tcPr>
            <w:tcW w:w="1389" w:type="dxa"/>
            <w:tcBorders>
              <w:top w:val="nil"/>
              <w:bottom w:val="nil"/>
            </w:tcBorders>
            <w:shd w:val="clear" w:color="000000" w:fill="F2F2F2"/>
          </w:tcPr>
          <w:p w14:paraId="0567456C" w14:textId="77777777" w:rsidR="008E7FC3" w:rsidRDefault="008E7FC3" w:rsidP="00177648">
            <w:pPr>
              <w:pStyle w:val="TableBody"/>
              <w:spacing w:before="45" w:after="45"/>
              <w:ind w:right="108"/>
              <w:jc w:val="right"/>
              <w:rPr>
                <w:rFonts w:ascii="Arial (Body)" w:hAnsi="Arial (Body)"/>
                <w:color w:val="000000"/>
              </w:rPr>
            </w:pPr>
            <w:r w:rsidRPr="00EF0D5C">
              <w:t>22%</w:t>
            </w:r>
          </w:p>
        </w:tc>
        <w:tc>
          <w:tcPr>
            <w:tcW w:w="1389" w:type="dxa"/>
            <w:tcBorders>
              <w:top w:val="nil"/>
              <w:bottom w:val="nil"/>
            </w:tcBorders>
            <w:shd w:val="clear" w:color="000000" w:fill="F2F2F2"/>
          </w:tcPr>
          <w:p w14:paraId="65DEEB77" w14:textId="77777777" w:rsidR="008E7FC3" w:rsidRDefault="008E7FC3" w:rsidP="00177648">
            <w:pPr>
              <w:pStyle w:val="TableBody"/>
              <w:spacing w:before="45" w:after="45"/>
              <w:ind w:right="108"/>
              <w:jc w:val="right"/>
              <w:rPr>
                <w:rFonts w:ascii="Arial (Body)" w:hAnsi="Arial (Body)"/>
                <w:color w:val="000000"/>
              </w:rPr>
            </w:pPr>
            <w:r w:rsidRPr="00EF0D5C">
              <w:t>48%</w:t>
            </w:r>
          </w:p>
        </w:tc>
        <w:tc>
          <w:tcPr>
            <w:tcW w:w="1389" w:type="dxa"/>
            <w:tcBorders>
              <w:top w:val="nil"/>
              <w:bottom w:val="nil"/>
            </w:tcBorders>
            <w:shd w:val="clear" w:color="000000" w:fill="F2F2F2"/>
          </w:tcPr>
          <w:p w14:paraId="33FC2D04" w14:textId="77777777" w:rsidR="008E7FC3" w:rsidRPr="00EF0D5C" w:rsidRDefault="008E7FC3" w:rsidP="00177648">
            <w:pPr>
              <w:pStyle w:val="TableBody"/>
              <w:spacing w:before="45" w:after="45"/>
              <w:ind w:right="108"/>
              <w:jc w:val="right"/>
            </w:pPr>
            <w:r w:rsidRPr="004B7738">
              <w:t>8.3</w:t>
            </w:r>
            <w:r>
              <w:t xml:space="preserve"> (66%)</w:t>
            </w:r>
          </w:p>
        </w:tc>
      </w:tr>
      <w:tr w:rsidR="008E7FC3" w:rsidRPr="00030C67" w14:paraId="42FCE56E" w14:textId="77777777" w:rsidTr="00177648">
        <w:tc>
          <w:tcPr>
            <w:tcW w:w="2694" w:type="dxa"/>
            <w:tcBorders>
              <w:bottom w:val="single" w:sz="4" w:space="0" w:color="B3B3B3"/>
            </w:tcBorders>
            <w:shd w:val="clear" w:color="000000" w:fill="auto"/>
          </w:tcPr>
          <w:p w14:paraId="7E25B7D9"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389" w:type="dxa"/>
            <w:tcBorders>
              <w:bottom w:val="single" w:sz="4" w:space="0" w:color="B3B3B3"/>
            </w:tcBorders>
            <w:shd w:val="clear" w:color="000000" w:fill="auto"/>
          </w:tcPr>
          <w:p w14:paraId="080AF5D9" w14:textId="77777777" w:rsidR="008E7FC3" w:rsidRDefault="008E7FC3" w:rsidP="00177648">
            <w:pPr>
              <w:pStyle w:val="TableBody"/>
              <w:spacing w:before="45" w:after="45"/>
              <w:ind w:right="108"/>
              <w:jc w:val="right"/>
              <w:rPr>
                <w:rFonts w:ascii="Arial (Body)" w:hAnsi="Arial (Body)"/>
                <w:color w:val="000000"/>
              </w:rPr>
            </w:pPr>
            <w:r w:rsidRPr="00EF0D5C">
              <w:t>21%</w:t>
            </w:r>
          </w:p>
        </w:tc>
        <w:tc>
          <w:tcPr>
            <w:tcW w:w="1389" w:type="dxa"/>
            <w:tcBorders>
              <w:bottom w:val="single" w:sz="4" w:space="0" w:color="B3B3B3"/>
            </w:tcBorders>
            <w:shd w:val="clear" w:color="000000" w:fill="auto"/>
          </w:tcPr>
          <w:p w14:paraId="27863C9B" w14:textId="77777777" w:rsidR="008E7FC3" w:rsidRDefault="008E7FC3" w:rsidP="00177648">
            <w:pPr>
              <w:pStyle w:val="TableBody"/>
              <w:spacing w:before="45" w:after="45"/>
              <w:ind w:right="108"/>
              <w:jc w:val="right"/>
              <w:rPr>
                <w:rFonts w:ascii="Arial (Body)" w:hAnsi="Arial (Body)"/>
                <w:color w:val="000000"/>
              </w:rPr>
            </w:pPr>
            <w:r w:rsidRPr="00EF0D5C">
              <w:t>15%</w:t>
            </w:r>
          </w:p>
        </w:tc>
        <w:tc>
          <w:tcPr>
            <w:tcW w:w="1389" w:type="dxa"/>
            <w:tcBorders>
              <w:bottom w:val="single" w:sz="4" w:space="0" w:color="B3B3B3"/>
            </w:tcBorders>
            <w:shd w:val="clear" w:color="000000" w:fill="auto"/>
          </w:tcPr>
          <w:p w14:paraId="63CFD7AE" w14:textId="77777777" w:rsidR="008E7FC3" w:rsidRDefault="008E7FC3" w:rsidP="00177648">
            <w:pPr>
              <w:pStyle w:val="TableBody"/>
              <w:spacing w:before="45" w:after="45"/>
              <w:ind w:right="108"/>
              <w:jc w:val="right"/>
              <w:rPr>
                <w:rFonts w:ascii="Arial (Body)" w:hAnsi="Arial (Body)"/>
                <w:color w:val="000000"/>
              </w:rPr>
            </w:pPr>
            <w:r w:rsidRPr="00EF0D5C">
              <w:t>20%</w:t>
            </w:r>
          </w:p>
        </w:tc>
        <w:tc>
          <w:tcPr>
            <w:tcW w:w="1389" w:type="dxa"/>
            <w:tcBorders>
              <w:bottom w:val="single" w:sz="4" w:space="0" w:color="B3B3B3"/>
            </w:tcBorders>
            <w:shd w:val="clear" w:color="000000" w:fill="auto"/>
          </w:tcPr>
          <w:p w14:paraId="37921217" w14:textId="77777777" w:rsidR="008E7FC3" w:rsidRDefault="008E7FC3" w:rsidP="00177648">
            <w:pPr>
              <w:pStyle w:val="TableBody"/>
              <w:spacing w:before="45" w:after="45"/>
              <w:ind w:right="108"/>
              <w:jc w:val="right"/>
              <w:rPr>
                <w:rFonts w:ascii="Arial (Body)" w:hAnsi="Arial (Body)"/>
                <w:color w:val="000000"/>
              </w:rPr>
            </w:pPr>
            <w:r w:rsidRPr="00EF0D5C">
              <w:t>43%</w:t>
            </w:r>
          </w:p>
        </w:tc>
        <w:tc>
          <w:tcPr>
            <w:tcW w:w="1389" w:type="dxa"/>
            <w:tcBorders>
              <w:bottom w:val="single" w:sz="4" w:space="0" w:color="B3B3B3"/>
            </w:tcBorders>
            <w:shd w:val="clear" w:color="000000" w:fill="auto"/>
          </w:tcPr>
          <w:p w14:paraId="79CCDB10" w14:textId="77777777" w:rsidR="008E7FC3" w:rsidRPr="00EF0D5C" w:rsidRDefault="008E7FC3" w:rsidP="00177648">
            <w:pPr>
              <w:pStyle w:val="TableBody"/>
              <w:spacing w:before="45" w:after="45"/>
              <w:ind w:right="108"/>
              <w:jc w:val="right"/>
            </w:pPr>
            <w:r w:rsidRPr="004B7738">
              <w:t>9.1</w:t>
            </w:r>
            <w:r>
              <w:t xml:space="preserve"> (72%)</w:t>
            </w:r>
          </w:p>
        </w:tc>
      </w:tr>
    </w:tbl>
    <w:p w14:paraId="7AFA8719" w14:textId="77777777" w:rsidR="008E7FC3" w:rsidRDefault="008E7FC3" w:rsidP="008E7FC3">
      <w:pPr>
        <w:pStyle w:val="Note"/>
      </w:pPr>
      <w:r w:rsidRPr="00C36914">
        <w:rPr>
          <w:b/>
          <w:bCs/>
        </w:rPr>
        <w:t>a.</w:t>
      </w:r>
      <w:r w:rsidRPr="00C36914">
        <w:t xml:space="preserve"> </w:t>
      </w:r>
      <w:r>
        <w:t>Income quartiles are based on household disposable income before any change in policy</w:t>
      </w:r>
      <w:r w:rsidRPr="00C36914">
        <w:t xml:space="preserve">. </w:t>
      </w:r>
      <w:r w:rsidRPr="00FD0F8E">
        <w:rPr>
          <w:b/>
          <w:bCs/>
        </w:rPr>
        <w:t>b.</w:t>
      </w:r>
      <w:r>
        <w:t xml:space="preserve"> The change in CCS expenditure was benchmarked to the amount the government is expected to provide in CCS payments in 2023</w:t>
      </w:r>
      <w:r>
        <w:noBreakHyphen/>
        <w:t xml:space="preserve">24 </w:t>
      </w:r>
      <w:r w:rsidRPr="00987547">
        <w:rPr>
          <w:rFonts w:ascii="Arial" w:hAnsi="Arial" w:cs="Arial"/>
        </w:rPr>
        <w:t>(Department of Education 2023, p. 28)</w:t>
      </w:r>
      <w:r>
        <w:t>. This was achieved by applying the percentage change to CCS payments as modelled in CAPITA</w:t>
      </w:r>
      <w:r>
        <w:noBreakHyphen/>
        <w:t>B with ECEC to the benchmark.</w:t>
      </w:r>
    </w:p>
    <w:p w14:paraId="781DB7A0"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271A648C" w14:textId="77777777" w:rsidR="008E7FC3" w:rsidRPr="00565F13" w:rsidRDefault="008E7FC3" w:rsidP="008E7FC3">
      <w:pPr>
        <w:pStyle w:val="BodyText"/>
      </w:pPr>
      <w:r w:rsidRPr="00565F13">
        <w:br w:type="page"/>
      </w:r>
    </w:p>
    <w:p w14:paraId="3A90063B" w14:textId="77777777" w:rsidR="008E7FC3" w:rsidRDefault="008E7FC3" w:rsidP="008E7FC3">
      <w:pPr>
        <w:pStyle w:val="FigureTableHeading"/>
      </w:pPr>
      <w:r>
        <w:lastRenderedPageBreak/>
        <w:t xml:space="preserve">Table </w:t>
      </w:r>
      <w:r>
        <w:rPr>
          <w:noProof/>
        </w:rPr>
        <w:t>G</w:t>
      </w:r>
      <w:r>
        <w:t>.</w:t>
      </w:r>
      <w:r>
        <w:rPr>
          <w:noProof/>
        </w:rPr>
        <w:t xml:space="preserve">23 – </w:t>
      </w:r>
      <w:r>
        <w:t>Net fiscal impact</w:t>
      </w:r>
      <w:r w:rsidRPr="00EC0C27">
        <w:rPr>
          <w:vertAlign w:val="superscript"/>
        </w:rPr>
        <w:t>a</w:t>
      </w:r>
    </w:p>
    <w:p w14:paraId="424BE830" w14:textId="77777777" w:rsidR="008E7FC3" w:rsidRDefault="008E7FC3" w:rsidP="008E7FC3">
      <w:pPr>
        <w:pStyle w:val="FigureTableSubheading"/>
      </w:pPr>
      <w:r>
        <w:t>Modelled estimates ($m), 2023</w:t>
      </w:r>
      <w:r>
        <w:noBreakHyphen/>
        <w:t>24</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1736"/>
        <w:gridCol w:w="1736"/>
        <w:gridCol w:w="1736"/>
        <w:gridCol w:w="1737"/>
      </w:tblGrid>
      <w:tr w:rsidR="008E7FC3" w:rsidRPr="00030C67" w14:paraId="48A80889" w14:textId="77777777" w:rsidTr="006510ED">
        <w:trPr>
          <w:tblHeader/>
        </w:trPr>
        <w:tc>
          <w:tcPr>
            <w:tcW w:w="2694" w:type="dxa"/>
            <w:tcBorders>
              <w:bottom w:val="single" w:sz="4" w:space="0" w:color="B3B3B3"/>
            </w:tcBorders>
            <w:shd w:val="clear" w:color="000000" w:fill="auto"/>
            <w:vAlign w:val="bottom"/>
          </w:tcPr>
          <w:p w14:paraId="751762B5" w14:textId="77777777" w:rsidR="008E7FC3" w:rsidRPr="00030C67" w:rsidRDefault="008E7FC3" w:rsidP="006510ED">
            <w:pPr>
              <w:pStyle w:val="TableHeading"/>
              <w:rPr>
                <w:rFonts w:ascii="Arial (Body)" w:hAnsi="Arial (Body)"/>
                <w:color w:val="265A9A"/>
              </w:rPr>
            </w:pPr>
            <w:r>
              <w:rPr>
                <w:rFonts w:ascii="Arial (Body)" w:hAnsi="Arial (Body)"/>
                <w:color w:val="265A9A"/>
              </w:rPr>
              <w:t>Options</w:t>
            </w:r>
          </w:p>
        </w:tc>
        <w:tc>
          <w:tcPr>
            <w:tcW w:w="1736" w:type="dxa"/>
            <w:tcBorders>
              <w:bottom w:val="single" w:sz="4" w:space="0" w:color="B3B3B3"/>
            </w:tcBorders>
            <w:shd w:val="clear" w:color="000000" w:fill="auto"/>
            <w:vAlign w:val="bottom"/>
          </w:tcPr>
          <w:p w14:paraId="1D32C1D3" w14:textId="77777777" w:rsidR="008E7FC3" w:rsidRPr="00030C67" w:rsidRDefault="008E7FC3" w:rsidP="006510ED">
            <w:pPr>
              <w:pStyle w:val="TableHeading"/>
              <w:jc w:val="right"/>
            </w:pPr>
            <w:r>
              <w:t>Change in CCS expenditure</w:t>
            </w:r>
          </w:p>
        </w:tc>
        <w:tc>
          <w:tcPr>
            <w:tcW w:w="1736" w:type="dxa"/>
            <w:tcBorders>
              <w:bottom w:val="single" w:sz="4" w:space="0" w:color="B3B3B3"/>
            </w:tcBorders>
            <w:shd w:val="clear" w:color="000000" w:fill="auto"/>
            <w:vAlign w:val="bottom"/>
          </w:tcPr>
          <w:p w14:paraId="3F429019" w14:textId="77777777" w:rsidR="008E7FC3" w:rsidRPr="00030C67" w:rsidRDefault="008E7FC3" w:rsidP="006510ED">
            <w:pPr>
              <w:pStyle w:val="TableHeading"/>
              <w:jc w:val="right"/>
            </w:pPr>
            <w:r>
              <w:t>Change in other expenditure</w:t>
            </w:r>
            <w:r w:rsidRPr="00EC0C27">
              <w:rPr>
                <w:vertAlign w:val="superscript"/>
              </w:rPr>
              <w:t>b</w:t>
            </w:r>
          </w:p>
        </w:tc>
        <w:tc>
          <w:tcPr>
            <w:tcW w:w="1736" w:type="dxa"/>
            <w:tcBorders>
              <w:bottom w:val="single" w:sz="4" w:space="0" w:color="B3B3B3"/>
            </w:tcBorders>
            <w:shd w:val="clear" w:color="000000" w:fill="auto"/>
            <w:vAlign w:val="bottom"/>
          </w:tcPr>
          <w:p w14:paraId="779EDDC1" w14:textId="77777777" w:rsidR="008E7FC3" w:rsidRPr="00030C67" w:rsidRDefault="008E7FC3" w:rsidP="006510ED">
            <w:pPr>
              <w:pStyle w:val="TableHeading"/>
              <w:jc w:val="right"/>
            </w:pPr>
            <w:r>
              <w:t>Change in personal income tax revenue</w:t>
            </w:r>
          </w:p>
        </w:tc>
        <w:tc>
          <w:tcPr>
            <w:tcW w:w="1737" w:type="dxa"/>
            <w:tcBorders>
              <w:bottom w:val="single" w:sz="4" w:space="0" w:color="B3B3B3"/>
            </w:tcBorders>
            <w:shd w:val="clear" w:color="000000" w:fill="auto"/>
            <w:vAlign w:val="bottom"/>
          </w:tcPr>
          <w:p w14:paraId="24AE2AAE" w14:textId="77777777" w:rsidR="008E7FC3" w:rsidRPr="00030C67" w:rsidRDefault="008E7FC3" w:rsidP="006510ED">
            <w:pPr>
              <w:pStyle w:val="TableHeading"/>
              <w:jc w:val="right"/>
            </w:pPr>
            <w:r>
              <w:t>Overall fiscal impact</w:t>
            </w:r>
            <w:r w:rsidRPr="00D00728">
              <w:rPr>
                <w:vertAlign w:val="superscript"/>
              </w:rPr>
              <w:t>c</w:t>
            </w:r>
          </w:p>
        </w:tc>
      </w:tr>
      <w:tr w:rsidR="008E7FC3" w:rsidRPr="00030C67" w14:paraId="0A241B5F" w14:textId="77777777" w:rsidTr="00177648">
        <w:tc>
          <w:tcPr>
            <w:tcW w:w="2694" w:type="dxa"/>
            <w:tcBorders>
              <w:top w:val="single" w:sz="4" w:space="0" w:color="B3B3B3"/>
              <w:bottom w:val="nil"/>
            </w:tcBorders>
            <w:shd w:val="clear" w:color="000000" w:fill="F2F2F2"/>
          </w:tcPr>
          <w:p w14:paraId="715C59DE"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t>er</w:t>
            </w:r>
            <w:r>
              <w:noBreakHyphen/>
            </w:r>
            <w:r w:rsidRPr="00F04A20">
              <w:t>income families</w:t>
            </w:r>
          </w:p>
        </w:tc>
        <w:tc>
          <w:tcPr>
            <w:tcW w:w="1736" w:type="dxa"/>
            <w:tcBorders>
              <w:top w:val="single" w:sz="4" w:space="0" w:color="B3B3B3"/>
              <w:bottom w:val="nil"/>
            </w:tcBorders>
            <w:shd w:val="clear" w:color="000000" w:fill="F2F2F2"/>
          </w:tcPr>
          <w:p w14:paraId="7EF07B47" w14:textId="77777777" w:rsidR="008E7FC3" w:rsidRPr="00030C67" w:rsidRDefault="008E7FC3" w:rsidP="00177648">
            <w:pPr>
              <w:pStyle w:val="TableBody"/>
              <w:spacing w:before="45" w:after="45"/>
              <w:ind w:right="108"/>
              <w:jc w:val="right"/>
              <w:rPr>
                <w:rFonts w:ascii="Arial (Body)" w:hAnsi="Arial (Body)"/>
                <w:color w:val="000000"/>
              </w:rPr>
            </w:pPr>
            <w:r w:rsidRPr="002A795F">
              <w:t>4,700</w:t>
            </w:r>
          </w:p>
        </w:tc>
        <w:tc>
          <w:tcPr>
            <w:tcW w:w="1736" w:type="dxa"/>
            <w:tcBorders>
              <w:top w:val="single" w:sz="4" w:space="0" w:color="B3B3B3"/>
              <w:bottom w:val="nil"/>
            </w:tcBorders>
            <w:shd w:val="clear" w:color="000000" w:fill="F2F2F2"/>
          </w:tcPr>
          <w:p w14:paraId="6AB646B4" w14:textId="77777777" w:rsidR="008E7FC3" w:rsidRPr="00030C67" w:rsidRDefault="008E7FC3" w:rsidP="00177648">
            <w:pPr>
              <w:pStyle w:val="TableBody"/>
              <w:spacing w:before="45" w:after="45"/>
              <w:ind w:right="108"/>
              <w:jc w:val="right"/>
              <w:rPr>
                <w:rFonts w:ascii="Arial (Body)" w:hAnsi="Arial (Body)"/>
                <w:color w:val="000000"/>
              </w:rPr>
            </w:pPr>
            <w:r w:rsidRPr="00C47F09">
              <w:t>30</w:t>
            </w:r>
          </w:p>
        </w:tc>
        <w:tc>
          <w:tcPr>
            <w:tcW w:w="1736" w:type="dxa"/>
            <w:tcBorders>
              <w:top w:val="single" w:sz="4" w:space="0" w:color="B3B3B3"/>
              <w:bottom w:val="nil"/>
            </w:tcBorders>
            <w:shd w:val="clear" w:color="000000" w:fill="F2F2F2"/>
          </w:tcPr>
          <w:p w14:paraId="6DC36797" w14:textId="77777777" w:rsidR="008E7FC3" w:rsidRDefault="008E7FC3" w:rsidP="00177648">
            <w:pPr>
              <w:pStyle w:val="TableBody"/>
              <w:spacing w:before="45" w:after="45"/>
              <w:ind w:right="108"/>
              <w:jc w:val="right"/>
              <w:rPr>
                <w:rFonts w:ascii="Arial (Body)" w:hAnsi="Arial (Body)"/>
                <w:color w:val="000000"/>
              </w:rPr>
            </w:pPr>
            <w:r w:rsidRPr="004E6C74">
              <w:t>-10</w:t>
            </w:r>
          </w:p>
        </w:tc>
        <w:tc>
          <w:tcPr>
            <w:tcW w:w="1737" w:type="dxa"/>
            <w:tcBorders>
              <w:top w:val="single" w:sz="4" w:space="0" w:color="B3B3B3"/>
              <w:bottom w:val="nil"/>
            </w:tcBorders>
            <w:shd w:val="clear" w:color="000000" w:fill="F2F2F2"/>
          </w:tcPr>
          <w:p w14:paraId="7C6A03E3" w14:textId="77777777" w:rsidR="008E7FC3" w:rsidRDefault="008E7FC3" w:rsidP="00177648">
            <w:pPr>
              <w:pStyle w:val="TableBody"/>
              <w:spacing w:before="45" w:after="45"/>
              <w:ind w:right="108"/>
              <w:jc w:val="right"/>
              <w:rPr>
                <w:rFonts w:ascii="Arial (Body)" w:hAnsi="Arial (Body)"/>
                <w:color w:val="000000"/>
              </w:rPr>
            </w:pPr>
            <w:r w:rsidRPr="003C5706">
              <w:t>4,800</w:t>
            </w:r>
          </w:p>
        </w:tc>
      </w:tr>
      <w:tr w:rsidR="008E7FC3" w:rsidRPr="00030C67" w14:paraId="7FBEEE3B" w14:textId="77777777" w:rsidTr="00177648">
        <w:tc>
          <w:tcPr>
            <w:tcW w:w="2694" w:type="dxa"/>
            <w:tcBorders>
              <w:top w:val="nil"/>
              <w:bottom w:val="nil"/>
            </w:tcBorders>
            <w:shd w:val="clear" w:color="000000" w:fill="auto"/>
          </w:tcPr>
          <w:p w14:paraId="263AC163" w14:textId="77777777" w:rsidR="008E7FC3" w:rsidRPr="00030C67" w:rsidRDefault="008E7FC3" w:rsidP="00177648">
            <w:pPr>
              <w:pStyle w:val="TableHeading"/>
            </w:pPr>
            <w:r w:rsidRPr="00F04A20">
              <w:t xml:space="preserve">2: Increase the subsidy </w:t>
            </w:r>
            <w:r>
              <w:t xml:space="preserve">rate to 100% </w:t>
            </w:r>
            <w:r w:rsidRPr="00F04A20">
              <w:t>for low</w:t>
            </w:r>
            <w:r>
              <w:t>er</w:t>
            </w:r>
            <w:r w:rsidRPr="00F04A20">
              <w:rPr>
                <w:rFonts w:ascii="Cambria Math" w:hAnsi="Cambria Math" w:cs="Cambria Math"/>
              </w:rPr>
              <w:t>‑</w:t>
            </w:r>
            <w:r w:rsidRPr="00F04A20">
              <w:t>income families</w:t>
            </w:r>
          </w:p>
        </w:tc>
        <w:tc>
          <w:tcPr>
            <w:tcW w:w="1736" w:type="dxa"/>
            <w:tcBorders>
              <w:top w:val="nil"/>
              <w:bottom w:val="nil"/>
            </w:tcBorders>
            <w:shd w:val="clear" w:color="000000" w:fill="auto"/>
          </w:tcPr>
          <w:p w14:paraId="3719BD72" w14:textId="77777777" w:rsidR="008E7FC3" w:rsidRPr="00030C67" w:rsidRDefault="008E7FC3" w:rsidP="00177648">
            <w:pPr>
              <w:pStyle w:val="TableBody"/>
              <w:spacing w:before="45" w:after="45"/>
              <w:ind w:right="108"/>
              <w:jc w:val="right"/>
              <w:rPr>
                <w:rFonts w:ascii="Arial (Body)" w:hAnsi="Arial (Body)"/>
                <w:color w:val="000000"/>
              </w:rPr>
            </w:pPr>
            <w:r w:rsidRPr="002A795F">
              <w:t>2,300</w:t>
            </w:r>
          </w:p>
        </w:tc>
        <w:tc>
          <w:tcPr>
            <w:tcW w:w="1736" w:type="dxa"/>
            <w:tcBorders>
              <w:top w:val="nil"/>
              <w:bottom w:val="nil"/>
            </w:tcBorders>
            <w:shd w:val="clear" w:color="000000" w:fill="auto"/>
          </w:tcPr>
          <w:p w14:paraId="71858704" w14:textId="77777777" w:rsidR="008E7FC3" w:rsidRPr="00030C67" w:rsidRDefault="008E7FC3" w:rsidP="00177648">
            <w:pPr>
              <w:pStyle w:val="TableBody"/>
              <w:spacing w:before="45" w:after="45"/>
              <w:ind w:right="108"/>
              <w:jc w:val="right"/>
              <w:rPr>
                <w:rFonts w:ascii="Arial (Body)" w:hAnsi="Arial (Body)"/>
                <w:color w:val="000000"/>
              </w:rPr>
            </w:pPr>
            <w:r w:rsidRPr="00C47F09">
              <w:t>-100</w:t>
            </w:r>
          </w:p>
        </w:tc>
        <w:tc>
          <w:tcPr>
            <w:tcW w:w="1736" w:type="dxa"/>
            <w:tcBorders>
              <w:top w:val="nil"/>
              <w:bottom w:val="nil"/>
            </w:tcBorders>
            <w:shd w:val="clear" w:color="000000" w:fill="auto"/>
          </w:tcPr>
          <w:p w14:paraId="2A99A508" w14:textId="77777777" w:rsidR="008E7FC3" w:rsidRDefault="008E7FC3" w:rsidP="00177648">
            <w:pPr>
              <w:pStyle w:val="TableBody"/>
              <w:spacing w:before="45" w:after="45"/>
              <w:ind w:right="108"/>
              <w:jc w:val="right"/>
              <w:rPr>
                <w:rFonts w:ascii="Arial (Body)" w:hAnsi="Arial (Body)"/>
                <w:color w:val="000000"/>
              </w:rPr>
            </w:pPr>
            <w:r w:rsidRPr="004E6C74">
              <w:t>100</w:t>
            </w:r>
          </w:p>
        </w:tc>
        <w:tc>
          <w:tcPr>
            <w:tcW w:w="1737" w:type="dxa"/>
            <w:tcBorders>
              <w:top w:val="nil"/>
              <w:bottom w:val="nil"/>
            </w:tcBorders>
            <w:shd w:val="clear" w:color="000000" w:fill="auto"/>
          </w:tcPr>
          <w:p w14:paraId="635CF20E" w14:textId="77777777" w:rsidR="008E7FC3" w:rsidRDefault="008E7FC3" w:rsidP="00177648">
            <w:pPr>
              <w:pStyle w:val="TableBody"/>
              <w:spacing w:before="45" w:after="45"/>
              <w:ind w:right="108"/>
              <w:jc w:val="right"/>
              <w:rPr>
                <w:rFonts w:ascii="Arial (Body)" w:hAnsi="Arial (Body)"/>
                <w:color w:val="000000"/>
              </w:rPr>
            </w:pPr>
            <w:r w:rsidRPr="003C5706">
              <w:t>2,100</w:t>
            </w:r>
          </w:p>
        </w:tc>
      </w:tr>
      <w:tr w:rsidR="008E7FC3" w:rsidRPr="00030C67" w14:paraId="75E4DECF" w14:textId="77777777" w:rsidTr="00177648">
        <w:tc>
          <w:tcPr>
            <w:tcW w:w="2694" w:type="dxa"/>
            <w:tcBorders>
              <w:bottom w:val="nil"/>
            </w:tcBorders>
            <w:shd w:val="clear" w:color="000000" w:fill="F2F2F2"/>
          </w:tcPr>
          <w:p w14:paraId="5AC643E5" w14:textId="77777777" w:rsidR="008E7FC3" w:rsidRPr="00030C67" w:rsidRDefault="008E7FC3" w:rsidP="00177648">
            <w:pPr>
              <w:pStyle w:val="TableHeading"/>
            </w:pPr>
            <w:r w:rsidRPr="00F04A20">
              <w:t>3: Abolish the activity test for all families and retain income testing</w:t>
            </w:r>
          </w:p>
        </w:tc>
        <w:tc>
          <w:tcPr>
            <w:tcW w:w="1736" w:type="dxa"/>
            <w:tcBorders>
              <w:bottom w:val="nil"/>
            </w:tcBorders>
            <w:shd w:val="clear" w:color="000000" w:fill="F2F2F2"/>
          </w:tcPr>
          <w:p w14:paraId="032788C7" w14:textId="77777777" w:rsidR="008E7FC3" w:rsidRPr="00030C67" w:rsidRDefault="008E7FC3" w:rsidP="00177648">
            <w:pPr>
              <w:pStyle w:val="TableBody"/>
              <w:spacing w:before="45" w:after="45"/>
              <w:ind w:right="108"/>
              <w:jc w:val="right"/>
              <w:rPr>
                <w:rFonts w:ascii="Arial (Body)" w:hAnsi="Arial (Body)"/>
                <w:color w:val="000000"/>
              </w:rPr>
            </w:pPr>
            <w:r w:rsidRPr="002A795F">
              <w:t>2,100</w:t>
            </w:r>
          </w:p>
        </w:tc>
        <w:tc>
          <w:tcPr>
            <w:tcW w:w="1736" w:type="dxa"/>
            <w:tcBorders>
              <w:bottom w:val="nil"/>
            </w:tcBorders>
            <w:shd w:val="clear" w:color="000000" w:fill="F2F2F2"/>
          </w:tcPr>
          <w:p w14:paraId="1EB6F2F1" w14:textId="77777777" w:rsidR="008E7FC3" w:rsidRPr="00030C67" w:rsidRDefault="008E7FC3" w:rsidP="00177648">
            <w:pPr>
              <w:pStyle w:val="TableBody"/>
              <w:spacing w:before="45" w:after="45"/>
              <w:ind w:right="108"/>
              <w:jc w:val="right"/>
              <w:rPr>
                <w:rFonts w:ascii="Arial (Body)" w:hAnsi="Arial (Body)"/>
                <w:color w:val="000000"/>
              </w:rPr>
            </w:pPr>
            <w:r w:rsidRPr="00C47F09">
              <w:t>100</w:t>
            </w:r>
          </w:p>
        </w:tc>
        <w:tc>
          <w:tcPr>
            <w:tcW w:w="1736" w:type="dxa"/>
            <w:tcBorders>
              <w:bottom w:val="nil"/>
            </w:tcBorders>
            <w:shd w:val="clear" w:color="000000" w:fill="F2F2F2"/>
          </w:tcPr>
          <w:p w14:paraId="6B92C751" w14:textId="77777777" w:rsidR="008E7FC3" w:rsidRDefault="008E7FC3" w:rsidP="00177648">
            <w:pPr>
              <w:pStyle w:val="TableBody"/>
              <w:spacing w:before="45" w:after="45"/>
              <w:ind w:right="108"/>
              <w:jc w:val="right"/>
              <w:rPr>
                <w:rFonts w:ascii="Arial (Body)" w:hAnsi="Arial (Body)"/>
                <w:color w:val="000000"/>
              </w:rPr>
            </w:pPr>
            <w:r w:rsidRPr="004E6C74">
              <w:t>-90</w:t>
            </w:r>
          </w:p>
        </w:tc>
        <w:tc>
          <w:tcPr>
            <w:tcW w:w="1737" w:type="dxa"/>
            <w:tcBorders>
              <w:bottom w:val="nil"/>
            </w:tcBorders>
            <w:shd w:val="clear" w:color="000000" w:fill="F2F2F2"/>
          </w:tcPr>
          <w:p w14:paraId="78F54F01" w14:textId="77777777" w:rsidR="008E7FC3" w:rsidRDefault="008E7FC3" w:rsidP="00177648">
            <w:pPr>
              <w:pStyle w:val="TableBody"/>
              <w:spacing w:before="45" w:after="45"/>
              <w:ind w:right="108"/>
              <w:jc w:val="right"/>
              <w:rPr>
                <w:rFonts w:ascii="Arial (Body)" w:hAnsi="Arial (Body)"/>
                <w:color w:val="000000"/>
              </w:rPr>
            </w:pPr>
            <w:r w:rsidRPr="003C5706">
              <w:t>2,300</w:t>
            </w:r>
          </w:p>
        </w:tc>
      </w:tr>
      <w:tr w:rsidR="008E7FC3" w:rsidRPr="00030C67" w14:paraId="2AFABC7F" w14:textId="77777777" w:rsidTr="00177648">
        <w:tc>
          <w:tcPr>
            <w:tcW w:w="2694" w:type="dxa"/>
            <w:tcBorders>
              <w:bottom w:val="nil"/>
            </w:tcBorders>
            <w:shd w:val="clear" w:color="000000" w:fill="auto"/>
          </w:tcPr>
          <w:p w14:paraId="6844985E"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t>er</w:t>
            </w:r>
            <w:r>
              <w:noBreakHyphen/>
            </w:r>
            <w:r w:rsidRPr="00F04A20">
              <w:t>income families</w:t>
            </w:r>
          </w:p>
        </w:tc>
        <w:tc>
          <w:tcPr>
            <w:tcW w:w="1736" w:type="dxa"/>
            <w:tcBorders>
              <w:bottom w:val="nil"/>
            </w:tcBorders>
            <w:shd w:val="clear" w:color="000000" w:fill="auto"/>
          </w:tcPr>
          <w:p w14:paraId="2A964104" w14:textId="77777777" w:rsidR="008E7FC3" w:rsidRDefault="008E7FC3" w:rsidP="00177648">
            <w:pPr>
              <w:pStyle w:val="TableBody"/>
              <w:spacing w:before="45" w:after="45"/>
              <w:ind w:right="108"/>
              <w:jc w:val="right"/>
              <w:rPr>
                <w:rFonts w:ascii="Arial (Body)" w:hAnsi="Arial (Body)"/>
                <w:color w:val="000000"/>
              </w:rPr>
            </w:pPr>
            <w:r w:rsidRPr="002A795F">
              <w:t>4,300</w:t>
            </w:r>
          </w:p>
        </w:tc>
        <w:tc>
          <w:tcPr>
            <w:tcW w:w="1736" w:type="dxa"/>
            <w:tcBorders>
              <w:bottom w:val="nil"/>
            </w:tcBorders>
            <w:shd w:val="clear" w:color="000000" w:fill="auto"/>
          </w:tcPr>
          <w:p w14:paraId="6148FB63" w14:textId="77777777" w:rsidR="008E7FC3" w:rsidRDefault="008E7FC3" w:rsidP="00177648">
            <w:pPr>
              <w:pStyle w:val="TableBody"/>
              <w:spacing w:before="45" w:after="45"/>
              <w:ind w:right="108"/>
              <w:jc w:val="right"/>
              <w:rPr>
                <w:rFonts w:ascii="Arial (Body)" w:hAnsi="Arial (Body)"/>
                <w:color w:val="000000"/>
              </w:rPr>
            </w:pPr>
            <w:r w:rsidRPr="00C47F09">
              <w:t>0</w:t>
            </w:r>
          </w:p>
        </w:tc>
        <w:tc>
          <w:tcPr>
            <w:tcW w:w="1736" w:type="dxa"/>
            <w:tcBorders>
              <w:bottom w:val="nil"/>
            </w:tcBorders>
            <w:shd w:val="clear" w:color="000000" w:fill="auto"/>
          </w:tcPr>
          <w:p w14:paraId="47E0E300" w14:textId="77777777" w:rsidR="008E7FC3" w:rsidRDefault="008E7FC3" w:rsidP="00177648">
            <w:pPr>
              <w:pStyle w:val="TableBody"/>
              <w:spacing w:before="45" w:after="45"/>
              <w:ind w:right="108"/>
              <w:jc w:val="right"/>
              <w:rPr>
                <w:rFonts w:ascii="Arial (Body)" w:hAnsi="Arial (Body)"/>
                <w:color w:val="000000"/>
              </w:rPr>
            </w:pPr>
            <w:r w:rsidRPr="004E6C74">
              <w:t>20</w:t>
            </w:r>
          </w:p>
        </w:tc>
        <w:tc>
          <w:tcPr>
            <w:tcW w:w="1737" w:type="dxa"/>
            <w:tcBorders>
              <w:bottom w:val="nil"/>
            </w:tcBorders>
            <w:shd w:val="clear" w:color="000000" w:fill="auto"/>
          </w:tcPr>
          <w:p w14:paraId="19714F45" w14:textId="77777777" w:rsidR="008E7FC3" w:rsidRDefault="008E7FC3" w:rsidP="00177648">
            <w:pPr>
              <w:pStyle w:val="TableBody"/>
              <w:spacing w:before="45" w:after="45"/>
              <w:ind w:right="108"/>
              <w:jc w:val="right"/>
              <w:rPr>
                <w:rFonts w:ascii="Arial (Body)" w:hAnsi="Arial (Body)"/>
                <w:color w:val="000000"/>
              </w:rPr>
            </w:pPr>
            <w:r w:rsidRPr="003C5706">
              <w:t>4,200</w:t>
            </w:r>
          </w:p>
        </w:tc>
      </w:tr>
      <w:tr w:rsidR="008E7FC3" w:rsidRPr="00030C67" w14:paraId="1DB148DD" w14:textId="77777777" w:rsidTr="00177648">
        <w:tc>
          <w:tcPr>
            <w:tcW w:w="2694" w:type="dxa"/>
            <w:tcBorders>
              <w:top w:val="nil"/>
              <w:bottom w:val="nil"/>
            </w:tcBorders>
            <w:shd w:val="clear" w:color="000000" w:fill="F2F2F2"/>
          </w:tcPr>
          <w:p w14:paraId="701E10FA" w14:textId="77777777" w:rsidR="008E7FC3" w:rsidRPr="00030C67" w:rsidRDefault="008E7FC3" w:rsidP="00177648">
            <w:pPr>
              <w:pStyle w:val="TableHeading"/>
            </w:pPr>
            <w:r>
              <w:t>4a</w:t>
            </w:r>
            <w:r w:rsidRPr="00F04A20">
              <w:t>: Relax the activity test for all families and retain income testing</w:t>
            </w:r>
          </w:p>
        </w:tc>
        <w:tc>
          <w:tcPr>
            <w:tcW w:w="1736" w:type="dxa"/>
            <w:tcBorders>
              <w:top w:val="nil"/>
              <w:bottom w:val="nil"/>
            </w:tcBorders>
            <w:shd w:val="clear" w:color="000000" w:fill="F2F2F2"/>
          </w:tcPr>
          <w:p w14:paraId="4C7E338A" w14:textId="77777777" w:rsidR="008E7FC3" w:rsidRDefault="008E7FC3" w:rsidP="00177648">
            <w:pPr>
              <w:pStyle w:val="TableBody"/>
              <w:spacing w:before="45" w:after="45"/>
              <w:ind w:right="108"/>
              <w:jc w:val="right"/>
              <w:rPr>
                <w:rFonts w:ascii="Arial (Body)" w:hAnsi="Arial (Body)"/>
                <w:color w:val="000000"/>
              </w:rPr>
            </w:pPr>
            <w:r w:rsidRPr="002A795F">
              <w:t>1,700</w:t>
            </w:r>
          </w:p>
        </w:tc>
        <w:tc>
          <w:tcPr>
            <w:tcW w:w="1736" w:type="dxa"/>
            <w:tcBorders>
              <w:top w:val="nil"/>
              <w:bottom w:val="nil"/>
            </w:tcBorders>
            <w:shd w:val="clear" w:color="000000" w:fill="F2F2F2"/>
          </w:tcPr>
          <w:p w14:paraId="208C248E" w14:textId="77777777" w:rsidR="008E7FC3" w:rsidRDefault="008E7FC3" w:rsidP="00177648">
            <w:pPr>
              <w:pStyle w:val="TableBody"/>
              <w:spacing w:before="45" w:after="45"/>
              <w:ind w:right="108"/>
              <w:jc w:val="right"/>
              <w:rPr>
                <w:rFonts w:ascii="Arial (Body)" w:hAnsi="Arial (Body)"/>
                <w:color w:val="000000"/>
              </w:rPr>
            </w:pPr>
            <w:r w:rsidRPr="00C47F09">
              <w:t>80</w:t>
            </w:r>
          </w:p>
        </w:tc>
        <w:tc>
          <w:tcPr>
            <w:tcW w:w="1736" w:type="dxa"/>
            <w:tcBorders>
              <w:top w:val="nil"/>
              <w:bottom w:val="nil"/>
            </w:tcBorders>
            <w:shd w:val="clear" w:color="000000" w:fill="F2F2F2"/>
          </w:tcPr>
          <w:p w14:paraId="3B6312E2" w14:textId="77777777" w:rsidR="008E7FC3" w:rsidRDefault="008E7FC3" w:rsidP="00177648">
            <w:pPr>
              <w:pStyle w:val="TableBody"/>
              <w:spacing w:before="45" w:after="45"/>
              <w:ind w:right="108"/>
              <w:jc w:val="right"/>
              <w:rPr>
                <w:rFonts w:ascii="Arial (Body)" w:hAnsi="Arial (Body)"/>
                <w:color w:val="000000"/>
              </w:rPr>
            </w:pPr>
            <w:r w:rsidRPr="004E6C74">
              <w:t>-70</w:t>
            </w:r>
          </w:p>
        </w:tc>
        <w:tc>
          <w:tcPr>
            <w:tcW w:w="1737" w:type="dxa"/>
            <w:tcBorders>
              <w:top w:val="nil"/>
              <w:bottom w:val="nil"/>
            </w:tcBorders>
            <w:shd w:val="clear" w:color="000000" w:fill="F2F2F2"/>
          </w:tcPr>
          <w:p w14:paraId="62D843E3" w14:textId="77777777" w:rsidR="008E7FC3" w:rsidRDefault="008E7FC3" w:rsidP="00177648">
            <w:pPr>
              <w:pStyle w:val="TableBody"/>
              <w:spacing w:before="45" w:after="45"/>
              <w:ind w:right="108"/>
              <w:jc w:val="right"/>
              <w:rPr>
                <w:rFonts w:ascii="Arial (Body)" w:hAnsi="Arial (Body)"/>
                <w:color w:val="000000"/>
              </w:rPr>
            </w:pPr>
            <w:r w:rsidRPr="003C5706">
              <w:t>1,900</w:t>
            </w:r>
          </w:p>
        </w:tc>
      </w:tr>
      <w:tr w:rsidR="008E7FC3" w:rsidRPr="00030C67" w14:paraId="631E852D" w14:textId="77777777" w:rsidTr="00177648">
        <w:tc>
          <w:tcPr>
            <w:tcW w:w="2694" w:type="dxa"/>
            <w:tcBorders>
              <w:bottom w:val="nil"/>
            </w:tcBorders>
            <w:shd w:val="clear" w:color="000000" w:fill="auto"/>
          </w:tcPr>
          <w:p w14:paraId="35450141" w14:textId="77777777" w:rsidR="008E7FC3" w:rsidRPr="00030C67" w:rsidRDefault="008E7FC3" w:rsidP="00177648">
            <w:pPr>
              <w:pStyle w:val="TableHeading"/>
            </w:pPr>
            <w:r>
              <w:t>5</w:t>
            </w:r>
            <w:r w:rsidRPr="00F04A20">
              <w:t>: 90% subsidy rate for all families with activity test</w:t>
            </w:r>
          </w:p>
        </w:tc>
        <w:tc>
          <w:tcPr>
            <w:tcW w:w="1736" w:type="dxa"/>
            <w:tcBorders>
              <w:bottom w:val="nil"/>
            </w:tcBorders>
            <w:shd w:val="clear" w:color="000000" w:fill="auto"/>
          </w:tcPr>
          <w:p w14:paraId="334DF295" w14:textId="77777777" w:rsidR="008E7FC3" w:rsidRDefault="008E7FC3" w:rsidP="00177648">
            <w:pPr>
              <w:pStyle w:val="TableBody"/>
              <w:spacing w:before="45" w:after="45"/>
              <w:ind w:right="108"/>
              <w:jc w:val="right"/>
              <w:rPr>
                <w:rFonts w:ascii="Arial (Body)" w:hAnsi="Arial (Body)"/>
                <w:color w:val="000000"/>
              </w:rPr>
            </w:pPr>
            <w:r w:rsidRPr="002A795F">
              <w:t>6,000</w:t>
            </w:r>
          </w:p>
        </w:tc>
        <w:tc>
          <w:tcPr>
            <w:tcW w:w="1736" w:type="dxa"/>
            <w:tcBorders>
              <w:bottom w:val="nil"/>
            </w:tcBorders>
            <w:shd w:val="clear" w:color="000000" w:fill="auto"/>
          </w:tcPr>
          <w:p w14:paraId="505FFB0C" w14:textId="77777777" w:rsidR="008E7FC3" w:rsidRDefault="008E7FC3" w:rsidP="00177648">
            <w:pPr>
              <w:pStyle w:val="TableBody"/>
              <w:spacing w:before="45" w:after="45"/>
              <w:ind w:right="108"/>
              <w:jc w:val="right"/>
              <w:rPr>
                <w:rFonts w:ascii="Arial (Body)" w:hAnsi="Arial (Body)"/>
                <w:color w:val="000000"/>
              </w:rPr>
            </w:pPr>
            <w:r w:rsidRPr="00C47F09">
              <w:t>-20</w:t>
            </w:r>
          </w:p>
        </w:tc>
        <w:tc>
          <w:tcPr>
            <w:tcW w:w="1736" w:type="dxa"/>
            <w:tcBorders>
              <w:bottom w:val="nil"/>
            </w:tcBorders>
            <w:shd w:val="clear" w:color="000000" w:fill="auto"/>
          </w:tcPr>
          <w:p w14:paraId="0D2EC8B0" w14:textId="77777777" w:rsidR="008E7FC3" w:rsidRDefault="008E7FC3" w:rsidP="00177648">
            <w:pPr>
              <w:pStyle w:val="TableBody"/>
              <w:spacing w:before="45" w:after="45"/>
              <w:ind w:right="108"/>
              <w:jc w:val="right"/>
              <w:rPr>
                <w:rFonts w:ascii="Arial (Body)" w:hAnsi="Arial (Body)"/>
                <w:color w:val="000000"/>
              </w:rPr>
            </w:pPr>
            <w:r w:rsidRPr="004E6C74">
              <w:t>330</w:t>
            </w:r>
          </w:p>
        </w:tc>
        <w:tc>
          <w:tcPr>
            <w:tcW w:w="1737" w:type="dxa"/>
            <w:tcBorders>
              <w:bottom w:val="nil"/>
            </w:tcBorders>
            <w:shd w:val="clear" w:color="000000" w:fill="auto"/>
          </w:tcPr>
          <w:p w14:paraId="56D5CCCC" w14:textId="77777777" w:rsidR="008E7FC3" w:rsidRDefault="008E7FC3" w:rsidP="00177648">
            <w:pPr>
              <w:pStyle w:val="TableBody"/>
              <w:spacing w:before="45" w:after="45"/>
              <w:ind w:right="108"/>
              <w:jc w:val="right"/>
              <w:rPr>
                <w:rFonts w:ascii="Arial (Body)" w:hAnsi="Arial (Body)"/>
                <w:color w:val="000000"/>
              </w:rPr>
            </w:pPr>
            <w:r w:rsidRPr="003C5706">
              <w:t>5,600</w:t>
            </w:r>
          </w:p>
        </w:tc>
      </w:tr>
      <w:tr w:rsidR="008E7FC3" w:rsidRPr="00030C67" w14:paraId="11C96328" w14:textId="77777777" w:rsidTr="00177648">
        <w:tc>
          <w:tcPr>
            <w:tcW w:w="2694" w:type="dxa"/>
            <w:tcBorders>
              <w:top w:val="nil"/>
              <w:bottom w:val="nil"/>
            </w:tcBorders>
            <w:shd w:val="clear" w:color="000000" w:fill="F2F2F2"/>
          </w:tcPr>
          <w:p w14:paraId="24E7EBBC" w14:textId="77777777" w:rsidR="008E7FC3" w:rsidRPr="00030C67" w:rsidRDefault="008E7FC3" w:rsidP="00177648">
            <w:pPr>
              <w:pStyle w:val="TableHeading"/>
            </w:pPr>
            <w:r>
              <w:t>6</w:t>
            </w:r>
            <w:r w:rsidRPr="00F04A20">
              <w:t>: Flat fee ECEC expense per day of $10 for all families and remove activity test</w:t>
            </w:r>
          </w:p>
        </w:tc>
        <w:tc>
          <w:tcPr>
            <w:tcW w:w="1736" w:type="dxa"/>
            <w:tcBorders>
              <w:top w:val="nil"/>
              <w:bottom w:val="nil"/>
            </w:tcBorders>
            <w:shd w:val="clear" w:color="000000" w:fill="F2F2F2"/>
          </w:tcPr>
          <w:p w14:paraId="704B63B6" w14:textId="77777777" w:rsidR="008E7FC3" w:rsidRDefault="008E7FC3" w:rsidP="00177648">
            <w:pPr>
              <w:pStyle w:val="TableBody"/>
              <w:spacing w:before="45" w:after="45"/>
              <w:ind w:right="108"/>
              <w:jc w:val="right"/>
              <w:rPr>
                <w:rFonts w:ascii="Arial (Body)" w:hAnsi="Arial (Body)"/>
                <w:color w:val="000000"/>
              </w:rPr>
            </w:pPr>
            <w:r w:rsidRPr="002A795F">
              <w:t>8,300</w:t>
            </w:r>
          </w:p>
        </w:tc>
        <w:tc>
          <w:tcPr>
            <w:tcW w:w="1736" w:type="dxa"/>
            <w:tcBorders>
              <w:top w:val="nil"/>
              <w:bottom w:val="nil"/>
            </w:tcBorders>
            <w:shd w:val="clear" w:color="000000" w:fill="F2F2F2"/>
          </w:tcPr>
          <w:p w14:paraId="173D23D9" w14:textId="77777777" w:rsidR="008E7FC3" w:rsidRDefault="008E7FC3" w:rsidP="00177648">
            <w:pPr>
              <w:pStyle w:val="TableBody"/>
              <w:spacing w:before="45" w:after="45"/>
              <w:ind w:right="108"/>
              <w:jc w:val="right"/>
              <w:rPr>
                <w:rFonts w:ascii="Arial (Body)" w:hAnsi="Arial (Body)"/>
                <w:color w:val="000000"/>
              </w:rPr>
            </w:pPr>
            <w:r w:rsidRPr="00C47F09">
              <w:t>60</w:t>
            </w:r>
          </w:p>
        </w:tc>
        <w:tc>
          <w:tcPr>
            <w:tcW w:w="1736" w:type="dxa"/>
            <w:tcBorders>
              <w:top w:val="nil"/>
              <w:bottom w:val="nil"/>
            </w:tcBorders>
            <w:shd w:val="clear" w:color="000000" w:fill="F2F2F2"/>
          </w:tcPr>
          <w:p w14:paraId="1F94F082" w14:textId="77777777" w:rsidR="008E7FC3" w:rsidRDefault="008E7FC3" w:rsidP="00177648">
            <w:pPr>
              <w:pStyle w:val="TableBody"/>
              <w:spacing w:before="45" w:after="45"/>
              <w:ind w:right="108"/>
              <w:jc w:val="right"/>
              <w:rPr>
                <w:rFonts w:ascii="Arial (Body)" w:hAnsi="Arial (Body)"/>
                <w:color w:val="000000"/>
              </w:rPr>
            </w:pPr>
            <w:r w:rsidRPr="004E6C74">
              <w:t>290</w:t>
            </w:r>
          </w:p>
        </w:tc>
        <w:tc>
          <w:tcPr>
            <w:tcW w:w="1737" w:type="dxa"/>
            <w:tcBorders>
              <w:top w:val="nil"/>
              <w:bottom w:val="nil"/>
            </w:tcBorders>
            <w:shd w:val="clear" w:color="000000" w:fill="F2F2F2"/>
          </w:tcPr>
          <w:p w14:paraId="2FDB794E" w14:textId="77777777" w:rsidR="008E7FC3" w:rsidRDefault="008E7FC3" w:rsidP="00177648">
            <w:pPr>
              <w:pStyle w:val="TableBody"/>
              <w:spacing w:before="45" w:after="45"/>
              <w:ind w:right="108"/>
              <w:jc w:val="right"/>
              <w:rPr>
                <w:rFonts w:ascii="Arial (Body)" w:hAnsi="Arial (Body)"/>
                <w:color w:val="000000"/>
              </w:rPr>
            </w:pPr>
            <w:r w:rsidRPr="003C5706">
              <w:t>8,100</w:t>
            </w:r>
          </w:p>
        </w:tc>
      </w:tr>
      <w:tr w:rsidR="008E7FC3" w:rsidRPr="00030C67" w14:paraId="41319A13" w14:textId="77777777" w:rsidTr="00177648">
        <w:tc>
          <w:tcPr>
            <w:tcW w:w="2694" w:type="dxa"/>
            <w:tcBorders>
              <w:bottom w:val="single" w:sz="4" w:space="0" w:color="B3B3B3"/>
            </w:tcBorders>
            <w:shd w:val="clear" w:color="000000" w:fill="auto"/>
          </w:tcPr>
          <w:p w14:paraId="75EDA362"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t>er</w:t>
            </w:r>
            <w:r>
              <w:noBreakHyphen/>
            </w:r>
            <w:r w:rsidRPr="00F04A20">
              <w:t xml:space="preserve">income families and remove activity test </w:t>
            </w:r>
          </w:p>
        </w:tc>
        <w:tc>
          <w:tcPr>
            <w:tcW w:w="1736" w:type="dxa"/>
            <w:tcBorders>
              <w:bottom w:val="single" w:sz="4" w:space="0" w:color="B3B3B3"/>
            </w:tcBorders>
            <w:shd w:val="clear" w:color="000000" w:fill="auto"/>
          </w:tcPr>
          <w:p w14:paraId="38A1ED19" w14:textId="77777777" w:rsidR="008E7FC3" w:rsidRDefault="008E7FC3" w:rsidP="00177648">
            <w:pPr>
              <w:pStyle w:val="TableBody"/>
              <w:spacing w:before="45" w:after="45"/>
              <w:ind w:right="108"/>
              <w:jc w:val="right"/>
              <w:rPr>
                <w:rFonts w:ascii="Arial (Body)" w:hAnsi="Arial (Body)"/>
                <w:color w:val="000000"/>
              </w:rPr>
            </w:pPr>
            <w:r w:rsidRPr="002A795F">
              <w:t>9,100</w:t>
            </w:r>
          </w:p>
        </w:tc>
        <w:tc>
          <w:tcPr>
            <w:tcW w:w="1736" w:type="dxa"/>
            <w:tcBorders>
              <w:bottom w:val="single" w:sz="4" w:space="0" w:color="B3B3B3"/>
            </w:tcBorders>
            <w:shd w:val="clear" w:color="000000" w:fill="auto"/>
          </w:tcPr>
          <w:p w14:paraId="3711B3B8" w14:textId="77777777" w:rsidR="008E7FC3" w:rsidRDefault="008E7FC3" w:rsidP="00177648">
            <w:pPr>
              <w:pStyle w:val="TableBody"/>
              <w:spacing w:before="45" w:after="45"/>
              <w:ind w:right="108"/>
              <w:jc w:val="right"/>
              <w:rPr>
                <w:rFonts w:ascii="Arial (Body)" w:hAnsi="Arial (Body)"/>
                <w:color w:val="000000"/>
              </w:rPr>
            </w:pPr>
            <w:r w:rsidRPr="00C47F09">
              <w:t>30</w:t>
            </w:r>
          </w:p>
        </w:tc>
        <w:tc>
          <w:tcPr>
            <w:tcW w:w="1736" w:type="dxa"/>
            <w:tcBorders>
              <w:bottom w:val="single" w:sz="4" w:space="0" w:color="B3B3B3"/>
            </w:tcBorders>
            <w:shd w:val="clear" w:color="000000" w:fill="auto"/>
          </w:tcPr>
          <w:p w14:paraId="3D28794E" w14:textId="77777777" w:rsidR="008E7FC3" w:rsidRDefault="008E7FC3" w:rsidP="00177648">
            <w:pPr>
              <w:pStyle w:val="TableBody"/>
              <w:spacing w:before="45" w:after="45"/>
              <w:ind w:right="108"/>
              <w:jc w:val="right"/>
              <w:rPr>
                <w:rFonts w:ascii="Arial (Body)" w:hAnsi="Arial (Body)"/>
                <w:color w:val="000000"/>
              </w:rPr>
            </w:pPr>
            <w:r w:rsidRPr="004E6C74">
              <w:t>300</w:t>
            </w:r>
          </w:p>
        </w:tc>
        <w:tc>
          <w:tcPr>
            <w:tcW w:w="1737" w:type="dxa"/>
            <w:tcBorders>
              <w:bottom w:val="single" w:sz="4" w:space="0" w:color="B3B3B3"/>
            </w:tcBorders>
            <w:shd w:val="clear" w:color="000000" w:fill="auto"/>
          </w:tcPr>
          <w:p w14:paraId="54C2688C" w14:textId="77777777" w:rsidR="008E7FC3" w:rsidRDefault="008E7FC3" w:rsidP="00177648">
            <w:pPr>
              <w:pStyle w:val="TableBody"/>
              <w:spacing w:before="45" w:after="45"/>
              <w:ind w:right="108"/>
              <w:jc w:val="right"/>
              <w:rPr>
                <w:rFonts w:ascii="Arial (Body)" w:hAnsi="Arial (Body)"/>
                <w:color w:val="000000"/>
              </w:rPr>
            </w:pPr>
            <w:r w:rsidRPr="003C5706">
              <w:t>8,900</w:t>
            </w:r>
          </w:p>
        </w:tc>
      </w:tr>
    </w:tbl>
    <w:p w14:paraId="26F0B53A" w14:textId="77777777" w:rsidR="008E7FC3" w:rsidRDefault="008E7FC3" w:rsidP="008E7FC3">
      <w:pPr>
        <w:pStyle w:val="Note"/>
      </w:pPr>
      <w:r w:rsidRPr="00C36914">
        <w:rPr>
          <w:b/>
          <w:bCs/>
        </w:rPr>
        <w:t>a.</w:t>
      </w:r>
      <w:r w:rsidRPr="00C36914">
        <w:t xml:space="preserve"> </w:t>
      </w:r>
      <w:r>
        <w:t>The change in CCS expenditure was benchmarked to the amount the government is expected to provide in CCS payments in 2023</w:t>
      </w:r>
      <w:r>
        <w:noBreakHyphen/>
        <w:t xml:space="preserve">24 </w:t>
      </w:r>
      <w:r w:rsidRPr="00987547">
        <w:rPr>
          <w:rFonts w:ascii="Arial" w:hAnsi="Arial" w:cs="Arial"/>
        </w:rPr>
        <w:t>(Department of Education 2023, p. 28)</w:t>
      </w:r>
      <w:r>
        <w:t>. This was achieved by applying the percentage change to CCS payments as modelled in CAPITA</w:t>
      </w:r>
      <w:r>
        <w:noBreakHyphen/>
        <w:t xml:space="preserve">B with ECEC to the benchmark. </w:t>
      </w:r>
      <w:r>
        <w:rPr>
          <w:b/>
          <w:bCs/>
        </w:rPr>
        <w:t xml:space="preserve">b. </w:t>
      </w:r>
      <w:r w:rsidRPr="007E2E3E">
        <w:t>Other expenditure includes</w:t>
      </w:r>
      <w:r>
        <w:rPr>
          <w:b/>
          <w:bCs/>
        </w:rPr>
        <w:t xml:space="preserve"> </w:t>
      </w:r>
      <w:r w:rsidRPr="007E2E3E">
        <w:t>transfers</w:t>
      </w:r>
      <w:r>
        <w:rPr>
          <w:b/>
          <w:bCs/>
        </w:rPr>
        <w:t xml:space="preserve"> </w:t>
      </w:r>
      <w:r w:rsidRPr="007E2E3E">
        <w:t>such as</w:t>
      </w:r>
      <w:r>
        <w:rPr>
          <w:b/>
          <w:bCs/>
        </w:rPr>
        <w:t xml:space="preserve"> </w:t>
      </w:r>
      <w:r w:rsidRPr="007E2E3E">
        <w:t>Family Tax Benefits and Parenting Payments.</w:t>
      </w:r>
      <w:r>
        <w:t xml:space="preserve"> </w:t>
      </w:r>
      <w:r w:rsidRPr="00D00728">
        <w:rPr>
          <w:b/>
          <w:bCs/>
        </w:rPr>
        <w:t>c.</w:t>
      </w:r>
      <w:r>
        <w:t xml:space="preserve"> The sum of the components in the table may not add to the overall fiscal impact due to rounding.</w:t>
      </w:r>
    </w:p>
    <w:p w14:paraId="7B65423E"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76AB2BFF" w14:textId="77777777" w:rsidR="008E7FC3" w:rsidRDefault="008E7FC3" w:rsidP="008E7FC3">
      <w:pPr>
        <w:pStyle w:val="Heading2-Appendix"/>
      </w:pPr>
      <w:bookmarkStart w:id="50" w:name="_Toc172213601"/>
      <w:r>
        <w:t>Confidence intervals</w:t>
      </w:r>
      <w:bookmarkEnd w:id="50"/>
    </w:p>
    <w:p w14:paraId="1FC3CFFF" w14:textId="77777777" w:rsidR="008E7FC3" w:rsidRDefault="008E7FC3" w:rsidP="008E7FC3">
      <w:pPr>
        <w:pStyle w:val="BodyText"/>
      </w:pPr>
      <w:bookmarkStart w:id="51" w:name="_Hlk169173587"/>
      <w:r>
        <w:t>Confidence intervals were calculated around point estimates for changes in labour supply and ECEC demand hours. The method for generating confidence intervals is described in section G.7.</w:t>
      </w:r>
    </w:p>
    <w:p w14:paraId="360F34F1" w14:textId="77777777" w:rsidR="008E7FC3" w:rsidRDefault="008E7FC3" w:rsidP="008E7FC3">
      <w:pPr>
        <w:pStyle w:val="BodyText"/>
      </w:pPr>
      <w:r>
        <w:t>The confidence intervals for the change in labour supply and ECEC demand hours are narrow around the point estimates (tables G.24 and G.25). This suggests that the point estimate is relatively stable and with repeated simulations it would not be expected to vary greatly.</w:t>
      </w:r>
    </w:p>
    <w:p w14:paraId="006ECA16" w14:textId="77777777" w:rsidR="008E7FC3" w:rsidRDefault="008E7FC3" w:rsidP="008E7FC3">
      <w:pPr>
        <w:pStyle w:val="FigureTableHeading"/>
      </w:pPr>
      <w:r>
        <w:lastRenderedPageBreak/>
        <w:t xml:space="preserve">Table </w:t>
      </w:r>
      <w:r>
        <w:rPr>
          <w:noProof/>
        </w:rPr>
        <w:t>G</w:t>
      </w:r>
      <w:r>
        <w:t>.24</w:t>
      </w:r>
      <w:r>
        <w:rPr>
          <w:noProof/>
        </w:rPr>
        <w:t xml:space="preserve"> – Percentage change in labour supply hours – 95% confidence intervals</w:t>
      </w:r>
      <w:r w:rsidRPr="00EC0C27">
        <w:rPr>
          <w:vertAlign w:val="superscript"/>
        </w:rPr>
        <w:t>a</w:t>
      </w:r>
    </w:p>
    <w:p w14:paraId="354B5AE0" w14:textId="77777777" w:rsidR="008E7FC3" w:rsidRDefault="008E7FC3" w:rsidP="008E7FC3">
      <w:pPr>
        <w:pStyle w:val="FigureTableSubheading"/>
      </w:pPr>
      <w:r>
        <w:t>Modelled estimates, 2023</w:t>
      </w:r>
      <w:r>
        <w:noBreakHyphen/>
        <w:t>24</w:t>
      </w:r>
    </w:p>
    <w:tbl>
      <w:tblPr>
        <w:tblW w:w="955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387"/>
        <w:gridCol w:w="1389"/>
        <w:gridCol w:w="1389"/>
        <w:gridCol w:w="1389"/>
      </w:tblGrid>
      <w:tr w:rsidR="008E7FC3" w:rsidRPr="00030C67" w14:paraId="1E65D865" w14:textId="77777777" w:rsidTr="006510ED">
        <w:trPr>
          <w:tblHeader/>
        </w:trPr>
        <w:tc>
          <w:tcPr>
            <w:tcW w:w="5387" w:type="dxa"/>
            <w:tcBorders>
              <w:bottom w:val="single" w:sz="4" w:space="0" w:color="B3B3B3"/>
            </w:tcBorders>
            <w:shd w:val="clear" w:color="000000" w:fill="auto"/>
            <w:vAlign w:val="bottom"/>
          </w:tcPr>
          <w:bookmarkEnd w:id="51"/>
          <w:p w14:paraId="26EA15A6"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389" w:type="dxa"/>
            <w:tcBorders>
              <w:bottom w:val="single" w:sz="4" w:space="0" w:color="B3B3B3"/>
            </w:tcBorders>
            <w:shd w:val="clear" w:color="000000" w:fill="auto"/>
            <w:vAlign w:val="bottom"/>
          </w:tcPr>
          <w:p w14:paraId="7D4D5136" w14:textId="77777777" w:rsidR="008E7FC3" w:rsidRPr="00030C67" w:rsidRDefault="008E7FC3" w:rsidP="006510ED">
            <w:pPr>
              <w:pStyle w:val="TableHeading"/>
              <w:jc w:val="right"/>
            </w:pPr>
            <w:r>
              <w:t>Lower 95% bound</w:t>
            </w:r>
          </w:p>
        </w:tc>
        <w:tc>
          <w:tcPr>
            <w:tcW w:w="1389" w:type="dxa"/>
            <w:tcBorders>
              <w:bottom w:val="single" w:sz="4" w:space="0" w:color="B3B3B3"/>
            </w:tcBorders>
            <w:shd w:val="clear" w:color="000000" w:fill="auto"/>
            <w:vAlign w:val="bottom"/>
          </w:tcPr>
          <w:p w14:paraId="1A318D40" w14:textId="77777777" w:rsidR="008E7FC3" w:rsidRPr="00030C67" w:rsidRDefault="008E7FC3" w:rsidP="006510ED">
            <w:pPr>
              <w:pStyle w:val="TableHeading"/>
              <w:jc w:val="right"/>
            </w:pPr>
            <w:r>
              <w:t>Point estimate</w:t>
            </w:r>
          </w:p>
        </w:tc>
        <w:tc>
          <w:tcPr>
            <w:tcW w:w="1389" w:type="dxa"/>
            <w:tcBorders>
              <w:bottom w:val="single" w:sz="4" w:space="0" w:color="B3B3B3"/>
            </w:tcBorders>
            <w:shd w:val="clear" w:color="000000" w:fill="auto"/>
            <w:vAlign w:val="bottom"/>
          </w:tcPr>
          <w:p w14:paraId="7A049F72" w14:textId="77777777" w:rsidR="008E7FC3" w:rsidRPr="00030C67" w:rsidRDefault="008E7FC3" w:rsidP="006510ED">
            <w:pPr>
              <w:pStyle w:val="TableHeading"/>
              <w:jc w:val="right"/>
            </w:pPr>
            <w:r>
              <w:t>Upper 95% bound</w:t>
            </w:r>
          </w:p>
        </w:tc>
      </w:tr>
      <w:tr w:rsidR="008E7FC3" w:rsidRPr="00030C67" w14:paraId="4CEABE8F" w14:textId="77777777" w:rsidTr="00177648">
        <w:tc>
          <w:tcPr>
            <w:tcW w:w="5387" w:type="dxa"/>
            <w:tcBorders>
              <w:top w:val="single" w:sz="4" w:space="0" w:color="B3B3B3"/>
              <w:bottom w:val="nil"/>
            </w:tcBorders>
            <w:shd w:val="clear" w:color="000000" w:fill="F2F2F2"/>
          </w:tcPr>
          <w:p w14:paraId="442B5775"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noBreakHyphen/>
            </w:r>
            <w:r w:rsidRPr="00F04A20">
              <w:t>income families</w:t>
            </w:r>
          </w:p>
        </w:tc>
        <w:tc>
          <w:tcPr>
            <w:tcW w:w="1389" w:type="dxa"/>
            <w:tcBorders>
              <w:top w:val="single" w:sz="4" w:space="0" w:color="B3B3B3"/>
              <w:bottom w:val="nil"/>
            </w:tcBorders>
            <w:shd w:val="clear" w:color="000000" w:fill="F2F2F2"/>
          </w:tcPr>
          <w:p w14:paraId="4DC70942"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-0.2%</w:t>
            </w:r>
          </w:p>
        </w:tc>
        <w:tc>
          <w:tcPr>
            <w:tcW w:w="1389" w:type="dxa"/>
            <w:tcBorders>
              <w:top w:val="single" w:sz="4" w:space="0" w:color="B3B3B3"/>
              <w:bottom w:val="nil"/>
            </w:tcBorders>
            <w:shd w:val="clear" w:color="000000" w:fill="F2F2F2"/>
          </w:tcPr>
          <w:p w14:paraId="67BAF613" w14:textId="77777777" w:rsidR="008E7FC3" w:rsidRPr="00030C67" w:rsidRDefault="008E7FC3" w:rsidP="00177648">
            <w:pPr>
              <w:pStyle w:val="TableBody"/>
              <w:spacing w:before="45" w:after="45"/>
              <w:ind w:right="108"/>
              <w:jc w:val="right"/>
              <w:rPr>
                <w:rFonts w:ascii="Arial (Body)" w:hAnsi="Arial (Body)"/>
                <w:color w:val="000000"/>
              </w:rPr>
            </w:pPr>
            <w:r w:rsidRPr="003933E9">
              <w:t>-0.2%</w:t>
            </w:r>
          </w:p>
        </w:tc>
        <w:tc>
          <w:tcPr>
            <w:tcW w:w="1389" w:type="dxa"/>
            <w:tcBorders>
              <w:top w:val="single" w:sz="4" w:space="0" w:color="B3B3B3"/>
              <w:bottom w:val="nil"/>
            </w:tcBorders>
            <w:shd w:val="clear" w:color="000000" w:fill="F2F2F2"/>
          </w:tcPr>
          <w:p w14:paraId="0A7F3396"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-0.1%</w:t>
            </w:r>
          </w:p>
        </w:tc>
      </w:tr>
      <w:tr w:rsidR="008E7FC3" w:rsidRPr="00030C67" w14:paraId="1B3D29A1" w14:textId="77777777" w:rsidTr="00177648">
        <w:tc>
          <w:tcPr>
            <w:tcW w:w="5387" w:type="dxa"/>
            <w:tcBorders>
              <w:top w:val="nil"/>
              <w:bottom w:val="nil"/>
            </w:tcBorders>
            <w:shd w:val="clear" w:color="000000" w:fill="auto"/>
          </w:tcPr>
          <w:p w14:paraId="649D4F36" w14:textId="77777777" w:rsidR="008E7FC3" w:rsidRPr="00030C67" w:rsidRDefault="008E7FC3" w:rsidP="00177648">
            <w:pPr>
              <w:pStyle w:val="TableHeading"/>
            </w:pPr>
            <w:r w:rsidRPr="00F04A20">
              <w:t xml:space="preserve">2: Increase the subsidy </w:t>
            </w:r>
            <w:r>
              <w:t xml:space="preserve">rate to 100% </w:t>
            </w:r>
            <w:r w:rsidRPr="00F04A20">
              <w:t>for low</w:t>
            </w:r>
            <w:r w:rsidRPr="00F04A20">
              <w:rPr>
                <w:rFonts w:ascii="Cambria Math" w:hAnsi="Cambria Math" w:cs="Cambria Math"/>
              </w:rPr>
              <w:t>‑</w:t>
            </w:r>
            <w:r w:rsidRPr="00F04A20">
              <w:t>income families</w:t>
            </w:r>
          </w:p>
        </w:tc>
        <w:tc>
          <w:tcPr>
            <w:tcW w:w="1389" w:type="dxa"/>
            <w:tcBorders>
              <w:top w:val="nil"/>
              <w:bottom w:val="nil"/>
            </w:tcBorders>
            <w:shd w:val="clear" w:color="000000" w:fill="auto"/>
          </w:tcPr>
          <w:p w14:paraId="01F4AD9A"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0.9%</w:t>
            </w:r>
          </w:p>
        </w:tc>
        <w:tc>
          <w:tcPr>
            <w:tcW w:w="1389" w:type="dxa"/>
            <w:tcBorders>
              <w:top w:val="nil"/>
              <w:bottom w:val="nil"/>
            </w:tcBorders>
            <w:shd w:val="clear" w:color="000000" w:fill="auto"/>
          </w:tcPr>
          <w:p w14:paraId="22B49E66" w14:textId="77777777" w:rsidR="008E7FC3" w:rsidRPr="00030C67" w:rsidRDefault="008E7FC3" w:rsidP="00177648">
            <w:pPr>
              <w:pStyle w:val="TableBody"/>
              <w:spacing w:before="45" w:after="45"/>
              <w:ind w:right="108"/>
              <w:jc w:val="right"/>
              <w:rPr>
                <w:rFonts w:ascii="Arial (Body)" w:hAnsi="Arial (Body)"/>
                <w:color w:val="000000"/>
              </w:rPr>
            </w:pPr>
            <w:r w:rsidRPr="003933E9">
              <w:t>0.9%</w:t>
            </w:r>
          </w:p>
        </w:tc>
        <w:tc>
          <w:tcPr>
            <w:tcW w:w="1389" w:type="dxa"/>
            <w:tcBorders>
              <w:top w:val="nil"/>
              <w:bottom w:val="nil"/>
            </w:tcBorders>
            <w:shd w:val="clear" w:color="000000" w:fill="auto"/>
          </w:tcPr>
          <w:p w14:paraId="062D846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w:t>
            </w:r>
          </w:p>
        </w:tc>
      </w:tr>
      <w:tr w:rsidR="008E7FC3" w:rsidRPr="00030C67" w14:paraId="5A3DA9B1" w14:textId="77777777" w:rsidTr="00177648">
        <w:tc>
          <w:tcPr>
            <w:tcW w:w="5387" w:type="dxa"/>
            <w:tcBorders>
              <w:bottom w:val="nil"/>
            </w:tcBorders>
            <w:shd w:val="clear" w:color="000000" w:fill="F2F2F2"/>
          </w:tcPr>
          <w:p w14:paraId="1472C089" w14:textId="77777777" w:rsidR="008E7FC3" w:rsidRPr="00030C67" w:rsidRDefault="008E7FC3" w:rsidP="00177648">
            <w:pPr>
              <w:pStyle w:val="TableHeading"/>
            </w:pPr>
            <w:r w:rsidRPr="00F04A20">
              <w:t>3: Abolish the activity test for all families and retain income testing</w:t>
            </w:r>
          </w:p>
        </w:tc>
        <w:tc>
          <w:tcPr>
            <w:tcW w:w="1389" w:type="dxa"/>
            <w:tcBorders>
              <w:bottom w:val="nil"/>
            </w:tcBorders>
            <w:shd w:val="clear" w:color="000000" w:fill="F2F2F2"/>
          </w:tcPr>
          <w:p w14:paraId="11510058"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-0.9%</w:t>
            </w:r>
          </w:p>
        </w:tc>
        <w:tc>
          <w:tcPr>
            <w:tcW w:w="1389" w:type="dxa"/>
            <w:tcBorders>
              <w:bottom w:val="nil"/>
            </w:tcBorders>
            <w:shd w:val="clear" w:color="000000" w:fill="F2F2F2"/>
          </w:tcPr>
          <w:p w14:paraId="6B86E8C3" w14:textId="77777777" w:rsidR="008E7FC3" w:rsidRPr="00030C67" w:rsidRDefault="008E7FC3" w:rsidP="00177648">
            <w:pPr>
              <w:pStyle w:val="TableBody"/>
              <w:spacing w:before="45" w:after="45"/>
              <w:ind w:right="108"/>
              <w:jc w:val="right"/>
              <w:rPr>
                <w:rFonts w:ascii="Arial (Body)" w:hAnsi="Arial (Body)"/>
                <w:color w:val="000000"/>
              </w:rPr>
            </w:pPr>
            <w:r w:rsidRPr="003933E9">
              <w:t>-0.9%</w:t>
            </w:r>
          </w:p>
        </w:tc>
        <w:tc>
          <w:tcPr>
            <w:tcW w:w="1389" w:type="dxa"/>
            <w:tcBorders>
              <w:bottom w:val="nil"/>
            </w:tcBorders>
            <w:shd w:val="clear" w:color="000000" w:fill="F2F2F2"/>
          </w:tcPr>
          <w:p w14:paraId="319C74E8"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-0.8%</w:t>
            </w:r>
          </w:p>
        </w:tc>
      </w:tr>
      <w:tr w:rsidR="008E7FC3" w:rsidRPr="00030C67" w14:paraId="60F03C34" w14:textId="77777777" w:rsidTr="00177648">
        <w:tc>
          <w:tcPr>
            <w:tcW w:w="5387" w:type="dxa"/>
            <w:tcBorders>
              <w:bottom w:val="nil"/>
            </w:tcBorders>
            <w:shd w:val="clear" w:color="000000" w:fill="auto"/>
          </w:tcPr>
          <w:p w14:paraId="0AA3DB19"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noBreakHyphen/>
            </w:r>
            <w:r w:rsidRPr="00F04A20">
              <w:t>income families</w:t>
            </w:r>
          </w:p>
        </w:tc>
        <w:tc>
          <w:tcPr>
            <w:tcW w:w="1389" w:type="dxa"/>
            <w:tcBorders>
              <w:bottom w:val="nil"/>
            </w:tcBorders>
            <w:shd w:val="clear" w:color="000000" w:fill="auto"/>
          </w:tcPr>
          <w:p w14:paraId="4B1901DB"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0.0%</w:t>
            </w:r>
          </w:p>
        </w:tc>
        <w:tc>
          <w:tcPr>
            <w:tcW w:w="1389" w:type="dxa"/>
            <w:tcBorders>
              <w:bottom w:val="nil"/>
            </w:tcBorders>
            <w:shd w:val="clear" w:color="000000" w:fill="auto"/>
          </w:tcPr>
          <w:p w14:paraId="19691C1B" w14:textId="77777777" w:rsidR="008E7FC3" w:rsidRDefault="008E7FC3" w:rsidP="00177648">
            <w:pPr>
              <w:pStyle w:val="TableBody"/>
              <w:spacing w:before="45" w:after="45"/>
              <w:ind w:right="108"/>
              <w:jc w:val="right"/>
              <w:rPr>
                <w:rFonts w:ascii="Arial (Body)" w:hAnsi="Arial (Body)"/>
                <w:color w:val="000000"/>
              </w:rPr>
            </w:pPr>
            <w:r w:rsidRPr="003933E9">
              <w:t>0.0%</w:t>
            </w:r>
          </w:p>
        </w:tc>
        <w:tc>
          <w:tcPr>
            <w:tcW w:w="1389" w:type="dxa"/>
            <w:tcBorders>
              <w:bottom w:val="nil"/>
            </w:tcBorders>
            <w:shd w:val="clear" w:color="000000" w:fill="auto"/>
          </w:tcPr>
          <w:p w14:paraId="706800B6"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0.1%</w:t>
            </w:r>
          </w:p>
        </w:tc>
      </w:tr>
      <w:tr w:rsidR="008E7FC3" w:rsidRPr="00030C67" w14:paraId="5BCCD255" w14:textId="77777777" w:rsidTr="00177648">
        <w:tc>
          <w:tcPr>
            <w:tcW w:w="5387" w:type="dxa"/>
            <w:tcBorders>
              <w:top w:val="nil"/>
              <w:bottom w:val="nil"/>
            </w:tcBorders>
            <w:shd w:val="clear" w:color="000000" w:fill="F2F2F2"/>
          </w:tcPr>
          <w:p w14:paraId="7B427AEB" w14:textId="77777777" w:rsidR="008E7FC3" w:rsidRPr="00030C67" w:rsidRDefault="008E7FC3" w:rsidP="00177648">
            <w:pPr>
              <w:pStyle w:val="TableHeading"/>
            </w:pPr>
            <w:r>
              <w:t>4a</w:t>
            </w:r>
            <w:r w:rsidRPr="00F04A20">
              <w:t>: Relax the activity test for all families and retain income testing</w:t>
            </w:r>
          </w:p>
        </w:tc>
        <w:tc>
          <w:tcPr>
            <w:tcW w:w="1389" w:type="dxa"/>
            <w:tcBorders>
              <w:top w:val="nil"/>
              <w:bottom w:val="nil"/>
            </w:tcBorders>
            <w:shd w:val="clear" w:color="000000" w:fill="F2F2F2"/>
          </w:tcPr>
          <w:p w14:paraId="40727604"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-0.7%</w:t>
            </w:r>
          </w:p>
        </w:tc>
        <w:tc>
          <w:tcPr>
            <w:tcW w:w="1389" w:type="dxa"/>
            <w:tcBorders>
              <w:top w:val="nil"/>
              <w:bottom w:val="nil"/>
            </w:tcBorders>
            <w:shd w:val="clear" w:color="000000" w:fill="F2F2F2"/>
          </w:tcPr>
          <w:p w14:paraId="02265FFB" w14:textId="77777777" w:rsidR="008E7FC3" w:rsidRDefault="008E7FC3" w:rsidP="00177648">
            <w:pPr>
              <w:pStyle w:val="TableBody"/>
              <w:spacing w:before="45" w:after="45"/>
              <w:ind w:right="108"/>
              <w:jc w:val="right"/>
              <w:rPr>
                <w:rFonts w:ascii="Arial (Body)" w:hAnsi="Arial (Body)"/>
                <w:color w:val="000000"/>
              </w:rPr>
            </w:pPr>
            <w:r w:rsidRPr="003933E9">
              <w:t>-0.7%</w:t>
            </w:r>
          </w:p>
        </w:tc>
        <w:tc>
          <w:tcPr>
            <w:tcW w:w="1389" w:type="dxa"/>
            <w:tcBorders>
              <w:top w:val="nil"/>
              <w:bottom w:val="nil"/>
            </w:tcBorders>
            <w:shd w:val="clear" w:color="000000" w:fill="F2F2F2"/>
          </w:tcPr>
          <w:p w14:paraId="153CE293"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-0.7%</w:t>
            </w:r>
          </w:p>
        </w:tc>
      </w:tr>
      <w:tr w:rsidR="008E7FC3" w:rsidRPr="00030C67" w14:paraId="6D8DA8C4" w14:textId="77777777" w:rsidTr="00177648">
        <w:tc>
          <w:tcPr>
            <w:tcW w:w="5387" w:type="dxa"/>
            <w:tcBorders>
              <w:bottom w:val="nil"/>
            </w:tcBorders>
            <w:shd w:val="clear" w:color="000000" w:fill="auto"/>
          </w:tcPr>
          <w:p w14:paraId="5BADE8CF" w14:textId="77777777" w:rsidR="008E7FC3" w:rsidRPr="00030C67" w:rsidRDefault="008E7FC3" w:rsidP="00177648">
            <w:pPr>
              <w:pStyle w:val="TableHeading"/>
            </w:pPr>
            <w:r>
              <w:t>5</w:t>
            </w:r>
            <w:r w:rsidRPr="00F04A20">
              <w:t>: 90% subsidy rate for all families with activity test</w:t>
            </w:r>
          </w:p>
        </w:tc>
        <w:tc>
          <w:tcPr>
            <w:tcW w:w="1389" w:type="dxa"/>
            <w:tcBorders>
              <w:bottom w:val="nil"/>
            </w:tcBorders>
            <w:shd w:val="clear" w:color="000000" w:fill="auto"/>
          </w:tcPr>
          <w:p w14:paraId="39C9368D"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1.4%</w:t>
            </w:r>
          </w:p>
        </w:tc>
        <w:tc>
          <w:tcPr>
            <w:tcW w:w="1389" w:type="dxa"/>
            <w:tcBorders>
              <w:bottom w:val="nil"/>
            </w:tcBorders>
            <w:shd w:val="clear" w:color="000000" w:fill="auto"/>
          </w:tcPr>
          <w:p w14:paraId="773E8188" w14:textId="77777777" w:rsidR="008E7FC3" w:rsidRDefault="008E7FC3" w:rsidP="00177648">
            <w:pPr>
              <w:pStyle w:val="TableBody"/>
              <w:spacing w:before="45" w:after="45"/>
              <w:ind w:right="108"/>
              <w:jc w:val="right"/>
              <w:rPr>
                <w:rFonts w:ascii="Arial (Body)" w:hAnsi="Arial (Body)"/>
                <w:color w:val="000000"/>
              </w:rPr>
            </w:pPr>
            <w:r w:rsidRPr="003933E9">
              <w:t>1.4%</w:t>
            </w:r>
          </w:p>
        </w:tc>
        <w:tc>
          <w:tcPr>
            <w:tcW w:w="1389" w:type="dxa"/>
            <w:tcBorders>
              <w:bottom w:val="nil"/>
            </w:tcBorders>
            <w:shd w:val="clear" w:color="000000" w:fill="auto"/>
          </w:tcPr>
          <w:p w14:paraId="33FC3518"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1.6%</w:t>
            </w:r>
          </w:p>
        </w:tc>
      </w:tr>
      <w:tr w:rsidR="008E7FC3" w:rsidRPr="00030C67" w14:paraId="6EF39C28" w14:textId="77777777" w:rsidTr="00177648">
        <w:tc>
          <w:tcPr>
            <w:tcW w:w="5387" w:type="dxa"/>
            <w:tcBorders>
              <w:top w:val="nil"/>
              <w:bottom w:val="nil"/>
            </w:tcBorders>
            <w:shd w:val="clear" w:color="000000" w:fill="F2F2F2"/>
          </w:tcPr>
          <w:p w14:paraId="6E90593E" w14:textId="77777777" w:rsidR="008E7FC3" w:rsidRPr="00030C67" w:rsidRDefault="008E7FC3" w:rsidP="00177648">
            <w:pPr>
              <w:pStyle w:val="TableHeading"/>
            </w:pPr>
            <w:r>
              <w:t>6</w:t>
            </w:r>
            <w:r w:rsidRPr="00F04A20">
              <w:t>: Flat fee ECEC expense per day of $10 for all families and remove activity test</w:t>
            </w:r>
          </w:p>
        </w:tc>
        <w:tc>
          <w:tcPr>
            <w:tcW w:w="1389" w:type="dxa"/>
            <w:tcBorders>
              <w:top w:val="nil"/>
              <w:bottom w:val="nil"/>
            </w:tcBorders>
            <w:shd w:val="clear" w:color="000000" w:fill="F2F2F2"/>
          </w:tcPr>
          <w:p w14:paraId="32BC8B0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0.9%</w:t>
            </w:r>
          </w:p>
        </w:tc>
        <w:tc>
          <w:tcPr>
            <w:tcW w:w="1389" w:type="dxa"/>
            <w:tcBorders>
              <w:top w:val="nil"/>
              <w:bottom w:val="nil"/>
            </w:tcBorders>
            <w:shd w:val="clear" w:color="000000" w:fill="F2F2F2"/>
          </w:tcPr>
          <w:p w14:paraId="062F1804" w14:textId="77777777" w:rsidR="008E7FC3" w:rsidRDefault="008E7FC3" w:rsidP="00177648">
            <w:pPr>
              <w:pStyle w:val="TableBody"/>
              <w:spacing w:before="45" w:after="45"/>
              <w:ind w:right="108"/>
              <w:jc w:val="right"/>
              <w:rPr>
                <w:rFonts w:ascii="Arial (Body)" w:hAnsi="Arial (Body)"/>
                <w:color w:val="000000"/>
              </w:rPr>
            </w:pPr>
            <w:r w:rsidRPr="003933E9">
              <w:t>0.9%</w:t>
            </w:r>
          </w:p>
        </w:tc>
        <w:tc>
          <w:tcPr>
            <w:tcW w:w="1389" w:type="dxa"/>
            <w:tcBorders>
              <w:top w:val="nil"/>
              <w:bottom w:val="nil"/>
            </w:tcBorders>
            <w:shd w:val="clear" w:color="000000" w:fill="F2F2F2"/>
          </w:tcPr>
          <w:p w14:paraId="57B8FDF6"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w:t>
            </w:r>
          </w:p>
        </w:tc>
      </w:tr>
      <w:tr w:rsidR="008E7FC3" w:rsidRPr="00030C67" w14:paraId="12021520" w14:textId="77777777" w:rsidTr="00177648">
        <w:tc>
          <w:tcPr>
            <w:tcW w:w="5387" w:type="dxa"/>
            <w:tcBorders>
              <w:bottom w:val="single" w:sz="4" w:space="0" w:color="B3B3B3"/>
            </w:tcBorders>
            <w:shd w:val="clear" w:color="000000" w:fill="auto"/>
          </w:tcPr>
          <w:p w14:paraId="12BAA9EA"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noBreakHyphen/>
            </w:r>
            <w:r w:rsidRPr="00F04A20">
              <w:t xml:space="preserve">income families and remove activity test </w:t>
            </w:r>
          </w:p>
        </w:tc>
        <w:tc>
          <w:tcPr>
            <w:tcW w:w="1389" w:type="dxa"/>
            <w:tcBorders>
              <w:bottom w:val="single" w:sz="4" w:space="0" w:color="B3B3B3"/>
            </w:tcBorders>
            <w:shd w:val="clear" w:color="000000" w:fill="auto"/>
          </w:tcPr>
          <w:p w14:paraId="1E152165"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1.1%</w:t>
            </w:r>
          </w:p>
        </w:tc>
        <w:tc>
          <w:tcPr>
            <w:tcW w:w="1389" w:type="dxa"/>
            <w:tcBorders>
              <w:bottom w:val="single" w:sz="4" w:space="0" w:color="B3B3B3"/>
            </w:tcBorders>
            <w:shd w:val="clear" w:color="000000" w:fill="auto"/>
          </w:tcPr>
          <w:p w14:paraId="2BAED9B0" w14:textId="77777777" w:rsidR="008E7FC3" w:rsidRDefault="008E7FC3" w:rsidP="00177648">
            <w:pPr>
              <w:pStyle w:val="TableBody"/>
              <w:spacing w:before="45" w:after="45"/>
              <w:ind w:right="108"/>
              <w:jc w:val="right"/>
              <w:rPr>
                <w:rFonts w:ascii="Arial (Body)" w:hAnsi="Arial (Body)"/>
                <w:color w:val="000000"/>
              </w:rPr>
            </w:pPr>
            <w:r w:rsidRPr="003933E9">
              <w:t>1.1%</w:t>
            </w:r>
          </w:p>
        </w:tc>
        <w:tc>
          <w:tcPr>
            <w:tcW w:w="1389" w:type="dxa"/>
            <w:tcBorders>
              <w:bottom w:val="single" w:sz="4" w:space="0" w:color="B3B3B3"/>
            </w:tcBorders>
            <w:shd w:val="clear" w:color="000000" w:fill="auto"/>
          </w:tcPr>
          <w:p w14:paraId="6DE1FF0A"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1.3%</w:t>
            </w:r>
          </w:p>
        </w:tc>
      </w:tr>
    </w:tbl>
    <w:p w14:paraId="74F13514" w14:textId="77777777" w:rsidR="008E7FC3" w:rsidRDefault="008E7FC3" w:rsidP="008E7FC3">
      <w:pPr>
        <w:pStyle w:val="Note"/>
      </w:pPr>
      <w:r w:rsidRPr="00C36914">
        <w:rPr>
          <w:b/>
          <w:bCs/>
        </w:rPr>
        <w:t>a.</w:t>
      </w:r>
      <w:r w:rsidRPr="00C36914">
        <w:t xml:space="preserve"> </w:t>
      </w:r>
      <w:r>
        <w:t>Some confidence interval estimates appear to be the same as the point estimates. This is a result of rounding.</w:t>
      </w:r>
    </w:p>
    <w:p w14:paraId="648E32E7"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3E43C4D3" w14:textId="77777777" w:rsidR="008E7FC3" w:rsidRDefault="008E7FC3" w:rsidP="008E7FC3">
      <w:pPr>
        <w:pStyle w:val="FigureTableHeading"/>
      </w:pPr>
      <w:r>
        <w:t xml:space="preserve">Table </w:t>
      </w:r>
      <w:r>
        <w:rPr>
          <w:noProof/>
        </w:rPr>
        <w:t>G</w:t>
      </w:r>
      <w:r>
        <w:t>.25</w:t>
      </w:r>
      <w:r>
        <w:rPr>
          <w:noProof/>
        </w:rPr>
        <w:t xml:space="preserve"> – </w:t>
      </w:r>
      <w:r>
        <w:t>Percentage change in ECEC demand hours – 95% confidence intervals</w:t>
      </w:r>
    </w:p>
    <w:p w14:paraId="48E2A4A0" w14:textId="77777777" w:rsidR="008E7FC3" w:rsidRDefault="008E7FC3" w:rsidP="008E7FC3">
      <w:pPr>
        <w:pStyle w:val="FigureTableSubheading"/>
      </w:pPr>
      <w:r>
        <w:t>Modelled estimates, 2023</w:t>
      </w:r>
      <w:r>
        <w:noBreakHyphen/>
        <w:t>24</w:t>
      </w:r>
    </w:p>
    <w:tbl>
      <w:tblPr>
        <w:tblW w:w="9554"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387"/>
        <w:gridCol w:w="1389"/>
        <w:gridCol w:w="1389"/>
        <w:gridCol w:w="1389"/>
      </w:tblGrid>
      <w:tr w:rsidR="008E7FC3" w:rsidRPr="00030C67" w14:paraId="5794BC7A" w14:textId="77777777" w:rsidTr="006510ED">
        <w:trPr>
          <w:trHeight w:val="445"/>
          <w:tblHeader/>
        </w:trPr>
        <w:tc>
          <w:tcPr>
            <w:tcW w:w="5387" w:type="dxa"/>
            <w:tcBorders>
              <w:bottom w:val="single" w:sz="4" w:space="0" w:color="B3B3B3"/>
            </w:tcBorders>
            <w:shd w:val="clear" w:color="000000" w:fill="auto"/>
            <w:vAlign w:val="bottom"/>
          </w:tcPr>
          <w:p w14:paraId="39D25D06" w14:textId="77777777" w:rsidR="008E7FC3" w:rsidRPr="00030C67" w:rsidRDefault="008E7FC3" w:rsidP="00177648">
            <w:pPr>
              <w:pStyle w:val="TableHeading"/>
              <w:rPr>
                <w:rFonts w:ascii="Arial (Body)" w:hAnsi="Arial (Body)"/>
                <w:color w:val="265A9A"/>
              </w:rPr>
            </w:pPr>
            <w:r>
              <w:rPr>
                <w:rFonts w:ascii="Arial (Body)" w:hAnsi="Arial (Body)"/>
                <w:color w:val="265A9A"/>
              </w:rPr>
              <w:t>Options</w:t>
            </w:r>
          </w:p>
        </w:tc>
        <w:tc>
          <w:tcPr>
            <w:tcW w:w="1389" w:type="dxa"/>
            <w:tcBorders>
              <w:bottom w:val="single" w:sz="4" w:space="0" w:color="B3B3B3"/>
            </w:tcBorders>
            <w:shd w:val="clear" w:color="000000" w:fill="auto"/>
            <w:vAlign w:val="bottom"/>
          </w:tcPr>
          <w:p w14:paraId="56479348" w14:textId="77777777" w:rsidR="008E7FC3" w:rsidRPr="00030C67" w:rsidRDefault="008E7FC3" w:rsidP="006510ED">
            <w:pPr>
              <w:pStyle w:val="TableHeading"/>
              <w:jc w:val="right"/>
            </w:pPr>
            <w:r>
              <w:t>Lower 95% bound</w:t>
            </w:r>
          </w:p>
        </w:tc>
        <w:tc>
          <w:tcPr>
            <w:tcW w:w="1389" w:type="dxa"/>
            <w:tcBorders>
              <w:bottom w:val="single" w:sz="4" w:space="0" w:color="B3B3B3"/>
            </w:tcBorders>
            <w:shd w:val="clear" w:color="000000" w:fill="auto"/>
            <w:vAlign w:val="bottom"/>
          </w:tcPr>
          <w:p w14:paraId="12EA24C6" w14:textId="77777777" w:rsidR="008E7FC3" w:rsidRPr="00030C67" w:rsidRDefault="008E7FC3" w:rsidP="006510ED">
            <w:pPr>
              <w:pStyle w:val="TableHeading"/>
              <w:jc w:val="right"/>
            </w:pPr>
            <w:r>
              <w:t>Point estimate</w:t>
            </w:r>
          </w:p>
        </w:tc>
        <w:tc>
          <w:tcPr>
            <w:tcW w:w="1389" w:type="dxa"/>
            <w:tcBorders>
              <w:bottom w:val="single" w:sz="4" w:space="0" w:color="B3B3B3"/>
            </w:tcBorders>
            <w:shd w:val="clear" w:color="000000" w:fill="auto"/>
            <w:vAlign w:val="bottom"/>
          </w:tcPr>
          <w:p w14:paraId="3B917DD2" w14:textId="77777777" w:rsidR="008E7FC3" w:rsidRPr="00030C67" w:rsidRDefault="008E7FC3" w:rsidP="006510ED">
            <w:pPr>
              <w:pStyle w:val="TableHeading"/>
              <w:jc w:val="right"/>
            </w:pPr>
            <w:r>
              <w:t>Upper 95% bound</w:t>
            </w:r>
          </w:p>
        </w:tc>
      </w:tr>
      <w:tr w:rsidR="008E7FC3" w:rsidRPr="00030C67" w14:paraId="56290B13" w14:textId="77777777" w:rsidTr="00177648">
        <w:tc>
          <w:tcPr>
            <w:tcW w:w="5387" w:type="dxa"/>
            <w:tcBorders>
              <w:top w:val="single" w:sz="4" w:space="0" w:color="B3B3B3"/>
              <w:bottom w:val="nil"/>
            </w:tcBorders>
            <w:shd w:val="clear" w:color="000000" w:fill="F2F2F2"/>
          </w:tcPr>
          <w:p w14:paraId="000F7056" w14:textId="77777777" w:rsidR="008E7FC3" w:rsidRPr="00030C67" w:rsidRDefault="008E7FC3" w:rsidP="00177648">
            <w:pPr>
              <w:pStyle w:val="TableHeading"/>
            </w:pPr>
            <w:r w:rsidRPr="00F04A20">
              <w:t xml:space="preserve">1: Abolish the activity test and increase the subsidy rate </w:t>
            </w:r>
            <w:r>
              <w:t xml:space="preserve">to 100% </w:t>
            </w:r>
            <w:r w:rsidRPr="00F04A20">
              <w:t>for low</w:t>
            </w:r>
            <w:r>
              <w:noBreakHyphen/>
            </w:r>
            <w:r w:rsidRPr="00F04A20">
              <w:t>income families</w:t>
            </w:r>
          </w:p>
        </w:tc>
        <w:tc>
          <w:tcPr>
            <w:tcW w:w="1389" w:type="dxa"/>
            <w:tcBorders>
              <w:top w:val="single" w:sz="4" w:space="0" w:color="B3B3B3"/>
              <w:bottom w:val="nil"/>
            </w:tcBorders>
            <w:shd w:val="clear" w:color="000000" w:fill="F2F2F2"/>
          </w:tcPr>
          <w:p w14:paraId="6B5548D0"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9.4%</w:t>
            </w:r>
          </w:p>
        </w:tc>
        <w:tc>
          <w:tcPr>
            <w:tcW w:w="1389" w:type="dxa"/>
            <w:tcBorders>
              <w:top w:val="single" w:sz="4" w:space="0" w:color="B3B3B3"/>
              <w:bottom w:val="nil"/>
            </w:tcBorders>
            <w:shd w:val="clear" w:color="000000" w:fill="F2F2F2"/>
          </w:tcPr>
          <w:p w14:paraId="41D74EE5" w14:textId="77777777" w:rsidR="008E7FC3" w:rsidRPr="00030C67" w:rsidRDefault="008E7FC3" w:rsidP="00177648">
            <w:pPr>
              <w:pStyle w:val="TableBody"/>
              <w:spacing w:before="45" w:after="45"/>
              <w:ind w:right="108"/>
              <w:jc w:val="right"/>
              <w:rPr>
                <w:rFonts w:ascii="Arial (Body)" w:hAnsi="Arial (Body)"/>
                <w:color w:val="000000"/>
              </w:rPr>
            </w:pPr>
            <w:r w:rsidRPr="00E92E8F">
              <w:t>9.5%</w:t>
            </w:r>
          </w:p>
        </w:tc>
        <w:tc>
          <w:tcPr>
            <w:tcW w:w="1389" w:type="dxa"/>
            <w:tcBorders>
              <w:top w:val="single" w:sz="4" w:space="0" w:color="B3B3B3"/>
              <w:bottom w:val="nil"/>
            </w:tcBorders>
            <w:shd w:val="clear" w:color="000000" w:fill="F2F2F2"/>
          </w:tcPr>
          <w:p w14:paraId="7BFA8E11"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10.3%</w:t>
            </w:r>
          </w:p>
        </w:tc>
      </w:tr>
      <w:tr w:rsidR="008E7FC3" w:rsidRPr="00030C67" w14:paraId="3DF2708E" w14:textId="77777777" w:rsidTr="00177648">
        <w:tc>
          <w:tcPr>
            <w:tcW w:w="5387" w:type="dxa"/>
            <w:tcBorders>
              <w:top w:val="nil"/>
              <w:bottom w:val="nil"/>
            </w:tcBorders>
            <w:shd w:val="clear" w:color="000000" w:fill="auto"/>
          </w:tcPr>
          <w:p w14:paraId="7F9ABD20" w14:textId="77777777" w:rsidR="008E7FC3" w:rsidRPr="00030C67" w:rsidRDefault="008E7FC3" w:rsidP="00177648">
            <w:pPr>
              <w:pStyle w:val="TableHeading"/>
            </w:pPr>
            <w:r w:rsidRPr="00F04A20">
              <w:t xml:space="preserve">2: Increase the subsidy </w:t>
            </w:r>
            <w:r>
              <w:t xml:space="preserve">rate to 100% </w:t>
            </w:r>
            <w:r w:rsidRPr="00F04A20">
              <w:t>for low</w:t>
            </w:r>
            <w:r w:rsidRPr="00F04A20">
              <w:rPr>
                <w:rFonts w:ascii="Cambria Math" w:hAnsi="Cambria Math" w:cs="Cambria Math"/>
              </w:rPr>
              <w:t>‑</w:t>
            </w:r>
            <w:r w:rsidRPr="00F04A20">
              <w:t>income families</w:t>
            </w:r>
          </w:p>
        </w:tc>
        <w:tc>
          <w:tcPr>
            <w:tcW w:w="1389" w:type="dxa"/>
            <w:tcBorders>
              <w:top w:val="nil"/>
              <w:bottom w:val="nil"/>
            </w:tcBorders>
            <w:shd w:val="clear" w:color="000000" w:fill="auto"/>
          </w:tcPr>
          <w:p w14:paraId="6E568409"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4.8%</w:t>
            </w:r>
          </w:p>
        </w:tc>
        <w:tc>
          <w:tcPr>
            <w:tcW w:w="1389" w:type="dxa"/>
            <w:tcBorders>
              <w:top w:val="nil"/>
              <w:bottom w:val="nil"/>
            </w:tcBorders>
            <w:shd w:val="clear" w:color="000000" w:fill="auto"/>
          </w:tcPr>
          <w:p w14:paraId="08144097" w14:textId="77777777" w:rsidR="008E7FC3" w:rsidRPr="00030C67" w:rsidRDefault="008E7FC3" w:rsidP="00177648">
            <w:pPr>
              <w:pStyle w:val="TableBody"/>
              <w:spacing w:before="45" w:after="45"/>
              <w:ind w:right="108"/>
              <w:jc w:val="right"/>
              <w:rPr>
                <w:rFonts w:ascii="Arial (Body)" w:hAnsi="Arial (Body)"/>
                <w:color w:val="000000"/>
              </w:rPr>
            </w:pPr>
            <w:r w:rsidRPr="00E92E8F">
              <w:t>4.9%</w:t>
            </w:r>
          </w:p>
        </w:tc>
        <w:tc>
          <w:tcPr>
            <w:tcW w:w="1389" w:type="dxa"/>
            <w:tcBorders>
              <w:top w:val="nil"/>
              <w:bottom w:val="nil"/>
            </w:tcBorders>
            <w:shd w:val="clear" w:color="000000" w:fill="auto"/>
          </w:tcPr>
          <w:p w14:paraId="0BFE82F4"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5.2%</w:t>
            </w:r>
          </w:p>
        </w:tc>
      </w:tr>
      <w:tr w:rsidR="008E7FC3" w:rsidRPr="00030C67" w14:paraId="718F70B6" w14:textId="77777777" w:rsidTr="00177648">
        <w:tc>
          <w:tcPr>
            <w:tcW w:w="5387" w:type="dxa"/>
            <w:tcBorders>
              <w:bottom w:val="nil"/>
            </w:tcBorders>
            <w:shd w:val="clear" w:color="000000" w:fill="F2F2F2"/>
          </w:tcPr>
          <w:p w14:paraId="18D4CDFB" w14:textId="77777777" w:rsidR="008E7FC3" w:rsidRPr="00030C67" w:rsidRDefault="008E7FC3" w:rsidP="00177648">
            <w:pPr>
              <w:pStyle w:val="TableHeading"/>
            </w:pPr>
            <w:r w:rsidRPr="00F04A20">
              <w:t>3: Abolish the activity test for all families and retain income testing</w:t>
            </w:r>
          </w:p>
        </w:tc>
        <w:tc>
          <w:tcPr>
            <w:tcW w:w="1389" w:type="dxa"/>
            <w:tcBorders>
              <w:bottom w:val="nil"/>
            </w:tcBorders>
            <w:shd w:val="clear" w:color="000000" w:fill="F2F2F2"/>
          </w:tcPr>
          <w:p w14:paraId="36EEDA38" w14:textId="77777777" w:rsidR="008E7FC3" w:rsidRPr="00030C67" w:rsidRDefault="008E7FC3" w:rsidP="00177648">
            <w:pPr>
              <w:pStyle w:val="TableBody"/>
              <w:spacing w:before="45" w:after="45"/>
              <w:ind w:right="108"/>
              <w:jc w:val="right"/>
              <w:rPr>
                <w:rFonts w:ascii="Arial (Body)" w:hAnsi="Arial (Body)"/>
                <w:color w:val="000000"/>
              </w:rPr>
            </w:pPr>
            <w:r>
              <w:rPr>
                <w:rFonts w:ascii="Arial (Body)" w:hAnsi="Arial (Body)"/>
                <w:color w:val="000000"/>
              </w:rPr>
              <w:t>3.6%</w:t>
            </w:r>
          </w:p>
        </w:tc>
        <w:tc>
          <w:tcPr>
            <w:tcW w:w="1389" w:type="dxa"/>
            <w:tcBorders>
              <w:bottom w:val="nil"/>
            </w:tcBorders>
            <w:shd w:val="clear" w:color="000000" w:fill="F2F2F2"/>
          </w:tcPr>
          <w:p w14:paraId="04366D7D" w14:textId="77777777" w:rsidR="008E7FC3" w:rsidRPr="00030C67" w:rsidRDefault="008E7FC3" w:rsidP="00177648">
            <w:pPr>
              <w:pStyle w:val="TableBody"/>
              <w:spacing w:before="45" w:after="45"/>
              <w:ind w:right="108"/>
              <w:jc w:val="right"/>
              <w:rPr>
                <w:rFonts w:ascii="Arial (Body)" w:hAnsi="Arial (Body)"/>
                <w:color w:val="000000"/>
              </w:rPr>
            </w:pPr>
            <w:r w:rsidRPr="00E92E8F">
              <w:t>3.8%</w:t>
            </w:r>
          </w:p>
        </w:tc>
        <w:tc>
          <w:tcPr>
            <w:tcW w:w="1389" w:type="dxa"/>
            <w:tcBorders>
              <w:bottom w:val="nil"/>
            </w:tcBorders>
            <w:shd w:val="clear" w:color="000000" w:fill="F2F2F2"/>
          </w:tcPr>
          <w:p w14:paraId="3713116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4.2%</w:t>
            </w:r>
          </w:p>
        </w:tc>
      </w:tr>
      <w:tr w:rsidR="008E7FC3" w:rsidRPr="00030C67" w14:paraId="0F519108" w14:textId="77777777" w:rsidTr="00177648">
        <w:tc>
          <w:tcPr>
            <w:tcW w:w="5387" w:type="dxa"/>
            <w:tcBorders>
              <w:bottom w:val="nil"/>
            </w:tcBorders>
            <w:shd w:val="clear" w:color="000000" w:fill="auto"/>
          </w:tcPr>
          <w:p w14:paraId="26E3DD38" w14:textId="77777777" w:rsidR="008E7FC3" w:rsidRPr="00030C67" w:rsidRDefault="008E7FC3" w:rsidP="00177648">
            <w:pPr>
              <w:pStyle w:val="TableHeading"/>
            </w:pPr>
            <w:r w:rsidRPr="00F04A20">
              <w:t xml:space="preserve">4: Relax the activity test and increase the subsidy rate </w:t>
            </w:r>
            <w:r>
              <w:t xml:space="preserve">to 100% </w:t>
            </w:r>
            <w:r w:rsidRPr="00F04A20">
              <w:t>for low</w:t>
            </w:r>
            <w:r>
              <w:noBreakHyphen/>
            </w:r>
            <w:r w:rsidRPr="00F04A20">
              <w:t>income families</w:t>
            </w:r>
          </w:p>
        </w:tc>
        <w:tc>
          <w:tcPr>
            <w:tcW w:w="1389" w:type="dxa"/>
            <w:tcBorders>
              <w:bottom w:val="nil"/>
            </w:tcBorders>
            <w:shd w:val="clear" w:color="000000" w:fill="auto"/>
          </w:tcPr>
          <w:p w14:paraId="0EAA84CA"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7.4%</w:t>
            </w:r>
          </w:p>
        </w:tc>
        <w:tc>
          <w:tcPr>
            <w:tcW w:w="1389" w:type="dxa"/>
            <w:tcBorders>
              <w:bottom w:val="nil"/>
            </w:tcBorders>
            <w:shd w:val="clear" w:color="000000" w:fill="auto"/>
          </w:tcPr>
          <w:p w14:paraId="3EB4EBE3" w14:textId="77777777" w:rsidR="008E7FC3" w:rsidRDefault="008E7FC3" w:rsidP="00177648">
            <w:pPr>
              <w:pStyle w:val="TableBody"/>
              <w:spacing w:before="45" w:after="45"/>
              <w:ind w:right="108"/>
              <w:jc w:val="right"/>
              <w:rPr>
                <w:rFonts w:ascii="Arial (Body)" w:hAnsi="Arial (Body)"/>
                <w:color w:val="000000"/>
              </w:rPr>
            </w:pPr>
            <w:r w:rsidRPr="00E92E8F">
              <w:t>7.5%</w:t>
            </w:r>
          </w:p>
        </w:tc>
        <w:tc>
          <w:tcPr>
            <w:tcW w:w="1389" w:type="dxa"/>
            <w:tcBorders>
              <w:bottom w:val="nil"/>
            </w:tcBorders>
            <w:shd w:val="clear" w:color="000000" w:fill="auto"/>
          </w:tcPr>
          <w:p w14:paraId="3DCA2747"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8.0%</w:t>
            </w:r>
          </w:p>
        </w:tc>
      </w:tr>
      <w:tr w:rsidR="008E7FC3" w:rsidRPr="00030C67" w14:paraId="2E169766" w14:textId="77777777" w:rsidTr="00177648">
        <w:tc>
          <w:tcPr>
            <w:tcW w:w="5387" w:type="dxa"/>
            <w:tcBorders>
              <w:top w:val="nil"/>
              <w:bottom w:val="nil"/>
            </w:tcBorders>
            <w:shd w:val="clear" w:color="000000" w:fill="F2F2F2"/>
          </w:tcPr>
          <w:p w14:paraId="4735A943" w14:textId="77777777" w:rsidR="008E7FC3" w:rsidRPr="00030C67" w:rsidRDefault="008E7FC3" w:rsidP="00177648">
            <w:pPr>
              <w:pStyle w:val="TableHeading"/>
            </w:pPr>
            <w:r>
              <w:t>4a</w:t>
            </w:r>
            <w:r w:rsidRPr="00F04A20">
              <w:t>: Relax the activity test for all families and retain income testing</w:t>
            </w:r>
          </w:p>
        </w:tc>
        <w:tc>
          <w:tcPr>
            <w:tcW w:w="1389" w:type="dxa"/>
            <w:tcBorders>
              <w:top w:val="nil"/>
              <w:bottom w:val="nil"/>
            </w:tcBorders>
            <w:shd w:val="clear" w:color="000000" w:fill="F2F2F2"/>
          </w:tcPr>
          <w:p w14:paraId="70AB4282"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2.2%</w:t>
            </w:r>
          </w:p>
        </w:tc>
        <w:tc>
          <w:tcPr>
            <w:tcW w:w="1389" w:type="dxa"/>
            <w:tcBorders>
              <w:top w:val="nil"/>
              <w:bottom w:val="nil"/>
            </w:tcBorders>
            <w:shd w:val="clear" w:color="000000" w:fill="F2F2F2"/>
          </w:tcPr>
          <w:p w14:paraId="752366E4" w14:textId="77777777" w:rsidR="008E7FC3" w:rsidRDefault="008E7FC3" w:rsidP="00177648">
            <w:pPr>
              <w:pStyle w:val="TableBody"/>
              <w:spacing w:before="45" w:after="45"/>
              <w:ind w:right="108"/>
              <w:jc w:val="right"/>
              <w:rPr>
                <w:rFonts w:ascii="Arial (Body)" w:hAnsi="Arial (Body)"/>
                <w:color w:val="000000"/>
              </w:rPr>
            </w:pPr>
            <w:r w:rsidRPr="00E92E8F">
              <w:t>2.4%</w:t>
            </w:r>
          </w:p>
        </w:tc>
        <w:tc>
          <w:tcPr>
            <w:tcW w:w="1389" w:type="dxa"/>
            <w:tcBorders>
              <w:top w:val="nil"/>
              <w:bottom w:val="nil"/>
            </w:tcBorders>
            <w:shd w:val="clear" w:color="000000" w:fill="F2F2F2"/>
          </w:tcPr>
          <w:p w14:paraId="6A2F27CB"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2.5%</w:t>
            </w:r>
          </w:p>
        </w:tc>
      </w:tr>
      <w:tr w:rsidR="008E7FC3" w:rsidRPr="00030C67" w14:paraId="1DAFB969" w14:textId="77777777" w:rsidTr="00177648">
        <w:tc>
          <w:tcPr>
            <w:tcW w:w="5387" w:type="dxa"/>
            <w:tcBorders>
              <w:bottom w:val="nil"/>
            </w:tcBorders>
            <w:shd w:val="clear" w:color="000000" w:fill="auto"/>
          </w:tcPr>
          <w:p w14:paraId="33BAF92D" w14:textId="77777777" w:rsidR="008E7FC3" w:rsidRPr="00030C67" w:rsidRDefault="008E7FC3" w:rsidP="00177648">
            <w:pPr>
              <w:pStyle w:val="TableHeading"/>
            </w:pPr>
            <w:r>
              <w:t>5</w:t>
            </w:r>
            <w:r w:rsidRPr="00F04A20">
              <w:t>: 90% subsidy rate for all families with activity test</w:t>
            </w:r>
          </w:p>
        </w:tc>
        <w:tc>
          <w:tcPr>
            <w:tcW w:w="1389" w:type="dxa"/>
            <w:tcBorders>
              <w:bottom w:val="nil"/>
            </w:tcBorders>
            <w:shd w:val="clear" w:color="000000" w:fill="auto"/>
          </w:tcPr>
          <w:p w14:paraId="26F5F403"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9.3%</w:t>
            </w:r>
          </w:p>
        </w:tc>
        <w:tc>
          <w:tcPr>
            <w:tcW w:w="1389" w:type="dxa"/>
            <w:tcBorders>
              <w:bottom w:val="nil"/>
            </w:tcBorders>
            <w:shd w:val="clear" w:color="000000" w:fill="auto"/>
          </w:tcPr>
          <w:p w14:paraId="449EE790" w14:textId="77777777" w:rsidR="008E7FC3" w:rsidRDefault="008E7FC3" w:rsidP="00177648">
            <w:pPr>
              <w:pStyle w:val="TableBody"/>
              <w:spacing w:before="45" w:after="45"/>
              <w:ind w:right="108"/>
              <w:jc w:val="right"/>
              <w:rPr>
                <w:rFonts w:ascii="Arial (Body)" w:hAnsi="Arial (Body)"/>
                <w:color w:val="000000"/>
              </w:rPr>
            </w:pPr>
            <w:r w:rsidRPr="00E92E8F">
              <w:t>9.5%</w:t>
            </w:r>
          </w:p>
        </w:tc>
        <w:tc>
          <w:tcPr>
            <w:tcW w:w="1389" w:type="dxa"/>
            <w:tcBorders>
              <w:bottom w:val="nil"/>
            </w:tcBorders>
            <w:shd w:val="clear" w:color="000000" w:fill="auto"/>
          </w:tcPr>
          <w:p w14:paraId="1F265C4D"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10.0%</w:t>
            </w:r>
          </w:p>
        </w:tc>
      </w:tr>
      <w:tr w:rsidR="008E7FC3" w:rsidRPr="00030C67" w14:paraId="5238C779" w14:textId="77777777" w:rsidTr="00177648">
        <w:tc>
          <w:tcPr>
            <w:tcW w:w="5387" w:type="dxa"/>
            <w:tcBorders>
              <w:top w:val="nil"/>
              <w:bottom w:val="nil"/>
            </w:tcBorders>
            <w:shd w:val="clear" w:color="000000" w:fill="F2F2F2"/>
          </w:tcPr>
          <w:p w14:paraId="7968B6E6" w14:textId="77777777" w:rsidR="008E7FC3" w:rsidRPr="00030C67" w:rsidRDefault="008E7FC3" w:rsidP="00177648">
            <w:pPr>
              <w:pStyle w:val="TableHeading"/>
            </w:pPr>
            <w:r>
              <w:t>6</w:t>
            </w:r>
            <w:r w:rsidRPr="00F04A20">
              <w:t>: Flat fee ECEC expense per day of $10 for all families and remove activity test</w:t>
            </w:r>
          </w:p>
        </w:tc>
        <w:tc>
          <w:tcPr>
            <w:tcW w:w="1389" w:type="dxa"/>
            <w:tcBorders>
              <w:top w:val="nil"/>
              <w:bottom w:val="nil"/>
            </w:tcBorders>
            <w:shd w:val="clear" w:color="000000" w:fill="F2F2F2"/>
          </w:tcPr>
          <w:p w14:paraId="413D99E1"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14.0%</w:t>
            </w:r>
          </w:p>
        </w:tc>
        <w:tc>
          <w:tcPr>
            <w:tcW w:w="1389" w:type="dxa"/>
            <w:tcBorders>
              <w:top w:val="nil"/>
              <w:bottom w:val="nil"/>
            </w:tcBorders>
            <w:shd w:val="clear" w:color="000000" w:fill="F2F2F2"/>
          </w:tcPr>
          <w:p w14:paraId="73451E2F" w14:textId="77777777" w:rsidR="008E7FC3" w:rsidRDefault="008E7FC3" w:rsidP="00177648">
            <w:pPr>
              <w:pStyle w:val="TableBody"/>
              <w:spacing w:before="45" w:after="45"/>
              <w:ind w:right="108"/>
              <w:jc w:val="right"/>
              <w:rPr>
                <w:rFonts w:ascii="Arial (Body)" w:hAnsi="Arial (Body)"/>
                <w:color w:val="000000"/>
              </w:rPr>
            </w:pPr>
            <w:r w:rsidRPr="00E92E8F">
              <w:t>14.2%</w:t>
            </w:r>
          </w:p>
        </w:tc>
        <w:tc>
          <w:tcPr>
            <w:tcW w:w="1389" w:type="dxa"/>
            <w:tcBorders>
              <w:top w:val="nil"/>
              <w:bottom w:val="nil"/>
            </w:tcBorders>
            <w:shd w:val="clear" w:color="000000" w:fill="F2F2F2"/>
          </w:tcPr>
          <w:p w14:paraId="3DA3DBE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14.9%</w:t>
            </w:r>
          </w:p>
        </w:tc>
      </w:tr>
      <w:tr w:rsidR="008E7FC3" w:rsidRPr="00030C67" w14:paraId="5D74ED78" w14:textId="77777777" w:rsidTr="00177648">
        <w:tc>
          <w:tcPr>
            <w:tcW w:w="5387" w:type="dxa"/>
            <w:tcBorders>
              <w:bottom w:val="single" w:sz="4" w:space="0" w:color="B3B3B3"/>
            </w:tcBorders>
            <w:shd w:val="clear" w:color="000000" w:fill="auto"/>
          </w:tcPr>
          <w:p w14:paraId="67494585" w14:textId="77777777" w:rsidR="008E7FC3" w:rsidRPr="00030C67" w:rsidRDefault="008E7FC3" w:rsidP="00177648">
            <w:pPr>
              <w:pStyle w:val="TableHeading"/>
            </w:pPr>
            <w:r>
              <w:t>6a</w:t>
            </w:r>
            <w:r w:rsidRPr="00F04A20">
              <w:t>: Flat fee ECEC expense per day of $10 for all families</w:t>
            </w:r>
            <w:r>
              <w:t>,</w:t>
            </w:r>
            <w:r w:rsidRPr="00F04A20">
              <w:t xml:space="preserve"> 100% subsidy rate for low</w:t>
            </w:r>
            <w:r>
              <w:noBreakHyphen/>
            </w:r>
            <w:r w:rsidRPr="00F04A20">
              <w:t xml:space="preserve">income families and remove activity test </w:t>
            </w:r>
          </w:p>
        </w:tc>
        <w:tc>
          <w:tcPr>
            <w:tcW w:w="1389" w:type="dxa"/>
            <w:tcBorders>
              <w:bottom w:val="single" w:sz="4" w:space="0" w:color="B3B3B3"/>
            </w:tcBorders>
            <w:shd w:val="clear" w:color="000000" w:fill="auto"/>
          </w:tcPr>
          <w:p w14:paraId="00FCF3FC"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17.0%</w:t>
            </w:r>
          </w:p>
        </w:tc>
        <w:tc>
          <w:tcPr>
            <w:tcW w:w="1389" w:type="dxa"/>
            <w:tcBorders>
              <w:bottom w:val="single" w:sz="4" w:space="0" w:color="B3B3B3"/>
            </w:tcBorders>
            <w:shd w:val="clear" w:color="000000" w:fill="auto"/>
          </w:tcPr>
          <w:p w14:paraId="0328B6E9" w14:textId="77777777" w:rsidR="008E7FC3" w:rsidRDefault="008E7FC3" w:rsidP="00177648">
            <w:pPr>
              <w:pStyle w:val="TableBody"/>
              <w:spacing w:before="45" w:after="45"/>
              <w:ind w:right="108"/>
              <w:jc w:val="right"/>
              <w:rPr>
                <w:rFonts w:ascii="Arial (Body)" w:hAnsi="Arial (Body)"/>
                <w:color w:val="000000"/>
              </w:rPr>
            </w:pPr>
            <w:r w:rsidRPr="00E92E8F">
              <w:t>17.2%</w:t>
            </w:r>
          </w:p>
        </w:tc>
        <w:tc>
          <w:tcPr>
            <w:tcW w:w="1389" w:type="dxa"/>
            <w:tcBorders>
              <w:bottom w:val="single" w:sz="4" w:space="0" w:color="B3B3B3"/>
            </w:tcBorders>
            <w:shd w:val="clear" w:color="000000" w:fill="auto"/>
          </w:tcPr>
          <w:p w14:paraId="4BFDAA23" w14:textId="77777777" w:rsidR="008E7FC3" w:rsidRDefault="008E7FC3" w:rsidP="00177648">
            <w:pPr>
              <w:pStyle w:val="TableBody"/>
              <w:spacing w:before="45" w:after="45"/>
              <w:ind w:right="108"/>
              <w:jc w:val="right"/>
              <w:rPr>
                <w:rFonts w:ascii="Arial (Body)" w:hAnsi="Arial (Body)"/>
                <w:color w:val="000000"/>
              </w:rPr>
            </w:pPr>
            <w:r>
              <w:rPr>
                <w:rFonts w:ascii="Arial (Body)" w:hAnsi="Arial (Body)"/>
                <w:color w:val="000000"/>
              </w:rPr>
              <w:t>18.2%</w:t>
            </w:r>
          </w:p>
        </w:tc>
      </w:tr>
    </w:tbl>
    <w:p w14:paraId="69C703A3" w14:textId="77777777" w:rsidR="008E7FC3" w:rsidRDefault="008E7FC3" w:rsidP="008E7FC3">
      <w:pPr>
        <w:pStyle w:val="Source"/>
      </w:pPr>
      <w:r w:rsidRPr="00696447">
        <w:t xml:space="preserve">Source: </w:t>
      </w:r>
      <w:r>
        <w:t>Productivity Commission estimates using CAPITA</w:t>
      </w:r>
      <w:r>
        <w:noBreakHyphen/>
        <w:t>B with ECEC</w:t>
      </w:r>
      <w:r w:rsidRPr="00696447">
        <w:t>.</w:t>
      </w:r>
    </w:p>
    <w:p w14:paraId="12E36566" w14:textId="77777777" w:rsidR="008E7FC3" w:rsidRDefault="008E7FC3" w:rsidP="008E7FC3">
      <w:pPr>
        <w:pStyle w:val="Heading2-Appendix"/>
      </w:pPr>
      <w:bookmarkStart w:id="52" w:name="_Toc172213602"/>
      <w:r>
        <w:lastRenderedPageBreak/>
        <w:t>CAPITA</w:t>
      </w:r>
      <w:r>
        <w:noBreakHyphen/>
        <w:t>B with ECEC – technical background information</w:t>
      </w:r>
      <w:r w:rsidRPr="001E6B8C">
        <w:rPr>
          <w:rStyle w:val="FootnoteReference"/>
        </w:rPr>
        <w:footnoteReference w:id="66"/>
      </w:r>
      <w:bookmarkEnd w:id="52"/>
    </w:p>
    <w:p w14:paraId="38B5C416" w14:textId="77777777" w:rsidR="008E7FC3" w:rsidRDefault="008E7FC3" w:rsidP="008E7FC3">
      <w:pPr>
        <w:pStyle w:val="BodyText"/>
      </w:pPr>
      <w:r>
        <w:t>This section provides background technical information on CAPITA</w:t>
      </w:r>
      <w:r>
        <w:noBreakHyphen/>
        <w:t>B with ECEC.</w:t>
      </w:r>
    </w:p>
    <w:p w14:paraId="30304527" w14:textId="77777777" w:rsidR="008E7FC3" w:rsidRPr="00573A89" w:rsidRDefault="008E7FC3" w:rsidP="008E7FC3">
      <w:pPr>
        <w:pStyle w:val="Heading3"/>
        <w:rPr>
          <w:b/>
        </w:rPr>
      </w:pPr>
      <w:r w:rsidRPr="00573A89">
        <w:t>Utility maximisation</w:t>
      </w:r>
    </w:p>
    <w:p w14:paraId="46D9B5BF" w14:textId="77777777" w:rsidR="008E7FC3" w:rsidRDefault="008E7FC3" w:rsidP="008E7FC3">
      <w:pPr>
        <w:pStyle w:val="BodyText"/>
      </w:pPr>
      <w:r w:rsidRPr="005459FB">
        <w:t xml:space="preserve">Choices of labour supply and </w:t>
      </w:r>
      <w:r>
        <w:t>ECEC</w:t>
      </w:r>
      <w:r w:rsidRPr="005459FB">
        <w:t xml:space="preserve"> demand</w:t>
      </w:r>
      <w:r w:rsidRPr="00385EB3">
        <w:t xml:space="preserve"> are made at the income unit level. Income units</w:t>
      </w:r>
      <w:r w:rsidRPr="005459FB">
        <w:t xml:space="preserve"> </w:t>
      </w:r>
      <w:r w:rsidRPr="00385EB3">
        <w:t>choose</w:t>
      </w:r>
      <w:r>
        <w:t>,</w:t>
      </w:r>
      <w:r w:rsidRPr="00385EB3">
        <w:t xml:space="preserve"> from a restricted set of discrete working hour</w:t>
      </w:r>
      <w:r w:rsidRPr="005459FB">
        <w:t xml:space="preserve"> and </w:t>
      </w:r>
      <w:r>
        <w:t>ECEC</w:t>
      </w:r>
      <w:r w:rsidRPr="005459FB">
        <w:t xml:space="preserve"> demand</w:t>
      </w:r>
      <w:r w:rsidRPr="00385EB3">
        <w:t xml:space="preserve"> levels</w:t>
      </w:r>
      <w:r w:rsidRPr="005459FB">
        <w:t>,</w:t>
      </w:r>
      <w:r w:rsidRPr="00385EB3">
        <w:t xml:space="preserve"> the </w:t>
      </w:r>
      <w:r w:rsidRPr="005459FB">
        <w:t>option</w:t>
      </w:r>
      <w:r w:rsidRPr="00385EB3">
        <w:t xml:space="preserve"> that maximises their utility. The labour supply and income of dependents is ignored. It is assumed that all income is consumed in the one time period.</w:t>
      </w:r>
    </w:p>
    <w:p w14:paraId="291E2C4A" w14:textId="77777777" w:rsidR="008E7FC3" w:rsidRDefault="008E7FC3" w:rsidP="008E7FC3">
      <w:pPr>
        <w:pStyle w:val="BodyText"/>
      </w:pPr>
      <w:r w:rsidRPr="005459FB">
        <w:t>For parents with children aged between zero and 12, u</w:t>
      </w:r>
      <w:r w:rsidRPr="00385EB3">
        <w:t xml:space="preserve">tility depends on the </w:t>
      </w:r>
      <w:r w:rsidRPr="005459FB">
        <w:t xml:space="preserve">labour supply and </w:t>
      </w:r>
      <w:r>
        <w:t>ECEC</w:t>
      </w:r>
      <w:r w:rsidRPr="005459FB">
        <w:t xml:space="preserve"> demand</w:t>
      </w:r>
      <w:r w:rsidRPr="00385EB3">
        <w:t xml:space="preserve"> choice</w:t>
      </w:r>
      <w:r w:rsidRPr="005459FB">
        <w:t>s</w:t>
      </w:r>
      <w:r w:rsidRPr="00385EB3">
        <w:t xml:space="preserve">, the </w:t>
      </w:r>
      <w:r>
        <w:t>net</w:t>
      </w:r>
      <w:r w:rsidRPr="00385EB3">
        <w:t xml:space="preserve"> income at that choice and other income unit characteristics. There </w:t>
      </w:r>
      <w:r w:rsidRPr="005459FB">
        <w:t xml:space="preserve">is one utility equation for sole parents and another for </w:t>
      </w:r>
      <w:r>
        <w:t>partnered primary carer pa</w:t>
      </w:r>
      <w:r w:rsidRPr="005459FB">
        <w:t xml:space="preserve">rents with </w:t>
      </w:r>
      <w:r>
        <w:t xml:space="preserve">ECEC </w:t>
      </w:r>
      <w:r w:rsidRPr="005459FB">
        <w:t>aged children. These utility equations were re</w:t>
      </w:r>
      <w:r w:rsidRPr="005459FB">
        <w:noBreakHyphen/>
        <w:t>estimated using updated SIH data.</w:t>
      </w:r>
    </w:p>
    <w:p w14:paraId="0595ECCD" w14:textId="77777777" w:rsidR="008E7FC3" w:rsidRDefault="008E7FC3" w:rsidP="008E7FC3">
      <w:pPr>
        <w:pStyle w:val="BodyText"/>
      </w:pPr>
      <w:r w:rsidRPr="000405CD">
        <w:t xml:space="preserve">For parents with </w:t>
      </w:r>
      <w:r>
        <w:t>children</w:t>
      </w:r>
      <w:r w:rsidRPr="000405CD">
        <w:t xml:space="preserve"> aged </w:t>
      </w:r>
      <w:r>
        <w:t>0–12</w:t>
      </w:r>
      <w:r w:rsidRPr="000405CD">
        <w:t xml:space="preserve">, there are 12 discrete choices for labour supply </w:t>
      </w:r>
      <m:oMath>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oMath>
      <w:r w:rsidRPr="000405CD">
        <w:t xml:space="preserve"> {0, 5, 10, 15, 20, 25, 30, 35, 40, 45, 50, 60} and 6 discrete choices for </w:t>
      </w:r>
      <w:r>
        <w:t>ECEC</w:t>
      </w:r>
      <w:r w:rsidRPr="000405CD">
        <w:t xml:space="preserve"> demand </w:t>
      </w:r>
      <m:oMath>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oMath>
      <w:r w:rsidRPr="000405CD">
        <w:t xml:space="preserve"> {0, 10, 20, 30, 40, 50}, giving a combined choice set of 72 choices.</w:t>
      </w:r>
    </w:p>
    <w:p w14:paraId="63AA26BF" w14:textId="77777777" w:rsidR="008E7FC3" w:rsidRDefault="008E7FC3" w:rsidP="008E7FC3">
      <w:pPr>
        <w:pStyle w:val="BodyText"/>
      </w:pPr>
      <w:r w:rsidRPr="00573A89">
        <w:t xml:space="preserve">The </w:t>
      </w:r>
      <w:r>
        <w:t xml:space="preserve">utility </w:t>
      </w:r>
      <w:r w:rsidRPr="00573A89">
        <w:t xml:space="preserve">equations have a quadratic functional form. This allows for </w:t>
      </w:r>
      <w:r>
        <w:t>consumption and the different dimensions of the choice set</w:t>
      </w:r>
      <w:r w:rsidRPr="00573A89">
        <w:t xml:space="preserve"> to be substitutes or complements. The utility function also contains </w:t>
      </w:r>
      <w:r>
        <w:t>terms</w:t>
      </w:r>
      <w:r w:rsidRPr="00573A89">
        <w:t xml:space="preserve"> to account for the cost of working. This is to correct </w:t>
      </w:r>
      <w:r>
        <w:t>for</w:t>
      </w:r>
      <w:r w:rsidRPr="00573A89">
        <w:t xml:space="preserve"> the fact that these types of models typically over</w:t>
      </w:r>
      <w:r>
        <w:noBreakHyphen/>
      </w:r>
      <w:r w:rsidRPr="00573A89">
        <w:t xml:space="preserve">estimate part-time working hours. A cost of work term will penalise low working hours making this less likely. Costs of working are deducted from </w:t>
      </w:r>
      <w:r>
        <w:t>utility</w:t>
      </w:r>
      <w:r w:rsidRPr="00573A89">
        <w:t>.</w:t>
      </w:r>
    </w:p>
    <w:p w14:paraId="119D6906" w14:textId="77777777" w:rsidR="008E7FC3" w:rsidRPr="00385EB3" w:rsidRDefault="008E7FC3" w:rsidP="008E7FC3">
      <w:pPr>
        <w:pStyle w:val="BodyText"/>
      </w:pPr>
      <w:r w:rsidRPr="00385EB3">
        <w:t xml:space="preserve">The utility equation for parents with </w:t>
      </w:r>
      <w:r>
        <w:t>ECEC</w:t>
      </w:r>
      <w:r w:rsidRPr="00385EB3">
        <w:t xml:space="preserve"> aged children takes the following form:</w:t>
      </w:r>
    </w:p>
    <w:p w14:paraId="5ED2B36A" w14:textId="77777777" w:rsidR="008E7FC3" w:rsidRPr="00573A89" w:rsidRDefault="008E7FC3" w:rsidP="008E7FC3">
      <w:pPr>
        <w:pStyle w:val="BodyText"/>
      </w:pPr>
      <m:oMathPara>
        <m:oMath>
          <m:r>
            <w:rPr>
              <w:rFonts w:ascii="Cambria Math" w:hAnsi="Cambria Math"/>
            </w:rPr>
            <m:t>U</m:t>
          </m:r>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w</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c</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y</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w</m:t>
              </m:r>
            </m:sub>
          </m:sSub>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γ+</m:t>
          </m:r>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γ</m:t>
              </m:r>
            </m:e>
            <m:sub>
              <m:r>
                <w:rPr>
                  <w:rFonts w:ascii="Cambria Math" w:hAnsi="Cambria Math"/>
                </w:rPr>
                <m:t>40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γ</m:t>
              </m:r>
            </m:e>
            <m:sub>
              <m:r>
                <w:rPr>
                  <w:rFonts w:ascii="Cambria Math" w:hAnsi="Cambria Math"/>
                </w:rPr>
                <m:t xml:space="preserve">hi </m:t>
              </m:r>
            </m:sub>
          </m:sSub>
        </m:oMath>
      </m:oMathPara>
    </w:p>
    <w:p w14:paraId="5439D81A" w14:textId="77777777" w:rsidR="008E7FC3" w:rsidRPr="00573A89" w:rsidRDefault="008E7FC3" w:rsidP="008E7FC3">
      <w:pPr>
        <w:pStyle w:val="BodyText"/>
      </w:pPr>
      <w:r w:rsidRPr="00573A89">
        <w:t xml:space="preserve">Utility at any </w:t>
      </w:r>
      <w:r>
        <w:t>possible choice</w:t>
      </w:r>
      <w:r w:rsidRPr="00573A89">
        <w:t xml:space="preserve"> </w:t>
      </w:r>
      <m:oMath>
        <m:r>
          <w:rPr>
            <w:rFonts w:ascii="Cambria Math" w:hAnsi="Cambria Math"/>
          </w:rPr>
          <m:t>j</m:t>
        </m:r>
      </m:oMath>
      <w:r w:rsidRPr="00573A89">
        <w:rPr>
          <w:rStyle w:val="math"/>
          <w:sz w:val="22"/>
          <w:szCs w:val="22"/>
        </w:rPr>
        <w:t xml:space="preserve"> </w:t>
      </w:r>
      <w:r w:rsidRPr="000843EE">
        <w:t>from the set of possible choices</w:t>
      </w:r>
      <w:r>
        <w:t xml:space="preserve"> </w:t>
      </w:r>
      <m:oMath>
        <m:r>
          <m:rPr>
            <m:scr m:val="script"/>
          </m:rPr>
          <w:rPr>
            <w:rFonts w:ascii="Cambria Math" w:hAnsi="Cambria Math"/>
          </w:rPr>
          <m:t>C</m:t>
        </m:r>
      </m:oMath>
      <w:r w:rsidRPr="00573A89">
        <w:t xml:space="preserve"> can be represented using a random utility model. Utility </w:t>
      </w:r>
      <m:oMath>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oMath>
      <w:r w:rsidRPr="00573A89">
        <w:t xml:space="preserve"> is the sum of a deterministic component </w:t>
      </w:r>
      <m:oMath>
        <m:sSub>
          <m:sSubPr>
            <m:ctrlPr>
              <w:rPr>
                <w:rFonts w:ascii="Cambria Math" w:hAnsi="Cambria Math"/>
                <w:i/>
              </w:rPr>
            </m:ctrlPr>
          </m:sSubPr>
          <m:e>
            <m:r>
              <w:rPr>
                <w:rFonts w:ascii="Cambria Math" w:hAnsi="Cambria Math"/>
              </w:rPr>
              <m:t>U</m:t>
            </m:r>
          </m:e>
          <m:sub>
            <m:r>
              <w:rPr>
                <w:rFonts w:ascii="Cambria Math" w:hAnsi="Cambria Math"/>
              </w:rPr>
              <m:t>j</m:t>
            </m:r>
          </m:sub>
        </m:sSub>
      </m:oMath>
      <w:r w:rsidRPr="00573A89">
        <w:t xml:space="preserve"> and a random component </w:t>
      </w:r>
      <m:oMath>
        <m:sSub>
          <m:sSubPr>
            <m:ctrlPr>
              <w:rPr>
                <w:rFonts w:ascii="Cambria Math" w:hAnsi="Cambria Math"/>
                <w:i/>
              </w:rPr>
            </m:ctrlPr>
          </m:sSubPr>
          <m:e>
            <m:r>
              <w:rPr>
                <w:rFonts w:ascii="Cambria Math" w:hAnsi="Cambria Math"/>
              </w:rPr>
              <m:t>ε</m:t>
            </m:r>
          </m:e>
          <m:sub>
            <m:r>
              <w:rPr>
                <w:rFonts w:ascii="Cambria Math" w:hAnsi="Cambria Math"/>
              </w:rPr>
              <m:t>j</m:t>
            </m:r>
          </m:sub>
        </m:sSub>
      </m:oMath>
      <w:r w:rsidRPr="00573A89">
        <w:t xml:space="preserve"> that is unobserved.</w:t>
      </w:r>
    </w:p>
    <w:p w14:paraId="4A243B2E" w14:textId="77777777" w:rsidR="008E7FC3" w:rsidRPr="00573A89" w:rsidRDefault="00000000" w:rsidP="008E7FC3">
      <w:pPr>
        <w:pStyle w:val="BodyText"/>
        <w:rPr>
          <w:rStyle w:val="mathjax1"/>
          <w:rFonts w:ascii="Times New Roman" w:hAnsi="Times New Roman" w:cs="Times New Roman"/>
          <w:i/>
          <w:sz w:val="22"/>
          <w:szCs w:val="22"/>
        </w:rPr>
      </w:pPr>
      <m:oMathPara>
        <m:oMath>
          <m:sSubSup>
            <m:sSubSupPr>
              <m:ctrlPr>
                <w:rPr>
                  <w:rStyle w:val="mathjax1"/>
                  <w:rFonts w:ascii="Cambria Math" w:hAnsi="Cambria Math" w:cs="Times New Roman"/>
                  <w:i/>
                  <w:sz w:val="22"/>
                  <w:szCs w:val="22"/>
                  <w:specVanish w:val="0"/>
                </w:rPr>
              </m:ctrlPr>
            </m:sSubSupPr>
            <m:e>
              <m:r>
                <w:rPr>
                  <w:rStyle w:val="mathjax1"/>
                  <w:rFonts w:ascii="Cambria Math" w:hAnsi="Cambria Math" w:cs="Times New Roman"/>
                  <w:sz w:val="22"/>
                  <w:szCs w:val="22"/>
                  <w:specVanish w:val="0"/>
                </w:rPr>
                <m:t>U</m:t>
              </m:r>
            </m:e>
            <m:sub>
              <m:r>
                <w:rPr>
                  <w:rStyle w:val="mathjax1"/>
                  <w:rFonts w:ascii="Cambria Math" w:hAnsi="Cambria Math" w:cs="Times New Roman"/>
                  <w:sz w:val="22"/>
                  <w:szCs w:val="22"/>
                  <w:specVanish w:val="0"/>
                </w:rPr>
                <m:t>j</m:t>
              </m:r>
            </m:sub>
            <m:sup>
              <m:r>
                <w:rPr>
                  <w:rStyle w:val="mathjax1"/>
                  <w:rFonts w:ascii="Cambria Math" w:hAnsi="Cambria Math" w:cs="Times New Roman"/>
                  <w:sz w:val="22"/>
                  <w:szCs w:val="22"/>
                  <w:specVanish w:val="0"/>
                </w:rPr>
                <m:t>*</m:t>
              </m:r>
            </m:sup>
          </m:sSubSup>
          <m:r>
            <w:rPr>
              <w:rStyle w:val="mathjax1"/>
              <w:rFonts w:ascii="Cambria Math" w:hAnsi="Cambria Math" w:cs="Times New Roman"/>
              <w:sz w:val="22"/>
              <w:szCs w:val="22"/>
              <w:specVanish w:val="0"/>
            </w:rPr>
            <m:t>=</m:t>
          </m:r>
          <m:sSub>
            <m:sSubPr>
              <m:ctrlPr>
                <w:rPr>
                  <w:rStyle w:val="mathjax1"/>
                  <w:rFonts w:ascii="Cambria Math" w:hAnsi="Cambria Math" w:cs="Times New Roman"/>
                  <w:i/>
                  <w:sz w:val="22"/>
                  <w:szCs w:val="22"/>
                  <w:specVanish w:val="0"/>
                </w:rPr>
              </m:ctrlPr>
            </m:sSubPr>
            <m:e>
              <m:r>
                <w:rPr>
                  <w:rStyle w:val="mathjax1"/>
                  <w:rFonts w:ascii="Cambria Math" w:hAnsi="Cambria Math" w:cs="Times New Roman"/>
                  <w:sz w:val="22"/>
                  <w:szCs w:val="22"/>
                  <w:specVanish w:val="0"/>
                </w:rPr>
                <m:t>U</m:t>
              </m:r>
            </m:e>
            <m:sub>
              <m:r>
                <w:rPr>
                  <w:rStyle w:val="mathjax1"/>
                  <w:rFonts w:ascii="Cambria Math" w:hAnsi="Cambria Math" w:cs="Times New Roman"/>
                  <w:sz w:val="22"/>
                  <w:szCs w:val="22"/>
                  <w:specVanish w:val="0"/>
                </w:rPr>
                <m:t>j</m:t>
              </m:r>
            </m:sub>
          </m:sSub>
          <m:r>
            <w:rPr>
              <w:rStyle w:val="mathjax1"/>
              <w:rFonts w:ascii="Cambria Math" w:hAnsi="Cambria Math" w:cs="Times New Roman"/>
              <w:sz w:val="22"/>
              <w:szCs w:val="22"/>
              <w:specVanish w:val="0"/>
            </w:rPr>
            <m:t>+</m:t>
          </m:r>
          <m:sSub>
            <m:sSubPr>
              <m:ctrlPr>
                <w:rPr>
                  <w:rStyle w:val="mathjax1"/>
                  <w:rFonts w:ascii="Cambria Math" w:hAnsi="Cambria Math" w:cs="Times New Roman"/>
                  <w:i/>
                  <w:sz w:val="22"/>
                  <w:szCs w:val="22"/>
                  <w:specVanish w:val="0"/>
                </w:rPr>
              </m:ctrlPr>
            </m:sSubPr>
            <m:e>
              <m:r>
                <w:rPr>
                  <w:rStyle w:val="mathjax1"/>
                  <w:rFonts w:ascii="Cambria Math" w:hAnsi="Cambria Math" w:cs="Times New Roman"/>
                  <w:sz w:val="22"/>
                  <w:szCs w:val="22"/>
                  <w:specVanish w:val="0"/>
                </w:rPr>
                <m:t>ε</m:t>
              </m:r>
            </m:e>
            <m:sub>
              <m:r>
                <w:rPr>
                  <w:rStyle w:val="mathjax1"/>
                  <w:rFonts w:ascii="Cambria Math" w:hAnsi="Cambria Math" w:cs="Times New Roman"/>
                  <w:sz w:val="22"/>
                  <w:szCs w:val="22"/>
                  <w:specVanish w:val="0"/>
                </w:rPr>
                <m:t>j</m:t>
              </m:r>
            </m:sub>
          </m:sSub>
        </m:oMath>
      </m:oMathPara>
    </w:p>
    <w:p w14:paraId="6AFF3677" w14:textId="77777777" w:rsidR="008E7FC3" w:rsidRPr="00573A89" w:rsidRDefault="008E7FC3" w:rsidP="008E7FC3">
      <w:pPr>
        <w:pStyle w:val="BodyText"/>
      </w:pPr>
      <w:r w:rsidRPr="00573A89">
        <w:t>Assuming the error terms follow an extreme value distribution, the probability</w:t>
      </w:r>
      <w:r>
        <w:t xml:space="preserve"> </w:t>
      </w:r>
      <m:oMath>
        <m:sSub>
          <m:sSubPr>
            <m:ctrlPr>
              <w:rPr>
                <w:rFonts w:ascii="Cambria Math" w:hAnsi="Cambria Math"/>
                <w:i/>
                <w:iCs/>
              </w:rPr>
            </m:ctrlPr>
          </m:sSubPr>
          <m:e>
            <m:r>
              <w:rPr>
                <w:rFonts w:ascii="Cambria Math" w:hAnsi="Cambria Math"/>
              </w:rPr>
              <m:t>p</m:t>
            </m:r>
          </m:e>
          <m:sub>
            <m:r>
              <w:rPr>
                <w:rFonts w:ascii="Cambria Math" w:hAnsi="Cambria Math"/>
              </w:rPr>
              <m:t>j</m:t>
            </m:r>
          </m:sub>
        </m:sSub>
      </m:oMath>
      <w:r>
        <w:t xml:space="preserve"> </w:t>
      </w:r>
      <w:r w:rsidRPr="00573A89">
        <w:t xml:space="preserve">of choosing hour </w:t>
      </w:r>
      <m:oMath>
        <m:r>
          <w:rPr>
            <w:rFonts w:ascii="Cambria Math" w:hAnsi="Cambria Math"/>
          </w:rPr>
          <m:t>j</m:t>
        </m:r>
      </m:oMath>
      <w:r w:rsidRPr="00573A89">
        <w:rPr>
          <w:rStyle w:val="mathjax2"/>
          <w:rFonts w:ascii="Times New Roman" w:hAnsi="Times New Roman" w:cs="Times New Roman"/>
          <w:i/>
          <w:sz w:val="22"/>
          <w:szCs w:val="22"/>
          <w:specVanish w:val="0"/>
        </w:rPr>
        <w:t xml:space="preserve"> </w:t>
      </w:r>
      <w:r w:rsidRPr="00573A89">
        <w:t>is given by the following multinomial logit model.</w:t>
      </w:r>
    </w:p>
    <w:p w14:paraId="5BD95C81" w14:textId="77777777" w:rsidR="008E7FC3" w:rsidRPr="00573A89" w:rsidRDefault="008E7FC3" w:rsidP="008E7FC3">
      <w:pPr>
        <w:pStyle w:val="BodyText"/>
        <w:jc w:val="center"/>
        <w:rPr>
          <w:rFonts w:ascii="Times New Roman" w:hAnsi="Times New Roman" w:cs="Times New Roman"/>
        </w:rPr>
      </w:pPr>
      <w:r>
        <w:rPr>
          <w:rFonts w:eastAsiaTheme="minorEastAsia"/>
        </w:rPr>
        <w:t>/</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sup>
        </m:sSup>
        <m:r>
          <w:rPr>
            <w:rFonts w:ascii="Cambria Math" w:hAnsi="Cambria Math" w:cs="Times New Roman"/>
          </w:rPr>
          <m:t xml:space="preserve"> / </m:t>
        </m:r>
        <m:nary>
          <m:naryPr>
            <m:chr m:val="∑"/>
            <m:limLoc m:val="undOvr"/>
            <m:supHide m:val="1"/>
            <m:ctrlPr>
              <w:rPr>
                <w:rFonts w:ascii="Cambria Math" w:hAnsi="Cambria Math" w:cs="Times New Roman"/>
                <w:i/>
              </w:rPr>
            </m:ctrlPr>
          </m:naryPr>
          <m:sub>
            <m:r>
              <w:rPr>
                <w:rFonts w:ascii="Cambria Math" w:hAnsi="Cambria Math" w:cs="Times New Roman"/>
              </w:rPr>
              <m:t>k∈</m:t>
            </m:r>
            <m:r>
              <m:rPr>
                <m:scr m:val="script"/>
              </m:rPr>
              <w:rPr>
                <w:rFonts w:ascii="Cambria Math" w:hAnsi="Cambria Math"/>
              </w:rPr>
              <m:t>C</m:t>
            </m:r>
          </m:sub>
          <m:sup/>
          <m:e>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k</m:t>
                    </m:r>
                  </m:sub>
                </m:sSub>
              </m:sup>
            </m:sSup>
          </m:e>
        </m:nary>
      </m:oMath>
    </w:p>
    <w:p w14:paraId="3CBEA2A5" w14:textId="77777777" w:rsidR="008E7FC3" w:rsidRPr="00573A89" w:rsidRDefault="008E7FC3" w:rsidP="008E7FC3">
      <w:pPr>
        <w:pStyle w:val="BodyText"/>
      </w:pPr>
      <w:r w:rsidRPr="00573A89">
        <w:t xml:space="preserve">The multinomial logit model can be estimated using maximum likelihood. For </w:t>
      </w:r>
      <m:oMath>
        <m:r>
          <w:rPr>
            <w:rFonts w:ascii="Cambria Math" w:hAnsi="Cambria Math"/>
          </w:rPr>
          <m:t>i</m:t>
        </m:r>
      </m:oMath>
      <w:r w:rsidRPr="00573A89">
        <w:rPr>
          <w:rStyle w:val="mathjax3"/>
          <w:i/>
          <w:sz w:val="22"/>
          <w:szCs w:val="22"/>
          <w:specVanish w:val="0"/>
        </w:rPr>
        <w:t xml:space="preserve"> </w:t>
      </w:r>
      <w:r w:rsidRPr="00573A89">
        <w:t xml:space="preserve">of </w:t>
      </w:r>
      <m:oMath>
        <m:r>
          <w:rPr>
            <w:rFonts w:ascii="Cambria Math" w:hAnsi="Cambria Math"/>
          </w:rPr>
          <m:t>N</m:t>
        </m:r>
      </m:oMath>
      <w:r w:rsidRPr="00573A89">
        <w:rPr>
          <w:rStyle w:val="mathjax3"/>
          <w:i/>
          <w:sz w:val="22"/>
          <w:szCs w:val="22"/>
          <w:specVanish w:val="0"/>
        </w:rPr>
        <w:t xml:space="preserve"> </w:t>
      </w:r>
      <w:r w:rsidRPr="00573A89">
        <w:t>individuals in the sample the log likelihood function is given by the</w:t>
      </w:r>
      <w:r w:rsidRPr="004708AF">
        <w:rPr>
          <w:rFonts w:ascii="Cambria Math" w:hAnsi="Cambria Math" w:cs="Times New Roman"/>
          <w:i/>
        </w:rPr>
        <w:t xml:space="preserve"> </w:t>
      </w:r>
      <m:oMath>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d>
      </m:oMath>
      <w:r w:rsidRPr="00573A89">
        <w:t xml:space="preserve">, where we choose </w:t>
      </w:r>
      <w:r>
        <w:t xml:space="preserve">the set of </w:t>
      </w:r>
      <w:r w:rsidRPr="00573A89">
        <w:t>parameters</w:t>
      </w:r>
      <w:r>
        <w:br/>
        <w:t xml:space="preserve"> </w:t>
      </w:r>
      <m:oMath>
        <m:r>
          <w:rPr>
            <w:rFonts w:ascii="Cambria Math" w:hAnsi="Cambria Math" w:cs="Times New Roman"/>
          </w:rPr>
          <m:t>θ={</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12</m:t>
            </m:r>
          </m:sub>
        </m:sSub>
        <m:r>
          <w:rPr>
            <w:rFonts w:ascii="Cambria Math" w:hAnsi="Cambria Math" w:cs="Times New Roman"/>
          </w:rPr>
          <m:t>}</m:t>
        </m:r>
      </m:oMath>
      <w:r w:rsidRPr="00573A89">
        <w:t xml:space="preserve"> </w:t>
      </w:r>
      <w:r>
        <w:t>t</w:t>
      </w:r>
      <w:r w:rsidRPr="00573A89">
        <w:t xml:space="preserve">hat maximises this function. These are the parameter estimates that </w:t>
      </w:r>
      <w:r>
        <w:t>define</w:t>
      </w:r>
      <w:r w:rsidRPr="00573A89">
        <w:t xml:space="preserve"> the utility equations used in CAPITA-B</w:t>
      </w:r>
      <w:r>
        <w:t xml:space="preserve"> with ECEC</w:t>
      </w:r>
      <w:r w:rsidRPr="00573A89">
        <w:t>.</w:t>
      </w:r>
    </w:p>
    <w:p w14:paraId="78726F5A" w14:textId="77777777" w:rsidR="008E7FC3" w:rsidRPr="00573A89" w:rsidRDefault="008E7FC3" w:rsidP="008E7FC3">
      <w:pPr>
        <w:rPr>
          <w:rFonts w:ascii="Times New Roman" w:hAnsi="Times New Roman" w:cs="Times New Roman"/>
        </w:rPr>
      </w:pPr>
      <m:oMathPara>
        <m:oMath>
          <m: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j∈</m:t>
                  </m:r>
                  <m:r>
                    <m:rPr>
                      <m:scr m:val="script"/>
                    </m:rPr>
                    <w:rPr>
                      <w:rFonts w:ascii="Cambria Math" w:hAnsi="Cambria Math"/>
                    </w:rPr>
                    <m:t>C</m:t>
                  </m:r>
                </m:sub>
                <m:sup>
                  <m:r>
                    <w:rPr>
                      <w:rFonts w:ascii="Cambria Math" w:hAnsi="Cambria Math" w:cs="Times New Roman"/>
                    </w:rPr>
                    <m:t xml:space="preserve"> </m:t>
                  </m:r>
                </m:sup>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i,j</m:t>
                      </m:r>
                    </m:sub>
                  </m:sSub>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r>
                    <w:rPr>
                      <w:rFonts w:ascii="Cambria Math" w:hAnsi="Cambria Math" w:cs="Times New Roman"/>
                    </w:rPr>
                    <m:t xml:space="preserve">-ln </m:t>
                  </m:r>
                  <m:nary>
                    <m:naryPr>
                      <m:chr m:val="∑"/>
                      <m:limLoc m:val="undOvr"/>
                      <m:ctrlPr>
                        <w:rPr>
                          <w:rFonts w:ascii="Cambria Math" w:hAnsi="Cambria Math" w:cs="Times New Roman"/>
                          <w:i/>
                        </w:rPr>
                      </m:ctrlPr>
                    </m:naryPr>
                    <m:sub>
                      <m:r>
                        <w:rPr>
                          <w:rFonts w:ascii="Cambria Math" w:hAnsi="Cambria Math" w:cs="Times New Roman"/>
                        </w:rPr>
                        <m:t>k∈</m:t>
                      </m:r>
                      <m:r>
                        <m:rPr>
                          <m:scr m:val="script"/>
                        </m:rPr>
                        <w:rPr>
                          <w:rFonts w:ascii="Cambria Math" w:hAnsi="Cambria Math"/>
                        </w:rPr>
                        <m:t>C</m:t>
                      </m:r>
                    </m:sub>
                    <m:sup>
                      <m:r>
                        <w:rPr>
                          <w:rFonts w:ascii="Cambria Math" w:hAnsi="Cambria Math" w:cs="Times New Roman"/>
                        </w:rPr>
                        <m:t xml:space="preserve"> </m:t>
                      </m:r>
                    </m:sup>
                    <m:e>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k</m:t>
                              </m:r>
                            </m:sub>
                          </m:sSub>
                        </m:sup>
                      </m:sSup>
                    </m:e>
                  </m:nary>
                  <m:r>
                    <w:rPr>
                      <w:rFonts w:ascii="Cambria Math" w:hAnsi="Cambria Math" w:cs="Times New Roman"/>
                    </w:rPr>
                    <m:t>)</m:t>
                  </m:r>
                </m:e>
              </m:nary>
            </m:e>
          </m:nary>
        </m:oMath>
      </m:oMathPara>
    </w:p>
    <w:p w14:paraId="5926C09C" w14:textId="77777777" w:rsidR="008E7FC3" w:rsidRDefault="008E7FC3" w:rsidP="008E7FC3">
      <w:pPr>
        <w:pStyle w:val="BodyText"/>
      </w:pPr>
      <w:r w:rsidRPr="00573A89">
        <w:lastRenderedPageBreak/>
        <w:t xml:space="preserve">The </w:t>
      </w:r>
      <m:oMath>
        <m:sSub>
          <m:sSubPr>
            <m:ctrlPr>
              <w:rPr>
                <w:rFonts w:ascii="Cambria Math" w:hAnsi="Cambria Math"/>
                <w:i/>
              </w:rPr>
            </m:ctrlPr>
          </m:sSubPr>
          <m:e>
            <m:r>
              <w:rPr>
                <w:rFonts w:ascii="Cambria Math" w:hAnsi="Cambria Math"/>
              </w:rPr>
              <m:t>z</m:t>
            </m:r>
          </m:e>
          <m:sub>
            <m:r>
              <w:rPr>
                <w:rFonts w:ascii="Cambria Math" w:hAnsi="Cambria Math"/>
              </w:rPr>
              <m:t>i,j</m:t>
            </m:r>
          </m:sub>
        </m:sSub>
      </m:oMath>
      <w:r w:rsidRPr="00573A89">
        <w:t xml:space="preserve"> is an indicator variable that is 1 if </w:t>
      </w:r>
      <w:r>
        <w:t>choice j</w:t>
      </w:r>
      <w:r w:rsidRPr="00573A89">
        <w:t xml:space="preserve"> is the observed </w:t>
      </w:r>
      <w:r>
        <w:t>choice</w:t>
      </w:r>
      <w:r w:rsidRPr="00573A89">
        <w:t xml:space="preserve"> </w:t>
      </w:r>
      <w:r>
        <w:t xml:space="preserve">of labour supply and childcare demand </w:t>
      </w:r>
      <w:r w:rsidRPr="00573A89">
        <w:t xml:space="preserve">for individual </w:t>
      </w:r>
      <m:oMath>
        <m:r>
          <w:rPr>
            <w:rFonts w:ascii="Cambria Math" w:hAnsi="Cambria Math"/>
          </w:rPr>
          <m:t>i</m:t>
        </m:r>
      </m:oMath>
      <w:r w:rsidRPr="00573A89">
        <w:t>, otherwise it is 0.</w:t>
      </w:r>
    </w:p>
    <w:p w14:paraId="3EB816AF" w14:textId="77777777" w:rsidR="008E7FC3" w:rsidRDefault="008E7FC3" w:rsidP="008E7FC3">
      <w:pPr>
        <w:pStyle w:val="Heading3"/>
      </w:pPr>
      <w:r>
        <w:t>Monte Carlo simulation</w:t>
      </w:r>
    </w:p>
    <w:p w14:paraId="374B14A3" w14:textId="77777777" w:rsidR="008E7FC3" w:rsidRPr="00573A89" w:rsidRDefault="008E7FC3" w:rsidP="008E7FC3">
      <w:pPr>
        <w:pStyle w:val="BodyText"/>
      </w:pPr>
      <w:r>
        <w:t xml:space="preserve">As noted above, </w:t>
      </w:r>
      <w:r w:rsidRPr="00573A89">
        <w:t xml:space="preserve">utility comprises a deterministic and random </w:t>
      </w:r>
      <w:r w:rsidRPr="00385EB3">
        <w:t xml:space="preserve">component. The case for sole parents is presented as this is the least complex. For </w:t>
      </w:r>
      <w:r>
        <w:t>partnered parent families</w:t>
      </w:r>
      <w:r w:rsidRPr="00385EB3">
        <w:t>, the discussion is similar.</w:t>
      </w:r>
    </w:p>
    <w:p w14:paraId="56637B9E" w14:textId="77777777" w:rsidR="008E7FC3" w:rsidRPr="00573A89" w:rsidRDefault="00000000" w:rsidP="008E7FC3">
      <w:pPr>
        <w:pStyle w:val="BodyText"/>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j</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j</m:t>
              </m:r>
            </m:sub>
          </m:sSub>
          <m:r>
            <w:rPr>
              <w:rFonts w:ascii="Cambria Math" w:hAnsi="Cambria Math" w:cs="Times New Roman"/>
            </w:rPr>
            <m:t xml:space="preserve"> ∀ j∈</m:t>
          </m:r>
          <m:r>
            <m:rPr>
              <m:scr m:val="script"/>
            </m:rPr>
            <w:rPr>
              <w:rFonts w:ascii="Cambria Math" w:hAnsi="Cambria Math"/>
            </w:rPr>
            <m:t>C</m:t>
          </m:r>
        </m:oMath>
      </m:oMathPara>
    </w:p>
    <w:p w14:paraId="418A4466" w14:textId="77777777" w:rsidR="008E7FC3" w:rsidRDefault="008E7FC3" w:rsidP="008E7FC3">
      <w:pPr>
        <w:pStyle w:val="BodyText"/>
      </w:pPr>
      <w:r>
        <w:t>where:</w:t>
      </w:r>
    </w:p>
    <w:p w14:paraId="706EDB63" w14:textId="77777777" w:rsidR="008E7FC3" w:rsidRDefault="008E7FC3" w:rsidP="008E7FC3">
      <w:pPr>
        <w:pStyle w:val="ListBullet"/>
        <w:numPr>
          <w:ilvl w:val="0"/>
          <w:numId w:val="15"/>
        </w:numPr>
      </w:pPr>
      <m:oMath>
        <m:r>
          <w:rPr>
            <w:rFonts w:ascii="Cambria Math" w:hAnsi="Cambria Math"/>
          </w:rPr>
          <m:t>j</m:t>
        </m:r>
      </m:oMath>
      <w:r w:rsidRPr="00962AE8">
        <w:t xml:space="preserve"> represents </w:t>
      </w:r>
      <w:r>
        <w:t xml:space="preserve">a choice from the set of discrete choices </w:t>
      </w:r>
      <m:oMath>
        <m:r>
          <m:rPr>
            <m:scr m:val="script"/>
          </m:rPr>
          <w:rPr>
            <w:rFonts w:ascii="Cambria Math" w:hAnsi="Cambria Math"/>
          </w:rPr>
          <m:t>C</m:t>
        </m:r>
      </m:oMath>
    </w:p>
    <w:p w14:paraId="67E3591A" w14:textId="77777777" w:rsidR="008E7FC3" w:rsidRPr="00244F84" w:rsidRDefault="00000000" w:rsidP="008E7FC3">
      <w:pPr>
        <w:pStyle w:val="ListBullet"/>
        <w:numPr>
          <w:ilvl w:val="0"/>
          <w:numId w:val="15"/>
        </w:numPr>
      </w:pP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j</m:t>
            </m:r>
          </m:sub>
          <m:sup>
            <m:r>
              <w:rPr>
                <w:rFonts w:ascii="Cambria Math" w:hAnsi="Cambria Math" w:cs="Times New Roman"/>
              </w:rPr>
              <m:t>*</m:t>
            </m:r>
          </m:sup>
        </m:sSubSup>
      </m:oMath>
      <w:r w:rsidR="008E7FC3" w:rsidRPr="00962AE8">
        <w:t xml:space="preserve"> represents the household’s total utility</w:t>
      </w:r>
      <w:r w:rsidR="008E7FC3">
        <w:t xml:space="preserve"> for choice </w:t>
      </w:r>
      <m:oMath>
        <m:r>
          <w:rPr>
            <w:rFonts w:ascii="Cambria Math" w:hAnsi="Cambria Math"/>
          </w:rPr>
          <m:t>j</m:t>
        </m:r>
      </m:oMath>
    </w:p>
    <w:p w14:paraId="17DE2944" w14:textId="77777777" w:rsidR="008E7FC3" w:rsidRPr="00244F84" w:rsidRDefault="00000000" w:rsidP="008E7FC3">
      <w:pPr>
        <w:pStyle w:val="ListBullet"/>
        <w:numPr>
          <w:ilvl w:val="0"/>
          <w:numId w:val="15"/>
        </w:num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j</m:t>
            </m:r>
          </m:sub>
        </m:sSub>
      </m:oMath>
      <w:r w:rsidR="008E7FC3" w:rsidRPr="00962AE8">
        <w:t xml:space="preserve"> represents the deterministic component of the household’s utility</w:t>
      </w:r>
      <w:r w:rsidR="008E7FC3">
        <w:t xml:space="preserve"> for choice </w:t>
      </w:r>
      <m:oMath>
        <m:r>
          <w:rPr>
            <w:rFonts w:ascii="Cambria Math" w:hAnsi="Cambria Math"/>
          </w:rPr>
          <m:t>j</m:t>
        </m:r>
      </m:oMath>
    </w:p>
    <w:p w14:paraId="40E1E1FB" w14:textId="77777777" w:rsidR="008E7FC3" w:rsidRPr="00A851F1" w:rsidRDefault="00000000" w:rsidP="008E7FC3">
      <w:pPr>
        <w:pStyle w:val="ListBullet"/>
        <w:numPr>
          <w:ilvl w:val="0"/>
          <w:numId w:val="15"/>
        </w:numPr>
      </w:pP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j</m:t>
            </m:r>
          </m:sub>
        </m:sSub>
      </m:oMath>
      <w:r w:rsidR="008E7FC3" w:rsidRPr="00962AE8">
        <w:t xml:space="preserve"> represents the random component of the household’s utility</w:t>
      </w:r>
      <w:r w:rsidR="008E7FC3">
        <w:t>.</w:t>
      </w:r>
    </w:p>
    <w:p w14:paraId="34A73094" w14:textId="77777777" w:rsidR="008E7FC3" w:rsidRPr="00573A89" w:rsidRDefault="008E7FC3" w:rsidP="008E7FC3">
      <w:pPr>
        <w:pStyle w:val="BodyText"/>
      </w:pPr>
      <w:r w:rsidRPr="00573A89">
        <w:t xml:space="preserve">The distribution of the error term is from the extreme value distribution (EVD) with </w:t>
      </w:r>
      <w:r>
        <w:t>probability density function</w:t>
      </w:r>
    </w:p>
    <w:p w14:paraId="0CFF61CE" w14:textId="77777777" w:rsidR="008E7FC3" w:rsidRPr="00573A89" w:rsidRDefault="008E7FC3" w:rsidP="008E7FC3">
      <w:pPr>
        <w:pStyle w:val="BodyText"/>
      </w:pPr>
      <m:oMathPara>
        <m:oMath>
          <m:r>
            <w:rPr>
              <w:rFonts w:ascii="Cambria Math" w:hAnsi="Cambria Math"/>
            </w:rPr>
            <m:t>f</m:t>
          </m:r>
          <m:d>
            <m:dPr>
              <m:ctrlPr>
                <w:rPr>
                  <w:rFonts w:ascii="Cambria Math" w:hAnsi="Cambria Math"/>
                  <w:i/>
                </w:rPr>
              </m:ctrlPr>
            </m:dPr>
            <m:e>
              <m:r>
                <w:rPr>
                  <w:rFonts w:ascii="Cambria Math" w:hAnsi="Cambria Math"/>
                </w:rPr>
                <m:t>ε</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-ε</m:t>
              </m:r>
            </m:sup>
          </m:sSup>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-e</m:t>
                  </m:r>
                </m:e>
                <m:sup>
                  <m:r>
                    <w:rPr>
                      <w:rFonts w:ascii="Cambria Math" w:hAnsi="Cambria Math"/>
                    </w:rPr>
                    <m:t>-ε</m:t>
                  </m:r>
                </m:sup>
              </m:sSup>
            </m:sup>
          </m:sSup>
        </m:oMath>
      </m:oMathPara>
    </w:p>
    <w:p w14:paraId="3C57CC9D" w14:textId="77777777" w:rsidR="008E7FC3" w:rsidRDefault="008E7FC3" w:rsidP="008E7FC3">
      <w:pPr>
        <w:pStyle w:val="BodyText"/>
        <w:rPr>
          <w:rFonts w:cstheme="minorHAnsi"/>
        </w:rPr>
      </w:pPr>
      <w:r w:rsidRPr="00632E15">
        <w:rPr>
          <w:rFonts w:cstheme="minorHAnsi"/>
        </w:rPr>
        <w:t>A Monte</w:t>
      </w:r>
      <w:r>
        <w:rPr>
          <w:rFonts w:cstheme="minorHAnsi"/>
        </w:rPr>
        <w:t xml:space="preserve"> </w:t>
      </w:r>
      <w:r w:rsidRPr="00632E15">
        <w:rPr>
          <w:rFonts w:cstheme="minorHAnsi"/>
        </w:rPr>
        <w:t xml:space="preserve">Carlo simulation begins for each income unit by drawing a vector of error terms, one for each </w:t>
      </w:r>
      <w:r>
        <w:rPr>
          <w:rFonts w:cstheme="minorHAnsi"/>
        </w:rPr>
        <w:t xml:space="preserve">choice in </w:t>
      </w:r>
      <m:oMath>
        <m:r>
          <m:rPr>
            <m:scr m:val="script"/>
          </m:rPr>
          <w:rPr>
            <w:rFonts w:ascii="Cambria Math" w:hAnsi="Cambria Math"/>
          </w:rPr>
          <m:t>C</m:t>
        </m:r>
      </m:oMath>
      <w:r w:rsidRPr="00632E15">
        <w:rPr>
          <w:rFonts w:cstheme="minorHAnsi"/>
        </w:rPr>
        <w:t>, and these are added to the deterministic utility to give the total utility for the draw.</w:t>
      </w:r>
    </w:p>
    <w:p w14:paraId="0F518665" w14:textId="77777777" w:rsidR="008E7FC3" w:rsidRPr="00632E15" w:rsidRDefault="008E7FC3" w:rsidP="008E7FC3">
      <w:pPr>
        <w:pStyle w:val="BodyText"/>
        <w:rPr>
          <w:rFonts w:cstheme="minorHAnsi"/>
        </w:rPr>
      </w:pPr>
      <w:r w:rsidRPr="00632E15">
        <w:rPr>
          <w:rFonts w:cstheme="minorHAnsi"/>
        </w:rPr>
        <w:t xml:space="preserve">Of these utilities, the optimal utility is the one that is the maximum for that draw, resulting in the optimal </w:t>
      </w:r>
      <w:r>
        <w:rPr>
          <w:rFonts w:cstheme="minorHAnsi"/>
        </w:rPr>
        <w:t>choice</w:t>
      </w:r>
      <w:r w:rsidRPr="00632E15">
        <w:rPr>
          <w:rFonts w:cstheme="minorHAnsi"/>
        </w:rPr>
        <w:t xml:space="preserve"> </w:t>
      </w:r>
      <m:oMath>
        <m:r>
          <w:rPr>
            <w:rFonts w:ascii="Cambria Math" w:hAnsi="Cambria Math" w:cstheme="minorHAnsi"/>
          </w:rPr>
          <m:t>k</m:t>
        </m:r>
      </m:oMath>
      <w:r w:rsidRPr="00632E15">
        <w:rPr>
          <w:rFonts w:cstheme="minorHAnsi"/>
        </w:rPr>
        <w:t>.</w:t>
      </w:r>
    </w:p>
    <w:p w14:paraId="459D7E9F" w14:textId="77777777" w:rsidR="008E7FC3" w:rsidRDefault="00000000" w:rsidP="008E7FC3">
      <w:pPr>
        <w:pStyle w:val="BodyText"/>
        <w:rPr>
          <w:rFonts w:ascii="Cambria Math" w:eastAsiaTheme="minorEastAsia" w:hAnsi="Cambria Math"/>
          <w:oMath/>
        </w:rPr>
      </w:pPr>
      <m:oMathPara>
        <m:oMath>
          <m:sSubSup>
            <m:sSubSupPr>
              <m:ctrlPr>
                <w:rPr>
                  <w:rFonts w:ascii="Cambria Math" w:hAnsi="Cambria Math"/>
                  <w:i/>
                </w:rPr>
              </m:ctrlPr>
            </m:sSubSupPr>
            <m:e>
              <m:r>
                <w:rPr>
                  <w:rFonts w:ascii="Cambria Math" w:hAnsi="Cambria Math"/>
                </w:rPr>
                <m:t>U</m:t>
              </m:r>
            </m:e>
            <m:sub>
              <m:r>
                <w:rPr>
                  <w:rFonts w:ascii="Cambria Math" w:hAnsi="Cambria Math"/>
                </w:rPr>
                <m:t>k</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r>
            <w:rPr>
              <w:rFonts w:ascii="Cambria Math" w:hAnsi="Cambria Math"/>
            </w:rPr>
            <m:t xml:space="preserve">  ∀j∈</m:t>
          </m:r>
          <m:r>
            <m:rPr>
              <m:scr m:val="script"/>
            </m:rPr>
            <w:rPr>
              <w:rFonts w:ascii="Cambria Math" w:hAnsi="Cambria Math"/>
            </w:rPr>
            <m:t>C</m:t>
          </m:r>
        </m:oMath>
      </m:oMathPara>
    </w:p>
    <w:p w14:paraId="460F80DD" w14:textId="77777777" w:rsidR="008E7FC3" w:rsidRPr="00632E15" w:rsidRDefault="008E7FC3" w:rsidP="008E7FC3">
      <w:pPr>
        <w:pStyle w:val="BodyText"/>
      </w:pPr>
      <w:r w:rsidRPr="00632E15">
        <w:t xml:space="preserve">This drawing process will result in a probability distribution of optimal </w:t>
      </w:r>
      <w:r>
        <w:t>choices</w:t>
      </w:r>
      <w:r w:rsidRPr="00632E15">
        <w:t xml:space="preserve"> for each individual.</w:t>
      </w:r>
    </w:p>
    <w:p w14:paraId="5BCF75BA" w14:textId="77777777" w:rsidR="008E7FC3" w:rsidRPr="00632E15" w:rsidRDefault="008E7FC3" w:rsidP="008E7FC3">
      <w:pPr>
        <w:pStyle w:val="BodyText"/>
      </w:pPr>
      <w:r w:rsidRPr="00632E15">
        <w:t>This process is first done for a scenario where there is no policy change (the base simulation). The process is then repeated for a</w:t>
      </w:r>
      <w:r>
        <w:t xml:space="preserve"> policy</w:t>
      </w:r>
      <w:r w:rsidRPr="00632E15">
        <w:t xml:space="preserve"> reform (the reform simulation). The same error draws are added to deterministic utility, which will change depending on how the policy reform changes disposable incomes. The result will also be a probability distribution of optimal </w:t>
      </w:r>
      <w:r>
        <w:t>choices</w:t>
      </w:r>
      <w:r w:rsidRPr="00632E15">
        <w:t>.</w:t>
      </w:r>
    </w:p>
    <w:p w14:paraId="40E4396F" w14:textId="77777777" w:rsidR="008E7FC3" w:rsidRPr="00632E15" w:rsidRDefault="008E7FC3" w:rsidP="008E7FC3">
      <w:pPr>
        <w:pStyle w:val="BodyText"/>
      </w:pPr>
      <w:r w:rsidRPr="00632E15">
        <w:t>The steps in a base simulation are outlined below.</w:t>
      </w:r>
    </w:p>
    <w:p w14:paraId="0E7C4180" w14:textId="77777777" w:rsidR="008E7FC3" w:rsidRPr="00632E15" w:rsidRDefault="008E7FC3" w:rsidP="008E7FC3">
      <w:pPr>
        <w:pStyle w:val="ListNumber"/>
      </w:pPr>
      <w:r w:rsidRPr="00632E15">
        <w:t xml:space="preserve">Take a draw from the EVD for each discrete </w:t>
      </w:r>
      <w:r>
        <w:t>choice</w:t>
      </w:r>
      <w:r w:rsidRPr="00632E15">
        <w:t>.</w:t>
      </w:r>
    </w:p>
    <w:p w14:paraId="4FE98DBC" w14:textId="77777777" w:rsidR="008E7FC3" w:rsidRPr="00632E15" w:rsidRDefault="008E7FC3" w:rsidP="008E7FC3">
      <w:pPr>
        <w:pStyle w:val="ListNumber"/>
      </w:pPr>
      <w:r>
        <w:t>Calculate</w:t>
      </w:r>
      <w:r w:rsidRPr="00632E15">
        <w:t xml:space="preserve"> net incomes under a base policy scenario. Calculate deterministic </w:t>
      </w:r>
      <w:r>
        <w:t>utility</w:t>
      </w:r>
      <w:r w:rsidRPr="00632E15">
        <w:t xml:space="preserve"> and </w:t>
      </w:r>
      <w:r>
        <w:t xml:space="preserve">determine the </w:t>
      </w:r>
      <w:r w:rsidRPr="00632E15">
        <w:t xml:space="preserve">random utility by </w:t>
      </w:r>
      <w:r>
        <w:t>drawing</w:t>
      </w:r>
      <w:r w:rsidRPr="00632E15">
        <w:t xml:space="preserve"> the error terms.</w:t>
      </w:r>
    </w:p>
    <w:p w14:paraId="4DEF5504" w14:textId="77777777" w:rsidR="008E7FC3" w:rsidRPr="00632E15" w:rsidRDefault="008E7FC3" w:rsidP="008E7FC3">
      <w:pPr>
        <w:pStyle w:val="ListNumber"/>
      </w:pPr>
      <w:r w:rsidRPr="00632E15">
        <w:t xml:space="preserve">Determine the utility maximising </w:t>
      </w:r>
      <w:r>
        <w:t>choice</w:t>
      </w:r>
      <w:r w:rsidRPr="00632E15">
        <w:t>.</w:t>
      </w:r>
    </w:p>
    <w:p w14:paraId="719D4D9F" w14:textId="77777777" w:rsidR="008E7FC3" w:rsidRPr="00632E15" w:rsidRDefault="008E7FC3" w:rsidP="008E7FC3">
      <w:pPr>
        <w:pStyle w:val="ListNumber"/>
      </w:pPr>
      <w:r w:rsidRPr="00632E15">
        <w:t xml:space="preserve">Repeat steps 1 to 3 a total of </w:t>
      </w:r>
      <m:oMath>
        <m:r>
          <w:rPr>
            <w:rFonts w:ascii="Cambria Math" w:hAnsi="Cambria Math"/>
          </w:rPr>
          <m:t>K</m:t>
        </m:r>
      </m:oMath>
      <w:r w:rsidRPr="00632E15">
        <w:t xml:space="preserve"> times.</w:t>
      </w:r>
    </w:p>
    <w:p w14:paraId="3AB7BE6E" w14:textId="77777777" w:rsidR="008E7FC3" w:rsidRPr="00632E15" w:rsidRDefault="008E7FC3" w:rsidP="008E7FC3">
      <w:pPr>
        <w:pStyle w:val="ListNumber"/>
      </w:pPr>
      <w:r w:rsidRPr="00632E15">
        <w:t xml:space="preserve">Repeat for all income units </w:t>
      </w:r>
      <m:oMath>
        <m:r>
          <w:rPr>
            <w:rFonts w:ascii="Cambria Math" w:hAnsi="Cambria Math"/>
          </w:rPr>
          <m:t>N</m:t>
        </m:r>
      </m:oMath>
      <w:r w:rsidRPr="00632E15">
        <w:t>.</w:t>
      </w:r>
    </w:p>
    <w:p w14:paraId="36114A91" w14:textId="77777777" w:rsidR="008E7FC3" w:rsidRPr="00573A89" w:rsidRDefault="008E7FC3" w:rsidP="008E7FC3">
      <w:pPr>
        <w:pStyle w:val="BodyText"/>
      </w:pPr>
      <w:r w:rsidRPr="00573A89">
        <w:t>In CAPITA-B</w:t>
      </w:r>
      <w:r>
        <w:t xml:space="preserve"> with ECEC</w:t>
      </w:r>
      <w:r w:rsidRPr="00573A89">
        <w:t xml:space="preserve">, the default is </w:t>
      </w:r>
      <m:oMath>
        <m:r>
          <w:rPr>
            <w:rFonts w:ascii="Cambria Math" w:hAnsi="Cambria Math"/>
          </w:rPr>
          <m:t>K</m:t>
        </m:r>
      </m:oMath>
      <w:r w:rsidRPr="00573A89">
        <w:t>=100.</w:t>
      </w:r>
    </w:p>
    <w:p w14:paraId="506676E4" w14:textId="77777777" w:rsidR="008E7FC3" w:rsidRPr="00573A89" w:rsidRDefault="008E7FC3" w:rsidP="008E7FC3">
      <w:pPr>
        <w:pStyle w:val="BodyText"/>
      </w:pPr>
      <w:r w:rsidRPr="00573A89">
        <w:t xml:space="preserve">If the option of calibration is chosen, then rather than drawing from the EVD in step 1, error terms are used which have been previously calibrated. Calibration is the process whereby the error terms are </w:t>
      </w:r>
      <w:r>
        <w:t>drawn</w:t>
      </w:r>
      <w:r w:rsidRPr="00573A89">
        <w:t xml:space="preserve"> so that in a simulation without a policy change, the resulting working hours </w:t>
      </w:r>
      <w:r>
        <w:t xml:space="preserve">and ECEC hours </w:t>
      </w:r>
      <w:r w:rsidRPr="00573A89">
        <w:t xml:space="preserve">for all draws </w:t>
      </w:r>
      <w:r>
        <w:t>are</w:t>
      </w:r>
      <w:r w:rsidRPr="00573A89">
        <w:t xml:space="preserve"> the observed hours in the </w:t>
      </w:r>
      <w:r>
        <w:t>underlying data</w:t>
      </w:r>
      <w:r w:rsidRPr="00573A89">
        <w:t>. See the next section for a description.</w:t>
      </w:r>
    </w:p>
    <w:p w14:paraId="05EBD6FB" w14:textId="77777777" w:rsidR="008E7FC3" w:rsidRDefault="008E7FC3" w:rsidP="008E7FC3">
      <w:pPr>
        <w:spacing w:before="0" w:after="160" w:line="259" w:lineRule="auto"/>
      </w:pPr>
      <w:r>
        <w:br w:type="page"/>
      </w:r>
    </w:p>
    <w:p w14:paraId="43A31FF8" w14:textId="77777777" w:rsidR="008E7FC3" w:rsidRPr="00CF4B40" w:rsidRDefault="008E7FC3" w:rsidP="008E7FC3">
      <w:pPr>
        <w:pStyle w:val="BodyText"/>
      </w:pPr>
      <w:r w:rsidRPr="00CF4B40">
        <w:lastRenderedPageBreak/>
        <w:t>The steps in a reform simulation are outlined below.</w:t>
      </w:r>
    </w:p>
    <w:p w14:paraId="640E3D31" w14:textId="77777777" w:rsidR="008E7FC3" w:rsidRPr="00CF4B40" w:rsidRDefault="008E7FC3" w:rsidP="008E7FC3">
      <w:pPr>
        <w:pStyle w:val="ListNumber"/>
        <w:numPr>
          <w:ilvl w:val="0"/>
          <w:numId w:val="0"/>
        </w:numPr>
        <w:ind w:left="454" w:hanging="454"/>
      </w:pPr>
      <w:r w:rsidRPr="00CF4B40">
        <w:t xml:space="preserve">Take the same error draws used in the base simulation for each discrete </w:t>
      </w:r>
      <w:r>
        <w:t>choice</w:t>
      </w:r>
      <w:r w:rsidRPr="00CF4B40">
        <w:t>.</w:t>
      </w:r>
    </w:p>
    <w:p w14:paraId="114E6150" w14:textId="77777777" w:rsidR="008E7FC3" w:rsidRPr="00CF4B40" w:rsidRDefault="008E7FC3" w:rsidP="008E7FC3">
      <w:pPr>
        <w:pStyle w:val="ListNumber"/>
      </w:pPr>
      <w:r w:rsidRPr="00CF4B40">
        <w:t xml:space="preserve">Estimate net incomes under the new policy scenario. Calculate the new deterministic and </w:t>
      </w:r>
      <w:r>
        <w:t>total</w:t>
      </w:r>
      <w:r w:rsidRPr="00CF4B40">
        <w:t xml:space="preserve"> utility by adding the error terms</w:t>
      </w:r>
      <w:r>
        <w:t xml:space="preserve"> drawn in the base simulation</w:t>
      </w:r>
      <w:r w:rsidRPr="00CF4B40">
        <w:t>.</w:t>
      </w:r>
    </w:p>
    <w:p w14:paraId="06F7EBBE" w14:textId="77777777" w:rsidR="008E7FC3" w:rsidRPr="00CF4B40" w:rsidRDefault="008E7FC3" w:rsidP="008E7FC3">
      <w:pPr>
        <w:pStyle w:val="ListNumber"/>
      </w:pPr>
      <w:r w:rsidRPr="00CF4B40">
        <w:t xml:space="preserve">Determine the utility maximising </w:t>
      </w:r>
      <w:r>
        <w:t>choice</w:t>
      </w:r>
      <w:r w:rsidRPr="00CF4B40">
        <w:t>.</w:t>
      </w:r>
    </w:p>
    <w:p w14:paraId="701B9BE8" w14:textId="77777777" w:rsidR="008E7FC3" w:rsidRPr="00CF4B40" w:rsidRDefault="008E7FC3" w:rsidP="008E7FC3">
      <w:pPr>
        <w:pStyle w:val="ListNumber"/>
      </w:pPr>
      <w:r w:rsidRPr="00CF4B40">
        <w:t xml:space="preserve">Repeat steps 1 to 3 a total of </w:t>
      </w:r>
      <m:oMath>
        <m:r>
          <w:rPr>
            <w:rFonts w:ascii="Cambria Math" w:hAnsi="Cambria Math"/>
          </w:rPr>
          <m:t>K</m:t>
        </m:r>
      </m:oMath>
      <w:r w:rsidRPr="007E2E3E">
        <w:t xml:space="preserve"> </w:t>
      </w:r>
      <w:r w:rsidRPr="00CF4B40">
        <w:t>times.</w:t>
      </w:r>
    </w:p>
    <w:p w14:paraId="6E3902D9" w14:textId="77777777" w:rsidR="008E7FC3" w:rsidRPr="00CF4B40" w:rsidRDefault="008E7FC3" w:rsidP="008E7FC3">
      <w:pPr>
        <w:pStyle w:val="ListNumber"/>
      </w:pPr>
      <w:r w:rsidRPr="00CF4B40">
        <w:t xml:space="preserve">Compare the reform results to the base results to determine the predicted change in </w:t>
      </w:r>
      <w:r>
        <w:t>behaviour</w:t>
      </w:r>
      <w:r w:rsidRPr="00CF4B40">
        <w:t xml:space="preserve"> for each income unit</w:t>
      </w:r>
      <w:r>
        <w:t>.</w:t>
      </w:r>
    </w:p>
    <w:p w14:paraId="1C2F2A82" w14:textId="77777777" w:rsidR="008E7FC3" w:rsidRPr="00CF4B40" w:rsidRDefault="008E7FC3" w:rsidP="008E7FC3">
      <w:pPr>
        <w:pStyle w:val="BodyText"/>
      </w:pPr>
      <w:r w:rsidRPr="00CF4B40">
        <w:t xml:space="preserve">Repeat for all income units </w:t>
      </w:r>
      <m:oMath>
        <m:r>
          <w:rPr>
            <w:rFonts w:ascii="Cambria Math" w:hAnsi="Cambria Math"/>
          </w:rPr>
          <m:t>N</m:t>
        </m:r>
      </m:oMath>
      <w:r w:rsidRPr="00CF4B40">
        <w:t>.</w:t>
      </w:r>
    </w:p>
    <w:p w14:paraId="587E7173" w14:textId="77777777" w:rsidR="008E7FC3" w:rsidRPr="00CF4B40" w:rsidRDefault="008E7FC3" w:rsidP="008E7FC3">
      <w:pPr>
        <w:pStyle w:val="Heading3"/>
      </w:pPr>
      <w:r w:rsidRPr="00CF4B40">
        <w:t>Calibration of labour supply</w:t>
      </w:r>
      <w:r>
        <w:t xml:space="preserve"> and ECEC demand</w:t>
      </w:r>
    </w:p>
    <w:p w14:paraId="05D339C6" w14:textId="77777777" w:rsidR="008E7FC3" w:rsidRDefault="008E7FC3" w:rsidP="008E7FC3">
      <w:pPr>
        <w:pStyle w:val="BodyText"/>
      </w:pPr>
      <w:r w:rsidRPr="00573A89">
        <w:t xml:space="preserve">The model can run in calibrated or un-calibrated modes. Typically, the underlying labour supply </w:t>
      </w:r>
      <w:r>
        <w:t>and ECEC hours</w:t>
      </w:r>
      <w:r w:rsidRPr="00573A89">
        <w:t xml:space="preserve"> model do not match the observed hour</w:t>
      </w:r>
      <w:r>
        <w:t>s</w:t>
      </w:r>
      <w:r w:rsidRPr="00573A89">
        <w:t xml:space="preserve"> distribution perfectly.</w:t>
      </w:r>
    </w:p>
    <w:p w14:paraId="135C111D" w14:textId="77777777" w:rsidR="008E7FC3" w:rsidRPr="00573A89" w:rsidRDefault="008E7FC3" w:rsidP="008E7FC3">
      <w:pPr>
        <w:pStyle w:val="BodyText"/>
      </w:pPr>
      <w:r w:rsidRPr="00573A89">
        <w:t xml:space="preserve">In calibrated mode, the utility equations are calibrated such that the optimal choices of the income unit match the observed </w:t>
      </w:r>
      <w:r>
        <w:t>choice in baseline</w:t>
      </w:r>
      <w:r w:rsidRPr="00573A89">
        <w:t xml:space="preserve">. The model is calibrated to the labour supply </w:t>
      </w:r>
      <w:r>
        <w:t xml:space="preserve">and ECEC demand </w:t>
      </w:r>
      <w:r w:rsidRPr="00573A89">
        <w:t>of the survey year.</w:t>
      </w:r>
    </w:p>
    <w:p w14:paraId="4E093125" w14:textId="77777777" w:rsidR="008E7FC3" w:rsidRPr="00573A89" w:rsidRDefault="008E7FC3" w:rsidP="008E7FC3">
      <w:pPr>
        <w:pStyle w:val="BodyText"/>
      </w:pPr>
      <w:r w:rsidRPr="00573A89">
        <w:t>Two techniques are commonly used to calibrate the labour supply</w:t>
      </w:r>
      <w:r>
        <w:t xml:space="preserve"> and ECEC demand hours</w:t>
      </w:r>
      <w:r w:rsidRPr="00573A89">
        <w:t>. First, repeated draws of error terms are added to the deterministic component of utility at each choice. Only draws that result in the optimal choice to be equivalent to the observed hours are kept. This method may be time consuming, especially if there are successive failed draws.</w:t>
      </w:r>
    </w:p>
    <w:p w14:paraId="51AF2757" w14:textId="77777777" w:rsidR="008E7FC3" w:rsidRDefault="008E7FC3" w:rsidP="008E7FC3">
      <w:pPr>
        <w:pStyle w:val="BodyText"/>
      </w:pPr>
      <w:r w:rsidRPr="00573A89">
        <w:t xml:space="preserve">An alternative is to </w:t>
      </w:r>
      <w:r>
        <w:t>draw</w:t>
      </w:r>
      <w:r w:rsidRPr="00573A89">
        <w:t xml:space="preserve"> error </w:t>
      </w:r>
      <w:r>
        <w:t>terms from the conditional distribution</w:t>
      </w:r>
      <w:r w:rsidRPr="00573A89">
        <w:t xml:space="preserve"> so that they will always result in the observed hours</w:t>
      </w:r>
      <w:r>
        <w:t xml:space="preserve"> being the optimal hours</w:t>
      </w:r>
      <w:r w:rsidRPr="00573A89">
        <w:t>. This is the method employed in CAPITA-B</w:t>
      </w:r>
      <w:r>
        <w:t xml:space="preserve"> with ECEC</w:t>
      </w:r>
      <w:r w:rsidRPr="00573A89">
        <w:t>.</w:t>
      </w:r>
    </w:p>
    <w:p w14:paraId="478518B6" w14:textId="77777777" w:rsidR="008E7FC3" w:rsidRPr="00573A89" w:rsidRDefault="008E7FC3" w:rsidP="008E7FC3">
      <w:pPr>
        <w:pStyle w:val="Heading4"/>
      </w:pPr>
      <w:r w:rsidRPr="00DC721E">
        <w:rPr>
          <w:rStyle w:val="Emphasis"/>
        </w:rPr>
        <w:t>Uncalibrated error terms</w:t>
      </w:r>
    </w:p>
    <w:p w14:paraId="5811CB5E" w14:textId="77777777" w:rsidR="008E7FC3" w:rsidRPr="00573A89" w:rsidRDefault="008E7FC3" w:rsidP="008E7FC3">
      <w:pPr>
        <w:pStyle w:val="BodyText"/>
      </w:pPr>
      <w:r w:rsidRPr="00573A89">
        <w:t xml:space="preserve">This is when we draw errors from the EVD with </w:t>
      </w:r>
      <w:r>
        <w:t>cumulative distribution function (CDF)</w:t>
      </w:r>
    </w:p>
    <w:p w14:paraId="3DB3B967" w14:textId="77777777" w:rsidR="008E7FC3" w:rsidRPr="00385EB3" w:rsidRDefault="008E7FC3" w:rsidP="008E7FC3">
      <w:pPr>
        <w:pStyle w:val="BodyText"/>
      </w:pPr>
      <m:oMathPara>
        <m:oMath>
          <m:r>
            <w:rPr>
              <w:rFonts w:ascii="Cambria Math" w:hAnsi="Cambria Math"/>
            </w:rPr>
            <m:t>F</m:t>
          </m:r>
          <m:d>
            <m:dPr>
              <m:ctrlPr>
                <w:rPr>
                  <w:rFonts w:ascii="Cambria Math" w:hAnsi="Cambria Math"/>
                  <w:i/>
                </w:rPr>
              </m:ctrlPr>
            </m:dPr>
            <m:e>
              <m:r>
                <w:rPr>
                  <w:rFonts w:ascii="Cambria Math" w:hAnsi="Cambria Math"/>
                </w:rPr>
                <m:t>ε</m:t>
              </m:r>
            </m:e>
          </m:d>
          <m:r>
            <w:rPr>
              <w:rFonts w:ascii="Cambria Math" w:hAnsi="Cambria Math"/>
            </w:rPr>
            <m:t>=</m:t>
          </m:r>
          <m:r>
            <m:rPr>
              <m:sty m:val="p"/>
            </m:rPr>
            <w:rPr>
              <w:rFonts w:ascii="Cambria Math" w:hAnsi="Cambria Math"/>
            </w:rPr>
            <m:t>exp⁡</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-ε</m:t>
              </m:r>
            </m:sup>
          </m:sSup>
          <m:r>
            <w:rPr>
              <w:rFonts w:ascii="Cambria Math" w:eastAsiaTheme="minorEastAsia" w:hAnsi="Cambria Math"/>
            </w:rPr>
            <m:t>)</m:t>
          </m:r>
        </m:oMath>
      </m:oMathPara>
    </w:p>
    <w:p w14:paraId="32DC7F9B" w14:textId="77777777" w:rsidR="008E7FC3" w:rsidRPr="00385EB3" w:rsidRDefault="008E7FC3" w:rsidP="008E7FC3">
      <w:pPr>
        <w:pStyle w:val="BodyText"/>
      </w:pPr>
      <w:r w:rsidRPr="00385EB3">
        <w:t xml:space="preserve">Error draws obtained by drawing random terms </w:t>
      </w:r>
      <m:oMath>
        <m:r>
          <w:rPr>
            <w:rFonts w:ascii="Cambria Math" w:hAnsi="Cambria Math"/>
          </w:rPr>
          <m:t>r</m:t>
        </m:r>
      </m:oMath>
      <w:r w:rsidRPr="00385EB3">
        <w:t xml:space="preserve"> from the uniform distribution </w:t>
      </w:r>
      <m:oMath>
        <m:r>
          <w:rPr>
            <w:rFonts w:ascii="Cambria Math" w:hAnsi="Cambria Math"/>
          </w:rPr>
          <m:t>r~U(0,1)</m:t>
        </m:r>
      </m:oMath>
      <w:r w:rsidRPr="00385EB3">
        <w:rPr>
          <w:rStyle w:val="math"/>
          <w:sz w:val="22"/>
          <w:szCs w:val="22"/>
        </w:rPr>
        <w:t xml:space="preserve"> </w:t>
      </w:r>
      <w:r w:rsidRPr="00385EB3">
        <w:t>and applying the inverse transformation.</w:t>
      </w:r>
    </w:p>
    <w:p w14:paraId="50183952" w14:textId="77777777" w:rsidR="008E7FC3" w:rsidRPr="00385EB3" w:rsidRDefault="008E7FC3" w:rsidP="008E7FC3">
      <w:pPr>
        <w:pStyle w:val="BodyText"/>
        <w:rPr>
          <w:rStyle w:val="Emphasis"/>
          <w:sz w:val="22"/>
          <w:szCs w:val="22"/>
        </w:rPr>
      </w:pPr>
      <m:oMathPara>
        <m:oMath>
          <m:r>
            <m:rPr>
              <m:sty m:val="p"/>
            </m:rPr>
            <w:rPr>
              <w:rStyle w:val="Emphasis"/>
              <w:rFonts w:ascii="Cambria Math" w:hAnsi="Cambria Math"/>
              <w:sz w:val="22"/>
              <w:szCs w:val="22"/>
            </w:rPr>
            <m:t>ε=</m:t>
          </m:r>
          <m:sSup>
            <m:sSupPr>
              <m:ctrlPr>
                <w:rPr>
                  <w:rStyle w:val="Emphasis"/>
                  <w:rFonts w:ascii="Cambria Math" w:hAnsi="Cambria Math"/>
                  <w:i w:val="0"/>
                  <w:iCs w:val="0"/>
                  <w:sz w:val="22"/>
                  <w:szCs w:val="22"/>
                </w:rPr>
              </m:ctrlPr>
            </m:sSupPr>
            <m:e>
              <m:r>
                <m:rPr>
                  <m:sty m:val="p"/>
                </m:rPr>
                <w:rPr>
                  <w:rStyle w:val="Emphasis"/>
                  <w:rFonts w:ascii="Cambria Math" w:hAnsi="Cambria Math"/>
                  <w:sz w:val="22"/>
                  <w:szCs w:val="22"/>
                </w:rPr>
                <m:t>F</m:t>
              </m:r>
            </m:e>
            <m:sup>
              <m:r>
                <m:rPr>
                  <m:sty m:val="p"/>
                </m:rPr>
                <w:rPr>
                  <w:rStyle w:val="Emphasis"/>
                  <w:rFonts w:ascii="Cambria Math" w:hAnsi="Cambria Math"/>
                  <w:sz w:val="22"/>
                  <w:szCs w:val="22"/>
                </w:rPr>
                <m:t>-1</m:t>
              </m:r>
            </m:sup>
          </m:sSup>
          <m:r>
            <m:rPr>
              <m:sty m:val="p"/>
            </m:rPr>
            <w:rPr>
              <w:rStyle w:val="Emphasis"/>
              <w:rFonts w:ascii="Cambria Math" w:hAnsi="Cambria Math"/>
              <w:sz w:val="22"/>
              <w:szCs w:val="22"/>
            </w:rPr>
            <m:t>=-ln⁡(-</m:t>
          </m:r>
          <m:func>
            <m:funcPr>
              <m:ctrlPr>
                <w:rPr>
                  <w:rStyle w:val="Emphasis"/>
                  <w:rFonts w:ascii="Cambria Math" w:hAnsi="Cambria Math"/>
                  <w:i w:val="0"/>
                  <w:iCs w:val="0"/>
                  <w:sz w:val="22"/>
                  <w:szCs w:val="22"/>
                </w:rPr>
              </m:ctrlPr>
            </m:funcPr>
            <m:fName>
              <m:r>
                <m:rPr>
                  <m:sty m:val="p"/>
                </m:rPr>
                <w:rPr>
                  <w:rStyle w:val="Emphasis"/>
                  <w:rFonts w:ascii="Cambria Math" w:hAnsi="Cambria Math"/>
                  <w:sz w:val="22"/>
                  <w:szCs w:val="22"/>
                </w:rPr>
                <m:t>ln</m:t>
              </m:r>
            </m:fName>
            <m:e>
              <m:d>
                <m:dPr>
                  <m:ctrlPr>
                    <w:rPr>
                      <w:rStyle w:val="Emphasis"/>
                      <w:rFonts w:ascii="Cambria Math" w:hAnsi="Cambria Math"/>
                      <w:i w:val="0"/>
                      <w:iCs w:val="0"/>
                      <w:sz w:val="22"/>
                      <w:szCs w:val="22"/>
                    </w:rPr>
                  </m:ctrlPr>
                </m:dPr>
                <m:e>
                  <m:r>
                    <m:rPr>
                      <m:sty m:val="p"/>
                    </m:rPr>
                    <w:rPr>
                      <w:rStyle w:val="Emphasis"/>
                      <w:rFonts w:ascii="Cambria Math" w:hAnsi="Cambria Math"/>
                      <w:sz w:val="22"/>
                      <w:szCs w:val="22"/>
                    </w:rPr>
                    <m:t>r</m:t>
                  </m:r>
                </m:e>
              </m:d>
            </m:e>
          </m:func>
          <m:r>
            <m:rPr>
              <m:sty m:val="p"/>
            </m:rPr>
            <w:rPr>
              <w:rStyle w:val="Emphasis"/>
              <w:rFonts w:ascii="Cambria Math" w:hAnsi="Cambria Math"/>
              <w:sz w:val="22"/>
              <w:szCs w:val="22"/>
            </w:rPr>
            <m:t>)</m:t>
          </m:r>
        </m:oMath>
      </m:oMathPara>
    </w:p>
    <w:p w14:paraId="4C5BDABA" w14:textId="77777777" w:rsidR="008E7FC3" w:rsidRPr="00611C3A" w:rsidRDefault="008E7FC3" w:rsidP="008E7FC3">
      <w:pPr>
        <w:pStyle w:val="Heading4"/>
      </w:pPr>
      <w:r w:rsidRPr="00611C3A">
        <w:rPr>
          <w:rStyle w:val="Emphasis"/>
        </w:rPr>
        <w:t>Calibrated error terms</w:t>
      </w:r>
    </w:p>
    <w:p w14:paraId="7AE2E689" w14:textId="77777777" w:rsidR="008E7FC3" w:rsidRPr="00385EB3" w:rsidRDefault="008E7FC3" w:rsidP="008E7FC3">
      <w:pPr>
        <w:pStyle w:val="BodyText"/>
      </w:pPr>
      <w:r w:rsidRPr="00385EB3">
        <w:t xml:space="preserve">This is when the error terms </w:t>
      </w:r>
      <w:r>
        <w:t>drawn</w:t>
      </w:r>
      <w:r w:rsidRPr="00385EB3">
        <w:t xml:space="preserve"> are such that the resulting optimal </w:t>
      </w:r>
      <w:r w:rsidRPr="00001BE8">
        <w:t>choice</w:t>
      </w:r>
      <w:r w:rsidRPr="00385EB3">
        <w:t xml:space="preserve"> will always match the observed </w:t>
      </w:r>
      <w:r w:rsidRPr="00001BE8">
        <w:t>choice</w:t>
      </w:r>
      <w:r w:rsidRPr="00385EB3">
        <w:t>.</w:t>
      </w:r>
    </w:p>
    <w:p w14:paraId="6DB31538" w14:textId="77777777" w:rsidR="008E7FC3" w:rsidRPr="00385EB3" w:rsidRDefault="008E7FC3" w:rsidP="008E7FC3">
      <w:pPr>
        <w:pStyle w:val="BodyText"/>
      </w:pPr>
      <w:r w:rsidRPr="00385EB3">
        <w:t xml:space="preserve">Error term for the observed choice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385EB3">
        <w:t xml:space="preserve"> point has </w:t>
      </w:r>
      <w:r>
        <w:t>CDF</w:t>
      </w:r>
    </w:p>
    <w:p w14:paraId="0A420480" w14:textId="77777777" w:rsidR="008E7FC3" w:rsidRPr="00001BE8" w:rsidRDefault="008E7FC3" w:rsidP="008E7FC3">
      <w:pPr>
        <w:pStyle w:val="BodyText"/>
        <w:rPr>
          <w:rFonts w:eastAsiaTheme="minorEastAsia"/>
        </w:rPr>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i</m:t>
                  </m:r>
                </m:sub>
              </m:sSub>
            </m:e>
            <m:e>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0</m:t>
                  </m:r>
                </m:sub>
              </m:sSub>
            </m:e>
          </m:d>
          <m:r>
            <w:rPr>
              <w:rFonts w:ascii="Cambria Math" w:hAnsi="Cambria Math"/>
            </w:rPr>
            <m:t>=</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s</m:t>
              </m:r>
            </m:den>
          </m:f>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-ε</m:t>
                  </m:r>
                </m:e>
                <m:sub>
                  <m:r>
                    <w:rPr>
                      <w:rFonts w:ascii="Cambria Math" w:hAnsi="Cambria Math"/>
                    </w:rPr>
                    <m:t>i</m:t>
                  </m:r>
                </m:sub>
              </m:sSub>
            </m:sup>
          </m:sSup>
          <m:r>
            <w:rPr>
              <w:rFonts w:ascii="Cambria Math" w:hAnsi="Cambria Math"/>
            </w:rPr>
            <m:t>)</m:t>
          </m:r>
        </m:oMath>
      </m:oMathPara>
    </w:p>
    <w:p w14:paraId="21B35F6B" w14:textId="77777777" w:rsidR="008E7FC3" w:rsidRPr="00385EB3" w:rsidRDefault="008E7FC3" w:rsidP="008E7FC3">
      <w:pPr>
        <w:pStyle w:val="BodyText"/>
      </w:pPr>
      <w:r w:rsidRPr="00001BE8">
        <w:rPr>
          <w:rFonts w:eastAsiaTheme="minorEastAsia"/>
        </w:rPr>
        <w:t>where</w:t>
      </w:r>
    </w:p>
    <w:p w14:paraId="79605932" w14:textId="77777777" w:rsidR="008E7FC3" w:rsidRPr="00385EB3" w:rsidRDefault="008E7FC3" w:rsidP="008E7FC3">
      <w:pPr>
        <w:pStyle w:val="BodyText"/>
      </w:pPr>
      <m:oMathPara>
        <m:oMath>
          <m:r>
            <w:rPr>
              <w:rFonts w:ascii="Cambria Math" w:hAnsi="Cambria Math"/>
            </w:rPr>
            <m:t>s=</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r>
                <m:rPr>
                  <m:scr m:val="script"/>
                </m:rPr>
                <w:rPr>
                  <w:rFonts w:ascii="Cambria Math" w:hAnsi="Cambria Math"/>
                </w:rPr>
                <m:t>C</m:t>
              </m:r>
            </m:sub>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U</m:t>
                      </m:r>
                    </m:e>
                    <m:sub>
                      <m:r>
                        <w:rPr>
                          <w:rFonts w:ascii="Cambria Math" w:hAnsi="Cambria Math"/>
                        </w:rPr>
                        <m:t>j</m:t>
                      </m:r>
                    </m:sub>
                  </m:sSub>
                </m:sup>
              </m:sSup>
            </m:e>
          </m:nary>
        </m:oMath>
      </m:oMathPara>
    </w:p>
    <w:p w14:paraId="004ABE64" w14:textId="77777777" w:rsidR="008E7FC3" w:rsidRDefault="008E7FC3" w:rsidP="008E7FC3">
      <w:pPr>
        <w:spacing w:before="0" w:after="160" w:line="259" w:lineRule="auto"/>
      </w:pPr>
      <w:r>
        <w:br w:type="page"/>
      </w:r>
    </w:p>
    <w:p w14:paraId="4E76B31B" w14:textId="77777777" w:rsidR="008E7FC3" w:rsidRPr="00385EB3" w:rsidRDefault="008E7FC3" w:rsidP="008E7FC3">
      <w:pPr>
        <w:pStyle w:val="BodyText"/>
      </w:pPr>
      <w:r w:rsidRPr="00385EB3">
        <w:lastRenderedPageBreak/>
        <w:t xml:space="preserve">Draws of this error term are obtained by drawing random terms </w:t>
      </w:r>
      <m:oMath>
        <m:r>
          <w:rPr>
            <w:rFonts w:ascii="Cambria Math" w:hAnsi="Cambria Math"/>
          </w:rPr>
          <m:t>r</m:t>
        </m:r>
      </m:oMath>
      <w:r w:rsidRPr="00385EB3">
        <w:t xml:space="preserve"> from the uniform distribution </w:t>
      </w:r>
      <m:oMath>
        <m:r>
          <w:rPr>
            <w:rFonts w:ascii="Cambria Math" w:hAnsi="Cambria Math"/>
          </w:rPr>
          <m:t>r~U(0,1)</m:t>
        </m:r>
      </m:oMath>
      <w:r w:rsidRPr="00385EB3">
        <w:t xml:space="preserve"> and applying the inverse CDF</w:t>
      </w:r>
      <w:r>
        <w:t>:</w:t>
      </w:r>
    </w:p>
    <w:p w14:paraId="3AC1F62A" w14:textId="77777777" w:rsidR="008E7FC3" w:rsidRPr="00385EB3" w:rsidRDefault="00000000" w:rsidP="008E7FC3">
      <w:pPr>
        <w:pStyle w:val="BodyText"/>
      </w:pPr>
      <m:oMathPara>
        <m:oMath>
          <m:sSub>
            <m:sSubPr>
              <m:ctrlPr>
                <w:rPr>
                  <w:rFonts w:ascii="Cambria Math" w:hAnsi="Cambria Math"/>
                  <w:i/>
                </w:rPr>
              </m:ctrlPr>
            </m:sSubPr>
            <m:e>
              <m:r>
                <w:rPr>
                  <w:rFonts w:ascii="Cambria Math" w:hAnsi="Cambria Math"/>
                </w:rPr>
                <m:t>ε</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r</m:t>
              </m:r>
            </m:e>
          </m:d>
          <m:r>
            <w:rPr>
              <w:rFonts w:ascii="Cambria Math" w:hAnsi="Cambria Math"/>
            </w:rPr>
            <m:t>=</m:t>
          </m:r>
          <m:r>
            <w:rPr>
              <w:rFonts w:ascii="Cambria Math" w:eastAsiaTheme="minorEastAsia" w:hAnsi="Cambria Math"/>
            </w:rPr>
            <m:t>-</m:t>
          </m:r>
          <m:r>
            <m:rPr>
              <m:sty m:val="p"/>
            </m:rPr>
            <w:rPr>
              <w:rFonts w:ascii="Cambria Math" w:eastAsiaTheme="minorEastAsia" w:hAnsi="Cambria Math"/>
            </w:rPr>
            <m:t>ln⁡</m:t>
          </m:r>
          <m:r>
            <w:rPr>
              <w:rFonts w:ascii="Cambria Math" w:eastAsiaTheme="minorEastAsia" w:hAnsi="Cambria Math"/>
            </w:rPr>
            <m:t>[-s∙</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r</m:t>
                  </m:r>
                </m:e>
              </m:d>
            </m:e>
          </m:func>
          <m:r>
            <w:rPr>
              <w:rFonts w:ascii="Cambria Math" w:eastAsiaTheme="minorEastAsia" w:hAnsi="Cambria Math"/>
            </w:rPr>
            <m:t>]</m:t>
          </m:r>
        </m:oMath>
      </m:oMathPara>
    </w:p>
    <w:p w14:paraId="3E0D8BF0" w14:textId="77777777" w:rsidR="008E7FC3" w:rsidRPr="00385EB3" w:rsidRDefault="008E7FC3" w:rsidP="008E7FC3">
      <w:pPr>
        <w:pStyle w:val="BodyText"/>
      </w:pPr>
      <w:r w:rsidRPr="00385EB3">
        <w:t xml:space="preserve">Error term for the other hour points </w:t>
      </w:r>
      <m:oMath>
        <m:sSub>
          <m:sSubPr>
            <m:ctrlPr>
              <w:rPr>
                <w:rFonts w:ascii="Cambria Math" w:hAnsi="Cambria Math"/>
                <w:i/>
              </w:rPr>
            </m:ctrlPr>
          </m:sSubPr>
          <m:e>
            <m:r>
              <w:rPr>
                <w:rFonts w:ascii="Cambria Math" w:hAnsi="Cambria Math"/>
              </w:rPr>
              <m:t>i≠k</m:t>
            </m:r>
          </m:e>
          <m:sub>
            <m:r>
              <w:rPr>
                <w:rFonts w:ascii="Cambria Math" w:hAnsi="Cambria Math"/>
              </w:rPr>
              <m:t>0</m:t>
            </m:r>
          </m:sub>
        </m:sSub>
      </m:oMath>
      <w:r w:rsidRPr="00385EB3">
        <w:rPr>
          <w:rFonts w:eastAsiaTheme="minorEastAsia"/>
        </w:rPr>
        <w:t xml:space="preserve"> are distributed based on the CDF</w:t>
      </w:r>
    </w:p>
    <w:p w14:paraId="28BE587F" w14:textId="77777777" w:rsidR="008E7FC3" w:rsidRPr="00385EB3" w:rsidRDefault="008E7FC3" w:rsidP="008E7FC3">
      <w:pPr>
        <w:pStyle w:val="BodyText"/>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m:t>
                  </m:r>
                </m:sub>
              </m:sSub>
              <m:r>
                <w:rPr>
                  <w:rFonts w:ascii="Cambria Math" w:hAnsi="Cambria Math" w:cs="Times New Roman"/>
                </w:rPr>
                <m:t>| i≠</m:t>
              </m:r>
              <m:sSub>
                <m:sSubPr>
                  <m:ctrlPr>
                    <w:rPr>
                      <w:rFonts w:ascii="Cambria Math" w:hAnsi="Cambria Math"/>
                      <w:i/>
                    </w:rPr>
                  </m:ctrlPr>
                </m:sSubPr>
                <m:e>
                  <m:r>
                    <w:rPr>
                      <w:rFonts w:ascii="Cambria Math" w:hAnsi="Cambria Math"/>
                    </w:rPr>
                    <m:t>k</m:t>
                  </m:r>
                </m:e>
                <m:sub>
                  <m:r>
                    <w:rPr>
                      <w:rFonts w:ascii="Cambria Math" w:hAnsi="Cambria Math"/>
                    </w:rPr>
                    <m:t>0</m:t>
                  </m:r>
                </m:sub>
              </m:sSub>
            </m:e>
          </m:d>
          <m:r>
            <w:rPr>
              <w:rFonts w:ascii="Cambria Math" w:hAnsi="Cambria Math" w:cs="Times New Roman"/>
            </w:rPr>
            <m:t>=exp</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sub>
                  </m:sSub>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m:t>
                      </m:r>
                    </m:sub>
                  </m:sSub>
                </m:sup>
              </m:sSup>
            </m:e>
          </m:d>
        </m:oMath>
      </m:oMathPara>
    </w:p>
    <w:p w14:paraId="2955BF9A" w14:textId="77777777" w:rsidR="008E7FC3" w:rsidRPr="00385EB3" w:rsidRDefault="008E7FC3" w:rsidP="008E7FC3">
      <w:pPr>
        <w:pStyle w:val="BodyText"/>
      </w:pPr>
      <w:r w:rsidRPr="00385EB3">
        <w:t>Draws of this error term are obtained by drawing random terms</w:t>
      </w:r>
      <w:r w:rsidRPr="00001BE8">
        <w:t xml:space="preserve"> </w:t>
      </w:r>
      <m:oMath>
        <m:r>
          <w:rPr>
            <w:rFonts w:ascii="Cambria Math" w:hAnsi="Cambria Math"/>
          </w:rPr>
          <m:t>r</m:t>
        </m:r>
      </m:oMath>
      <w:r w:rsidRPr="00385EB3">
        <w:t xml:space="preserve"> from the uniform distribution</w:t>
      </w:r>
      <w:r w:rsidRPr="00F71F20">
        <w:t xml:space="preserve"> </w:t>
      </w:r>
      <m:oMath>
        <m:r>
          <w:rPr>
            <w:rFonts w:ascii="Cambria Math" w:hAnsi="Cambria Math"/>
          </w:rPr>
          <m:t>r~U(0,1)</m:t>
        </m:r>
      </m:oMath>
      <w:r w:rsidRPr="00F71F20">
        <w:t xml:space="preserve"> </w:t>
      </w:r>
      <w:r w:rsidRPr="00385EB3">
        <w:t>and applying the inverse CDF</w:t>
      </w:r>
    </w:p>
    <w:p w14:paraId="59A44B03" w14:textId="77777777" w:rsidR="008E7FC3" w:rsidRPr="00385EB3" w:rsidRDefault="00000000" w:rsidP="008E7FC3">
      <w:pPr>
        <w:pStyle w:val="BodyText"/>
      </w:pPr>
      <m:oMathPara>
        <m:oMath>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r</m:t>
              </m:r>
            </m:e>
          </m:d>
          <m:r>
            <w:rPr>
              <w:rFonts w:ascii="Cambria Math" w:hAnsi="Cambria Math"/>
            </w:rPr>
            <m:t>=-</m:t>
          </m:r>
          <m:r>
            <m:rPr>
              <m:sty m:val="p"/>
            </m:rPr>
            <w:rPr>
              <w:rFonts w:ascii="Cambria Math" w:hAnsi="Cambria Math"/>
            </w:rPr>
            <m:t>ln⁡</m:t>
          </m:r>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r∙</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r>
                                <w:rPr>
                                  <w:rFonts w:ascii="Cambria Math" w:hAnsi="Cambria Math"/>
                                </w:rPr>
                                <m:t>-</m:t>
                              </m:r>
                              <m:sSub>
                                <m:sSubPr>
                                  <m:ctrlPr>
                                    <w:rPr>
                                      <w:rFonts w:ascii="Cambria Math" w:hAnsi="Cambria Math"/>
                                      <w:i/>
                                    </w:rPr>
                                  </m:ctrlPr>
                                </m:sSubPr>
                                <m:e>
                                  <m:r>
                                    <w:rPr>
                                      <w:rFonts w:ascii="Cambria Math" w:hAnsi="Cambria Math"/>
                                    </w:rPr>
                                    <m:t>ε</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sup>
                          </m:sSup>
                        </m:e>
                      </m:d>
                    </m:e>
                  </m:func>
                </m:e>
              </m:d>
            </m:e>
          </m:func>
          <m:r>
            <w:rPr>
              <w:rFonts w:ascii="Cambria Math" w:hAnsi="Cambria Math"/>
            </w:rPr>
            <m:t>)</m:t>
          </m:r>
        </m:oMath>
      </m:oMathPara>
    </w:p>
    <w:p w14:paraId="0EDEAAA7" w14:textId="77777777" w:rsidR="008E7FC3" w:rsidRPr="0028513C" w:rsidRDefault="008E7FC3" w:rsidP="008E7FC3">
      <w:pPr>
        <w:pStyle w:val="BodyText"/>
      </w:pPr>
      <w:r w:rsidRPr="00385EB3">
        <w:t xml:space="preserve">Terms </w:t>
      </w:r>
      <m:oMath>
        <m:r>
          <w:rPr>
            <w:rFonts w:ascii="Cambria Math" w:hAnsi="Cambria Math"/>
          </w:rPr>
          <m:t>i∈</m:t>
        </m:r>
        <m:r>
          <m:rPr>
            <m:scr m:val="script"/>
          </m:rPr>
          <w:rPr>
            <w:rFonts w:ascii="Cambria Math" w:hAnsi="Cambria Math"/>
          </w:rPr>
          <m:t>C</m:t>
        </m:r>
      </m:oMath>
      <w:r w:rsidRPr="00385EB3">
        <w:rPr>
          <w:rStyle w:val="math"/>
          <w:rFonts w:ascii="Times New Roman" w:hAnsi="Times New Roman" w:cs="Times New Roman"/>
        </w:rPr>
        <w:t xml:space="preserve"> </w:t>
      </w:r>
      <w:r w:rsidRPr="00385EB3">
        <w:t xml:space="preserve">represent the choices, with the observed choice being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F71F20">
        <w:rPr>
          <w:rFonts w:eastAsiaTheme="minorEastAsia"/>
        </w:rPr>
        <w:t>,</w:t>
      </w:r>
      <w:r w:rsidRPr="00385EB3">
        <w:t xml:space="preserve"> and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Pr="00385EB3">
        <w:rPr>
          <w:rStyle w:val="math"/>
          <w:rFonts w:ascii="Times New Roman" w:hAnsi="Times New Roman" w:cs="Times New Roman"/>
        </w:rPr>
        <w:t xml:space="preserve"> </w:t>
      </w:r>
      <w:r w:rsidRPr="00385EB3">
        <w:t xml:space="preserve">is deterministic utility at choice </w:t>
      </w:r>
      <m:oMath>
        <m:r>
          <w:rPr>
            <w:rFonts w:ascii="Cambria Math" w:hAnsi="Cambria Math"/>
          </w:rPr>
          <m:t>i</m:t>
        </m:r>
      </m:oMath>
      <w:r w:rsidRPr="00385EB3">
        <w:t xml:space="preserve"> and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oMath>
      <w:r w:rsidRPr="00385EB3">
        <w:t xml:space="preserve"> is the deterministic utility of the observed choice.</w:t>
      </w:r>
    </w:p>
    <w:p w14:paraId="0F45861D" w14:textId="77777777" w:rsidR="008E7FC3" w:rsidRPr="002241DC" w:rsidRDefault="008E7FC3" w:rsidP="008E7FC3">
      <w:pPr>
        <w:pStyle w:val="Heading3"/>
      </w:pPr>
      <w:r w:rsidRPr="002241DC">
        <w:t>Take-up of benefits</w:t>
      </w:r>
    </w:p>
    <w:p w14:paraId="7936B7E9" w14:textId="77777777" w:rsidR="008E7FC3" w:rsidRPr="00573A89" w:rsidRDefault="008E7FC3" w:rsidP="008E7FC3">
      <w:pPr>
        <w:pStyle w:val="BodyText"/>
      </w:pPr>
      <w:r w:rsidRPr="00573A89">
        <w:t>When simulating persons at zero or low working hours, it is reasonable to assume that the income unit’s budget constraint includes access to some welfare payments.</w:t>
      </w:r>
    </w:p>
    <w:p w14:paraId="433A5A62" w14:textId="77777777" w:rsidR="008E7FC3" w:rsidRDefault="008E7FC3" w:rsidP="008E7FC3">
      <w:pPr>
        <w:pStyle w:val="BodyText"/>
      </w:pPr>
      <w:r w:rsidRPr="00573A89">
        <w:t>For persons who are not observed to be</w:t>
      </w:r>
      <w:r w:rsidRPr="00573A89" w:rsidDel="0033378C">
        <w:t xml:space="preserve"> </w:t>
      </w:r>
      <w:r>
        <w:t>receiving</w:t>
      </w:r>
      <w:r w:rsidRPr="00573A89">
        <w:t xml:space="preserve"> a benefit (typically because they are working and earning sufficiently as to not be eligible) a problem arises when modelling their utilities at zero or low hours of work. To ensure that these persons have access to welfare payments, benefit take-up rules are applied. The rules assume 100</w:t>
      </w:r>
      <w:r>
        <w:t>%</w:t>
      </w:r>
      <w:r w:rsidRPr="00573A89">
        <w:t xml:space="preserve"> benefit take-up of benefits at zero and low working hours and ensure that all income units are simulated to have some income over all working hour possibilities. The 100</w:t>
      </w:r>
      <w:r>
        <w:t>%</w:t>
      </w:r>
      <w:r w:rsidRPr="00573A89">
        <w:t xml:space="preserve"> take</w:t>
      </w:r>
      <w:r>
        <w:noBreakHyphen/>
      </w:r>
      <w:r w:rsidRPr="00573A89">
        <w:t xml:space="preserve">up assumption is also applied at the observed hours point at basefile creation, so that the behavioural response to policy reform simulations does not </w:t>
      </w:r>
      <w:r>
        <w:t xml:space="preserve">predict </w:t>
      </w:r>
      <w:r w:rsidRPr="00573A89">
        <w:t>behavioural changes where hours of work are unchanged.</w:t>
      </w:r>
    </w:p>
    <w:p w14:paraId="30AA3B71" w14:textId="77777777" w:rsidR="008E7FC3" w:rsidRPr="00573A89" w:rsidRDefault="008E7FC3" w:rsidP="008E7FC3">
      <w:pPr>
        <w:pStyle w:val="BodyText"/>
      </w:pPr>
      <w:r w:rsidRPr="00573A89">
        <w:t>In CAPITA-B</w:t>
      </w:r>
      <w:r>
        <w:t xml:space="preserve"> with ECEC</w:t>
      </w:r>
      <w:r w:rsidRPr="00573A89">
        <w:t>, a distinction is made between beneficiaries and non-beneficiaries. Non</w:t>
      </w:r>
      <w:r>
        <w:noBreakHyphen/>
      </w:r>
      <w:r w:rsidRPr="00573A89">
        <w:t>beneficiaries are persons who do not receive D</w:t>
      </w:r>
      <w:r>
        <w:t xml:space="preserve">epartment of </w:t>
      </w:r>
      <w:r w:rsidRPr="00573A89">
        <w:t>V</w:t>
      </w:r>
      <w:r>
        <w:t xml:space="preserve">eterans </w:t>
      </w:r>
      <w:r w:rsidRPr="00573A89">
        <w:t>A</w:t>
      </w:r>
      <w:r>
        <w:t>ffair (DVA)</w:t>
      </w:r>
      <w:r w:rsidRPr="00573A89">
        <w:t xml:space="preserve"> pensions, D</w:t>
      </w:r>
      <w:r>
        <w:t xml:space="preserve">epartment of </w:t>
      </w:r>
      <w:r w:rsidRPr="00573A89">
        <w:t>S</w:t>
      </w:r>
      <w:r>
        <w:t xml:space="preserve">ocial </w:t>
      </w:r>
      <w:r w:rsidRPr="00573A89">
        <w:t>S</w:t>
      </w:r>
      <w:r>
        <w:t>ecurity (DSS)</w:t>
      </w:r>
      <w:r w:rsidRPr="00573A89">
        <w:t xml:space="preserve"> pensions or DSS allowances in the SIH. Depending on the person’s circumstances and how benefits are modelled in CAPITA, the general rule is that non-beneficiaries are allocated to a benefit if they are eligible. Generally these are one of</w:t>
      </w:r>
      <w:r>
        <w:t xml:space="preserve"> Parenting Payment </w:t>
      </w:r>
      <w:r w:rsidRPr="00573A89">
        <w:t>S</w:t>
      </w:r>
      <w:r>
        <w:t>ingle</w:t>
      </w:r>
      <w:r w:rsidRPr="00573A89">
        <w:t>, P</w:t>
      </w:r>
      <w:r>
        <w:t xml:space="preserve">arenting </w:t>
      </w:r>
      <w:r w:rsidRPr="00573A89">
        <w:t>P</w:t>
      </w:r>
      <w:r>
        <w:t xml:space="preserve">ayment </w:t>
      </w:r>
      <w:r w:rsidRPr="00573A89">
        <w:t>P</w:t>
      </w:r>
      <w:r>
        <w:t>artnered</w:t>
      </w:r>
      <w:r w:rsidRPr="00573A89">
        <w:t xml:space="preserve">, </w:t>
      </w:r>
      <w:r>
        <w:t>Jobseeker</w:t>
      </w:r>
      <w:r w:rsidRPr="00573A89">
        <w:t xml:space="preserve"> or Y</w:t>
      </w:r>
      <w:r>
        <w:t xml:space="preserve">outh </w:t>
      </w:r>
      <w:r w:rsidRPr="00573A89">
        <w:t>A</w:t>
      </w:r>
      <w:r>
        <w:t>llowance (YA)</w:t>
      </w:r>
      <w:r w:rsidRPr="00573A89">
        <w:t xml:space="preserve">. For </w:t>
      </w:r>
      <w:r>
        <w:t>partnered parent families</w:t>
      </w:r>
      <w:r w:rsidRPr="00573A89">
        <w:t xml:space="preserve"> with eligible dependent children, the benefit types for each partner will depend on which partner is the principal carer</w:t>
      </w:r>
      <w:r>
        <w:t xml:space="preserve"> for the purpose of Parenting Payment eligibility</w:t>
      </w:r>
      <w:r w:rsidRPr="00573A89">
        <w:t xml:space="preserve">. CAPITA-B </w:t>
      </w:r>
      <w:r>
        <w:t>with ECEC</w:t>
      </w:r>
      <w:r w:rsidRPr="00573A89">
        <w:t xml:space="preserve"> uses the rule that the partner working fewer hours is the principal carer, and if both work the same hours, the partner with the lower wage rate is the principal carer.</w:t>
      </w:r>
    </w:p>
    <w:p w14:paraId="0DB72FBA" w14:textId="77777777" w:rsidR="008E7FC3" w:rsidRPr="00573A89" w:rsidRDefault="008E7FC3" w:rsidP="008E7FC3">
      <w:pPr>
        <w:pStyle w:val="BodyText"/>
      </w:pPr>
      <w:r w:rsidRPr="00573A89">
        <w:t xml:space="preserve">Take-up rules can also be applied to dependent persons, though this is not recommended as there is not sufficient information on the SIH to determine whether the tertiary study undertaken meets youth allowance eligibility requirements. A dependent person is allocated to </w:t>
      </w:r>
      <w:r>
        <w:t>YA</w:t>
      </w:r>
      <w:r w:rsidRPr="00573A89">
        <w:t xml:space="preserve"> if this option is chosen.</w:t>
      </w:r>
    </w:p>
    <w:p w14:paraId="47AEA599" w14:textId="77777777" w:rsidR="008E7FC3" w:rsidRPr="00704E91" w:rsidRDefault="008E7FC3" w:rsidP="008E7FC3">
      <w:pPr>
        <w:pStyle w:val="BodyText"/>
      </w:pPr>
      <w:r w:rsidRPr="00704E91">
        <w:br w:type="page"/>
      </w:r>
    </w:p>
    <w:p w14:paraId="1213ACCF" w14:textId="77777777" w:rsidR="008E7FC3" w:rsidRPr="004E3CA1" w:rsidRDefault="008E7FC3" w:rsidP="008E7FC3">
      <w:pPr>
        <w:pStyle w:val="Heading3"/>
      </w:pPr>
      <w:r w:rsidRPr="004E3CA1">
        <w:lastRenderedPageBreak/>
        <w:t>Exclusion groups</w:t>
      </w:r>
    </w:p>
    <w:p w14:paraId="17D94CF4" w14:textId="77777777" w:rsidR="008E7FC3" w:rsidRPr="00573A89" w:rsidRDefault="008E7FC3" w:rsidP="008E7FC3">
      <w:pPr>
        <w:pStyle w:val="BodyText"/>
        <w:rPr>
          <w:lang w:eastAsia="en-AU"/>
        </w:rPr>
      </w:pPr>
      <w:r w:rsidRPr="00573A89">
        <w:rPr>
          <w:lang w:eastAsia="en-AU"/>
        </w:rPr>
        <w:t xml:space="preserve">Some individuals’ labour supply </w:t>
      </w:r>
      <w:r>
        <w:rPr>
          <w:lang w:eastAsia="en-AU"/>
        </w:rPr>
        <w:t>and ECEC demand are</w:t>
      </w:r>
      <w:r w:rsidRPr="00573A89">
        <w:rPr>
          <w:lang w:eastAsia="en-AU"/>
        </w:rPr>
        <w:t xml:space="preserve"> not modelled. </w:t>
      </w:r>
      <w:r>
        <w:rPr>
          <w:lang w:eastAsia="en-AU"/>
        </w:rPr>
        <w:t>Instead, f</w:t>
      </w:r>
      <w:r w:rsidRPr="00573A89">
        <w:rPr>
          <w:lang w:eastAsia="en-AU"/>
        </w:rPr>
        <w:t>or these</w:t>
      </w:r>
      <w:r>
        <w:rPr>
          <w:lang w:eastAsia="en-AU"/>
        </w:rPr>
        <w:t xml:space="preserve"> individuals</w:t>
      </w:r>
      <w:r w:rsidRPr="00573A89">
        <w:rPr>
          <w:lang w:eastAsia="en-AU"/>
        </w:rPr>
        <w:t>, labour supply</w:t>
      </w:r>
      <w:r>
        <w:rPr>
          <w:lang w:eastAsia="en-AU"/>
        </w:rPr>
        <w:t xml:space="preserve"> and ECEC demand</w:t>
      </w:r>
      <w:r w:rsidRPr="00573A89">
        <w:rPr>
          <w:lang w:eastAsia="en-AU"/>
        </w:rPr>
        <w:t xml:space="preserve"> </w:t>
      </w:r>
      <w:r>
        <w:rPr>
          <w:lang w:eastAsia="en-AU"/>
        </w:rPr>
        <w:t>are</w:t>
      </w:r>
      <w:r w:rsidRPr="00573A89">
        <w:rPr>
          <w:lang w:eastAsia="en-AU"/>
        </w:rPr>
        <w:t xml:space="preserve"> kept at the observed level. </w:t>
      </w:r>
      <w:r>
        <w:rPr>
          <w:lang w:eastAsia="en-AU"/>
        </w:rPr>
        <w:t>T</w:t>
      </w:r>
      <w:r w:rsidRPr="00573A89">
        <w:rPr>
          <w:lang w:eastAsia="en-AU"/>
        </w:rPr>
        <w:t>hese excluded income units in CAPITA-B</w:t>
      </w:r>
      <w:r>
        <w:rPr>
          <w:lang w:eastAsia="en-AU"/>
        </w:rPr>
        <w:t xml:space="preserve"> with ECEC</w:t>
      </w:r>
      <w:r w:rsidRPr="00573A89">
        <w:rPr>
          <w:lang w:eastAsia="en-AU"/>
        </w:rPr>
        <w:t xml:space="preserve"> </w:t>
      </w:r>
      <w:r>
        <w:rPr>
          <w:lang w:eastAsia="en-AU"/>
        </w:rPr>
        <w:t>include income units</w:t>
      </w:r>
      <w:r w:rsidRPr="00573A89">
        <w:rPr>
          <w:lang w:eastAsia="en-AU"/>
        </w:rPr>
        <w:t xml:space="preserve"> in which at least one person meets at least one of the following conditions:</w:t>
      </w:r>
    </w:p>
    <w:p w14:paraId="0669F89F" w14:textId="77777777" w:rsidR="008E7FC3" w:rsidRPr="002F1AF1" w:rsidRDefault="008E7FC3" w:rsidP="008E7FC3">
      <w:pPr>
        <w:pStyle w:val="ListBullet"/>
        <w:numPr>
          <w:ilvl w:val="0"/>
          <w:numId w:val="15"/>
        </w:numPr>
        <w:spacing w:line="259" w:lineRule="auto"/>
        <w:rPr>
          <w:lang w:eastAsia="en-AU"/>
        </w:rPr>
      </w:pPr>
      <w:r>
        <w:rPr>
          <w:lang w:eastAsia="en-AU"/>
        </w:rPr>
        <w:t>o</w:t>
      </w:r>
      <w:r w:rsidRPr="002F1AF1">
        <w:rPr>
          <w:lang w:eastAsia="en-AU"/>
        </w:rPr>
        <w:t>ver 64 years or receiving age pension</w:t>
      </w:r>
    </w:p>
    <w:p w14:paraId="2A73A648" w14:textId="77777777" w:rsidR="008E7FC3" w:rsidRPr="002F1AF1" w:rsidRDefault="008E7FC3" w:rsidP="008E7FC3">
      <w:pPr>
        <w:pStyle w:val="ListBullet"/>
        <w:numPr>
          <w:ilvl w:val="0"/>
          <w:numId w:val="15"/>
        </w:numPr>
        <w:spacing w:line="259" w:lineRule="auto"/>
        <w:rPr>
          <w:lang w:eastAsia="en-AU"/>
        </w:rPr>
      </w:pPr>
      <w:r>
        <w:rPr>
          <w:lang w:eastAsia="en-AU"/>
        </w:rPr>
        <w:t>s</w:t>
      </w:r>
      <w:r w:rsidRPr="002F1AF1">
        <w:rPr>
          <w:lang w:eastAsia="en-AU"/>
        </w:rPr>
        <w:t>elf-employed</w:t>
      </w:r>
    </w:p>
    <w:p w14:paraId="31BEECAD" w14:textId="77777777" w:rsidR="008E7FC3" w:rsidRPr="002F1AF1" w:rsidRDefault="008E7FC3" w:rsidP="008E7FC3">
      <w:pPr>
        <w:pStyle w:val="ListBullet"/>
        <w:numPr>
          <w:ilvl w:val="0"/>
          <w:numId w:val="15"/>
        </w:numPr>
        <w:spacing w:line="259" w:lineRule="auto"/>
        <w:rPr>
          <w:lang w:eastAsia="en-AU"/>
        </w:rPr>
      </w:pPr>
      <w:r>
        <w:rPr>
          <w:lang w:eastAsia="en-AU"/>
        </w:rPr>
        <w:t>d</w:t>
      </w:r>
      <w:r w:rsidRPr="002F1AF1">
        <w:rPr>
          <w:lang w:eastAsia="en-AU"/>
        </w:rPr>
        <w:t>isabled or receiving DVA service pension</w:t>
      </w:r>
    </w:p>
    <w:p w14:paraId="048A7E7F" w14:textId="77777777" w:rsidR="008E7FC3" w:rsidRPr="002F1AF1" w:rsidRDefault="008E7FC3" w:rsidP="008E7FC3">
      <w:pPr>
        <w:pStyle w:val="ListBullet"/>
        <w:numPr>
          <w:ilvl w:val="0"/>
          <w:numId w:val="15"/>
        </w:numPr>
        <w:spacing w:line="259" w:lineRule="auto"/>
        <w:rPr>
          <w:lang w:eastAsia="en-AU"/>
        </w:rPr>
      </w:pPr>
      <w:r>
        <w:rPr>
          <w:lang w:eastAsia="en-AU"/>
        </w:rPr>
        <w:t>h</w:t>
      </w:r>
      <w:r w:rsidRPr="002F1AF1">
        <w:rPr>
          <w:lang w:eastAsia="en-AU"/>
        </w:rPr>
        <w:t>as wages that are too small (&lt;$4 per hour) or too high (&gt;$125 per hour)</w:t>
      </w:r>
    </w:p>
    <w:p w14:paraId="502372DA" w14:textId="77777777" w:rsidR="008E7FC3" w:rsidRPr="002F1AF1" w:rsidRDefault="008E7FC3" w:rsidP="008E7FC3">
      <w:pPr>
        <w:pStyle w:val="ListBullet"/>
        <w:numPr>
          <w:ilvl w:val="0"/>
          <w:numId w:val="15"/>
        </w:numPr>
        <w:spacing w:line="259" w:lineRule="auto"/>
        <w:rPr>
          <w:lang w:eastAsia="en-AU"/>
        </w:rPr>
      </w:pPr>
      <w:r>
        <w:rPr>
          <w:lang w:eastAsia="en-AU"/>
        </w:rPr>
        <w:t>a</w:t>
      </w:r>
      <w:r w:rsidRPr="002F1AF1">
        <w:rPr>
          <w:lang w:eastAsia="en-AU"/>
        </w:rPr>
        <w:t xml:space="preserve"> full-time student</w:t>
      </w:r>
    </w:p>
    <w:p w14:paraId="7AF9EF2E" w14:textId="77777777" w:rsidR="008E7FC3" w:rsidRPr="002F1AF1" w:rsidRDefault="008E7FC3" w:rsidP="008E7FC3">
      <w:pPr>
        <w:pStyle w:val="ListBullet"/>
        <w:numPr>
          <w:ilvl w:val="0"/>
          <w:numId w:val="15"/>
        </w:numPr>
        <w:spacing w:line="259" w:lineRule="auto"/>
        <w:rPr>
          <w:lang w:eastAsia="en-AU"/>
        </w:rPr>
      </w:pPr>
      <w:r>
        <w:rPr>
          <w:lang w:eastAsia="en-AU"/>
        </w:rPr>
        <w:t>a</w:t>
      </w:r>
      <w:r w:rsidRPr="002F1AF1">
        <w:rPr>
          <w:lang w:eastAsia="en-AU"/>
        </w:rPr>
        <w:t xml:space="preserve"> </w:t>
      </w:r>
      <w:r>
        <w:rPr>
          <w:lang w:eastAsia="en-AU"/>
        </w:rPr>
        <w:t>recipient of Carer Payment or Carer Allowance</w:t>
      </w:r>
    </w:p>
    <w:p w14:paraId="6159BDAE" w14:textId="77777777" w:rsidR="008E7FC3" w:rsidRPr="002F1AF1" w:rsidRDefault="008E7FC3" w:rsidP="008E7FC3">
      <w:pPr>
        <w:pStyle w:val="ListBullet"/>
        <w:numPr>
          <w:ilvl w:val="0"/>
          <w:numId w:val="15"/>
        </w:numPr>
        <w:spacing w:line="259" w:lineRule="auto"/>
        <w:rPr>
          <w:lang w:eastAsia="en-AU"/>
        </w:rPr>
      </w:pPr>
      <w:r>
        <w:rPr>
          <w:lang w:eastAsia="en-AU"/>
        </w:rPr>
        <w:t>o</w:t>
      </w:r>
      <w:r w:rsidRPr="002F1AF1">
        <w:rPr>
          <w:lang w:eastAsia="en-AU"/>
        </w:rPr>
        <w:t>n payments not modelled in CAPITA</w:t>
      </w:r>
    </w:p>
    <w:p w14:paraId="4ACEB3B9" w14:textId="77777777" w:rsidR="008E7FC3" w:rsidRPr="002F1AF1" w:rsidRDefault="008E7FC3" w:rsidP="008E7FC3">
      <w:pPr>
        <w:pStyle w:val="ListBullet"/>
        <w:numPr>
          <w:ilvl w:val="0"/>
          <w:numId w:val="15"/>
        </w:numPr>
        <w:spacing w:line="259" w:lineRule="auto"/>
        <w:rPr>
          <w:lang w:eastAsia="en-AU"/>
        </w:rPr>
      </w:pPr>
      <w:r>
        <w:rPr>
          <w:lang w:eastAsia="en-AU"/>
        </w:rPr>
        <w:t>l</w:t>
      </w:r>
      <w:r w:rsidRPr="002F1AF1">
        <w:rPr>
          <w:lang w:eastAsia="en-AU"/>
        </w:rPr>
        <w:t>ives in non-private dwellings</w:t>
      </w:r>
    </w:p>
    <w:p w14:paraId="76D18F2E" w14:textId="77777777" w:rsidR="008E7FC3" w:rsidRPr="002F1AF1" w:rsidRDefault="008E7FC3" w:rsidP="008E7FC3">
      <w:pPr>
        <w:pStyle w:val="ListBullet"/>
        <w:numPr>
          <w:ilvl w:val="0"/>
          <w:numId w:val="15"/>
        </w:numPr>
        <w:spacing w:line="259" w:lineRule="auto"/>
        <w:rPr>
          <w:lang w:eastAsia="en-AU"/>
        </w:rPr>
      </w:pPr>
      <w:r>
        <w:rPr>
          <w:lang w:eastAsia="en-AU"/>
        </w:rPr>
        <w:t>v</w:t>
      </w:r>
      <w:r w:rsidRPr="002F1AF1">
        <w:rPr>
          <w:lang w:eastAsia="en-AU"/>
        </w:rPr>
        <w:t>ery high number of hours of observed childcare</w:t>
      </w:r>
    </w:p>
    <w:p w14:paraId="606EC2C8" w14:textId="77777777" w:rsidR="008E7FC3" w:rsidRPr="002F1AF1" w:rsidRDefault="008E7FC3" w:rsidP="008E7FC3">
      <w:pPr>
        <w:pStyle w:val="ListBullet"/>
        <w:numPr>
          <w:ilvl w:val="0"/>
          <w:numId w:val="15"/>
        </w:numPr>
        <w:spacing w:line="259" w:lineRule="auto"/>
        <w:rPr>
          <w:lang w:eastAsia="en-AU"/>
        </w:rPr>
      </w:pPr>
      <w:r>
        <w:rPr>
          <w:lang w:eastAsia="en-AU"/>
        </w:rPr>
        <w:t>c</w:t>
      </w:r>
      <w:r w:rsidRPr="002F1AF1">
        <w:rPr>
          <w:lang w:eastAsia="en-AU"/>
        </w:rPr>
        <w:t>ouple with childcare-aged children where both parents are unemployed</w:t>
      </w:r>
    </w:p>
    <w:p w14:paraId="1433623A" w14:textId="77777777" w:rsidR="008E7FC3" w:rsidRDefault="008E7FC3" w:rsidP="008E7FC3">
      <w:pPr>
        <w:pStyle w:val="ListBullet"/>
        <w:numPr>
          <w:ilvl w:val="0"/>
          <w:numId w:val="15"/>
        </w:numPr>
        <w:spacing w:line="259" w:lineRule="auto"/>
        <w:rPr>
          <w:lang w:eastAsia="en-AU"/>
        </w:rPr>
      </w:pPr>
      <w:r>
        <w:rPr>
          <w:lang w:eastAsia="en-AU"/>
        </w:rPr>
        <w:t>c</w:t>
      </w:r>
      <w:r w:rsidRPr="002F1AF1">
        <w:rPr>
          <w:lang w:eastAsia="en-AU"/>
        </w:rPr>
        <w:t>ouple with childcare-aged children which was interviewed in June quarter of 2019</w:t>
      </w:r>
      <w:r>
        <w:rPr>
          <w:lang w:eastAsia="en-AU"/>
        </w:rPr>
        <w:noBreakHyphen/>
      </w:r>
      <w:r w:rsidRPr="002F1AF1">
        <w:rPr>
          <w:lang w:eastAsia="en-AU"/>
        </w:rPr>
        <w:t>20</w:t>
      </w:r>
      <w:r>
        <w:rPr>
          <w:lang w:eastAsia="en-AU"/>
        </w:rPr>
        <w:t>.</w:t>
      </w:r>
    </w:p>
    <w:p w14:paraId="124C104F" w14:textId="77777777" w:rsidR="008E7FC3" w:rsidRPr="00573A89" w:rsidRDefault="008E7FC3" w:rsidP="008E7FC3">
      <w:pPr>
        <w:pStyle w:val="BodyText"/>
        <w:rPr>
          <w:lang w:eastAsia="en-AU"/>
        </w:rPr>
      </w:pPr>
      <w:r w:rsidRPr="00573A89">
        <w:rPr>
          <w:lang w:eastAsia="en-AU"/>
        </w:rPr>
        <w:t xml:space="preserve">The reason for this treatment is mostly because a different type of modelling would be required to adequately model labour supply for these income units. For persons close to or at retirement age, decisions to supply labour would involve considerations such as superannuation and other savings and whether their assets are such that would make them eligible for the Age </w:t>
      </w:r>
      <w:r>
        <w:rPr>
          <w:lang w:eastAsia="en-AU"/>
        </w:rPr>
        <w:t>P</w:t>
      </w:r>
      <w:r w:rsidRPr="00573A89">
        <w:rPr>
          <w:lang w:eastAsia="en-AU"/>
        </w:rPr>
        <w:t>ension. For self-employed persons, a more complex relationship exists between labour supply and wage rates than the simple one assumed in this model. For persons with work-limiting disabilities, considerations other than financial incentives are important in making labour supply decisions.</w:t>
      </w:r>
    </w:p>
    <w:p w14:paraId="0B1A53E2" w14:textId="77777777" w:rsidR="008E7FC3" w:rsidRPr="00573A89" w:rsidRDefault="008E7FC3" w:rsidP="008E7FC3">
      <w:pPr>
        <w:pStyle w:val="BodyText"/>
        <w:rPr>
          <w:lang w:eastAsia="en-AU"/>
        </w:rPr>
      </w:pPr>
      <w:r>
        <w:rPr>
          <w:lang w:eastAsia="en-AU"/>
        </w:rPr>
        <w:t>Income units were also excluded if the youngest child could not be linked to the PLIDA spine.</w:t>
      </w:r>
    </w:p>
    <w:p w14:paraId="0C10CCE3" w14:textId="77777777" w:rsidR="008E7FC3" w:rsidRDefault="008E7FC3" w:rsidP="008E7FC3">
      <w:pPr>
        <w:pStyle w:val="BodyText"/>
        <w:rPr>
          <w:lang w:eastAsia="en-AU"/>
        </w:rPr>
      </w:pPr>
      <w:r w:rsidRPr="00573A89">
        <w:rPr>
          <w:lang w:eastAsia="en-AU"/>
        </w:rPr>
        <w:t>In addition, the labour supply of dependents is not modelled. However, in non-excluded income units with dependents, the parental labour supply may impact on the parental income test for YA eligibility.</w:t>
      </w:r>
    </w:p>
    <w:p w14:paraId="7B90D463" w14:textId="77777777" w:rsidR="008E7FC3" w:rsidRDefault="008E7FC3" w:rsidP="008E7FC3">
      <w:pPr>
        <w:pStyle w:val="Heading4"/>
      </w:pPr>
      <w:r>
        <w:t>Selecting appropriate income units for estimating the preference equation for families with children aged 0–12</w:t>
      </w:r>
    </w:p>
    <w:p w14:paraId="7E30D571" w14:textId="77777777" w:rsidR="008E7FC3" w:rsidRDefault="008E7FC3" w:rsidP="008E7FC3">
      <w:pPr>
        <w:pStyle w:val="BodyText"/>
      </w:pPr>
      <w:r>
        <w:t>Income units may not be suitable to be used in the proposed preference equation if there is a reason to believe that they may have constraints on their labour supply, unreliable data in the SIH, or other reasons. A considerable portion of records surveyed during the June quarter of the 2019</w:t>
      </w:r>
      <w:r>
        <w:noBreakHyphen/>
        <w:t>20 financial year were excluded as a precaution due to restricted business activity and changes to childcare provider operations during this period.</w:t>
      </w:r>
    </w:p>
    <w:p w14:paraId="32795D71" w14:textId="77777777" w:rsidR="008E7FC3" w:rsidRDefault="008E7FC3" w:rsidP="008E7FC3">
      <w:pPr>
        <w:pStyle w:val="BodyText"/>
      </w:pPr>
      <w:r>
        <w:t>A breakdown of the number of income units that are included/excluded is provided in table G.26, with each income unit assigned a single exclusion reason to ensure accurate counts of the total number of income units. For example, some income units initially excluded due to being interviewed in the June quarter may be inappropriate for inclusion in the model for another reasons.</w:t>
      </w:r>
    </w:p>
    <w:p w14:paraId="75028899" w14:textId="77777777" w:rsidR="008E7FC3" w:rsidRPr="00704E91" w:rsidRDefault="008E7FC3" w:rsidP="008E7FC3">
      <w:pPr>
        <w:pStyle w:val="BodyText"/>
      </w:pPr>
      <w:r w:rsidRPr="00704E91">
        <w:br w:type="page"/>
      </w:r>
    </w:p>
    <w:p w14:paraId="7D3F3988" w14:textId="77777777" w:rsidR="008E7FC3" w:rsidRDefault="008E7FC3" w:rsidP="008E7FC3">
      <w:pPr>
        <w:pStyle w:val="FigureTableHeading"/>
      </w:pPr>
      <w:r>
        <w:lastRenderedPageBreak/>
        <w:t xml:space="preserve">Table </w:t>
      </w:r>
      <w:r>
        <w:rPr>
          <w:noProof/>
        </w:rPr>
        <w:t>G</w:t>
      </w:r>
      <w:r>
        <w:t>.</w:t>
      </w:r>
      <w:r>
        <w:rPr>
          <w:noProof/>
        </w:rPr>
        <w:t xml:space="preserve">26 – </w:t>
      </w:r>
      <w:r w:rsidRPr="00006C5F">
        <w:t>Number of income units in the 2019</w:t>
      </w:r>
      <w:r>
        <w:noBreakHyphen/>
      </w:r>
      <w:r w:rsidRPr="00006C5F">
        <w:t>20</w:t>
      </w:r>
      <w:r>
        <w:t xml:space="preserve"> SIH CURF</w:t>
      </w:r>
      <w:r w:rsidRPr="00006C5F">
        <w:t xml:space="preserve"> with a youngest child aged 0–12, and their suitability for inclusion in the preference equation estimation dataset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20"/>
        <w:gridCol w:w="2409"/>
        <w:gridCol w:w="2409"/>
      </w:tblGrid>
      <w:tr w:rsidR="008E7FC3" w:rsidRPr="00D126B3" w14:paraId="0431F6EE" w14:textId="77777777" w:rsidTr="00177648">
        <w:trPr>
          <w:tblHeader/>
        </w:trPr>
        <w:tc>
          <w:tcPr>
            <w:tcW w:w="4820" w:type="dxa"/>
            <w:tcBorders>
              <w:bottom w:val="single" w:sz="4" w:space="0" w:color="B3B3B3"/>
            </w:tcBorders>
            <w:shd w:val="clear" w:color="000000" w:fill="auto"/>
            <w:vAlign w:val="bottom"/>
          </w:tcPr>
          <w:p w14:paraId="7D8F2298" w14:textId="77777777" w:rsidR="008E7FC3" w:rsidRPr="00D126B3" w:rsidRDefault="008E7FC3" w:rsidP="00177648">
            <w:pPr>
              <w:spacing w:before="45" w:after="45"/>
              <w:ind w:left="57" w:right="108"/>
              <w:rPr>
                <w:rFonts w:ascii="Arial (Body)" w:hAnsi="Arial (Body)"/>
                <w:b/>
                <w:color w:val="265A9A"/>
                <w:sz w:val="18"/>
              </w:rPr>
            </w:pPr>
            <w:r>
              <w:rPr>
                <w:rFonts w:ascii="Arial (Body)" w:hAnsi="Arial (Body)"/>
                <w:b/>
                <w:color w:val="265A9A"/>
                <w:sz w:val="18"/>
              </w:rPr>
              <w:t>Exclusion reason</w:t>
            </w:r>
          </w:p>
        </w:tc>
        <w:tc>
          <w:tcPr>
            <w:tcW w:w="2409" w:type="dxa"/>
            <w:tcBorders>
              <w:bottom w:val="single" w:sz="4" w:space="0" w:color="B3B3B3"/>
            </w:tcBorders>
            <w:shd w:val="clear" w:color="000000" w:fill="auto"/>
            <w:vAlign w:val="bottom"/>
          </w:tcPr>
          <w:p w14:paraId="772F1BB9"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Sole parents of childcare</w:t>
            </w:r>
            <w:r>
              <w:rPr>
                <w:rFonts w:ascii="Arial (Body)" w:hAnsi="Arial (Body)"/>
                <w:color w:val="265A9A"/>
              </w:rPr>
              <w:noBreakHyphen/>
              <w:t>aged children</w:t>
            </w:r>
          </w:p>
        </w:tc>
        <w:tc>
          <w:tcPr>
            <w:tcW w:w="2409" w:type="dxa"/>
            <w:tcBorders>
              <w:bottom w:val="single" w:sz="4" w:space="0" w:color="B3B3B3"/>
            </w:tcBorders>
            <w:shd w:val="clear" w:color="000000" w:fill="auto"/>
            <w:vAlign w:val="bottom"/>
          </w:tcPr>
          <w:p w14:paraId="654787CF" w14:textId="77777777" w:rsidR="008E7FC3" w:rsidRPr="00D126B3" w:rsidRDefault="008E7FC3" w:rsidP="00177648">
            <w:pPr>
              <w:pStyle w:val="TableHeading"/>
              <w:spacing w:before="45" w:after="45"/>
              <w:ind w:right="108"/>
              <w:jc w:val="right"/>
              <w:rPr>
                <w:rFonts w:ascii="Arial (Body)" w:hAnsi="Arial (Body)"/>
                <w:color w:val="265A9A"/>
              </w:rPr>
            </w:pPr>
            <w:r>
              <w:rPr>
                <w:rFonts w:ascii="Arial (Body)" w:hAnsi="Arial (Body)"/>
                <w:color w:val="265A9A"/>
              </w:rPr>
              <w:t>Partnered parents of childcare</w:t>
            </w:r>
            <w:r>
              <w:rPr>
                <w:rFonts w:ascii="Arial (Body)" w:hAnsi="Arial (Body)"/>
                <w:color w:val="265A9A"/>
              </w:rPr>
              <w:noBreakHyphen/>
              <w:t>aged children</w:t>
            </w:r>
          </w:p>
        </w:tc>
      </w:tr>
      <w:tr w:rsidR="008E7FC3" w:rsidRPr="00D126B3" w14:paraId="4C8F1A54" w14:textId="77777777" w:rsidTr="00177648">
        <w:tc>
          <w:tcPr>
            <w:tcW w:w="4820" w:type="dxa"/>
            <w:tcBorders>
              <w:top w:val="single" w:sz="4" w:space="0" w:color="B3B3B3"/>
              <w:bottom w:val="nil"/>
            </w:tcBorders>
            <w:shd w:val="clear" w:color="000000" w:fill="F2F2F2"/>
          </w:tcPr>
          <w:p w14:paraId="0BDABD10" w14:textId="77777777" w:rsidR="008E7FC3" w:rsidRPr="00116BA5" w:rsidRDefault="008E7FC3" w:rsidP="00177648">
            <w:pPr>
              <w:pStyle w:val="TableHeading"/>
              <w:spacing w:before="45" w:after="45"/>
              <w:ind w:right="108"/>
              <w:rPr>
                <w:rFonts w:ascii="Arial (Body)" w:hAnsi="Arial (Body)"/>
                <w:color w:val="265A9A"/>
              </w:rPr>
            </w:pPr>
            <w:r w:rsidRPr="00116BA5">
              <w:rPr>
                <w:rFonts w:ascii="Arial (Body)" w:hAnsi="Arial (Body)"/>
                <w:color w:val="265A9A"/>
              </w:rPr>
              <w:t>None (i.e. included)</w:t>
            </w:r>
          </w:p>
        </w:tc>
        <w:tc>
          <w:tcPr>
            <w:tcW w:w="2409" w:type="dxa"/>
            <w:tcBorders>
              <w:top w:val="single" w:sz="4" w:space="0" w:color="B3B3B3"/>
              <w:bottom w:val="nil"/>
            </w:tcBorders>
            <w:shd w:val="clear" w:color="000000" w:fill="F2F2F2"/>
            <w:vAlign w:val="bottom"/>
          </w:tcPr>
          <w:p w14:paraId="6193D5EB" w14:textId="77777777" w:rsidR="008E7FC3" w:rsidRPr="00D126B3" w:rsidRDefault="008E7FC3" w:rsidP="00177648">
            <w:pPr>
              <w:pStyle w:val="TableBody"/>
              <w:spacing w:before="45" w:after="45"/>
              <w:ind w:right="108"/>
              <w:jc w:val="right"/>
              <w:rPr>
                <w:rFonts w:ascii="Arial (Body)" w:hAnsi="Arial (Body)"/>
                <w:color w:val="000000"/>
              </w:rPr>
            </w:pPr>
            <w:r w:rsidRPr="000D081F">
              <w:t>359 (53%)</w:t>
            </w:r>
          </w:p>
        </w:tc>
        <w:tc>
          <w:tcPr>
            <w:tcW w:w="2409" w:type="dxa"/>
            <w:tcBorders>
              <w:top w:val="single" w:sz="4" w:space="0" w:color="B3B3B3"/>
              <w:bottom w:val="nil"/>
            </w:tcBorders>
            <w:shd w:val="clear" w:color="000000" w:fill="F2F2F2"/>
            <w:vAlign w:val="bottom"/>
          </w:tcPr>
          <w:p w14:paraId="7F8280AB" w14:textId="77777777" w:rsidR="008E7FC3" w:rsidRPr="00D126B3" w:rsidRDefault="008E7FC3" w:rsidP="00177648">
            <w:pPr>
              <w:pStyle w:val="TableBody"/>
              <w:spacing w:before="45" w:after="45"/>
              <w:ind w:right="108"/>
              <w:jc w:val="right"/>
              <w:rPr>
                <w:rFonts w:ascii="Arial (Body)" w:hAnsi="Arial (Body)"/>
                <w:color w:val="000000"/>
              </w:rPr>
            </w:pPr>
            <w:r w:rsidRPr="000D081F">
              <w:t>1,264 (45%)</w:t>
            </w:r>
          </w:p>
        </w:tc>
      </w:tr>
      <w:tr w:rsidR="008E7FC3" w:rsidRPr="00D126B3" w14:paraId="24181A25" w14:textId="77777777" w:rsidTr="00177648">
        <w:tc>
          <w:tcPr>
            <w:tcW w:w="4820" w:type="dxa"/>
            <w:tcBorders>
              <w:top w:val="nil"/>
              <w:bottom w:val="nil"/>
            </w:tcBorders>
            <w:shd w:val="clear" w:color="000000" w:fill="auto"/>
          </w:tcPr>
          <w:p w14:paraId="28F1EC3F" w14:textId="77777777" w:rsidR="008E7FC3" w:rsidRPr="00116BA5" w:rsidRDefault="008E7FC3" w:rsidP="00177648">
            <w:pPr>
              <w:pStyle w:val="TableHeading"/>
              <w:spacing w:before="45" w:after="45"/>
              <w:ind w:right="108"/>
              <w:rPr>
                <w:rFonts w:ascii="Arial (Body)" w:hAnsi="Arial (Body)"/>
                <w:color w:val="265A9A"/>
              </w:rPr>
            </w:pPr>
            <w:r w:rsidRPr="00116BA5">
              <w:t>At least one parent aged 65 or older</w:t>
            </w:r>
          </w:p>
        </w:tc>
        <w:tc>
          <w:tcPr>
            <w:tcW w:w="2409" w:type="dxa"/>
            <w:tcBorders>
              <w:top w:val="nil"/>
              <w:bottom w:val="nil"/>
            </w:tcBorders>
            <w:shd w:val="clear" w:color="000000" w:fill="auto"/>
            <w:vAlign w:val="bottom"/>
          </w:tcPr>
          <w:p w14:paraId="6400FDA8" w14:textId="77777777" w:rsidR="008E7FC3" w:rsidRPr="00D126B3" w:rsidRDefault="008E7FC3" w:rsidP="00177648">
            <w:pPr>
              <w:pStyle w:val="TableBody"/>
              <w:spacing w:before="45" w:after="45"/>
              <w:ind w:right="108"/>
              <w:jc w:val="right"/>
              <w:rPr>
                <w:rFonts w:ascii="Arial (Body)" w:hAnsi="Arial (Body)"/>
                <w:color w:val="000000"/>
              </w:rPr>
            </w:pPr>
            <w:r w:rsidRPr="000D081F">
              <w:t>3</w:t>
            </w:r>
          </w:p>
        </w:tc>
        <w:tc>
          <w:tcPr>
            <w:tcW w:w="2409" w:type="dxa"/>
            <w:tcBorders>
              <w:top w:val="nil"/>
              <w:bottom w:val="nil"/>
            </w:tcBorders>
            <w:shd w:val="clear" w:color="000000" w:fill="auto"/>
            <w:vAlign w:val="bottom"/>
          </w:tcPr>
          <w:p w14:paraId="15100EE5" w14:textId="77777777" w:rsidR="008E7FC3" w:rsidRPr="00D126B3" w:rsidRDefault="008E7FC3" w:rsidP="00177648">
            <w:pPr>
              <w:pStyle w:val="TableBody"/>
              <w:spacing w:before="45" w:after="45"/>
              <w:ind w:right="108"/>
              <w:jc w:val="right"/>
              <w:rPr>
                <w:rFonts w:ascii="Arial (Body)" w:hAnsi="Arial (Body)"/>
                <w:color w:val="000000"/>
              </w:rPr>
            </w:pPr>
            <w:r w:rsidRPr="000D081F">
              <w:t>2</w:t>
            </w:r>
          </w:p>
        </w:tc>
      </w:tr>
      <w:tr w:rsidR="008E7FC3" w:rsidRPr="00D126B3" w14:paraId="4F36FDB8" w14:textId="77777777" w:rsidTr="00177648">
        <w:tc>
          <w:tcPr>
            <w:tcW w:w="4820" w:type="dxa"/>
            <w:tcBorders>
              <w:top w:val="nil"/>
              <w:bottom w:val="nil"/>
            </w:tcBorders>
            <w:shd w:val="clear" w:color="auto" w:fill="F2F2F2" w:themeFill="background1" w:themeFillShade="F2"/>
          </w:tcPr>
          <w:p w14:paraId="4BAFC4B3" w14:textId="77777777" w:rsidR="008E7FC3" w:rsidRPr="00116BA5" w:rsidRDefault="008E7FC3" w:rsidP="00177648">
            <w:pPr>
              <w:pStyle w:val="TableHeading"/>
              <w:spacing w:before="45" w:after="45"/>
              <w:ind w:right="108"/>
              <w:rPr>
                <w:rFonts w:ascii="Arial (Body)" w:hAnsi="Arial (Body)"/>
                <w:color w:val="265A9A"/>
              </w:rPr>
            </w:pPr>
            <w:r w:rsidRPr="00116BA5">
              <w:t>At least one parent has income from own unincorporated business</w:t>
            </w:r>
          </w:p>
        </w:tc>
        <w:tc>
          <w:tcPr>
            <w:tcW w:w="2409" w:type="dxa"/>
            <w:tcBorders>
              <w:top w:val="nil"/>
              <w:bottom w:val="nil"/>
            </w:tcBorders>
            <w:shd w:val="clear" w:color="auto" w:fill="F2F2F2" w:themeFill="background1" w:themeFillShade="F2"/>
            <w:vAlign w:val="bottom"/>
          </w:tcPr>
          <w:p w14:paraId="3119D6E7" w14:textId="77777777" w:rsidR="008E7FC3" w:rsidRPr="00D126B3" w:rsidRDefault="008E7FC3" w:rsidP="00177648">
            <w:pPr>
              <w:pStyle w:val="TableBody"/>
              <w:spacing w:before="45" w:after="45"/>
              <w:ind w:right="108"/>
              <w:jc w:val="right"/>
              <w:rPr>
                <w:rFonts w:ascii="Arial (Body)" w:hAnsi="Arial (Body)"/>
                <w:color w:val="000000"/>
              </w:rPr>
            </w:pPr>
            <w:r w:rsidRPr="000D081F">
              <w:t>7</w:t>
            </w:r>
          </w:p>
        </w:tc>
        <w:tc>
          <w:tcPr>
            <w:tcW w:w="2409" w:type="dxa"/>
            <w:tcBorders>
              <w:top w:val="nil"/>
              <w:bottom w:val="nil"/>
            </w:tcBorders>
            <w:shd w:val="clear" w:color="auto" w:fill="F2F2F2" w:themeFill="background1" w:themeFillShade="F2"/>
            <w:vAlign w:val="bottom"/>
          </w:tcPr>
          <w:p w14:paraId="47562785" w14:textId="77777777" w:rsidR="008E7FC3" w:rsidRPr="00D126B3" w:rsidRDefault="008E7FC3" w:rsidP="00177648">
            <w:pPr>
              <w:pStyle w:val="TableBody"/>
              <w:spacing w:before="45" w:after="45"/>
              <w:ind w:right="108"/>
              <w:jc w:val="right"/>
              <w:rPr>
                <w:rFonts w:ascii="Arial (Body)" w:hAnsi="Arial (Body)"/>
                <w:color w:val="000000"/>
              </w:rPr>
            </w:pPr>
            <w:r w:rsidRPr="000D081F">
              <w:t>60</w:t>
            </w:r>
          </w:p>
        </w:tc>
      </w:tr>
      <w:tr w:rsidR="008E7FC3" w:rsidRPr="00D126B3" w14:paraId="479C8962" w14:textId="77777777" w:rsidTr="00177648">
        <w:tc>
          <w:tcPr>
            <w:tcW w:w="4820" w:type="dxa"/>
            <w:tcBorders>
              <w:top w:val="nil"/>
              <w:bottom w:val="nil"/>
            </w:tcBorders>
            <w:shd w:val="clear" w:color="000000" w:fill="auto"/>
          </w:tcPr>
          <w:p w14:paraId="0BB064F9" w14:textId="77777777" w:rsidR="008E7FC3" w:rsidRPr="00116BA5" w:rsidRDefault="008E7FC3" w:rsidP="00177648">
            <w:pPr>
              <w:pStyle w:val="TableHeading"/>
              <w:spacing w:before="45" w:after="45"/>
              <w:ind w:right="108"/>
              <w:rPr>
                <w:rFonts w:ascii="Arial (Body)" w:hAnsi="Arial (Body)"/>
                <w:color w:val="265A9A"/>
              </w:rPr>
            </w:pPr>
            <w:r w:rsidRPr="00116BA5">
              <w:t>At least one parent receives a disability or DVA pension payment</w:t>
            </w:r>
          </w:p>
        </w:tc>
        <w:tc>
          <w:tcPr>
            <w:tcW w:w="2409" w:type="dxa"/>
            <w:tcBorders>
              <w:top w:val="nil"/>
              <w:bottom w:val="nil"/>
            </w:tcBorders>
            <w:shd w:val="clear" w:color="000000" w:fill="auto"/>
            <w:vAlign w:val="bottom"/>
          </w:tcPr>
          <w:p w14:paraId="091E51DE" w14:textId="77777777" w:rsidR="008E7FC3" w:rsidRPr="00D126B3" w:rsidRDefault="008E7FC3" w:rsidP="00177648">
            <w:pPr>
              <w:pStyle w:val="TableBody"/>
              <w:spacing w:before="45" w:after="45"/>
              <w:ind w:right="108"/>
              <w:jc w:val="right"/>
              <w:rPr>
                <w:rFonts w:ascii="Arial (Body)" w:hAnsi="Arial (Body)"/>
                <w:color w:val="000000"/>
              </w:rPr>
            </w:pPr>
            <w:r w:rsidRPr="000D081F">
              <w:t>31</w:t>
            </w:r>
          </w:p>
        </w:tc>
        <w:tc>
          <w:tcPr>
            <w:tcW w:w="2409" w:type="dxa"/>
            <w:tcBorders>
              <w:top w:val="nil"/>
              <w:bottom w:val="nil"/>
            </w:tcBorders>
            <w:shd w:val="clear" w:color="000000" w:fill="auto"/>
            <w:vAlign w:val="bottom"/>
          </w:tcPr>
          <w:p w14:paraId="6B3767F8" w14:textId="77777777" w:rsidR="008E7FC3" w:rsidRPr="00D126B3" w:rsidRDefault="008E7FC3" w:rsidP="00177648">
            <w:pPr>
              <w:pStyle w:val="TableBody"/>
              <w:spacing w:before="45" w:after="45"/>
              <w:ind w:right="108"/>
              <w:jc w:val="right"/>
              <w:rPr>
                <w:rFonts w:ascii="Arial (Body)" w:hAnsi="Arial (Body)"/>
                <w:color w:val="000000"/>
              </w:rPr>
            </w:pPr>
            <w:r w:rsidRPr="000D081F">
              <w:t>15</w:t>
            </w:r>
          </w:p>
        </w:tc>
      </w:tr>
      <w:tr w:rsidR="008E7FC3" w:rsidRPr="00D126B3" w14:paraId="68D60212" w14:textId="77777777" w:rsidTr="00177648">
        <w:tc>
          <w:tcPr>
            <w:tcW w:w="4820" w:type="dxa"/>
            <w:tcBorders>
              <w:top w:val="nil"/>
              <w:bottom w:val="nil"/>
            </w:tcBorders>
            <w:shd w:val="clear" w:color="auto" w:fill="F2F2F2" w:themeFill="background1" w:themeFillShade="F2"/>
          </w:tcPr>
          <w:p w14:paraId="5B4F4AD8" w14:textId="77777777" w:rsidR="008E7FC3" w:rsidRPr="00116BA5" w:rsidRDefault="008E7FC3" w:rsidP="00177648">
            <w:pPr>
              <w:pStyle w:val="TableHeading"/>
              <w:spacing w:before="45" w:after="45"/>
              <w:ind w:right="108"/>
              <w:rPr>
                <w:rFonts w:ascii="Arial (Body)" w:hAnsi="Arial (Body)"/>
                <w:color w:val="265A9A"/>
              </w:rPr>
            </w:pPr>
            <w:r w:rsidRPr="00116BA5">
              <w:t>At least one parent reports an hourly wage that is very high or very low</w:t>
            </w:r>
          </w:p>
        </w:tc>
        <w:tc>
          <w:tcPr>
            <w:tcW w:w="2409" w:type="dxa"/>
            <w:tcBorders>
              <w:top w:val="nil"/>
              <w:bottom w:val="nil"/>
            </w:tcBorders>
            <w:shd w:val="clear" w:color="auto" w:fill="F2F2F2" w:themeFill="background1" w:themeFillShade="F2"/>
            <w:vAlign w:val="bottom"/>
          </w:tcPr>
          <w:p w14:paraId="0BF71CEF" w14:textId="77777777" w:rsidR="008E7FC3" w:rsidRPr="00D126B3" w:rsidRDefault="008E7FC3" w:rsidP="00177648">
            <w:pPr>
              <w:pStyle w:val="TableBody"/>
              <w:spacing w:before="45" w:after="45"/>
              <w:ind w:right="108"/>
              <w:jc w:val="right"/>
              <w:rPr>
                <w:rFonts w:ascii="Arial (Body)" w:hAnsi="Arial (Body)"/>
                <w:color w:val="000000"/>
              </w:rPr>
            </w:pPr>
            <w:r w:rsidRPr="000D081F">
              <w:t>25</w:t>
            </w:r>
          </w:p>
        </w:tc>
        <w:tc>
          <w:tcPr>
            <w:tcW w:w="2409" w:type="dxa"/>
            <w:tcBorders>
              <w:top w:val="nil"/>
              <w:bottom w:val="nil"/>
            </w:tcBorders>
            <w:shd w:val="clear" w:color="auto" w:fill="F2F2F2" w:themeFill="background1" w:themeFillShade="F2"/>
            <w:vAlign w:val="bottom"/>
          </w:tcPr>
          <w:p w14:paraId="221DB5D9" w14:textId="77777777" w:rsidR="008E7FC3" w:rsidRPr="00D126B3" w:rsidRDefault="008E7FC3" w:rsidP="00177648">
            <w:pPr>
              <w:pStyle w:val="TableBody"/>
              <w:spacing w:before="45" w:after="45"/>
              <w:ind w:right="108"/>
              <w:jc w:val="right"/>
              <w:rPr>
                <w:rFonts w:ascii="Arial (Body)" w:hAnsi="Arial (Body)"/>
                <w:color w:val="000000"/>
              </w:rPr>
            </w:pPr>
            <w:r w:rsidRPr="000D081F">
              <w:t>302</w:t>
            </w:r>
          </w:p>
        </w:tc>
      </w:tr>
      <w:tr w:rsidR="008E7FC3" w:rsidRPr="00D126B3" w14:paraId="0F3BCF1C" w14:textId="77777777" w:rsidTr="00177648">
        <w:tc>
          <w:tcPr>
            <w:tcW w:w="4820" w:type="dxa"/>
            <w:tcBorders>
              <w:top w:val="nil"/>
              <w:bottom w:val="nil"/>
            </w:tcBorders>
            <w:shd w:val="clear" w:color="000000" w:fill="auto"/>
          </w:tcPr>
          <w:p w14:paraId="751A6E3D" w14:textId="77777777" w:rsidR="008E7FC3" w:rsidRPr="00116BA5" w:rsidRDefault="008E7FC3" w:rsidP="00177648">
            <w:pPr>
              <w:pStyle w:val="TableHeading"/>
              <w:spacing w:before="45" w:after="45"/>
              <w:ind w:right="108"/>
              <w:rPr>
                <w:rFonts w:ascii="Arial (Body)" w:hAnsi="Arial (Body)"/>
                <w:color w:val="265A9A"/>
              </w:rPr>
            </w:pPr>
            <w:r w:rsidRPr="00116BA5">
              <w:t>At least one parent is currently studying</w:t>
            </w:r>
          </w:p>
        </w:tc>
        <w:tc>
          <w:tcPr>
            <w:tcW w:w="2409" w:type="dxa"/>
            <w:tcBorders>
              <w:top w:val="nil"/>
              <w:bottom w:val="nil"/>
            </w:tcBorders>
            <w:shd w:val="clear" w:color="000000" w:fill="auto"/>
            <w:vAlign w:val="bottom"/>
          </w:tcPr>
          <w:p w14:paraId="1204041D" w14:textId="77777777" w:rsidR="008E7FC3" w:rsidRPr="00D126B3" w:rsidRDefault="008E7FC3" w:rsidP="00177648">
            <w:pPr>
              <w:pStyle w:val="TableBody"/>
              <w:spacing w:before="45" w:after="45"/>
              <w:ind w:right="108"/>
              <w:jc w:val="right"/>
              <w:rPr>
                <w:rFonts w:ascii="Arial (Body)" w:hAnsi="Arial (Body)"/>
                <w:color w:val="000000"/>
              </w:rPr>
            </w:pPr>
            <w:r w:rsidRPr="000D081F">
              <w:t>67</w:t>
            </w:r>
          </w:p>
        </w:tc>
        <w:tc>
          <w:tcPr>
            <w:tcW w:w="2409" w:type="dxa"/>
            <w:tcBorders>
              <w:top w:val="nil"/>
              <w:bottom w:val="nil"/>
            </w:tcBorders>
            <w:shd w:val="clear" w:color="000000" w:fill="auto"/>
            <w:vAlign w:val="bottom"/>
          </w:tcPr>
          <w:p w14:paraId="3F1E7A04" w14:textId="77777777" w:rsidR="008E7FC3" w:rsidRPr="00D126B3" w:rsidRDefault="008E7FC3" w:rsidP="00177648">
            <w:pPr>
              <w:pStyle w:val="TableBody"/>
              <w:spacing w:before="45" w:after="45"/>
              <w:ind w:right="108"/>
              <w:jc w:val="right"/>
              <w:rPr>
                <w:rFonts w:ascii="Arial (Body)" w:hAnsi="Arial (Body)"/>
                <w:color w:val="000000"/>
              </w:rPr>
            </w:pPr>
            <w:r w:rsidRPr="000D081F">
              <w:t>311</w:t>
            </w:r>
          </w:p>
        </w:tc>
      </w:tr>
      <w:tr w:rsidR="008E7FC3" w:rsidRPr="00D126B3" w14:paraId="57AFC344" w14:textId="77777777" w:rsidTr="00177648">
        <w:tc>
          <w:tcPr>
            <w:tcW w:w="4820" w:type="dxa"/>
            <w:tcBorders>
              <w:top w:val="nil"/>
              <w:bottom w:val="nil"/>
            </w:tcBorders>
            <w:shd w:val="clear" w:color="auto" w:fill="F2F2F2" w:themeFill="background1" w:themeFillShade="F2"/>
          </w:tcPr>
          <w:p w14:paraId="04852EFB" w14:textId="77777777" w:rsidR="008E7FC3" w:rsidRPr="00116BA5" w:rsidRDefault="008E7FC3" w:rsidP="00177648">
            <w:pPr>
              <w:pStyle w:val="TableHeading"/>
              <w:spacing w:before="45" w:after="45"/>
              <w:ind w:right="108"/>
              <w:rPr>
                <w:rFonts w:ascii="Arial (Body)" w:hAnsi="Arial (Body)"/>
                <w:color w:val="265A9A"/>
              </w:rPr>
            </w:pPr>
            <w:r w:rsidRPr="00116BA5">
              <w:t>At least one parent receives Carer Payment</w:t>
            </w:r>
          </w:p>
        </w:tc>
        <w:tc>
          <w:tcPr>
            <w:tcW w:w="2409" w:type="dxa"/>
            <w:tcBorders>
              <w:top w:val="nil"/>
              <w:bottom w:val="nil"/>
            </w:tcBorders>
            <w:shd w:val="clear" w:color="auto" w:fill="F2F2F2" w:themeFill="background1" w:themeFillShade="F2"/>
            <w:vAlign w:val="bottom"/>
          </w:tcPr>
          <w:p w14:paraId="04680371" w14:textId="77777777" w:rsidR="008E7FC3" w:rsidRPr="00D126B3" w:rsidRDefault="008E7FC3" w:rsidP="00177648">
            <w:pPr>
              <w:pStyle w:val="TableBody"/>
              <w:spacing w:before="45" w:after="45"/>
              <w:ind w:right="108"/>
              <w:jc w:val="right"/>
              <w:rPr>
                <w:rFonts w:ascii="Arial (Body)" w:hAnsi="Arial (Body)"/>
                <w:color w:val="000000"/>
              </w:rPr>
            </w:pPr>
            <w:r w:rsidRPr="000D081F">
              <w:t>40</w:t>
            </w:r>
          </w:p>
        </w:tc>
        <w:tc>
          <w:tcPr>
            <w:tcW w:w="2409" w:type="dxa"/>
            <w:tcBorders>
              <w:top w:val="nil"/>
              <w:bottom w:val="nil"/>
            </w:tcBorders>
            <w:shd w:val="clear" w:color="auto" w:fill="F2F2F2" w:themeFill="background1" w:themeFillShade="F2"/>
            <w:vAlign w:val="bottom"/>
          </w:tcPr>
          <w:p w14:paraId="2558B8A1" w14:textId="77777777" w:rsidR="008E7FC3" w:rsidRPr="00D126B3" w:rsidRDefault="008E7FC3" w:rsidP="00177648">
            <w:pPr>
              <w:pStyle w:val="TableBody"/>
              <w:spacing w:before="45" w:after="45"/>
              <w:ind w:right="108"/>
              <w:jc w:val="right"/>
              <w:rPr>
                <w:rFonts w:ascii="Arial (Body)" w:hAnsi="Arial (Body)"/>
                <w:color w:val="000000"/>
              </w:rPr>
            </w:pPr>
            <w:r w:rsidRPr="000D081F">
              <w:t>43</w:t>
            </w:r>
          </w:p>
        </w:tc>
      </w:tr>
      <w:tr w:rsidR="008E7FC3" w:rsidRPr="00D126B3" w14:paraId="14B5B830" w14:textId="77777777" w:rsidTr="00177648">
        <w:tc>
          <w:tcPr>
            <w:tcW w:w="4820" w:type="dxa"/>
            <w:tcBorders>
              <w:top w:val="nil"/>
              <w:bottom w:val="nil"/>
            </w:tcBorders>
            <w:shd w:val="clear" w:color="000000" w:fill="auto"/>
          </w:tcPr>
          <w:p w14:paraId="0CE2EC2F" w14:textId="77777777" w:rsidR="008E7FC3" w:rsidRPr="00116BA5" w:rsidRDefault="008E7FC3" w:rsidP="00177648">
            <w:pPr>
              <w:pStyle w:val="TableHeading"/>
              <w:spacing w:before="45" w:after="45"/>
              <w:ind w:right="108"/>
              <w:rPr>
                <w:rFonts w:ascii="Arial (Body)" w:hAnsi="Arial (Body)"/>
                <w:color w:val="265A9A"/>
              </w:rPr>
            </w:pPr>
            <w:r w:rsidRPr="00116BA5">
              <w:t>At least one parent receives Special Benefit or a discontinued income support payment</w:t>
            </w:r>
          </w:p>
        </w:tc>
        <w:tc>
          <w:tcPr>
            <w:tcW w:w="2409" w:type="dxa"/>
            <w:tcBorders>
              <w:top w:val="nil"/>
              <w:bottom w:val="nil"/>
            </w:tcBorders>
            <w:shd w:val="clear" w:color="000000" w:fill="auto"/>
            <w:vAlign w:val="bottom"/>
          </w:tcPr>
          <w:p w14:paraId="788B90CD" w14:textId="77777777" w:rsidR="008E7FC3" w:rsidRPr="00D126B3" w:rsidRDefault="008E7FC3" w:rsidP="00177648">
            <w:pPr>
              <w:pStyle w:val="TableBody"/>
              <w:spacing w:before="45" w:after="45"/>
              <w:ind w:right="108"/>
              <w:jc w:val="right"/>
              <w:rPr>
                <w:rFonts w:ascii="Arial (Body)" w:hAnsi="Arial (Body)"/>
                <w:color w:val="000000"/>
              </w:rPr>
            </w:pPr>
            <w:r w:rsidRPr="000D081F">
              <w:t>3</w:t>
            </w:r>
          </w:p>
        </w:tc>
        <w:tc>
          <w:tcPr>
            <w:tcW w:w="2409" w:type="dxa"/>
            <w:tcBorders>
              <w:top w:val="nil"/>
              <w:bottom w:val="nil"/>
            </w:tcBorders>
            <w:shd w:val="clear" w:color="000000" w:fill="auto"/>
            <w:vAlign w:val="bottom"/>
          </w:tcPr>
          <w:p w14:paraId="1D3EFE7D" w14:textId="77777777" w:rsidR="008E7FC3" w:rsidRPr="00D126B3" w:rsidRDefault="008E7FC3" w:rsidP="00177648">
            <w:pPr>
              <w:pStyle w:val="TableBody"/>
              <w:spacing w:before="45" w:after="45"/>
              <w:ind w:right="108"/>
              <w:jc w:val="right"/>
              <w:rPr>
                <w:rFonts w:ascii="Arial (Body)" w:hAnsi="Arial (Body)"/>
                <w:color w:val="000000"/>
              </w:rPr>
            </w:pPr>
            <w:r w:rsidRPr="000D081F">
              <w:t>6</w:t>
            </w:r>
          </w:p>
        </w:tc>
      </w:tr>
      <w:tr w:rsidR="008E7FC3" w:rsidRPr="00D126B3" w14:paraId="1DF95543" w14:textId="77777777" w:rsidTr="00177648">
        <w:tc>
          <w:tcPr>
            <w:tcW w:w="4820" w:type="dxa"/>
            <w:tcBorders>
              <w:top w:val="nil"/>
              <w:bottom w:val="nil"/>
            </w:tcBorders>
            <w:shd w:val="clear" w:color="auto" w:fill="F2F2F2" w:themeFill="background1" w:themeFillShade="F2"/>
          </w:tcPr>
          <w:p w14:paraId="1A67B473" w14:textId="77777777" w:rsidR="008E7FC3" w:rsidRPr="00116BA5" w:rsidRDefault="008E7FC3" w:rsidP="00177648">
            <w:pPr>
              <w:pStyle w:val="TableHeading"/>
              <w:spacing w:before="45" w:after="45"/>
              <w:ind w:right="108"/>
              <w:rPr>
                <w:rFonts w:ascii="Arial (Body)" w:hAnsi="Arial (Body)"/>
                <w:color w:val="265A9A"/>
              </w:rPr>
            </w:pPr>
            <w:r w:rsidRPr="00116BA5">
              <w:t>Very high number of hours of observed childcare</w:t>
            </w:r>
          </w:p>
        </w:tc>
        <w:tc>
          <w:tcPr>
            <w:tcW w:w="2409" w:type="dxa"/>
            <w:tcBorders>
              <w:top w:val="nil"/>
              <w:bottom w:val="nil"/>
            </w:tcBorders>
            <w:shd w:val="clear" w:color="auto" w:fill="F2F2F2" w:themeFill="background1" w:themeFillShade="F2"/>
            <w:vAlign w:val="bottom"/>
          </w:tcPr>
          <w:p w14:paraId="17825D4C" w14:textId="77777777" w:rsidR="008E7FC3" w:rsidRPr="00D126B3" w:rsidRDefault="008E7FC3" w:rsidP="00177648">
            <w:pPr>
              <w:pStyle w:val="TableBody"/>
              <w:spacing w:before="45" w:after="45"/>
              <w:ind w:right="108"/>
              <w:jc w:val="right"/>
              <w:rPr>
                <w:rFonts w:ascii="Arial (Body)" w:hAnsi="Arial (Body)"/>
                <w:color w:val="000000"/>
              </w:rPr>
            </w:pPr>
            <w:r w:rsidRPr="000D081F">
              <w:t>9</w:t>
            </w:r>
          </w:p>
        </w:tc>
        <w:tc>
          <w:tcPr>
            <w:tcW w:w="2409" w:type="dxa"/>
            <w:tcBorders>
              <w:top w:val="nil"/>
              <w:bottom w:val="nil"/>
            </w:tcBorders>
            <w:shd w:val="clear" w:color="auto" w:fill="F2F2F2" w:themeFill="background1" w:themeFillShade="F2"/>
            <w:vAlign w:val="bottom"/>
          </w:tcPr>
          <w:p w14:paraId="7F41E4F4" w14:textId="77777777" w:rsidR="008E7FC3" w:rsidRPr="00D126B3" w:rsidRDefault="008E7FC3" w:rsidP="00177648">
            <w:pPr>
              <w:pStyle w:val="TableBody"/>
              <w:spacing w:before="45" w:after="45"/>
              <w:ind w:right="108"/>
              <w:jc w:val="right"/>
              <w:rPr>
                <w:rFonts w:ascii="Arial (Body)" w:hAnsi="Arial (Body)"/>
                <w:color w:val="000000"/>
              </w:rPr>
            </w:pPr>
            <w:r w:rsidRPr="000D081F">
              <w:t>21</w:t>
            </w:r>
          </w:p>
        </w:tc>
      </w:tr>
      <w:tr w:rsidR="008E7FC3" w:rsidRPr="00D126B3" w14:paraId="581FE9F5" w14:textId="77777777" w:rsidTr="00177648">
        <w:tc>
          <w:tcPr>
            <w:tcW w:w="4820" w:type="dxa"/>
            <w:tcBorders>
              <w:top w:val="nil"/>
              <w:bottom w:val="nil"/>
            </w:tcBorders>
            <w:shd w:val="clear" w:color="000000" w:fill="auto"/>
          </w:tcPr>
          <w:p w14:paraId="01489F1F" w14:textId="77777777" w:rsidR="008E7FC3" w:rsidRPr="00116BA5" w:rsidRDefault="008E7FC3" w:rsidP="00177648">
            <w:pPr>
              <w:pStyle w:val="TableHeading"/>
              <w:spacing w:before="45" w:after="45"/>
              <w:ind w:right="108"/>
              <w:rPr>
                <w:rFonts w:ascii="Arial (Body)" w:hAnsi="Arial (Body)"/>
                <w:color w:val="265A9A"/>
              </w:rPr>
            </w:pPr>
            <w:r w:rsidRPr="00116BA5">
              <w:t>Couple, both unemployed</w:t>
            </w:r>
          </w:p>
        </w:tc>
        <w:tc>
          <w:tcPr>
            <w:tcW w:w="2409" w:type="dxa"/>
            <w:tcBorders>
              <w:top w:val="nil"/>
              <w:bottom w:val="nil"/>
            </w:tcBorders>
            <w:shd w:val="clear" w:color="000000" w:fill="auto"/>
            <w:vAlign w:val="bottom"/>
          </w:tcPr>
          <w:p w14:paraId="5A0D0914" w14:textId="77777777" w:rsidR="008E7FC3" w:rsidRPr="00D126B3" w:rsidRDefault="008E7FC3" w:rsidP="00177648">
            <w:pPr>
              <w:pStyle w:val="TableBody"/>
              <w:spacing w:before="45" w:after="45"/>
              <w:ind w:right="108"/>
              <w:jc w:val="right"/>
              <w:rPr>
                <w:rFonts w:ascii="Arial (Body)" w:hAnsi="Arial (Body)"/>
                <w:color w:val="000000"/>
              </w:rPr>
            </w:pPr>
            <w:r w:rsidRPr="000D081F">
              <w:t>n/a</w:t>
            </w:r>
          </w:p>
        </w:tc>
        <w:tc>
          <w:tcPr>
            <w:tcW w:w="2409" w:type="dxa"/>
            <w:tcBorders>
              <w:top w:val="nil"/>
              <w:bottom w:val="nil"/>
            </w:tcBorders>
            <w:shd w:val="clear" w:color="000000" w:fill="auto"/>
            <w:vAlign w:val="bottom"/>
          </w:tcPr>
          <w:p w14:paraId="41223389" w14:textId="77777777" w:rsidR="008E7FC3" w:rsidRPr="00D126B3" w:rsidRDefault="008E7FC3" w:rsidP="00177648">
            <w:pPr>
              <w:pStyle w:val="TableBody"/>
              <w:spacing w:before="45" w:after="45"/>
              <w:ind w:right="108"/>
              <w:jc w:val="right"/>
              <w:rPr>
                <w:rFonts w:ascii="Arial (Body)" w:hAnsi="Arial (Body)"/>
                <w:color w:val="000000"/>
              </w:rPr>
            </w:pPr>
            <w:r w:rsidRPr="000D081F">
              <w:t>89</w:t>
            </w:r>
          </w:p>
        </w:tc>
      </w:tr>
      <w:tr w:rsidR="008E7FC3" w:rsidRPr="00D126B3" w14:paraId="61C71ED9" w14:textId="77777777" w:rsidTr="00177648">
        <w:tc>
          <w:tcPr>
            <w:tcW w:w="4820" w:type="dxa"/>
            <w:tcBorders>
              <w:top w:val="nil"/>
              <w:bottom w:val="nil"/>
            </w:tcBorders>
            <w:shd w:val="clear" w:color="auto" w:fill="F2F2F2" w:themeFill="background1" w:themeFillShade="F2"/>
          </w:tcPr>
          <w:p w14:paraId="5B5F3804" w14:textId="77777777" w:rsidR="008E7FC3" w:rsidRPr="00116BA5" w:rsidRDefault="008E7FC3" w:rsidP="00177648">
            <w:pPr>
              <w:pStyle w:val="TableHeading"/>
              <w:spacing w:before="45" w:after="45"/>
              <w:ind w:right="108"/>
              <w:rPr>
                <w:rFonts w:ascii="Arial (Body)" w:hAnsi="Arial (Body)"/>
                <w:color w:val="265A9A"/>
              </w:rPr>
            </w:pPr>
            <w:r w:rsidRPr="00116BA5">
              <w:t>Interviewed in June quarter</w:t>
            </w:r>
          </w:p>
        </w:tc>
        <w:tc>
          <w:tcPr>
            <w:tcW w:w="2409" w:type="dxa"/>
            <w:tcBorders>
              <w:top w:val="nil"/>
              <w:bottom w:val="nil"/>
            </w:tcBorders>
            <w:shd w:val="clear" w:color="auto" w:fill="F2F2F2" w:themeFill="background1" w:themeFillShade="F2"/>
            <w:vAlign w:val="bottom"/>
          </w:tcPr>
          <w:p w14:paraId="6EF4CD63" w14:textId="77777777" w:rsidR="008E7FC3" w:rsidRPr="00D126B3" w:rsidRDefault="008E7FC3" w:rsidP="00177648">
            <w:pPr>
              <w:pStyle w:val="TableBody"/>
              <w:spacing w:before="45" w:after="45"/>
              <w:ind w:right="108"/>
              <w:jc w:val="right"/>
              <w:rPr>
                <w:rFonts w:ascii="Arial (Body)" w:hAnsi="Arial (Body)"/>
                <w:color w:val="000000"/>
              </w:rPr>
            </w:pPr>
            <w:r w:rsidRPr="000D081F">
              <w:t>130</w:t>
            </w:r>
          </w:p>
        </w:tc>
        <w:tc>
          <w:tcPr>
            <w:tcW w:w="2409" w:type="dxa"/>
            <w:tcBorders>
              <w:top w:val="nil"/>
              <w:bottom w:val="nil"/>
            </w:tcBorders>
            <w:shd w:val="clear" w:color="auto" w:fill="F2F2F2" w:themeFill="background1" w:themeFillShade="F2"/>
            <w:vAlign w:val="bottom"/>
          </w:tcPr>
          <w:p w14:paraId="40784A4C" w14:textId="77777777" w:rsidR="008E7FC3" w:rsidRPr="00D126B3" w:rsidRDefault="008E7FC3" w:rsidP="00177648">
            <w:pPr>
              <w:pStyle w:val="TableBody"/>
              <w:spacing w:before="45" w:after="45"/>
              <w:ind w:right="108"/>
              <w:jc w:val="right"/>
              <w:rPr>
                <w:rFonts w:ascii="Arial (Body)" w:hAnsi="Arial (Body)"/>
                <w:color w:val="000000"/>
              </w:rPr>
            </w:pPr>
            <w:r w:rsidRPr="000D081F">
              <w:t>675</w:t>
            </w:r>
          </w:p>
        </w:tc>
      </w:tr>
      <w:tr w:rsidR="008E7FC3" w:rsidRPr="00D126B3" w14:paraId="4C6585A2" w14:textId="77777777" w:rsidTr="00177648">
        <w:tc>
          <w:tcPr>
            <w:tcW w:w="4820" w:type="dxa"/>
            <w:tcBorders>
              <w:bottom w:val="single" w:sz="4" w:space="0" w:color="B3B3B3"/>
            </w:tcBorders>
            <w:shd w:val="clear" w:color="auto" w:fill="auto"/>
          </w:tcPr>
          <w:p w14:paraId="2EF7517C" w14:textId="77777777" w:rsidR="008E7FC3" w:rsidRPr="00116BA5" w:rsidRDefault="008E7FC3" w:rsidP="00177648">
            <w:pPr>
              <w:pStyle w:val="TableHeading"/>
              <w:spacing w:before="45" w:after="45"/>
              <w:ind w:right="108"/>
              <w:rPr>
                <w:rFonts w:ascii="Arial (Body)" w:hAnsi="Arial (Body)"/>
                <w:color w:val="265A9A"/>
              </w:rPr>
            </w:pPr>
            <w:r w:rsidRPr="00116BA5">
              <w:t>Total (included + excluded)</w:t>
            </w:r>
          </w:p>
        </w:tc>
        <w:tc>
          <w:tcPr>
            <w:tcW w:w="2409" w:type="dxa"/>
            <w:tcBorders>
              <w:bottom w:val="single" w:sz="4" w:space="0" w:color="B3B3B3"/>
            </w:tcBorders>
            <w:shd w:val="clear" w:color="auto" w:fill="auto"/>
            <w:vAlign w:val="bottom"/>
          </w:tcPr>
          <w:p w14:paraId="60FDD60A" w14:textId="77777777" w:rsidR="008E7FC3" w:rsidRPr="00D126B3" w:rsidRDefault="008E7FC3" w:rsidP="00177648">
            <w:pPr>
              <w:pStyle w:val="TableBody"/>
              <w:spacing w:before="45" w:after="45"/>
              <w:ind w:right="108"/>
              <w:jc w:val="right"/>
              <w:rPr>
                <w:rFonts w:ascii="Arial (Body)" w:hAnsi="Arial (Body)"/>
                <w:color w:val="000000"/>
              </w:rPr>
            </w:pPr>
            <w:r w:rsidRPr="000D081F">
              <w:t>674</w:t>
            </w:r>
          </w:p>
        </w:tc>
        <w:tc>
          <w:tcPr>
            <w:tcW w:w="2409" w:type="dxa"/>
            <w:tcBorders>
              <w:bottom w:val="single" w:sz="4" w:space="0" w:color="B3B3B3"/>
            </w:tcBorders>
            <w:shd w:val="clear" w:color="auto" w:fill="auto"/>
            <w:vAlign w:val="bottom"/>
          </w:tcPr>
          <w:p w14:paraId="05092F3A" w14:textId="77777777" w:rsidR="008E7FC3" w:rsidRPr="00D126B3" w:rsidRDefault="008E7FC3" w:rsidP="00177648">
            <w:pPr>
              <w:pStyle w:val="TableBody"/>
              <w:spacing w:before="45" w:after="45"/>
              <w:ind w:right="108"/>
              <w:jc w:val="right"/>
              <w:rPr>
                <w:rFonts w:ascii="Arial (Body)" w:hAnsi="Arial (Body)"/>
                <w:color w:val="000000"/>
              </w:rPr>
            </w:pPr>
            <w:r w:rsidRPr="000D081F">
              <w:t>2,788</w:t>
            </w:r>
          </w:p>
        </w:tc>
      </w:tr>
    </w:tbl>
    <w:p w14:paraId="6DC46F37" w14:textId="77777777" w:rsidR="008E7FC3" w:rsidRPr="00573A89" w:rsidRDefault="008E7FC3" w:rsidP="008E7FC3">
      <w:pPr>
        <w:pStyle w:val="Heading3"/>
        <w:rPr>
          <w:lang w:eastAsia="en-AU"/>
        </w:rPr>
      </w:pPr>
      <w:r w:rsidRPr="00573A89">
        <w:rPr>
          <w:lang w:eastAsia="en-AU"/>
        </w:rPr>
        <w:t>Tax deductions and negative private incomes</w:t>
      </w:r>
    </w:p>
    <w:p w14:paraId="23EB893E" w14:textId="77777777" w:rsidR="008E7FC3" w:rsidRDefault="008E7FC3" w:rsidP="008E7FC3">
      <w:pPr>
        <w:pStyle w:val="BodyText"/>
      </w:pPr>
      <w:r w:rsidRPr="0049499A">
        <w:t>In the current version of CAPITA-B</w:t>
      </w:r>
      <w:r>
        <w:t xml:space="preserve"> with ECEC</w:t>
      </w:r>
      <w:r w:rsidRPr="0049499A">
        <w:t>, tax deductions are assumed to be zero at all modelled choices</w:t>
      </w:r>
      <w:r w:rsidRPr="006B75F2">
        <w:t>. This is due to a compatibility issue with CAPITA’s tax deduction imputation that is anticipated to be resolved in future updates.</w:t>
      </w:r>
    </w:p>
    <w:p w14:paraId="1DFCD788" w14:textId="77777777" w:rsidR="008E7FC3" w:rsidRDefault="008E7FC3" w:rsidP="008E7FC3">
      <w:pPr>
        <w:pStyle w:val="Heading3"/>
      </w:pPr>
      <w:r w:rsidRPr="00696E78">
        <w:t xml:space="preserve">Uncertainty </w:t>
      </w:r>
      <w:r>
        <w:t>q</w:t>
      </w:r>
      <w:r w:rsidRPr="00696E78">
        <w:t xml:space="preserve">uantification and </w:t>
      </w:r>
      <w:r>
        <w:t>c</w:t>
      </w:r>
      <w:r w:rsidRPr="00696E78">
        <w:t xml:space="preserve">onfidence </w:t>
      </w:r>
      <w:r>
        <w:t>i</w:t>
      </w:r>
      <w:r w:rsidRPr="00696E78">
        <w:t>ntervals</w:t>
      </w:r>
    </w:p>
    <w:p w14:paraId="07E5453E" w14:textId="77777777" w:rsidR="008E7FC3" w:rsidRPr="00696E78" w:rsidRDefault="008E7FC3" w:rsidP="008E7FC3">
      <w:pPr>
        <w:pStyle w:val="BodyText"/>
      </w:pPr>
      <w:r>
        <w:t>The CAPITA-B with ECEC</w:t>
      </w:r>
      <w:r w:rsidRPr="00696E78">
        <w:t xml:space="preserve"> </w:t>
      </w:r>
      <w:r>
        <w:t xml:space="preserve">model </w:t>
      </w:r>
      <w:r w:rsidRPr="00696E78">
        <w:t xml:space="preserve">provides point estimates for </w:t>
      </w:r>
      <w:r>
        <w:t>labour supply and ECEC demand</w:t>
      </w:r>
      <w:r w:rsidRPr="00696E78">
        <w:t xml:space="preserve">. </w:t>
      </w:r>
      <w:r>
        <w:t xml:space="preserve">However, </w:t>
      </w:r>
      <w:r w:rsidRPr="00696E78">
        <w:t>the</w:t>
      </w:r>
      <w:r>
        <w:t xml:space="preserve"> wage and utility</w:t>
      </w:r>
      <w:r w:rsidRPr="00696E78">
        <w:t xml:space="preserve"> equation</w:t>
      </w:r>
      <w:r>
        <w:t xml:space="preserve"> inputs to the model </w:t>
      </w:r>
      <w:r w:rsidRPr="00696E78">
        <w:t>are estimated</w:t>
      </w:r>
      <w:r>
        <w:t xml:space="preserve"> with </w:t>
      </w:r>
      <w:r w:rsidRPr="00696E78">
        <w:t>uncertainty. Thus, the point estimate</w:t>
      </w:r>
      <w:r>
        <w:t>s</w:t>
      </w:r>
      <w:r w:rsidRPr="00696E78">
        <w:t xml:space="preserve"> ha</w:t>
      </w:r>
      <w:r>
        <w:t>ve</w:t>
      </w:r>
      <w:r w:rsidRPr="00696E78">
        <w:t xml:space="preserve"> an associated uncertainty, albeit uncalculated. Because of this, uncertainty quantification </w:t>
      </w:r>
      <w:r>
        <w:t xml:space="preserve">is applied </w:t>
      </w:r>
      <w:r w:rsidRPr="00696E78">
        <w:t xml:space="preserve">to the point estimates to generate confidence intervals and </w:t>
      </w:r>
      <w:r>
        <w:t xml:space="preserve">provide </w:t>
      </w:r>
      <w:r w:rsidRPr="00696E78">
        <w:t xml:space="preserve">a better idea of the variance in the results from the model. </w:t>
      </w:r>
      <w:r>
        <w:t xml:space="preserve">This is done </w:t>
      </w:r>
      <w:r w:rsidRPr="00696E78">
        <w:t>by taking random draws of the preference equations and seeing how estimates vary given those draws.</w:t>
      </w:r>
    </w:p>
    <w:p w14:paraId="019DFDEB" w14:textId="77777777" w:rsidR="008E7FC3" w:rsidRDefault="008E7FC3" w:rsidP="008E7FC3">
      <w:pPr>
        <w:pStyle w:val="BodyText"/>
      </w:pPr>
      <w:r w:rsidRPr="00696E78">
        <w:t xml:space="preserve">In order to quantify uncertainty in </w:t>
      </w:r>
      <w:r>
        <w:t>the</w:t>
      </w:r>
      <w:r w:rsidRPr="00696E78">
        <w:t xml:space="preserve"> coefficient estimates</w:t>
      </w:r>
      <w:r>
        <w:t>, estimates</w:t>
      </w:r>
      <w:r w:rsidRPr="00696E78">
        <w:t xml:space="preserve"> </w:t>
      </w:r>
      <w:r>
        <w:t xml:space="preserve">are </w:t>
      </w:r>
      <w:r w:rsidRPr="00696E78">
        <w:t>randomly draw</w:t>
      </w:r>
      <w:r>
        <w:t>n</w:t>
      </w:r>
      <w:r w:rsidRPr="00696E78">
        <w:t xml:space="preserve"> using the following method:</w:t>
      </w:r>
    </w:p>
    <w:p w14:paraId="2522E229" w14:textId="77777777" w:rsidR="008E7FC3" w:rsidRPr="00696E78" w:rsidRDefault="00000000" w:rsidP="008E7FC3">
      <w:pPr>
        <w:pStyle w:val="BodyText"/>
      </w:pPr>
      <m:oMathPara>
        <m:oMath>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μ</m:t>
              </m:r>
            </m:e>
          </m:acc>
          <m:r>
            <w:rPr>
              <w:rFonts w:ascii="Cambria Math" w:hAnsi="Cambria Math"/>
            </w:rPr>
            <m:t xml:space="preserve">+ </m:t>
          </m:r>
          <m:sSup>
            <m:sSupPr>
              <m:ctrlPr>
                <w:rPr>
                  <w:rFonts w:ascii="Cambria Math" w:hAnsi="Cambria Math"/>
                  <w:i/>
                </w:rPr>
              </m:ctrlPr>
            </m:sSupPr>
            <m:e>
              <m:r>
                <m:rPr>
                  <m:sty m:val="p"/>
                </m:rPr>
                <w:rPr>
                  <w:rFonts w:ascii="Cambria Math" w:hAnsi="Cambria Math"/>
                </w:rPr>
                <m:t>Ω</m:t>
              </m:r>
            </m:e>
            <m:sup>
              <m:r>
                <w:rPr>
                  <w:rFonts w:ascii="Cambria Math" w:hAnsi="Cambria Math"/>
                </w:rPr>
                <m:t>1/2</m:t>
              </m:r>
            </m:sup>
          </m:sSup>
          <m:acc>
            <m:accPr>
              <m:chr m:val="⃗"/>
              <m:ctrlPr>
                <w:rPr>
                  <w:rFonts w:ascii="Cambria Math" w:hAnsi="Cambria Math"/>
                  <w:i/>
                </w:rPr>
              </m:ctrlPr>
            </m:accPr>
            <m:e>
              <m:r>
                <w:rPr>
                  <w:rFonts w:ascii="Cambria Math" w:hAnsi="Cambria Math"/>
                </w:rPr>
                <m:t>η</m:t>
              </m:r>
            </m:e>
          </m:acc>
        </m:oMath>
      </m:oMathPara>
    </w:p>
    <w:p w14:paraId="464B04CE" w14:textId="77777777" w:rsidR="008E7FC3" w:rsidRDefault="008E7FC3" w:rsidP="008E7FC3">
      <w:pPr>
        <w:pStyle w:val="BodyText"/>
      </w:pPr>
      <w:r w:rsidRPr="00696E78">
        <w:t xml:space="preserve">where </w:t>
      </w:r>
      <m:oMath>
        <m:r>
          <w:rPr>
            <w:rFonts w:ascii="Cambria Math" w:hAnsi="Cambria Math"/>
          </w:rPr>
          <m:t>x</m:t>
        </m:r>
      </m:oMath>
      <w:r w:rsidRPr="00696E78">
        <w:t xml:space="preserve"> is an n-element vector from the multivariate normal distribution NM(</w:t>
      </w:r>
      <m:oMath>
        <m:r>
          <w:rPr>
            <w:rFonts w:ascii="Cambria Math" w:hAnsi="Cambria Math"/>
          </w:rPr>
          <m:t xml:space="preserve">μ, </m:t>
        </m:r>
        <m:r>
          <m:rPr>
            <m:sty m:val="p"/>
          </m:rPr>
          <w:rPr>
            <w:rFonts w:ascii="Cambria Math" w:hAnsi="Cambria Math"/>
          </w:rPr>
          <m:t>Ω</m:t>
        </m:r>
      </m:oMath>
      <w:r w:rsidRPr="00696E78">
        <w:t>)</w:t>
      </w:r>
      <w:r>
        <w:t>, that is,</w:t>
      </w:r>
      <w:r w:rsidRPr="00696E78">
        <w:t xml:space="preserve"> the randomised preference equation with n variables,</w:t>
      </w:r>
      <m:oMath>
        <m:r>
          <w:rPr>
            <w:rFonts w:ascii="Cambria Math" w:hAnsi="Cambria Math"/>
          </w:rPr>
          <m:t xml:space="preserve"> </m:t>
        </m:r>
        <m:acc>
          <m:accPr>
            <m:chr m:val="⃗"/>
            <m:ctrlPr>
              <w:rPr>
                <w:rFonts w:ascii="Cambria Math" w:hAnsi="Cambria Math"/>
                <w:i/>
              </w:rPr>
            </m:ctrlPr>
          </m:accPr>
          <m:e>
            <m:r>
              <w:rPr>
                <w:rFonts w:ascii="Cambria Math" w:hAnsi="Cambria Math"/>
              </w:rPr>
              <m:t>μ</m:t>
            </m:r>
          </m:e>
        </m:acc>
      </m:oMath>
      <w:r w:rsidRPr="00696E78">
        <w:t xml:space="preserve"> is the point estimate of the regressions, </w:t>
      </w:r>
      <m:oMath>
        <m:acc>
          <m:accPr>
            <m:chr m:val="⃗"/>
            <m:ctrlPr>
              <w:rPr>
                <w:rFonts w:ascii="Cambria Math" w:hAnsi="Cambria Math"/>
                <w:i/>
              </w:rPr>
            </m:ctrlPr>
          </m:accPr>
          <m:e>
            <m:r>
              <w:rPr>
                <w:rFonts w:ascii="Cambria Math" w:hAnsi="Cambria Math"/>
              </w:rPr>
              <m:t>η</m:t>
            </m:r>
          </m:e>
        </m:acc>
      </m:oMath>
      <w:r w:rsidRPr="00696E78">
        <w:t xml:space="preserve"> which consists of n draws form the standard normal distribution and </w:t>
      </w:r>
      <m:oMath>
        <m:r>
          <m:rPr>
            <m:sty m:val="p"/>
          </m:rPr>
          <w:rPr>
            <w:rFonts w:ascii="Cambria Math" w:hAnsi="Cambria Math"/>
          </w:rPr>
          <m:t>Ω</m:t>
        </m:r>
      </m:oMath>
      <w:r w:rsidRPr="00696E78">
        <w:t xml:space="preserve"> is the variance-covariance matrix.</w:t>
      </w:r>
    </w:p>
    <w:p w14:paraId="470423DF" w14:textId="77777777" w:rsidR="008E7FC3" w:rsidRDefault="008E7FC3" w:rsidP="008E7FC3">
      <w:pPr>
        <w:pStyle w:val="BodyText"/>
      </w:pPr>
      <w:r>
        <w:lastRenderedPageBreak/>
        <w:t>O</w:t>
      </w:r>
      <w:r w:rsidRPr="00696E78">
        <w:t xml:space="preserve">verall uncertainty within the model </w:t>
      </w:r>
      <w:r>
        <w:t xml:space="preserve">can be quantified through </w:t>
      </w:r>
      <w:r w:rsidRPr="00696E78">
        <w:t xml:space="preserve">a standard bootstrapping approach. As </w:t>
      </w:r>
      <w:r>
        <w:t xml:space="preserve">the model is </w:t>
      </w:r>
      <w:r w:rsidRPr="00696E78">
        <w:t>run iteratively, each time using freshly drawn parameters</w:t>
      </w:r>
      <w:r>
        <w:t>,</w:t>
      </w:r>
      <w:r w:rsidRPr="00696E78">
        <w:t xml:space="preserve"> the estimates </w:t>
      </w:r>
      <w:r>
        <w:t xml:space="preserve">will </w:t>
      </w:r>
      <w:r w:rsidRPr="00696E78">
        <w:t xml:space="preserve">begin to distribute themselves around </w:t>
      </w:r>
      <w:r>
        <w:t>the</w:t>
      </w:r>
      <w:r w:rsidRPr="00696E78">
        <w:t xml:space="preserve"> point estimate. By running this process n times and removing the top and bottom 2.5% of ranked estimates, </w:t>
      </w:r>
      <w:r>
        <w:t>the</w:t>
      </w:r>
      <w:r w:rsidRPr="00696E78">
        <w:t xml:space="preserve"> 95% confidence interval </w:t>
      </w:r>
      <w:r>
        <w:t xml:space="preserve">will be generated </w:t>
      </w:r>
      <w:r w:rsidRPr="00696E78">
        <w:t xml:space="preserve">for </w:t>
      </w:r>
      <w:r>
        <w:t xml:space="preserve">each </w:t>
      </w:r>
      <w:r w:rsidRPr="00696E78">
        <w:t>point estimate.</w:t>
      </w:r>
    </w:p>
    <w:p w14:paraId="04E0F9AF" w14:textId="77777777" w:rsidR="008E7FC3" w:rsidRPr="0049499A" w:rsidRDefault="008E7FC3" w:rsidP="008E7FC3">
      <w:pPr>
        <w:pStyle w:val="Heading3"/>
      </w:pPr>
      <w:r>
        <w:t>Contributions of past research to the model</w:t>
      </w:r>
    </w:p>
    <w:p w14:paraId="45D74F9E" w14:textId="77777777" w:rsidR="008E7FC3" w:rsidRDefault="008E7FC3" w:rsidP="008E7FC3">
      <w:pPr>
        <w:pStyle w:val="BodyText"/>
      </w:pPr>
      <w:r>
        <w:t xml:space="preserve">Many past research papers have contributed to the development of CAPITA-B (and hence CAPITA-B with ECEC), including to inform the </w:t>
      </w:r>
      <w:r w:rsidRPr="0063613D">
        <w:t>model</w:t>
      </w:r>
      <w:r>
        <w:t>s’</w:t>
      </w:r>
      <w:r w:rsidRPr="0063613D">
        <w:t xml:space="preserve"> labour supply framework, calibration and fixed costs of working.</w:t>
      </w:r>
      <w:r>
        <w:t xml:space="preserve"> This section acknowledges the following papers and authors for their contributions to CAPITA-B.</w:t>
      </w:r>
    </w:p>
    <w:p w14:paraId="70163E35" w14:textId="77777777" w:rsidR="008E7FC3" w:rsidRDefault="008E7FC3" w:rsidP="008E7FC3">
      <w:pPr>
        <w:pStyle w:val="ListBullet"/>
        <w:numPr>
          <w:ilvl w:val="0"/>
          <w:numId w:val="15"/>
        </w:numPr>
      </w:pPr>
      <w:r>
        <w:t xml:space="preserve">Australian Government Treasury </w:t>
      </w:r>
      <w:r w:rsidRPr="00404396">
        <w:rPr>
          <w:rFonts w:ascii="Arial" w:hAnsi="Arial" w:cs="Arial"/>
        </w:rPr>
        <w:t>(2015)</w:t>
      </w:r>
    </w:p>
    <w:p w14:paraId="205D60FB" w14:textId="77777777" w:rsidR="008E7FC3" w:rsidRDefault="008E7FC3" w:rsidP="008E7FC3">
      <w:pPr>
        <w:pStyle w:val="ListBullet"/>
        <w:numPr>
          <w:ilvl w:val="0"/>
          <w:numId w:val="15"/>
        </w:numPr>
      </w:pPr>
      <w:r>
        <w:t xml:space="preserve">Bourguignon, Fournier and Gurgand </w:t>
      </w:r>
      <w:r w:rsidRPr="001F1DFD">
        <w:rPr>
          <w:rFonts w:ascii="Arial" w:hAnsi="Arial" w:cs="Arial"/>
        </w:rPr>
        <w:t>(1998)</w:t>
      </w:r>
    </w:p>
    <w:p w14:paraId="395E3C0D" w14:textId="77777777" w:rsidR="008E7FC3" w:rsidRDefault="008E7FC3" w:rsidP="008E7FC3">
      <w:pPr>
        <w:pStyle w:val="ListBullet"/>
        <w:numPr>
          <w:ilvl w:val="0"/>
          <w:numId w:val="15"/>
        </w:numPr>
      </w:pPr>
      <w:r>
        <w:t xml:space="preserve">Creedy et al. </w:t>
      </w:r>
      <w:r w:rsidRPr="00280A03">
        <w:rPr>
          <w:rFonts w:ascii="Arial" w:hAnsi="Arial" w:cs="Arial"/>
        </w:rPr>
        <w:t>(2000, 2002)</w:t>
      </w:r>
    </w:p>
    <w:p w14:paraId="6F328168" w14:textId="77777777" w:rsidR="008E7FC3" w:rsidRDefault="008E7FC3" w:rsidP="008E7FC3">
      <w:pPr>
        <w:pStyle w:val="ListBullet"/>
        <w:numPr>
          <w:ilvl w:val="0"/>
          <w:numId w:val="15"/>
        </w:numPr>
      </w:pPr>
      <w:r>
        <w:t xml:space="preserve">Heckman </w:t>
      </w:r>
      <w:r w:rsidRPr="00520807">
        <w:rPr>
          <w:rFonts w:ascii="Arial" w:hAnsi="Arial" w:cs="Arial"/>
        </w:rPr>
        <w:t>(1979)</w:t>
      </w:r>
    </w:p>
    <w:p w14:paraId="7F9B65F1" w14:textId="77777777" w:rsidR="008E7FC3" w:rsidRDefault="008E7FC3" w:rsidP="008E7FC3">
      <w:pPr>
        <w:pStyle w:val="ListBullet"/>
        <w:numPr>
          <w:ilvl w:val="0"/>
          <w:numId w:val="15"/>
        </w:numPr>
      </w:pPr>
      <w:r>
        <w:t xml:space="preserve">Kalb </w:t>
      </w:r>
      <w:r w:rsidRPr="00B839A2">
        <w:rPr>
          <w:rFonts w:ascii="Arial" w:hAnsi="Arial" w:cs="Arial"/>
        </w:rPr>
        <w:t>(2000, 2002)</w:t>
      </w:r>
    </w:p>
    <w:p w14:paraId="07A2D5CD" w14:textId="77777777" w:rsidR="008E7FC3" w:rsidRDefault="008E7FC3" w:rsidP="008E7FC3">
      <w:pPr>
        <w:pStyle w:val="ListBullet"/>
        <w:numPr>
          <w:ilvl w:val="0"/>
          <w:numId w:val="15"/>
        </w:numPr>
      </w:pPr>
      <w:r>
        <w:t xml:space="preserve">Kalb and Scutella </w:t>
      </w:r>
      <w:r w:rsidRPr="00C72F20">
        <w:rPr>
          <w:rFonts w:ascii="Arial" w:hAnsi="Arial" w:cs="Arial"/>
        </w:rPr>
        <w:t>(2002)</w:t>
      </w:r>
    </w:p>
    <w:p w14:paraId="0CF0C7B5" w14:textId="77777777" w:rsidR="008E7FC3" w:rsidRDefault="008E7FC3" w:rsidP="008E7FC3">
      <w:pPr>
        <w:pStyle w:val="ListBullet"/>
        <w:numPr>
          <w:ilvl w:val="0"/>
          <w:numId w:val="15"/>
        </w:numPr>
      </w:pPr>
      <w:r>
        <w:t xml:space="preserve">Kalb and Lee </w:t>
      </w:r>
      <w:r w:rsidRPr="00892BBC">
        <w:rPr>
          <w:rFonts w:ascii="Arial" w:hAnsi="Arial" w:cs="Arial"/>
        </w:rPr>
        <w:t>(2007b, 2007a)</w:t>
      </w:r>
    </w:p>
    <w:p w14:paraId="0C2A2101" w14:textId="77777777" w:rsidR="008E7FC3" w:rsidRDefault="008E7FC3" w:rsidP="008E7FC3">
      <w:pPr>
        <w:pStyle w:val="ListBullet"/>
        <w:numPr>
          <w:ilvl w:val="0"/>
          <w:numId w:val="15"/>
        </w:numPr>
      </w:pPr>
      <w:r>
        <w:t xml:space="preserve">Mercante and Mok </w:t>
      </w:r>
      <w:r w:rsidRPr="004D1201">
        <w:rPr>
          <w:rFonts w:ascii="Arial" w:hAnsi="Arial" w:cs="Arial"/>
        </w:rPr>
        <w:t>(2014a, 2014b)</w:t>
      </w:r>
    </w:p>
    <w:p w14:paraId="4740EA52" w14:textId="77777777" w:rsidR="008E7FC3" w:rsidRDefault="008E7FC3" w:rsidP="008E7FC3">
      <w:pPr>
        <w:pStyle w:val="ListBullet"/>
        <w:numPr>
          <w:ilvl w:val="0"/>
          <w:numId w:val="15"/>
        </w:numPr>
      </w:pPr>
      <w:r>
        <w:t xml:space="preserve">van Soest </w:t>
      </w:r>
      <w:r w:rsidRPr="00ED7F79">
        <w:rPr>
          <w:rFonts w:ascii="Arial" w:hAnsi="Arial" w:cs="Arial"/>
        </w:rPr>
        <w:t>(1995)</w:t>
      </w:r>
      <w:r>
        <w:rPr>
          <w:rFonts w:ascii="Arial" w:hAnsi="Arial" w:cs="Arial"/>
        </w:rPr>
        <w:t>.</w:t>
      </w:r>
    </w:p>
    <w:p w14:paraId="206A2628" w14:textId="77777777" w:rsidR="008E7FC3" w:rsidRDefault="008E7FC3" w:rsidP="008E7FC3">
      <w:pPr>
        <w:pStyle w:val="BodyText"/>
      </w:pPr>
    </w:p>
    <w:p w14:paraId="23468242" w14:textId="77777777" w:rsidR="008E7FC3" w:rsidRPr="00573A89" w:rsidRDefault="008E7FC3" w:rsidP="008E7FC3">
      <w:pPr>
        <w:pStyle w:val="BodyText"/>
        <w:rPr>
          <w:rFonts w:ascii="Times New Roman" w:eastAsia="Times New Roman" w:hAnsi="Times New Roman" w:cs="Times New Roman"/>
          <w:color w:val="333333"/>
          <w:sz w:val="21"/>
          <w:szCs w:val="21"/>
          <w:lang w:eastAsia="en-AU"/>
        </w:rPr>
      </w:pPr>
      <w:r w:rsidRPr="00573A89">
        <w:rPr>
          <w:rFonts w:ascii="Times New Roman" w:hAnsi="Times New Roman" w:cs="Times New Roman"/>
          <w:color w:val="333333"/>
          <w:sz w:val="21"/>
          <w:szCs w:val="21"/>
        </w:rPr>
        <w:br w:type="page"/>
      </w:r>
    </w:p>
    <w:p w14:paraId="62FFDA84" w14:textId="77777777" w:rsidR="008E7FC3" w:rsidRDefault="008E7FC3" w:rsidP="008E7FC3">
      <w:pPr>
        <w:pStyle w:val="Heading2-nonumber"/>
      </w:pPr>
      <w:bookmarkStart w:id="53" w:name="_Toc172213603"/>
      <w:r>
        <w:lastRenderedPageBreak/>
        <w:t>References</w:t>
      </w:r>
      <w:bookmarkEnd w:id="53"/>
    </w:p>
    <w:p w14:paraId="0C6EF12B" w14:textId="77777777" w:rsidR="008E7FC3" w:rsidRDefault="008E7FC3" w:rsidP="008E7FC3">
      <w:pPr>
        <w:pStyle w:val="Reference"/>
        <w:rPr>
          <w:rFonts w:ascii="Arial" w:hAnsi="Arial"/>
        </w:rPr>
        <w:sectPr w:rsidR="008E7FC3" w:rsidSect="008E7FC3">
          <w:headerReference w:type="default" r:id="rId97"/>
          <w:footerReference w:type="even" r:id="rId98"/>
          <w:footerReference w:type="default" r:id="rId99"/>
          <w:headerReference w:type="first" r:id="rId100"/>
          <w:footnotePr>
            <w:numRestart w:val="eachSect"/>
          </w:footnotePr>
          <w:type w:val="oddPage"/>
          <w:pgSz w:w="11906" w:h="16838" w:code="9"/>
          <w:pgMar w:top="1134" w:right="1134" w:bottom="1134" w:left="1134" w:header="794" w:footer="510" w:gutter="0"/>
          <w:cols w:space="708"/>
          <w:docGrid w:linePitch="360"/>
        </w:sectPr>
      </w:pPr>
    </w:p>
    <w:p w14:paraId="1726B1BA" w14:textId="77777777" w:rsidR="008E7FC3" w:rsidRPr="005E6537" w:rsidRDefault="008E7FC3" w:rsidP="008E7FC3">
      <w:pPr>
        <w:pStyle w:val="Reference"/>
      </w:pPr>
      <w:r w:rsidRPr="005E6537">
        <w:t xml:space="preserve">ABS (Australian Bureau of Statistics) 2024, </w:t>
      </w:r>
      <w:r w:rsidRPr="005E6537">
        <w:rPr>
          <w:i/>
        </w:rPr>
        <w:t>Person linkage spine</w:t>
      </w:r>
      <w:r w:rsidRPr="005E6537">
        <w:t>, https://www.abs.gov.au/about/data-services/data-integration/person-linkage-spine (accessed 20 June 2024).</w:t>
      </w:r>
    </w:p>
    <w:p w14:paraId="427CDB67" w14:textId="77777777" w:rsidR="008E7FC3" w:rsidRPr="005E6537" w:rsidRDefault="008E7FC3" w:rsidP="008E7FC3">
      <w:pPr>
        <w:pStyle w:val="Reference"/>
      </w:pPr>
      <w:r w:rsidRPr="005E6537">
        <w:t xml:space="preserve">Apps, P Kabátek, J Rees, R and van Soest, A 2016, ‘Labor supply heterogeneity and demand for child care of mothers with young children’, Springer, </w:t>
      </w:r>
      <w:r w:rsidRPr="005E6537">
        <w:rPr>
          <w:i/>
        </w:rPr>
        <w:t>Empirical Economics</w:t>
      </w:r>
      <w:r w:rsidRPr="005E6537">
        <w:t>, vol. 51, no. 4, pp. 1641–1677.</w:t>
      </w:r>
    </w:p>
    <w:p w14:paraId="4AF9C60D" w14:textId="77777777" w:rsidR="008E7FC3" w:rsidRPr="005E6537" w:rsidRDefault="008E7FC3" w:rsidP="008E7FC3">
      <w:pPr>
        <w:pStyle w:val="Reference"/>
      </w:pPr>
      <w:r w:rsidRPr="005E6537">
        <w:t xml:space="preserve">Australian Bureau of Statistics 2015, </w:t>
      </w:r>
      <w:r w:rsidRPr="005E6537">
        <w:rPr>
          <w:i/>
        </w:rPr>
        <w:t>Underlying concepts - family, household and income unit variables</w:t>
      </w:r>
      <w:r w:rsidRPr="005E6537">
        <w:t>.</w:t>
      </w:r>
    </w:p>
    <w:p w14:paraId="6B2FAD13" w14:textId="77777777" w:rsidR="008E7FC3" w:rsidRDefault="008E7FC3" w:rsidP="008E7FC3">
      <w:pPr>
        <w:pStyle w:val="Reference"/>
      </w:pPr>
      <w:r w:rsidRPr="005E6537">
        <w:t xml:space="preserve">Australian Government Treasury 2015, </w:t>
      </w:r>
      <w:r w:rsidRPr="005E6537">
        <w:rPr>
          <w:i/>
        </w:rPr>
        <w:t>CAPITA user documentation</w:t>
      </w:r>
      <w:r w:rsidRPr="005E6537">
        <w:t>.</w:t>
      </w:r>
    </w:p>
    <w:p w14:paraId="1F0F8F44" w14:textId="77777777" w:rsidR="008E7FC3" w:rsidRPr="005E6537" w:rsidRDefault="008E7FC3" w:rsidP="008E7FC3">
      <w:pPr>
        <w:pStyle w:val="Reference"/>
      </w:pPr>
      <w:r w:rsidRPr="005203F4">
        <w:t>Bourguignon, F Fournier, M and Gurgand, M 1998, Distribution, development and education: Taiwan, 1979-1994.</w:t>
      </w:r>
    </w:p>
    <w:p w14:paraId="32F7E3C5" w14:textId="77777777" w:rsidR="008E7FC3" w:rsidRPr="005E6537" w:rsidRDefault="008E7FC3" w:rsidP="008E7FC3">
      <w:pPr>
        <w:pStyle w:val="Reference"/>
      </w:pPr>
      <w:r w:rsidRPr="005E6537">
        <w:t xml:space="preserve">Breunig, R and Mercante, J 2010, ‘The accuracy of predicted wages of the non-employed and implications for policy simulations from structural labour supply models’, </w:t>
      </w:r>
      <w:r w:rsidRPr="005E6537">
        <w:rPr>
          <w:i/>
        </w:rPr>
        <w:t>The Economic Record</w:t>
      </w:r>
      <w:r w:rsidRPr="005E6537">
        <w:t>, vol. 86, no. 272, pp. 49–70.</w:t>
      </w:r>
    </w:p>
    <w:p w14:paraId="6AE9BBA7" w14:textId="77777777" w:rsidR="008E7FC3" w:rsidRPr="005E6537" w:rsidRDefault="008E7FC3" w:rsidP="008E7FC3">
      <w:pPr>
        <w:pStyle w:val="Reference"/>
      </w:pPr>
      <w:r w:rsidRPr="005E6537">
        <w:t xml:space="preserve">Creedy, J Duncan, Harris, and Scutella, R 2000, ‘Wage functions for demographic groups in Australia’, </w:t>
      </w:r>
      <w:r w:rsidRPr="005E6537">
        <w:rPr>
          <w:i/>
        </w:rPr>
        <w:t>Australian Journal of Labour Economics</w:t>
      </w:r>
      <w:r w:rsidRPr="005E6537">
        <w:t>, vol. 4, no. 4, pp. 296–316.</w:t>
      </w:r>
    </w:p>
    <w:p w14:paraId="23D0F3A0" w14:textId="77777777" w:rsidR="008E7FC3" w:rsidRPr="005E6537" w:rsidRDefault="008E7FC3" w:rsidP="008E7FC3">
      <w:pPr>
        <w:pStyle w:val="Reference"/>
      </w:pPr>
      <w:r w:rsidRPr="005E6537">
        <w:t xml:space="preserve">——, ——, —— and —— 2002, </w:t>
      </w:r>
      <w:r w:rsidRPr="005E6537">
        <w:rPr>
          <w:i/>
        </w:rPr>
        <w:t>Microsimulation modelling of taxation and the labour market: the Melbourne Institute Tax and Transfer Simulator</w:t>
      </w:r>
      <w:r w:rsidRPr="005E6537">
        <w:t>, Edward Elgar, Cheltenham, United Kingdom.</w:t>
      </w:r>
    </w:p>
    <w:p w14:paraId="221F01A4" w14:textId="77777777" w:rsidR="008E7FC3" w:rsidRPr="005E6537" w:rsidRDefault="008E7FC3" w:rsidP="008E7FC3">
      <w:pPr>
        <w:pStyle w:val="Reference"/>
      </w:pPr>
      <w:r w:rsidRPr="005E6537">
        <w:t xml:space="preserve">Department of Education 2023, </w:t>
      </w:r>
      <w:r w:rsidRPr="005E6537">
        <w:rPr>
          <w:i/>
        </w:rPr>
        <w:t>Education Portfolio</w:t>
      </w:r>
      <w:r w:rsidRPr="005E6537">
        <w:t>, Portfolio Budget Statements 2023</w:t>
      </w:r>
      <w:r>
        <w:noBreakHyphen/>
      </w:r>
      <w:r w:rsidRPr="005E6537">
        <w:t>24, .</w:t>
      </w:r>
    </w:p>
    <w:p w14:paraId="1A8EB31E" w14:textId="77777777" w:rsidR="008E7FC3" w:rsidRPr="005E6537" w:rsidRDefault="008E7FC3" w:rsidP="008E7FC3">
      <w:pPr>
        <w:pStyle w:val="Reference"/>
      </w:pPr>
      <w:r w:rsidRPr="005E6537">
        <w:t xml:space="preserve">DEWR (Australian Government Department of Employment and Workplace Relations) 2017, </w:t>
      </w:r>
      <w:r w:rsidRPr="005E6537">
        <w:rPr>
          <w:i/>
        </w:rPr>
        <w:t>Technical guide to CAPITA-B</w:t>
      </w:r>
      <w:r w:rsidRPr="005E6537">
        <w:t>.</w:t>
      </w:r>
    </w:p>
    <w:p w14:paraId="6F7A44C3" w14:textId="77777777" w:rsidR="008E7FC3" w:rsidRPr="005E6537" w:rsidRDefault="008E7FC3" w:rsidP="008E7FC3">
      <w:pPr>
        <w:pStyle w:val="Reference"/>
      </w:pPr>
      <w:r w:rsidRPr="005E6537">
        <w:t xml:space="preserve">DoE (Australian Government Department of Education) 2024, </w:t>
      </w:r>
      <w:r w:rsidRPr="005E6537">
        <w:rPr>
          <w:i/>
        </w:rPr>
        <w:t>Child Care Subsidy December quarter 2023 data tables</w:t>
      </w:r>
      <w:r w:rsidRPr="005E6537">
        <w:t>, https://www.education.gov.au/early-childhood/early-childhood-data-and-reports/quarterly-reports-usage-services-fees-and-subsidies/child-care-subsidy-data-report-december-quarter-2023 (accessed 28 March 2024).</w:t>
      </w:r>
    </w:p>
    <w:p w14:paraId="40ACD5E4" w14:textId="77777777" w:rsidR="008E7FC3" w:rsidRPr="005E6537" w:rsidRDefault="008E7FC3" w:rsidP="008E7FC3">
      <w:pPr>
        <w:pStyle w:val="Reference"/>
      </w:pPr>
      <w:r>
        <w:t>Gong</w:t>
      </w:r>
      <w:r w:rsidRPr="005E6537">
        <w:t xml:space="preserve"> and Breunig, R 2012, </w:t>
      </w:r>
      <w:r w:rsidRPr="005E6537">
        <w:rPr>
          <w:i/>
        </w:rPr>
        <w:t>Estimating net child care price elasticities of partnered women with pre-school children using a discrete structural labour supply-child care model</w:t>
      </w:r>
      <w:r w:rsidRPr="005E6537">
        <w:t>, Working Paper 2012/01, Australian Government Treasury.</w:t>
      </w:r>
    </w:p>
    <w:p w14:paraId="419658C8" w14:textId="77777777" w:rsidR="008E7FC3" w:rsidRPr="005E6537" w:rsidRDefault="008E7FC3" w:rsidP="008E7FC3">
      <w:pPr>
        <w:pStyle w:val="Reference"/>
      </w:pPr>
      <w:r w:rsidRPr="005E6537">
        <w:t xml:space="preserve">—— and —— 2017, ‘Childcare assistance: are subsidies or tax credits better?’, </w:t>
      </w:r>
      <w:r w:rsidRPr="005E6537">
        <w:rPr>
          <w:i/>
        </w:rPr>
        <w:t>Fiscal Studies</w:t>
      </w:r>
      <w:r w:rsidRPr="005E6537">
        <w:t>, vol. 38, no. 1, pp. 7–48.</w:t>
      </w:r>
    </w:p>
    <w:p w14:paraId="3FD8B90A" w14:textId="77777777" w:rsidR="008E7FC3" w:rsidRDefault="008E7FC3" w:rsidP="008E7FC3">
      <w:pPr>
        <w:pStyle w:val="Reference"/>
      </w:pPr>
      <w:r w:rsidRPr="002243B6">
        <w:t>Heckman, J 1979, ‘Sample selection bias as a specification error’, Econometrica, vol. 47, no. 1, pp. 153-161.</w:t>
      </w:r>
    </w:p>
    <w:p w14:paraId="783F79F0" w14:textId="77777777" w:rsidR="008E7FC3" w:rsidRPr="005E6537" w:rsidRDefault="008E7FC3" w:rsidP="008E7FC3">
      <w:pPr>
        <w:pStyle w:val="Reference"/>
      </w:pPr>
      <w:r w:rsidRPr="005E6537">
        <w:t xml:space="preserve">Kalb, G 2000, </w:t>
      </w:r>
      <w:r w:rsidRPr="005E6537">
        <w:rPr>
          <w:i/>
        </w:rPr>
        <w:t>Labour supply and welfare participation in Australian two-adult households: accounting for involuntary unemployment and the ‘cost’ of part-time work</w:t>
      </w:r>
      <w:r w:rsidRPr="005E6537">
        <w:t>, Preliminary working paper BP 35, Centre of Policy Studies and the IMPACT Centre, Monash University.</w:t>
      </w:r>
    </w:p>
    <w:p w14:paraId="3635ED11" w14:textId="77777777" w:rsidR="008E7FC3" w:rsidRPr="005E6537" w:rsidRDefault="008E7FC3" w:rsidP="008E7FC3">
      <w:pPr>
        <w:pStyle w:val="Reference"/>
      </w:pPr>
      <w:r w:rsidRPr="005E6537">
        <w:t xml:space="preserve">—— 2002, </w:t>
      </w:r>
      <w:r w:rsidRPr="005E6537">
        <w:rPr>
          <w:i/>
        </w:rPr>
        <w:t>Estimation of labour supply models for four separate groups in the Australian population</w:t>
      </w:r>
      <w:r w:rsidRPr="005E6537">
        <w:t>, 24/02, The University of Melbourne, Melbourne, pp. 1–34.</w:t>
      </w:r>
    </w:p>
    <w:p w14:paraId="4DD468D6" w14:textId="77777777" w:rsidR="008E7FC3" w:rsidRPr="005E6537" w:rsidRDefault="008E7FC3" w:rsidP="008E7FC3">
      <w:pPr>
        <w:pStyle w:val="Reference"/>
      </w:pPr>
      <w:r w:rsidRPr="005E6537">
        <w:t xml:space="preserve">Kalb, G and Lee,  2007a, </w:t>
      </w:r>
      <w:r w:rsidRPr="005E6537">
        <w:rPr>
          <w:i/>
        </w:rPr>
        <w:t>Labour supply in the Australian population: using data from 1999 to 2004</w:t>
      </w:r>
      <w:r w:rsidRPr="005E6537">
        <w:t>, Melbourne Institute: Applied Economic and Social Research (unpublished).</w:t>
      </w:r>
    </w:p>
    <w:p w14:paraId="68C6B467" w14:textId="77777777" w:rsidR="008E7FC3" w:rsidRDefault="008E7FC3" w:rsidP="008E7FC3">
      <w:pPr>
        <w:pStyle w:val="Reference"/>
      </w:pPr>
      <w:r w:rsidRPr="005E6537">
        <w:t xml:space="preserve">—— and —— 2007b, </w:t>
      </w:r>
      <w:r w:rsidRPr="005E6537">
        <w:rPr>
          <w:i/>
        </w:rPr>
        <w:t>Wage and labour force participation in Australia: accounting for categorical observation on wages</w:t>
      </w:r>
      <w:r w:rsidRPr="005E6537">
        <w:t>, Melbourne Institute: Applied Economic and Social Research (unpublished).</w:t>
      </w:r>
    </w:p>
    <w:p w14:paraId="2A03CB61" w14:textId="77777777" w:rsidR="008E7FC3" w:rsidRPr="005E6537" w:rsidRDefault="008E7FC3" w:rsidP="008E7FC3">
      <w:pPr>
        <w:pStyle w:val="Reference"/>
      </w:pPr>
      <w:r w:rsidRPr="00F01D0F">
        <w:t>Kalb, G and Scutella, R 2002, Estimation of wage equations in Australia: allowing for censored observations of labour supply, working paper 8/02, Melbourne Institute: Applied Economic and Social Research.</w:t>
      </w:r>
    </w:p>
    <w:p w14:paraId="6E9E1AA8" w14:textId="77777777" w:rsidR="008E7FC3" w:rsidRPr="005E6537" w:rsidRDefault="008E7FC3" w:rsidP="008E7FC3">
      <w:pPr>
        <w:pStyle w:val="Reference"/>
      </w:pPr>
      <w:r w:rsidRPr="005E6537">
        <w:t xml:space="preserve">Mercante, J and Mok, P 2014a, </w:t>
      </w:r>
      <w:r w:rsidRPr="005E6537">
        <w:rPr>
          <w:i/>
        </w:rPr>
        <w:t>Estimation of labour supply in New Zealand</w:t>
      </w:r>
      <w:r w:rsidRPr="005E6537">
        <w:t>, working paper 14/08, New Zealand Government Treasury.</w:t>
      </w:r>
    </w:p>
    <w:p w14:paraId="427197BE" w14:textId="77777777" w:rsidR="008E7FC3" w:rsidRPr="005E6537" w:rsidRDefault="008E7FC3" w:rsidP="008E7FC3">
      <w:pPr>
        <w:pStyle w:val="Reference"/>
      </w:pPr>
      <w:r w:rsidRPr="005E6537">
        <w:t xml:space="preserve">—— and —— 2014b, </w:t>
      </w:r>
      <w:r w:rsidRPr="005E6537">
        <w:rPr>
          <w:i/>
        </w:rPr>
        <w:t>Estimation of wage equations for New Zealand</w:t>
      </w:r>
      <w:r w:rsidRPr="005E6537">
        <w:t>, working paper 14/09, New Zealand Government Treasury.</w:t>
      </w:r>
    </w:p>
    <w:p w14:paraId="1AD71F7B" w14:textId="77777777" w:rsidR="008E7FC3" w:rsidRPr="005E6537" w:rsidRDefault="008E7FC3" w:rsidP="008E7FC3">
      <w:pPr>
        <w:pStyle w:val="Reference"/>
      </w:pPr>
      <w:r w:rsidRPr="005E6537">
        <w:t>Mumford, K Parera</w:t>
      </w:r>
      <w:r w:rsidRPr="005E6537">
        <w:rPr>
          <w:rFonts w:ascii="Cambria Math" w:hAnsi="Cambria Math" w:cs="Cambria Math"/>
        </w:rPr>
        <w:t>‐</w:t>
      </w:r>
      <w:r w:rsidRPr="005E6537">
        <w:t>Nicolau, A and Pena</w:t>
      </w:r>
      <w:r w:rsidRPr="005E6537">
        <w:rPr>
          <w:rFonts w:ascii="Cambria Math" w:hAnsi="Cambria Math" w:cs="Cambria Math"/>
        </w:rPr>
        <w:t>‐</w:t>
      </w:r>
      <w:r w:rsidRPr="005E6537">
        <w:t xml:space="preserve">Boquete, Y 2020, </w:t>
      </w:r>
      <w:r w:rsidRPr="005E6537">
        <w:rPr>
          <w:rFonts w:ascii="Arial" w:hAnsi="Arial" w:cs="Arial"/>
        </w:rPr>
        <w:t>‘</w:t>
      </w:r>
      <w:r w:rsidRPr="005E6537">
        <w:t>Labour supply and childcare: allowing both parents to choose</w:t>
      </w:r>
      <w:r w:rsidRPr="005E6537">
        <w:rPr>
          <w:rFonts w:ascii="Arial" w:hAnsi="Arial" w:cs="Arial"/>
        </w:rPr>
        <w:t>’</w:t>
      </w:r>
      <w:r w:rsidRPr="005E6537">
        <w:t xml:space="preserve">, </w:t>
      </w:r>
      <w:r w:rsidRPr="005E6537">
        <w:rPr>
          <w:i/>
        </w:rPr>
        <w:t>Oxford Bulletin of Economics and Statistics</w:t>
      </w:r>
      <w:r w:rsidRPr="005E6537">
        <w:t>, vol. 82, no. 3, pp. 577–602.</w:t>
      </w:r>
    </w:p>
    <w:p w14:paraId="49DF61CA" w14:textId="77777777" w:rsidR="008E7FC3" w:rsidRDefault="008E7FC3" w:rsidP="008E7FC3">
      <w:pPr>
        <w:pStyle w:val="Reference"/>
      </w:pPr>
      <w:r w:rsidRPr="005E6537">
        <w:t xml:space="preserve">NSW PC (NSW Productivity Commission) 2022, </w:t>
      </w:r>
      <w:r w:rsidRPr="005E6537">
        <w:rPr>
          <w:i/>
        </w:rPr>
        <w:t>Early childcare costs and labour force participation</w:t>
      </w:r>
      <w:r w:rsidRPr="005E6537">
        <w:t>, Technical research paper, Sydney.</w:t>
      </w:r>
    </w:p>
    <w:p w14:paraId="19B74D64" w14:textId="77777777" w:rsidR="008E7FC3" w:rsidRPr="005E6537" w:rsidRDefault="008E7FC3" w:rsidP="008E7FC3">
      <w:pPr>
        <w:pStyle w:val="Reference"/>
      </w:pPr>
      <w:r w:rsidRPr="005E6537">
        <w:t>——</w:t>
      </w:r>
      <w:r w:rsidRPr="00152DB8">
        <w:t xml:space="preserve"> 2023, Childcare choices: what parents want.</w:t>
      </w:r>
    </w:p>
    <w:p w14:paraId="2820A1FD" w14:textId="77777777" w:rsidR="008E7FC3" w:rsidRPr="005E6537" w:rsidRDefault="008E7FC3" w:rsidP="008E7FC3">
      <w:pPr>
        <w:pStyle w:val="Reference"/>
      </w:pPr>
      <w:r w:rsidRPr="005E6537">
        <w:t xml:space="preserve">PC (Productivity Commission) 2014a, </w:t>
      </w:r>
      <w:r w:rsidRPr="005E6537">
        <w:rPr>
          <w:i/>
        </w:rPr>
        <w:t>Childcare and Early Childhood Learning</w:t>
      </w:r>
      <w:r w:rsidRPr="005E6537">
        <w:t>, Inquiry Report, 31 October, 73, Productivity Commission, Canberra.</w:t>
      </w:r>
    </w:p>
    <w:p w14:paraId="06F32448" w14:textId="77777777" w:rsidR="008E7FC3" w:rsidRDefault="008E7FC3" w:rsidP="008E7FC3">
      <w:pPr>
        <w:pStyle w:val="Reference"/>
      </w:pPr>
      <w:r w:rsidRPr="005E6537">
        <w:t xml:space="preserve">—— 2014b, </w:t>
      </w:r>
      <w:r w:rsidRPr="005E6537">
        <w:rPr>
          <w:i/>
        </w:rPr>
        <w:t>Modelling the effects of childcare policy changes</w:t>
      </w:r>
      <w:r w:rsidRPr="005E6537">
        <w:t>, Childcare and Early Childhood Learning: Technical Supplement to the Final Report, Canberra.</w:t>
      </w:r>
    </w:p>
    <w:p w14:paraId="38C38891" w14:textId="77777777" w:rsidR="008E7FC3" w:rsidRPr="005E6537" w:rsidRDefault="008E7FC3" w:rsidP="008E7FC3">
      <w:pPr>
        <w:pStyle w:val="Reference"/>
      </w:pPr>
      <w:r w:rsidRPr="00E24DDF">
        <w:t>Van Soest, A 1995 ‘Structural models of family labour supply: a discrete choice approach’, The Journal of Human Resources, vol. 30, no. 1, pp. 63 88.</w:t>
      </w:r>
    </w:p>
    <w:p w14:paraId="405AF52C" w14:textId="77777777" w:rsidR="008E7FC3" w:rsidRDefault="008E7FC3" w:rsidP="008E7FC3">
      <w:pPr>
        <w:pStyle w:val="Reference"/>
        <w:sectPr w:rsidR="008E7FC3" w:rsidSect="008E7FC3">
          <w:type w:val="continuous"/>
          <w:pgSz w:w="11906" w:h="16838" w:code="9"/>
          <w:pgMar w:top="1134" w:right="1134" w:bottom="1134" w:left="1134" w:header="794" w:footer="510" w:gutter="0"/>
          <w:cols w:num="2" w:space="708"/>
          <w:docGrid w:linePitch="360"/>
        </w:sectPr>
      </w:pPr>
    </w:p>
    <w:p w14:paraId="7C7C724C" w14:textId="77777777" w:rsidR="008E7FC3" w:rsidRPr="00A8269E" w:rsidRDefault="008E7FC3" w:rsidP="008E7FC3"/>
    <w:p w14:paraId="60DE1422" w14:textId="77777777" w:rsidR="00C744D0" w:rsidRDefault="00C744D0" w:rsidP="008E7FC3">
      <w:pPr>
        <w:pStyle w:val="BodyText"/>
        <w:sectPr w:rsidR="00C744D0" w:rsidSect="008E7FC3">
          <w:type w:val="continuous"/>
          <w:pgSz w:w="11906" w:h="16838" w:code="9"/>
          <w:pgMar w:top="1134" w:right="1134" w:bottom="1134" w:left="1134" w:header="794" w:footer="510" w:gutter="0"/>
          <w:cols w:space="708"/>
          <w:docGrid w:linePitch="360"/>
        </w:sectPr>
      </w:pPr>
    </w:p>
    <w:p w14:paraId="5F5C62CD" w14:textId="77777777" w:rsidR="00396052" w:rsidRPr="00684640" w:rsidRDefault="00396052" w:rsidP="00396052">
      <w:pPr>
        <w:pStyle w:val="Heading1"/>
        <w:numPr>
          <w:ilvl w:val="0"/>
          <w:numId w:val="31"/>
        </w:numPr>
        <w:ind w:left="833" w:hanging="360"/>
      </w:pPr>
      <w:bookmarkStart w:id="54" w:name="_Toc172213604"/>
      <w:r w:rsidRPr="00684640">
        <w:lastRenderedPageBreak/>
        <w:t>Children’s outcomes literature</w:t>
      </w:r>
      <w:bookmarkEnd w:id="54"/>
    </w:p>
    <w:p w14:paraId="76473F7E" w14:textId="77777777" w:rsidR="00396052" w:rsidRPr="00684640" w:rsidRDefault="00396052" w:rsidP="00396052">
      <w:pPr>
        <w:pStyle w:val="BodyText"/>
      </w:pPr>
      <w:r w:rsidRPr="00684640">
        <w:t>This appendix describes the academic papers reviewed in the process of preparing supporting paper 1 – Children’s outcomes that used quasi</w:t>
      </w:r>
      <w:r>
        <w:noBreakHyphen/>
      </w:r>
      <w:r w:rsidRPr="00684640">
        <w:t>experimental techniques to estimate the effects of early childhood education and care (ECEC) programs on children’s outcomes. It describes methodological issues with the interpretation of empirical research then includes tables covering each study’s methodology, population, treatment and findings.</w:t>
      </w:r>
    </w:p>
    <w:p w14:paraId="265BA9A1" w14:textId="77777777" w:rsidR="00396052" w:rsidRPr="00684640" w:rsidRDefault="00396052" w:rsidP="00396052">
      <w:pPr>
        <w:pStyle w:val="BodyText"/>
      </w:pPr>
      <w:r w:rsidRPr="00684640">
        <w:t>In addition to the papers listed in this appendix, paper 1 also includes studies that looked at the effect of particular characteristics of ECEC programs rather than their overall effect (covered in more detail in section</w:t>
      </w:r>
      <w:r>
        <w:t> </w:t>
      </w:r>
      <w:r w:rsidRPr="00684640">
        <w:t>1.3 of paper 1), and some that used methodologies other than quasi</w:t>
      </w:r>
      <w:r w:rsidRPr="00684640">
        <w:noBreakHyphen/>
        <w:t>experimental techniques (which may generally be less credible or less relevant to Australia).</w:t>
      </w:r>
    </w:p>
    <w:p w14:paraId="25874BD9" w14:textId="77777777" w:rsidR="00396052" w:rsidRPr="00684640" w:rsidRDefault="00396052" w:rsidP="00396052">
      <w:pPr>
        <w:pStyle w:val="Heading2"/>
        <w:numPr>
          <w:ilvl w:val="0"/>
          <w:numId w:val="0"/>
        </w:numPr>
        <w:ind w:left="851" w:hanging="851"/>
      </w:pPr>
      <w:bookmarkStart w:id="55" w:name="_Toc172213605"/>
      <w:r w:rsidRPr="00684640">
        <w:t>H.1</w:t>
      </w:r>
      <w:r w:rsidRPr="00684640">
        <w:tab/>
        <w:t>Background</w:t>
      </w:r>
      <w:bookmarkEnd w:id="55"/>
    </w:p>
    <w:p w14:paraId="52758CD0" w14:textId="77777777" w:rsidR="00396052" w:rsidRPr="00684640" w:rsidRDefault="00396052" w:rsidP="00396052">
      <w:pPr>
        <w:pStyle w:val="Heading3"/>
      </w:pPr>
      <w:r w:rsidRPr="00684640">
        <w:t>Methodological issues</w:t>
      </w:r>
    </w:p>
    <w:p w14:paraId="02A7DE42" w14:textId="77777777" w:rsidR="00396052" w:rsidRPr="00684640" w:rsidRDefault="00396052" w:rsidP="00396052">
      <w:pPr>
        <w:pStyle w:val="BodyText"/>
      </w:pPr>
      <w:r w:rsidRPr="00684640">
        <w:t>In ascertaining the extent to which any empirical research finding is applicable to a policy question, there are two main factors:</w:t>
      </w:r>
    </w:p>
    <w:p w14:paraId="7D064385" w14:textId="77777777" w:rsidR="00396052" w:rsidRPr="00684640" w:rsidRDefault="00396052" w:rsidP="00396052">
      <w:pPr>
        <w:pStyle w:val="ListBullet"/>
        <w:numPr>
          <w:ilvl w:val="0"/>
          <w:numId w:val="15"/>
        </w:numPr>
      </w:pPr>
      <w:r w:rsidRPr="00684640">
        <w:t>establishing that the statistical relationship identified in the study accurately reflects the effect the intervention had on its cohort (internal validity)</w:t>
      </w:r>
    </w:p>
    <w:p w14:paraId="74593256" w14:textId="77777777" w:rsidR="00396052" w:rsidRPr="00684640" w:rsidRDefault="00396052" w:rsidP="00396052">
      <w:pPr>
        <w:pStyle w:val="ListBullet"/>
        <w:numPr>
          <w:ilvl w:val="0"/>
          <w:numId w:val="15"/>
        </w:numPr>
      </w:pPr>
      <w:r w:rsidRPr="00684640">
        <w:t>for the particular policy question, gauging the relevance of the intervention, the cohort affected by it and the broader context (external validity).</w:t>
      </w:r>
    </w:p>
    <w:p w14:paraId="1CED091A" w14:textId="77777777" w:rsidR="00396052" w:rsidRPr="00684640" w:rsidRDefault="00396052" w:rsidP="00396052">
      <w:pPr>
        <w:pStyle w:val="Heading4"/>
      </w:pPr>
      <w:r w:rsidRPr="00684640">
        <w:t>Internal validity</w:t>
      </w:r>
    </w:p>
    <w:p w14:paraId="4C82E7A9" w14:textId="77777777" w:rsidR="00396052" w:rsidRPr="00684640" w:rsidRDefault="00396052" w:rsidP="00396052">
      <w:pPr>
        <w:pStyle w:val="BodyText"/>
      </w:pPr>
      <w:r w:rsidRPr="00684640">
        <w:t>The outcomes of the children who attended an ECEC program may differ from the outcomes of those who did not. This may partly be due to the effect of the program itself, and partly due to the reasons why only one of these groups of children attended ECEC. The method a study uses to analyse its data needs to be able to separate the former from the latter.</w:t>
      </w:r>
    </w:p>
    <w:p w14:paraId="54FE2798" w14:textId="77777777" w:rsidR="00396052" w:rsidRPr="00684640" w:rsidRDefault="00396052" w:rsidP="00396052">
      <w:pPr>
        <w:pStyle w:val="BodyText"/>
      </w:pPr>
      <w:r w:rsidRPr="00684640">
        <w:t>By far the most common approach used in the literature is to control for some covariates in a regression model (most commonly using an ordinary least squares (OLS) approach) – estimating the relationship between ECEC participation and children’s outcomes that, conditional on these covariates, best fits the data. For example, if parental education increases attendance at ECEC, but also independently improves children’s outcomes, the estimated effect of ECEC in a simple comparison of children who do and do not attend will be upwardly statistically biased – an overestimate, on average. But including information about parental education in the regression model can sometimes account for this, meaning the estimated effect can be similar to comparing children whose parents have the same level of education.</w:t>
      </w:r>
    </w:p>
    <w:p w14:paraId="3541CCF5" w14:textId="77777777" w:rsidR="00396052" w:rsidRPr="00FB2FF0" w:rsidRDefault="00396052" w:rsidP="00396052">
      <w:pPr>
        <w:pStyle w:val="BodyText"/>
        <w:rPr>
          <w:spacing w:val="-2"/>
        </w:rPr>
      </w:pPr>
      <w:r w:rsidRPr="00FB2FF0">
        <w:rPr>
          <w:spacing w:val="-2"/>
        </w:rPr>
        <w:lastRenderedPageBreak/>
        <w:t>However, this observational approach can only succeed in generating unbiased estimates if all relevant variables are included in the model.</w:t>
      </w:r>
      <w:r w:rsidRPr="00FB2FF0">
        <w:rPr>
          <w:rStyle w:val="FootnoteReference"/>
          <w:spacing w:val="-2"/>
        </w:rPr>
        <w:footnoteReference w:id="67"/>
      </w:r>
      <w:r w:rsidRPr="00FB2FF0">
        <w:rPr>
          <w:spacing w:val="-2"/>
        </w:rPr>
        <w:t xml:space="preserve"> At least in the context of ECEC, this seems unlikely to ever be the case. For example, parents who place a higher value on their children’s education and are more willing to invest in it would be more likely to enrol their children into ECEC. They may also spend more time reading to their children or be more involved in their child’s homework while at school. An observational approach would then be unable to disentangle the effect of the child’s ECEC attendance from the </w:t>
      </w:r>
      <w:r w:rsidRPr="00FB2FF0">
        <w:rPr>
          <w:i/>
          <w:iCs/>
          <w:spacing w:val="-2"/>
        </w:rPr>
        <w:t>reason</w:t>
      </w:r>
      <w:r w:rsidRPr="00FB2FF0">
        <w:rPr>
          <w:spacing w:val="-2"/>
        </w:rPr>
        <w:t xml:space="preserve"> for the child’s ECEC attendance.</w:t>
      </w:r>
    </w:p>
    <w:p w14:paraId="3860AB92" w14:textId="77777777" w:rsidR="00396052" w:rsidRPr="00684640" w:rsidRDefault="00396052" w:rsidP="00396052">
      <w:pPr>
        <w:pStyle w:val="BodyText"/>
      </w:pPr>
      <w:r w:rsidRPr="00684640">
        <w:t xml:space="preserve">Any factor that is not captured (or is imperfectly captured) in the regression and that relates to both ECEC attendance and children’s outcomes will cause some degree of statistical bias. While this bias may not always be material, some empirical evidence suggests this is very often the case </w:t>
      </w:r>
      <w:r w:rsidRPr="00684640">
        <w:rPr>
          <w:rFonts w:ascii="Arial" w:hAnsi="Arial" w:cs="Arial"/>
        </w:rPr>
        <w:t>(Duncan et al. 2004; Oster 2019)</w:t>
      </w:r>
      <w:r w:rsidRPr="00684640">
        <w:t>.</w:t>
      </w:r>
    </w:p>
    <w:p w14:paraId="6FA2CE56" w14:textId="77777777" w:rsidR="00396052" w:rsidRPr="00684640" w:rsidRDefault="00396052" w:rsidP="00396052">
      <w:pPr>
        <w:pStyle w:val="BodyText"/>
      </w:pPr>
      <w:r w:rsidRPr="00684640">
        <w:t xml:space="preserve">Further, the results produced by this approach are usually interpreted as the average effect for the children in the sample but, even if all confounding factors are perfectly captured, this will still be incorrect. The groups of children who did and did not receive the intervention will be weighted differently, depending on their relative size </w:t>
      </w:r>
      <w:r w:rsidRPr="00684640">
        <w:rPr>
          <w:rFonts w:ascii="Arial" w:hAnsi="Arial" w:cs="Arial"/>
        </w:rPr>
        <w:t>(Słoczyński 2022)</w:t>
      </w:r>
      <w:r w:rsidRPr="00684640">
        <w:t>. For example, if most children in the sample attended ECEC, the estimated effect would mostly consist of the effect for the children who did not attend ECEC. If the group of children who did not attend ECEC were on average less socio</w:t>
      </w:r>
      <w:r>
        <w:noBreakHyphen/>
      </w:r>
      <w:r w:rsidRPr="00684640">
        <w:t>economically advantaged, and this meant they would have been affected differently by ECEC, the estimated effect would not be a good indication of the average effect of ECEC across the sample. This issue was not known until recently and is poorly recognised.</w:t>
      </w:r>
    </w:p>
    <w:p w14:paraId="53D2B253" w14:textId="77777777" w:rsidR="00396052" w:rsidRPr="00684640" w:rsidRDefault="00396052" w:rsidP="00396052">
      <w:pPr>
        <w:pStyle w:val="BodyText"/>
      </w:pPr>
      <w:r w:rsidRPr="00684640">
        <w:t>The simplest way to overcome these issues to randomly assign the intervention, as this will lead on average to treatment and control groups that are comparable in all other respects (although only on average, and there still can be important differences in smaller samples). But for many reasons, these randomised control trials (RCTs) are rare and typically consider contexts that are too specific to provide much indication of the effect that mainstream ECEC services are likely to have in Australia.</w:t>
      </w:r>
    </w:p>
    <w:p w14:paraId="5510085F" w14:textId="77777777" w:rsidR="00396052" w:rsidRPr="00684640" w:rsidRDefault="00396052" w:rsidP="00396052">
      <w:pPr>
        <w:pStyle w:val="BodyText"/>
      </w:pPr>
      <w:r w:rsidRPr="00684640">
        <w:t>‘Quasi</w:t>
      </w:r>
      <w:r>
        <w:noBreakHyphen/>
      </w:r>
      <w:r w:rsidRPr="00684640">
        <w:t>experimental’ techniques aim to isolate the variation in treatment that is as good as random, and to use only this variation, rather than variation that is related to unobserved factors and could independently affect outcomes. When all the assumptions of these techniques are met, results can be just as credible as those produced by an RCT. Very often, however, these assumptions may not be fully met, and their validity often cannot be tested directly. Nonetheless, these techniques often allow for the credible examination of interventions that are usually more policy</w:t>
      </w:r>
      <w:r>
        <w:noBreakHyphen/>
      </w:r>
      <w:r w:rsidRPr="00684640">
        <w:t>relevant than those studied by RCTs, and allow for examination of a broad array of outcomes, at a large scale, in the long term.</w:t>
      </w:r>
    </w:p>
    <w:p w14:paraId="631E05C4" w14:textId="77777777" w:rsidR="00396052" w:rsidRPr="00684640" w:rsidRDefault="00396052" w:rsidP="00396052">
      <w:pPr>
        <w:pStyle w:val="BodyText"/>
      </w:pPr>
      <w:r w:rsidRPr="00684640">
        <w:t>Most of the studies included in this appendix use some variant of three common quasi</w:t>
      </w:r>
      <w:r>
        <w:noBreakHyphen/>
      </w:r>
      <w:r w:rsidRPr="00684640">
        <w:t>experimental techniques.</w:t>
      </w:r>
    </w:p>
    <w:p w14:paraId="11D02791" w14:textId="77777777" w:rsidR="00396052" w:rsidRPr="00684640" w:rsidRDefault="00396052" w:rsidP="00396052">
      <w:pPr>
        <w:pStyle w:val="Heading5"/>
      </w:pPr>
      <w:r w:rsidRPr="00684640">
        <w:t>Difference</w:t>
      </w:r>
      <w:r>
        <w:t>-</w:t>
      </w:r>
      <w:r w:rsidRPr="00684640">
        <w:t>in</w:t>
      </w:r>
      <w:r>
        <w:t>-</w:t>
      </w:r>
      <w:r w:rsidRPr="00684640">
        <w:t>differences analysis (DiD)</w:t>
      </w:r>
    </w:p>
    <w:p w14:paraId="798AA6B6" w14:textId="77777777" w:rsidR="00396052" w:rsidRPr="00684640" w:rsidRDefault="00396052" w:rsidP="00396052">
      <w:pPr>
        <w:pStyle w:val="BodyText"/>
      </w:pPr>
      <w:r w:rsidRPr="00684640">
        <w:t xml:space="preserve">This method uses a control group that did not receive an intervention and a treatment group that did, with effects identified by how the difference in outcomes between these two groups changes after the treatment group received the intervention. This allows for there to be differences between these two groups, as long as these differences do not change before and after the intervention, for reasons other than the intervention. For example, when there are two neighbouring states, and only one makes a reform to ECEC policy, DiD </w:t>
      </w:r>
      <w:r w:rsidRPr="00684640">
        <w:lastRenderedPageBreak/>
        <w:t>would compare the difference in children’s outcomes in the reforming state and the control state</w:t>
      </w:r>
      <w:r w:rsidRPr="00684640">
        <w:rPr>
          <w:rStyle w:val="FootnoteReference"/>
        </w:rPr>
        <w:footnoteReference w:id="68"/>
      </w:r>
      <w:r w:rsidRPr="00684640">
        <w:t xml:space="preserve"> before and after the intervention. If the reforming state was performing better before the intervention, but the gap increased (or was performing worse before the intervention, but the gap narrowed), this would be taken as evidence that the reform improved outcomes.</w:t>
      </w:r>
    </w:p>
    <w:p w14:paraId="572A876E" w14:textId="77777777" w:rsidR="00396052" w:rsidRPr="00684640" w:rsidRDefault="00396052" w:rsidP="00396052">
      <w:pPr>
        <w:pStyle w:val="BodyText"/>
      </w:pPr>
      <w:r w:rsidRPr="00684640">
        <w:t>This requires the assumption that, had the intervention had not taken place, the difference in outcomes between these groups would have remained the same. This cannot be directly tested, as we cannot observe the world in which the intervention did not take place. But there are ways to gain more confidence that this assumption holds.</w:t>
      </w:r>
    </w:p>
    <w:p w14:paraId="159A75C8" w14:textId="77777777" w:rsidR="00396052" w:rsidRPr="00684640" w:rsidRDefault="00396052" w:rsidP="00396052">
      <w:pPr>
        <w:pStyle w:val="BodyText"/>
      </w:pPr>
      <w:r w:rsidRPr="00684640">
        <w:t>If outcomes were moving in parallel in treatment and control groups prior to the intervention, it is more plausible that they would have continued moving in parallel after the intervention, had it not taken place. If data is available on outcomes before the intervention, this can be directly tested, and most of these studies conduct such tests.</w:t>
      </w:r>
      <w:r w:rsidRPr="00684640" w:rsidDel="00B52D2A">
        <w:rPr>
          <w:rStyle w:val="FootnoteReference"/>
        </w:rPr>
        <w:t xml:space="preserve"> </w:t>
      </w:r>
    </w:p>
    <w:p w14:paraId="61A545EE" w14:textId="77777777" w:rsidR="00396052" w:rsidRPr="00684640" w:rsidRDefault="00396052" w:rsidP="00396052">
      <w:pPr>
        <w:pStyle w:val="BodyText"/>
      </w:pPr>
      <w:r w:rsidRPr="00684640">
        <w:t>Even if outcomes were moving in parallel before the intervention, this does not prove they would have continued to be move in parallel after the intervention, as another change besides the reform could also have occurred. For example, the gap in test scores between two neighbouring states could have been identical in every year before one state expanded access to ECEC. But if it did so as part of a package of reforms that also affected school quality or the testing process, DiD would not isolate the effect of ECEC. Studies typically attempt to show that there were no other policy changes or shocks during their time period that would have affected outcomes.</w:t>
      </w:r>
    </w:p>
    <w:p w14:paraId="1C78B838" w14:textId="77777777" w:rsidR="00396052" w:rsidRPr="00684640" w:rsidRDefault="00396052" w:rsidP="00396052">
      <w:pPr>
        <w:pStyle w:val="BodyText"/>
      </w:pPr>
      <w:r w:rsidRPr="00684640">
        <w:t>‘Placebo tests’ determine if an approach is estimated to affect an outcome that it should not have affected. For example, attending preschool at age four cannot affect the likelihood that same child had an unhealthily low weight when they are born. But if treatment and control groups had different characteristics</w:t>
      </w:r>
      <w:r>
        <w:t>,</w:t>
      </w:r>
      <w:r w:rsidRPr="00684640">
        <w:t>, a DiD analysis may falsely suggest that it did. Placebo tests can provide an indication of whether confounding factors have not been adequately accounted for.</w:t>
      </w:r>
    </w:p>
    <w:p w14:paraId="5E400061" w14:textId="77777777" w:rsidR="00396052" w:rsidRPr="00684640" w:rsidRDefault="00396052" w:rsidP="00396052">
      <w:pPr>
        <w:pStyle w:val="BodyText"/>
      </w:pPr>
      <w:r w:rsidRPr="00684640">
        <w:t>DiD will identify effects for the group affected by the change, which may not be representative of effects for all children. Typically, intent</w:t>
      </w:r>
      <w:r>
        <w:noBreakHyphen/>
      </w:r>
      <w:r w:rsidRPr="00684640">
        <w:t>to</w:t>
      </w:r>
      <w:r>
        <w:noBreakHyphen/>
      </w:r>
      <w:r w:rsidRPr="00684640">
        <w:t>treat (ITT) effects will be identified, such as the effect of being in a jurisdiction that expands access to ECEC, and not the effect of attending ECEC. An expansion of access may increase the ECEC attendance rate by ten percentage points, but the identified effect will relate to average outcomes across all children regardless of ECEC attendance. Individual effects could be approximated by multiplying this ITT effect by ten, but this will not be accurate if ‘spillovers’ took place, where effects on children who received the intervention also affected children who did not, for example if those children were later in the same classroom and ECEC led to them to contribute to a collaborative learning environment.</w:t>
      </w:r>
    </w:p>
    <w:p w14:paraId="585B6061" w14:textId="77777777" w:rsidR="00396052" w:rsidRPr="00684640" w:rsidRDefault="00396052" w:rsidP="00396052">
      <w:pPr>
        <w:pStyle w:val="BodyText"/>
      </w:pPr>
      <w:r w:rsidRPr="00684640">
        <w:t>In the classical DiD setting, there is a time period before the reform and after, and a treatment and control group. Reality is often more complex. There may be many different groups, for example, regions within a country, with treatment occurring at different times and/or not being binary (for example, if the measure of treatment is the increase in the number of services per child in each state, not just whether the child was in the state in which a particular reform occurred). Common methods of implementing DiD in these settings require additional assumptions.</w:t>
      </w:r>
    </w:p>
    <w:p w14:paraId="448D4C98" w14:textId="77777777" w:rsidR="00396052" w:rsidRPr="00684640" w:rsidRDefault="00396052" w:rsidP="00396052">
      <w:pPr>
        <w:pStyle w:val="BodyText"/>
      </w:pPr>
      <w:r w:rsidRPr="00684640">
        <w:t xml:space="preserve">Where groups are treated at different times or to different extents, not all will be weighted equally in estimating the effect of the intervention, and some may be weighted negatively – that is, a more positive </w:t>
      </w:r>
      <w:r w:rsidRPr="00684640">
        <w:lastRenderedPageBreak/>
        <w:t xml:space="preserve">effect for one group would reduce the overall estimated effect. At the extreme, an intervention could have positive effects for all groups but be estimated to have a negative effect </w:t>
      </w:r>
      <w:r w:rsidRPr="00684640">
        <w:rPr>
          <w:rFonts w:ascii="Arial" w:hAnsi="Arial" w:cs="Arial"/>
        </w:rPr>
        <w:t>(de Chaisemartin and D’Haultfœuille 2023)</w:t>
      </w:r>
      <w:r w:rsidRPr="00684640">
        <w:t>. This will not be an issue if treatment effects are the same across groups and times, but this is unlikely to be the case.</w:t>
      </w:r>
    </w:p>
    <w:p w14:paraId="7BC03782" w14:textId="77777777" w:rsidR="00396052" w:rsidRPr="00684640" w:rsidRDefault="00396052" w:rsidP="00396052">
      <w:pPr>
        <w:pStyle w:val="BodyText"/>
      </w:pPr>
      <w:r w:rsidRPr="00684640">
        <w:t xml:space="preserve">Techniques that can account for this issue have now been developed </w:t>
      </w:r>
      <w:r w:rsidRPr="00684640">
        <w:rPr>
          <w:rFonts w:ascii="Arial" w:hAnsi="Arial" w:cs="Arial"/>
        </w:rPr>
        <w:t>(for example, Borusyak et al. 2024; Callaway and Sant’Anna 2021; Sun and Abraham 2021)</w:t>
      </w:r>
      <w:r w:rsidRPr="00684640">
        <w:t xml:space="preserve">. But some papers on ECEC were written before these issues were well recognised and used DiD techniques in settings where this concern is relevant. There has not been a systematic attempt to assess the robustness of these papers against this issue. However, a reanalysis of 38 political science papers found that using a robust technique sometimes led to meaningful shifts in estimated magnitudes or produced statistically insignificant results, but did not produce substantively different findings </w:t>
      </w:r>
      <w:r w:rsidRPr="00684640">
        <w:rPr>
          <w:rFonts w:ascii="Arial" w:hAnsi="Arial" w:cs="Arial"/>
        </w:rPr>
        <w:t>(Chiu et al. 2023)</w:t>
      </w:r>
      <w:r w:rsidRPr="00684640">
        <w:t xml:space="preserve">. And some recent papers on ECEC using DiD show that their results are robust to this concern </w:t>
      </w:r>
      <w:r w:rsidRPr="00684640">
        <w:rPr>
          <w:rFonts w:ascii="Arial" w:hAnsi="Arial" w:cs="Arial"/>
        </w:rPr>
        <w:t>(Anders et al. 2023; Bailey et al. 2021; Bosque-Mercader 2022; DeMalach and Schlosser 2024; Gruber et al. 2023)</w:t>
      </w:r>
      <w:r w:rsidRPr="00684640">
        <w:t>.</w:t>
      </w:r>
    </w:p>
    <w:p w14:paraId="181E83B2" w14:textId="77777777" w:rsidR="00396052" w:rsidRPr="00684640" w:rsidRDefault="00396052" w:rsidP="00396052">
      <w:pPr>
        <w:pStyle w:val="Heading5"/>
      </w:pPr>
      <w:r w:rsidRPr="00684640">
        <w:t>Instrumental variables (IV) analysis</w:t>
      </w:r>
    </w:p>
    <w:p w14:paraId="65AEF4BD" w14:textId="77777777" w:rsidR="00396052" w:rsidRPr="00684640" w:rsidRDefault="00396052" w:rsidP="00396052">
      <w:pPr>
        <w:pStyle w:val="BodyText"/>
      </w:pPr>
      <w:r w:rsidRPr="00684640">
        <w:t>Another method to solve the problem of children attending ECEC for reasons that independently affect their outcomes is to use a variable (an ‘instrument’) that affects ECEC attendance but is as good as random, and only consider how the variation in attendance that comes from this variable affects children’s outcomes. For example, when a service is oversubscribed and determines which children can attend through a lottery, an IV would identify the effects of attendance using only the variation in attendance that stems from families randomly winning this lottery.</w:t>
      </w:r>
    </w:p>
    <w:p w14:paraId="03EFF5E4" w14:textId="77777777" w:rsidR="00396052" w:rsidRPr="00684640" w:rsidRDefault="00396052" w:rsidP="00396052">
      <w:pPr>
        <w:pStyle w:val="BodyText"/>
      </w:pPr>
      <w:r w:rsidRPr="00684640">
        <w:t>This technique requires some strong assumptions. The instrument:</w:t>
      </w:r>
    </w:p>
    <w:p w14:paraId="27B8EFA4" w14:textId="77777777" w:rsidR="00396052" w:rsidRPr="00684640" w:rsidRDefault="00396052" w:rsidP="00396052">
      <w:pPr>
        <w:pStyle w:val="ListBullet"/>
        <w:numPr>
          <w:ilvl w:val="0"/>
          <w:numId w:val="15"/>
        </w:numPr>
      </w:pPr>
      <w:r w:rsidRPr="00684640">
        <w:t>must have a sufficiently large effect on the likelihood of attending ECEC. This can easily be tested, and almost always is by studies using this technique</w:t>
      </w:r>
      <w:r w:rsidRPr="00684640">
        <w:rPr>
          <w:rStyle w:val="FootnoteReference"/>
        </w:rPr>
        <w:footnoteReference w:id="69"/>
      </w:r>
    </w:p>
    <w:p w14:paraId="7CCE28D0" w14:textId="77777777" w:rsidR="00396052" w:rsidRPr="00684640" w:rsidRDefault="00396052" w:rsidP="00396052">
      <w:pPr>
        <w:pStyle w:val="ListBullet"/>
        <w:numPr>
          <w:ilvl w:val="0"/>
          <w:numId w:val="15"/>
        </w:numPr>
      </w:pPr>
      <w:r w:rsidRPr="00684640">
        <w:t>must be as good as randomly assigned – that is, not correlated with any factor that relates to the outcome variable</w:t>
      </w:r>
    </w:p>
    <w:p w14:paraId="0C00A349" w14:textId="77777777" w:rsidR="00396052" w:rsidRPr="00684640" w:rsidRDefault="00396052" w:rsidP="00396052">
      <w:pPr>
        <w:pStyle w:val="ListBullet"/>
        <w:numPr>
          <w:ilvl w:val="0"/>
          <w:numId w:val="15"/>
        </w:numPr>
      </w:pPr>
      <w:r w:rsidRPr="00684640">
        <w:t>must only be able to affect the outcome through ECEC attendance</w:t>
      </w:r>
    </w:p>
    <w:p w14:paraId="0F84D468" w14:textId="77777777" w:rsidR="00396052" w:rsidRPr="00684640" w:rsidRDefault="00396052" w:rsidP="00396052">
      <w:pPr>
        <w:pStyle w:val="ListBullet"/>
        <w:numPr>
          <w:ilvl w:val="0"/>
          <w:numId w:val="15"/>
        </w:numPr>
      </w:pPr>
      <w:r w:rsidRPr="00684640">
        <w:t>must only be able to increase and not decrease the likelihood of ECEC attendance.</w:t>
      </w:r>
      <w:r w:rsidRPr="00684640">
        <w:rPr>
          <w:rStyle w:val="FootnoteReference"/>
        </w:rPr>
        <w:footnoteReference w:id="70"/>
      </w:r>
    </w:p>
    <w:p w14:paraId="75D545B0" w14:textId="77777777" w:rsidR="00396052" w:rsidRPr="00684640" w:rsidRDefault="00396052" w:rsidP="00396052">
      <w:pPr>
        <w:pStyle w:val="BodyText"/>
      </w:pPr>
      <w:r w:rsidRPr="00684640">
        <w:t>Most of these are ‘maintained assumptions’ that cannot be directly tested. Studies using IV methods typically look for signs in their data or details about institutional settings that indicate these assumptions are more likely to hold.</w:t>
      </w:r>
    </w:p>
    <w:p w14:paraId="11DF5BB7" w14:textId="77777777" w:rsidR="00396052" w:rsidRPr="00684640" w:rsidRDefault="00396052" w:rsidP="00396052">
      <w:pPr>
        <w:pStyle w:val="BodyText"/>
      </w:pPr>
      <w:r w:rsidRPr="00684640">
        <w:t>In the simplest case, under these assumptions an IV approach would identify the local average treatment effect of the intervention, or its average effect for the ‘compliers’ – those who only attended due to the instrument. Depending on the exact instrument, this group may comprise those on the margins of attending ECEC – not representative of all children, but potentially more relevant when considering the likely effects of an expansion of ECEC.</w:t>
      </w:r>
    </w:p>
    <w:p w14:paraId="40CE28D0" w14:textId="77777777" w:rsidR="00396052" w:rsidRPr="00684640" w:rsidRDefault="00396052" w:rsidP="00396052">
      <w:pPr>
        <w:pStyle w:val="BodyText"/>
      </w:pPr>
      <w:r w:rsidRPr="00684640">
        <w:t xml:space="preserve">But, similarly to DiD, the way many IVs are implemented in practice will not identify a local average treatment effect, which was not known until relatively recently. If the instrument is only as good as randomly assigned when controlling for covariates, the usual implementation of an IV produces estimates that are affected by negatively weighted estimates for at least </w:t>
      </w:r>
      <w:r>
        <w:t>some of those in</w:t>
      </w:r>
      <w:r w:rsidRPr="00684640">
        <w:t xml:space="preserve"> the sample that were not</w:t>
      </w:r>
      <w:r>
        <w:noBreakHyphen/>
      </w:r>
      <w:r w:rsidRPr="00684640">
        <w:t>compliers leading to harder</w:t>
      </w:r>
      <w:r>
        <w:noBreakHyphen/>
      </w:r>
      <w:r w:rsidRPr="00684640">
        <w:t>to</w:t>
      </w:r>
      <w:r>
        <w:noBreakHyphen/>
      </w:r>
      <w:r w:rsidRPr="00684640">
        <w:t xml:space="preserve">interpret and less useful results </w:t>
      </w:r>
      <w:r w:rsidRPr="00684640">
        <w:rPr>
          <w:rFonts w:ascii="Arial" w:hAnsi="Arial" w:cs="Arial"/>
        </w:rPr>
        <w:t>(Blandhol et al. 2022; Słoczyński 2021)</w:t>
      </w:r>
      <w:r w:rsidRPr="00684640">
        <w:t xml:space="preserve">. It is unclear how much this issue matters in practice for ECEC studies. It may not be relevant for those that use a lottery as an </w:t>
      </w:r>
      <w:r w:rsidRPr="00684640">
        <w:lastRenderedPageBreak/>
        <w:t xml:space="preserve">instrument, one of which showed that its technique could still estimate a local average treatment effect </w:t>
      </w:r>
      <w:r w:rsidRPr="00684640">
        <w:rPr>
          <w:rFonts w:ascii="Arial" w:hAnsi="Arial" w:cs="Arial"/>
        </w:rPr>
        <w:t>(Gray-Lobe et al. 2023)</w:t>
      </w:r>
      <w:r w:rsidRPr="00684640">
        <w:t>. Some studies also report ‘reduced</w:t>
      </w:r>
      <w:r>
        <w:noBreakHyphen/>
      </w:r>
      <w:r w:rsidRPr="00684640">
        <w:t>form’ estimates of the direct effect of the instrument, which may not be affected by this issue.</w:t>
      </w:r>
    </w:p>
    <w:p w14:paraId="40008948" w14:textId="77777777" w:rsidR="00396052" w:rsidRPr="00684640" w:rsidRDefault="00396052" w:rsidP="00396052">
      <w:pPr>
        <w:pStyle w:val="Heading5"/>
      </w:pPr>
      <w:r w:rsidRPr="00684640">
        <w:t>Regression discontinuity (RD) design</w:t>
      </w:r>
    </w:p>
    <w:p w14:paraId="6F9F6133" w14:textId="77777777" w:rsidR="00396052" w:rsidRPr="00684640" w:rsidRDefault="00396052" w:rsidP="00396052">
      <w:pPr>
        <w:pStyle w:val="BodyText"/>
      </w:pPr>
      <w:r w:rsidRPr="00684640">
        <w:t>This approach exploits cutoffs created by policy design, where those just above and below some threshold have a different likelihood of receiving the intervention. For example, children may be eligible for a preschool program if they were born on 1 July, but not if they were born on 30 June. Children born on these two dates may (on average) be identical in every way, except for their likelihood of attending ECEC.</w:t>
      </w:r>
      <w:r w:rsidRPr="00684640">
        <w:rPr>
          <w:rStyle w:val="FootnoteReference"/>
        </w:rPr>
        <w:footnoteReference w:id="71"/>
      </w:r>
    </w:p>
    <w:p w14:paraId="5060DDC2" w14:textId="77777777" w:rsidR="00396052" w:rsidRPr="00684640" w:rsidRDefault="00396052" w:rsidP="00396052">
      <w:pPr>
        <w:pStyle w:val="BodyText"/>
      </w:pPr>
      <w:r w:rsidRPr="00684640">
        <w:t>This requires the assumption that the variable for the cutoff is not subject to ‘manipulation’, in this case either timing births to be on one side of the cutoff, or misreporting the age of the child in order to gain access to the program. This can easily be tested, which most papers do. It must also be assumed that crossing the threshold only affects outcomes through ECEC and not in other relevant ways, for example affecting when children start school (unless this is otherwise accounted for).</w:t>
      </w:r>
    </w:p>
    <w:p w14:paraId="2F283B9C" w14:textId="77777777" w:rsidR="00396052" w:rsidRPr="004943CC" w:rsidRDefault="00396052" w:rsidP="00396052">
      <w:pPr>
        <w:pStyle w:val="BodyText"/>
        <w:rPr>
          <w:spacing w:val="-2"/>
        </w:rPr>
      </w:pPr>
      <w:r w:rsidRPr="004943CC">
        <w:rPr>
          <w:spacing w:val="-2"/>
        </w:rPr>
        <w:t>Regression discontinuity design is generally applied as a form of IV</w:t>
      </w:r>
      <w:r w:rsidRPr="004943CC">
        <w:rPr>
          <w:rStyle w:val="FootnoteReference"/>
          <w:spacing w:val="-2"/>
        </w:rPr>
        <w:footnoteReference w:id="72"/>
      </w:r>
      <w:r w:rsidRPr="004943CC">
        <w:rPr>
          <w:spacing w:val="-2"/>
        </w:rPr>
        <w:t>, and so will also only estimate effects for compliers. For age eligibility cutoff RDs, this will mean that results are specific to children around a certain age.</w:t>
      </w:r>
    </w:p>
    <w:p w14:paraId="3583AB3C" w14:textId="77777777" w:rsidR="00396052" w:rsidRPr="00684640" w:rsidRDefault="00396052" w:rsidP="00396052">
      <w:pPr>
        <w:pStyle w:val="Heading5"/>
      </w:pPr>
      <w:r w:rsidRPr="00684640">
        <w:t>Other techniques</w:t>
      </w:r>
    </w:p>
    <w:p w14:paraId="174CF54A" w14:textId="77777777" w:rsidR="00396052" w:rsidRPr="00684640" w:rsidRDefault="00396052" w:rsidP="00396052">
      <w:pPr>
        <w:pStyle w:val="BodyText"/>
      </w:pPr>
      <w:r w:rsidRPr="00684640">
        <w:t>A sibling control approach compares siblings who do or do not attend ECEC. This will account for differences in family background, but has to assume that the difference in ECEC attendance between the siblings did not arise for any relevant reason, for example if families perceived one child as having a greater need for support from ECEC. It can also only identify effects for a small number of families that may not be representative (for example, this technique is unable to identify effects for only children).</w:t>
      </w:r>
    </w:p>
    <w:p w14:paraId="7E6ADF36" w14:textId="77777777" w:rsidR="00396052" w:rsidRPr="00684640" w:rsidRDefault="00396052" w:rsidP="00396052">
      <w:pPr>
        <w:pStyle w:val="BodyText"/>
      </w:pPr>
      <w:r w:rsidRPr="00684640">
        <w:t>Propensity score matching is sometimes considered to be a quasi</w:t>
      </w:r>
      <w:r>
        <w:noBreakHyphen/>
      </w:r>
      <w:r w:rsidRPr="00684640">
        <w:t>experimental technique. This approach attempts to identify children who seem, based on observed characteristics, to have the same likelihood of attending ECEC, but only some of them do so. Then, the outcomes of children in the first group are compared to their matched equivalent in the second group. This differs to regression</w:t>
      </w:r>
      <w:r>
        <w:noBreakHyphen/>
      </w:r>
      <w:r w:rsidRPr="00684640">
        <w:t>based approaches in that it directly compares matched children, rather than considering outcomes for all children in the sample and seeing how they differ after adjusting for observed characteristics. It may in some circumstances be preferable to a regression</w:t>
      </w:r>
      <w:r>
        <w:noBreakHyphen/>
      </w:r>
      <w:r w:rsidRPr="00684640">
        <w:t>based approach. But it does not address the fundamental issue that, if any unobserved factor is related to both treatment and outcomes, children who seem similar based on observed factors would still be different in ways that may have independently affected their outcomes.</w:t>
      </w:r>
    </w:p>
    <w:p w14:paraId="650217D2" w14:textId="77777777" w:rsidR="00396052" w:rsidRPr="00684640" w:rsidRDefault="00396052" w:rsidP="00396052">
      <w:pPr>
        <w:pStyle w:val="Heading4"/>
      </w:pPr>
      <w:r w:rsidRPr="00684640">
        <w:t>External validity</w:t>
      </w:r>
    </w:p>
    <w:p w14:paraId="1C58C136" w14:textId="77777777" w:rsidR="00396052" w:rsidRPr="00684640" w:rsidRDefault="00396052" w:rsidP="00396052">
      <w:pPr>
        <w:pStyle w:val="BodyText"/>
      </w:pPr>
      <w:r w:rsidRPr="00684640">
        <w:t>As well as being credible in its own context, a finding also needs to be relevant for the context of the policy question to which it is applied. There are many ways in which these contexts may differ.</w:t>
      </w:r>
    </w:p>
    <w:p w14:paraId="13F8FA01" w14:textId="77777777" w:rsidR="00396052" w:rsidRPr="00684640" w:rsidRDefault="00396052" w:rsidP="00396052">
      <w:pPr>
        <w:pStyle w:val="ListBullet"/>
        <w:numPr>
          <w:ilvl w:val="0"/>
          <w:numId w:val="15"/>
        </w:numPr>
      </w:pPr>
      <w:r w:rsidRPr="00684640">
        <w:t>ECEC programs can have a broad range of characteristics, with varying service types, attendance patterns (time attended per day, days attended per week, weeks attended per year), staffing practices (qualifications, educator</w:t>
      </w:r>
      <w:r>
        <w:noBreakHyphen/>
      </w:r>
      <w:r w:rsidRPr="00684640">
        <w:t>to</w:t>
      </w:r>
      <w:r>
        <w:noBreakHyphen/>
      </w:r>
      <w:r w:rsidRPr="00684640">
        <w:t>child ratios, training and professional development), ownership structures and regulatory systems.</w:t>
      </w:r>
    </w:p>
    <w:p w14:paraId="519BB37B" w14:textId="77777777" w:rsidR="00396052" w:rsidRPr="00684640" w:rsidRDefault="00396052" w:rsidP="00396052">
      <w:pPr>
        <w:pStyle w:val="ListBullet"/>
        <w:numPr>
          <w:ilvl w:val="0"/>
          <w:numId w:val="15"/>
        </w:numPr>
      </w:pPr>
      <w:r w:rsidRPr="00684640">
        <w:lastRenderedPageBreak/>
        <w:t>The effects of any intervention can only be estimated against a counterfactual. For example, had they not attended a preschool program, children may have received parental care, informal care, family day care (FDC) or centre</w:t>
      </w:r>
      <w:r>
        <w:noBreakHyphen/>
      </w:r>
      <w:r w:rsidRPr="00684640">
        <w:t>based day care (CBDC). This will differ by context, and also affect whether parental income increases due to ECEC use – another potential mechanism for effects on children’s outcomes. The quality of the counterfactual may also differ – parental care may have different effects depending on parental education or income levels, for example.</w:t>
      </w:r>
    </w:p>
    <w:p w14:paraId="5D415B96" w14:textId="77777777" w:rsidR="00396052" w:rsidRPr="00684640" w:rsidRDefault="00396052" w:rsidP="00396052">
      <w:pPr>
        <w:pStyle w:val="ListBullet"/>
        <w:numPr>
          <w:ilvl w:val="0"/>
          <w:numId w:val="15"/>
        </w:numPr>
      </w:pPr>
      <w:r w:rsidRPr="00684640">
        <w:t>The characteristics of children will also vary, with age likely to be particularly important both directly and for the counterfactual care arrangements.</w:t>
      </w:r>
    </w:p>
    <w:p w14:paraId="2F636488" w14:textId="77777777" w:rsidR="00396052" w:rsidRPr="00684640" w:rsidRDefault="00396052" w:rsidP="00396052">
      <w:pPr>
        <w:pStyle w:val="ListBullet"/>
        <w:numPr>
          <w:ilvl w:val="0"/>
          <w:numId w:val="15"/>
        </w:numPr>
      </w:pPr>
      <w:r w:rsidRPr="00684640">
        <w:t>The broader policy context, including around parental leave and child health is likely to be relevant. Where outcomes are measured at school or in adulthood this is even more relevant; effects on earnings will be affected by the labour market, effects on justice system outcomes will depend on the nature of the justice system.</w:t>
      </w:r>
    </w:p>
    <w:p w14:paraId="1314837C" w14:textId="77777777" w:rsidR="00396052" w:rsidRPr="00684640" w:rsidRDefault="00396052" w:rsidP="00396052">
      <w:pPr>
        <w:pStyle w:val="BodyText"/>
      </w:pPr>
      <w:r w:rsidRPr="00684640">
        <w:t xml:space="preserve">As well as differences in contexts, differences in </w:t>
      </w:r>
      <w:r>
        <w:t>ways of measuring outcomes</w:t>
      </w:r>
      <w:r w:rsidRPr="00684640">
        <w:t xml:space="preserve"> may also cause estimated effects to differ between studies in ways that make their results harder to compare.</w:t>
      </w:r>
    </w:p>
    <w:p w14:paraId="1504E9DE" w14:textId="77777777" w:rsidR="00396052" w:rsidRPr="00684640" w:rsidRDefault="00396052" w:rsidP="00396052">
      <w:pPr>
        <w:pStyle w:val="ListBullet"/>
        <w:numPr>
          <w:ilvl w:val="0"/>
          <w:numId w:val="15"/>
        </w:numPr>
      </w:pPr>
      <w:r w:rsidRPr="00684640">
        <w:t>Outcomes can be measured in many ways. Two studies may estimate effects on tests of school readiness but take place in different countries that have unique measures, or both consider effects on health outcomes but have data on different sets of diseases.</w:t>
      </w:r>
    </w:p>
    <w:p w14:paraId="788C9780" w14:textId="77777777" w:rsidR="00396052" w:rsidRPr="00684640" w:rsidRDefault="00396052" w:rsidP="00396052">
      <w:pPr>
        <w:pStyle w:val="ListBullet"/>
        <w:numPr>
          <w:ilvl w:val="0"/>
          <w:numId w:val="15"/>
        </w:numPr>
        <w:rPr>
          <w:spacing w:val="-2"/>
        </w:rPr>
      </w:pPr>
      <w:r w:rsidRPr="00684640">
        <w:t xml:space="preserve">Effects of ECEC on outcomes such as test scores are typically estimated to be lower when measured at a </w:t>
      </w:r>
      <w:r w:rsidRPr="00684640">
        <w:rPr>
          <w:spacing w:val="-2"/>
        </w:rPr>
        <w:t>later date, and studies may use data on outcomes recorded at different points after children attended ECEC.</w:t>
      </w:r>
    </w:p>
    <w:p w14:paraId="449D0FFF" w14:textId="77777777" w:rsidR="00396052" w:rsidRPr="00684640" w:rsidRDefault="00396052" w:rsidP="00396052">
      <w:pPr>
        <w:pStyle w:val="ListBullet"/>
        <w:numPr>
          <w:ilvl w:val="0"/>
          <w:numId w:val="15"/>
        </w:numPr>
      </w:pPr>
      <w:r w:rsidRPr="00684640">
        <w:t>There are many different measures of ECEC effects. Intent</w:t>
      </w:r>
      <w:r>
        <w:noBreakHyphen/>
      </w:r>
      <w:r w:rsidRPr="00684640">
        <w:t>to</w:t>
      </w:r>
      <w:r>
        <w:noBreakHyphen/>
      </w:r>
      <w:r w:rsidRPr="00684640">
        <w:t>treat effects often cannot be compared to ‘treatment effects on the treated’. Some studies may estimate effects for children on the margin of attending ECEC, while others may estimate the average effect across all children who attended. This would affect the results if these groups of children differ according to a factor such as disadvantage which may affect the effects of ECEC.</w:t>
      </w:r>
    </w:p>
    <w:p w14:paraId="587B8546" w14:textId="77777777" w:rsidR="00396052" w:rsidRPr="00684640" w:rsidRDefault="00396052" w:rsidP="00396052">
      <w:pPr>
        <w:pStyle w:val="BodyText"/>
      </w:pPr>
      <w:r w:rsidRPr="00684640">
        <w:t>If there were a very large number of studies, each credibly identifying an effect in a way that could be compared between them, it may be possible to adjust for these differences. But there are too many factors that could affect the estimates a study produces, relative to the number of credible studies, for this to take place. Issues around external validity, including child and program characteristics by which the effects of ECEC may vary, are considered in paper 1.</w:t>
      </w:r>
    </w:p>
    <w:p w14:paraId="15B4ADE4" w14:textId="77777777" w:rsidR="00396052" w:rsidRPr="00684640" w:rsidRDefault="00396052" w:rsidP="00396052">
      <w:pPr>
        <w:pStyle w:val="Heading3"/>
      </w:pPr>
      <w:r w:rsidRPr="00684640">
        <w:t>Which studies are included in this appendix?</w:t>
      </w:r>
    </w:p>
    <w:p w14:paraId="4F7FC70A" w14:textId="77777777" w:rsidR="00396052" w:rsidRPr="00684640" w:rsidRDefault="00396052" w:rsidP="00396052">
      <w:pPr>
        <w:pStyle w:val="BodyText"/>
      </w:pPr>
      <w:r w:rsidRPr="00684640">
        <w:t>As noted above, this appendix does not include all studies cited in paper 1. It only covers papers that consider the effect of ECEC programs on children’s outcomes and use quasi</w:t>
      </w:r>
      <w:r>
        <w:noBreakHyphen/>
      </w:r>
      <w:r w:rsidRPr="00684640">
        <w:t>experimental techniques, the primary focus of section</w:t>
      </w:r>
      <w:r>
        <w:t> </w:t>
      </w:r>
      <w:r w:rsidRPr="00684640">
        <w:t>1.2 in that paper. This does not include studies that look at the effect of particular characteristics of ECEC programs, such as educator qualifications, or whether a program is half</w:t>
      </w:r>
      <w:r w:rsidRPr="00684640">
        <w:noBreakHyphen/>
        <w:t xml:space="preserve"> or full</w:t>
      </w:r>
      <w:r>
        <w:noBreakHyphen/>
      </w:r>
      <w:r w:rsidRPr="00684640">
        <w:t>day, which are covered in more detail in section</w:t>
      </w:r>
      <w:r>
        <w:t> </w:t>
      </w:r>
      <w:r w:rsidRPr="00684640">
        <w:t xml:space="preserve">1.3 of that paper. It also does not include observational studies and randomised controlled trials, many of which have been summarised elsewhere </w:t>
      </w:r>
      <w:r w:rsidRPr="00684640">
        <w:rPr>
          <w:rFonts w:ascii="Arial" w:hAnsi="Arial" w:cs="Arial"/>
        </w:rPr>
        <w:t>(for example, Bruhn and Emick 2023; Melhuish et al. 2015)</w:t>
      </w:r>
      <w:r w:rsidRPr="00684640">
        <w:t>.</w:t>
      </w:r>
    </w:p>
    <w:p w14:paraId="7403A1D9" w14:textId="77777777" w:rsidR="00396052" w:rsidRPr="00684640" w:rsidRDefault="00396052" w:rsidP="00396052">
      <w:pPr>
        <w:pStyle w:val="BodyText"/>
      </w:pPr>
      <w:r w:rsidRPr="00684640">
        <w:t>Sometimes, there are multiple studies that considered the same intervention, for example where a program was evaluated after three years and again after five years. Not all of these studies are included unless they considered different outcome variables or use different methodologies. A small number of studies that used quasi</w:t>
      </w:r>
      <w:r w:rsidRPr="00684640">
        <w:noBreakHyphen/>
        <w:t>experimental techniques, but relied on assumptions that seemed highly unlikely to be met, have not been included. Given the issues described above, studies that solely rely on propensity score matching have generally not been included.</w:t>
      </w:r>
    </w:p>
    <w:p w14:paraId="4A64EC28" w14:textId="77777777" w:rsidR="00396052" w:rsidRPr="00684640" w:rsidRDefault="00396052" w:rsidP="00396052">
      <w:pPr>
        <w:pStyle w:val="Heading3"/>
      </w:pPr>
      <w:r w:rsidRPr="00684640">
        <w:lastRenderedPageBreak/>
        <w:t>Guide to the tables</w:t>
      </w:r>
    </w:p>
    <w:p w14:paraId="1CC48AC8" w14:textId="77777777" w:rsidR="00396052" w:rsidRPr="00684640" w:rsidRDefault="00396052" w:rsidP="00396052">
      <w:pPr>
        <w:pStyle w:val="BodyText"/>
      </w:pPr>
      <w:r w:rsidRPr="00684640">
        <w:t>The tables below contain three columns.</w:t>
      </w:r>
    </w:p>
    <w:p w14:paraId="3B0CE2BD" w14:textId="77777777" w:rsidR="00396052" w:rsidRPr="00684640" w:rsidRDefault="00396052" w:rsidP="00396052">
      <w:pPr>
        <w:pStyle w:val="ListBullet"/>
        <w:numPr>
          <w:ilvl w:val="0"/>
          <w:numId w:val="15"/>
        </w:numPr>
      </w:pPr>
      <w:r w:rsidRPr="00684640">
        <w:t>The first names the study, briefly summarises its methodology and lists the country the intervention took place in and the type of outcomes it considered.</w:t>
      </w:r>
    </w:p>
    <w:p w14:paraId="78633C75" w14:textId="77777777" w:rsidR="00396052" w:rsidRPr="00684640" w:rsidRDefault="00396052" w:rsidP="00396052">
      <w:pPr>
        <w:pStyle w:val="ListBullet"/>
        <w:numPr>
          <w:ilvl w:val="0"/>
          <w:numId w:val="15"/>
        </w:numPr>
      </w:pPr>
      <w:r w:rsidRPr="00684640">
        <w:t>The second contains information on the children who attended the program analysed in each study, the characteristics of that program and the counterfactual care arrangements the children may have otherwise received.</w:t>
      </w:r>
    </w:p>
    <w:p w14:paraId="12133F81" w14:textId="77777777" w:rsidR="00396052" w:rsidRPr="00684640" w:rsidRDefault="00396052" w:rsidP="00396052">
      <w:pPr>
        <w:pStyle w:val="ListBullet"/>
        <w:numPr>
          <w:ilvl w:val="0"/>
          <w:numId w:val="15"/>
        </w:numPr>
      </w:pPr>
      <w:r w:rsidRPr="00684640">
        <w:t>The third describes the main findings of the study.</w:t>
      </w:r>
    </w:p>
    <w:p w14:paraId="0777FA07" w14:textId="77777777" w:rsidR="00396052" w:rsidRPr="00684640" w:rsidRDefault="00396052" w:rsidP="00396052">
      <w:pPr>
        <w:pStyle w:val="BodyText"/>
      </w:pPr>
      <w:r w:rsidRPr="00684640">
        <w:t>This information is taken from the study and will vary by the level of detail that was published. Some studies did not provide much information on the characteristics of the cohort and program they assessed. The tables also do not include a full description of each study’s methodology. Depending on the approach taken, the description of the cohort included in column two may relate either to the children who attended the program, or the broader cohort of children in the sample.</w:t>
      </w:r>
    </w:p>
    <w:p w14:paraId="20BFA0EF" w14:textId="77777777" w:rsidR="00396052" w:rsidRPr="00684640" w:rsidRDefault="00396052" w:rsidP="00396052">
      <w:pPr>
        <w:pStyle w:val="BodyText"/>
      </w:pPr>
      <w:r w:rsidRPr="00684640">
        <w:t>The contexts of and terminology used by these studies can differ. The tables use the terms ‘preschool’ and ‘CBDC’ to refer to service models similar to the service models described by these terms in Australia. Services described as preschool may operate for a shorter number of hours a day, often with an older cohort, a more pedagogical focus and be taught by an educator with a higher level of qualification than CBDC. Not all programs described with this term will have all these characteristics. Some programs are referred to more generally as ECEC if they are more difficult to categorise in this way.</w:t>
      </w:r>
    </w:p>
    <w:p w14:paraId="728DA1C0" w14:textId="77777777" w:rsidR="00396052" w:rsidRPr="00684640" w:rsidRDefault="00396052" w:rsidP="00396052">
      <w:pPr>
        <w:pStyle w:val="BodyText"/>
      </w:pPr>
      <w:r w:rsidRPr="00684640">
        <w:t>The words significant and insignificant are used below to mean statistically significant or insignificant</w:t>
      </w:r>
      <w:r w:rsidRPr="00684640">
        <w:rPr>
          <w:rStyle w:val="FootnoteReference"/>
        </w:rPr>
        <w:footnoteReference w:id="73"/>
      </w:r>
      <w:r w:rsidRPr="00684640">
        <w:t>, and do not refer to the magnitude of the effect.</w:t>
      </w:r>
    </w:p>
    <w:p w14:paraId="3E83340B" w14:textId="77777777" w:rsidR="00396052" w:rsidRPr="00684640" w:rsidRDefault="00396052" w:rsidP="00396052">
      <w:pPr>
        <w:pStyle w:val="BodyText"/>
      </w:pPr>
      <w:r w:rsidRPr="00684640">
        <w:t>These studies are roughly grouped by the outcomes they consider (although many consider multiple categories of outcomes). Educational attainment and labour market outcomes are considered, then justice system outcomes, then health outcomes, then social connection outcomes, then shorter</w:t>
      </w:r>
      <w:r>
        <w:noBreakHyphen/>
      </w:r>
      <w:r w:rsidRPr="00684640">
        <w:t>term educational or skills development outcomes.</w:t>
      </w:r>
    </w:p>
    <w:p w14:paraId="4A70560C" w14:textId="77777777" w:rsidR="00396052" w:rsidRPr="00684640" w:rsidRDefault="00396052" w:rsidP="00396052">
      <w:pPr>
        <w:pStyle w:val="BodyText"/>
        <w:sectPr w:rsidR="00396052" w:rsidRPr="00684640" w:rsidSect="00396052">
          <w:headerReference w:type="even" r:id="rId101"/>
          <w:headerReference w:type="default" r:id="rId102"/>
          <w:footerReference w:type="even" r:id="rId103"/>
          <w:footerReference w:type="default" r:id="rId104"/>
          <w:headerReference w:type="first" r:id="rId105"/>
          <w:footnotePr>
            <w:numRestart w:val="eachSect"/>
          </w:footnotePr>
          <w:type w:val="oddPage"/>
          <w:pgSz w:w="11906" w:h="16838" w:code="9"/>
          <w:pgMar w:top="1134" w:right="1134" w:bottom="1134" w:left="1134" w:header="794" w:footer="510" w:gutter="0"/>
          <w:cols w:space="708"/>
          <w:docGrid w:linePitch="360"/>
        </w:sectPr>
      </w:pPr>
    </w:p>
    <w:p w14:paraId="52A1F236" w14:textId="77777777" w:rsidR="00396052" w:rsidRPr="00684640" w:rsidRDefault="00396052" w:rsidP="00396052">
      <w:pPr>
        <w:pStyle w:val="Heading2"/>
        <w:numPr>
          <w:ilvl w:val="0"/>
          <w:numId w:val="0"/>
        </w:numPr>
        <w:ind w:left="851" w:hanging="851"/>
      </w:pPr>
      <w:bookmarkStart w:id="56" w:name="_Toc172213606"/>
      <w:r w:rsidRPr="00684640">
        <w:lastRenderedPageBreak/>
        <w:t>H.</w:t>
      </w:r>
      <w:r w:rsidRPr="00684640" w:rsidDel="002D6C41">
        <w:t>2</w:t>
      </w:r>
      <w:r w:rsidRPr="00684640">
        <w:tab/>
        <w:t>Tables of studies</w:t>
      </w:r>
      <w:bookmarkEnd w:id="56"/>
    </w:p>
    <w:p w14:paraId="29D5D204" w14:textId="77777777" w:rsidR="00396052" w:rsidRPr="00684640" w:rsidRDefault="00396052" w:rsidP="00396052">
      <w:pPr>
        <w:pStyle w:val="FigureTableHeading"/>
      </w:pPr>
      <w:r w:rsidRPr="00684640">
        <w:t>Table H.1</w:t>
      </w:r>
      <w:r w:rsidRPr="00684640">
        <w:rPr>
          <w:noProof/>
        </w:rPr>
        <w:t xml:space="preserve"> – </w:t>
      </w:r>
      <w:r w:rsidRPr="00684640">
        <w:rPr>
          <w:b/>
          <w:bCs/>
        </w:rPr>
        <w:t>Educational attainment and/or labour market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91"/>
        <w:gridCol w:w="5640"/>
        <w:gridCol w:w="5639"/>
      </w:tblGrid>
      <w:tr w:rsidR="00396052" w:rsidRPr="00684640" w14:paraId="312E8BBA" w14:textId="77777777" w:rsidTr="00177648">
        <w:trPr>
          <w:tblHeader/>
        </w:trPr>
        <w:tc>
          <w:tcPr>
            <w:tcW w:w="1129" w:type="pct"/>
            <w:tcBorders>
              <w:bottom w:val="single" w:sz="4" w:space="0" w:color="B3B3B3"/>
            </w:tcBorders>
            <w:shd w:val="clear" w:color="000000" w:fill="auto"/>
          </w:tcPr>
          <w:p w14:paraId="0AE6B979" w14:textId="77777777" w:rsidR="00396052" w:rsidRPr="00684640" w:rsidRDefault="00396052" w:rsidP="00177648">
            <w:pPr>
              <w:pStyle w:val="TableHeading"/>
              <w:rPr>
                <w:rFonts w:ascii="Arial (Body)" w:hAnsi="Arial (Body)"/>
                <w:color w:val="265A9A"/>
              </w:rPr>
            </w:pPr>
            <w:r w:rsidRPr="00684640">
              <w:t>Study and methodology</w:t>
            </w:r>
          </w:p>
        </w:tc>
        <w:tc>
          <w:tcPr>
            <w:tcW w:w="1935" w:type="pct"/>
            <w:tcBorders>
              <w:bottom w:val="single" w:sz="4" w:space="0" w:color="B3B3B3"/>
            </w:tcBorders>
            <w:shd w:val="clear" w:color="000000" w:fill="auto"/>
          </w:tcPr>
          <w:p w14:paraId="50661E83" w14:textId="77777777" w:rsidR="00396052" w:rsidRPr="00684640" w:rsidRDefault="00396052" w:rsidP="00177648">
            <w:pPr>
              <w:pStyle w:val="TableHeading"/>
            </w:pPr>
            <w:r w:rsidRPr="00684640">
              <w:t>Population and treatment</w:t>
            </w:r>
          </w:p>
        </w:tc>
        <w:tc>
          <w:tcPr>
            <w:tcW w:w="1935" w:type="pct"/>
            <w:tcBorders>
              <w:bottom w:val="single" w:sz="4" w:space="0" w:color="B3B3B3"/>
            </w:tcBorders>
            <w:shd w:val="clear" w:color="000000" w:fill="auto"/>
          </w:tcPr>
          <w:p w14:paraId="78AD7355" w14:textId="77777777" w:rsidR="00396052" w:rsidRPr="00684640" w:rsidRDefault="00396052" w:rsidP="00177648">
            <w:pPr>
              <w:pStyle w:val="TableHeading"/>
            </w:pPr>
            <w:r w:rsidRPr="00684640">
              <w:t>Findings</w:t>
            </w:r>
          </w:p>
        </w:tc>
      </w:tr>
      <w:tr w:rsidR="00396052" w:rsidRPr="00684640" w14:paraId="1BDB8918" w14:textId="77777777" w:rsidTr="00177648">
        <w:tc>
          <w:tcPr>
            <w:tcW w:w="1129" w:type="pct"/>
            <w:tcBorders>
              <w:top w:val="single" w:sz="4" w:space="0" w:color="B3B3B3"/>
              <w:bottom w:val="nil"/>
            </w:tcBorders>
            <w:shd w:val="clear" w:color="000000" w:fill="F2F2F2"/>
          </w:tcPr>
          <w:p w14:paraId="61B31E2F" w14:textId="77777777" w:rsidR="00396052" w:rsidRPr="00684640" w:rsidRDefault="00396052" w:rsidP="00177648">
            <w:pPr>
              <w:pStyle w:val="TableBody"/>
            </w:pPr>
            <w:r w:rsidRPr="00684640">
              <w:rPr>
                <w:rFonts w:ascii="Arial" w:hAnsi="Arial" w:cs="Arial"/>
              </w:rPr>
              <w:t>Rossin-Slater and Wüst 2020</w:t>
            </w:r>
          </w:p>
          <w:p w14:paraId="2F99D315" w14:textId="77777777" w:rsidR="00396052" w:rsidRPr="00684640" w:rsidRDefault="00396052" w:rsidP="00177648">
            <w:pPr>
              <w:pStyle w:val="TableBody"/>
            </w:pPr>
            <w:r w:rsidRPr="00684640">
              <w:t>DiD exploiting the rollout of a targeted preschool program in Denmark; long</w:t>
            </w:r>
            <w:r w:rsidRPr="00684640">
              <w:noBreakHyphen/>
              <w:t>term educational, labour market and health outcomes.</w:t>
            </w:r>
          </w:p>
        </w:tc>
        <w:tc>
          <w:tcPr>
            <w:tcW w:w="1935" w:type="pct"/>
            <w:tcBorders>
              <w:top w:val="single" w:sz="4" w:space="0" w:color="B3B3B3"/>
              <w:bottom w:val="nil"/>
            </w:tcBorders>
            <w:shd w:val="clear" w:color="000000" w:fill="F2F2F2"/>
          </w:tcPr>
          <w:p w14:paraId="3B439695" w14:textId="77777777" w:rsidR="00396052" w:rsidRPr="00684640" w:rsidRDefault="00396052" w:rsidP="00177648">
            <w:pPr>
              <w:pStyle w:val="TableBody"/>
            </w:pPr>
            <w:r w:rsidRPr="00684640">
              <w:t>Children in Denmark attending a public preschool program from ages three to seven who were born between 1933 and 1957. Some outcomes are from the children that the original program participants had later in their life.</w:t>
            </w:r>
          </w:p>
          <w:p w14:paraId="2AF4B6AF" w14:textId="77777777" w:rsidR="00396052" w:rsidRPr="00684640" w:rsidRDefault="00396052" w:rsidP="00177648">
            <w:pPr>
              <w:pStyle w:val="TableBody"/>
            </w:pPr>
            <w:r w:rsidRPr="00684640">
              <w:t>Centres were required to meet standards for sanitation and nutrition, have qualified staff, be open at least four hours each working day and predominantly enrol children from low</w:t>
            </w:r>
            <w:r>
              <w:noBreakHyphen/>
            </w:r>
            <w:r w:rsidRPr="00684640">
              <w:t>income families. Health checkups and vaccinations could be provided. By 1953, 72% of educators were qualified, typically with two</w:t>
            </w:r>
            <w:r>
              <w:noBreakHyphen/>
            </w:r>
            <w:r w:rsidRPr="00684640">
              <w:t>year qualifications.</w:t>
            </w:r>
          </w:p>
          <w:p w14:paraId="09112847" w14:textId="77777777" w:rsidR="00396052" w:rsidRPr="00684640" w:rsidRDefault="00396052" w:rsidP="00177648">
            <w:pPr>
              <w:pStyle w:val="TableBody"/>
              <w:spacing w:before="45" w:after="45"/>
              <w:ind w:right="108"/>
              <w:rPr>
                <w:rFonts w:ascii="Arial (Body)" w:hAnsi="Arial (Body)"/>
                <w:color w:val="000000"/>
              </w:rPr>
            </w:pPr>
            <w:r w:rsidRPr="00684640">
              <w:t>The rollout of a nurse home visiting program partially overlapped with the rollout of the preschool program.</w:t>
            </w:r>
          </w:p>
        </w:tc>
        <w:tc>
          <w:tcPr>
            <w:tcW w:w="1935" w:type="pct"/>
            <w:tcBorders>
              <w:top w:val="single" w:sz="4" w:space="0" w:color="B3B3B3"/>
              <w:bottom w:val="nil"/>
            </w:tcBorders>
            <w:shd w:val="clear" w:color="000000" w:fill="F2F2F2"/>
          </w:tcPr>
          <w:p w14:paraId="7242D0F4" w14:textId="77777777" w:rsidR="00396052" w:rsidRPr="00684640" w:rsidRDefault="00396052" w:rsidP="00177648">
            <w:pPr>
              <w:pStyle w:val="TableBody"/>
            </w:pPr>
            <w:r w:rsidRPr="00684640">
              <w:t>Access to preschool at age three increased the likelihood of completing post</w:t>
            </w:r>
            <w:r>
              <w:noBreakHyphen/>
            </w:r>
            <w:r w:rsidRPr="00684640">
              <w:t>compulsory education and earnings in adulthood, as well as the likelihood of surviving beyond age 65.</w:t>
            </w:r>
          </w:p>
          <w:p w14:paraId="08572471" w14:textId="77777777" w:rsidR="00396052" w:rsidRPr="00684640" w:rsidRDefault="00396052" w:rsidP="00177648">
            <w:pPr>
              <w:pStyle w:val="TableBody"/>
            </w:pPr>
            <w:r w:rsidRPr="00684640">
              <w:t>Children of the participants in the program were more likely to have completed post</w:t>
            </w:r>
            <w:r>
              <w:noBreakHyphen/>
            </w:r>
            <w:r w:rsidRPr="00684640">
              <w:t>compulsory education by age 25.</w:t>
            </w:r>
          </w:p>
          <w:p w14:paraId="121DCA03" w14:textId="77777777" w:rsidR="00396052" w:rsidRPr="00684640" w:rsidRDefault="00396052" w:rsidP="00177648">
            <w:pPr>
              <w:pStyle w:val="TableBody"/>
              <w:spacing w:before="45" w:after="45"/>
              <w:ind w:right="108"/>
              <w:rPr>
                <w:rFonts w:ascii="Arial (Body)" w:hAnsi="Arial (Body)"/>
                <w:color w:val="000000"/>
              </w:rPr>
            </w:pPr>
            <w:r w:rsidRPr="00684640">
              <w:t>Children who could also access the nurse home visiting program saw smaller but still positive effects, suggesting a significant mechanism of the program was its health</w:t>
            </w:r>
            <w:r>
              <w:noBreakHyphen/>
            </w:r>
            <w:r w:rsidRPr="00684640">
              <w:t>related components.</w:t>
            </w:r>
          </w:p>
        </w:tc>
      </w:tr>
      <w:tr w:rsidR="00396052" w:rsidRPr="00684640" w14:paraId="7BD52017" w14:textId="77777777" w:rsidTr="00177648">
        <w:tc>
          <w:tcPr>
            <w:tcW w:w="1129" w:type="pct"/>
            <w:tcBorders>
              <w:top w:val="nil"/>
              <w:bottom w:val="nil"/>
            </w:tcBorders>
            <w:shd w:val="clear" w:color="000000" w:fill="auto"/>
          </w:tcPr>
          <w:p w14:paraId="50271371" w14:textId="77777777" w:rsidR="00396052" w:rsidRPr="00684640" w:rsidRDefault="00396052" w:rsidP="00177648">
            <w:pPr>
              <w:pStyle w:val="TableBody"/>
            </w:pPr>
            <w:r w:rsidRPr="00684640">
              <w:rPr>
                <w:rFonts w:ascii="Arial" w:hAnsi="Arial" w:cs="Arial"/>
              </w:rPr>
              <w:t>Havnes and Mogstad 2015</w:t>
            </w:r>
          </w:p>
          <w:p w14:paraId="0621B8F6" w14:textId="77777777" w:rsidR="00396052" w:rsidRPr="00684640" w:rsidRDefault="00396052" w:rsidP="00177648">
            <w:pPr>
              <w:pStyle w:val="TableBody"/>
            </w:pPr>
            <w:r w:rsidRPr="00684640">
              <w:t>DiD exploiting the rollout of a reform that expanded access to ECEC in Norway; long</w:t>
            </w:r>
            <w:r>
              <w:noBreakHyphen/>
            </w:r>
            <w:r w:rsidRPr="00684640">
              <w:t>term educational and labour market outcomes.</w:t>
            </w:r>
          </w:p>
        </w:tc>
        <w:tc>
          <w:tcPr>
            <w:tcW w:w="1935" w:type="pct"/>
            <w:tcBorders>
              <w:top w:val="nil"/>
              <w:bottom w:val="nil"/>
            </w:tcBorders>
            <w:shd w:val="clear" w:color="000000" w:fill="auto"/>
          </w:tcPr>
          <w:p w14:paraId="56C15FDA" w14:textId="77777777" w:rsidR="00396052" w:rsidRPr="00684640" w:rsidRDefault="00396052" w:rsidP="00177648">
            <w:pPr>
              <w:pStyle w:val="TableBody"/>
            </w:pPr>
            <w:r w:rsidRPr="00684640">
              <w:t>Children born in Norway from 1973 to 1976 who accessed ECEC due to a reform that expanded access.</w:t>
            </w:r>
          </w:p>
          <w:p w14:paraId="538707A9" w14:textId="77777777" w:rsidR="00396052" w:rsidRPr="00684640" w:rsidRDefault="00396052" w:rsidP="00177648">
            <w:pPr>
              <w:pStyle w:val="TableBody"/>
            </w:pPr>
            <w:r w:rsidRPr="00684640">
              <w:t>Universal ECEC was publicly and privately provided to children between the ages of three and six, with services open during ‘normal working hours’. The average ratio was 1:8, with one degree</w:t>
            </w:r>
            <w:r>
              <w:noBreakHyphen/>
            </w:r>
            <w:r w:rsidRPr="00684640">
              <w:t>qualified teacher for every one or two unqualified assistants.</w:t>
            </w:r>
          </w:p>
          <w:p w14:paraId="7E3DB396"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informal care in almost all cases.</w:t>
            </w:r>
          </w:p>
        </w:tc>
        <w:tc>
          <w:tcPr>
            <w:tcW w:w="1935" w:type="pct"/>
            <w:tcBorders>
              <w:top w:val="nil"/>
              <w:bottom w:val="nil"/>
            </w:tcBorders>
            <w:shd w:val="clear" w:color="000000" w:fill="auto"/>
          </w:tcPr>
          <w:p w14:paraId="201F6F7D" w14:textId="77777777" w:rsidR="00396052" w:rsidRPr="00684640" w:rsidRDefault="00396052" w:rsidP="00177648">
            <w:pPr>
              <w:pStyle w:val="TableBody"/>
            </w:pPr>
            <w:r w:rsidRPr="00684640">
              <w:t>The reform replaced informal care with formal ECEC, not affecting maternal labour supply. Structural quality indicators were not measurably affected by the expansion.</w:t>
            </w:r>
          </w:p>
          <w:p w14:paraId="7104DAC2" w14:textId="77777777" w:rsidR="00396052" w:rsidRPr="00684640" w:rsidRDefault="00396052" w:rsidP="00177648">
            <w:pPr>
              <w:pStyle w:val="TableBody"/>
            </w:pPr>
            <w:r w:rsidRPr="00684640">
              <w:t>Intent</w:t>
            </w:r>
            <w:r>
              <w:noBreakHyphen/>
            </w:r>
            <w:r w:rsidRPr="00684640">
              <w:t>to</w:t>
            </w:r>
            <w:r>
              <w:noBreakHyphen/>
            </w:r>
            <w:r w:rsidRPr="00684640">
              <w:t>treat quantile treatment effects on earnings in adulthood were positive for the bottom 82% of the earnings distribution, and negative for the top 18% (effects were significant between the 15</w:t>
            </w:r>
            <w:r w:rsidRPr="00684640">
              <w:rPr>
                <w:vertAlign w:val="superscript"/>
              </w:rPr>
              <w:t>th</w:t>
            </w:r>
            <w:r w:rsidRPr="00684640">
              <w:t xml:space="preserve"> and 60</w:t>
            </w:r>
            <w:r w:rsidRPr="00684640">
              <w:rPr>
                <w:vertAlign w:val="superscript"/>
              </w:rPr>
              <w:t>th</w:t>
            </w:r>
            <w:r w:rsidRPr="00684640">
              <w:t xml:space="preserve"> percentiles and for some of the top percentiles).</w:t>
            </w:r>
          </w:p>
          <w:p w14:paraId="62494833" w14:textId="77777777" w:rsidR="00396052" w:rsidRPr="00684640" w:rsidRDefault="00396052" w:rsidP="00177648">
            <w:pPr>
              <w:pStyle w:val="TableBody"/>
            </w:pPr>
            <w:r w:rsidRPr="00684640">
              <w:t>Years of schooling increased significantly for children whose families were in the lower two thirds of the income distribution, with a much larger effect for the bottom third. This was driven by increases in high school completion and university attendance. There were no significant effects for the top third.</w:t>
            </w:r>
          </w:p>
          <w:p w14:paraId="3063B2F5" w14:textId="77777777" w:rsidR="00396052" w:rsidRPr="00684640" w:rsidRDefault="00396052" w:rsidP="00177648">
            <w:pPr>
              <w:pStyle w:val="TableBody"/>
              <w:spacing w:before="45" w:after="45"/>
              <w:ind w:right="108"/>
              <w:rPr>
                <w:rFonts w:ascii="Arial (Body)" w:hAnsi="Arial (Body)"/>
                <w:color w:val="000000"/>
              </w:rPr>
            </w:pPr>
            <w:r w:rsidRPr="00684640">
              <w:lastRenderedPageBreak/>
              <w:t>A related paper (</w:t>
            </w:r>
            <w:r w:rsidRPr="00684640">
              <w:rPr>
                <w:rFonts w:ascii="Arial" w:hAnsi="Arial" w:cs="Arial"/>
              </w:rPr>
              <w:t>Havnes and Mogstad 2011</w:t>
            </w:r>
            <w:r w:rsidRPr="00684640">
              <w:t xml:space="preserve">) considered heterogeneity in less detail but reported results on a broader set of outcomes. Similar average results were found for educational and labour market outcomes, but </w:t>
            </w:r>
            <w:r>
              <w:t>the paper</w:t>
            </w:r>
            <w:r w:rsidRPr="00684640">
              <w:t xml:space="preserve"> also identified reductions in the likelihood of being single and of accessing government support payments.</w:t>
            </w:r>
          </w:p>
        </w:tc>
      </w:tr>
      <w:tr w:rsidR="00396052" w:rsidRPr="00684640" w14:paraId="3946413D" w14:textId="77777777" w:rsidTr="00177648">
        <w:tc>
          <w:tcPr>
            <w:tcW w:w="1129" w:type="pct"/>
            <w:tcBorders>
              <w:top w:val="nil"/>
              <w:bottom w:val="nil"/>
            </w:tcBorders>
            <w:shd w:val="clear" w:color="000000" w:fill="F2F2F2"/>
          </w:tcPr>
          <w:p w14:paraId="3A3D1050" w14:textId="77777777" w:rsidR="00396052" w:rsidRPr="00684640" w:rsidRDefault="00396052" w:rsidP="00177648">
            <w:pPr>
              <w:pStyle w:val="TableBody"/>
            </w:pPr>
            <w:r w:rsidRPr="00684640">
              <w:rPr>
                <w:rFonts w:ascii="Arial" w:hAnsi="Arial" w:cs="Arial"/>
              </w:rPr>
              <w:lastRenderedPageBreak/>
              <w:t>Silliman and Mäkinen 2022</w:t>
            </w:r>
            <w:r w:rsidRPr="00684640">
              <w:t xml:space="preserve"> </w:t>
            </w:r>
          </w:p>
          <w:p w14:paraId="53A78D93" w14:textId="77777777" w:rsidR="00396052" w:rsidRPr="00684640" w:rsidRDefault="00396052" w:rsidP="00177648">
            <w:pPr>
              <w:pStyle w:val="TableBody"/>
            </w:pPr>
            <w:r w:rsidRPr="00684640">
              <w:t>DiD exploiting the rollout of a reform that expanded access to ECEC in Finland; long</w:t>
            </w:r>
            <w:r>
              <w:noBreakHyphen/>
            </w:r>
            <w:r w:rsidRPr="00684640">
              <w:t>term outcomes.</w:t>
            </w:r>
          </w:p>
        </w:tc>
        <w:tc>
          <w:tcPr>
            <w:tcW w:w="1935" w:type="pct"/>
            <w:tcBorders>
              <w:top w:val="nil"/>
              <w:bottom w:val="nil"/>
            </w:tcBorders>
            <w:shd w:val="clear" w:color="000000" w:fill="F2F2F2"/>
          </w:tcPr>
          <w:p w14:paraId="5DEF294D" w14:textId="77777777" w:rsidR="00396052" w:rsidRPr="00684640" w:rsidRDefault="00396052" w:rsidP="00177648">
            <w:pPr>
              <w:pStyle w:val="TableBody"/>
            </w:pPr>
            <w:r w:rsidRPr="00684640">
              <w:t>Children born in Finland between 1970 and 1976 in rural areas, and had access to universal ECEC between the ages of three and six.</w:t>
            </w:r>
          </w:p>
          <w:p w14:paraId="3B105434" w14:textId="77777777" w:rsidR="00396052" w:rsidRPr="00684640" w:rsidRDefault="00396052" w:rsidP="00177648">
            <w:pPr>
              <w:pStyle w:val="TableBody"/>
            </w:pPr>
            <w:r w:rsidRPr="00684640">
              <w:t>There was a mix of half</w:t>
            </w:r>
            <w:r>
              <w:noBreakHyphen/>
            </w:r>
            <w:r w:rsidRPr="00684640">
              <w:t xml:space="preserve"> and full</w:t>
            </w:r>
            <w:r>
              <w:noBreakHyphen/>
            </w:r>
            <w:r w:rsidRPr="00684640">
              <w:t>day care. Maximum group sizes were regulated, but services were ‘likely of considerably inferior quality compared to modern childcare’.</w:t>
            </w:r>
          </w:p>
          <w:p w14:paraId="7C7B1193" w14:textId="77777777" w:rsidR="00396052" w:rsidRPr="00684640" w:rsidRDefault="00396052" w:rsidP="00177648">
            <w:pPr>
              <w:pStyle w:val="TableBody"/>
              <w:spacing w:before="45" w:after="45"/>
              <w:ind w:right="108"/>
              <w:rPr>
                <w:rFonts w:ascii="Arial (Body)" w:hAnsi="Arial (Body)"/>
                <w:color w:val="000000"/>
              </w:rPr>
            </w:pPr>
            <w:r w:rsidRPr="00684640">
              <w:t>The counterfactual included private ECEC.</w:t>
            </w:r>
          </w:p>
        </w:tc>
        <w:tc>
          <w:tcPr>
            <w:tcW w:w="1935" w:type="pct"/>
            <w:tcBorders>
              <w:top w:val="nil"/>
              <w:bottom w:val="nil"/>
            </w:tcBorders>
            <w:shd w:val="clear" w:color="000000" w:fill="F2F2F2"/>
          </w:tcPr>
          <w:p w14:paraId="185E2792" w14:textId="77777777" w:rsidR="00396052" w:rsidRPr="00684640" w:rsidRDefault="00396052" w:rsidP="00177648">
            <w:pPr>
              <w:pStyle w:val="TableBody"/>
            </w:pPr>
            <w:r w:rsidRPr="00684640">
              <w:t>For children whose family income was at the 10</w:t>
            </w:r>
            <w:r w:rsidRPr="00684640">
              <w:rPr>
                <w:vertAlign w:val="superscript"/>
              </w:rPr>
              <w:t>th</w:t>
            </w:r>
            <w:r w:rsidRPr="00684640">
              <w:t xml:space="preserve"> percentile, there were significant benefits for high</w:t>
            </w:r>
            <w:r>
              <w:noBreakHyphen/>
            </w:r>
            <w:r w:rsidRPr="00684640">
              <w:t>school completion, tertiary education, income and employment.</w:t>
            </w:r>
            <w:r>
              <w:t xml:space="preserve"> </w:t>
            </w:r>
            <w:r w:rsidRPr="00684640">
              <w:t>For children whose family income was at the 50</w:t>
            </w:r>
            <w:r w:rsidRPr="00684640">
              <w:rPr>
                <w:vertAlign w:val="superscript"/>
              </w:rPr>
              <w:t>th</w:t>
            </w:r>
            <w:r w:rsidRPr="00684640">
              <w:t xml:space="preserve"> percentile, there were no significant effects.</w:t>
            </w:r>
            <w:r>
              <w:t xml:space="preserve"> </w:t>
            </w:r>
            <w:r w:rsidRPr="00684640">
              <w:t>For children whose family income was at the 90</w:t>
            </w:r>
            <w:r w:rsidRPr="00684640">
              <w:rPr>
                <w:vertAlign w:val="superscript"/>
              </w:rPr>
              <w:t>th</w:t>
            </w:r>
            <w:r w:rsidRPr="00684640">
              <w:t xml:space="preserve"> percentile, there were significant adverse effects for high school graduation and tertiary education.</w:t>
            </w:r>
          </w:p>
          <w:p w14:paraId="6F20C68E" w14:textId="77777777" w:rsidR="00396052" w:rsidRPr="00684640" w:rsidRDefault="00396052" w:rsidP="00177648">
            <w:pPr>
              <w:pStyle w:val="TableBody"/>
            </w:pPr>
            <w:r w:rsidRPr="00684640">
              <w:t>There were insignificant increases in marriage rates for low</w:t>
            </w:r>
            <w:r>
              <w:noBreakHyphen/>
            </w:r>
            <w:r w:rsidRPr="00684640">
              <w:t>income children and decreases for high</w:t>
            </w:r>
            <w:r>
              <w:noBreakHyphen/>
            </w:r>
            <w:r w:rsidRPr="00684640">
              <w:t>income children.</w:t>
            </w:r>
          </w:p>
          <w:p w14:paraId="576E3078" w14:textId="77777777" w:rsidR="00396052" w:rsidRPr="00684640" w:rsidRDefault="00396052" w:rsidP="00177648">
            <w:pPr>
              <w:pStyle w:val="TableBody"/>
              <w:spacing w:before="45" w:after="45"/>
              <w:ind w:right="108"/>
              <w:rPr>
                <w:rFonts w:ascii="Arial (Body)" w:hAnsi="Arial (Body)"/>
                <w:color w:val="000000"/>
              </w:rPr>
            </w:pPr>
            <w:r w:rsidRPr="00684640">
              <w:t>Both cognitive and non</w:t>
            </w:r>
            <w:r>
              <w:noBreakHyphen/>
            </w:r>
            <w:r w:rsidRPr="00684640">
              <w:t>cognitive skills were improved in poor children and impaired in rich children, although effects on non</w:t>
            </w:r>
            <w:r>
              <w:noBreakHyphen/>
            </w:r>
            <w:r w:rsidRPr="00684640">
              <w:t>cognitive skills were much better predictors of effects on long</w:t>
            </w:r>
            <w:r>
              <w:noBreakHyphen/>
            </w:r>
            <w:r w:rsidRPr="00684640">
              <w:t>term outcomes.</w:t>
            </w:r>
          </w:p>
        </w:tc>
      </w:tr>
      <w:tr w:rsidR="00396052" w:rsidRPr="00684640" w14:paraId="4F3363CF" w14:textId="77777777" w:rsidTr="00177648">
        <w:tc>
          <w:tcPr>
            <w:tcW w:w="1129" w:type="pct"/>
            <w:tcBorders>
              <w:top w:val="nil"/>
              <w:bottom w:val="nil"/>
            </w:tcBorders>
            <w:shd w:val="clear" w:color="000000" w:fill="auto"/>
          </w:tcPr>
          <w:p w14:paraId="57418C3D" w14:textId="77777777" w:rsidR="00396052" w:rsidRPr="00684640" w:rsidRDefault="00396052" w:rsidP="00177648">
            <w:pPr>
              <w:pStyle w:val="TableBody"/>
            </w:pPr>
            <w:r w:rsidRPr="00684640">
              <w:rPr>
                <w:rFonts w:ascii="Arial" w:hAnsi="Arial" w:cs="Arial"/>
              </w:rPr>
              <w:t>Berne 2022</w:t>
            </w:r>
          </w:p>
          <w:p w14:paraId="08ADDA27" w14:textId="77777777" w:rsidR="00396052" w:rsidRPr="00684640" w:rsidRDefault="00396052" w:rsidP="00177648">
            <w:pPr>
              <w:pStyle w:val="TableBody"/>
            </w:pPr>
            <w:r w:rsidRPr="00684640">
              <w:t>DiD of a US state preschool program; long</w:t>
            </w:r>
            <w:r>
              <w:noBreakHyphen/>
            </w:r>
            <w:r w:rsidRPr="00684640">
              <w:t>term educational outcomes.</w:t>
            </w:r>
          </w:p>
        </w:tc>
        <w:tc>
          <w:tcPr>
            <w:tcW w:w="1935" w:type="pct"/>
            <w:tcBorders>
              <w:top w:val="nil"/>
              <w:bottom w:val="nil"/>
            </w:tcBorders>
            <w:shd w:val="clear" w:color="000000" w:fill="auto"/>
          </w:tcPr>
          <w:p w14:paraId="1096C36B" w14:textId="77777777" w:rsidR="00396052" w:rsidRPr="00684640" w:rsidRDefault="00396052" w:rsidP="00177648">
            <w:pPr>
              <w:pStyle w:val="TableBody"/>
            </w:pPr>
            <w:r w:rsidRPr="00684640">
              <w:t>Children born between 1987 and 1998 in the US state of Georgia, who attended a universal preschool program.</w:t>
            </w:r>
          </w:p>
          <w:p w14:paraId="02D38AA9" w14:textId="77777777" w:rsidR="00396052" w:rsidRPr="00684640" w:rsidRDefault="00396052" w:rsidP="00177648">
            <w:pPr>
              <w:pStyle w:val="TableBody"/>
              <w:spacing w:before="45" w:after="45"/>
              <w:ind w:right="108"/>
              <w:rPr>
                <w:rFonts w:ascii="Arial (Body)" w:hAnsi="Arial (Body)"/>
                <w:color w:val="000000"/>
              </w:rPr>
            </w:pPr>
            <w:r w:rsidRPr="00684640">
              <w:t>The services were provided by a mix of school, for</w:t>
            </w:r>
            <w:r>
              <w:noBreakHyphen/>
            </w:r>
            <w:r w:rsidRPr="00684640">
              <w:t>profit, and not</w:t>
            </w:r>
            <w:r>
              <w:noBreakHyphen/>
            </w:r>
            <w:r w:rsidRPr="00684640">
              <w:t>for</w:t>
            </w:r>
            <w:r>
              <w:noBreakHyphen/>
            </w:r>
            <w:r w:rsidRPr="00684640">
              <w:t>profit providers, and were required to operate for at least 6.5 hours a day, with a maximum class size of 20 and minimum ratio of 1:10 including one qualified teacher and one qualified assistant.</w:t>
            </w:r>
          </w:p>
        </w:tc>
        <w:tc>
          <w:tcPr>
            <w:tcW w:w="1935" w:type="pct"/>
            <w:tcBorders>
              <w:top w:val="nil"/>
              <w:bottom w:val="nil"/>
            </w:tcBorders>
            <w:shd w:val="clear" w:color="000000" w:fill="auto"/>
          </w:tcPr>
          <w:p w14:paraId="087B1E02" w14:textId="77777777" w:rsidR="00396052" w:rsidRPr="00684640" w:rsidRDefault="00396052" w:rsidP="00177648">
            <w:pPr>
              <w:pStyle w:val="TableBody"/>
            </w:pPr>
            <w:r w:rsidRPr="00684640">
              <w:t xml:space="preserve">High school graduation was increased by access to the program, with suggestive evidence of an increase in bachelor degree completion. </w:t>
            </w:r>
          </w:p>
          <w:p w14:paraId="763AF76F" w14:textId="77777777" w:rsidR="00396052" w:rsidRPr="00684640" w:rsidRDefault="00396052" w:rsidP="00177648">
            <w:pPr>
              <w:pStyle w:val="TableBody"/>
              <w:spacing w:before="45" w:after="45"/>
              <w:ind w:right="108"/>
              <w:rPr>
                <w:rFonts w:ascii="Arial (Body)" w:hAnsi="Arial (Body)"/>
                <w:color w:val="000000"/>
              </w:rPr>
            </w:pPr>
            <w:r w:rsidRPr="00684640">
              <w:t>There were no significant effects on employment, although outcomes were measured at age 24 when some may still have been in tertiary education.</w:t>
            </w:r>
          </w:p>
        </w:tc>
      </w:tr>
      <w:tr w:rsidR="00396052" w:rsidRPr="00684640" w14:paraId="71833F67" w14:textId="77777777" w:rsidTr="00177648">
        <w:tc>
          <w:tcPr>
            <w:tcW w:w="1129" w:type="pct"/>
            <w:tcBorders>
              <w:top w:val="nil"/>
              <w:bottom w:val="nil"/>
            </w:tcBorders>
            <w:shd w:val="clear" w:color="000000" w:fill="F2F2F2"/>
          </w:tcPr>
          <w:p w14:paraId="0188EEEB" w14:textId="77777777" w:rsidR="00396052" w:rsidRPr="00684640" w:rsidRDefault="00396052" w:rsidP="00177648">
            <w:pPr>
              <w:pStyle w:val="TableBody"/>
            </w:pPr>
            <w:r w:rsidRPr="00684640">
              <w:t>Andreoli et al. 2023</w:t>
            </w:r>
          </w:p>
          <w:p w14:paraId="7D42645D" w14:textId="77777777" w:rsidR="00396052" w:rsidRPr="00684640" w:rsidRDefault="00396052" w:rsidP="00177648">
            <w:pPr>
              <w:pStyle w:val="TableBody"/>
            </w:pPr>
            <w:r w:rsidRPr="00684640">
              <w:lastRenderedPageBreak/>
              <w:t>IV exploiting a reform that expanded access to ECEC in France; education and labour market outcomes.</w:t>
            </w:r>
          </w:p>
        </w:tc>
        <w:tc>
          <w:tcPr>
            <w:tcW w:w="1935" w:type="pct"/>
            <w:tcBorders>
              <w:top w:val="nil"/>
              <w:bottom w:val="nil"/>
            </w:tcBorders>
            <w:shd w:val="clear" w:color="000000" w:fill="F2F2F2"/>
          </w:tcPr>
          <w:p w14:paraId="7711506C" w14:textId="77777777" w:rsidR="00396052" w:rsidRPr="00684640" w:rsidRDefault="00396052" w:rsidP="00177648">
            <w:pPr>
              <w:pStyle w:val="TableBody"/>
            </w:pPr>
            <w:r w:rsidRPr="00684640">
              <w:lastRenderedPageBreak/>
              <w:t xml:space="preserve">Children entering universal preschool between the ages of two and four in France, who were born between 1964 and 1973. </w:t>
            </w:r>
          </w:p>
          <w:p w14:paraId="6E4748BA" w14:textId="77777777" w:rsidR="00396052" w:rsidRPr="00684640" w:rsidRDefault="00396052" w:rsidP="00177648">
            <w:pPr>
              <w:pStyle w:val="TableBody"/>
            </w:pPr>
            <w:r w:rsidRPr="00684640">
              <w:lastRenderedPageBreak/>
              <w:t>Children were taught by degree</w:t>
            </w:r>
            <w:r>
              <w:noBreakHyphen/>
            </w:r>
            <w:r w:rsidRPr="00684640">
              <w:t xml:space="preserve">qualified teachers, with an average class size of 25 and a more academic focus that some other ECEC models. </w:t>
            </w:r>
          </w:p>
          <w:p w14:paraId="3FBDED66" w14:textId="77777777" w:rsidR="00396052" w:rsidRPr="00684640" w:rsidRDefault="00396052" w:rsidP="00177648">
            <w:pPr>
              <w:pStyle w:val="TableBody"/>
              <w:spacing w:before="45" w:after="45"/>
              <w:ind w:right="108"/>
              <w:rPr>
                <w:rFonts w:ascii="Arial (Body)" w:hAnsi="Arial (Body)"/>
                <w:color w:val="000000"/>
              </w:rPr>
            </w:pPr>
            <w:r w:rsidRPr="00684640">
              <w:t>About two thirds of children who did not attend preschool received parental or informal care (these were not reported separately).</w:t>
            </w:r>
          </w:p>
        </w:tc>
        <w:tc>
          <w:tcPr>
            <w:tcW w:w="1935" w:type="pct"/>
            <w:tcBorders>
              <w:top w:val="nil"/>
              <w:bottom w:val="nil"/>
            </w:tcBorders>
            <w:shd w:val="clear" w:color="000000" w:fill="F2F2F2"/>
          </w:tcPr>
          <w:p w14:paraId="74493632" w14:textId="77777777" w:rsidR="00396052" w:rsidRPr="00684640" w:rsidRDefault="00396052" w:rsidP="00177648">
            <w:pPr>
              <w:pStyle w:val="TableBody"/>
            </w:pPr>
            <w:r w:rsidRPr="00684640">
              <w:lastRenderedPageBreak/>
              <w:t>The reform increased the duration of preschool attendance similarly across SES.</w:t>
            </w:r>
          </w:p>
          <w:p w14:paraId="37B11BB1" w14:textId="77777777" w:rsidR="00396052" w:rsidRPr="00684640" w:rsidRDefault="00396052" w:rsidP="00177648">
            <w:pPr>
              <w:pStyle w:val="TableBody"/>
            </w:pPr>
            <w:r w:rsidRPr="00684640">
              <w:lastRenderedPageBreak/>
              <w:t>Average effects on long</w:t>
            </w:r>
            <w:r>
              <w:noBreakHyphen/>
            </w:r>
            <w:r w:rsidRPr="00684640">
              <w:t>term outcomes were not significant. For middle</w:t>
            </w:r>
            <w:r>
              <w:noBreakHyphen/>
            </w:r>
            <w:r w:rsidRPr="00684640">
              <w:t xml:space="preserve"> and high</w:t>
            </w:r>
            <w:r>
              <w:noBreakHyphen/>
            </w:r>
            <w:r w:rsidRPr="00684640">
              <w:t>SES children, attending preschool for longer increased educational attainment, employment and wages.</w:t>
            </w:r>
          </w:p>
          <w:p w14:paraId="20803523" w14:textId="77777777" w:rsidR="00396052" w:rsidRPr="00684640" w:rsidRDefault="00396052" w:rsidP="00177648">
            <w:pPr>
              <w:pStyle w:val="TableBody"/>
              <w:spacing w:before="45" w:after="45"/>
              <w:ind w:right="108"/>
              <w:rPr>
                <w:rFonts w:ascii="Arial (Body)" w:hAnsi="Arial (Body)"/>
                <w:color w:val="000000"/>
              </w:rPr>
            </w:pPr>
            <w:r w:rsidRPr="00684640">
              <w:t>Reduced form (ITT) estimates were generally in the same direction and also significant for middle</w:t>
            </w:r>
            <w:r>
              <w:noBreakHyphen/>
            </w:r>
            <w:r w:rsidRPr="00684640">
              <w:t xml:space="preserve"> and high</w:t>
            </w:r>
            <w:r>
              <w:noBreakHyphen/>
            </w:r>
            <w:r w:rsidRPr="00684640">
              <w:t>SES children, although (as would be expected) of lower magnitude.</w:t>
            </w:r>
          </w:p>
        </w:tc>
      </w:tr>
      <w:tr w:rsidR="00396052" w:rsidRPr="00684640" w14:paraId="6F315EBB" w14:textId="77777777" w:rsidTr="00177648">
        <w:tc>
          <w:tcPr>
            <w:tcW w:w="1129" w:type="pct"/>
            <w:tcBorders>
              <w:top w:val="nil"/>
              <w:bottom w:val="nil"/>
            </w:tcBorders>
            <w:shd w:val="clear" w:color="000000" w:fill="auto"/>
          </w:tcPr>
          <w:p w14:paraId="53243B64" w14:textId="77777777" w:rsidR="00396052" w:rsidRPr="00684640" w:rsidRDefault="00396052" w:rsidP="00177648">
            <w:pPr>
              <w:pStyle w:val="TableBody"/>
            </w:pPr>
            <w:r w:rsidRPr="00684640">
              <w:rPr>
                <w:rFonts w:ascii="Arial" w:hAnsi="Arial" w:cs="Arial"/>
              </w:rPr>
              <w:lastRenderedPageBreak/>
              <w:t>Bingley et al. 2021</w:t>
            </w:r>
          </w:p>
          <w:p w14:paraId="3007579A" w14:textId="77777777" w:rsidR="00396052" w:rsidRPr="00684640" w:rsidRDefault="00396052" w:rsidP="00177648">
            <w:pPr>
              <w:pStyle w:val="TableBody"/>
            </w:pPr>
            <w:r w:rsidRPr="00684640">
              <w:t>DiD exploiting a reform that expanded access to ECEC in Denmark; education and labour market outcomes.</w:t>
            </w:r>
          </w:p>
        </w:tc>
        <w:tc>
          <w:tcPr>
            <w:tcW w:w="1935" w:type="pct"/>
            <w:tcBorders>
              <w:top w:val="nil"/>
              <w:bottom w:val="nil"/>
            </w:tcBorders>
            <w:shd w:val="clear" w:color="000000" w:fill="auto"/>
          </w:tcPr>
          <w:p w14:paraId="24B8747B" w14:textId="77777777" w:rsidR="00396052" w:rsidRPr="00684640" w:rsidRDefault="00396052" w:rsidP="00177648">
            <w:pPr>
              <w:pStyle w:val="TableBody"/>
            </w:pPr>
            <w:r w:rsidRPr="00684640">
              <w:t>Children who attended universal ECEC in Denmark at age four between 1966 and 1979, as it was expanded from the previous system which was targeted at low</w:t>
            </w:r>
            <w:r>
              <w:noBreakHyphen/>
            </w:r>
            <w:r w:rsidRPr="00684640">
              <w:t>income families.</w:t>
            </w:r>
          </w:p>
          <w:p w14:paraId="53595BBD" w14:textId="77777777" w:rsidR="00396052" w:rsidRPr="00684640" w:rsidRDefault="00396052" w:rsidP="00177648">
            <w:pPr>
              <w:pStyle w:val="TableBody"/>
            </w:pPr>
            <w:r w:rsidRPr="00684640">
              <w:t>Centre directors were required to be certified teachers and educators were required to have two years of formal training (which increased to three years from 1970). The average ratio was 1:6.2.</w:t>
            </w:r>
          </w:p>
          <w:p w14:paraId="26213F53"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primarily be parental care but included informal care and FDC. FDC initially had no qualification requirements, a maximum of seven children and a maximum number of hours of 45. From 1973, there was a 70</w:t>
            </w:r>
            <w:r>
              <w:noBreakHyphen/>
            </w:r>
            <w:r w:rsidRPr="00684640">
              <w:t>hour training course for educators and from 1974 the maximum number of hours and children were reduced to five and 45, respectively.</w:t>
            </w:r>
          </w:p>
        </w:tc>
        <w:tc>
          <w:tcPr>
            <w:tcW w:w="1935" w:type="pct"/>
            <w:tcBorders>
              <w:top w:val="nil"/>
              <w:bottom w:val="nil"/>
            </w:tcBorders>
            <w:shd w:val="clear" w:color="000000" w:fill="auto"/>
          </w:tcPr>
          <w:p w14:paraId="64870893" w14:textId="77777777" w:rsidR="00396052" w:rsidRPr="00684640" w:rsidRDefault="00396052" w:rsidP="00177648">
            <w:pPr>
              <w:pStyle w:val="TableBody"/>
            </w:pPr>
            <w:r w:rsidRPr="00684640">
              <w:t>Increased availability of ECEC led to increases in the years of schooling that children completed, driven by increases in both the likelihood of high school and university completion. Earnings in adulthood also increased.</w:t>
            </w:r>
          </w:p>
          <w:p w14:paraId="2B60DCCD" w14:textId="77777777" w:rsidR="00396052" w:rsidRPr="00684640" w:rsidRDefault="00396052" w:rsidP="00177648">
            <w:pPr>
              <w:pStyle w:val="TableBody"/>
            </w:pPr>
            <w:r w:rsidRPr="00684640">
              <w:t>Based on other estimates of the return to schooling, less than half of the effect on earnings would be explained by increased educational attainment.</w:t>
            </w:r>
          </w:p>
          <w:p w14:paraId="3E035F71" w14:textId="77777777" w:rsidR="00396052" w:rsidRPr="00684640" w:rsidRDefault="00396052" w:rsidP="00177648">
            <w:pPr>
              <w:pStyle w:val="TableBody"/>
            </w:pPr>
            <w:r w:rsidRPr="00684640">
              <w:t>The positive average effect on earnings was driven by the top of the income distribution, while at the bottom, effects were negative but smaller in magnitude. Children whose mothers had completed high school or university saw positive effects, while for children whose mothers had less than a high school education, effects were insignificant and close to zero.</w:t>
            </w:r>
          </w:p>
          <w:p w14:paraId="22714A05" w14:textId="77777777" w:rsidR="00396052" w:rsidRPr="00684640" w:rsidRDefault="00396052" w:rsidP="00177648">
            <w:pPr>
              <w:pStyle w:val="TableBody"/>
              <w:spacing w:before="45" w:after="45"/>
              <w:ind w:right="108"/>
              <w:rPr>
                <w:rFonts w:ascii="Arial (Body)" w:hAnsi="Arial (Body)"/>
                <w:color w:val="000000"/>
              </w:rPr>
            </w:pPr>
            <w:r w:rsidRPr="00684640">
              <w:t>The authors estimate a benefit</w:t>
            </w:r>
            <w:r>
              <w:noBreakHyphen/>
            </w:r>
            <w:r w:rsidRPr="00684640">
              <w:t>to</w:t>
            </w:r>
            <w:r>
              <w:noBreakHyphen/>
            </w:r>
            <w:r w:rsidRPr="00684640">
              <w:t>cost ratio of 7.6, with a significant majority of these benefits estimated to come from increased maternal labour force participation.</w:t>
            </w:r>
          </w:p>
        </w:tc>
      </w:tr>
      <w:tr w:rsidR="00396052" w:rsidRPr="00684640" w14:paraId="535749F2" w14:textId="77777777" w:rsidTr="00177648">
        <w:tc>
          <w:tcPr>
            <w:tcW w:w="1129" w:type="pct"/>
            <w:tcBorders>
              <w:top w:val="nil"/>
              <w:bottom w:val="nil"/>
            </w:tcBorders>
            <w:shd w:val="clear" w:color="000000" w:fill="F2F2F2"/>
          </w:tcPr>
          <w:p w14:paraId="540C1F9F" w14:textId="77777777" w:rsidR="00396052" w:rsidRPr="00684640" w:rsidRDefault="00396052" w:rsidP="00177648">
            <w:pPr>
              <w:pStyle w:val="TableBody"/>
            </w:pPr>
            <w:r w:rsidRPr="00684640">
              <w:rPr>
                <w:rFonts w:ascii="Arial" w:hAnsi="Arial" w:cs="Arial"/>
              </w:rPr>
              <w:t>Bailey et al. 2021</w:t>
            </w:r>
          </w:p>
          <w:p w14:paraId="702601FB" w14:textId="77777777" w:rsidR="00396052" w:rsidRPr="00684640" w:rsidRDefault="00396052" w:rsidP="00177648">
            <w:pPr>
              <w:pStyle w:val="TableBody"/>
            </w:pPr>
            <w:r w:rsidRPr="00684640">
              <w:t xml:space="preserve">DiD exploiting the rollout of the US </w:t>
            </w:r>
            <w:r w:rsidRPr="00684640">
              <w:br/>
              <w:t>Head Start program; educational attainment and labour market outcomes.</w:t>
            </w:r>
          </w:p>
        </w:tc>
        <w:tc>
          <w:tcPr>
            <w:tcW w:w="1935" w:type="pct"/>
            <w:tcBorders>
              <w:top w:val="nil"/>
              <w:bottom w:val="nil"/>
            </w:tcBorders>
            <w:shd w:val="clear" w:color="000000" w:fill="F2F2F2"/>
          </w:tcPr>
          <w:p w14:paraId="7D26F79C" w14:textId="77777777" w:rsidR="00396052" w:rsidRPr="00684640" w:rsidRDefault="00396052" w:rsidP="00177648">
            <w:pPr>
              <w:pStyle w:val="TableBody"/>
            </w:pPr>
            <w:r w:rsidRPr="00684640">
              <w:t>Children born before 1980 in the US, who attended the Head Start program.</w:t>
            </w:r>
          </w:p>
          <w:p w14:paraId="5AF61E92" w14:textId="77777777" w:rsidR="00396052" w:rsidRPr="00684640" w:rsidRDefault="00396052" w:rsidP="00177648">
            <w:pPr>
              <w:pStyle w:val="TableBody"/>
            </w:pPr>
            <w:r w:rsidRPr="00684640">
              <w:t>Head Start is a preschool program targeted at children experiencing disadvantage. It began as an 8</w:t>
            </w:r>
            <w:r>
              <w:noBreakHyphen/>
            </w:r>
            <w:r w:rsidRPr="00684640">
              <w:t>week program in 1965 before transitioning to a full</w:t>
            </w:r>
            <w:r>
              <w:noBreakHyphen/>
            </w:r>
            <w:r w:rsidRPr="00684640">
              <w:t>year program for three</w:t>
            </w:r>
            <w:r>
              <w:noBreakHyphen/>
            </w:r>
            <w:r w:rsidRPr="00684640">
              <w:t>to</w:t>
            </w:r>
            <w:r>
              <w:noBreakHyphen/>
            </w:r>
            <w:r w:rsidRPr="00684640">
              <w:t>five</w:t>
            </w:r>
            <w:r>
              <w:noBreakHyphen/>
            </w:r>
            <w:r w:rsidRPr="00684640">
              <w:t>year</w:t>
            </w:r>
            <w:r>
              <w:noBreakHyphen/>
            </w:r>
            <w:r w:rsidRPr="00684640">
              <w:t>old children.</w:t>
            </w:r>
          </w:p>
          <w:p w14:paraId="2EFFAD78" w14:textId="77777777" w:rsidR="00396052" w:rsidRPr="00684640" w:rsidRDefault="00396052" w:rsidP="00177648">
            <w:pPr>
              <w:pStyle w:val="TableBody"/>
            </w:pPr>
            <w:r w:rsidRPr="00684640">
              <w:lastRenderedPageBreak/>
              <w:t>Early childhood education comprised 70% of its budget in 1966</w:t>
            </w:r>
            <w:r>
              <w:t>–</w:t>
            </w:r>
            <w:r w:rsidRPr="00684640">
              <w:t>1967, with the 17</w:t>
            </w:r>
            <w:r>
              <w:noBreakHyphen/>
            </w:r>
            <w:r w:rsidRPr="00684640">
              <w:t>20% for health services and nutrition and the remainder for parental involvement, social services and mental health services.</w:t>
            </w:r>
          </w:p>
          <w:p w14:paraId="21AE93B0" w14:textId="77777777" w:rsidR="00396052" w:rsidRPr="00684640" w:rsidRDefault="00396052" w:rsidP="00177648">
            <w:pPr>
              <w:pStyle w:val="TableBody"/>
              <w:spacing w:before="45" w:after="45"/>
              <w:ind w:right="108"/>
              <w:rPr>
                <w:rFonts w:ascii="Arial (Body)" w:hAnsi="Arial (Body)"/>
                <w:color w:val="000000"/>
              </w:rPr>
            </w:pPr>
            <w:r w:rsidRPr="00684640">
              <w:t>In the early stages of the program, there was a suggested ratio of one teacher for every 15 children, although many educators did not have postsecondary education.</w:t>
            </w:r>
          </w:p>
        </w:tc>
        <w:tc>
          <w:tcPr>
            <w:tcW w:w="1935" w:type="pct"/>
            <w:tcBorders>
              <w:top w:val="nil"/>
              <w:bottom w:val="nil"/>
            </w:tcBorders>
            <w:shd w:val="clear" w:color="000000" w:fill="F2F2F2"/>
          </w:tcPr>
          <w:p w14:paraId="4164782A" w14:textId="77777777" w:rsidR="00396052" w:rsidRPr="00684640" w:rsidRDefault="00396052" w:rsidP="00177648">
            <w:pPr>
              <w:pStyle w:val="TableBody"/>
            </w:pPr>
            <w:r w:rsidRPr="00684640">
              <w:lastRenderedPageBreak/>
              <w:t>Children were more likely to complete high school and university (including professional or doctoral degrees). Employment (including in professional jobs) and work hours increased, and adult poverty and receipt of government support payments fell.</w:t>
            </w:r>
          </w:p>
          <w:p w14:paraId="4662CA0F" w14:textId="77777777" w:rsidR="00396052" w:rsidRPr="00684640" w:rsidRDefault="00396052" w:rsidP="00177648">
            <w:pPr>
              <w:pStyle w:val="TableBody"/>
            </w:pPr>
            <w:r w:rsidRPr="00684640">
              <w:t>Effects seemed fairly similar for white and non</w:t>
            </w:r>
            <w:r>
              <w:noBreakHyphen/>
            </w:r>
            <w:r w:rsidRPr="00684640">
              <w:t>white children.</w:t>
            </w:r>
          </w:p>
          <w:p w14:paraId="56EE8361" w14:textId="77777777" w:rsidR="00396052" w:rsidRPr="00684640" w:rsidRDefault="00396052" w:rsidP="00177648">
            <w:pPr>
              <w:pStyle w:val="TableBody"/>
            </w:pPr>
            <w:r w:rsidRPr="00684640">
              <w:lastRenderedPageBreak/>
              <w:t>Effects were larger in areas where access to Medicaid (a health insurance program for low</w:t>
            </w:r>
            <w:r>
              <w:noBreakHyphen/>
            </w:r>
            <w:r w:rsidRPr="00684640">
              <w:t>income people) was greater, potentially because effects were partially driven by referrals to health services. Effects were smaller in areas where access to child health centres and food stamps was greater, potentially because these programs partially substituted for the effects of Head Start.</w:t>
            </w:r>
          </w:p>
          <w:p w14:paraId="17330997" w14:textId="77777777" w:rsidR="00396052" w:rsidRPr="00684640" w:rsidRDefault="00396052" w:rsidP="00177648">
            <w:pPr>
              <w:pStyle w:val="TableBody"/>
            </w:pPr>
            <w:r w:rsidRPr="00684640">
              <w:t>Head Start was estimated to pay for itself (primarily due to reductions in need for government support payments) and to have a very high internal rate of return for the children who participated in the program.</w:t>
            </w:r>
          </w:p>
          <w:p w14:paraId="1C03A82B" w14:textId="77777777" w:rsidR="00396052" w:rsidRPr="00684640" w:rsidRDefault="00396052" w:rsidP="00177648">
            <w:pPr>
              <w:pStyle w:val="TableBody"/>
              <w:spacing w:before="45" w:after="45"/>
              <w:ind w:right="108"/>
              <w:rPr>
                <w:rFonts w:ascii="Arial (Body)" w:hAnsi="Arial (Body)"/>
                <w:color w:val="000000"/>
              </w:rPr>
            </w:pPr>
            <w:r w:rsidRPr="00684640">
              <w:t xml:space="preserve">Other research on Head Start has found that benefits were affected by later schooling experiences </w:t>
            </w:r>
            <w:r w:rsidRPr="00684640">
              <w:rPr>
                <w:rFonts w:ascii="Arial" w:hAnsi="Arial" w:cs="Arial"/>
              </w:rPr>
              <w:t>(Johnson and Jackson 2019)</w:t>
            </w:r>
            <w:r w:rsidRPr="00684640">
              <w:t>. Effects of Head Start for children who attended schools that saw funding reductions on educational attainment, wages, incarceration and poverty were small and insignificant; for children who attended schools that saw funding increases, there were large effects on these outcomes.</w:t>
            </w:r>
          </w:p>
        </w:tc>
      </w:tr>
      <w:tr w:rsidR="00396052" w:rsidRPr="00684640" w14:paraId="3E57910E" w14:textId="77777777" w:rsidTr="00177648">
        <w:tc>
          <w:tcPr>
            <w:tcW w:w="1129" w:type="pct"/>
            <w:tcBorders>
              <w:top w:val="nil"/>
              <w:bottom w:val="nil"/>
            </w:tcBorders>
            <w:shd w:val="clear" w:color="000000" w:fill="auto"/>
          </w:tcPr>
          <w:p w14:paraId="56BC97F6" w14:textId="77777777" w:rsidR="00396052" w:rsidRPr="00684640" w:rsidRDefault="00396052" w:rsidP="00177648">
            <w:pPr>
              <w:pStyle w:val="TableBody"/>
            </w:pPr>
            <w:r w:rsidRPr="00684640">
              <w:rPr>
                <w:rFonts w:ascii="Arial" w:hAnsi="Arial" w:cs="Arial"/>
              </w:rPr>
              <w:lastRenderedPageBreak/>
              <w:t>Akee and Clark 2024</w:t>
            </w:r>
          </w:p>
          <w:p w14:paraId="1C1EAA69" w14:textId="77777777" w:rsidR="00396052" w:rsidRPr="00684640" w:rsidRDefault="00396052" w:rsidP="00177648">
            <w:pPr>
              <w:pStyle w:val="TableBody"/>
            </w:pPr>
            <w:r w:rsidRPr="00684640">
              <w:t>IV exploiting an admissions lottery in</w:t>
            </w:r>
            <w:r w:rsidRPr="00684640">
              <w:br/>
              <w:t>the US; labour market outcomes.</w:t>
            </w:r>
          </w:p>
        </w:tc>
        <w:tc>
          <w:tcPr>
            <w:tcW w:w="1935" w:type="pct"/>
            <w:tcBorders>
              <w:top w:val="nil"/>
              <w:bottom w:val="nil"/>
            </w:tcBorders>
            <w:shd w:val="clear" w:color="000000" w:fill="auto"/>
          </w:tcPr>
          <w:p w14:paraId="5F7C4327" w14:textId="77777777" w:rsidR="00396052" w:rsidRPr="00684640" w:rsidRDefault="00396052" w:rsidP="00177648">
            <w:pPr>
              <w:pStyle w:val="TableBody"/>
            </w:pPr>
            <w:r w:rsidRPr="00684640">
              <w:t>Children who attended free preschool under a program that provided it primarily for four</w:t>
            </w:r>
            <w:r>
              <w:noBreakHyphen/>
            </w:r>
            <w:r w:rsidRPr="00684640">
              <w:t>year</w:t>
            </w:r>
            <w:r>
              <w:noBreakHyphen/>
            </w:r>
            <w:r w:rsidRPr="00684640">
              <w:t>old Indigenous children in one US state (with non</w:t>
            </w:r>
            <w:r>
              <w:noBreakHyphen/>
            </w:r>
            <w:r w:rsidRPr="00684640">
              <w:t>Indigenous children eligible but not prioritised), born between 1992 and 1996.</w:t>
            </w:r>
          </w:p>
          <w:p w14:paraId="3D29142C" w14:textId="77777777" w:rsidR="00396052" w:rsidRPr="00684640" w:rsidRDefault="00396052" w:rsidP="00177648">
            <w:pPr>
              <w:pStyle w:val="TableBody"/>
            </w:pPr>
            <w:r w:rsidRPr="00684640">
              <w:t>When services were oversubscribed, a lottery determined which children were offered a place.</w:t>
            </w:r>
          </w:p>
          <w:p w14:paraId="6BF7B020" w14:textId="77777777" w:rsidR="00396052" w:rsidRPr="00684640" w:rsidRDefault="00396052" w:rsidP="00177648">
            <w:pPr>
              <w:pStyle w:val="TableBody"/>
              <w:spacing w:before="45" w:after="45"/>
              <w:ind w:right="108"/>
              <w:rPr>
                <w:rFonts w:ascii="Arial (Body)" w:hAnsi="Arial (Body)"/>
                <w:color w:val="000000"/>
              </w:rPr>
            </w:pPr>
            <w:r w:rsidRPr="00684640">
              <w:t>Services operated from 8am to about 2pm daily. Teachers were required to hold bachelor degrees and for aides, associate degrees were required. The average class size was about 20 children. Many teachers and aides came from the same Indigenous community as the children and reported being informed in their methods by Indigenous history, traditions and language.</w:t>
            </w:r>
          </w:p>
        </w:tc>
        <w:tc>
          <w:tcPr>
            <w:tcW w:w="1935" w:type="pct"/>
            <w:tcBorders>
              <w:top w:val="nil"/>
              <w:bottom w:val="nil"/>
            </w:tcBorders>
            <w:shd w:val="clear" w:color="000000" w:fill="auto"/>
          </w:tcPr>
          <w:p w14:paraId="182CBB28" w14:textId="77777777" w:rsidR="00396052" w:rsidRPr="00684640" w:rsidRDefault="00396052" w:rsidP="00177648">
            <w:pPr>
              <w:pStyle w:val="TableBody"/>
            </w:pPr>
            <w:r w:rsidRPr="00684640">
              <w:t>Earnings in early adulthood were increased by attending the program. Effects were somewhat larger for children whose parents earned below the median income of the sample.</w:t>
            </w:r>
          </w:p>
          <w:p w14:paraId="0714A701" w14:textId="77777777" w:rsidR="00396052" w:rsidRPr="00684640" w:rsidRDefault="00396052" w:rsidP="00177648">
            <w:pPr>
              <w:pStyle w:val="TableBody"/>
              <w:spacing w:before="45" w:after="45"/>
              <w:ind w:right="108"/>
              <w:rPr>
                <w:rFonts w:ascii="Arial (Body)" w:hAnsi="Arial (Body)"/>
                <w:color w:val="000000"/>
              </w:rPr>
            </w:pPr>
            <w:r w:rsidRPr="00684640">
              <w:t>Effects on employment were positive but not significant.</w:t>
            </w:r>
          </w:p>
        </w:tc>
      </w:tr>
      <w:tr w:rsidR="00396052" w:rsidRPr="00684640" w14:paraId="0681C07A" w14:textId="77777777" w:rsidTr="00177648">
        <w:tc>
          <w:tcPr>
            <w:tcW w:w="1129" w:type="pct"/>
            <w:tcBorders>
              <w:top w:val="nil"/>
              <w:bottom w:val="nil"/>
            </w:tcBorders>
            <w:shd w:val="clear" w:color="000000" w:fill="F2F2F2"/>
          </w:tcPr>
          <w:p w14:paraId="406488B3" w14:textId="77777777" w:rsidR="00396052" w:rsidRPr="00684640" w:rsidRDefault="00396052" w:rsidP="00177648">
            <w:pPr>
              <w:pStyle w:val="TableBody"/>
            </w:pPr>
            <w:r w:rsidRPr="00684640">
              <w:rPr>
                <w:rFonts w:ascii="Arial" w:hAnsi="Arial" w:cs="Arial"/>
              </w:rPr>
              <w:lastRenderedPageBreak/>
              <w:t>Herbst 2017</w:t>
            </w:r>
          </w:p>
          <w:p w14:paraId="6BDD00DC" w14:textId="77777777" w:rsidR="00396052" w:rsidRPr="00684640" w:rsidRDefault="00396052" w:rsidP="00177648">
            <w:pPr>
              <w:pStyle w:val="TableBody"/>
            </w:pPr>
            <w:r w:rsidRPr="00684640">
              <w:t>DiD exploiting the rollout of a historic universal ECEC program in the US; long</w:t>
            </w:r>
            <w:r>
              <w:noBreakHyphen/>
            </w:r>
            <w:r w:rsidRPr="00684640">
              <w:t>run effects.</w:t>
            </w:r>
          </w:p>
        </w:tc>
        <w:tc>
          <w:tcPr>
            <w:tcW w:w="1935" w:type="pct"/>
            <w:tcBorders>
              <w:top w:val="nil"/>
              <w:bottom w:val="nil"/>
            </w:tcBorders>
            <w:shd w:val="clear" w:color="000000" w:fill="F2F2F2"/>
          </w:tcPr>
          <w:p w14:paraId="1876DCDA" w14:textId="77777777" w:rsidR="00396052" w:rsidRPr="00684640" w:rsidRDefault="00396052" w:rsidP="00177648">
            <w:pPr>
              <w:pStyle w:val="TableBody"/>
            </w:pPr>
            <w:r w:rsidRPr="00684640">
              <w:t>Children in the US who attended an ECEC program introduced during WWII that operated between 1943 and 1946. The program included both CBDC for children aged 0</w:t>
            </w:r>
            <w:r>
              <w:noBreakHyphen/>
            </w:r>
            <w:r w:rsidRPr="00684640">
              <w:t xml:space="preserve">5, and </w:t>
            </w:r>
            <w:r>
              <w:t>outside school hours care</w:t>
            </w:r>
            <w:r w:rsidRPr="00684640">
              <w:t xml:space="preserve"> for children aged 6–12.</w:t>
            </w:r>
          </w:p>
          <w:p w14:paraId="23036473" w14:textId="77777777" w:rsidR="00396052" w:rsidRPr="00684640" w:rsidRDefault="00396052" w:rsidP="00177648">
            <w:pPr>
              <w:pStyle w:val="TableBody"/>
            </w:pPr>
            <w:r w:rsidRPr="00684640">
              <w:t>Most centres operated six days a week, with it being common for children to attend 12 hours a day. The recommended ratio was 1:10, with many centres abiding by this. There was a recommended 10–12</w:t>
            </w:r>
            <w:r>
              <w:noBreakHyphen/>
            </w:r>
            <w:r w:rsidRPr="00684640">
              <w:t>week training course and some schoolteachers worked in the centres. Quality varied significantly, and was sometimes very poor.</w:t>
            </w:r>
          </w:p>
          <w:p w14:paraId="54314DAB" w14:textId="77777777" w:rsidR="00396052" w:rsidRPr="00684640" w:rsidRDefault="00396052" w:rsidP="00177648">
            <w:pPr>
              <w:pStyle w:val="TableBody"/>
            </w:pPr>
            <w:r w:rsidRPr="00684640">
              <w:t>For children of school age, before</w:t>
            </w:r>
            <w:r>
              <w:noBreakHyphen/>
            </w:r>
            <w:r w:rsidRPr="00684640">
              <w:t xml:space="preserve"> and after</w:t>
            </w:r>
            <w:r>
              <w:noBreakHyphen/>
            </w:r>
            <w:r w:rsidRPr="00684640">
              <w:t>school care was provided, at which children typically spent a few hours. Programs included meals, activities, reading and assistance with schoolwork.</w:t>
            </w:r>
          </w:p>
          <w:p w14:paraId="027D7450"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parental care (with fathers unlikely to be present given mobilisation for WWII).</w:t>
            </w:r>
          </w:p>
        </w:tc>
        <w:tc>
          <w:tcPr>
            <w:tcW w:w="1935" w:type="pct"/>
            <w:tcBorders>
              <w:top w:val="nil"/>
              <w:bottom w:val="nil"/>
            </w:tcBorders>
            <w:shd w:val="clear" w:color="000000" w:fill="F2F2F2"/>
          </w:tcPr>
          <w:p w14:paraId="21E3D6B7" w14:textId="77777777" w:rsidR="00396052" w:rsidRPr="00684640" w:rsidRDefault="00396052" w:rsidP="00177648">
            <w:pPr>
              <w:pStyle w:val="TableBody"/>
            </w:pPr>
            <w:r w:rsidRPr="00684640">
              <w:t>Access to the program improved university completion, employment and earnings in adulthood, while reducing the likelihood of not completing high school, receiving government support payments and having work</w:t>
            </w:r>
            <w:r>
              <w:noBreakHyphen/>
            </w:r>
            <w:r w:rsidRPr="00684640">
              <w:t>related disabilities.</w:t>
            </w:r>
          </w:p>
          <w:p w14:paraId="3CB0E00F" w14:textId="77777777" w:rsidR="00396052" w:rsidRPr="00684640" w:rsidRDefault="00396052" w:rsidP="00177648">
            <w:pPr>
              <w:pStyle w:val="TableBody"/>
            </w:pPr>
            <w:r w:rsidRPr="00684640">
              <w:t>The bottom half of the earnings distribution saw the strongest effects. Estimates were negative, although much smaller, for the top half of the distribution at the earlier stages of their working life, although positive or close to zero later.</w:t>
            </w:r>
          </w:p>
          <w:p w14:paraId="6890650E" w14:textId="77777777" w:rsidR="00396052" w:rsidRPr="00684640" w:rsidRDefault="00396052" w:rsidP="00177648">
            <w:pPr>
              <w:pStyle w:val="TableBody"/>
              <w:spacing w:before="45" w:after="45"/>
              <w:ind w:right="108"/>
              <w:rPr>
                <w:rFonts w:ascii="Arial (Body)" w:hAnsi="Arial (Body)"/>
                <w:color w:val="000000"/>
              </w:rPr>
            </w:pPr>
            <w:r w:rsidRPr="00684640">
              <w:t xml:space="preserve">Results were not broken down between children who may have attended CBDC and </w:t>
            </w:r>
            <w:r>
              <w:t>outside school hours care</w:t>
            </w:r>
            <w:r w:rsidRPr="00684640">
              <w:t>.</w:t>
            </w:r>
          </w:p>
        </w:tc>
      </w:tr>
      <w:tr w:rsidR="00396052" w:rsidRPr="00684640" w14:paraId="5A8F9530" w14:textId="77777777" w:rsidTr="00177648">
        <w:tc>
          <w:tcPr>
            <w:tcW w:w="1129" w:type="pct"/>
            <w:tcBorders>
              <w:bottom w:val="nil"/>
            </w:tcBorders>
            <w:shd w:val="clear" w:color="000000" w:fill="FFFFFF" w:themeFill="background1"/>
          </w:tcPr>
          <w:p w14:paraId="3AC1BB7F" w14:textId="77777777" w:rsidR="00396052" w:rsidRPr="00684640" w:rsidRDefault="00396052" w:rsidP="00177648">
            <w:pPr>
              <w:pStyle w:val="TableBody"/>
            </w:pPr>
            <w:r w:rsidRPr="00684640">
              <w:rPr>
                <w:rFonts w:ascii="Arial" w:hAnsi="Arial" w:cs="Arial"/>
              </w:rPr>
              <w:t>Haimovich Paz 2015</w:t>
            </w:r>
          </w:p>
          <w:p w14:paraId="3542D34D" w14:textId="77777777" w:rsidR="00396052" w:rsidRPr="00684640" w:rsidRDefault="00396052" w:rsidP="00177648">
            <w:pPr>
              <w:pStyle w:val="TableBody"/>
            </w:pPr>
            <w:r>
              <w:noBreakHyphen/>
            </w:r>
            <w:r w:rsidRPr="00684640">
              <w:t>DiD</w:t>
            </w:r>
            <w:r>
              <w:t xml:space="preserve"> exploiting the introduction of </w:t>
            </w:r>
            <w:r w:rsidRPr="00684640">
              <w:t>early kindergarten in various US cities; long</w:t>
            </w:r>
            <w:r w:rsidRPr="00684640">
              <w:noBreakHyphen/>
              <w:t>term outcomes.</w:t>
            </w:r>
          </w:p>
        </w:tc>
        <w:tc>
          <w:tcPr>
            <w:tcW w:w="1935" w:type="pct"/>
            <w:tcBorders>
              <w:bottom w:val="nil"/>
            </w:tcBorders>
            <w:shd w:val="clear" w:color="000000" w:fill="FFFFFF" w:themeFill="background1"/>
          </w:tcPr>
          <w:p w14:paraId="5FB0F47B" w14:textId="77777777" w:rsidR="00396052" w:rsidRPr="00684640" w:rsidRDefault="00396052" w:rsidP="00177648">
            <w:pPr>
              <w:pStyle w:val="TableBody"/>
            </w:pPr>
            <w:r w:rsidRPr="00684640">
              <w:t>Children who attended public kindergarten in the US between the ages of four and six, from 1890 to 1910. Children in the analytical sample were born in the US, male and White.</w:t>
            </w:r>
          </w:p>
          <w:p w14:paraId="22A005C7" w14:textId="77777777" w:rsidR="00396052" w:rsidRPr="00684640" w:rsidRDefault="00396052" w:rsidP="00177648">
            <w:pPr>
              <w:pStyle w:val="TableBody"/>
            </w:pPr>
            <w:r w:rsidRPr="00684640">
              <w:t>Teachers were mostly high school graduates with two years of specific training. Sessions were typically for 2–3 hours in the morning.</w:t>
            </w:r>
          </w:p>
          <w:p w14:paraId="700A56C4" w14:textId="77777777" w:rsidR="00396052" w:rsidRPr="00684640" w:rsidRDefault="00396052" w:rsidP="00177648">
            <w:pPr>
              <w:pStyle w:val="TableBody"/>
              <w:spacing w:before="45" w:after="45"/>
              <w:ind w:right="108"/>
              <w:rPr>
                <w:rFonts w:ascii="Arial (Body)" w:hAnsi="Arial (Body)"/>
                <w:color w:val="000000"/>
              </w:rPr>
            </w:pPr>
            <w:r w:rsidRPr="00684640">
              <w:t>The counterfactual was parental care, with mothers unlikely to work regardless of access to ECEC.</w:t>
            </w:r>
          </w:p>
        </w:tc>
        <w:tc>
          <w:tcPr>
            <w:tcW w:w="1935" w:type="pct"/>
            <w:tcBorders>
              <w:bottom w:val="nil"/>
            </w:tcBorders>
            <w:shd w:val="clear" w:color="000000" w:fill="FFFFFF" w:themeFill="background1"/>
          </w:tcPr>
          <w:p w14:paraId="57AF953D" w14:textId="77777777" w:rsidR="00396052" w:rsidRPr="00684640" w:rsidRDefault="00396052" w:rsidP="00177648">
            <w:pPr>
              <w:pStyle w:val="TableBody"/>
            </w:pPr>
            <w:r w:rsidRPr="00684640">
              <w:t>Access to early kindergarten increased years of schooling and earnings in adulthood.</w:t>
            </w:r>
          </w:p>
          <w:p w14:paraId="05FD1EB4" w14:textId="77777777" w:rsidR="00396052" w:rsidRPr="00684640" w:rsidRDefault="00396052" w:rsidP="00177648">
            <w:pPr>
              <w:pStyle w:val="TableBody"/>
              <w:spacing w:before="45" w:after="45"/>
              <w:ind w:right="108"/>
              <w:rPr>
                <w:rFonts w:ascii="Arial (Body)" w:hAnsi="Arial (Body)"/>
                <w:color w:val="000000"/>
              </w:rPr>
            </w:pPr>
            <w:r w:rsidRPr="00684640">
              <w:t>Effects on earnings were driven by children whose mothers did not have English as their first language; effects on education were larger for these children but also significant for children of native English speakers.</w:t>
            </w:r>
          </w:p>
        </w:tc>
      </w:tr>
      <w:tr w:rsidR="00396052" w:rsidRPr="00684640" w14:paraId="480604B7" w14:textId="77777777" w:rsidTr="00177648">
        <w:tc>
          <w:tcPr>
            <w:tcW w:w="1129" w:type="pct"/>
            <w:tcBorders>
              <w:top w:val="nil"/>
              <w:bottom w:val="single" w:sz="4" w:space="0" w:color="B3B3B3"/>
            </w:tcBorders>
            <w:shd w:val="clear" w:color="000000" w:fill="F2F2F2"/>
          </w:tcPr>
          <w:p w14:paraId="515B3C4F" w14:textId="77777777" w:rsidR="00396052" w:rsidRPr="00684640" w:rsidRDefault="00396052" w:rsidP="00177648">
            <w:pPr>
              <w:pStyle w:val="TableBody"/>
            </w:pPr>
            <w:r w:rsidRPr="00684640">
              <w:t>Kawarazaki 2023</w:t>
            </w:r>
          </w:p>
          <w:p w14:paraId="342595CA" w14:textId="77777777" w:rsidR="00396052" w:rsidRPr="00684640" w:rsidRDefault="00396052" w:rsidP="00177648">
            <w:pPr>
              <w:pStyle w:val="TableBody"/>
            </w:pPr>
            <w:r w:rsidRPr="00684640">
              <w:t>IV exploiting differential changes in supply from an expansion of ECEC in Japan; education and labour market outcomes.</w:t>
            </w:r>
          </w:p>
        </w:tc>
        <w:tc>
          <w:tcPr>
            <w:tcW w:w="1935" w:type="pct"/>
            <w:tcBorders>
              <w:top w:val="nil"/>
              <w:bottom w:val="single" w:sz="4" w:space="0" w:color="B3B3B3"/>
            </w:tcBorders>
            <w:shd w:val="clear" w:color="000000" w:fill="F2F2F2"/>
          </w:tcPr>
          <w:p w14:paraId="20F04039" w14:textId="77777777" w:rsidR="00396052" w:rsidRPr="00684640" w:rsidRDefault="00396052" w:rsidP="00177648">
            <w:pPr>
              <w:pStyle w:val="TableBody"/>
            </w:pPr>
            <w:r w:rsidRPr="00684640">
              <w:t>Japanese children who attended ECEC at age four and were born between 1960 and 1989.</w:t>
            </w:r>
          </w:p>
          <w:p w14:paraId="3BDC9C61" w14:textId="77777777" w:rsidR="00396052" w:rsidRPr="00684640" w:rsidRDefault="00396052" w:rsidP="00177648">
            <w:pPr>
              <w:pStyle w:val="TableBody"/>
            </w:pPr>
            <w:r w:rsidRPr="00684640">
              <w:t>The ECEC system comprised a mix of preschool and CDBC models. The preschool model required teachers to have university education and had an average ratio of 25; the CBDC model did not require university education, had an average ratio of about 25</w:t>
            </w:r>
            <w:r>
              <w:noBreakHyphen/>
            </w:r>
            <w:r w:rsidRPr="00684640">
              <w:t xml:space="preserve">30, and operated for longer hours. </w:t>
            </w:r>
          </w:p>
        </w:tc>
        <w:tc>
          <w:tcPr>
            <w:tcW w:w="1935" w:type="pct"/>
            <w:tcBorders>
              <w:top w:val="nil"/>
              <w:bottom w:val="single" w:sz="4" w:space="0" w:color="B3B3B3"/>
            </w:tcBorders>
            <w:shd w:val="clear" w:color="000000" w:fill="F2F2F2"/>
          </w:tcPr>
          <w:p w14:paraId="19680EA1" w14:textId="77777777" w:rsidR="00396052" w:rsidRPr="00684640" w:rsidRDefault="00396052" w:rsidP="00177648">
            <w:pPr>
              <w:pStyle w:val="TableBody"/>
            </w:pPr>
            <w:r w:rsidRPr="00684640">
              <w:t>ECEC attendance increased university completion rates and earnings in adulthood, driven by higher wages rather than increases in hours worked.</w:t>
            </w:r>
          </w:p>
        </w:tc>
      </w:tr>
    </w:tbl>
    <w:p w14:paraId="29EFAC3C" w14:textId="77777777" w:rsidR="00396052" w:rsidRPr="00684640" w:rsidRDefault="00396052" w:rsidP="00396052">
      <w:pPr>
        <w:pStyle w:val="FigureTableHeading"/>
      </w:pPr>
      <w:r w:rsidRPr="00684640">
        <w:lastRenderedPageBreak/>
        <w:t>Table H.2</w:t>
      </w:r>
      <w:r w:rsidRPr="00684640">
        <w:rPr>
          <w:noProof/>
        </w:rPr>
        <w:t xml:space="preserve"> – </w:t>
      </w:r>
      <w:r w:rsidRPr="00684640">
        <w:t>Educational, labour market and/or justice system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91"/>
        <w:gridCol w:w="5691"/>
        <w:gridCol w:w="5688"/>
      </w:tblGrid>
      <w:tr w:rsidR="00396052" w:rsidRPr="00684640" w14:paraId="16244046" w14:textId="77777777" w:rsidTr="00177648">
        <w:trPr>
          <w:tblHeader/>
        </w:trPr>
        <w:tc>
          <w:tcPr>
            <w:tcW w:w="1095" w:type="pct"/>
            <w:tcBorders>
              <w:bottom w:val="single" w:sz="4" w:space="0" w:color="B3B3B3"/>
            </w:tcBorders>
            <w:shd w:val="clear" w:color="000000" w:fill="auto"/>
          </w:tcPr>
          <w:p w14:paraId="6AAF45C6" w14:textId="77777777" w:rsidR="00396052" w:rsidRPr="00684640" w:rsidRDefault="00396052" w:rsidP="00177648">
            <w:pPr>
              <w:pStyle w:val="TableHeading"/>
              <w:rPr>
                <w:rFonts w:ascii="Arial (Body)" w:hAnsi="Arial (Body)"/>
                <w:color w:val="265A9A"/>
              </w:rPr>
            </w:pPr>
            <w:r w:rsidRPr="00684640">
              <w:t>Study and methodology</w:t>
            </w:r>
          </w:p>
        </w:tc>
        <w:tc>
          <w:tcPr>
            <w:tcW w:w="1953" w:type="pct"/>
            <w:tcBorders>
              <w:bottom w:val="single" w:sz="4" w:space="0" w:color="B3B3B3"/>
            </w:tcBorders>
            <w:shd w:val="clear" w:color="000000" w:fill="auto"/>
          </w:tcPr>
          <w:p w14:paraId="61149DCF"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6EF70914" w14:textId="77777777" w:rsidR="00396052" w:rsidRPr="00684640" w:rsidRDefault="00396052" w:rsidP="00177648">
            <w:pPr>
              <w:pStyle w:val="TableHeading"/>
            </w:pPr>
            <w:r w:rsidRPr="00684640">
              <w:t>Findings</w:t>
            </w:r>
          </w:p>
        </w:tc>
      </w:tr>
      <w:tr w:rsidR="00396052" w:rsidRPr="00684640" w14:paraId="41147C23" w14:textId="77777777" w:rsidTr="00177648">
        <w:tc>
          <w:tcPr>
            <w:tcW w:w="1095" w:type="pct"/>
            <w:tcBorders>
              <w:top w:val="single" w:sz="4" w:space="0" w:color="B3B3B3"/>
              <w:bottom w:val="nil"/>
            </w:tcBorders>
            <w:shd w:val="clear" w:color="000000" w:fill="F2F2F2"/>
          </w:tcPr>
          <w:p w14:paraId="07C28896" w14:textId="77777777" w:rsidR="00396052" w:rsidRPr="00684640" w:rsidRDefault="00396052" w:rsidP="00177648">
            <w:pPr>
              <w:pStyle w:val="TableBody"/>
            </w:pPr>
            <w:r w:rsidRPr="00684640">
              <w:t>Gray-Lobe et al. 2023</w:t>
            </w:r>
          </w:p>
          <w:p w14:paraId="4CFE9D16" w14:textId="77777777" w:rsidR="00396052" w:rsidRPr="00684640" w:rsidRDefault="00396052" w:rsidP="00177648">
            <w:pPr>
              <w:pStyle w:val="TableBody"/>
            </w:pPr>
            <w:r w:rsidRPr="00684640">
              <w:t>IV exploiting a lottery for oversubscribed preschools in the US; education and labour market outcomes.</w:t>
            </w:r>
          </w:p>
        </w:tc>
        <w:tc>
          <w:tcPr>
            <w:tcW w:w="1953" w:type="pct"/>
            <w:tcBorders>
              <w:top w:val="single" w:sz="4" w:space="0" w:color="B3B3B3"/>
              <w:bottom w:val="nil"/>
            </w:tcBorders>
            <w:shd w:val="clear" w:color="000000" w:fill="F2F2F2"/>
          </w:tcPr>
          <w:p w14:paraId="5EDD307A" w14:textId="77777777" w:rsidR="00396052" w:rsidRPr="00684640" w:rsidRDefault="00396052" w:rsidP="00177648">
            <w:pPr>
              <w:pStyle w:val="TableBody"/>
            </w:pPr>
            <w:r w:rsidRPr="00684640">
              <w:t>Four</w:t>
            </w:r>
            <w:r>
              <w:noBreakHyphen/>
            </w:r>
            <w:r w:rsidRPr="00684640">
              <w:t>year</w:t>
            </w:r>
            <w:r>
              <w:noBreakHyphen/>
            </w:r>
            <w:r w:rsidRPr="00684640">
              <w:t>old universal public preschool in Boston from 1997 to 2003, with a high and disproportionate share of low</w:t>
            </w:r>
            <w:r>
              <w:noBreakHyphen/>
            </w:r>
            <w:r w:rsidRPr="00684640">
              <w:t>income and non</w:t>
            </w:r>
            <w:r>
              <w:noBreakHyphen/>
            </w:r>
            <w:r w:rsidRPr="00684640">
              <w:t>White students.</w:t>
            </w:r>
          </w:p>
          <w:p w14:paraId="6699B034" w14:textId="77777777" w:rsidR="00396052" w:rsidRPr="00684640" w:rsidRDefault="00396052" w:rsidP="00177648">
            <w:pPr>
              <w:pStyle w:val="TableBody"/>
            </w:pPr>
            <w:r w:rsidRPr="00684640">
              <w:t>The average class size was 19, and teachers were degree qualified. There was a mix of half</w:t>
            </w:r>
            <w:r>
              <w:noBreakHyphen/>
            </w:r>
            <w:r w:rsidRPr="00684640">
              <w:t>day (2.5 hours) and full</w:t>
            </w:r>
            <w:r>
              <w:noBreakHyphen/>
            </w:r>
            <w:r w:rsidRPr="00684640">
              <w:t>day (6 hours) preschool. Quality concerns about the program had been noted.</w:t>
            </w:r>
          </w:p>
          <w:p w14:paraId="3109ACB5" w14:textId="77777777" w:rsidR="00396052" w:rsidRPr="00684640" w:rsidRDefault="00396052" w:rsidP="00177648">
            <w:pPr>
              <w:pStyle w:val="TableBody"/>
              <w:spacing w:before="45" w:after="45"/>
              <w:ind w:right="108"/>
              <w:rPr>
                <w:rFonts w:ascii="Arial (Body)" w:hAnsi="Arial (Body)"/>
                <w:color w:val="000000"/>
              </w:rPr>
            </w:pPr>
            <w:r w:rsidRPr="00684640">
              <w:t>Of the children who attended, 38% may not have otherwise attended any other form of ECEC, 33% may have attended Head Start and 29% may have attended private preschool.</w:t>
            </w:r>
          </w:p>
        </w:tc>
        <w:tc>
          <w:tcPr>
            <w:tcW w:w="1952" w:type="pct"/>
            <w:tcBorders>
              <w:top w:val="single" w:sz="4" w:space="0" w:color="B3B3B3"/>
              <w:bottom w:val="nil"/>
            </w:tcBorders>
            <w:shd w:val="clear" w:color="000000" w:fill="F2F2F2"/>
          </w:tcPr>
          <w:p w14:paraId="5B337238" w14:textId="77777777" w:rsidR="00396052" w:rsidRPr="00684640" w:rsidRDefault="00396052" w:rsidP="00177648">
            <w:pPr>
              <w:pStyle w:val="TableBody"/>
            </w:pPr>
            <w:r w:rsidRPr="00684640">
              <w:t>The preschool program did not significantly affect school test scores but improved disciplinary outcomes, high school graduation, university attendance and juvenile incarceration.</w:t>
            </w:r>
          </w:p>
          <w:p w14:paraId="5FB1BFB5" w14:textId="77777777" w:rsidR="00396052" w:rsidRPr="00684640" w:rsidRDefault="00396052" w:rsidP="00177648">
            <w:pPr>
              <w:pStyle w:val="TableBody"/>
              <w:spacing w:before="45" w:after="45"/>
              <w:ind w:right="108"/>
              <w:rPr>
                <w:rFonts w:ascii="Arial (Body)" w:hAnsi="Arial (Body)"/>
                <w:color w:val="000000"/>
              </w:rPr>
            </w:pPr>
            <w:r w:rsidRPr="00684640">
              <w:t>Differences in effects by parental income were generally not statistically significant but in the direction of benefits being larger for higher</w:t>
            </w:r>
            <w:r>
              <w:noBreakHyphen/>
            </w:r>
            <w:r w:rsidRPr="00684640">
              <w:t>income children.</w:t>
            </w:r>
          </w:p>
        </w:tc>
      </w:tr>
      <w:tr w:rsidR="00396052" w:rsidRPr="00684640" w14:paraId="0233C424" w14:textId="77777777" w:rsidTr="00177648">
        <w:tc>
          <w:tcPr>
            <w:tcW w:w="1095" w:type="pct"/>
            <w:tcBorders>
              <w:top w:val="nil"/>
              <w:bottom w:val="nil"/>
            </w:tcBorders>
            <w:shd w:val="clear" w:color="000000" w:fill="auto"/>
          </w:tcPr>
          <w:p w14:paraId="49EB2E72" w14:textId="77777777" w:rsidR="00396052" w:rsidRPr="00684640" w:rsidRDefault="00396052" w:rsidP="00177648">
            <w:pPr>
              <w:pStyle w:val="TableBody"/>
            </w:pPr>
            <w:r w:rsidRPr="00684640">
              <w:rPr>
                <w:rFonts w:ascii="Arial" w:hAnsi="Arial" w:cs="Arial"/>
              </w:rPr>
              <w:t>DeMalach and Schlosser 2024</w:t>
            </w:r>
          </w:p>
          <w:p w14:paraId="5E619C2F" w14:textId="77777777" w:rsidR="00396052" w:rsidRPr="00684640" w:rsidRDefault="00396052" w:rsidP="00177648">
            <w:pPr>
              <w:pStyle w:val="TableBody"/>
            </w:pPr>
            <w:r w:rsidRPr="00684640">
              <w:t>DiD exploiting the introduction of universal public preschool in Israel; educational and justice system outcomes.</w:t>
            </w:r>
          </w:p>
        </w:tc>
        <w:tc>
          <w:tcPr>
            <w:tcW w:w="1953" w:type="pct"/>
            <w:tcBorders>
              <w:top w:val="nil"/>
              <w:bottom w:val="nil"/>
            </w:tcBorders>
            <w:shd w:val="clear" w:color="000000" w:fill="auto"/>
          </w:tcPr>
          <w:p w14:paraId="61B1AFEF" w14:textId="77777777" w:rsidR="00396052" w:rsidRPr="00684640" w:rsidRDefault="00396052" w:rsidP="00177648">
            <w:pPr>
              <w:pStyle w:val="TableBody"/>
            </w:pPr>
            <w:r w:rsidRPr="00684640">
              <w:t>Children who attended universal public preschool at age three and four in Israel, between 1999 and 2003.</w:t>
            </w:r>
          </w:p>
          <w:p w14:paraId="78B73D23" w14:textId="77777777" w:rsidR="00396052" w:rsidRPr="00684640" w:rsidRDefault="00396052" w:rsidP="00177648">
            <w:pPr>
              <w:pStyle w:val="TableBody"/>
            </w:pPr>
            <w:r w:rsidRPr="00684640">
              <w:t>The introduction of preschool was prioritised, and first expanded access in disadvantaged areas. These were disproportionately areas in which the population was almost entirely Arab, on which the study focuses.</w:t>
            </w:r>
          </w:p>
          <w:p w14:paraId="28B15556" w14:textId="77777777" w:rsidR="00396052" w:rsidRPr="00684640" w:rsidRDefault="00396052" w:rsidP="00177648">
            <w:pPr>
              <w:pStyle w:val="TableBody"/>
              <w:spacing w:before="45" w:after="45"/>
              <w:ind w:right="108"/>
              <w:rPr>
                <w:rFonts w:ascii="Arial (Body)" w:hAnsi="Arial (Body)"/>
                <w:color w:val="000000"/>
              </w:rPr>
            </w:pPr>
            <w:r w:rsidRPr="00684640">
              <w:t>Preschools were open six days a week and 6.5 hours a day. The maximum class size was 35 with one teacher and one or two aides. Attendance was compulsory, although this was not enforced.</w:t>
            </w:r>
          </w:p>
        </w:tc>
        <w:tc>
          <w:tcPr>
            <w:tcW w:w="1952" w:type="pct"/>
            <w:tcBorders>
              <w:top w:val="nil"/>
              <w:bottom w:val="nil"/>
            </w:tcBorders>
            <w:shd w:val="clear" w:color="000000" w:fill="auto"/>
          </w:tcPr>
          <w:p w14:paraId="36239431" w14:textId="77777777" w:rsidR="00396052" w:rsidRPr="00684640" w:rsidRDefault="00396052" w:rsidP="00177648">
            <w:pPr>
              <w:pStyle w:val="TableBody"/>
            </w:pPr>
            <w:r w:rsidRPr="00684640">
              <w:t>There were benefits to school test scores that generally faded out by eighth grade. Children were more likely to report they enjoyed school, that students helped each other in class and that they had better relationships with their teachers. They were less likely to report that they were afraid to go to school or that they had been insulted by teachers.</w:t>
            </w:r>
          </w:p>
          <w:p w14:paraId="0DF8EE60" w14:textId="77777777" w:rsidR="00396052" w:rsidRPr="00684640" w:rsidRDefault="00396052" w:rsidP="00177648">
            <w:pPr>
              <w:pStyle w:val="TableBody"/>
            </w:pPr>
            <w:r w:rsidRPr="00684640">
              <w:t>High school completion rates and university entrance examination scores improved. There were also increases in university and vocational education enrolment.</w:t>
            </w:r>
          </w:p>
          <w:p w14:paraId="21DD92CC" w14:textId="77777777" w:rsidR="00396052" w:rsidRPr="00684640" w:rsidRDefault="00396052" w:rsidP="00177648">
            <w:pPr>
              <w:pStyle w:val="TableBody"/>
            </w:pPr>
            <w:r w:rsidRPr="00684640">
              <w:t>The likelihood of having a juvenile crime record was significantly decreased for boys. For girls, there was an insignificant decline in the probability of marriage between the ages of 18 and 21.</w:t>
            </w:r>
          </w:p>
          <w:p w14:paraId="4C555F3F" w14:textId="77777777" w:rsidR="00396052" w:rsidRPr="00684640" w:rsidRDefault="00396052" w:rsidP="00177648">
            <w:pPr>
              <w:pStyle w:val="TableBody"/>
              <w:spacing w:before="45" w:after="45"/>
              <w:ind w:right="108"/>
              <w:rPr>
                <w:rFonts w:ascii="Arial (Body)" w:hAnsi="Arial (Body)"/>
                <w:color w:val="000000"/>
              </w:rPr>
            </w:pPr>
            <w:r w:rsidRPr="00684640">
              <w:t>Effects on educational outcomes were stronger for children whose parents completed fewer than 12 years of education and whose mothers were not employed. For juvenile crime and early marriage outcomes, effects did not differ by parental education levels. Declines in early marriage were stronger for children whose fathers had low incomes.</w:t>
            </w:r>
          </w:p>
        </w:tc>
      </w:tr>
      <w:tr w:rsidR="00396052" w:rsidRPr="00684640" w14:paraId="0FC27612" w14:textId="77777777" w:rsidTr="00177648">
        <w:tc>
          <w:tcPr>
            <w:tcW w:w="1095" w:type="pct"/>
            <w:tcBorders>
              <w:bottom w:val="single" w:sz="4" w:space="0" w:color="B3B3B3"/>
            </w:tcBorders>
            <w:shd w:val="clear" w:color="000000" w:fill="F2F2F2"/>
          </w:tcPr>
          <w:p w14:paraId="16F83ACC" w14:textId="77777777" w:rsidR="00396052" w:rsidRPr="00684640" w:rsidRDefault="00396052" w:rsidP="00177648">
            <w:pPr>
              <w:pStyle w:val="TableBody"/>
            </w:pPr>
            <w:r w:rsidRPr="00684640">
              <w:lastRenderedPageBreak/>
              <w:t>Gruber et al. 2023</w:t>
            </w:r>
          </w:p>
          <w:p w14:paraId="4BF473E9" w14:textId="77777777" w:rsidR="00396052" w:rsidRPr="00684640" w:rsidRDefault="00396052" w:rsidP="00177648">
            <w:pPr>
              <w:pStyle w:val="TableBody"/>
            </w:pPr>
            <w:r w:rsidRPr="00684640">
              <w:t>Two reforms in Finland; medium</w:t>
            </w:r>
            <w:r>
              <w:noBreakHyphen/>
            </w:r>
            <w:r w:rsidRPr="00684640">
              <w:t>term educational and justice system outcomes.</w:t>
            </w:r>
          </w:p>
          <w:p w14:paraId="7C0F8D47" w14:textId="77777777" w:rsidR="00396052" w:rsidRPr="00684640" w:rsidRDefault="00396052" w:rsidP="00177648">
            <w:pPr>
              <w:pStyle w:val="TableBody"/>
            </w:pPr>
            <w:r w:rsidRPr="00684640">
              <w:t>1. DiD exploiting the introduction of a payment to parents who do not use ECEC.</w:t>
            </w:r>
          </w:p>
          <w:p w14:paraId="7BABE29D" w14:textId="77777777" w:rsidR="00396052" w:rsidRPr="00684640" w:rsidRDefault="00396052" w:rsidP="00177648">
            <w:pPr>
              <w:pStyle w:val="TableBody"/>
            </w:pPr>
            <w:r w:rsidRPr="00684640">
              <w:t>2. DiD exploiting a standardisation of ECEC fees.</w:t>
            </w:r>
          </w:p>
        </w:tc>
        <w:tc>
          <w:tcPr>
            <w:tcW w:w="1953" w:type="pct"/>
            <w:tcBorders>
              <w:bottom w:val="single" w:sz="4" w:space="0" w:color="B3B3B3"/>
            </w:tcBorders>
            <w:shd w:val="clear" w:color="000000" w:fill="F2F2F2"/>
          </w:tcPr>
          <w:p w14:paraId="0C218AC3" w14:textId="77777777" w:rsidR="00396052" w:rsidRPr="00684640" w:rsidRDefault="00396052" w:rsidP="00177648">
            <w:pPr>
              <w:pStyle w:val="TableBody"/>
            </w:pPr>
            <w:r w:rsidRPr="00684640">
              <w:t>1. A subsidy paid to parents of children who were not in ECEC between the ages of nine months and three years.</w:t>
            </w:r>
          </w:p>
          <w:p w14:paraId="7DD519B4" w14:textId="77777777" w:rsidR="00396052" w:rsidRPr="00684640" w:rsidRDefault="00396052" w:rsidP="00177648">
            <w:pPr>
              <w:pStyle w:val="TableBody"/>
            </w:pPr>
            <w:r w:rsidRPr="00684640">
              <w:t>2. A 1997 reform that standardised ECEC fees, increasing them in some municipalities and reducing them in others.</w:t>
            </w:r>
          </w:p>
          <w:p w14:paraId="7347F770" w14:textId="77777777" w:rsidR="00396052" w:rsidRPr="00684640" w:rsidRDefault="00396052" w:rsidP="00177648">
            <w:pPr>
              <w:pStyle w:val="TableBody"/>
              <w:spacing w:before="45" w:after="45"/>
              <w:ind w:right="108"/>
              <w:rPr>
                <w:rFonts w:ascii="Arial (Body)" w:hAnsi="Arial (Body)"/>
                <w:color w:val="000000"/>
              </w:rPr>
            </w:pPr>
            <w:r w:rsidRPr="00684640">
              <w:t>These affected the attendance of ECEC in Finland, which is mostly publicly provided. There was a minimum ratio of 1:3 for one</w:t>
            </w:r>
            <w:r>
              <w:noBreakHyphen/>
            </w:r>
            <w:r w:rsidRPr="00684640">
              <w:t>year</w:t>
            </w:r>
            <w:r>
              <w:noBreakHyphen/>
            </w:r>
            <w:r w:rsidRPr="00684640">
              <w:t>old children. Teachers were generally required to have university education.</w:t>
            </w:r>
          </w:p>
        </w:tc>
        <w:tc>
          <w:tcPr>
            <w:tcW w:w="1952" w:type="pct"/>
            <w:tcBorders>
              <w:bottom w:val="single" w:sz="4" w:space="0" w:color="B3B3B3"/>
            </w:tcBorders>
            <w:shd w:val="clear" w:color="000000" w:fill="F2F2F2"/>
          </w:tcPr>
          <w:p w14:paraId="2AEC7701" w14:textId="77777777" w:rsidR="00396052" w:rsidRPr="00684640" w:rsidRDefault="00396052" w:rsidP="00177648">
            <w:pPr>
              <w:pStyle w:val="TableBody"/>
            </w:pPr>
            <w:r w:rsidRPr="00684640">
              <w:t>1. The payment, which reduced maternal labour supply, increased children’s likelihood of failing cognitive ability checks at maternal and child health clinics at age four or five. Enrolment in academic high schools was lower and criminal convictions between the ages of 15 and 18 years were higher.</w:t>
            </w:r>
          </w:p>
          <w:p w14:paraId="4C9E29D2" w14:textId="77777777" w:rsidR="00396052" w:rsidRPr="00684640" w:rsidRDefault="00396052" w:rsidP="00177648">
            <w:pPr>
              <w:pStyle w:val="TableBody"/>
            </w:pPr>
            <w:r w:rsidRPr="00684640">
              <w:t>2. ECEC attendance reduced the likelihood of failing the same checks, increased enrolment in academic high schools and seemed to reduce youth criminal convictions (although this was not significant).</w:t>
            </w:r>
          </w:p>
          <w:p w14:paraId="6AB72990" w14:textId="77777777" w:rsidR="00396052" w:rsidRPr="00684640" w:rsidRDefault="00396052" w:rsidP="00177648">
            <w:pPr>
              <w:pStyle w:val="TableBody"/>
              <w:spacing w:before="45" w:after="45"/>
              <w:ind w:right="108"/>
              <w:rPr>
                <w:rFonts w:ascii="Arial (Body)" w:hAnsi="Arial (Body)"/>
                <w:color w:val="000000"/>
              </w:rPr>
            </w:pPr>
            <w:r w:rsidRPr="00684640">
              <w:t>Effects were generally larger in absolute terms for children whose parents have higher income or education levels, although similar in relative terms.</w:t>
            </w:r>
          </w:p>
        </w:tc>
      </w:tr>
    </w:tbl>
    <w:p w14:paraId="32385493" w14:textId="77777777" w:rsidR="00396052" w:rsidRPr="00684640" w:rsidRDefault="00396052" w:rsidP="00396052">
      <w:pPr>
        <w:pStyle w:val="BodyText"/>
      </w:pPr>
    </w:p>
    <w:p w14:paraId="3611628B" w14:textId="77777777" w:rsidR="00396052" w:rsidRPr="00684640" w:rsidRDefault="00396052" w:rsidP="00396052">
      <w:pPr>
        <w:pStyle w:val="BodyText"/>
      </w:pPr>
      <w:r w:rsidRPr="00684640">
        <w:br w:type="page"/>
      </w:r>
    </w:p>
    <w:p w14:paraId="53FE51DA" w14:textId="77777777" w:rsidR="00396052" w:rsidRPr="00684640" w:rsidRDefault="00396052" w:rsidP="00396052">
      <w:pPr>
        <w:pStyle w:val="FigureTableHeading"/>
      </w:pPr>
      <w:r w:rsidRPr="00684640">
        <w:lastRenderedPageBreak/>
        <w:t>Table H.3</w:t>
      </w:r>
      <w:r w:rsidRPr="00684640">
        <w:rPr>
          <w:noProof/>
        </w:rPr>
        <w:t xml:space="preserve"> – </w:t>
      </w:r>
      <w:r w:rsidRPr="00684640">
        <w:rPr>
          <w:b/>
          <w:bCs/>
        </w:rPr>
        <w:t>Justice system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1"/>
        <w:gridCol w:w="5481"/>
        <w:gridCol w:w="5688"/>
      </w:tblGrid>
      <w:tr w:rsidR="00396052" w:rsidRPr="00684640" w14:paraId="1192CEC6" w14:textId="77777777" w:rsidTr="00177648">
        <w:trPr>
          <w:tblHeader/>
        </w:trPr>
        <w:tc>
          <w:tcPr>
            <w:tcW w:w="1167" w:type="pct"/>
            <w:tcBorders>
              <w:bottom w:val="single" w:sz="4" w:space="0" w:color="B3B3B3"/>
            </w:tcBorders>
            <w:shd w:val="clear" w:color="000000" w:fill="auto"/>
          </w:tcPr>
          <w:p w14:paraId="5E96EC7D" w14:textId="77777777" w:rsidR="00396052" w:rsidRPr="00684640" w:rsidRDefault="00396052" w:rsidP="00177648">
            <w:pPr>
              <w:pStyle w:val="TableHeading"/>
              <w:rPr>
                <w:rFonts w:ascii="Arial (Body)" w:hAnsi="Arial (Body)"/>
                <w:color w:val="265A9A"/>
              </w:rPr>
            </w:pPr>
            <w:r w:rsidRPr="00684640">
              <w:t>Study and methodology</w:t>
            </w:r>
          </w:p>
        </w:tc>
        <w:tc>
          <w:tcPr>
            <w:tcW w:w="1881" w:type="pct"/>
            <w:tcBorders>
              <w:bottom w:val="single" w:sz="4" w:space="0" w:color="B3B3B3"/>
            </w:tcBorders>
            <w:shd w:val="clear" w:color="000000" w:fill="auto"/>
          </w:tcPr>
          <w:p w14:paraId="5EFB5E83"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6C659F07" w14:textId="77777777" w:rsidR="00396052" w:rsidRPr="00684640" w:rsidRDefault="00396052" w:rsidP="00177648">
            <w:pPr>
              <w:pStyle w:val="TableHeading"/>
            </w:pPr>
            <w:r w:rsidRPr="00684640">
              <w:t>Findings</w:t>
            </w:r>
          </w:p>
        </w:tc>
      </w:tr>
      <w:tr w:rsidR="00396052" w:rsidRPr="00684640" w14:paraId="5DFE55F7" w14:textId="77777777" w:rsidTr="00177648">
        <w:tc>
          <w:tcPr>
            <w:tcW w:w="1167" w:type="pct"/>
            <w:tcBorders>
              <w:top w:val="single" w:sz="4" w:space="0" w:color="B3B3B3"/>
              <w:bottom w:val="nil"/>
            </w:tcBorders>
            <w:shd w:val="clear" w:color="000000" w:fill="F2F2F2"/>
          </w:tcPr>
          <w:p w14:paraId="481345E4" w14:textId="77777777" w:rsidR="00396052" w:rsidRPr="00684640" w:rsidRDefault="00396052" w:rsidP="00177648">
            <w:pPr>
              <w:pStyle w:val="TableBody"/>
            </w:pPr>
            <w:r w:rsidRPr="00684640">
              <w:t>Wentzel 2023</w:t>
            </w:r>
          </w:p>
          <w:p w14:paraId="266D0C01" w14:textId="77777777" w:rsidR="00396052" w:rsidRPr="00684640" w:rsidRDefault="00396052" w:rsidP="00177648">
            <w:pPr>
              <w:pStyle w:val="TableBody"/>
            </w:pPr>
            <w:r w:rsidRPr="00684640">
              <w:t>Three reforms in Norway; justice system outcomes.</w:t>
            </w:r>
          </w:p>
          <w:p w14:paraId="4072437A" w14:textId="77777777" w:rsidR="00396052" w:rsidRPr="00684640" w:rsidRDefault="00396052" w:rsidP="00177648">
            <w:pPr>
              <w:pStyle w:val="TableBody"/>
            </w:pPr>
            <w:r w:rsidRPr="00684640">
              <w:t>1. DiD exploiting the rollout of a reform that expanded access to ECEC.</w:t>
            </w:r>
          </w:p>
          <w:p w14:paraId="7A93733D" w14:textId="77777777" w:rsidR="00396052" w:rsidRPr="00684640" w:rsidRDefault="00396052" w:rsidP="00177648">
            <w:pPr>
              <w:pStyle w:val="TableBody"/>
            </w:pPr>
            <w:r w:rsidRPr="00684640">
              <w:t>2.</w:t>
            </w:r>
            <w:r>
              <w:t xml:space="preserve"> D</w:t>
            </w:r>
            <w:r w:rsidRPr="00684640">
              <w:t>ifference</w:t>
            </w:r>
            <w:r>
              <w:noBreakHyphen/>
            </w:r>
            <w:r w:rsidRPr="00684640">
              <w:t>in</w:t>
            </w:r>
            <w:r>
              <w:noBreakHyphen/>
            </w:r>
            <w:r w:rsidRPr="00684640">
              <w:t>regression</w:t>
            </w:r>
            <w:r>
              <w:noBreakHyphen/>
            </w:r>
            <w:r w:rsidRPr="00684640">
              <w:t>discontinuity</w:t>
            </w:r>
            <w:r w:rsidRPr="00684640">
              <w:rPr>
                <w:rStyle w:val="FootnoteReference"/>
              </w:rPr>
              <w:footnoteReference w:id="74"/>
            </w:r>
            <w:r w:rsidRPr="00684640">
              <w:t xml:space="preserve"> exploiting the introduction of compulsory ECEC for six</w:t>
            </w:r>
            <w:r>
              <w:noBreakHyphen/>
            </w:r>
            <w:r w:rsidRPr="00684640">
              <w:t>year</w:t>
            </w:r>
            <w:r>
              <w:noBreakHyphen/>
            </w:r>
            <w:r w:rsidRPr="00684640">
              <w:t>olds.</w:t>
            </w:r>
          </w:p>
          <w:p w14:paraId="05B8D5C9" w14:textId="77777777" w:rsidR="00396052" w:rsidRPr="00684640" w:rsidRDefault="00396052" w:rsidP="00177648">
            <w:pPr>
              <w:pStyle w:val="TableBody"/>
            </w:pPr>
            <w:r w:rsidRPr="00684640">
              <w:t>3. DiD exploiting the introduction of payments to parents who do not use ECEC.</w:t>
            </w:r>
          </w:p>
          <w:p w14:paraId="1EEE45C8" w14:textId="77777777" w:rsidR="00396052" w:rsidRPr="00684640" w:rsidRDefault="00396052" w:rsidP="00177648">
            <w:pPr>
              <w:pStyle w:val="TableBody"/>
            </w:pPr>
          </w:p>
        </w:tc>
        <w:tc>
          <w:tcPr>
            <w:tcW w:w="1881" w:type="pct"/>
            <w:tcBorders>
              <w:top w:val="single" w:sz="4" w:space="0" w:color="B3B3B3"/>
              <w:bottom w:val="nil"/>
            </w:tcBorders>
            <w:shd w:val="clear" w:color="000000" w:fill="F2F2F2"/>
          </w:tcPr>
          <w:p w14:paraId="35F7C141" w14:textId="77777777" w:rsidR="00396052" w:rsidRPr="00684640" w:rsidRDefault="00396052" w:rsidP="00177648">
            <w:pPr>
              <w:pStyle w:val="TableBody"/>
            </w:pPr>
            <w:r w:rsidRPr="00684640">
              <w:t xml:space="preserve">1. As described for </w:t>
            </w:r>
            <w:r w:rsidRPr="00684640">
              <w:rPr>
                <w:rFonts w:ascii="Arial" w:hAnsi="Arial" w:cs="Arial"/>
              </w:rPr>
              <w:t>Havnes and Mogstad 2015</w:t>
            </w:r>
            <w:r w:rsidRPr="00684640">
              <w:t xml:space="preserve"> above – the same intervention is studied with a similar methodology, but a different outcome variable.</w:t>
            </w:r>
          </w:p>
          <w:p w14:paraId="7CBDABE8" w14:textId="77777777" w:rsidR="00396052" w:rsidRPr="00684640" w:rsidRDefault="00396052" w:rsidP="00177648">
            <w:pPr>
              <w:pStyle w:val="TableBody"/>
            </w:pPr>
            <w:r w:rsidRPr="00684640">
              <w:t>2. Previously, 89% of children at age six attended ECEC, with those not attending more likely to be experiencing disadvantage. The reform brought ECEC for six</w:t>
            </w:r>
            <w:r>
              <w:noBreakHyphen/>
            </w:r>
            <w:r w:rsidRPr="00684640">
              <w:t>year</w:t>
            </w:r>
            <w:r>
              <w:noBreakHyphen/>
            </w:r>
            <w:r w:rsidRPr="00684640">
              <w:t>olds under the schooling system with enrolment increasing to 100%, while maintaining a similar model. The children in the sample were born between 1989 and 1991.</w:t>
            </w:r>
          </w:p>
          <w:p w14:paraId="1378E68F" w14:textId="77777777" w:rsidR="00396052" w:rsidRPr="00684640" w:rsidRDefault="00396052" w:rsidP="00177648">
            <w:pPr>
              <w:pStyle w:val="TableBody"/>
              <w:spacing w:before="45" w:after="45"/>
              <w:ind w:right="108"/>
              <w:rPr>
                <w:rFonts w:ascii="Arial (Body)" w:hAnsi="Arial (Body)"/>
                <w:color w:val="000000"/>
              </w:rPr>
            </w:pPr>
            <w:r w:rsidRPr="00684640">
              <w:t>3. Payments to parents who do not use full</w:t>
            </w:r>
            <w:r>
              <w:noBreakHyphen/>
            </w:r>
            <w:r w:rsidRPr="00684640">
              <w:t>time subsidised ECEC, with these payments smaller when part</w:t>
            </w:r>
            <w:r>
              <w:noBreakHyphen/>
            </w:r>
            <w:r w:rsidRPr="00684640">
              <w:t>time ECEC was used. This decreased maternal workforce participation and increased both parental and informal care. Children in the sample were born between 1983 and 2000.</w:t>
            </w:r>
          </w:p>
        </w:tc>
        <w:tc>
          <w:tcPr>
            <w:tcW w:w="1952" w:type="pct"/>
            <w:tcBorders>
              <w:top w:val="single" w:sz="4" w:space="0" w:color="B3B3B3"/>
              <w:bottom w:val="nil"/>
            </w:tcBorders>
            <w:shd w:val="clear" w:color="000000" w:fill="F2F2F2"/>
          </w:tcPr>
          <w:p w14:paraId="2031B86B" w14:textId="77777777" w:rsidR="00396052" w:rsidRPr="00684640" w:rsidRDefault="00396052" w:rsidP="00177648">
            <w:pPr>
              <w:pStyle w:val="TableBody"/>
            </w:pPr>
            <w:r w:rsidRPr="00684640">
              <w:t xml:space="preserve">1. The reform significantly decreased the likelihood of being charged with a criminal offence in adulthood, and there was an insignificant decrease in the number of charges. </w:t>
            </w:r>
          </w:p>
          <w:p w14:paraId="2E7CAAC0" w14:textId="77777777" w:rsidR="00396052" w:rsidRPr="00684640" w:rsidRDefault="00396052" w:rsidP="00177648">
            <w:pPr>
              <w:pStyle w:val="TableBody"/>
            </w:pPr>
            <w:r w:rsidRPr="00684640">
              <w:t>2. An insignificant decrease in the likelihood of being charged, and a significant decrease in the number of charges.</w:t>
            </w:r>
          </w:p>
          <w:p w14:paraId="7FAF6555" w14:textId="77777777" w:rsidR="00396052" w:rsidRPr="00684640" w:rsidRDefault="00396052" w:rsidP="00177648">
            <w:pPr>
              <w:pStyle w:val="TableBody"/>
            </w:pPr>
            <w:r w:rsidRPr="00684640">
              <w:t>3. Significant increases in both the likelihood of being charged and the number of charges.</w:t>
            </w:r>
          </w:p>
          <w:p w14:paraId="06CF6911" w14:textId="77777777" w:rsidR="00396052" w:rsidRPr="00684640" w:rsidRDefault="00396052" w:rsidP="00177648">
            <w:pPr>
              <w:pStyle w:val="TableBody"/>
              <w:spacing w:before="45" w:after="45"/>
              <w:ind w:right="108"/>
              <w:rPr>
                <w:rFonts w:ascii="Arial (Body)" w:hAnsi="Arial (Body)"/>
                <w:color w:val="000000"/>
              </w:rPr>
            </w:pPr>
            <w:r w:rsidRPr="00684640">
              <w:t>Across the reforms, effects were almost always limited to men, and larger in families with lower education and income levels.</w:t>
            </w:r>
          </w:p>
        </w:tc>
      </w:tr>
      <w:tr w:rsidR="00396052" w:rsidRPr="00684640" w14:paraId="13C3CAC4" w14:textId="77777777" w:rsidTr="00177648">
        <w:tc>
          <w:tcPr>
            <w:tcW w:w="1167" w:type="pct"/>
            <w:tcBorders>
              <w:top w:val="nil"/>
              <w:bottom w:val="nil"/>
            </w:tcBorders>
            <w:shd w:val="clear" w:color="000000" w:fill="auto"/>
          </w:tcPr>
          <w:p w14:paraId="0134C5B1" w14:textId="77777777" w:rsidR="00396052" w:rsidRPr="00684640" w:rsidRDefault="00396052" w:rsidP="00177648">
            <w:pPr>
              <w:pStyle w:val="TableBody"/>
            </w:pPr>
            <w:r w:rsidRPr="00684640">
              <w:rPr>
                <w:rFonts w:ascii="Arial" w:hAnsi="Arial" w:cs="Arial"/>
              </w:rPr>
              <w:t>Ando et al. 2023</w:t>
            </w:r>
          </w:p>
          <w:p w14:paraId="6090CC6C" w14:textId="77777777" w:rsidR="00396052" w:rsidRPr="00684640" w:rsidRDefault="00396052" w:rsidP="00177648">
            <w:pPr>
              <w:pStyle w:val="TableBody"/>
            </w:pPr>
            <w:r w:rsidRPr="00684640">
              <w:t>DiD exploiting a reform that expanded access to preschool in Japan; justice system outcomes.</w:t>
            </w:r>
          </w:p>
        </w:tc>
        <w:tc>
          <w:tcPr>
            <w:tcW w:w="1881" w:type="pct"/>
            <w:tcBorders>
              <w:top w:val="nil"/>
              <w:bottom w:val="nil"/>
            </w:tcBorders>
            <w:shd w:val="clear" w:color="000000" w:fill="auto"/>
          </w:tcPr>
          <w:p w14:paraId="2DFF431F" w14:textId="77777777" w:rsidR="00396052" w:rsidRPr="00684640" w:rsidRDefault="00396052" w:rsidP="00177648">
            <w:pPr>
              <w:pStyle w:val="TableBody"/>
            </w:pPr>
            <w:r w:rsidRPr="00684640">
              <w:t>Children who attended universal preschool at age four in Japan due to an expansion that primarily took place between 1964 and 1970.</w:t>
            </w:r>
          </w:p>
          <w:p w14:paraId="34BED32E" w14:textId="77777777" w:rsidR="00396052" w:rsidRPr="00684640" w:rsidRDefault="00396052" w:rsidP="00177648">
            <w:pPr>
              <w:pStyle w:val="TableBody"/>
            </w:pPr>
            <w:r w:rsidRPr="00684640">
              <w:t>Preschools offered programs lasting at least four hours a day. Teachers were required to have at least two years of post</w:t>
            </w:r>
            <w:r>
              <w:noBreakHyphen/>
            </w:r>
            <w:r w:rsidRPr="00684640">
              <w:t>secondary education. The average ratio was about 1:24 from 1957 to 1985.</w:t>
            </w:r>
          </w:p>
          <w:p w14:paraId="17B85A2A" w14:textId="77777777" w:rsidR="00396052" w:rsidRPr="00684640" w:rsidRDefault="00396052" w:rsidP="00177648">
            <w:pPr>
              <w:pStyle w:val="TableBody"/>
              <w:spacing w:before="45" w:after="45"/>
              <w:ind w:right="108"/>
              <w:rPr>
                <w:rFonts w:ascii="Arial (Body)" w:hAnsi="Arial (Body)"/>
                <w:color w:val="000000"/>
              </w:rPr>
            </w:pPr>
            <w:r w:rsidRPr="00684640">
              <w:t>The counterfactual was mostly parental or informal care; decreases in CBDC resulting from the preschool expansion attendance were fairly small.</w:t>
            </w:r>
          </w:p>
        </w:tc>
        <w:tc>
          <w:tcPr>
            <w:tcW w:w="1952" w:type="pct"/>
            <w:tcBorders>
              <w:top w:val="nil"/>
              <w:bottom w:val="nil"/>
            </w:tcBorders>
            <w:shd w:val="clear" w:color="000000" w:fill="auto"/>
          </w:tcPr>
          <w:p w14:paraId="1667B78E" w14:textId="77777777" w:rsidR="00396052" w:rsidRPr="00684640" w:rsidRDefault="00396052" w:rsidP="00177648">
            <w:pPr>
              <w:pStyle w:val="TableBody"/>
            </w:pPr>
            <w:r w:rsidRPr="00684640">
              <w:t>There was a significant decrease in arrests for violent offences between ages 14 and 19 years. Arrests for non</w:t>
            </w:r>
            <w:r>
              <w:noBreakHyphen/>
            </w:r>
            <w:r w:rsidRPr="00684640">
              <w:t xml:space="preserve">violent offences decreased insignificantly. </w:t>
            </w:r>
          </w:p>
          <w:p w14:paraId="23F98234" w14:textId="77777777" w:rsidR="00396052" w:rsidRPr="00684640" w:rsidRDefault="00396052" w:rsidP="00177648">
            <w:pPr>
              <w:pStyle w:val="TableBody"/>
            </w:pPr>
            <w:r w:rsidRPr="00684640">
              <w:t>There was also a significant reduction in teen pregnancy.</w:t>
            </w:r>
          </w:p>
          <w:p w14:paraId="3604C089" w14:textId="77777777" w:rsidR="00396052" w:rsidRPr="00684640" w:rsidRDefault="00396052" w:rsidP="00177648">
            <w:pPr>
              <w:pStyle w:val="TableBody"/>
            </w:pPr>
            <w:r w:rsidRPr="00684640">
              <w:t>The reform did not increase enrolment in high school (which at the time was voluntary).</w:t>
            </w:r>
          </w:p>
          <w:p w14:paraId="6F5B11B9" w14:textId="77777777" w:rsidR="00396052" w:rsidRPr="00684640" w:rsidRDefault="00396052" w:rsidP="00177648">
            <w:pPr>
              <w:pStyle w:val="TableBody"/>
              <w:spacing w:before="45" w:after="45"/>
              <w:ind w:right="108"/>
              <w:rPr>
                <w:rFonts w:ascii="Arial (Body)" w:hAnsi="Arial (Body)"/>
                <w:color w:val="000000"/>
              </w:rPr>
            </w:pPr>
            <w:r w:rsidRPr="00684640">
              <w:t xml:space="preserve">Benefits were larger in areas where maternal education levels were higher. In these areas, the counterfactual was more likely to be parental care. In areas with lower maternal education, preschool </w:t>
            </w:r>
            <w:r w:rsidRPr="00684640">
              <w:lastRenderedPageBreak/>
              <w:t>attendance was more likely to CBDC attendance and effects on arrests and teen pregnancy were not significant, potentially because CBDC would have provided similar benefits.</w:t>
            </w:r>
          </w:p>
        </w:tc>
      </w:tr>
      <w:tr w:rsidR="00396052" w:rsidRPr="00684640" w14:paraId="76340EE4" w14:textId="77777777" w:rsidTr="00177648">
        <w:tc>
          <w:tcPr>
            <w:tcW w:w="1167" w:type="pct"/>
            <w:tcBorders>
              <w:top w:val="nil"/>
              <w:bottom w:val="nil"/>
            </w:tcBorders>
            <w:shd w:val="clear" w:color="000000" w:fill="F2F2F2"/>
          </w:tcPr>
          <w:p w14:paraId="59466BB0" w14:textId="77777777" w:rsidR="00396052" w:rsidRPr="00684640" w:rsidRDefault="00396052" w:rsidP="00177648">
            <w:pPr>
              <w:pStyle w:val="TableBody"/>
            </w:pPr>
            <w:r w:rsidRPr="00684640">
              <w:rPr>
                <w:rFonts w:ascii="Arial" w:hAnsi="Arial" w:cs="Arial"/>
              </w:rPr>
              <w:lastRenderedPageBreak/>
              <w:t>Anders et al. 2023</w:t>
            </w:r>
          </w:p>
          <w:p w14:paraId="7D9E1866" w14:textId="77777777" w:rsidR="00396052" w:rsidRPr="00684640" w:rsidRDefault="00396052" w:rsidP="00177648">
            <w:pPr>
              <w:pStyle w:val="TableBody"/>
            </w:pPr>
            <w:r w:rsidRPr="00684640">
              <w:t>DiD exploiting the rollout of the US Head Start and Smart Start programs; justice system outcomes.</w:t>
            </w:r>
          </w:p>
        </w:tc>
        <w:tc>
          <w:tcPr>
            <w:tcW w:w="1881" w:type="pct"/>
            <w:tcBorders>
              <w:top w:val="nil"/>
              <w:bottom w:val="nil"/>
            </w:tcBorders>
            <w:shd w:val="clear" w:color="000000" w:fill="F2F2F2"/>
          </w:tcPr>
          <w:p w14:paraId="351AFC9D" w14:textId="77777777" w:rsidR="00396052" w:rsidRPr="00684640" w:rsidRDefault="00396052" w:rsidP="00396052">
            <w:pPr>
              <w:pStyle w:val="TableBody"/>
              <w:numPr>
                <w:ilvl w:val="0"/>
                <w:numId w:val="47"/>
              </w:numPr>
              <w:ind w:left="341" w:hanging="284"/>
            </w:pPr>
            <w:r w:rsidRPr="00684640">
              <w:t>Children who attended the Head Start program in the US state of North Carolina and were born between 1955 and 1968.</w:t>
            </w:r>
          </w:p>
          <w:p w14:paraId="6759DABD" w14:textId="77777777" w:rsidR="00396052" w:rsidRPr="00684640" w:rsidRDefault="00396052" w:rsidP="00177648">
            <w:pPr>
              <w:pStyle w:val="TableBody"/>
              <w:ind w:left="340"/>
            </w:pPr>
            <w:r w:rsidRPr="00684640">
              <w:t>The Head Start preschool program was targeted to children experiencing disadvantage, with the median participant in the early years of the program having a family income that was about half the national average.</w:t>
            </w:r>
          </w:p>
          <w:p w14:paraId="7D297E57" w14:textId="77777777" w:rsidR="00396052" w:rsidRPr="00684640" w:rsidRDefault="00396052" w:rsidP="00396052">
            <w:pPr>
              <w:pStyle w:val="TableBody"/>
              <w:numPr>
                <w:ilvl w:val="0"/>
                <w:numId w:val="47"/>
              </w:numPr>
              <w:ind w:left="341" w:hanging="284"/>
            </w:pPr>
            <w:r w:rsidRPr="00684640">
              <w:t>Children who were affected by the rollout of the Smart Start program in North Carolina and were born between 1980 and 1994.</w:t>
            </w:r>
          </w:p>
          <w:p w14:paraId="3BE0CF35" w14:textId="77777777" w:rsidR="00396052" w:rsidRPr="00684640" w:rsidRDefault="00396052" w:rsidP="00177648">
            <w:pPr>
              <w:pStyle w:val="TableBody"/>
              <w:ind w:left="340"/>
              <w:rPr>
                <w:rFonts w:ascii="Arial (Body)" w:hAnsi="Arial (Body)"/>
                <w:color w:val="000000"/>
              </w:rPr>
            </w:pPr>
            <w:r w:rsidRPr="00684640">
              <w:t>Smart Start was a state program that aimed to increase the availability and quality of ECEC and to improve access to preventive healthcare.</w:t>
            </w:r>
          </w:p>
        </w:tc>
        <w:tc>
          <w:tcPr>
            <w:tcW w:w="1952" w:type="pct"/>
            <w:tcBorders>
              <w:top w:val="nil"/>
              <w:bottom w:val="nil"/>
            </w:tcBorders>
            <w:shd w:val="clear" w:color="000000" w:fill="F2F2F2"/>
          </w:tcPr>
          <w:p w14:paraId="3A7A0AFB" w14:textId="77777777" w:rsidR="00396052" w:rsidRPr="00684640" w:rsidRDefault="00396052" w:rsidP="00177648">
            <w:pPr>
              <w:pStyle w:val="TableBody"/>
            </w:pPr>
            <w:r w:rsidRPr="00684640">
              <w:t>Access to Head start reduced criminal convictions to the age of 35 (beyond which data was not available), with this effect being limited to low</w:t>
            </w:r>
            <w:r>
              <w:noBreakHyphen/>
            </w:r>
            <w:r w:rsidRPr="00684640">
              <w:t>poverty areas.</w:t>
            </w:r>
          </w:p>
          <w:p w14:paraId="77041A25" w14:textId="77777777" w:rsidR="00396052" w:rsidRPr="00684640" w:rsidRDefault="00396052" w:rsidP="00177648">
            <w:pPr>
              <w:pStyle w:val="TableBody"/>
            </w:pPr>
            <w:r w:rsidRPr="00684640">
              <w:t>Access to Smart Start reduced criminal convictions to the age of 24. These effects were larger in high</w:t>
            </w:r>
            <w:r>
              <w:noBreakHyphen/>
            </w:r>
            <w:r w:rsidRPr="00684640">
              <w:t>poverty areas, with reductions in low</w:t>
            </w:r>
            <w:r>
              <w:noBreakHyphen/>
            </w:r>
            <w:r w:rsidRPr="00684640">
              <w:t>poverty areas smaller and insignificant.</w:t>
            </w:r>
          </w:p>
          <w:p w14:paraId="736BEAE9" w14:textId="77777777" w:rsidR="00396052" w:rsidRPr="00684640" w:rsidRDefault="00396052" w:rsidP="00177648">
            <w:pPr>
              <w:pStyle w:val="TableBody"/>
            </w:pPr>
            <w:r w:rsidRPr="00684640">
              <w:t>When Smart Start was rolled out, its benefits were smaller in areas where Head Start was not operating.</w:t>
            </w:r>
          </w:p>
          <w:p w14:paraId="0E1FD506" w14:textId="77777777" w:rsidR="00396052" w:rsidRPr="00684640" w:rsidRDefault="00396052" w:rsidP="00177648">
            <w:pPr>
              <w:pStyle w:val="TableBody"/>
            </w:pPr>
            <w:r w:rsidRPr="00684640">
              <w:t>Effects were similar by crime category. For Sure Start but not for Head Start, effects were smaller for White children.</w:t>
            </w:r>
          </w:p>
          <w:p w14:paraId="763BFBB4" w14:textId="77777777" w:rsidR="00396052" w:rsidRPr="00684640" w:rsidRDefault="00396052" w:rsidP="00177648">
            <w:pPr>
              <w:pStyle w:val="TableBody"/>
              <w:spacing w:before="45" w:after="45"/>
              <w:ind w:right="108"/>
              <w:rPr>
                <w:rFonts w:ascii="Arial (Body)" w:hAnsi="Arial (Body)"/>
                <w:color w:val="000000"/>
              </w:rPr>
            </w:pPr>
            <w:r w:rsidRPr="00684640">
              <w:t xml:space="preserve">The benefits of Head Start and Sure start on a subset of crimes, over the years for which data were available, were estimated to be about </w:t>
            </w:r>
            <w:r w:rsidRPr="00684640">
              <w:rPr>
                <w:spacing w:val="-2"/>
              </w:rPr>
              <w:t>a quarter and about four fifths of the costs of each program, respectively.</w:t>
            </w:r>
          </w:p>
        </w:tc>
      </w:tr>
      <w:tr w:rsidR="00396052" w:rsidRPr="00684640" w14:paraId="6CB1E17A" w14:textId="77777777" w:rsidTr="00177648">
        <w:tc>
          <w:tcPr>
            <w:tcW w:w="1167" w:type="pct"/>
            <w:tcBorders>
              <w:top w:val="nil"/>
              <w:bottom w:val="nil"/>
            </w:tcBorders>
            <w:shd w:val="clear" w:color="000000" w:fill="auto"/>
          </w:tcPr>
          <w:p w14:paraId="462C2D40" w14:textId="77777777" w:rsidR="00396052" w:rsidRPr="00684640" w:rsidRDefault="00396052" w:rsidP="00177648">
            <w:pPr>
              <w:pStyle w:val="TableBody"/>
            </w:pPr>
            <w:r w:rsidRPr="00684640">
              <w:rPr>
                <w:rFonts w:ascii="Arial" w:hAnsi="Arial" w:cs="Arial"/>
              </w:rPr>
              <w:t>Smith 2015</w:t>
            </w:r>
          </w:p>
          <w:p w14:paraId="27D0C3CC" w14:textId="77777777" w:rsidR="00396052" w:rsidRPr="00684640" w:rsidRDefault="00396052" w:rsidP="00177648">
            <w:pPr>
              <w:pStyle w:val="TableBody"/>
            </w:pPr>
            <w:r w:rsidRPr="00684640">
              <w:t>Difference</w:t>
            </w:r>
            <w:r>
              <w:noBreakHyphen/>
            </w:r>
            <w:r w:rsidRPr="00684640">
              <w:t>in</w:t>
            </w:r>
            <w:r>
              <w:noBreakHyphen/>
            </w:r>
            <w:r w:rsidRPr="00684640">
              <w:t>regression</w:t>
            </w:r>
            <w:r>
              <w:noBreakHyphen/>
            </w:r>
            <w:r w:rsidRPr="00684640">
              <w:t>discontinuity exploiting the age cutoff for a US state preschool program as it was introduced; justice system outcomes.</w:t>
            </w:r>
          </w:p>
        </w:tc>
        <w:tc>
          <w:tcPr>
            <w:tcW w:w="1881" w:type="pct"/>
            <w:tcBorders>
              <w:top w:val="nil"/>
              <w:bottom w:val="nil"/>
            </w:tcBorders>
            <w:shd w:val="clear" w:color="000000" w:fill="auto"/>
          </w:tcPr>
          <w:p w14:paraId="0EF430E5" w14:textId="77777777" w:rsidR="00396052" w:rsidRPr="00684640" w:rsidRDefault="00396052" w:rsidP="00177648">
            <w:pPr>
              <w:pStyle w:val="TableBody"/>
            </w:pPr>
            <w:r w:rsidRPr="00684640">
              <w:t>Children who attended universal preschool in Oklahoma at age four, between 1997 and 1999.</w:t>
            </w:r>
          </w:p>
          <w:p w14:paraId="4904751E" w14:textId="77777777" w:rsidR="00396052" w:rsidRPr="00684640" w:rsidRDefault="00396052" w:rsidP="00177648">
            <w:pPr>
              <w:pStyle w:val="TableBody"/>
              <w:spacing w:before="45" w:after="45"/>
              <w:ind w:right="108"/>
              <w:rPr>
                <w:rFonts w:ascii="Arial (Body)" w:hAnsi="Arial (Body)"/>
                <w:color w:val="000000"/>
              </w:rPr>
            </w:pPr>
            <w:r w:rsidRPr="00684640">
              <w:t>Preschools were operated out of the school system, with teachers certified in early childhood education. The maximum class size was 20 with one teacher and one assistant.</w:t>
            </w:r>
          </w:p>
        </w:tc>
        <w:tc>
          <w:tcPr>
            <w:tcW w:w="1952" w:type="pct"/>
            <w:tcBorders>
              <w:top w:val="nil"/>
              <w:bottom w:val="nil"/>
            </w:tcBorders>
            <w:shd w:val="clear" w:color="000000" w:fill="auto"/>
          </w:tcPr>
          <w:p w14:paraId="4B0DD504" w14:textId="77777777" w:rsidR="00396052" w:rsidRPr="00684640" w:rsidRDefault="00396052" w:rsidP="00177648">
            <w:pPr>
              <w:pStyle w:val="TableBody"/>
              <w:spacing w:before="45" w:after="45"/>
              <w:ind w:right="108"/>
              <w:rPr>
                <w:rFonts w:ascii="Arial (Body)" w:hAnsi="Arial (Body)"/>
                <w:color w:val="000000"/>
              </w:rPr>
            </w:pPr>
            <w:r w:rsidRPr="00684640">
              <w:t>There were reductions in the likelihood of being charged with a misdemeanour or felony at age 18 or 19. These were driven by Black children, with insignificant effects for White children.</w:t>
            </w:r>
          </w:p>
        </w:tc>
      </w:tr>
      <w:tr w:rsidR="00396052" w:rsidRPr="00684640" w14:paraId="5DC69D8F" w14:textId="77777777" w:rsidTr="00177648">
        <w:tc>
          <w:tcPr>
            <w:tcW w:w="1167" w:type="pct"/>
            <w:tcBorders>
              <w:bottom w:val="single" w:sz="4" w:space="0" w:color="B3B3B3"/>
            </w:tcBorders>
            <w:shd w:val="clear" w:color="000000" w:fill="F2F2F2"/>
          </w:tcPr>
          <w:p w14:paraId="7F23FC27" w14:textId="77777777" w:rsidR="00396052" w:rsidRPr="00684640" w:rsidRDefault="00396052" w:rsidP="00177648">
            <w:pPr>
              <w:pStyle w:val="TableBody"/>
            </w:pPr>
            <w:r w:rsidRPr="00684640">
              <w:rPr>
                <w:rFonts w:ascii="Arial" w:hAnsi="Arial" w:cs="Arial"/>
              </w:rPr>
              <w:t>Brutti and Montolio 2021</w:t>
            </w:r>
          </w:p>
          <w:p w14:paraId="228D67AB" w14:textId="77777777" w:rsidR="00396052" w:rsidRPr="00684640" w:rsidRDefault="00396052" w:rsidP="00177648">
            <w:pPr>
              <w:pStyle w:val="TableBody"/>
            </w:pPr>
            <w:r w:rsidRPr="00684640">
              <w:t>DiD exploiting the rollout of three</w:t>
            </w:r>
            <w:r>
              <w:noBreakHyphen/>
            </w:r>
            <w:r w:rsidRPr="00684640">
              <w:t>year</w:t>
            </w:r>
            <w:r>
              <w:noBreakHyphen/>
            </w:r>
            <w:r w:rsidRPr="00684640">
              <w:t>old preschool in Spain; justice system outcomes.</w:t>
            </w:r>
          </w:p>
        </w:tc>
        <w:tc>
          <w:tcPr>
            <w:tcW w:w="1881" w:type="pct"/>
            <w:tcBorders>
              <w:bottom w:val="single" w:sz="4" w:space="0" w:color="B3B3B3"/>
            </w:tcBorders>
            <w:shd w:val="clear" w:color="000000" w:fill="F2F2F2"/>
          </w:tcPr>
          <w:p w14:paraId="25CEDC92" w14:textId="77777777" w:rsidR="00396052" w:rsidRDefault="00396052" w:rsidP="00177648">
            <w:pPr>
              <w:pStyle w:val="TableBody"/>
              <w:spacing w:before="45" w:after="45"/>
              <w:ind w:right="108"/>
            </w:pPr>
            <w:r w:rsidRPr="00684640">
              <w:t xml:space="preserve">The same reform was analysed as Felfe et al. (2015) below. </w:t>
            </w:r>
          </w:p>
          <w:p w14:paraId="0BF09187" w14:textId="77777777" w:rsidR="00396052" w:rsidRPr="00684640" w:rsidRDefault="00396052" w:rsidP="00177648">
            <w:pPr>
              <w:pStyle w:val="TableBody"/>
            </w:pPr>
            <w:r w:rsidRPr="00684640">
              <w:t>Children in Spain who attended preschool at age three between 1984 and 199</w:t>
            </w:r>
            <w:r>
              <w:t>7</w:t>
            </w:r>
            <w:r w:rsidRPr="00684640">
              <w:t>.</w:t>
            </w:r>
          </w:p>
          <w:p w14:paraId="270B9C45" w14:textId="77777777" w:rsidR="00396052" w:rsidRPr="00684640" w:rsidRDefault="00396052" w:rsidP="00177648">
            <w:pPr>
              <w:pStyle w:val="TableBody"/>
            </w:pPr>
            <w:r w:rsidRPr="00684640">
              <w:t>Preschool for three</w:t>
            </w:r>
            <w:r>
              <w:noBreakHyphen/>
            </w:r>
            <w:r w:rsidRPr="00684640">
              <w:t>year</w:t>
            </w:r>
            <w:r>
              <w:noBreakHyphen/>
            </w:r>
            <w:r w:rsidRPr="00684640">
              <w:t>olds, delivered in school settings with the same hours (9am</w:t>
            </w:r>
            <w:r>
              <w:noBreakHyphen/>
            </w:r>
            <w:r w:rsidRPr="00684640">
              <w:t xml:space="preserve">5pm, five days a week, excluding school </w:t>
            </w:r>
            <w:r w:rsidRPr="00684640">
              <w:lastRenderedPageBreak/>
              <w:t>holidays). Teachers were degree</w:t>
            </w:r>
            <w:r>
              <w:noBreakHyphen/>
            </w:r>
            <w:r w:rsidRPr="00684640">
              <w:t xml:space="preserve">qualified, with a maximum class size of 20. </w:t>
            </w:r>
          </w:p>
          <w:p w14:paraId="0376CDB3" w14:textId="77777777" w:rsidR="00396052" w:rsidRDefault="00396052" w:rsidP="00177648">
            <w:pPr>
              <w:pStyle w:val="TableBody"/>
              <w:spacing w:before="45" w:after="45"/>
              <w:ind w:right="108"/>
            </w:pPr>
            <w:r w:rsidRPr="00684640">
              <w:t>The expansion of preschool did not reduce use of private ECEC; rather the counterfactual seemed to be parental care (with informal care being fairly uncommon).</w:t>
            </w:r>
          </w:p>
          <w:p w14:paraId="7FBDFC34" w14:textId="77777777" w:rsidR="00396052" w:rsidRPr="00684640" w:rsidRDefault="00396052" w:rsidP="00177648">
            <w:pPr>
              <w:pStyle w:val="TableBody"/>
              <w:spacing w:before="45" w:after="45"/>
              <w:ind w:right="108"/>
              <w:rPr>
                <w:rFonts w:ascii="Arial (Body)" w:hAnsi="Arial (Body)"/>
                <w:color w:val="000000"/>
              </w:rPr>
            </w:pPr>
          </w:p>
        </w:tc>
        <w:tc>
          <w:tcPr>
            <w:tcW w:w="1952" w:type="pct"/>
            <w:tcBorders>
              <w:bottom w:val="single" w:sz="4" w:space="0" w:color="B3B3B3"/>
            </w:tcBorders>
            <w:shd w:val="clear" w:color="000000" w:fill="F2F2F2"/>
          </w:tcPr>
          <w:p w14:paraId="36814F3A" w14:textId="77777777" w:rsidR="00396052" w:rsidRPr="00684640" w:rsidRDefault="00396052" w:rsidP="00177648">
            <w:pPr>
              <w:pStyle w:val="TableBody"/>
            </w:pPr>
            <w:r w:rsidRPr="00684640">
              <w:lastRenderedPageBreak/>
              <w:t>Recorded offences in adulthood were reduced by the expansion of three</w:t>
            </w:r>
            <w:r>
              <w:noBreakHyphen/>
            </w:r>
            <w:r w:rsidRPr="00684640">
              <w:t>year</w:t>
            </w:r>
            <w:r>
              <w:noBreakHyphen/>
            </w:r>
            <w:r w:rsidRPr="00684640">
              <w:t>old preschool. Effects seemed larger for drug offences, violent offences and rules compliance.</w:t>
            </w:r>
          </w:p>
          <w:p w14:paraId="19C9331F" w14:textId="77777777" w:rsidR="00396052" w:rsidRPr="00684640" w:rsidRDefault="00396052" w:rsidP="00177648">
            <w:pPr>
              <w:pStyle w:val="TableBody"/>
            </w:pPr>
            <w:r w:rsidRPr="00684640">
              <w:t>There was some evidence of larger effects for cohorts experiencing disadvantage.</w:t>
            </w:r>
          </w:p>
          <w:p w14:paraId="56BAF7F0" w14:textId="77777777" w:rsidR="00396052" w:rsidRPr="00684640" w:rsidRDefault="00396052" w:rsidP="00177648">
            <w:pPr>
              <w:pStyle w:val="TableBody"/>
              <w:spacing w:before="45" w:after="45"/>
              <w:ind w:right="108"/>
              <w:rPr>
                <w:rFonts w:ascii="Arial (Body)" w:hAnsi="Arial (Body)"/>
                <w:color w:val="000000"/>
              </w:rPr>
            </w:pPr>
            <w:r w:rsidRPr="00684640">
              <w:lastRenderedPageBreak/>
              <w:t>A benefit</w:t>
            </w:r>
            <w:r>
              <w:noBreakHyphen/>
            </w:r>
            <w:r w:rsidRPr="00684640">
              <w:t>to</w:t>
            </w:r>
            <w:r>
              <w:noBreakHyphen/>
            </w:r>
            <w:r w:rsidRPr="00684640">
              <w:t>cost ratio of 4.25 was estimated, considering only benefits to justice system outcomes (for the two thirds of offences where these could be quantified).</w:t>
            </w:r>
          </w:p>
        </w:tc>
      </w:tr>
    </w:tbl>
    <w:p w14:paraId="27975BF4" w14:textId="77777777" w:rsidR="00396052" w:rsidRPr="00684640" w:rsidRDefault="00396052" w:rsidP="00396052">
      <w:pPr>
        <w:pStyle w:val="BodyText"/>
      </w:pPr>
      <w:r w:rsidRPr="00684640">
        <w:lastRenderedPageBreak/>
        <w:br w:type="page"/>
      </w:r>
    </w:p>
    <w:p w14:paraId="74AF73C8" w14:textId="77777777" w:rsidR="00396052" w:rsidRPr="00684640" w:rsidRDefault="00396052" w:rsidP="00396052">
      <w:pPr>
        <w:pStyle w:val="FigureTableHeading"/>
      </w:pPr>
      <w:r w:rsidRPr="00684640">
        <w:lastRenderedPageBreak/>
        <w:t>Table H.4</w:t>
      </w:r>
      <w:r w:rsidRPr="00684640">
        <w:rPr>
          <w:noProof/>
        </w:rPr>
        <w:t xml:space="preserve"> – </w:t>
      </w:r>
      <w:r w:rsidRPr="00684640">
        <w:t>Health outcomes</w:t>
      </w:r>
      <w:r w:rsidRPr="00684640">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91"/>
        <w:gridCol w:w="5691"/>
        <w:gridCol w:w="5688"/>
      </w:tblGrid>
      <w:tr w:rsidR="00396052" w:rsidRPr="00684640" w14:paraId="5723DCDA" w14:textId="77777777" w:rsidTr="00177648">
        <w:trPr>
          <w:tblHeader/>
        </w:trPr>
        <w:tc>
          <w:tcPr>
            <w:tcW w:w="1095" w:type="pct"/>
            <w:tcBorders>
              <w:bottom w:val="single" w:sz="4" w:space="0" w:color="B3B3B3"/>
            </w:tcBorders>
            <w:shd w:val="clear" w:color="000000" w:fill="auto"/>
          </w:tcPr>
          <w:p w14:paraId="09F9BF30" w14:textId="77777777" w:rsidR="00396052" w:rsidRPr="00684640" w:rsidRDefault="00396052" w:rsidP="00177648">
            <w:pPr>
              <w:pStyle w:val="TableHeading"/>
              <w:rPr>
                <w:rFonts w:ascii="Arial (Body)" w:hAnsi="Arial (Body)"/>
                <w:color w:val="265A9A"/>
              </w:rPr>
            </w:pPr>
            <w:r w:rsidRPr="00684640">
              <w:t>Study and methodology</w:t>
            </w:r>
          </w:p>
        </w:tc>
        <w:tc>
          <w:tcPr>
            <w:tcW w:w="1953" w:type="pct"/>
            <w:tcBorders>
              <w:bottom w:val="single" w:sz="4" w:space="0" w:color="B3B3B3"/>
            </w:tcBorders>
            <w:shd w:val="clear" w:color="000000" w:fill="auto"/>
          </w:tcPr>
          <w:p w14:paraId="4D284DE8"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1E41A356" w14:textId="77777777" w:rsidR="00396052" w:rsidRPr="00684640" w:rsidRDefault="00396052" w:rsidP="00177648">
            <w:pPr>
              <w:pStyle w:val="TableHeading"/>
            </w:pPr>
            <w:r w:rsidRPr="00684640">
              <w:t>Findings</w:t>
            </w:r>
          </w:p>
        </w:tc>
      </w:tr>
      <w:tr w:rsidR="00396052" w:rsidRPr="00684640" w14:paraId="1D1187F7" w14:textId="77777777" w:rsidTr="00177648">
        <w:tc>
          <w:tcPr>
            <w:tcW w:w="1095" w:type="pct"/>
            <w:tcBorders>
              <w:top w:val="single" w:sz="4" w:space="0" w:color="B3B3B3"/>
              <w:bottom w:val="nil"/>
            </w:tcBorders>
            <w:shd w:val="clear" w:color="000000" w:fill="F2F2F2"/>
          </w:tcPr>
          <w:p w14:paraId="15DC8365" w14:textId="77777777" w:rsidR="00396052" w:rsidRPr="00684640" w:rsidRDefault="00396052" w:rsidP="00177648">
            <w:pPr>
              <w:pStyle w:val="TableBody"/>
            </w:pPr>
            <w:r w:rsidRPr="00684640">
              <w:rPr>
                <w:rFonts w:ascii="Arial" w:hAnsi="Arial" w:cs="Arial"/>
              </w:rPr>
              <w:t>Cattan et al. 2021</w:t>
            </w:r>
          </w:p>
          <w:p w14:paraId="47A97842" w14:textId="77777777" w:rsidR="00396052" w:rsidRPr="00684640" w:rsidRDefault="00396052" w:rsidP="00177648">
            <w:pPr>
              <w:pStyle w:val="TableBody"/>
            </w:pPr>
            <w:r w:rsidRPr="00684640">
              <w:t>DiD exploiting the rollout of an early childhood program in England; health outcomes.</w:t>
            </w:r>
          </w:p>
        </w:tc>
        <w:tc>
          <w:tcPr>
            <w:tcW w:w="1953" w:type="pct"/>
            <w:tcBorders>
              <w:top w:val="single" w:sz="4" w:space="0" w:color="B3B3B3"/>
              <w:bottom w:val="nil"/>
            </w:tcBorders>
            <w:shd w:val="clear" w:color="000000" w:fill="F2F2F2"/>
          </w:tcPr>
          <w:p w14:paraId="4B774927" w14:textId="77777777" w:rsidR="00396052" w:rsidRPr="00684640" w:rsidRDefault="00396052" w:rsidP="00177648">
            <w:pPr>
              <w:pStyle w:val="TableBody"/>
            </w:pPr>
            <w:r w:rsidRPr="00684640">
              <w:t>Children born between 1993 and 2006 in England who had access to early childhood centres as they were being rolled out. Centres were first set up in disadvantaged areas, although they were open to all children and later spread more broadly.</w:t>
            </w:r>
          </w:p>
          <w:p w14:paraId="3A3E3A74" w14:textId="77777777" w:rsidR="00396052" w:rsidRPr="00684640" w:rsidRDefault="00396052" w:rsidP="00177648">
            <w:pPr>
              <w:pStyle w:val="TableBody"/>
            </w:pPr>
            <w:r w:rsidRPr="00684640">
              <w:t>The largest area of expenditure for these centres was ECEC, although there were also significant healthcare, parenting support and home visiting components.</w:t>
            </w:r>
          </w:p>
          <w:p w14:paraId="00555374" w14:textId="77777777" w:rsidR="00396052" w:rsidRPr="00684640" w:rsidRDefault="00396052" w:rsidP="00177648">
            <w:pPr>
              <w:pStyle w:val="TableBody"/>
              <w:spacing w:before="45" w:after="45"/>
              <w:ind w:right="108"/>
              <w:rPr>
                <w:rFonts w:ascii="Arial (Body)" w:hAnsi="Arial (Body)"/>
                <w:color w:val="000000"/>
              </w:rPr>
            </w:pPr>
            <w:r w:rsidRPr="00684640">
              <w:t>Educators delivering ECEC through the program were required to hold higher</w:t>
            </w:r>
            <w:r>
              <w:noBreakHyphen/>
            </w:r>
            <w:r w:rsidRPr="00684640">
              <w:t>level qualifications than educators in alternative forms of ECEC.</w:t>
            </w:r>
          </w:p>
        </w:tc>
        <w:tc>
          <w:tcPr>
            <w:tcW w:w="1952" w:type="pct"/>
            <w:tcBorders>
              <w:top w:val="single" w:sz="4" w:space="0" w:color="B3B3B3"/>
              <w:bottom w:val="nil"/>
            </w:tcBorders>
            <w:shd w:val="clear" w:color="000000" w:fill="F2F2F2"/>
          </w:tcPr>
          <w:p w14:paraId="646F3E6A" w14:textId="77777777" w:rsidR="00396052" w:rsidRPr="00684640" w:rsidRDefault="00396052" w:rsidP="00177648">
            <w:pPr>
              <w:pStyle w:val="TableBody"/>
            </w:pPr>
            <w:r w:rsidRPr="00684640">
              <w:t>Children saw overall reductions in the likelihood of hospitalisation to age 15, with increases at early ages more than offset by decreases after children started school.</w:t>
            </w:r>
          </w:p>
          <w:p w14:paraId="1ABA47F8" w14:textId="77777777" w:rsidR="00396052" w:rsidRPr="00684640" w:rsidRDefault="00396052" w:rsidP="00177648">
            <w:pPr>
              <w:pStyle w:val="TableBody"/>
            </w:pPr>
            <w:r w:rsidRPr="00684640">
              <w:t>Early increases in hospitalisations seemed to be driven by earlier treatment of chronic and preventable conditions and by exposure to infectious diseases such as influenza shifting to earlier years, without longer</w:t>
            </w:r>
            <w:r>
              <w:noBreakHyphen/>
            </w:r>
            <w:r w:rsidRPr="00684640">
              <w:t>term adverse effects.</w:t>
            </w:r>
          </w:p>
          <w:p w14:paraId="7767C6B0" w14:textId="77777777" w:rsidR="00396052" w:rsidRPr="00684640" w:rsidRDefault="00396052" w:rsidP="00177648">
            <w:pPr>
              <w:pStyle w:val="TableBody"/>
            </w:pPr>
            <w:r w:rsidRPr="00684640">
              <w:t>Hospitalisations due to external causes such as injuries were lower at all ages, with this effect being larger while children had access to ECEC. Hospitalisations in adolescence for mental health were also less likely.</w:t>
            </w:r>
          </w:p>
          <w:p w14:paraId="633E46B8" w14:textId="77777777" w:rsidR="00396052" w:rsidRPr="00684640" w:rsidRDefault="00396052" w:rsidP="00177648">
            <w:pPr>
              <w:pStyle w:val="TableBody"/>
            </w:pPr>
            <w:r w:rsidRPr="00684640">
              <w:t>The financial benefits of reduced health system costs were estimated to offset about a third of the costs of the program.</w:t>
            </w:r>
          </w:p>
          <w:p w14:paraId="672BF98D" w14:textId="77777777" w:rsidR="00396052" w:rsidRPr="00684640" w:rsidRDefault="00396052" w:rsidP="00177648">
            <w:pPr>
              <w:pStyle w:val="TableBody"/>
              <w:spacing w:before="45" w:after="45"/>
              <w:ind w:right="108"/>
              <w:rPr>
                <w:rFonts w:ascii="Arial (Body)" w:hAnsi="Arial (Body)"/>
                <w:color w:val="000000"/>
              </w:rPr>
            </w:pPr>
            <w:r w:rsidRPr="00684640">
              <w:t>Effects were broadly similar for children in areas in the lowest 30% of the SES distribution and children in areas in the middle 40% of areas (although the latter were less precisely estimated). For children in areas in the highest 30% of the SES distribution, long</w:t>
            </w:r>
            <w:r>
              <w:noBreakHyphen/>
            </w:r>
            <w:r w:rsidRPr="00684640">
              <w:t>term effects were close to zero.</w:t>
            </w:r>
          </w:p>
        </w:tc>
      </w:tr>
      <w:tr w:rsidR="00396052" w:rsidRPr="00684640" w14:paraId="1400161A" w14:textId="77777777" w:rsidTr="00177648">
        <w:tc>
          <w:tcPr>
            <w:tcW w:w="1095" w:type="pct"/>
            <w:tcBorders>
              <w:top w:val="nil"/>
              <w:bottom w:val="nil"/>
            </w:tcBorders>
            <w:shd w:val="clear" w:color="000000" w:fill="auto"/>
          </w:tcPr>
          <w:p w14:paraId="4499DE3B" w14:textId="77777777" w:rsidR="00396052" w:rsidRPr="00FB2FF0" w:rsidRDefault="00396052" w:rsidP="00177648">
            <w:pPr>
              <w:pStyle w:val="TableBody"/>
              <w:rPr>
                <w:lang w:val="de-DE"/>
              </w:rPr>
            </w:pPr>
            <w:r w:rsidRPr="00FB2FF0">
              <w:rPr>
                <w:rFonts w:ascii="Arial" w:hAnsi="Arial" w:cs="Arial"/>
                <w:lang w:val="de-DE"/>
              </w:rPr>
              <w:t>van den Berg and Siflinger 2020</w:t>
            </w:r>
          </w:p>
          <w:p w14:paraId="5DEF4C8E" w14:textId="77777777" w:rsidR="00396052" w:rsidRPr="00684640" w:rsidRDefault="00396052" w:rsidP="00177648">
            <w:pPr>
              <w:pStyle w:val="TableBody"/>
            </w:pPr>
            <w:r w:rsidRPr="00684640">
              <w:t>DiD</w:t>
            </w:r>
            <w:r>
              <w:t xml:space="preserve"> exploiting </w:t>
            </w:r>
            <w:r w:rsidRPr="00684640">
              <w:t>a fee reform in Sweden; health outcomes.</w:t>
            </w:r>
          </w:p>
        </w:tc>
        <w:tc>
          <w:tcPr>
            <w:tcW w:w="1953" w:type="pct"/>
            <w:tcBorders>
              <w:top w:val="nil"/>
              <w:bottom w:val="nil"/>
            </w:tcBorders>
            <w:shd w:val="clear" w:color="000000" w:fill="auto"/>
          </w:tcPr>
          <w:p w14:paraId="4058DC98" w14:textId="77777777" w:rsidR="00396052" w:rsidRPr="00684640" w:rsidRDefault="00396052" w:rsidP="00177648">
            <w:pPr>
              <w:pStyle w:val="TableBody"/>
            </w:pPr>
            <w:r w:rsidRPr="00684640">
              <w:t>Children born between 1993 and 2004 who, in a later period, attended CBDC in a particular region of Sweden. Attendance before age one was virtually absent due to parental leave, and could last until school entry at age six.</w:t>
            </w:r>
          </w:p>
          <w:p w14:paraId="2C139A79" w14:textId="77777777" w:rsidR="00396052" w:rsidRPr="00684640" w:rsidRDefault="00396052" w:rsidP="00177648">
            <w:pPr>
              <w:pStyle w:val="TableBody"/>
            </w:pPr>
            <w:r w:rsidRPr="00684640">
              <w:t>The reform significantly reduced the fees paid by parents (with a reform at a similar time allowing parents who were unemployed or on leave to access 15 hours of subsidised ECEC a week).</w:t>
            </w:r>
          </w:p>
          <w:p w14:paraId="0719D2FA" w14:textId="77777777" w:rsidR="00396052" w:rsidRPr="00684640" w:rsidRDefault="00396052" w:rsidP="00177648">
            <w:pPr>
              <w:pStyle w:val="TableBody"/>
            </w:pPr>
            <w:r w:rsidRPr="00684640">
              <w:t xml:space="preserve">The Swedish CBDC program was described by the UN as the best in the world. It included nutritional and hygiene education components. </w:t>
            </w:r>
            <w:r w:rsidRPr="00684640">
              <w:lastRenderedPageBreak/>
              <w:t>Centres were open from 6:30am to 6:30pm, with the average number of hours attended per week reported as 32.</w:t>
            </w:r>
          </w:p>
          <w:p w14:paraId="04BF6B15" w14:textId="77777777" w:rsidR="00396052" w:rsidRPr="00684640" w:rsidRDefault="00396052" w:rsidP="00177648">
            <w:pPr>
              <w:pStyle w:val="TableBody"/>
              <w:spacing w:before="45" w:after="45"/>
              <w:ind w:right="108"/>
              <w:rPr>
                <w:rFonts w:ascii="Arial (Body)" w:hAnsi="Arial (Body)"/>
                <w:color w:val="000000"/>
              </w:rPr>
            </w:pPr>
            <w:r w:rsidRPr="00684640">
              <w:t>Around the period of the reform, average ratios were about 1:5.5 and about 55% of staff had pedagogical training. These quality indicators did not seem to be affected by the reform.</w:t>
            </w:r>
          </w:p>
        </w:tc>
        <w:tc>
          <w:tcPr>
            <w:tcW w:w="1952" w:type="pct"/>
            <w:tcBorders>
              <w:top w:val="nil"/>
              <w:bottom w:val="nil"/>
            </w:tcBorders>
            <w:shd w:val="clear" w:color="000000" w:fill="auto"/>
          </w:tcPr>
          <w:p w14:paraId="3E7BC930" w14:textId="77777777" w:rsidR="00396052" w:rsidRPr="00684640" w:rsidRDefault="00396052" w:rsidP="00177648">
            <w:pPr>
              <w:pStyle w:val="TableBody"/>
            </w:pPr>
            <w:r w:rsidRPr="00684640">
              <w:lastRenderedPageBreak/>
              <w:t>There was a short</w:t>
            </w:r>
            <w:r>
              <w:noBreakHyphen/>
            </w:r>
            <w:r w:rsidRPr="00684640">
              <w:t>term increase in infections, that was partially offset by later decreases until the age of seven (beyond which data was not available).</w:t>
            </w:r>
          </w:p>
          <w:p w14:paraId="2DE217FF" w14:textId="77777777" w:rsidR="00396052" w:rsidRPr="00684640" w:rsidRDefault="00396052" w:rsidP="00177648">
            <w:pPr>
              <w:pStyle w:val="TableBody"/>
            </w:pPr>
            <w:r w:rsidRPr="00684640">
              <w:t>There was an insignificant reduction in accidents from ages two to seven.</w:t>
            </w:r>
          </w:p>
          <w:p w14:paraId="55BF5825" w14:textId="77777777" w:rsidR="00396052" w:rsidRPr="00684640" w:rsidRDefault="00396052" w:rsidP="00177648">
            <w:pPr>
              <w:pStyle w:val="TableBody"/>
            </w:pPr>
            <w:r w:rsidRPr="00684640">
              <w:t>Access to ECEC reduced diagnoses for mental health problems, with this being statistically significant from age four.</w:t>
            </w:r>
          </w:p>
          <w:p w14:paraId="28A55A5C" w14:textId="77777777" w:rsidR="00396052" w:rsidRPr="00684640" w:rsidRDefault="00396052" w:rsidP="00177648">
            <w:pPr>
              <w:pStyle w:val="TableBody"/>
            </w:pPr>
            <w:r w:rsidRPr="00684640">
              <w:t xml:space="preserve">Overall, acute medical visits decreased, and preventive medical visits seemed to increase. Total estimated healthcare costs were estimated </w:t>
            </w:r>
            <w:r w:rsidRPr="00684640">
              <w:lastRenderedPageBreak/>
              <w:t>to decrease even without considering the long</w:t>
            </w:r>
            <w:r>
              <w:noBreakHyphen/>
            </w:r>
            <w:r w:rsidRPr="00684640">
              <w:t>term benefits of an increase in use of preventive care.</w:t>
            </w:r>
          </w:p>
          <w:p w14:paraId="6A8849DF" w14:textId="77777777" w:rsidR="00396052" w:rsidRPr="00684640" w:rsidRDefault="00396052" w:rsidP="00177648">
            <w:pPr>
              <w:pStyle w:val="TableBody"/>
            </w:pPr>
            <w:r w:rsidRPr="00684640">
              <w:t>Effects on health seemed largely driven by children of low</w:t>
            </w:r>
            <w:r>
              <w:noBreakHyphen/>
            </w:r>
            <w:r w:rsidRPr="00684640">
              <w:t>income parents, although the increases in CBDC attendance due to the reform disproportionately took place in low</w:t>
            </w:r>
            <w:r>
              <w:noBreakHyphen/>
            </w:r>
            <w:r w:rsidRPr="00684640">
              <w:t>SES areas.</w:t>
            </w:r>
          </w:p>
          <w:p w14:paraId="0986D0AC" w14:textId="77777777" w:rsidR="00396052" w:rsidRPr="00684640" w:rsidRDefault="00396052" w:rsidP="00177648">
            <w:pPr>
              <w:pStyle w:val="TableBody"/>
              <w:spacing w:before="45" w:after="45"/>
              <w:ind w:right="108"/>
              <w:rPr>
                <w:rFonts w:ascii="Arial (Body)" w:hAnsi="Arial (Body)"/>
                <w:color w:val="000000"/>
              </w:rPr>
            </w:pPr>
            <w:r w:rsidRPr="00684640">
              <w:t xml:space="preserve">Another study specifically looked at the children of unemployed in Sweden as they gained an entitlement to 15 hours of ECEC a week </w:t>
            </w:r>
            <w:r w:rsidRPr="00684640">
              <w:rPr>
                <w:rFonts w:ascii="Arial" w:hAnsi="Arial" w:cs="Arial"/>
              </w:rPr>
              <w:t>(Aalto et al. 2019)</w:t>
            </w:r>
            <w:r w:rsidRPr="00684640">
              <w:t>. This also showed an immediate increase in infections as children gained access to ECEC that did not persist. At ages 10</w:t>
            </w:r>
            <w:r>
              <w:noBreakHyphen/>
            </w:r>
            <w:r w:rsidRPr="00684640">
              <w:t>11, prescriptions for respiratory issues such as asthma were reduced, with most observed health outcomes unaffected.</w:t>
            </w:r>
          </w:p>
        </w:tc>
      </w:tr>
      <w:tr w:rsidR="00396052" w:rsidRPr="00684640" w14:paraId="2FF685EF" w14:textId="77777777" w:rsidTr="00177648">
        <w:tc>
          <w:tcPr>
            <w:tcW w:w="1095" w:type="pct"/>
            <w:tcBorders>
              <w:top w:val="nil"/>
              <w:bottom w:val="nil"/>
            </w:tcBorders>
            <w:shd w:val="clear" w:color="000000" w:fill="F2F2F2"/>
          </w:tcPr>
          <w:p w14:paraId="625C9F16" w14:textId="77777777" w:rsidR="00396052" w:rsidRPr="00684640" w:rsidRDefault="00396052" w:rsidP="00177648">
            <w:pPr>
              <w:pStyle w:val="TableBody"/>
            </w:pPr>
            <w:r w:rsidRPr="00684640">
              <w:rPr>
                <w:rFonts w:ascii="Arial" w:hAnsi="Arial" w:cs="Arial"/>
              </w:rPr>
              <w:lastRenderedPageBreak/>
              <w:t>Barschkett 2022</w:t>
            </w:r>
          </w:p>
          <w:p w14:paraId="164FFF50" w14:textId="77777777" w:rsidR="00396052" w:rsidRPr="00684640" w:rsidRDefault="00396052" w:rsidP="00177648">
            <w:pPr>
              <w:pStyle w:val="TableBody"/>
            </w:pPr>
            <w:r w:rsidRPr="00684640">
              <w:t>DiD exploiting the expansion of ECEC in Germany; health outcomes.</w:t>
            </w:r>
          </w:p>
        </w:tc>
        <w:tc>
          <w:tcPr>
            <w:tcW w:w="1953" w:type="pct"/>
            <w:tcBorders>
              <w:top w:val="nil"/>
              <w:bottom w:val="nil"/>
            </w:tcBorders>
            <w:shd w:val="clear" w:color="000000" w:fill="F2F2F2"/>
          </w:tcPr>
          <w:p w14:paraId="16025E42" w14:textId="77777777" w:rsidR="00396052" w:rsidRPr="00684640" w:rsidRDefault="00396052" w:rsidP="00177648">
            <w:pPr>
              <w:pStyle w:val="TableBody"/>
            </w:pPr>
            <w:r w:rsidRPr="00684640">
              <w:t xml:space="preserve">Children born in West Germany between 1999 and 2015, who were able to attend ECEC at an earlier age due to a reform that phased in an entitlement for all children between the ages of one and three. </w:t>
            </w:r>
          </w:p>
          <w:p w14:paraId="73E6B44F" w14:textId="77777777" w:rsidR="00396052" w:rsidRPr="00684640" w:rsidRDefault="00396052" w:rsidP="00177648">
            <w:pPr>
              <w:pStyle w:val="TableBody"/>
            </w:pPr>
            <w:r w:rsidRPr="00684640">
              <w:t>Previously, the entitlement to subsidised ECEC was for children age three or older. Data was limited to the about 90% of the population insured through the public health system.</w:t>
            </w:r>
          </w:p>
          <w:p w14:paraId="74A02C96" w14:textId="77777777" w:rsidR="00396052" w:rsidRPr="00684640" w:rsidRDefault="00396052" w:rsidP="00177648">
            <w:pPr>
              <w:pStyle w:val="TableBody"/>
            </w:pPr>
            <w:r w:rsidRPr="00684640">
              <w:t>The structure and organisation of ECEC varied by region. Almost all providers were not</w:t>
            </w:r>
            <w:r>
              <w:noBreakHyphen/>
            </w:r>
            <w:r w:rsidRPr="00684640">
              <w:t>for</w:t>
            </w:r>
            <w:r>
              <w:noBreakHyphen/>
            </w:r>
            <w:r w:rsidRPr="00684640">
              <w:t>profit.</w:t>
            </w:r>
          </w:p>
          <w:p w14:paraId="3FDB7A4B" w14:textId="77777777" w:rsidR="00396052" w:rsidRPr="00684640" w:rsidRDefault="00396052" w:rsidP="00177648">
            <w:pPr>
              <w:pStyle w:val="TableBody"/>
              <w:spacing w:before="45" w:after="45"/>
              <w:ind w:right="108"/>
              <w:rPr>
                <w:rFonts w:ascii="Arial (Body)" w:hAnsi="Arial (Body)"/>
                <w:color w:val="000000"/>
              </w:rPr>
            </w:pPr>
            <w:r w:rsidRPr="00684640">
              <w:t>Parental care was typically the counterfactual.</w:t>
            </w:r>
          </w:p>
        </w:tc>
        <w:tc>
          <w:tcPr>
            <w:tcW w:w="1952" w:type="pct"/>
            <w:tcBorders>
              <w:top w:val="nil"/>
              <w:bottom w:val="nil"/>
            </w:tcBorders>
            <w:shd w:val="clear" w:color="000000" w:fill="F2F2F2"/>
          </w:tcPr>
          <w:p w14:paraId="61EF5634" w14:textId="77777777" w:rsidR="00396052" w:rsidRPr="00684640" w:rsidRDefault="00396052" w:rsidP="00177648">
            <w:pPr>
              <w:pStyle w:val="TableBody"/>
            </w:pPr>
            <w:r w:rsidRPr="00684640">
              <w:t>There was a short</w:t>
            </w:r>
            <w:r>
              <w:noBreakHyphen/>
            </w:r>
            <w:r w:rsidRPr="00684640">
              <w:t>term increase in communicable diseases such as influenza that was offset by later decreases (with data available from ages one to ten). At older ages, diagnoses for mental disorders and obesity were reduced.</w:t>
            </w:r>
          </w:p>
          <w:p w14:paraId="35CAE341" w14:textId="77777777" w:rsidR="00396052" w:rsidRPr="00684640" w:rsidRDefault="00396052" w:rsidP="00177648">
            <w:pPr>
              <w:pStyle w:val="TableBody"/>
            </w:pPr>
            <w:r w:rsidRPr="00684640">
              <w:t>Across all medical issues and over the period for which data was available, doctor visits and healthcare costs were reduced modestly but significantly.</w:t>
            </w:r>
          </w:p>
          <w:p w14:paraId="437D10B3" w14:textId="77777777" w:rsidR="00396052" w:rsidRPr="00684640" w:rsidRDefault="00396052" w:rsidP="00177648">
            <w:pPr>
              <w:pStyle w:val="TableBody"/>
              <w:spacing w:before="45" w:after="45"/>
              <w:ind w:right="108"/>
              <w:rPr>
                <w:rFonts w:ascii="Arial (Body)" w:hAnsi="Arial (Body)"/>
                <w:color w:val="000000"/>
              </w:rPr>
            </w:pPr>
            <w:r w:rsidRPr="00684640">
              <w:t>Effects on some outcomes were driven by children from lower</w:t>
            </w:r>
            <w:r>
              <w:noBreakHyphen/>
            </w:r>
            <w:r w:rsidRPr="00684640">
              <w:t>SES areas, although differential effects of ECEC for children who attended could not be separated from differential effects of the reform on the likelihood of attending ECEC.</w:t>
            </w:r>
          </w:p>
        </w:tc>
      </w:tr>
      <w:tr w:rsidR="00396052" w:rsidRPr="00684640" w14:paraId="7CFA32CF" w14:textId="77777777" w:rsidTr="00177648">
        <w:tc>
          <w:tcPr>
            <w:tcW w:w="1095" w:type="pct"/>
            <w:tcBorders>
              <w:top w:val="nil"/>
              <w:bottom w:val="nil"/>
            </w:tcBorders>
            <w:shd w:val="clear" w:color="000000" w:fill="auto"/>
          </w:tcPr>
          <w:p w14:paraId="1F7CF2AD" w14:textId="77777777" w:rsidR="00396052" w:rsidRPr="00684640" w:rsidRDefault="00396052" w:rsidP="00177648">
            <w:pPr>
              <w:pStyle w:val="TableBody"/>
            </w:pPr>
            <w:r w:rsidRPr="00684640">
              <w:rPr>
                <w:rFonts w:ascii="Arial" w:hAnsi="Arial" w:cs="Arial"/>
              </w:rPr>
              <w:t>Breivik et al. 2020</w:t>
            </w:r>
          </w:p>
          <w:p w14:paraId="177689F4" w14:textId="77777777" w:rsidR="00396052" w:rsidRPr="00684640" w:rsidRDefault="00396052" w:rsidP="00177648">
            <w:pPr>
              <w:pStyle w:val="TableBody"/>
            </w:pPr>
            <w:r w:rsidRPr="00684640">
              <w:t>DiD exploiting the expansion of ECEC in Norway; long</w:t>
            </w:r>
            <w:r>
              <w:noBreakHyphen/>
            </w:r>
            <w:r w:rsidRPr="00684640">
              <w:t>term health outcomes.</w:t>
            </w:r>
          </w:p>
        </w:tc>
        <w:tc>
          <w:tcPr>
            <w:tcW w:w="1953" w:type="pct"/>
            <w:tcBorders>
              <w:top w:val="nil"/>
              <w:bottom w:val="nil"/>
            </w:tcBorders>
            <w:shd w:val="clear" w:color="000000" w:fill="auto"/>
          </w:tcPr>
          <w:p w14:paraId="39970479" w14:textId="77777777" w:rsidR="00396052" w:rsidRPr="00684640" w:rsidRDefault="00396052" w:rsidP="00177648">
            <w:pPr>
              <w:pStyle w:val="TableBody"/>
            </w:pPr>
            <w:r w:rsidRPr="00684640">
              <w:t xml:space="preserve">As described for </w:t>
            </w:r>
            <w:r w:rsidRPr="00684640">
              <w:rPr>
                <w:rFonts w:ascii="Arial" w:hAnsi="Arial" w:cs="Arial"/>
              </w:rPr>
              <w:t>Havnes and Mogstad 2015</w:t>
            </w:r>
            <w:r w:rsidRPr="00684640">
              <w:t xml:space="preserve"> above – the same intervention was studied with a similar methodology, but a different outcome variable.</w:t>
            </w:r>
          </w:p>
          <w:p w14:paraId="71935D96" w14:textId="77777777" w:rsidR="00396052" w:rsidRPr="00684640" w:rsidRDefault="00396052" w:rsidP="00177648">
            <w:pPr>
              <w:pStyle w:val="TableBody"/>
            </w:pPr>
            <w:r w:rsidRPr="00684640">
              <w:t>Children born in Norway from 1973 to 1976 who accessed ECEC due to a reform that expanded access.</w:t>
            </w:r>
          </w:p>
          <w:p w14:paraId="3D7A3635" w14:textId="77777777" w:rsidR="00396052" w:rsidRPr="00684640" w:rsidRDefault="00396052" w:rsidP="00177648">
            <w:pPr>
              <w:pStyle w:val="TableBody"/>
            </w:pPr>
            <w:r w:rsidRPr="00684640">
              <w:lastRenderedPageBreak/>
              <w:t>Universal ECEC was publicly and privately provided to children between the ages of three and six. Services were open during ‘normal working hours’. The average ratio was 1:8, with one degree</w:t>
            </w:r>
            <w:r>
              <w:noBreakHyphen/>
            </w:r>
            <w:r w:rsidRPr="00684640">
              <w:t xml:space="preserve">qualified teacher and one or two unqualified assistants. </w:t>
            </w:r>
          </w:p>
          <w:p w14:paraId="147E6CB1" w14:textId="77777777" w:rsidR="00396052" w:rsidRPr="00684640" w:rsidRDefault="00396052" w:rsidP="00177648">
            <w:pPr>
              <w:pStyle w:val="TableBody"/>
            </w:pPr>
            <w:r w:rsidRPr="00684640">
              <w:t>Most services were open from 8am to 4pm, and about two thirds were operated by local or state governments. In 1976, 50% of those in ECEC were children of working parents. 14.7% were in ECEC 6–15 hours per week, 37.6% 16–30 hours per week, 32% 31–40 hours per week, and 15% more than 40 hours per week. Meals were provided, without charge to families at about half of services.</w:t>
            </w:r>
          </w:p>
          <w:p w14:paraId="511C892F" w14:textId="77777777" w:rsidR="00396052" w:rsidRPr="00684640" w:rsidRDefault="00396052" w:rsidP="00177648">
            <w:pPr>
              <w:pStyle w:val="TableBody"/>
            </w:pPr>
            <w:r w:rsidRPr="00684640">
              <w:t>About a third of staff were managers or teachers (mostly without approved preschool education), with a quarter being interns and another quarter being assistants.</w:t>
            </w:r>
          </w:p>
          <w:p w14:paraId="4EC7A378"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informal care in almost all cases.</w:t>
            </w:r>
          </w:p>
        </w:tc>
        <w:tc>
          <w:tcPr>
            <w:tcW w:w="1952" w:type="pct"/>
            <w:tcBorders>
              <w:top w:val="nil"/>
              <w:bottom w:val="nil"/>
            </w:tcBorders>
            <w:shd w:val="clear" w:color="000000" w:fill="auto"/>
          </w:tcPr>
          <w:p w14:paraId="5BD712CD" w14:textId="77777777" w:rsidR="00396052" w:rsidRPr="00684640" w:rsidRDefault="00396052" w:rsidP="00177648">
            <w:pPr>
              <w:pStyle w:val="TableBody"/>
            </w:pPr>
            <w:r w:rsidRPr="00684640">
              <w:lastRenderedPageBreak/>
              <w:t>Between the ages of 30 and 47, healthcare use increased, driven by visits for non</w:t>
            </w:r>
            <w:r>
              <w:noBreakHyphen/>
            </w:r>
            <w:r w:rsidRPr="00684640">
              <w:t>high</w:t>
            </w:r>
            <w:r>
              <w:noBreakHyphen/>
            </w:r>
            <w:r w:rsidRPr="00684640">
              <w:t>risk pregnancies. This seemed to reflect an increase in preventive care, as there was no increase in visits for high</w:t>
            </w:r>
            <w:r>
              <w:noBreakHyphen/>
            </w:r>
            <w:r w:rsidRPr="00684640">
              <w:t>risk pregnancies and no change in fertility.</w:t>
            </w:r>
          </w:p>
          <w:p w14:paraId="64F92500" w14:textId="77777777" w:rsidR="00396052" w:rsidRPr="00684640" w:rsidRDefault="00396052" w:rsidP="00177648">
            <w:pPr>
              <w:pStyle w:val="TableBody"/>
            </w:pPr>
            <w:r w:rsidRPr="00684640">
              <w:t>For the children of the original participants of the program, there were small but significant benefits on two measures of health at birth.</w:t>
            </w:r>
          </w:p>
          <w:p w14:paraId="450D6BBC" w14:textId="77777777" w:rsidR="00396052" w:rsidRPr="00684640" w:rsidRDefault="00396052" w:rsidP="00177648">
            <w:pPr>
              <w:pStyle w:val="TableBody"/>
            </w:pPr>
            <w:r w:rsidRPr="00684640">
              <w:lastRenderedPageBreak/>
              <w:t>Access to the program led to reductions to the likelihood of GP consultations for psychological symptoms and the number of specialist visits for psychiatric care (the latter being significant before but not after adjustment for the testing of multiple hypotheses). The number of GP consultations for injuries and social problems also fell.</w:t>
            </w:r>
          </w:p>
          <w:p w14:paraId="2EEAD301" w14:textId="77777777" w:rsidR="00396052" w:rsidRPr="00684640" w:rsidRDefault="00396052" w:rsidP="00177648">
            <w:pPr>
              <w:pStyle w:val="TableBody"/>
            </w:pPr>
            <w:r w:rsidRPr="00684640">
              <w:t>Effects across these outcomes seemed similar for children of different family backgrounds.</w:t>
            </w:r>
          </w:p>
          <w:p w14:paraId="01ADA0B0" w14:textId="77777777" w:rsidR="00396052" w:rsidRPr="00684640" w:rsidRDefault="00396052" w:rsidP="00177648">
            <w:pPr>
              <w:pStyle w:val="TableBody"/>
              <w:spacing w:before="45" w:after="45"/>
              <w:ind w:left="0" w:right="108"/>
              <w:rPr>
                <w:rFonts w:ascii="Arial (Body)" w:hAnsi="Arial (Body)"/>
                <w:color w:val="000000"/>
              </w:rPr>
            </w:pPr>
          </w:p>
        </w:tc>
      </w:tr>
      <w:tr w:rsidR="00396052" w:rsidRPr="00684640" w14:paraId="6590D257" w14:textId="77777777" w:rsidTr="00177648">
        <w:tc>
          <w:tcPr>
            <w:tcW w:w="1095" w:type="pct"/>
            <w:tcBorders>
              <w:top w:val="nil"/>
              <w:bottom w:val="nil"/>
            </w:tcBorders>
            <w:shd w:val="clear" w:color="000000" w:fill="F2F2F2"/>
          </w:tcPr>
          <w:p w14:paraId="257C3C38" w14:textId="77777777" w:rsidR="00396052" w:rsidRPr="00684640" w:rsidRDefault="00396052" w:rsidP="00177648">
            <w:pPr>
              <w:pStyle w:val="TableBody"/>
            </w:pPr>
            <w:r w:rsidRPr="00684640">
              <w:rPr>
                <w:rFonts w:ascii="Arial" w:hAnsi="Arial" w:cs="Arial"/>
              </w:rPr>
              <w:lastRenderedPageBreak/>
              <w:t>Bosque-Mercader 2022</w:t>
            </w:r>
          </w:p>
          <w:p w14:paraId="2A1EF50E" w14:textId="77777777" w:rsidR="00396052" w:rsidRPr="00684640" w:rsidRDefault="00396052" w:rsidP="00177648">
            <w:pPr>
              <w:pStyle w:val="TableBody"/>
            </w:pPr>
            <w:r w:rsidRPr="00684640">
              <w:t>DiD exploiting the rollout of three</w:t>
            </w:r>
            <w:r>
              <w:noBreakHyphen/>
            </w:r>
            <w:r w:rsidRPr="00684640">
              <w:t>year</w:t>
            </w:r>
            <w:r>
              <w:noBreakHyphen/>
            </w:r>
            <w:r w:rsidRPr="00684640">
              <w:t>old preschool in Spain; health outcomes.</w:t>
            </w:r>
          </w:p>
        </w:tc>
        <w:tc>
          <w:tcPr>
            <w:tcW w:w="1953" w:type="pct"/>
            <w:tcBorders>
              <w:top w:val="nil"/>
              <w:bottom w:val="nil"/>
            </w:tcBorders>
            <w:shd w:val="clear" w:color="000000" w:fill="F2F2F2"/>
          </w:tcPr>
          <w:p w14:paraId="00ABE338" w14:textId="77777777" w:rsidR="00396052" w:rsidRPr="00684640" w:rsidRDefault="00396052" w:rsidP="00177648">
            <w:pPr>
              <w:pStyle w:val="TableBody"/>
            </w:pPr>
            <w:r w:rsidRPr="00684640">
              <w:t>The same reform was analysed as Felfe et al. (2015) below.</w:t>
            </w:r>
          </w:p>
          <w:p w14:paraId="5D38999C" w14:textId="77777777" w:rsidR="00396052" w:rsidRPr="00684640" w:rsidRDefault="00396052" w:rsidP="00177648">
            <w:pPr>
              <w:pStyle w:val="TableBody"/>
            </w:pPr>
            <w:r w:rsidRPr="00684640">
              <w:t>Children in Spain who attended preschool at age three between 1984 and 1991.</w:t>
            </w:r>
          </w:p>
          <w:p w14:paraId="5F69CD56" w14:textId="77777777" w:rsidR="00396052" w:rsidRPr="00684640" w:rsidRDefault="00396052" w:rsidP="00177648">
            <w:pPr>
              <w:pStyle w:val="TableBody"/>
            </w:pPr>
            <w:r w:rsidRPr="00684640">
              <w:t>Preschool for three</w:t>
            </w:r>
            <w:r>
              <w:noBreakHyphen/>
            </w:r>
            <w:r w:rsidRPr="00684640">
              <w:t>year</w:t>
            </w:r>
            <w:r>
              <w:noBreakHyphen/>
            </w:r>
            <w:r w:rsidRPr="00684640">
              <w:t>olds, delivered in school settings with the same hours (9am</w:t>
            </w:r>
            <w:r>
              <w:noBreakHyphen/>
            </w:r>
            <w:r w:rsidRPr="00684640">
              <w:t>5pm, five days a week, excluding school holidays). Teachers were degree</w:t>
            </w:r>
            <w:r>
              <w:noBreakHyphen/>
            </w:r>
            <w:r w:rsidRPr="00684640">
              <w:t xml:space="preserve">qualified, with a maximum class size of 20. </w:t>
            </w:r>
          </w:p>
          <w:p w14:paraId="78F75579" w14:textId="77777777" w:rsidR="00396052" w:rsidRPr="00684640" w:rsidRDefault="00396052" w:rsidP="00177648">
            <w:pPr>
              <w:pStyle w:val="TableBody"/>
              <w:spacing w:before="45" w:after="45"/>
              <w:ind w:right="108"/>
              <w:rPr>
                <w:rFonts w:ascii="Arial (Body)" w:hAnsi="Arial (Body)"/>
                <w:color w:val="000000"/>
              </w:rPr>
            </w:pPr>
            <w:r w:rsidRPr="00684640">
              <w:t>The expansion of preschool did not reduce use of private ECEC; rather the counterfactual seemed to be parental care (with informal care being fairly uncommon).</w:t>
            </w:r>
          </w:p>
        </w:tc>
        <w:tc>
          <w:tcPr>
            <w:tcW w:w="1952" w:type="pct"/>
            <w:tcBorders>
              <w:top w:val="nil"/>
              <w:bottom w:val="nil"/>
            </w:tcBorders>
            <w:shd w:val="clear" w:color="000000" w:fill="F2F2F2"/>
          </w:tcPr>
          <w:p w14:paraId="4396FF1D" w14:textId="77777777" w:rsidR="00396052" w:rsidRPr="00684640" w:rsidRDefault="00396052" w:rsidP="00177648">
            <w:pPr>
              <w:pStyle w:val="TableBody"/>
            </w:pPr>
            <w:r w:rsidRPr="00684640">
              <w:t>The reform did not significantly affect most health outcomes through adulthood. Asthma diagnoses decreased, while total hospital visits increased.</w:t>
            </w:r>
          </w:p>
          <w:p w14:paraId="12C5D4A1" w14:textId="77777777" w:rsidR="00396052" w:rsidRPr="00684640" w:rsidRDefault="00396052" w:rsidP="00177648">
            <w:pPr>
              <w:pStyle w:val="TableBody"/>
            </w:pPr>
            <w:r w:rsidRPr="00684640">
              <w:t>Increases in hospital visits were driven by visits related to pregnancy and childbirth (with no data on fertility that could determine if this was due to increases in pregnancy, with worse health or increased health</w:t>
            </w:r>
            <w:r>
              <w:noBreakHyphen/>
            </w:r>
            <w:r w:rsidRPr="00684640">
              <w:t>seeking behaviour being alternative explanations). There were no significant effects on hospital visits for other reasons.</w:t>
            </w:r>
          </w:p>
          <w:p w14:paraId="4A7AD6D7" w14:textId="77777777" w:rsidR="00396052" w:rsidRPr="00684640" w:rsidRDefault="00396052" w:rsidP="00177648">
            <w:pPr>
              <w:pStyle w:val="TableBody"/>
              <w:spacing w:before="45" w:after="45"/>
              <w:ind w:right="108"/>
              <w:rPr>
                <w:rFonts w:ascii="Arial (Body)" w:hAnsi="Arial (Body)"/>
                <w:color w:val="000000"/>
              </w:rPr>
            </w:pPr>
            <w:r w:rsidRPr="00684640">
              <w:t>There was generally stronger evidence of benefits for children for low and moderate levels of maternal education. A reduction in diagnoses of mental health disorders and use of prescription medication was insignificant on average, but significant for children who had at least one parent with secondary but not tertiary education.</w:t>
            </w:r>
          </w:p>
        </w:tc>
      </w:tr>
      <w:tr w:rsidR="00396052" w:rsidRPr="00684640" w14:paraId="0078EB5F" w14:textId="77777777" w:rsidTr="00177648">
        <w:tc>
          <w:tcPr>
            <w:tcW w:w="1095" w:type="pct"/>
            <w:tcBorders>
              <w:top w:val="nil"/>
              <w:bottom w:val="nil"/>
            </w:tcBorders>
            <w:shd w:val="clear" w:color="000000" w:fill="auto"/>
          </w:tcPr>
          <w:p w14:paraId="7FE24472" w14:textId="77777777" w:rsidR="00396052" w:rsidRPr="00684640" w:rsidRDefault="00396052" w:rsidP="00177648">
            <w:pPr>
              <w:pStyle w:val="TableBody"/>
            </w:pPr>
            <w:r w:rsidRPr="00684640">
              <w:rPr>
                <w:rFonts w:ascii="Arial" w:hAnsi="Arial" w:cs="Arial"/>
              </w:rPr>
              <w:lastRenderedPageBreak/>
              <w:t>Lacey 2023</w:t>
            </w:r>
          </w:p>
          <w:p w14:paraId="2668B862" w14:textId="77777777" w:rsidR="00396052" w:rsidRPr="00684640" w:rsidRDefault="00396052" w:rsidP="00177648">
            <w:pPr>
              <w:pStyle w:val="TableBody"/>
            </w:pPr>
            <w:r w:rsidRPr="00684640">
              <w:t>RD exploiting income cutoffs for eligibility for the Head Start program in the US; health outcomes.</w:t>
            </w:r>
          </w:p>
        </w:tc>
        <w:tc>
          <w:tcPr>
            <w:tcW w:w="1953" w:type="pct"/>
            <w:tcBorders>
              <w:top w:val="nil"/>
              <w:bottom w:val="nil"/>
            </w:tcBorders>
            <w:shd w:val="clear" w:color="000000" w:fill="auto"/>
          </w:tcPr>
          <w:p w14:paraId="1A7661E5" w14:textId="77777777" w:rsidR="00396052" w:rsidRPr="00684640" w:rsidRDefault="00396052" w:rsidP="00177648">
            <w:pPr>
              <w:pStyle w:val="TableBody"/>
            </w:pPr>
            <w:r w:rsidRPr="00684640">
              <w:t>Male children who were born from 1977 to 1990 and attended the US Head Start preschool program.</w:t>
            </w:r>
          </w:p>
          <w:p w14:paraId="4A963CF2" w14:textId="77777777" w:rsidR="00396052" w:rsidRPr="00684640" w:rsidRDefault="00396052" w:rsidP="00177648">
            <w:pPr>
              <w:pStyle w:val="TableBody"/>
            </w:pPr>
            <w:r w:rsidRPr="00684640">
              <w:t>To be eligible, the children’s parents must have been below an income threshold, which varied by family size and structure, or received other some forms of government support payments.</w:t>
            </w:r>
          </w:p>
          <w:p w14:paraId="00ACF6F2" w14:textId="77777777" w:rsidR="00396052" w:rsidRPr="00684640" w:rsidRDefault="00396052" w:rsidP="00177648">
            <w:pPr>
              <w:pStyle w:val="TableBody"/>
              <w:spacing w:before="45" w:after="45"/>
              <w:ind w:right="108"/>
              <w:rPr>
                <w:rFonts w:ascii="Arial (Body)" w:hAnsi="Arial (Body)"/>
                <w:color w:val="000000"/>
              </w:rPr>
            </w:pPr>
            <w:r w:rsidRPr="00684640">
              <w:t>Health and nutrition components were added to the program around 1983, including collaborations with nutritionists and greater food provision.</w:t>
            </w:r>
          </w:p>
        </w:tc>
        <w:tc>
          <w:tcPr>
            <w:tcW w:w="1952" w:type="pct"/>
            <w:tcBorders>
              <w:top w:val="nil"/>
              <w:bottom w:val="nil"/>
            </w:tcBorders>
            <w:shd w:val="clear" w:color="000000" w:fill="auto"/>
          </w:tcPr>
          <w:p w14:paraId="068A4C07" w14:textId="77777777" w:rsidR="00396052" w:rsidRPr="00684640" w:rsidRDefault="00396052" w:rsidP="00177648">
            <w:pPr>
              <w:pStyle w:val="TableBody"/>
            </w:pPr>
            <w:r w:rsidRPr="00684640">
              <w:t>There were marginally significant reductions in illness, mental health problems and a limited ability to work due to poor health in adulthood. Effects on an index that combined health outcomes were significant.</w:t>
            </w:r>
          </w:p>
          <w:p w14:paraId="02935F2C" w14:textId="77777777" w:rsidR="00396052" w:rsidRPr="00684640" w:rsidRDefault="00396052" w:rsidP="00177648">
            <w:pPr>
              <w:pStyle w:val="TableBody"/>
            </w:pPr>
            <w:r w:rsidRPr="00684640">
              <w:t>There were positive but insignificant effects on an index of economic outcomes in adulthood. This included the likelihood of receiving food stamps, which was significantly reduced.</w:t>
            </w:r>
          </w:p>
          <w:p w14:paraId="6AB6C38D" w14:textId="77777777" w:rsidR="00396052" w:rsidRPr="00684640" w:rsidRDefault="00396052" w:rsidP="00177648">
            <w:pPr>
              <w:pStyle w:val="TableBody"/>
              <w:spacing w:before="45" w:after="45"/>
              <w:ind w:right="108"/>
              <w:rPr>
                <w:rFonts w:ascii="Arial (Body)" w:hAnsi="Arial (Body)"/>
                <w:color w:val="000000"/>
              </w:rPr>
            </w:pPr>
            <w:r w:rsidRPr="00684640">
              <w:t>Effects on health outcomes were much stronger for the cohort born after 1983, after health</w:t>
            </w:r>
            <w:r>
              <w:noBreakHyphen/>
            </w:r>
            <w:r w:rsidRPr="00684640">
              <w:t>focused components of the program were strengthened.</w:t>
            </w:r>
          </w:p>
        </w:tc>
      </w:tr>
      <w:tr w:rsidR="00396052" w:rsidRPr="00684640" w14:paraId="1EEC07A7" w14:textId="77777777" w:rsidTr="00177648">
        <w:tc>
          <w:tcPr>
            <w:tcW w:w="1095" w:type="pct"/>
            <w:tcBorders>
              <w:bottom w:val="single" w:sz="4" w:space="0" w:color="B3B3B3"/>
            </w:tcBorders>
            <w:shd w:val="clear" w:color="000000" w:fill="F2F2F2"/>
          </w:tcPr>
          <w:p w14:paraId="39EA46D2" w14:textId="77777777" w:rsidR="00396052" w:rsidRPr="00684640" w:rsidRDefault="00396052" w:rsidP="00177648">
            <w:pPr>
              <w:pStyle w:val="TableBody"/>
            </w:pPr>
            <w:r w:rsidRPr="00684640">
              <w:rPr>
                <w:rFonts w:ascii="Arial" w:hAnsi="Arial" w:cs="Arial"/>
              </w:rPr>
              <w:t>Gørtz et al. 2024</w:t>
            </w:r>
          </w:p>
          <w:p w14:paraId="6BABBFAD" w14:textId="77777777" w:rsidR="00396052" w:rsidRPr="00684640" w:rsidRDefault="00396052" w:rsidP="00177648">
            <w:pPr>
              <w:pStyle w:val="TableBody"/>
            </w:pPr>
            <w:r w:rsidRPr="00684640">
              <w:t>IV exploiting random variation from a waiting list for CBDC in Denmark; health and cognitive outcomes.</w:t>
            </w:r>
          </w:p>
        </w:tc>
        <w:tc>
          <w:tcPr>
            <w:tcW w:w="1953" w:type="pct"/>
            <w:tcBorders>
              <w:bottom w:val="single" w:sz="4" w:space="0" w:color="B3B3B3"/>
            </w:tcBorders>
            <w:shd w:val="clear" w:color="000000" w:fill="F2F2F2"/>
          </w:tcPr>
          <w:p w14:paraId="36E54FE7" w14:textId="77777777" w:rsidR="00396052" w:rsidRPr="00684640" w:rsidRDefault="00396052" w:rsidP="00177648">
            <w:pPr>
              <w:pStyle w:val="TableBody"/>
            </w:pPr>
            <w:r w:rsidRPr="00684640">
              <w:t>Children who attended CBDC in Copenhagen and were born between 2009 and 2015, between the ages of six months and 18 months.</w:t>
            </w:r>
          </w:p>
          <w:p w14:paraId="163714BB" w14:textId="77777777" w:rsidR="00396052" w:rsidRPr="00684640" w:rsidRDefault="00396052" w:rsidP="00177648">
            <w:pPr>
              <w:pStyle w:val="TableBody"/>
            </w:pPr>
            <w:r w:rsidRPr="00684640">
              <w:t>There was a mix of CBDC services that could be attended by children from six months to three years old, and combined CBDC and preschool services that children could attend through age five. Most children started attending before age one, with about a third attending by nine months old or earlier.</w:t>
            </w:r>
          </w:p>
          <w:p w14:paraId="5A230C2B" w14:textId="77777777" w:rsidR="00396052" w:rsidRPr="00684640" w:rsidRDefault="00396052" w:rsidP="00177648">
            <w:pPr>
              <w:pStyle w:val="TableBody"/>
            </w:pPr>
            <w:r w:rsidRPr="00684640">
              <w:t>Group sizes were 11</w:t>
            </w:r>
            <w:r>
              <w:noBreakHyphen/>
            </w:r>
            <w:r w:rsidRPr="00684640">
              <w:t>13 and the average ratio was 1:3.1. Staff comprised bachelor</w:t>
            </w:r>
            <w:r>
              <w:noBreakHyphen/>
            </w:r>
            <w:r w:rsidRPr="00684640">
              <w:t>degree</w:t>
            </w:r>
            <w:r>
              <w:noBreakHyphen/>
            </w:r>
            <w:r w:rsidRPr="00684640">
              <w:t>qualified educators, assistants with two years of training and other, unqualified staff.</w:t>
            </w:r>
          </w:p>
          <w:p w14:paraId="0D96BD58" w14:textId="77777777" w:rsidR="00396052" w:rsidRPr="00684640" w:rsidRDefault="00396052" w:rsidP="00177648">
            <w:pPr>
              <w:pStyle w:val="TableBody"/>
              <w:spacing w:before="45" w:after="45"/>
              <w:ind w:right="108"/>
              <w:rPr>
                <w:rFonts w:ascii="Arial (Body)" w:hAnsi="Arial (Body)"/>
                <w:color w:val="000000"/>
              </w:rPr>
            </w:pPr>
            <w:r w:rsidRPr="00684640">
              <w:t>The counterfactual was almost always parental care; informal care is relatively rare in Denmark and FDC was uncommon in Copenhagen.</w:t>
            </w:r>
          </w:p>
        </w:tc>
        <w:tc>
          <w:tcPr>
            <w:tcW w:w="1952" w:type="pct"/>
            <w:tcBorders>
              <w:bottom w:val="single" w:sz="4" w:space="0" w:color="B3B3B3"/>
            </w:tcBorders>
            <w:shd w:val="clear" w:color="000000" w:fill="F2F2F2"/>
          </w:tcPr>
          <w:p w14:paraId="6AEA85C6" w14:textId="77777777" w:rsidR="00396052" w:rsidRPr="00684640" w:rsidRDefault="00396052" w:rsidP="00177648">
            <w:pPr>
              <w:pStyle w:val="TableBody"/>
            </w:pPr>
            <w:r w:rsidRPr="00684640">
              <w:t>Earlier enrolment in CBDC led to a marginally significant reduction in the likelihood of inadequate language development by age five. There was a small and insignificant reduction in the likelihood that a child’s school entry was delayed.</w:t>
            </w:r>
          </w:p>
          <w:p w14:paraId="421AEE99" w14:textId="77777777" w:rsidR="00396052" w:rsidRPr="00684640" w:rsidRDefault="00396052" w:rsidP="00177648">
            <w:pPr>
              <w:pStyle w:val="TableBody"/>
            </w:pPr>
            <w:r w:rsidRPr="00684640">
              <w:t>Visits to primary care physicians were increased in the short term, with this being offset by later decreases. These results were not significant when adjusting for the testing of multiple hypotheses. There were no effects on hospitalisation.</w:t>
            </w:r>
          </w:p>
          <w:p w14:paraId="1E402C31" w14:textId="77777777" w:rsidR="00396052" w:rsidRPr="00684640" w:rsidRDefault="00396052" w:rsidP="00177648">
            <w:pPr>
              <w:pStyle w:val="TableBody"/>
              <w:spacing w:before="45" w:after="45"/>
              <w:ind w:right="108"/>
              <w:rPr>
                <w:rFonts w:ascii="Arial (Body)" w:hAnsi="Arial (Body)"/>
                <w:color w:val="000000"/>
              </w:rPr>
            </w:pPr>
            <w:r w:rsidRPr="00684640">
              <w:t>Effects seemed the same for children whose mothers had different levels of education.</w:t>
            </w:r>
          </w:p>
        </w:tc>
      </w:tr>
    </w:tbl>
    <w:p w14:paraId="5FEE5FD1" w14:textId="77777777" w:rsidR="00396052" w:rsidRPr="00684640" w:rsidRDefault="00396052" w:rsidP="00396052">
      <w:pPr>
        <w:pStyle w:val="Note"/>
      </w:pPr>
      <w:r w:rsidRPr="00684640">
        <w:rPr>
          <w:b/>
          <w:bCs/>
        </w:rPr>
        <w:t>a.</w:t>
      </w:r>
      <w:r w:rsidRPr="00684640">
        <w:t xml:space="preserve"> Rossin</w:t>
      </w:r>
      <w:r>
        <w:noBreakHyphen/>
      </w:r>
      <w:r w:rsidRPr="00684640">
        <w:t>Slater and Wüst (2020), included above, also considered health outcomes.</w:t>
      </w:r>
    </w:p>
    <w:p w14:paraId="56DEC012" w14:textId="77777777" w:rsidR="00396052" w:rsidRPr="00684640" w:rsidRDefault="00396052" w:rsidP="00396052">
      <w:pPr>
        <w:pStyle w:val="FigureTableHeading"/>
      </w:pPr>
      <w:r w:rsidRPr="00684640">
        <w:lastRenderedPageBreak/>
        <w:t>Table H.5</w:t>
      </w:r>
      <w:r w:rsidRPr="00684640">
        <w:rPr>
          <w:noProof/>
        </w:rPr>
        <w:t xml:space="preserve"> – </w:t>
      </w:r>
      <w:r w:rsidRPr="00684640">
        <w:rPr>
          <w:b/>
          <w:bCs/>
        </w:rPr>
        <w:t>Social connection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91"/>
        <w:gridCol w:w="5691"/>
        <w:gridCol w:w="5688"/>
      </w:tblGrid>
      <w:tr w:rsidR="00396052" w:rsidRPr="00684640" w14:paraId="3A142EF4" w14:textId="77777777" w:rsidTr="00177648">
        <w:trPr>
          <w:tblHeader/>
        </w:trPr>
        <w:tc>
          <w:tcPr>
            <w:tcW w:w="1095" w:type="pct"/>
            <w:tcBorders>
              <w:bottom w:val="single" w:sz="4" w:space="0" w:color="B3B3B3"/>
            </w:tcBorders>
            <w:shd w:val="clear" w:color="000000" w:fill="auto"/>
          </w:tcPr>
          <w:p w14:paraId="3A7B6900" w14:textId="77777777" w:rsidR="00396052" w:rsidRPr="00684640" w:rsidRDefault="00396052" w:rsidP="00177648">
            <w:pPr>
              <w:pStyle w:val="TableHeading"/>
              <w:rPr>
                <w:rFonts w:ascii="Arial (Body)" w:hAnsi="Arial (Body)"/>
                <w:color w:val="265A9A"/>
              </w:rPr>
            </w:pPr>
            <w:r w:rsidRPr="00684640">
              <w:t>Study and methodology</w:t>
            </w:r>
          </w:p>
        </w:tc>
        <w:tc>
          <w:tcPr>
            <w:tcW w:w="1953" w:type="pct"/>
            <w:tcBorders>
              <w:bottom w:val="single" w:sz="4" w:space="0" w:color="B3B3B3"/>
            </w:tcBorders>
            <w:shd w:val="clear" w:color="000000" w:fill="auto"/>
          </w:tcPr>
          <w:p w14:paraId="2B780582"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36782445" w14:textId="77777777" w:rsidR="00396052" w:rsidRPr="00684640" w:rsidRDefault="00396052" w:rsidP="00177648">
            <w:pPr>
              <w:pStyle w:val="TableHeading"/>
            </w:pPr>
            <w:r w:rsidRPr="00684640">
              <w:t>Findings</w:t>
            </w:r>
          </w:p>
        </w:tc>
      </w:tr>
      <w:tr w:rsidR="00396052" w:rsidRPr="00684640" w14:paraId="27894176" w14:textId="77777777" w:rsidTr="00177648">
        <w:tc>
          <w:tcPr>
            <w:tcW w:w="1095" w:type="pct"/>
            <w:tcBorders>
              <w:top w:val="single" w:sz="4" w:space="0" w:color="B3B3B3"/>
              <w:bottom w:val="nil"/>
            </w:tcBorders>
            <w:shd w:val="clear" w:color="000000" w:fill="F2F2F2"/>
          </w:tcPr>
          <w:p w14:paraId="335A0FD9" w14:textId="77777777" w:rsidR="00396052" w:rsidRPr="00684640" w:rsidRDefault="00396052" w:rsidP="00177648">
            <w:pPr>
              <w:pStyle w:val="TableBody"/>
            </w:pPr>
            <w:r w:rsidRPr="00684640">
              <w:rPr>
                <w:rFonts w:ascii="Arial" w:hAnsi="Arial" w:cs="Arial"/>
              </w:rPr>
              <w:t>Schlotter 2011</w:t>
            </w:r>
          </w:p>
          <w:p w14:paraId="211EBD11" w14:textId="77777777" w:rsidR="00396052" w:rsidRPr="00684640" w:rsidRDefault="00396052" w:rsidP="00177648">
            <w:pPr>
              <w:pStyle w:val="TableBody"/>
            </w:pPr>
            <w:r w:rsidRPr="00684640">
              <w:t>RD and IV exploiting age cutoffs for entry to preschool in Germany; early social outcomes.</w:t>
            </w:r>
          </w:p>
        </w:tc>
        <w:tc>
          <w:tcPr>
            <w:tcW w:w="1953" w:type="pct"/>
            <w:tcBorders>
              <w:top w:val="single" w:sz="4" w:space="0" w:color="B3B3B3"/>
              <w:bottom w:val="nil"/>
            </w:tcBorders>
            <w:shd w:val="clear" w:color="000000" w:fill="F2F2F2"/>
          </w:tcPr>
          <w:p w14:paraId="334808B9" w14:textId="77777777" w:rsidR="00396052" w:rsidRPr="00684640" w:rsidRDefault="00396052" w:rsidP="00177648">
            <w:pPr>
              <w:pStyle w:val="TableBody"/>
            </w:pPr>
            <w:r w:rsidRPr="00684640">
              <w:t>Children born in 1996 or 1997 in Germany.</w:t>
            </w:r>
          </w:p>
          <w:p w14:paraId="6D8368FC" w14:textId="77777777" w:rsidR="00396052" w:rsidRPr="00684640" w:rsidRDefault="00396052" w:rsidP="00177648">
            <w:pPr>
              <w:pStyle w:val="TableBody"/>
            </w:pPr>
            <w:r w:rsidRPr="00684640">
              <w:t>Children were able to enrol in preschool from the age of three.</w:t>
            </w:r>
          </w:p>
          <w:p w14:paraId="655F8C32" w14:textId="77777777" w:rsidR="00396052" w:rsidRPr="00684640" w:rsidRDefault="00396052" w:rsidP="00177648">
            <w:pPr>
              <w:pStyle w:val="TableBody"/>
              <w:spacing w:before="45" w:after="45"/>
              <w:ind w:right="108"/>
              <w:rPr>
                <w:rFonts w:ascii="Arial (Body)" w:hAnsi="Arial (Body)"/>
                <w:color w:val="000000"/>
              </w:rPr>
            </w:pPr>
          </w:p>
        </w:tc>
        <w:tc>
          <w:tcPr>
            <w:tcW w:w="1952" w:type="pct"/>
            <w:tcBorders>
              <w:top w:val="single" w:sz="4" w:space="0" w:color="B3B3B3"/>
              <w:bottom w:val="nil"/>
            </w:tcBorders>
            <w:shd w:val="clear" w:color="000000" w:fill="F2F2F2"/>
          </w:tcPr>
          <w:p w14:paraId="1D9255B9" w14:textId="77777777" w:rsidR="00396052" w:rsidRPr="00684640" w:rsidRDefault="00396052" w:rsidP="00177648">
            <w:pPr>
              <w:pStyle w:val="TableBody"/>
            </w:pPr>
            <w:r w:rsidRPr="00684640">
              <w:t>Attending preschool from an earlier age increased a child’s ability to make friends, as reported by their mother. A measure of assertiveness was also improved.</w:t>
            </w:r>
          </w:p>
          <w:p w14:paraId="11EF61D7" w14:textId="77777777" w:rsidR="00396052" w:rsidRPr="00684640" w:rsidRDefault="00396052" w:rsidP="00177648">
            <w:pPr>
              <w:pStyle w:val="TableBody"/>
              <w:spacing w:before="45" w:after="45"/>
              <w:ind w:right="108"/>
              <w:rPr>
                <w:rFonts w:ascii="Arial (Body)" w:hAnsi="Arial (Body)"/>
                <w:color w:val="000000"/>
              </w:rPr>
            </w:pPr>
            <w:r w:rsidRPr="00684640">
              <w:t>These effects seemed to come from the earlier age when starting preschool and not just a longer duration in preschool.</w:t>
            </w:r>
          </w:p>
        </w:tc>
      </w:tr>
      <w:tr w:rsidR="00396052" w:rsidRPr="00684640" w14:paraId="481E64DA" w14:textId="77777777" w:rsidTr="00177648">
        <w:tc>
          <w:tcPr>
            <w:tcW w:w="1095" w:type="pct"/>
            <w:tcBorders>
              <w:bottom w:val="single" w:sz="4" w:space="0" w:color="B3B3B3"/>
            </w:tcBorders>
            <w:shd w:val="clear" w:color="auto" w:fill="auto"/>
          </w:tcPr>
          <w:p w14:paraId="57A102DD" w14:textId="77777777" w:rsidR="00396052" w:rsidRPr="00684640" w:rsidRDefault="00396052" w:rsidP="00177648">
            <w:pPr>
              <w:pStyle w:val="TableBody"/>
            </w:pPr>
            <w:r w:rsidRPr="00684640">
              <w:rPr>
                <w:rFonts w:ascii="Arial" w:hAnsi="Arial" w:cs="Arial"/>
              </w:rPr>
              <w:t>Bach et al. 2019</w:t>
            </w:r>
          </w:p>
          <w:p w14:paraId="56F7BE90" w14:textId="77777777" w:rsidR="00396052" w:rsidRPr="00684640" w:rsidRDefault="00396052" w:rsidP="00177648">
            <w:pPr>
              <w:pStyle w:val="TableBody"/>
            </w:pPr>
            <w:r w:rsidRPr="00684640">
              <w:t>IV exploiting differential levels of availability during an expansion of preschool in Germany; personality traits.</w:t>
            </w:r>
          </w:p>
        </w:tc>
        <w:tc>
          <w:tcPr>
            <w:tcW w:w="1953" w:type="pct"/>
            <w:tcBorders>
              <w:bottom w:val="single" w:sz="4" w:space="0" w:color="B3B3B3"/>
            </w:tcBorders>
            <w:shd w:val="clear" w:color="auto" w:fill="auto"/>
          </w:tcPr>
          <w:p w14:paraId="795671D3" w14:textId="77777777" w:rsidR="00396052" w:rsidRPr="00684640" w:rsidRDefault="00396052" w:rsidP="00177648">
            <w:pPr>
              <w:pStyle w:val="TableBody"/>
            </w:pPr>
            <w:r w:rsidRPr="00684640">
              <w:t>Children born between 1994 and 1996 in West Germany, who attended preschool at age three or four.</w:t>
            </w:r>
          </w:p>
          <w:p w14:paraId="0459B1DA" w14:textId="77777777" w:rsidR="00396052" w:rsidRPr="00684640" w:rsidRDefault="00396052" w:rsidP="00177648">
            <w:pPr>
              <w:pStyle w:val="TableBody"/>
              <w:spacing w:before="45" w:after="45"/>
              <w:ind w:right="108"/>
              <w:rPr>
                <w:rFonts w:ascii="Arial (Body)" w:hAnsi="Arial (Body)"/>
                <w:color w:val="000000"/>
              </w:rPr>
            </w:pPr>
            <w:r w:rsidRPr="00684640">
              <w:t>Preschool was half</w:t>
            </w:r>
            <w:r>
              <w:noBreakHyphen/>
            </w:r>
            <w:r w:rsidRPr="00684640">
              <w:t>day and publicly funded.</w:t>
            </w:r>
          </w:p>
        </w:tc>
        <w:tc>
          <w:tcPr>
            <w:tcW w:w="1952" w:type="pct"/>
            <w:tcBorders>
              <w:bottom w:val="single" w:sz="4" w:space="0" w:color="B3B3B3"/>
            </w:tcBorders>
            <w:shd w:val="clear" w:color="auto" w:fill="auto"/>
          </w:tcPr>
          <w:p w14:paraId="0008B7F7" w14:textId="77777777" w:rsidR="00396052" w:rsidRPr="00684640" w:rsidRDefault="00396052" w:rsidP="00177648">
            <w:pPr>
              <w:pStyle w:val="TableBody"/>
            </w:pPr>
            <w:r w:rsidRPr="00684640">
              <w:t xml:space="preserve">Extroversion at age 15 was increased significantly by earlier preschool attendance. </w:t>
            </w:r>
          </w:p>
          <w:p w14:paraId="698621F2" w14:textId="77777777" w:rsidR="00396052" w:rsidRPr="00684640" w:rsidRDefault="00396052" w:rsidP="00177648">
            <w:pPr>
              <w:pStyle w:val="TableBody"/>
            </w:pPr>
            <w:r w:rsidRPr="00684640">
              <w:t xml:space="preserve">The authors note estimates of the relationship between extraversion and labour market outcomes could, when combined with these results, imply meaningful increases in employment and earnings. </w:t>
            </w:r>
          </w:p>
          <w:p w14:paraId="59D128FD" w14:textId="77777777" w:rsidR="00396052" w:rsidRPr="00684640" w:rsidRDefault="00396052" w:rsidP="00177648">
            <w:pPr>
              <w:pStyle w:val="TableBody"/>
              <w:spacing w:before="45" w:after="45"/>
              <w:ind w:right="108"/>
              <w:rPr>
                <w:rFonts w:ascii="Arial (Body)" w:hAnsi="Arial (Body)"/>
                <w:color w:val="000000"/>
              </w:rPr>
            </w:pPr>
            <w:r w:rsidRPr="00684640">
              <w:t>There was also a large but not significant increase in conscientiousness, with no evidence of effects on openness to experience, agreeableness or neuroticism.</w:t>
            </w:r>
          </w:p>
        </w:tc>
      </w:tr>
    </w:tbl>
    <w:p w14:paraId="510FCB19" w14:textId="77777777" w:rsidR="00396052" w:rsidRPr="00684640" w:rsidRDefault="00396052" w:rsidP="00396052">
      <w:pPr>
        <w:pStyle w:val="BodyText"/>
      </w:pPr>
    </w:p>
    <w:p w14:paraId="65EF57FE" w14:textId="77777777" w:rsidR="00396052" w:rsidRPr="00684640" w:rsidRDefault="00396052" w:rsidP="00396052">
      <w:pPr>
        <w:pStyle w:val="BodyText"/>
      </w:pPr>
      <w:r w:rsidRPr="00684640">
        <w:br w:type="page"/>
      </w:r>
    </w:p>
    <w:p w14:paraId="2A0FAA47" w14:textId="77777777" w:rsidR="00396052" w:rsidRPr="00684640" w:rsidRDefault="00396052" w:rsidP="00396052">
      <w:pPr>
        <w:pStyle w:val="FigureTableHeading"/>
      </w:pPr>
      <w:r w:rsidRPr="00684640">
        <w:lastRenderedPageBreak/>
        <w:t>Table H.6</w:t>
      </w:r>
      <w:r w:rsidRPr="00684640">
        <w:rPr>
          <w:noProof/>
        </w:rPr>
        <w:t xml:space="preserve"> – </w:t>
      </w:r>
      <w:r w:rsidRPr="00684640">
        <w:rPr>
          <w:b/>
          <w:bCs/>
        </w:rPr>
        <w:t>Shorter</w:t>
      </w:r>
      <w:r>
        <w:rPr>
          <w:b/>
          <w:bCs/>
        </w:rPr>
        <w:noBreakHyphen/>
      </w:r>
      <w:r w:rsidRPr="00684640">
        <w:rPr>
          <w:b/>
          <w:bCs/>
        </w:rPr>
        <w:t>term educational and skills development outcomes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91"/>
        <w:gridCol w:w="5691"/>
        <w:gridCol w:w="5688"/>
      </w:tblGrid>
      <w:tr w:rsidR="00396052" w:rsidRPr="00684640" w14:paraId="774FED64" w14:textId="77777777" w:rsidTr="00177648">
        <w:trPr>
          <w:tblHeader/>
        </w:trPr>
        <w:tc>
          <w:tcPr>
            <w:tcW w:w="1095" w:type="pct"/>
            <w:tcBorders>
              <w:bottom w:val="single" w:sz="4" w:space="0" w:color="B3B3B3"/>
            </w:tcBorders>
            <w:shd w:val="clear" w:color="000000" w:fill="auto"/>
          </w:tcPr>
          <w:p w14:paraId="36043B10" w14:textId="77777777" w:rsidR="00396052" w:rsidRPr="00684640" w:rsidRDefault="00396052" w:rsidP="00177648">
            <w:pPr>
              <w:pStyle w:val="TableHeading"/>
            </w:pPr>
            <w:r w:rsidRPr="00684640">
              <w:t>Study and methodology</w:t>
            </w:r>
          </w:p>
        </w:tc>
        <w:tc>
          <w:tcPr>
            <w:tcW w:w="1953" w:type="pct"/>
            <w:tcBorders>
              <w:bottom w:val="single" w:sz="4" w:space="0" w:color="B3B3B3"/>
            </w:tcBorders>
            <w:shd w:val="clear" w:color="000000" w:fill="auto"/>
          </w:tcPr>
          <w:p w14:paraId="5B5AA369" w14:textId="77777777" w:rsidR="00396052" w:rsidRPr="00684640" w:rsidRDefault="00396052" w:rsidP="00177648">
            <w:pPr>
              <w:pStyle w:val="TableHeading"/>
            </w:pPr>
            <w:r w:rsidRPr="00684640">
              <w:t>Population and treatment</w:t>
            </w:r>
          </w:p>
        </w:tc>
        <w:tc>
          <w:tcPr>
            <w:tcW w:w="1952" w:type="pct"/>
            <w:tcBorders>
              <w:bottom w:val="single" w:sz="4" w:space="0" w:color="B3B3B3"/>
            </w:tcBorders>
            <w:shd w:val="clear" w:color="000000" w:fill="auto"/>
          </w:tcPr>
          <w:p w14:paraId="3F3BE1BD" w14:textId="77777777" w:rsidR="00396052" w:rsidRPr="00684640" w:rsidRDefault="00396052" w:rsidP="00177648">
            <w:pPr>
              <w:pStyle w:val="TableHeading"/>
            </w:pPr>
            <w:r w:rsidRPr="00684640">
              <w:t>Findings</w:t>
            </w:r>
          </w:p>
        </w:tc>
      </w:tr>
      <w:tr w:rsidR="00396052" w:rsidRPr="00684640" w14:paraId="5852A4A2" w14:textId="77777777" w:rsidTr="00177648">
        <w:tc>
          <w:tcPr>
            <w:tcW w:w="1095" w:type="pct"/>
            <w:tcBorders>
              <w:top w:val="single" w:sz="4" w:space="0" w:color="B3B3B3"/>
              <w:bottom w:val="nil"/>
            </w:tcBorders>
            <w:shd w:val="clear" w:color="000000" w:fill="F2F2F2"/>
          </w:tcPr>
          <w:p w14:paraId="50531E72" w14:textId="77777777" w:rsidR="00396052" w:rsidRPr="00684640" w:rsidRDefault="00396052" w:rsidP="00177648">
            <w:pPr>
              <w:pStyle w:val="TableBody"/>
            </w:pPr>
            <w:r w:rsidRPr="00684640">
              <w:rPr>
                <w:rFonts w:ascii="Arial" w:hAnsi="Arial" w:cs="Arial"/>
              </w:rPr>
              <w:t>Zachrisson et al. 2023</w:t>
            </w:r>
          </w:p>
          <w:p w14:paraId="1FC3E4D7" w14:textId="77777777" w:rsidR="00396052" w:rsidRPr="00684640" w:rsidRDefault="00396052" w:rsidP="00177648">
            <w:pPr>
              <w:pStyle w:val="TableBody"/>
            </w:pPr>
            <w:r w:rsidRPr="00684640">
              <w:t>IV exploiting an expansion of access to early ECEC in Norway; medium</w:t>
            </w:r>
            <w:r>
              <w:noBreakHyphen/>
            </w:r>
            <w:r w:rsidRPr="00684640">
              <w:t>term educational outcomes.</w:t>
            </w:r>
          </w:p>
        </w:tc>
        <w:tc>
          <w:tcPr>
            <w:tcW w:w="1953" w:type="pct"/>
            <w:tcBorders>
              <w:top w:val="single" w:sz="4" w:space="0" w:color="B3B3B3"/>
              <w:bottom w:val="nil"/>
            </w:tcBorders>
            <w:shd w:val="clear" w:color="000000" w:fill="F2F2F2"/>
          </w:tcPr>
          <w:p w14:paraId="392ED563" w14:textId="77777777" w:rsidR="00396052" w:rsidRPr="00684640" w:rsidRDefault="00396052" w:rsidP="00177648">
            <w:pPr>
              <w:pStyle w:val="TableBody"/>
            </w:pPr>
            <w:r w:rsidRPr="00684640">
              <w:t>Children born between 2002 and 2008 in Norway who attended ECEC by age 1.5. Data came from a survey that had high levels of attrition and underrepresented low</w:t>
            </w:r>
            <w:r>
              <w:noBreakHyphen/>
            </w:r>
            <w:r w:rsidRPr="00684640">
              <w:t>income and low</w:t>
            </w:r>
            <w:r>
              <w:noBreakHyphen/>
            </w:r>
            <w:r w:rsidRPr="00684640">
              <w:t>education families.</w:t>
            </w:r>
          </w:p>
          <w:p w14:paraId="54BD032A" w14:textId="77777777" w:rsidR="00396052" w:rsidRPr="00684640" w:rsidRDefault="00396052" w:rsidP="00177648">
            <w:pPr>
              <w:pStyle w:val="TableBody"/>
            </w:pPr>
            <w:r w:rsidRPr="00684640">
              <w:t>There was a mix of publicly and privately provided CBDC. Typically, children attended in groups of nine children and three educators, one of whom was a degree</w:t>
            </w:r>
            <w:r>
              <w:noBreakHyphen/>
            </w:r>
            <w:r w:rsidRPr="00684640">
              <w:t>qualified teacher. Not all quality standards were strict requirements, although centres mostly followed guidelines.</w:t>
            </w:r>
          </w:p>
          <w:p w14:paraId="722F580B"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primarily parental care for low</w:t>
            </w:r>
            <w:r>
              <w:noBreakHyphen/>
            </w:r>
            <w:r w:rsidRPr="00684640">
              <w:t>income families, and a mix of parental, informal and family day care for middle</w:t>
            </w:r>
            <w:r>
              <w:noBreakHyphen/>
            </w:r>
            <w:r w:rsidRPr="00684640">
              <w:t xml:space="preserve"> and high</w:t>
            </w:r>
            <w:r>
              <w:noBreakHyphen/>
            </w:r>
            <w:r w:rsidRPr="00684640">
              <w:t>income children.</w:t>
            </w:r>
          </w:p>
        </w:tc>
        <w:tc>
          <w:tcPr>
            <w:tcW w:w="1952" w:type="pct"/>
            <w:tcBorders>
              <w:top w:val="single" w:sz="4" w:space="0" w:color="B3B3B3"/>
              <w:bottom w:val="nil"/>
            </w:tcBorders>
            <w:shd w:val="clear" w:color="000000" w:fill="F2F2F2"/>
          </w:tcPr>
          <w:p w14:paraId="1D518C85" w14:textId="77777777" w:rsidR="00396052" w:rsidRPr="00684640" w:rsidRDefault="00396052" w:rsidP="00177648">
            <w:pPr>
              <w:pStyle w:val="TableBody"/>
            </w:pPr>
            <w:r w:rsidRPr="00684640">
              <w:t>Regressions controlling for birth cohort in each municipality produced estimates of the effect of starting ECEC by age 1.5 on fifth grade math and reading test scores that were positive and at least marginally significant.</w:t>
            </w:r>
          </w:p>
          <w:p w14:paraId="5C887ACB" w14:textId="77777777" w:rsidR="00396052" w:rsidRPr="00684640" w:rsidRDefault="00396052" w:rsidP="00177648">
            <w:pPr>
              <w:pStyle w:val="TableBody"/>
            </w:pPr>
            <w:r w:rsidRPr="00684640">
              <w:t>IV estimates were positive and much larger, but only marginally significant.</w:t>
            </w:r>
          </w:p>
          <w:p w14:paraId="7ADBAB96" w14:textId="77777777" w:rsidR="00396052" w:rsidRPr="00684640" w:rsidRDefault="00396052" w:rsidP="00177648">
            <w:pPr>
              <w:pStyle w:val="TableBody"/>
              <w:spacing w:before="45" w:after="45"/>
              <w:ind w:right="108"/>
              <w:rPr>
                <w:rFonts w:ascii="Arial (Body)" w:hAnsi="Arial (Body)"/>
                <w:color w:val="000000"/>
              </w:rPr>
            </w:pPr>
            <w:r w:rsidRPr="00684640">
              <w:t>Effects were larger for children whose parents had lower levels of education, For children whose parents had lower incomes, effects seemed larger but by a smaller extent, and evidence of a difference was less clear.</w:t>
            </w:r>
          </w:p>
        </w:tc>
      </w:tr>
      <w:tr w:rsidR="00396052" w:rsidRPr="00684640" w14:paraId="17B700B9" w14:textId="77777777" w:rsidTr="00177648">
        <w:tc>
          <w:tcPr>
            <w:tcW w:w="1095" w:type="pct"/>
            <w:tcBorders>
              <w:top w:val="nil"/>
              <w:bottom w:val="nil"/>
            </w:tcBorders>
            <w:shd w:val="clear" w:color="000000" w:fill="auto"/>
          </w:tcPr>
          <w:p w14:paraId="7582C087" w14:textId="77777777" w:rsidR="00396052" w:rsidRPr="00684640" w:rsidRDefault="00396052" w:rsidP="00177648">
            <w:pPr>
              <w:pStyle w:val="TableBody"/>
            </w:pPr>
            <w:r w:rsidRPr="00684640">
              <w:rPr>
                <w:rFonts w:ascii="Arial" w:hAnsi="Arial" w:cs="Arial"/>
              </w:rPr>
              <w:t>Drange and Havnes 2019</w:t>
            </w:r>
          </w:p>
          <w:p w14:paraId="3420E78A" w14:textId="77777777" w:rsidR="00396052" w:rsidRPr="00684640" w:rsidRDefault="00396052" w:rsidP="00177648">
            <w:pPr>
              <w:pStyle w:val="TableBody"/>
            </w:pPr>
            <w:r w:rsidRPr="00684640">
              <w:t>IV exploiting random assignment to oversubscribed services in Norway; short</w:t>
            </w:r>
            <w:r>
              <w:noBreakHyphen/>
            </w:r>
            <w:r w:rsidRPr="00684640">
              <w:t>term educational outcomes.</w:t>
            </w:r>
          </w:p>
        </w:tc>
        <w:tc>
          <w:tcPr>
            <w:tcW w:w="1953" w:type="pct"/>
            <w:tcBorders>
              <w:top w:val="nil"/>
              <w:bottom w:val="nil"/>
            </w:tcBorders>
            <w:shd w:val="clear" w:color="000000" w:fill="auto"/>
          </w:tcPr>
          <w:p w14:paraId="6D5F7392" w14:textId="77777777" w:rsidR="00396052" w:rsidRPr="00684640" w:rsidRDefault="00396052" w:rsidP="00177648">
            <w:pPr>
              <w:pStyle w:val="TableBody"/>
            </w:pPr>
            <w:r w:rsidRPr="00684640">
              <w:t>Children aged 1</w:t>
            </w:r>
            <w:r>
              <w:noBreakHyphen/>
            </w:r>
            <w:r w:rsidRPr="00684640">
              <w:t>2 in Oslo, who were born between 2004 and 2006 and whose parents applied for a place in ECEC in the year they turned one. A random lottery determined which families were offered a place. Children could not be included in the analysis if they had a priority placement (for reasons such as disability) or had a private centre as their first preference.</w:t>
            </w:r>
          </w:p>
          <w:p w14:paraId="01E18B19" w14:textId="77777777" w:rsidR="00396052" w:rsidRPr="00684640" w:rsidRDefault="00396052" w:rsidP="00177648">
            <w:pPr>
              <w:pStyle w:val="TableBody"/>
              <w:spacing w:before="45" w:after="45"/>
              <w:ind w:right="108"/>
              <w:rPr>
                <w:rFonts w:ascii="Arial (Body)" w:hAnsi="Arial (Body)"/>
                <w:color w:val="000000"/>
              </w:rPr>
            </w:pPr>
            <w:r w:rsidRPr="00684640">
              <w:t>Children attended CBDC, which was typically open from 7:30am to 5pm and had an average ratio of about 3:10, including one degree</w:t>
            </w:r>
            <w:r>
              <w:noBreakHyphen/>
            </w:r>
            <w:r w:rsidRPr="00684640">
              <w:t>qualified teacher.</w:t>
            </w:r>
          </w:p>
        </w:tc>
        <w:tc>
          <w:tcPr>
            <w:tcW w:w="1952" w:type="pct"/>
            <w:tcBorders>
              <w:top w:val="nil"/>
              <w:bottom w:val="nil"/>
            </w:tcBorders>
            <w:shd w:val="clear" w:color="000000" w:fill="auto"/>
          </w:tcPr>
          <w:p w14:paraId="44A1F6A7" w14:textId="77777777" w:rsidR="00396052" w:rsidRPr="00684640" w:rsidRDefault="00396052" w:rsidP="00177648">
            <w:pPr>
              <w:pStyle w:val="TableBody"/>
            </w:pPr>
            <w:r w:rsidRPr="00684640">
              <w:t>An offer of a place seemed to lead to children to attend centres with somewhat worse quality indicators and worse</w:t>
            </w:r>
            <w:r>
              <w:noBreakHyphen/>
            </w:r>
            <w:r w:rsidRPr="00684640">
              <w:t>performing peers, compared to those who were not offered a place but still attended ECEC at another centre, usually at a later age.</w:t>
            </w:r>
          </w:p>
          <w:p w14:paraId="148043D5" w14:textId="77777777" w:rsidR="00396052" w:rsidRPr="00684640" w:rsidRDefault="00396052" w:rsidP="00177648">
            <w:pPr>
              <w:pStyle w:val="TableBody"/>
            </w:pPr>
            <w:r w:rsidRPr="00684640">
              <w:t>Nonetheless, reduced</w:t>
            </w:r>
            <w:r>
              <w:noBreakHyphen/>
            </w:r>
            <w:r w:rsidRPr="00684640">
              <w:t>form estimates of the effect of being offered a place, and IV estimates of attending ECEC at an earlier age on maths and language test scores at age seven were positive.</w:t>
            </w:r>
          </w:p>
        </w:tc>
      </w:tr>
      <w:tr w:rsidR="00396052" w:rsidRPr="00684640" w14:paraId="32F46F16" w14:textId="77777777" w:rsidTr="00177648">
        <w:tc>
          <w:tcPr>
            <w:tcW w:w="1095" w:type="pct"/>
            <w:tcBorders>
              <w:top w:val="nil"/>
              <w:bottom w:val="nil"/>
            </w:tcBorders>
            <w:shd w:val="clear" w:color="000000" w:fill="F2F2F2"/>
          </w:tcPr>
          <w:p w14:paraId="62A3717A" w14:textId="77777777" w:rsidR="00396052" w:rsidRPr="00684640" w:rsidRDefault="00396052" w:rsidP="00177648">
            <w:pPr>
              <w:pStyle w:val="TableBody"/>
            </w:pPr>
            <w:r w:rsidRPr="00684640">
              <w:rPr>
                <w:rFonts w:ascii="Arial" w:hAnsi="Arial" w:cs="Arial"/>
              </w:rPr>
              <w:t>Dearing et al. 2015</w:t>
            </w:r>
          </w:p>
          <w:p w14:paraId="33453EF8" w14:textId="77777777" w:rsidR="00396052" w:rsidRPr="00684640" w:rsidRDefault="00396052" w:rsidP="00177648">
            <w:pPr>
              <w:pStyle w:val="TableBody"/>
            </w:pPr>
            <w:r w:rsidRPr="00684640">
              <w:t>Birth month as IV for age of entry; early ECEC attendance and aggression.</w:t>
            </w:r>
          </w:p>
        </w:tc>
        <w:tc>
          <w:tcPr>
            <w:tcW w:w="1953" w:type="pct"/>
            <w:tcBorders>
              <w:top w:val="nil"/>
              <w:bottom w:val="nil"/>
            </w:tcBorders>
            <w:shd w:val="clear" w:color="000000" w:fill="F2F2F2"/>
          </w:tcPr>
          <w:p w14:paraId="028D8E48" w14:textId="77777777" w:rsidR="00396052" w:rsidRPr="00684640" w:rsidRDefault="00396052" w:rsidP="00177648">
            <w:pPr>
              <w:pStyle w:val="TableBody"/>
            </w:pPr>
            <w:r w:rsidRPr="00684640">
              <w:t xml:space="preserve">Norwegian children who entered ECEC by 24 months old in Norway, between 2007 and 2010. </w:t>
            </w:r>
          </w:p>
          <w:p w14:paraId="0B982000" w14:textId="77777777" w:rsidR="00396052" w:rsidRPr="00684640" w:rsidRDefault="00396052" w:rsidP="00177648">
            <w:pPr>
              <w:pStyle w:val="TableBody"/>
              <w:spacing w:before="45" w:after="45"/>
              <w:ind w:right="108"/>
              <w:rPr>
                <w:rFonts w:ascii="Arial (Body)" w:hAnsi="Arial (Body)"/>
                <w:color w:val="000000"/>
              </w:rPr>
            </w:pPr>
            <w:r w:rsidRPr="00684640">
              <w:t>It was rare for entry to occur before children were ten months old due to parental leave entitlements.</w:t>
            </w:r>
          </w:p>
        </w:tc>
        <w:tc>
          <w:tcPr>
            <w:tcW w:w="1952" w:type="pct"/>
            <w:tcBorders>
              <w:top w:val="nil"/>
              <w:bottom w:val="nil"/>
            </w:tcBorders>
            <w:shd w:val="clear" w:color="000000" w:fill="F2F2F2"/>
          </w:tcPr>
          <w:p w14:paraId="66104A2F" w14:textId="77777777" w:rsidR="00396052" w:rsidRPr="00684640" w:rsidRDefault="00396052" w:rsidP="00177648">
            <w:pPr>
              <w:pStyle w:val="TableBody"/>
            </w:pPr>
            <w:r w:rsidRPr="00684640">
              <w:t>Children who entered ECEC at an earlier age had higher teacher</w:t>
            </w:r>
            <w:r>
              <w:noBreakHyphen/>
            </w:r>
            <w:r w:rsidRPr="00684640">
              <w:t>reported measures of aggression, but these measures also improved at a faster rate, with the difference disappearing by age four.</w:t>
            </w:r>
          </w:p>
          <w:p w14:paraId="19FAE806" w14:textId="77777777" w:rsidR="00396052" w:rsidRPr="00684640" w:rsidRDefault="00396052" w:rsidP="00177648">
            <w:pPr>
              <w:pStyle w:val="TableBody"/>
            </w:pPr>
            <w:r w:rsidRPr="00684640">
              <w:t xml:space="preserve">IV estimates were imprecise and were not significant in showing higher reported aggression at earlier ages, but point estimates were similar to those from OLS and </w:t>
            </w:r>
            <w:r>
              <w:t>propensity score matching</w:t>
            </w:r>
            <w:r w:rsidRPr="00684640">
              <w:t xml:space="preserve"> models.</w:t>
            </w:r>
          </w:p>
          <w:p w14:paraId="49A3FB81" w14:textId="77777777" w:rsidR="00396052" w:rsidRPr="00684640" w:rsidRDefault="00396052" w:rsidP="00177648">
            <w:pPr>
              <w:pStyle w:val="TableBody"/>
              <w:spacing w:before="45" w:after="45"/>
              <w:ind w:right="108"/>
              <w:rPr>
                <w:rFonts w:ascii="Arial (Body)" w:hAnsi="Arial (Body)"/>
                <w:color w:val="000000"/>
              </w:rPr>
            </w:pPr>
            <w:r w:rsidRPr="00684640">
              <w:lastRenderedPageBreak/>
              <w:t>No specification showed associations between ECEC starting age and parent</w:t>
            </w:r>
            <w:r>
              <w:noBreakHyphen/>
            </w:r>
            <w:r w:rsidRPr="00684640">
              <w:t>reported aggression.</w:t>
            </w:r>
          </w:p>
        </w:tc>
      </w:tr>
      <w:tr w:rsidR="00396052" w:rsidRPr="00684640" w14:paraId="791D875F" w14:textId="77777777" w:rsidTr="00177648">
        <w:tc>
          <w:tcPr>
            <w:tcW w:w="1095" w:type="pct"/>
            <w:tcBorders>
              <w:top w:val="nil"/>
              <w:bottom w:val="nil"/>
            </w:tcBorders>
            <w:shd w:val="clear" w:color="000000" w:fill="auto"/>
          </w:tcPr>
          <w:p w14:paraId="6656760F" w14:textId="77777777" w:rsidR="00396052" w:rsidRPr="00684640" w:rsidRDefault="00396052" w:rsidP="00177648">
            <w:pPr>
              <w:pStyle w:val="TableBody"/>
            </w:pPr>
            <w:r w:rsidRPr="00684640">
              <w:rPr>
                <w:rFonts w:ascii="Arial" w:hAnsi="Arial" w:cs="Arial"/>
              </w:rPr>
              <w:lastRenderedPageBreak/>
              <w:t>Yamaguchi et al. 2018</w:t>
            </w:r>
          </w:p>
          <w:p w14:paraId="1DFBF9D7" w14:textId="77777777" w:rsidR="00396052" w:rsidRPr="00684640" w:rsidRDefault="00396052" w:rsidP="00177648">
            <w:pPr>
              <w:pStyle w:val="TableBody"/>
            </w:pPr>
            <w:r w:rsidRPr="00684640">
              <w:t>IV exploiting the staged rollout of an expansion of access to CBDC in Japan; short</w:t>
            </w:r>
            <w:r>
              <w:noBreakHyphen/>
            </w:r>
            <w:r w:rsidRPr="00684640">
              <w:t>term behavioural outcomes.</w:t>
            </w:r>
          </w:p>
        </w:tc>
        <w:tc>
          <w:tcPr>
            <w:tcW w:w="1953" w:type="pct"/>
            <w:tcBorders>
              <w:top w:val="nil"/>
              <w:bottom w:val="nil"/>
            </w:tcBorders>
            <w:shd w:val="clear" w:color="000000" w:fill="auto"/>
          </w:tcPr>
          <w:p w14:paraId="66AC5F28" w14:textId="77777777" w:rsidR="00396052" w:rsidRPr="00684640" w:rsidRDefault="00396052" w:rsidP="00177648">
            <w:pPr>
              <w:pStyle w:val="TableBody"/>
            </w:pPr>
            <w:r w:rsidRPr="00684640">
              <w:t>Children who were born between 2001 and 2010 and attended CDBC by age 2.5. To be eligible for subsidised ECEC, their parents had to have been unable to provide care due to a factor such as work. Where there was excess demand, single parents were generally prioritised.</w:t>
            </w:r>
          </w:p>
          <w:p w14:paraId="7DCB6841" w14:textId="77777777" w:rsidR="00396052" w:rsidRPr="00684640" w:rsidRDefault="00396052" w:rsidP="00177648">
            <w:pPr>
              <w:pStyle w:val="TableBody"/>
              <w:spacing w:before="45" w:after="45"/>
              <w:ind w:right="108"/>
              <w:rPr>
                <w:rFonts w:ascii="Arial (Body)" w:hAnsi="Arial (Body)"/>
                <w:color w:val="000000"/>
              </w:rPr>
            </w:pPr>
            <w:r w:rsidRPr="00684640">
              <w:t>Children attended centre</w:t>
            </w:r>
            <w:r>
              <w:noBreakHyphen/>
            </w:r>
            <w:r w:rsidRPr="00684640">
              <w:t>based day care, with 94% of centres meeting Japan’s quality standard. Educators were required to have a two</w:t>
            </w:r>
            <w:r>
              <w:noBreakHyphen/>
            </w:r>
            <w:r w:rsidRPr="00684640">
              <w:t>year postsecondary qualification, with a minimum ratio of 1:6 for children between the ages of one and two. About 90% of children spent at least seven hours each week in care, and more than 90% attended at least five days a week.</w:t>
            </w:r>
          </w:p>
        </w:tc>
        <w:tc>
          <w:tcPr>
            <w:tcW w:w="1952" w:type="pct"/>
            <w:tcBorders>
              <w:top w:val="nil"/>
              <w:bottom w:val="nil"/>
            </w:tcBorders>
            <w:shd w:val="clear" w:color="000000" w:fill="auto"/>
          </w:tcPr>
          <w:p w14:paraId="7F6B86F0" w14:textId="77777777" w:rsidR="00396052" w:rsidRPr="00684640" w:rsidRDefault="00396052" w:rsidP="00177648">
            <w:pPr>
              <w:pStyle w:val="TableBody"/>
            </w:pPr>
            <w:r w:rsidRPr="00684640">
              <w:t>Childcare enrolment by age 2.5 led parents to spend more on their children (excluding expenditure on ECEC) and improved indicators of parenting quality for low</w:t>
            </w:r>
            <w:r>
              <w:noBreakHyphen/>
            </w:r>
            <w:r w:rsidRPr="00684640">
              <w:t>education mothers.</w:t>
            </w:r>
          </w:p>
          <w:p w14:paraId="5B2492CE" w14:textId="77777777" w:rsidR="00396052" w:rsidRPr="00684640" w:rsidRDefault="00396052" w:rsidP="00177648">
            <w:pPr>
              <w:pStyle w:val="TableBody"/>
            </w:pPr>
            <w:r w:rsidRPr="00684640">
              <w:t>Reduced</w:t>
            </w:r>
            <w:r>
              <w:noBreakHyphen/>
            </w:r>
            <w:r w:rsidRPr="00684640">
              <w:t>form and IV estimates of effects on a measure of language skills was positive, with this effect not varying by maternal education.</w:t>
            </w:r>
          </w:p>
          <w:p w14:paraId="2520DF26" w14:textId="77777777" w:rsidR="00396052" w:rsidRPr="00684640" w:rsidRDefault="00396052" w:rsidP="00177648">
            <w:pPr>
              <w:pStyle w:val="TableBody"/>
              <w:spacing w:before="45" w:after="45"/>
              <w:ind w:right="108"/>
              <w:rPr>
                <w:rFonts w:ascii="Arial (Body)" w:hAnsi="Arial (Body)"/>
                <w:color w:val="000000"/>
              </w:rPr>
            </w:pPr>
            <w:r w:rsidRPr="00684640">
              <w:t>There were no significant average effects on measures of aggression and inattention and hyperactivity, but the gap between children of high</w:t>
            </w:r>
            <w:r>
              <w:noBreakHyphen/>
            </w:r>
            <w:r w:rsidRPr="00684640">
              <w:t>education and low</w:t>
            </w:r>
            <w:r>
              <w:noBreakHyphen/>
            </w:r>
            <w:r w:rsidRPr="00684640">
              <w:t>education mothers was narrowed.</w:t>
            </w:r>
          </w:p>
        </w:tc>
      </w:tr>
      <w:tr w:rsidR="00396052" w:rsidRPr="00684640" w14:paraId="6B3E4D66" w14:textId="77777777" w:rsidTr="00177648">
        <w:tc>
          <w:tcPr>
            <w:tcW w:w="1095" w:type="pct"/>
            <w:tcBorders>
              <w:top w:val="nil"/>
              <w:bottom w:val="nil"/>
            </w:tcBorders>
            <w:shd w:val="clear" w:color="000000" w:fill="F2F2F2"/>
          </w:tcPr>
          <w:p w14:paraId="7CDF4E28" w14:textId="77777777" w:rsidR="00396052" w:rsidRPr="00684640" w:rsidRDefault="00396052" w:rsidP="00177648">
            <w:pPr>
              <w:pStyle w:val="TableBody"/>
            </w:pPr>
            <w:r w:rsidRPr="00684640">
              <w:t>Felfe et al. 2015</w:t>
            </w:r>
          </w:p>
          <w:p w14:paraId="1DC63E1C" w14:textId="77777777" w:rsidR="00396052" w:rsidRPr="00684640" w:rsidRDefault="00396052" w:rsidP="00177648">
            <w:pPr>
              <w:pStyle w:val="TableBody"/>
            </w:pPr>
            <w:r w:rsidRPr="00684640">
              <w:t>DiD exploiting the rollout of three</w:t>
            </w:r>
            <w:r>
              <w:noBreakHyphen/>
            </w:r>
            <w:r w:rsidRPr="00684640">
              <w:t>year</w:t>
            </w:r>
            <w:r>
              <w:noBreakHyphen/>
            </w:r>
            <w:r w:rsidRPr="00684640">
              <w:t>old preschool in Spain; medium</w:t>
            </w:r>
            <w:r>
              <w:noBreakHyphen/>
            </w:r>
            <w:r w:rsidRPr="00684640">
              <w:t>term educational outcomes.</w:t>
            </w:r>
          </w:p>
        </w:tc>
        <w:tc>
          <w:tcPr>
            <w:tcW w:w="1953" w:type="pct"/>
            <w:tcBorders>
              <w:top w:val="nil"/>
              <w:bottom w:val="nil"/>
            </w:tcBorders>
            <w:shd w:val="clear" w:color="000000" w:fill="F2F2F2"/>
          </w:tcPr>
          <w:p w14:paraId="59496919" w14:textId="77777777" w:rsidR="00396052" w:rsidRPr="00684640" w:rsidRDefault="00396052" w:rsidP="00177648">
            <w:pPr>
              <w:pStyle w:val="TableBody"/>
            </w:pPr>
            <w:r w:rsidRPr="00684640">
              <w:t>Children born in Spain between 1984 and 1993 in Spain, who attended preschool at age three.</w:t>
            </w:r>
          </w:p>
          <w:p w14:paraId="7051D55F" w14:textId="77777777" w:rsidR="00396052" w:rsidRPr="00684640" w:rsidRDefault="00396052" w:rsidP="00177648">
            <w:pPr>
              <w:pStyle w:val="TableBody"/>
            </w:pPr>
            <w:r w:rsidRPr="00684640">
              <w:t>Preschool for three</w:t>
            </w:r>
            <w:r>
              <w:noBreakHyphen/>
            </w:r>
            <w:r w:rsidRPr="00684640">
              <w:t>year</w:t>
            </w:r>
            <w:r>
              <w:noBreakHyphen/>
            </w:r>
            <w:r w:rsidRPr="00684640">
              <w:t>olds, delivered in school settings with the same hours (9am</w:t>
            </w:r>
            <w:r>
              <w:noBreakHyphen/>
            </w:r>
            <w:r w:rsidRPr="00684640">
              <w:t>5pm, five days a week, excluding school holidays). Teachers were degree</w:t>
            </w:r>
            <w:r>
              <w:noBreakHyphen/>
            </w:r>
            <w:r w:rsidRPr="00684640">
              <w:t xml:space="preserve">qualified, with a maximum class size of 20. </w:t>
            </w:r>
          </w:p>
          <w:p w14:paraId="0E738FEE" w14:textId="77777777" w:rsidR="00396052" w:rsidRPr="00684640" w:rsidRDefault="00396052" w:rsidP="00177648">
            <w:pPr>
              <w:pStyle w:val="TableBody"/>
              <w:spacing w:before="45" w:after="45"/>
              <w:ind w:right="108"/>
              <w:rPr>
                <w:rFonts w:ascii="Arial (Body)" w:hAnsi="Arial (Body)"/>
                <w:color w:val="000000"/>
              </w:rPr>
            </w:pPr>
            <w:r w:rsidRPr="00684640">
              <w:t>The expansion of preschool did not reduce use of private ECEC; rather the counterfactual seemed to be parental care (with informal care being fairly uncommon).</w:t>
            </w:r>
          </w:p>
        </w:tc>
        <w:tc>
          <w:tcPr>
            <w:tcW w:w="1952" w:type="pct"/>
            <w:tcBorders>
              <w:top w:val="nil"/>
              <w:bottom w:val="nil"/>
            </w:tcBorders>
            <w:shd w:val="clear" w:color="000000" w:fill="F2F2F2"/>
          </w:tcPr>
          <w:p w14:paraId="02655F07" w14:textId="77777777" w:rsidR="00396052" w:rsidRPr="00684640" w:rsidRDefault="00396052" w:rsidP="00177648">
            <w:pPr>
              <w:pStyle w:val="TableBody"/>
            </w:pPr>
            <w:r w:rsidRPr="00684640">
              <w:t>PISA reading test scores at age 15 were significantly increased, although maths scores were not significantly affected.</w:t>
            </w:r>
          </w:p>
          <w:p w14:paraId="05FB408D" w14:textId="77777777" w:rsidR="00396052" w:rsidRPr="00684640" w:rsidRDefault="00396052" w:rsidP="00177648">
            <w:pPr>
              <w:pStyle w:val="TableBody"/>
            </w:pPr>
            <w:r w:rsidRPr="00684640">
              <w:t>There was a substantial but only marginally significant reduction in grade repetition in primary school.</w:t>
            </w:r>
          </w:p>
          <w:p w14:paraId="12E80CC3" w14:textId="77777777" w:rsidR="00396052" w:rsidRPr="00684640" w:rsidRDefault="00396052" w:rsidP="00177648">
            <w:pPr>
              <w:pStyle w:val="TableBody"/>
              <w:spacing w:before="45" w:after="45"/>
              <w:ind w:right="108"/>
              <w:rPr>
                <w:rFonts w:ascii="Arial (Body)" w:hAnsi="Arial (Body)"/>
                <w:color w:val="000000"/>
              </w:rPr>
            </w:pPr>
            <w:r w:rsidRPr="00684640">
              <w:t>van Huizen et al. </w:t>
            </w:r>
            <w:r w:rsidRPr="00684640">
              <w:rPr>
                <w:rFonts w:ascii="Arial" w:hAnsi="Arial" w:cs="Arial"/>
              </w:rPr>
              <w:t>(2019)</w:t>
            </w:r>
            <w:r w:rsidRPr="00684640">
              <w:t xml:space="preserve"> used these results alongside estimates of the effects of the reform on maternal employment to estimate a benefit</w:t>
            </w:r>
            <w:r>
              <w:noBreakHyphen/>
            </w:r>
            <w:r w:rsidRPr="00684640">
              <w:t>to</w:t>
            </w:r>
            <w:r>
              <w:noBreakHyphen/>
            </w:r>
            <w:r w:rsidRPr="00684640">
              <w:t>cost ratio of about 4.3, with most of these benefits stemming from improved childhood development.</w:t>
            </w:r>
          </w:p>
        </w:tc>
      </w:tr>
      <w:tr w:rsidR="00396052" w:rsidRPr="00684640" w14:paraId="68061ABD" w14:textId="77777777" w:rsidTr="00177648">
        <w:tc>
          <w:tcPr>
            <w:tcW w:w="1095" w:type="pct"/>
            <w:tcBorders>
              <w:top w:val="nil"/>
              <w:bottom w:val="nil"/>
            </w:tcBorders>
            <w:shd w:val="clear" w:color="000000" w:fill="auto"/>
          </w:tcPr>
          <w:p w14:paraId="502C3854" w14:textId="77777777" w:rsidR="00396052" w:rsidRPr="00684640" w:rsidRDefault="00396052" w:rsidP="00177648">
            <w:pPr>
              <w:pStyle w:val="TableBody"/>
            </w:pPr>
            <w:r w:rsidRPr="00684640">
              <w:rPr>
                <w:rFonts w:ascii="Arial" w:hAnsi="Arial" w:cs="Arial"/>
              </w:rPr>
              <w:t>Cornelissen et al. 2018</w:t>
            </w:r>
          </w:p>
          <w:p w14:paraId="4B79D0E5" w14:textId="77777777" w:rsidR="00396052" w:rsidRPr="00684640" w:rsidRDefault="00396052" w:rsidP="00177648">
            <w:pPr>
              <w:pStyle w:val="TableBody"/>
            </w:pPr>
            <w:r w:rsidRPr="00684640">
              <w:t>IV exploiting an expansion of access to ECEC in Germany; school readiness.</w:t>
            </w:r>
          </w:p>
        </w:tc>
        <w:tc>
          <w:tcPr>
            <w:tcW w:w="1953" w:type="pct"/>
            <w:tcBorders>
              <w:top w:val="nil"/>
              <w:bottom w:val="nil"/>
            </w:tcBorders>
            <w:shd w:val="clear" w:color="000000" w:fill="auto"/>
          </w:tcPr>
          <w:p w14:paraId="1B4FCDFD" w14:textId="77777777" w:rsidR="00396052" w:rsidRPr="00684640" w:rsidRDefault="00396052" w:rsidP="00177648">
            <w:pPr>
              <w:pStyle w:val="TableBody"/>
            </w:pPr>
            <w:r w:rsidRPr="00684640">
              <w:t>Three</w:t>
            </w:r>
            <w:r>
              <w:noBreakHyphen/>
            </w:r>
            <w:r w:rsidRPr="00684640">
              <w:t>to</w:t>
            </w:r>
            <w:r>
              <w:noBreakHyphen/>
            </w:r>
            <w:r w:rsidRPr="00684640">
              <w:t>six</w:t>
            </w:r>
            <w:r>
              <w:noBreakHyphen/>
            </w:r>
            <w:r w:rsidRPr="00684640">
              <w:t>year</w:t>
            </w:r>
            <w:r>
              <w:noBreakHyphen/>
            </w:r>
            <w:r w:rsidRPr="00684640">
              <w:t>old children in a region of Germany who attended half</w:t>
            </w:r>
            <w:r>
              <w:noBreakHyphen/>
            </w:r>
            <w:r w:rsidRPr="00684640">
              <w:t>day ECEC and entered school between 1994 and 2002. The reform mostly increased the proportion of children who commenced ECEC at age three and continued to attend until they started school.</w:t>
            </w:r>
          </w:p>
          <w:p w14:paraId="5F9E32DB" w14:textId="77777777" w:rsidR="00396052" w:rsidRPr="00684640" w:rsidRDefault="00396052" w:rsidP="00177648">
            <w:pPr>
              <w:pStyle w:val="TableBody"/>
            </w:pPr>
            <w:r w:rsidRPr="00684640">
              <w:t>Educators had completed a two</w:t>
            </w:r>
            <w:r>
              <w:noBreakHyphen/>
            </w:r>
            <w:r w:rsidRPr="00684640">
              <w:t>year qualification and a one</w:t>
            </w:r>
            <w:r>
              <w:noBreakHyphen/>
            </w:r>
            <w:r w:rsidRPr="00684640">
              <w:t xml:space="preserve">year apprenticeship, and the median ratio was 1:9.4 (with the regulated </w:t>
            </w:r>
            <w:r w:rsidRPr="00684640">
              <w:lastRenderedPageBreak/>
              <w:t xml:space="preserve">minimum ratio being 1:12.5). More than 90% of children attended for four hours in the morning. </w:t>
            </w:r>
          </w:p>
          <w:p w14:paraId="5311F47E" w14:textId="77777777" w:rsidR="00396052" w:rsidRPr="00684640" w:rsidRDefault="00396052" w:rsidP="00177648">
            <w:pPr>
              <w:pStyle w:val="TableBody"/>
              <w:spacing w:before="45" w:after="45"/>
              <w:ind w:right="108"/>
              <w:rPr>
                <w:rFonts w:ascii="Arial (Body)" w:hAnsi="Arial (Body)"/>
                <w:color w:val="000000"/>
              </w:rPr>
            </w:pPr>
            <w:r w:rsidRPr="00684640">
              <w:t>The counterfactual was mostly parental care and partly care from other relatives.</w:t>
            </w:r>
          </w:p>
        </w:tc>
        <w:tc>
          <w:tcPr>
            <w:tcW w:w="1952" w:type="pct"/>
            <w:tcBorders>
              <w:top w:val="nil"/>
              <w:bottom w:val="nil"/>
            </w:tcBorders>
            <w:shd w:val="clear" w:color="000000" w:fill="auto"/>
          </w:tcPr>
          <w:p w14:paraId="72DD660E" w14:textId="77777777" w:rsidR="00396052" w:rsidRPr="00684640" w:rsidRDefault="00396052" w:rsidP="00177648">
            <w:pPr>
              <w:pStyle w:val="TableBody"/>
            </w:pPr>
            <w:r w:rsidRPr="00684640">
              <w:lastRenderedPageBreak/>
              <w:t>The average effect of ECEC attendance was not significant. For the children who did not attend, who were more likely to be from disadvantaged backgrounds, it was estimated that attending would have substantially improved a doctor</w:t>
            </w:r>
            <w:r>
              <w:noBreakHyphen/>
            </w:r>
            <w:r w:rsidRPr="00684640">
              <w:t>reported measure of school readiness. For the children who did attend, effects were not significant and of a much lower magnitude, but in the opposite direction.</w:t>
            </w:r>
          </w:p>
          <w:p w14:paraId="32A11096" w14:textId="77777777" w:rsidR="00396052" w:rsidRPr="00684640" w:rsidRDefault="00396052" w:rsidP="00177648">
            <w:pPr>
              <w:pStyle w:val="TableBody"/>
              <w:spacing w:before="45" w:after="45"/>
              <w:ind w:right="108"/>
              <w:rPr>
                <w:rFonts w:ascii="Arial (Body)" w:hAnsi="Arial (Body)"/>
                <w:color w:val="000000"/>
              </w:rPr>
            </w:pPr>
          </w:p>
        </w:tc>
      </w:tr>
      <w:tr w:rsidR="00396052" w:rsidRPr="00684640" w14:paraId="49F5BFF6" w14:textId="77777777" w:rsidTr="00177648">
        <w:tc>
          <w:tcPr>
            <w:tcW w:w="1095" w:type="pct"/>
            <w:tcBorders>
              <w:top w:val="nil"/>
              <w:bottom w:val="nil"/>
            </w:tcBorders>
            <w:shd w:val="clear" w:color="000000" w:fill="F2F2F2"/>
          </w:tcPr>
          <w:p w14:paraId="4D3CB31B" w14:textId="77777777" w:rsidR="00396052" w:rsidRPr="00684640" w:rsidRDefault="00396052" w:rsidP="00177648">
            <w:pPr>
              <w:pStyle w:val="TableBody"/>
            </w:pPr>
            <w:r w:rsidRPr="00684640">
              <w:rPr>
                <w:rFonts w:ascii="Arial" w:hAnsi="Arial" w:cs="Arial"/>
              </w:rPr>
              <w:t>Felfe and Lalive 2018</w:t>
            </w:r>
          </w:p>
          <w:p w14:paraId="2CAFE29C" w14:textId="77777777" w:rsidR="00396052" w:rsidRPr="00684640" w:rsidRDefault="00396052" w:rsidP="00177648">
            <w:pPr>
              <w:pStyle w:val="TableBody"/>
            </w:pPr>
            <w:r w:rsidRPr="00684640">
              <w:t>IV exploiting an expansion of access to early ECEC in Germany; school readiness.</w:t>
            </w:r>
          </w:p>
        </w:tc>
        <w:tc>
          <w:tcPr>
            <w:tcW w:w="1953" w:type="pct"/>
            <w:tcBorders>
              <w:top w:val="nil"/>
              <w:bottom w:val="nil"/>
            </w:tcBorders>
            <w:shd w:val="clear" w:color="000000" w:fill="F2F2F2"/>
          </w:tcPr>
          <w:p w14:paraId="72953F4E" w14:textId="77777777" w:rsidR="00396052" w:rsidRPr="00684640" w:rsidRDefault="00396052" w:rsidP="00177648">
            <w:pPr>
              <w:pStyle w:val="TableBody"/>
            </w:pPr>
            <w:r w:rsidRPr="00684640">
              <w:t>Children in a different region of Germany who attended half</w:t>
            </w:r>
            <w:r>
              <w:noBreakHyphen/>
            </w:r>
            <w:r w:rsidRPr="00684640">
              <w:t>day ECEC before the age of three and entered school between 2009 and 2014.</w:t>
            </w:r>
          </w:p>
          <w:p w14:paraId="62AA7BDC" w14:textId="77777777" w:rsidR="00396052" w:rsidRPr="00684640" w:rsidRDefault="00396052" w:rsidP="00177648">
            <w:pPr>
              <w:pStyle w:val="TableBody"/>
            </w:pPr>
            <w:r w:rsidRPr="00684640">
              <w:t>Centres were required to remain open for at least four hours a day. The average ratio was 1:10.1, and about 62% of staff were degree qualified.</w:t>
            </w:r>
          </w:p>
          <w:p w14:paraId="415E8FBF" w14:textId="77777777" w:rsidR="00396052" w:rsidRPr="00684640" w:rsidRDefault="00396052" w:rsidP="00177648">
            <w:pPr>
              <w:pStyle w:val="TableBody"/>
              <w:spacing w:before="45" w:after="45"/>
              <w:ind w:right="108"/>
              <w:rPr>
                <w:rFonts w:ascii="Arial (Body)" w:hAnsi="Arial (Body)"/>
                <w:color w:val="000000"/>
              </w:rPr>
            </w:pPr>
            <w:r w:rsidRPr="00684640">
              <w:t>The counterfactual seemed to be parental care, with average use of other forms of care being low.</w:t>
            </w:r>
          </w:p>
        </w:tc>
        <w:tc>
          <w:tcPr>
            <w:tcW w:w="1952" w:type="pct"/>
            <w:tcBorders>
              <w:top w:val="nil"/>
              <w:bottom w:val="nil"/>
            </w:tcBorders>
            <w:shd w:val="clear" w:color="000000" w:fill="F2F2F2"/>
          </w:tcPr>
          <w:p w14:paraId="63BD70A5" w14:textId="77777777" w:rsidR="00396052" w:rsidRPr="00684640" w:rsidRDefault="00396052" w:rsidP="00177648">
            <w:pPr>
              <w:pStyle w:val="TableBody"/>
            </w:pPr>
            <w:r w:rsidRPr="00684640">
              <w:t>Early attendance of ECEC was found to improve motor and socio</w:t>
            </w:r>
            <w:r>
              <w:noBreakHyphen/>
            </w:r>
            <w:r w:rsidRPr="00684640">
              <w:t>emotional skills as measured by a school entry examination. There was not clear evidence of effects for language skills.</w:t>
            </w:r>
          </w:p>
          <w:p w14:paraId="7597571C" w14:textId="77777777" w:rsidR="00396052" w:rsidRPr="00684640" w:rsidRDefault="00396052" w:rsidP="00177648">
            <w:pPr>
              <w:pStyle w:val="TableBody"/>
              <w:spacing w:before="45" w:after="45"/>
              <w:ind w:right="108"/>
              <w:rPr>
                <w:rFonts w:ascii="Arial (Body)" w:hAnsi="Arial (Body)"/>
                <w:color w:val="000000"/>
              </w:rPr>
            </w:pPr>
            <w:r w:rsidRPr="00684640">
              <w:t>More advantaged children seemed to benefit more in terms of motor skills, and more disadvantaged children seemed to benefit more in terms of socio</w:t>
            </w:r>
            <w:r>
              <w:noBreakHyphen/>
            </w:r>
            <w:r w:rsidRPr="00684640">
              <w:t>emotional skills.</w:t>
            </w:r>
          </w:p>
        </w:tc>
      </w:tr>
      <w:tr w:rsidR="00396052" w:rsidRPr="00684640" w14:paraId="6521C5CD" w14:textId="77777777" w:rsidTr="00177648">
        <w:tc>
          <w:tcPr>
            <w:tcW w:w="1095" w:type="pct"/>
            <w:tcBorders>
              <w:top w:val="nil"/>
              <w:bottom w:val="nil"/>
            </w:tcBorders>
            <w:shd w:val="clear" w:color="000000" w:fill="auto"/>
          </w:tcPr>
          <w:p w14:paraId="73D224B1" w14:textId="77777777" w:rsidR="00396052" w:rsidRPr="00684640" w:rsidRDefault="00396052" w:rsidP="00177648">
            <w:pPr>
              <w:pStyle w:val="TableBody"/>
            </w:pPr>
            <w:r w:rsidRPr="00684640">
              <w:rPr>
                <w:rFonts w:ascii="Arial" w:hAnsi="Arial" w:cs="Arial"/>
              </w:rPr>
              <w:t>Kuehnle and Oberfichtner 2017</w:t>
            </w:r>
          </w:p>
          <w:p w14:paraId="5FD6A2D2" w14:textId="77777777" w:rsidR="00396052" w:rsidRPr="00684640" w:rsidRDefault="00396052" w:rsidP="00177648">
            <w:pPr>
              <w:pStyle w:val="TableBody"/>
            </w:pPr>
            <w:r w:rsidRPr="00684640">
              <w:t>RD exploiting age cutoffs in Germany; medium</w:t>
            </w:r>
            <w:r>
              <w:noBreakHyphen/>
            </w:r>
            <w:r w:rsidRPr="00684640">
              <w:t>term educational outcomes.</w:t>
            </w:r>
          </w:p>
        </w:tc>
        <w:tc>
          <w:tcPr>
            <w:tcW w:w="1953" w:type="pct"/>
            <w:tcBorders>
              <w:top w:val="nil"/>
              <w:bottom w:val="nil"/>
            </w:tcBorders>
            <w:shd w:val="clear" w:color="000000" w:fill="auto"/>
          </w:tcPr>
          <w:p w14:paraId="48312A54" w14:textId="77777777" w:rsidR="00396052" w:rsidRPr="00684640" w:rsidRDefault="00396052" w:rsidP="00177648">
            <w:pPr>
              <w:pStyle w:val="TableBody"/>
            </w:pPr>
            <w:r w:rsidRPr="00684640">
              <w:t xml:space="preserve">Children born in West Germany between 1994 and 1996, who started ECEC before age three. </w:t>
            </w:r>
          </w:p>
          <w:p w14:paraId="2131C2C4" w14:textId="77777777" w:rsidR="00396052" w:rsidRPr="00684640" w:rsidRDefault="00396052" w:rsidP="00177648">
            <w:pPr>
              <w:pStyle w:val="TableBody"/>
            </w:pPr>
            <w:r w:rsidRPr="00684640">
              <w:t>Children typically spent about four hours in ECEC a day.</w:t>
            </w:r>
          </w:p>
          <w:p w14:paraId="0D09A269" w14:textId="77777777" w:rsidR="00396052" w:rsidRPr="00684640" w:rsidRDefault="00396052" w:rsidP="00177648">
            <w:pPr>
              <w:pStyle w:val="TableBody"/>
              <w:spacing w:before="45" w:after="45"/>
              <w:ind w:right="108"/>
              <w:rPr>
                <w:rFonts w:ascii="Arial (Body)" w:hAnsi="Arial (Body)"/>
                <w:color w:val="000000"/>
              </w:rPr>
            </w:pPr>
          </w:p>
        </w:tc>
        <w:tc>
          <w:tcPr>
            <w:tcW w:w="1952" w:type="pct"/>
            <w:tcBorders>
              <w:top w:val="nil"/>
              <w:bottom w:val="nil"/>
            </w:tcBorders>
            <w:shd w:val="clear" w:color="000000" w:fill="auto"/>
          </w:tcPr>
          <w:p w14:paraId="45A85B61" w14:textId="77777777" w:rsidR="00396052" w:rsidRPr="00684640" w:rsidRDefault="00396052" w:rsidP="00177648">
            <w:pPr>
              <w:pStyle w:val="TableBody"/>
            </w:pPr>
            <w:r w:rsidRPr="00684640">
              <w:t>Starting ECEC earlier, on average by five months, was not found to improve cognitive or noncognitive skills at age 15 or affect whether children entered academic or vocational school tracks.</w:t>
            </w:r>
          </w:p>
          <w:p w14:paraId="66C66BC8" w14:textId="77777777" w:rsidR="00396052" w:rsidRPr="00684640" w:rsidRDefault="00396052" w:rsidP="00177648">
            <w:pPr>
              <w:pStyle w:val="TableBody"/>
              <w:spacing w:before="45" w:after="45"/>
              <w:ind w:right="108"/>
              <w:rPr>
                <w:rFonts w:ascii="Arial (Body)" w:hAnsi="Arial (Body)"/>
                <w:color w:val="000000"/>
              </w:rPr>
            </w:pPr>
            <w:r w:rsidRPr="00684640">
              <w:t>There was not robust evidence of effects for any subgroup.</w:t>
            </w:r>
          </w:p>
        </w:tc>
      </w:tr>
      <w:tr w:rsidR="00396052" w:rsidRPr="00684640" w14:paraId="567CD082" w14:textId="77777777" w:rsidTr="00177648">
        <w:tc>
          <w:tcPr>
            <w:tcW w:w="1095" w:type="pct"/>
            <w:tcBorders>
              <w:top w:val="nil"/>
              <w:bottom w:val="nil"/>
            </w:tcBorders>
            <w:shd w:val="clear" w:color="000000" w:fill="F2F2F2"/>
          </w:tcPr>
          <w:p w14:paraId="5BAE23C3" w14:textId="77777777" w:rsidR="00396052" w:rsidRPr="00684640" w:rsidRDefault="00396052" w:rsidP="00177648">
            <w:pPr>
              <w:pStyle w:val="TableBody"/>
            </w:pPr>
            <w:r w:rsidRPr="00684640">
              <w:rPr>
                <w:rFonts w:ascii="Arial" w:hAnsi="Arial" w:cs="Arial"/>
              </w:rPr>
              <w:t>Blanden et al. 2016</w:t>
            </w:r>
          </w:p>
          <w:p w14:paraId="429EC4F5" w14:textId="77777777" w:rsidR="00396052" w:rsidRPr="00684640" w:rsidRDefault="00396052" w:rsidP="00177648">
            <w:pPr>
              <w:pStyle w:val="TableBody"/>
            </w:pPr>
            <w:r w:rsidRPr="00684640">
              <w:t>DiD exploiting the expansion of free part</w:t>
            </w:r>
            <w:r>
              <w:noBreakHyphen/>
            </w:r>
            <w:r w:rsidRPr="00684640">
              <w:t>time ECEC in England, medium</w:t>
            </w:r>
            <w:r>
              <w:noBreakHyphen/>
            </w:r>
            <w:r w:rsidRPr="00684640">
              <w:t>term academic outcomes.</w:t>
            </w:r>
          </w:p>
        </w:tc>
        <w:tc>
          <w:tcPr>
            <w:tcW w:w="1953" w:type="pct"/>
            <w:tcBorders>
              <w:top w:val="nil"/>
              <w:bottom w:val="nil"/>
            </w:tcBorders>
            <w:shd w:val="clear" w:color="000000" w:fill="F2F2F2"/>
          </w:tcPr>
          <w:p w14:paraId="5FF6D207" w14:textId="77777777" w:rsidR="00396052" w:rsidRPr="00684640" w:rsidRDefault="00396052" w:rsidP="00177648">
            <w:pPr>
              <w:pStyle w:val="TableBody"/>
            </w:pPr>
            <w:r w:rsidRPr="00684640">
              <w:t>Children in England who at age three attended ECEC due to the rollout of free part</w:t>
            </w:r>
            <w:r>
              <w:noBreakHyphen/>
            </w:r>
            <w:r w:rsidRPr="00684640">
              <w:t>time places, which primarily increased provision by CBDC services run by private, voluntary or independent providers, from 2002 to 2007. The number of average weekly hours in formal ECEC for children who attended any form of it was about 15.</w:t>
            </w:r>
          </w:p>
          <w:p w14:paraId="1AE44D62" w14:textId="77777777" w:rsidR="00396052" w:rsidRPr="00684640" w:rsidRDefault="00396052" w:rsidP="00177648">
            <w:pPr>
              <w:pStyle w:val="TableBody"/>
              <w:spacing w:before="45" w:after="45"/>
              <w:ind w:right="108"/>
              <w:rPr>
                <w:rFonts w:ascii="Arial (Body)" w:hAnsi="Arial (Body)"/>
                <w:color w:val="000000"/>
              </w:rPr>
            </w:pPr>
            <w:r w:rsidRPr="00684640">
              <w:t>50% of educators were required to hold a qualification equivalent to two years of post</w:t>
            </w:r>
            <w:r>
              <w:noBreakHyphen/>
            </w:r>
            <w:r w:rsidRPr="00684640">
              <w:t>compulsory schooling. If a degree</w:t>
            </w:r>
            <w:r>
              <w:noBreakHyphen/>
            </w:r>
            <w:r w:rsidRPr="00684640">
              <w:t>level</w:t>
            </w:r>
            <w:r>
              <w:noBreakHyphen/>
            </w:r>
            <w:r w:rsidRPr="00684640">
              <w:t>qualified teacher was present the minimum ratio requirement was 1:13; otherwise it was 1:8.</w:t>
            </w:r>
          </w:p>
        </w:tc>
        <w:tc>
          <w:tcPr>
            <w:tcW w:w="1952" w:type="pct"/>
            <w:tcBorders>
              <w:top w:val="nil"/>
              <w:bottom w:val="nil"/>
            </w:tcBorders>
            <w:shd w:val="clear" w:color="000000" w:fill="F2F2F2"/>
          </w:tcPr>
          <w:p w14:paraId="43795F39" w14:textId="77777777" w:rsidR="00396052" w:rsidRPr="00684640" w:rsidRDefault="00396052" w:rsidP="00177648">
            <w:pPr>
              <w:pStyle w:val="TableBody"/>
            </w:pPr>
            <w:r w:rsidRPr="00684640">
              <w:t>The increase in free places mostly crowded out private expenditure and increased usage to a lesser extent. An increase in the availability of free places was estimated to modestly improve age five literacy and numeracy scores and but not have effects by age seven, with very small but sometimes significant effects on age 11 reading scores.</w:t>
            </w:r>
          </w:p>
          <w:p w14:paraId="2246F782" w14:textId="77777777" w:rsidR="00396052" w:rsidRPr="00684640" w:rsidRDefault="00396052" w:rsidP="00177648">
            <w:pPr>
              <w:pStyle w:val="TableBody"/>
            </w:pPr>
            <w:r w:rsidRPr="00684640">
              <w:t>Effects seemed larger for lower</w:t>
            </w:r>
            <w:r>
              <w:noBreakHyphen/>
            </w:r>
            <w:r w:rsidRPr="00684640">
              <w:t>SES children.</w:t>
            </w:r>
          </w:p>
          <w:p w14:paraId="1791FBFD" w14:textId="77777777" w:rsidR="00396052" w:rsidRPr="00684640" w:rsidRDefault="00396052" w:rsidP="00177648">
            <w:pPr>
              <w:pStyle w:val="TableBody"/>
              <w:spacing w:before="45" w:after="45"/>
              <w:ind w:right="108"/>
              <w:rPr>
                <w:rFonts w:ascii="Arial (Body)" w:hAnsi="Arial (Body)"/>
                <w:color w:val="000000"/>
              </w:rPr>
            </w:pPr>
          </w:p>
        </w:tc>
      </w:tr>
      <w:tr w:rsidR="00396052" w:rsidRPr="00684640" w14:paraId="1C891A12" w14:textId="77777777" w:rsidTr="00177648">
        <w:tc>
          <w:tcPr>
            <w:tcW w:w="1095" w:type="pct"/>
            <w:tcBorders>
              <w:top w:val="nil"/>
              <w:bottom w:val="nil"/>
            </w:tcBorders>
            <w:shd w:val="clear" w:color="000000" w:fill="auto"/>
          </w:tcPr>
          <w:p w14:paraId="0D57DC87" w14:textId="77777777" w:rsidR="00396052" w:rsidRPr="00684640" w:rsidRDefault="00396052" w:rsidP="00177648">
            <w:pPr>
              <w:pStyle w:val="TableBody"/>
            </w:pPr>
            <w:r w:rsidRPr="00684640">
              <w:rPr>
                <w:rFonts w:ascii="Arial" w:hAnsi="Arial" w:cs="Arial"/>
              </w:rPr>
              <w:t>Blanden et al. 2022</w:t>
            </w:r>
          </w:p>
          <w:p w14:paraId="7EB3DD96" w14:textId="77777777" w:rsidR="00396052" w:rsidRPr="00684640" w:rsidRDefault="00396052" w:rsidP="00177648">
            <w:pPr>
              <w:pStyle w:val="TableBody"/>
            </w:pPr>
            <w:r w:rsidRPr="00684640">
              <w:lastRenderedPageBreak/>
              <w:t>RD exploiting the age cutoff for ECEC in England; short</w:t>
            </w:r>
            <w:r>
              <w:noBreakHyphen/>
            </w:r>
            <w:r w:rsidRPr="00684640">
              <w:t>term academic outcomes.</w:t>
            </w:r>
          </w:p>
        </w:tc>
        <w:tc>
          <w:tcPr>
            <w:tcW w:w="1953" w:type="pct"/>
            <w:tcBorders>
              <w:top w:val="nil"/>
              <w:bottom w:val="nil"/>
            </w:tcBorders>
            <w:shd w:val="clear" w:color="000000" w:fill="auto"/>
          </w:tcPr>
          <w:p w14:paraId="5548CCAF" w14:textId="77777777" w:rsidR="00396052" w:rsidRPr="00684640" w:rsidRDefault="00396052" w:rsidP="00177648">
            <w:pPr>
              <w:pStyle w:val="TableBody"/>
            </w:pPr>
            <w:r w:rsidRPr="00684640">
              <w:lastRenderedPageBreak/>
              <w:t>Children in England who attended private ECEC as soon as they were eligible at age three, and started school between the 2008 and 2011 academic years.</w:t>
            </w:r>
          </w:p>
          <w:p w14:paraId="64E145E4" w14:textId="77777777" w:rsidR="00396052" w:rsidRPr="00684640" w:rsidRDefault="00396052" w:rsidP="00177648">
            <w:pPr>
              <w:pStyle w:val="TableBody"/>
            </w:pPr>
            <w:r w:rsidRPr="00684640">
              <w:lastRenderedPageBreak/>
              <w:t>50% of educators were required to hold a qualification equivalent to two years of post</w:t>
            </w:r>
            <w:r>
              <w:noBreakHyphen/>
            </w:r>
            <w:r w:rsidRPr="00684640">
              <w:t>compulsory schooling. If a degree</w:t>
            </w:r>
            <w:r>
              <w:noBreakHyphen/>
            </w:r>
            <w:r w:rsidRPr="00684640">
              <w:t>level</w:t>
            </w:r>
            <w:r>
              <w:noBreakHyphen/>
            </w:r>
            <w:r w:rsidRPr="00684640">
              <w:t>qualified teacher or equivalent was present the minimum ratio requirement was 1:13; otherwise, it was 1:8.</w:t>
            </w:r>
          </w:p>
          <w:p w14:paraId="31432062" w14:textId="77777777" w:rsidR="00396052" w:rsidRPr="00684640" w:rsidRDefault="00396052" w:rsidP="00177648">
            <w:pPr>
              <w:pStyle w:val="TableBody"/>
              <w:spacing w:before="45" w:after="45"/>
              <w:ind w:right="108"/>
              <w:rPr>
                <w:rFonts w:ascii="Arial (Body)" w:hAnsi="Arial (Body)"/>
                <w:color w:val="000000"/>
              </w:rPr>
            </w:pPr>
            <w:r w:rsidRPr="00684640">
              <w:t>Centres were rated by the English education regulator about every four years. 1.5% were rated Inadequate, 15% Satisfactory, 55% Good and 13% Outstanding.</w:t>
            </w:r>
          </w:p>
        </w:tc>
        <w:tc>
          <w:tcPr>
            <w:tcW w:w="1952" w:type="pct"/>
            <w:tcBorders>
              <w:top w:val="nil"/>
              <w:bottom w:val="nil"/>
            </w:tcBorders>
            <w:shd w:val="clear" w:color="000000" w:fill="auto"/>
          </w:tcPr>
          <w:p w14:paraId="773E204C" w14:textId="77777777" w:rsidR="00396052" w:rsidRPr="00684640" w:rsidRDefault="00396052" w:rsidP="00177648">
            <w:pPr>
              <w:pStyle w:val="TableBody"/>
            </w:pPr>
            <w:r w:rsidRPr="00684640">
              <w:lastRenderedPageBreak/>
              <w:t>Attending an additional 3.5</w:t>
            </w:r>
            <w:r>
              <w:noBreakHyphen/>
            </w:r>
            <w:r w:rsidRPr="00684640">
              <w:t>month term of ECEC slightly increased the likelihood of being at or above the expected level on a teacher assessment of cognitive non</w:t>
            </w:r>
            <w:r>
              <w:noBreakHyphen/>
            </w:r>
            <w:r w:rsidRPr="00684640">
              <w:t xml:space="preserve">cognitive skills at age five, with no </w:t>
            </w:r>
            <w:r w:rsidRPr="00684640">
              <w:lastRenderedPageBreak/>
              <w:t>significant effect by age seven. Effects were stronger for the literacy component of the assessment.</w:t>
            </w:r>
          </w:p>
          <w:p w14:paraId="2569F581" w14:textId="77777777" w:rsidR="00396052" w:rsidRPr="00684640" w:rsidRDefault="00396052" w:rsidP="00177648">
            <w:pPr>
              <w:pStyle w:val="TableBody"/>
            </w:pPr>
            <w:r w:rsidRPr="00684640">
              <w:t>Effects of this addition term were no different when children attended centres where a greater proportion of the educators were qualified at the degree level.</w:t>
            </w:r>
          </w:p>
          <w:p w14:paraId="6CFC0CEF" w14:textId="77777777" w:rsidR="00396052" w:rsidRPr="00684640" w:rsidRDefault="00396052" w:rsidP="00177648">
            <w:pPr>
              <w:pStyle w:val="TableBody"/>
              <w:spacing w:before="45" w:after="45"/>
              <w:ind w:right="108"/>
              <w:rPr>
                <w:rFonts w:ascii="Arial (Body)" w:hAnsi="Arial (Body)"/>
                <w:color w:val="000000"/>
              </w:rPr>
            </w:pPr>
            <w:r w:rsidRPr="00684640">
              <w:t>Effects were much larger for children attending a centre rated as Outstanding by the English education regulator, with no significant differences between those rated Good and those rated Inadequate or Satisfactory.</w:t>
            </w:r>
          </w:p>
        </w:tc>
      </w:tr>
      <w:tr w:rsidR="00396052" w:rsidRPr="00684640" w14:paraId="210D3CD3" w14:textId="77777777" w:rsidTr="00177648">
        <w:tc>
          <w:tcPr>
            <w:tcW w:w="1095" w:type="pct"/>
            <w:tcBorders>
              <w:top w:val="nil"/>
              <w:bottom w:val="nil"/>
            </w:tcBorders>
            <w:shd w:val="clear" w:color="000000" w:fill="F2F2F2"/>
          </w:tcPr>
          <w:p w14:paraId="52B9F815" w14:textId="77777777" w:rsidR="00396052" w:rsidRPr="00684640" w:rsidRDefault="00396052" w:rsidP="00177648">
            <w:pPr>
              <w:pStyle w:val="TableBody"/>
            </w:pPr>
            <w:r w:rsidRPr="00684640">
              <w:lastRenderedPageBreak/>
              <w:t>Corazzini et al. 2021</w:t>
            </w:r>
          </w:p>
          <w:p w14:paraId="436F2BC6" w14:textId="77777777" w:rsidR="00396052" w:rsidRPr="00684640" w:rsidRDefault="00396052" w:rsidP="00177648">
            <w:pPr>
              <w:pStyle w:val="TableBody"/>
            </w:pPr>
            <w:r w:rsidRPr="00684640">
              <w:t>IV exploiting regional variation in availability in Italy; short</w:t>
            </w:r>
            <w:r>
              <w:noBreakHyphen/>
            </w:r>
            <w:r w:rsidRPr="00684640">
              <w:t>term academic outcomes.</w:t>
            </w:r>
          </w:p>
        </w:tc>
        <w:tc>
          <w:tcPr>
            <w:tcW w:w="1953" w:type="pct"/>
            <w:tcBorders>
              <w:top w:val="nil"/>
              <w:bottom w:val="nil"/>
            </w:tcBorders>
            <w:shd w:val="clear" w:color="000000" w:fill="F2F2F2"/>
          </w:tcPr>
          <w:p w14:paraId="1AEF2539" w14:textId="77777777" w:rsidR="00396052" w:rsidRPr="00684640" w:rsidRDefault="00396052" w:rsidP="00177648">
            <w:pPr>
              <w:pStyle w:val="TableBody"/>
            </w:pPr>
            <w:r w:rsidRPr="00684640">
              <w:t>Children in Italy who attended CBDC before the age of three and were in 5</w:t>
            </w:r>
            <w:r w:rsidRPr="00684640">
              <w:rPr>
                <w:vertAlign w:val="superscript"/>
              </w:rPr>
              <w:t>th</w:t>
            </w:r>
            <w:r w:rsidRPr="00684640">
              <w:t xml:space="preserve"> grade between 2014 to 2017.</w:t>
            </w:r>
          </w:p>
          <w:p w14:paraId="6373AA76" w14:textId="77777777" w:rsidR="00396052" w:rsidRPr="00684640" w:rsidRDefault="00396052" w:rsidP="00177648">
            <w:pPr>
              <w:pStyle w:val="TableBody"/>
            </w:pPr>
            <w:r w:rsidRPr="00684640">
              <w:t>Services were provided both publicly and privately, with this mix varying by area. In public settings, educators were required to hold a bachelor’s degree in education sciences. The average weekly attendance was about 31 hours.</w:t>
            </w:r>
          </w:p>
          <w:p w14:paraId="675F57E4" w14:textId="77777777" w:rsidR="00396052" w:rsidRPr="00684640" w:rsidRDefault="00396052" w:rsidP="00177648">
            <w:pPr>
              <w:pStyle w:val="TableBody"/>
              <w:spacing w:before="45" w:after="45"/>
              <w:ind w:right="108"/>
              <w:rPr>
                <w:rFonts w:ascii="Arial (Body)" w:hAnsi="Arial (Body)"/>
                <w:color w:val="000000"/>
              </w:rPr>
            </w:pPr>
            <w:r w:rsidRPr="00684640">
              <w:t>The counterfactual for non</w:t>
            </w:r>
            <w:r>
              <w:noBreakHyphen/>
            </w:r>
            <w:r w:rsidRPr="00684640">
              <w:t>immigrant children may have primarily been grandparent care, with parental care more likely to be the counterfactual for immigrant children.</w:t>
            </w:r>
          </w:p>
        </w:tc>
        <w:tc>
          <w:tcPr>
            <w:tcW w:w="1952" w:type="pct"/>
            <w:tcBorders>
              <w:top w:val="nil"/>
              <w:bottom w:val="nil"/>
            </w:tcBorders>
            <w:shd w:val="clear" w:color="000000" w:fill="F2F2F2"/>
          </w:tcPr>
          <w:p w14:paraId="4FBBBCAA" w14:textId="77777777" w:rsidR="00396052" w:rsidRPr="00684640" w:rsidRDefault="00396052" w:rsidP="00177648">
            <w:pPr>
              <w:pStyle w:val="TableBody"/>
              <w:spacing w:before="45" w:after="45"/>
              <w:ind w:right="108"/>
            </w:pPr>
            <w:r w:rsidRPr="00684640">
              <w:t>There were beneficial effects on language and maths school test scores for immigrant children, and adverse effects for non</w:t>
            </w:r>
            <w:r>
              <w:noBreakHyphen/>
            </w:r>
            <w:r w:rsidRPr="00684640">
              <w:t xml:space="preserve">immigrant children. </w:t>
            </w:r>
          </w:p>
          <w:p w14:paraId="7041A2BE" w14:textId="77777777" w:rsidR="00396052" w:rsidRPr="00684640" w:rsidRDefault="00396052" w:rsidP="00177648">
            <w:pPr>
              <w:pStyle w:val="TableBody"/>
              <w:spacing w:before="45" w:after="45"/>
              <w:ind w:right="108"/>
              <w:rPr>
                <w:rFonts w:ascii="Arial (Body)" w:hAnsi="Arial (Body)"/>
                <w:color w:val="000000"/>
              </w:rPr>
            </w:pPr>
            <w:r w:rsidRPr="00684640">
              <w:t>Beneficial effects for immigrant children were limited to areas with higher shares of public provision. Adverse effects for non</w:t>
            </w:r>
            <w:r>
              <w:noBreakHyphen/>
            </w:r>
            <w:r w:rsidRPr="00684640">
              <w:t>immigrant children were limited to areas with lower shares of public provision.</w:t>
            </w:r>
          </w:p>
        </w:tc>
      </w:tr>
      <w:tr w:rsidR="00396052" w:rsidRPr="00684640" w14:paraId="7654662A" w14:textId="77777777" w:rsidTr="00177648">
        <w:tc>
          <w:tcPr>
            <w:tcW w:w="1095" w:type="pct"/>
            <w:tcBorders>
              <w:top w:val="nil"/>
              <w:bottom w:val="nil"/>
            </w:tcBorders>
            <w:shd w:val="clear" w:color="000000" w:fill="auto"/>
          </w:tcPr>
          <w:p w14:paraId="13E3306A" w14:textId="77777777" w:rsidR="00396052" w:rsidRPr="00684640" w:rsidRDefault="00396052" w:rsidP="00177648">
            <w:pPr>
              <w:pStyle w:val="TableBody"/>
            </w:pPr>
            <w:r w:rsidRPr="00684640">
              <w:rPr>
                <w:rFonts w:ascii="Arial" w:hAnsi="Arial" w:cs="Arial"/>
              </w:rPr>
              <w:t>Fort et al. 2020</w:t>
            </w:r>
          </w:p>
          <w:p w14:paraId="0DC50A1C" w14:textId="77777777" w:rsidR="00396052" w:rsidRPr="00684640" w:rsidRDefault="00396052" w:rsidP="00177648">
            <w:pPr>
              <w:pStyle w:val="TableBody"/>
            </w:pPr>
            <w:r w:rsidRPr="00684640">
              <w:t>RD exploiting an income eligibility cutoff for CBDC in Italy; cognitive outcomes.</w:t>
            </w:r>
          </w:p>
        </w:tc>
        <w:tc>
          <w:tcPr>
            <w:tcW w:w="1953" w:type="pct"/>
            <w:tcBorders>
              <w:top w:val="nil"/>
              <w:bottom w:val="nil"/>
            </w:tcBorders>
            <w:shd w:val="clear" w:color="000000" w:fill="auto"/>
          </w:tcPr>
          <w:p w14:paraId="5B217F1B" w14:textId="77777777" w:rsidR="00396052" w:rsidRPr="00684640" w:rsidRDefault="00396052" w:rsidP="00177648">
            <w:pPr>
              <w:pStyle w:val="TableBody"/>
            </w:pPr>
            <w:r w:rsidRPr="00684640">
              <w:t>Children in Bologna, Italy who attended CBDC before the age of two, whose parents applied for a place between 2001 and 2005.</w:t>
            </w:r>
          </w:p>
          <w:p w14:paraId="2F160BB9" w14:textId="77777777" w:rsidR="00396052" w:rsidRPr="00684640" w:rsidRDefault="00396052" w:rsidP="00177648">
            <w:pPr>
              <w:pStyle w:val="TableBody"/>
            </w:pPr>
            <w:r w:rsidRPr="00684640">
              <w:t>CBDC places were rationed based on a measure of SES, with lower</w:t>
            </w:r>
            <w:r>
              <w:noBreakHyphen/>
            </w:r>
            <w:r w:rsidRPr="00684640">
              <w:t>SES families being prioritised. Children close to the cutoff came from very affluent families and had average IQs that were significantly above average.</w:t>
            </w:r>
          </w:p>
          <w:p w14:paraId="7BCC74AC" w14:textId="77777777" w:rsidR="00396052" w:rsidRPr="00684640" w:rsidRDefault="00396052" w:rsidP="00177648">
            <w:pPr>
              <w:pStyle w:val="TableBody"/>
              <w:spacing w:before="45" w:after="45"/>
              <w:ind w:right="108"/>
              <w:rPr>
                <w:rFonts w:ascii="Arial (Body)" w:hAnsi="Arial (Body)"/>
                <w:color w:val="000000"/>
              </w:rPr>
            </w:pPr>
            <w:r w:rsidRPr="00684640">
              <w:t>The minimum ratio was 1:4 before age one and 1:6 between age one and two.</w:t>
            </w:r>
          </w:p>
        </w:tc>
        <w:tc>
          <w:tcPr>
            <w:tcW w:w="1952" w:type="pct"/>
            <w:tcBorders>
              <w:top w:val="nil"/>
              <w:bottom w:val="nil"/>
            </w:tcBorders>
            <w:shd w:val="clear" w:color="000000" w:fill="auto"/>
          </w:tcPr>
          <w:p w14:paraId="6DA4DAB9" w14:textId="77777777" w:rsidR="00396052" w:rsidRPr="00684640" w:rsidRDefault="00396052" w:rsidP="00177648">
            <w:pPr>
              <w:pStyle w:val="TableBody"/>
            </w:pPr>
            <w:r w:rsidRPr="00684640">
              <w:t>For children close to the eligibility cutoff, IQ through to age 14 was reduced by a greater amount of time in CBDC before the age of two. Measures of agreeableness and openness to experience were also worsened.</w:t>
            </w:r>
          </w:p>
          <w:p w14:paraId="6867EF4E" w14:textId="77777777" w:rsidR="00396052" w:rsidRPr="00684640" w:rsidRDefault="00396052" w:rsidP="00177648">
            <w:pPr>
              <w:pStyle w:val="TableBody"/>
              <w:spacing w:before="45" w:after="45"/>
              <w:ind w:right="108"/>
              <w:rPr>
                <w:rFonts w:ascii="Arial (Body)" w:hAnsi="Arial (Body)"/>
                <w:color w:val="000000"/>
              </w:rPr>
            </w:pPr>
            <w:r w:rsidRPr="00684640">
              <w:t>Adverse effects were stronger for more advantaged children, and only significant for a group whose parents earned, on average, more than twice the national average income.</w:t>
            </w:r>
          </w:p>
        </w:tc>
      </w:tr>
      <w:tr w:rsidR="00396052" w:rsidRPr="00684640" w14:paraId="7F828A34" w14:textId="77777777" w:rsidTr="00177648">
        <w:tc>
          <w:tcPr>
            <w:tcW w:w="1095" w:type="pct"/>
            <w:tcBorders>
              <w:top w:val="nil"/>
              <w:bottom w:val="nil"/>
            </w:tcBorders>
            <w:shd w:val="clear" w:color="000000" w:fill="F2F2F2"/>
          </w:tcPr>
          <w:p w14:paraId="1EE04981" w14:textId="77777777" w:rsidR="00396052" w:rsidRPr="00684640" w:rsidRDefault="00396052" w:rsidP="00177648">
            <w:pPr>
              <w:pStyle w:val="TableBody"/>
            </w:pPr>
            <w:r w:rsidRPr="00684640">
              <w:rPr>
                <w:rFonts w:ascii="Arial" w:hAnsi="Arial" w:cs="Arial"/>
              </w:rPr>
              <w:lastRenderedPageBreak/>
              <w:t>Carta and Rizzica 2018</w:t>
            </w:r>
          </w:p>
          <w:p w14:paraId="1D70913D" w14:textId="77777777" w:rsidR="00396052" w:rsidRPr="00684640" w:rsidRDefault="00396052" w:rsidP="00177648">
            <w:pPr>
              <w:pStyle w:val="TableBody"/>
            </w:pPr>
            <w:r w:rsidRPr="00684640">
              <w:t>RD exploiting age eligibility cutoffs for access to ECEC in Italy.</w:t>
            </w:r>
          </w:p>
        </w:tc>
        <w:tc>
          <w:tcPr>
            <w:tcW w:w="1953" w:type="pct"/>
            <w:tcBorders>
              <w:top w:val="nil"/>
              <w:bottom w:val="nil"/>
            </w:tcBorders>
            <w:shd w:val="clear" w:color="000000" w:fill="F2F2F2"/>
          </w:tcPr>
          <w:p w14:paraId="02808D8E" w14:textId="77777777" w:rsidR="00396052" w:rsidRPr="00684640" w:rsidRDefault="00396052" w:rsidP="00177648">
            <w:pPr>
              <w:pStyle w:val="TableBody"/>
            </w:pPr>
            <w:r w:rsidRPr="00684640">
              <w:t>Children who attended one form of ECEC in Italy at age two, between 2013 and 2016.</w:t>
            </w:r>
          </w:p>
          <w:p w14:paraId="18C34380" w14:textId="77777777" w:rsidR="00396052" w:rsidRPr="00684640" w:rsidRDefault="00396052" w:rsidP="00177648">
            <w:pPr>
              <w:pStyle w:val="TableBody"/>
            </w:pPr>
            <w:r w:rsidRPr="00684640">
              <w:t>Services were open five to six days a week for eight hours a day, with a ratio of 1:11 and a requirement for educators to hold a diploma or degree in ECEC. They were mostly publicly provided.</w:t>
            </w:r>
          </w:p>
          <w:p w14:paraId="160140D9" w14:textId="77777777" w:rsidR="00396052" w:rsidRPr="00684640" w:rsidRDefault="00396052" w:rsidP="00177648">
            <w:pPr>
              <w:pStyle w:val="TableBody"/>
            </w:pPr>
            <w:r w:rsidRPr="00684640">
              <w:t>Alternative services were open five days a week for nine hours a day, with a ratio of 1:10 and the same educator qualification requirements. Provision was mostly private.</w:t>
            </w:r>
          </w:p>
          <w:p w14:paraId="492189EA" w14:textId="77777777" w:rsidR="00396052" w:rsidRPr="00684640" w:rsidRDefault="00396052" w:rsidP="00177648">
            <w:pPr>
              <w:pStyle w:val="TableBody"/>
            </w:pPr>
            <w:r w:rsidRPr="00684640">
              <w:t>Fees between the two service types were about the same for low</w:t>
            </w:r>
            <w:r>
              <w:noBreakHyphen/>
            </w:r>
            <w:r w:rsidRPr="00684640">
              <w:t>income families, but lower for the first type for higher</w:t>
            </w:r>
            <w:r>
              <w:noBreakHyphen/>
            </w:r>
            <w:r w:rsidRPr="00684640">
              <w:t>income families. There was an age threshold for entry into this first type of service, and the increase in participation this led to mostly came from parental or informal care, with a smaller reduction in use of other forms of ECEC.</w:t>
            </w:r>
          </w:p>
        </w:tc>
        <w:tc>
          <w:tcPr>
            <w:tcW w:w="1952" w:type="pct"/>
            <w:tcBorders>
              <w:top w:val="nil"/>
              <w:bottom w:val="nil"/>
            </w:tcBorders>
            <w:shd w:val="clear" w:color="000000" w:fill="F2F2F2"/>
          </w:tcPr>
          <w:p w14:paraId="26B4C1FB" w14:textId="77777777" w:rsidR="00396052" w:rsidRPr="00684640" w:rsidRDefault="00396052" w:rsidP="00177648">
            <w:pPr>
              <w:pStyle w:val="TableBody"/>
            </w:pPr>
            <w:r w:rsidRPr="00684640">
              <w:t>Age seven school test scores were not significantly affected, overall and for children with different maternal education or paternal occupational status levels.</w:t>
            </w:r>
          </w:p>
        </w:tc>
      </w:tr>
      <w:tr w:rsidR="00396052" w:rsidRPr="00684640" w14:paraId="10E9D082" w14:textId="77777777" w:rsidTr="00177648">
        <w:tc>
          <w:tcPr>
            <w:tcW w:w="1095" w:type="pct"/>
            <w:tcBorders>
              <w:top w:val="nil"/>
              <w:bottom w:val="nil"/>
            </w:tcBorders>
            <w:shd w:val="clear" w:color="000000" w:fill="FFFFFF" w:themeFill="background1"/>
          </w:tcPr>
          <w:p w14:paraId="4DFCECCB" w14:textId="77777777" w:rsidR="00396052" w:rsidRPr="00684640" w:rsidRDefault="00396052" w:rsidP="00177648">
            <w:pPr>
              <w:pStyle w:val="TableBody"/>
            </w:pPr>
            <w:r w:rsidRPr="00684640">
              <w:t>Berger et al. 2021</w:t>
            </w:r>
          </w:p>
          <w:p w14:paraId="7B1503FB" w14:textId="77777777" w:rsidR="00396052" w:rsidRPr="00684640" w:rsidRDefault="00396052" w:rsidP="00177648">
            <w:pPr>
              <w:pStyle w:val="TableBody"/>
            </w:pPr>
            <w:r w:rsidRPr="00684640">
              <w:t>IV exploiting variation in attendance from birth time and from oversubscription to services in France; short</w:t>
            </w:r>
            <w:r>
              <w:noBreakHyphen/>
            </w:r>
            <w:r w:rsidRPr="00684640">
              <w:t>term cognitive and noncognitive outcomes.</w:t>
            </w:r>
          </w:p>
        </w:tc>
        <w:tc>
          <w:tcPr>
            <w:tcW w:w="1953" w:type="pct"/>
            <w:tcBorders>
              <w:top w:val="nil"/>
              <w:bottom w:val="nil"/>
            </w:tcBorders>
            <w:shd w:val="clear" w:color="000000" w:fill="FFFFFF" w:themeFill="background1"/>
          </w:tcPr>
          <w:p w14:paraId="7046A506" w14:textId="77777777" w:rsidR="00396052" w:rsidRPr="00684640" w:rsidRDefault="00396052" w:rsidP="00177648">
            <w:pPr>
              <w:pStyle w:val="TableBody"/>
            </w:pPr>
            <w:r w:rsidRPr="00684640">
              <w:t>Children in France who were born in 2011 and attended CBDC at age one.</w:t>
            </w:r>
          </w:p>
          <w:p w14:paraId="6135C64C" w14:textId="77777777" w:rsidR="00396052" w:rsidRPr="00684640" w:rsidRDefault="00396052" w:rsidP="00177648">
            <w:pPr>
              <w:pStyle w:val="TableBody"/>
            </w:pPr>
            <w:r w:rsidRPr="00684640">
              <w:t>Services had minimum ratios of 1:5 for children who were not yet walking and 1:8 for older children. Staff included educators and paediatric nurses and were required to have subject</w:t>
            </w:r>
            <w:r>
              <w:noBreakHyphen/>
            </w:r>
            <w:r w:rsidRPr="00684640">
              <w:t>specific secondary or university qualifications.</w:t>
            </w:r>
          </w:p>
          <w:p w14:paraId="670539D5" w14:textId="77777777" w:rsidR="00396052" w:rsidRPr="00684640" w:rsidRDefault="00396052" w:rsidP="00177648">
            <w:pPr>
              <w:pStyle w:val="TableBody"/>
              <w:spacing w:before="45" w:after="45"/>
              <w:ind w:right="108"/>
              <w:rPr>
                <w:rFonts w:ascii="Arial (Body)" w:hAnsi="Arial (Body)"/>
                <w:color w:val="000000"/>
              </w:rPr>
            </w:pPr>
            <w:r w:rsidRPr="00684640">
              <w:t>The counterfactual included FDC – with FDC educators required to complete 120 hours of training over their first three years of operation and follow a minimum ratio of 1:3.</w:t>
            </w:r>
          </w:p>
        </w:tc>
        <w:tc>
          <w:tcPr>
            <w:tcW w:w="1952" w:type="pct"/>
            <w:tcBorders>
              <w:top w:val="nil"/>
              <w:bottom w:val="nil"/>
            </w:tcBorders>
            <w:shd w:val="clear" w:color="000000" w:fill="FFFFFF" w:themeFill="background1"/>
          </w:tcPr>
          <w:p w14:paraId="4E88939E" w14:textId="77777777" w:rsidR="00396052" w:rsidRPr="00684640" w:rsidRDefault="00396052" w:rsidP="00177648">
            <w:pPr>
              <w:pStyle w:val="TableBody"/>
            </w:pPr>
            <w:r w:rsidRPr="00684640">
              <w:t>CBDC attendance improved language skills at age two, but worsened mother</w:t>
            </w:r>
            <w:r>
              <w:noBreakHyphen/>
            </w:r>
            <w:r w:rsidRPr="00684640">
              <w:t>reported behavioural issues.</w:t>
            </w:r>
          </w:p>
          <w:p w14:paraId="6893FC2C" w14:textId="77777777" w:rsidR="00396052" w:rsidRPr="00684640" w:rsidRDefault="00396052" w:rsidP="00177648">
            <w:pPr>
              <w:pStyle w:val="TableBody"/>
            </w:pPr>
            <w:r w:rsidRPr="00684640">
              <w:t>Language benefits were larger when the counterfactual seemed to be parental or informal care rather than FDC or nanny care, and for disadvantaged children.</w:t>
            </w:r>
          </w:p>
          <w:p w14:paraId="103E13C8" w14:textId="77777777" w:rsidR="00396052" w:rsidRPr="00684640" w:rsidRDefault="00396052" w:rsidP="00177648">
            <w:pPr>
              <w:pStyle w:val="TableBody"/>
            </w:pPr>
            <w:r w:rsidRPr="00684640">
              <w:t>Behavioural effects were only present when the counterfactual seemed to be parental or nanny care (not FDC or informal care), and were larger for advantaged children.</w:t>
            </w:r>
          </w:p>
          <w:p w14:paraId="3889936F" w14:textId="77777777" w:rsidR="00396052" w:rsidRPr="00684640" w:rsidRDefault="00396052" w:rsidP="00177648">
            <w:pPr>
              <w:pStyle w:val="TableBody"/>
              <w:spacing w:before="45" w:after="45"/>
              <w:ind w:right="108"/>
              <w:rPr>
                <w:rFonts w:ascii="Arial (Body)" w:hAnsi="Arial (Body)"/>
                <w:color w:val="000000"/>
              </w:rPr>
            </w:pPr>
            <w:r w:rsidRPr="00684640">
              <w:t xml:space="preserve">The effect of the number of days attended per week could not be causally analysed, but language development was better in children who attended four or five days a week than in those who attended three days, who in turn performed better than who attended one or two days. For behavioural outcomes, children who attended three or </w:t>
            </w:r>
            <w:r w:rsidRPr="00684640">
              <w:lastRenderedPageBreak/>
              <w:t>five days performed better than those attending one, two or four days.</w:t>
            </w:r>
          </w:p>
        </w:tc>
      </w:tr>
      <w:tr w:rsidR="00396052" w:rsidRPr="00684640" w14:paraId="20DF70E4" w14:textId="77777777" w:rsidTr="00177648">
        <w:tc>
          <w:tcPr>
            <w:tcW w:w="1095" w:type="pct"/>
            <w:tcBorders>
              <w:top w:val="nil"/>
              <w:bottom w:val="nil"/>
            </w:tcBorders>
            <w:shd w:val="clear" w:color="000000" w:fill="F2F2F2"/>
          </w:tcPr>
          <w:p w14:paraId="74F0D421" w14:textId="77777777" w:rsidR="00396052" w:rsidRPr="00684640" w:rsidRDefault="00396052" w:rsidP="00177648">
            <w:pPr>
              <w:pStyle w:val="TableBody"/>
            </w:pPr>
            <w:r w:rsidRPr="00684640">
              <w:lastRenderedPageBreak/>
              <w:t>Leuven et al. 2006</w:t>
            </w:r>
          </w:p>
          <w:p w14:paraId="5606EC13" w14:textId="77777777" w:rsidR="00396052" w:rsidRPr="00684640" w:rsidRDefault="00396052" w:rsidP="00177648">
            <w:pPr>
              <w:pStyle w:val="TableBody"/>
            </w:pPr>
            <w:r w:rsidRPr="00684640">
              <w:t>Reduced</w:t>
            </w:r>
            <w:r>
              <w:noBreakHyphen/>
            </w:r>
            <w:r w:rsidRPr="00684640">
              <w:t>form analysis exploiting age cutoffs; early academic outcomes.</w:t>
            </w:r>
          </w:p>
        </w:tc>
        <w:tc>
          <w:tcPr>
            <w:tcW w:w="1953" w:type="pct"/>
            <w:tcBorders>
              <w:top w:val="nil"/>
              <w:bottom w:val="nil"/>
            </w:tcBorders>
            <w:shd w:val="clear" w:color="000000" w:fill="F2F2F2"/>
          </w:tcPr>
          <w:p w14:paraId="629B78EE" w14:textId="77777777" w:rsidR="00396052" w:rsidRPr="00684640" w:rsidRDefault="00396052" w:rsidP="00177648">
            <w:pPr>
              <w:pStyle w:val="TableBody"/>
            </w:pPr>
            <w:r w:rsidRPr="00684640">
              <w:t>Dutch children who were in 2</w:t>
            </w:r>
            <w:r w:rsidRPr="00684640">
              <w:rPr>
                <w:vertAlign w:val="superscript"/>
              </w:rPr>
              <w:t>nd</w:t>
            </w:r>
            <w:r w:rsidRPr="00684640">
              <w:t xml:space="preserve"> grade between 1994 and 2002 and had attended preschool at age four.</w:t>
            </w:r>
          </w:p>
          <w:p w14:paraId="017B2F1C" w14:textId="77777777" w:rsidR="00396052" w:rsidRPr="00684640" w:rsidRDefault="00396052" w:rsidP="00177648">
            <w:pPr>
              <w:pStyle w:val="TableBody"/>
              <w:spacing w:before="45" w:after="45"/>
              <w:ind w:right="108"/>
              <w:rPr>
                <w:rFonts w:ascii="Arial (Body)" w:hAnsi="Arial (Body)"/>
                <w:color w:val="000000"/>
              </w:rPr>
            </w:pPr>
            <w:r w:rsidRPr="00684640">
              <w:t>Preschool for four</w:t>
            </w:r>
            <w:r>
              <w:noBreakHyphen/>
            </w:r>
            <w:r w:rsidRPr="00684640">
              <w:t>year</w:t>
            </w:r>
            <w:r>
              <w:noBreakHyphen/>
            </w:r>
            <w:r w:rsidRPr="00684640">
              <w:t>old children was run through the schooling system and taught by primary school teachers. The program ran for 24 hours a week, 41 weeks a year.</w:t>
            </w:r>
          </w:p>
        </w:tc>
        <w:tc>
          <w:tcPr>
            <w:tcW w:w="1952" w:type="pct"/>
            <w:tcBorders>
              <w:top w:val="nil"/>
              <w:bottom w:val="nil"/>
            </w:tcBorders>
            <w:shd w:val="clear" w:color="000000" w:fill="F2F2F2"/>
          </w:tcPr>
          <w:p w14:paraId="6DCB072E" w14:textId="77777777" w:rsidR="00396052" w:rsidRPr="00684640" w:rsidRDefault="00396052" w:rsidP="00177648">
            <w:pPr>
              <w:pStyle w:val="TableBody"/>
              <w:spacing w:before="45" w:after="45"/>
              <w:ind w:right="108"/>
              <w:rPr>
                <w:rFonts w:ascii="Arial (Body)" w:hAnsi="Arial (Body)"/>
                <w:color w:val="000000"/>
              </w:rPr>
            </w:pPr>
            <w:r w:rsidRPr="00684640">
              <w:t>Being eligible to attend preschool for one additional month increased 2</w:t>
            </w:r>
            <w:r w:rsidRPr="00684640">
              <w:rPr>
                <w:vertAlign w:val="superscript"/>
              </w:rPr>
              <w:t>nd</w:t>
            </w:r>
            <w:r w:rsidRPr="00684640">
              <w:t xml:space="preserve"> grade language and maths test scores for disadvantaged students, with there being no significant effects for non</w:t>
            </w:r>
            <w:r>
              <w:noBreakHyphen/>
            </w:r>
            <w:r w:rsidRPr="00684640">
              <w:t>disadvantaged students.</w:t>
            </w:r>
          </w:p>
        </w:tc>
      </w:tr>
      <w:tr w:rsidR="00396052" w:rsidRPr="00684640" w14:paraId="4914F163" w14:textId="77777777" w:rsidTr="00177648">
        <w:tc>
          <w:tcPr>
            <w:tcW w:w="1095" w:type="pct"/>
            <w:tcBorders>
              <w:top w:val="nil"/>
              <w:bottom w:val="nil"/>
            </w:tcBorders>
            <w:shd w:val="clear" w:color="000000" w:fill="FFFFFF" w:themeFill="background1"/>
          </w:tcPr>
          <w:p w14:paraId="36FA9F8A" w14:textId="77777777" w:rsidR="00396052" w:rsidRPr="00684640" w:rsidRDefault="00396052" w:rsidP="00177648">
            <w:pPr>
              <w:pStyle w:val="TableBody"/>
            </w:pPr>
            <w:r w:rsidRPr="00684640">
              <w:t>Berlinski et al. 2009</w:t>
            </w:r>
          </w:p>
          <w:p w14:paraId="47C73A43" w14:textId="77777777" w:rsidR="00396052" w:rsidRPr="00684640" w:rsidRDefault="00396052" w:rsidP="00177648">
            <w:pPr>
              <w:pStyle w:val="TableBody"/>
            </w:pPr>
            <w:r w:rsidRPr="00684640">
              <w:t>DiD exploiting the expansion of preschool in Argentina; early academic outcomes.</w:t>
            </w:r>
          </w:p>
        </w:tc>
        <w:tc>
          <w:tcPr>
            <w:tcW w:w="1953" w:type="pct"/>
            <w:tcBorders>
              <w:top w:val="nil"/>
              <w:bottom w:val="nil"/>
            </w:tcBorders>
            <w:shd w:val="clear" w:color="000000" w:fill="FFFFFF" w:themeFill="background1"/>
          </w:tcPr>
          <w:p w14:paraId="411300F8" w14:textId="77777777" w:rsidR="00396052" w:rsidRPr="00684640" w:rsidRDefault="00396052" w:rsidP="00177648">
            <w:pPr>
              <w:pStyle w:val="TableBody"/>
            </w:pPr>
            <w:r w:rsidRPr="00684640">
              <w:t>Children who attended preschool in Argentina, at least some of the time between the age of three and five, between 1991 and 2001 in Argentina.</w:t>
            </w:r>
          </w:p>
          <w:p w14:paraId="111901C3" w14:textId="77777777" w:rsidR="00396052" w:rsidRPr="00684640" w:rsidRDefault="00396052" w:rsidP="00177648">
            <w:pPr>
              <w:pStyle w:val="TableBody"/>
              <w:spacing w:before="45" w:after="45"/>
              <w:ind w:right="108"/>
              <w:rPr>
                <w:rFonts w:ascii="Arial (Body)" w:hAnsi="Arial (Body)"/>
                <w:color w:val="000000"/>
              </w:rPr>
            </w:pPr>
            <w:r w:rsidRPr="00684640">
              <w:t>Preschools were linked to primary schools, and delivered a program 3.5 hours a day, five days a week, during the school year.</w:t>
            </w:r>
          </w:p>
        </w:tc>
        <w:tc>
          <w:tcPr>
            <w:tcW w:w="1952" w:type="pct"/>
            <w:tcBorders>
              <w:top w:val="nil"/>
              <w:bottom w:val="nil"/>
            </w:tcBorders>
            <w:shd w:val="clear" w:color="000000" w:fill="FFFFFF" w:themeFill="background1"/>
          </w:tcPr>
          <w:p w14:paraId="07655D40" w14:textId="77777777" w:rsidR="00396052" w:rsidRPr="00684640" w:rsidRDefault="00396052" w:rsidP="00177648">
            <w:pPr>
              <w:pStyle w:val="TableBody"/>
            </w:pPr>
            <w:r w:rsidRPr="00684640">
              <w:t>Preschool increased students’ maths and Spanish test scores in the third grade. Teachers were more likely to report that students paid a lot of attention, put in a lot of effort and participated in class regularly.</w:t>
            </w:r>
          </w:p>
          <w:p w14:paraId="56B717B2" w14:textId="77777777" w:rsidR="00396052" w:rsidRPr="00684640" w:rsidRDefault="00396052" w:rsidP="00177648">
            <w:pPr>
              <w:pStyle w:val="TableBody"/>
              <w:spacing w:before="45" w:after="45"/>
              <w:ind w:right="108"/>
              <w:rPr>
                <w:rFonts w:ascii="Arial (Body)" w:hAnsi="Arial (Body)"/>
                <w:color w:val="000000"/>
              </w:rPr>
            </w:pPr>
            <w:r w:rsidRPr="00684640">
              <w:t>Benefits seemed larger in areas where the poverty rate was higher.</w:t>
            </w:r>
          </w:p>
        </w:tc>
      </w:tr>
      <w:tr w:rsidR="00396052" w:rsidRPr="00684640" w14:paraId="5CB8AFAF" w14:textId="77777777" w:rsidTr="00177648">
        <w:tc>
          <w:tcPr>
            <w:tcW w:w="1095" w:type="pct"/>
            <w:tcBorders>
              <w:top w:val="nil"/>
              <w:bottom w:val="nil"/>
            </w:tcBorders>
            <w:shd w:val="clear" w:color="000000" w:fill="F2F2F2"/>
          </w:tcPr>
          <w:p w14:paraId="437D481E" w14:textId="77777777" w:rsidR="00396052" w:rsidRPr="00684640" w:rsidRDefault="00396052" w:rsidP="00177648">
            <w:pPr>
              <w:pStyle w:val="TableBody"/>
            </w:pPr>
            <w:r w:rsidRPr="00684640">
              <w:t>Felfe and Huber 2017</w:t>
            </w:r>
          </w:p>
          <w:p w14:paraId="384488FB" w14:textId="77777777" w:rsidR="00396052" w:rsidRPr="00684640" w:rsidRDefault="00396052" w:rsidP="00177648">
            <w:pPr>
              <w:pStyle w:val="TableBody"/>
            </w:pPr>
            <w:r w:rsidRPr="00684640">
              <w:t>IV exploiting varying distances between families and their nearest centre in Europe; early cognitive outcomes.</w:t>
            </w:r>
          </w:p>
        </w:tc>
        <w:tc>
          <w:tcPr>
            <w:tcW w:w="1953" w:type="pct"/>
            <w:tcBorders>
              <w:top w:val="nil"/>
              <w:bottom w:val="nil"/>
            </w:tcBorders>
            <w:shd w:val="clear" w:color="000000" w:fill="F2F2F2"/>
          </w:tcPr>
          <w:p w14:paraId="3847D61B" w14:textId="77777777" w:rsidR="00396052" w:rsidRPr="00684640" w:rsidRDefault="00396052" w:rsidP="00177648">
            <w:pPr>
              <w:pStyle w:val="TableBody"/>
            </w:pPr>
            <w:r w:rsidRPr="00684640">
              <w:t>Roma children in 12 central and south</w:t>
            </w:r>
            <w:r>
              <w:noBreakHyphen/>
            </w:r>
            <w:r w:rsidRPr="00684640">
              <w:t>eastern European countries, who attended preschool at three or older in 2011.</w:t>
            </w:r>
          </w:p>
          <w:p w14:paraId="36EDAA3E" w14:textId="77777777" w:rsidR="00396052" w:rsidRPr="00684640" w:rsidRDefault="00396052" w:rsidP="00177648">
            <w:pPr>
              <w:pStyle w:val="TableBody"/>
            </w:pPr>
            <w:r w:rsidRPr="00684640">
              <w:t>The children in the sample experienced considerable levels of disadvantage.</w:t>
            </w:r>
          </w:p>
          <w:p w14:paraId="56A8DD98" w14:textId="77777777" w:rsidR="00396052" w:rsidRPr="00684640" w:rsidRDefault="00396052" w:rsidP="00177648">
            <w:pPr>
              <w:pStyle w:val="TableBody"/>
              <w:spacing w:before="45" w:after="45"/>
              <w:ind w:right="108"/>
              <w:rPr>
                <w:rFonts w:ascii="Arial (Body)" w:hAnsi="Arial (Body)"/>
                <w:color w:val="000000"/>
              </w:rPr>
            </w:pPr>
            <w:r w:rsidRPr="00684640">
              <w:t>The characteristics of the preschool programs varied by country. Generally, services operated for at least 30 hours a week, with groups between 20 and 25 children.</w:t>
            </w:r>
          </w:p>
        </w:tc>
        <w:tc>
          <w:tcPr>
            <w:tcW w:w="1952" w:type="pct"/>
            <w:tcBorders>
              <w:top w:val="nil"/>
              <w:bottom w:val="nil"/>
            </w:tcBorders>
            <w:shd w:val="clear" w:color="000000" w:fill="F2F2F2"/>
          </w:tcPr>
          <w:p w14:paraId="2749FE97" w14:textId="77777777" w:rsidR="00396052" w:rsidRPr="00684640" w:rsidRDefault="00396052" w:rsidP="00177648">
            <w:pPr>
              <w:pStyle w:val="TableBody"/>
              <w:spacing w:before="45" w:after="45"/>
              <w:ind w:right="108"/>
              <w:rPr>
                <w:rFonts w:ascii="Arial (Body)" w:hAnsi="Arial (Body)"/>
                <w:color w:val="000000"/>
              </w:rPr>
            </w:pPr>
            <w:r w:rsidRPr="00684640">
              <w:t>There were significant improvements in early literacy and numeracy skills, and an increase in vaccination rates.</w:t>
            </w:r>
          </w:p>
        </w:tc>
      </w:tr>
      <w:tr w:rsidR="00396052" w:rsidRPr="00684640" w14:paraId="47F4E4AA" w14:textId="77777777" w:rsidTr="00177648">
        <w:tc>
          <w:tcPr>
            <w:tcW w:w="1095" w:type="pct"/>
            <w:tcBorders>
              <w:top w:val="nil"/>
              <w:bottom w:val="nil"/>
            </w:tcBorders>
            <w:shd w:val="clear" w:color="000000" w:fill="FFFFFF" w:themeFill="background1"/>
          </w:tcPr>
          <w:p w14:paraId="3438BBB2" w14:textId="77777777" w:rsidR="00396052" w:rsidRPr="00684640" w:rsidRDefault="00396052" w:rsidP="00177648">
            <w:pPr>
              <w:pStyle w:val="TableBody"/>
            </w:pPr>
            <w:r w:rsidRPr="00684640">
              <w:rPr>
                <w:rFonts w:ascii="Arial" w:hAnsi="Arial" w:cs="Arial"/>
              </w:rPr>
              <w:t>Szabó-Morvai et al. 2023</w:t>
            </w:r>
          </w:p>
          <w:p w14:paraId="7F855D73" w14:textId="77777777" w:rsidR="00396052" w:rsidRPr="00684640" w:rsidRDefault="00396052" w:rsidP="00177648">
            <w:pPr>
              <w:pStyle w:val="TableBody"/>
            </w:pPr>
            <w:r w:rsidRPr="00684640">
              <w:t>IV exploiting age eligibility cutoffs in Hungary; medium</w:t>
            </w:r>
            <w:r>
              <w:noBreakHyphen/>
            </w:r>
            <w:r w:rsidRPr="00684640">
              <w:t>term educational outcomes.</w:t>
            </w:r>
          </w:p>
        </w:tc>
        <w:tc>
          <w:tcPr>
            <w:tcW w:w="1953" w:type="pct"/>
            <w:tcBorders>
              <w:top w:val="nil"/>
              <w:bottom w:val="nil"/>
            </w:tcBorders>
            <w:shd w:val="clear" w:color="000000" w:fill="FFFFFF" w:themeFill="background1"/>
          </w:tcPr>
          <w:p w14:paraId="3A5EF10D" w14:textId="77777777" w:rsidR="00396052" w:rsidRPr="00684640" w:rsidRDefault="00396052" w:rsidP="00177648">
            <w:pPr>
              <w:pStyle w:val="TableBody"/>
            </w:pPr>
            <w:r w:rsidRPr="00684640">
              <w:t>Children who attended universal preschool in Hungary from around age three.</w:t>
            </w:r>
          </w:p>
          <w:p w14:paraId="67524554" w14:textId="77777777" w:rsidR="00396052" w:rsidRPr="00684640" w:rsidRDefault="00396052" w:rsidP="00177648">
            <w:pPr>
              <w:pStyle w:val="TableBody"/>
              <w:spacing w:before="45" w:after="45"/>
              <w:ind w:right="108"/>
              <w:rPr>
                <w:rFonts w:ascii="Arial (Body)" w:hAnsi="Arial (Body)"/>
                <w:color w:val="000000"/>
              </w:rPr>
            </w:pPr>
            <w:r w:rsidRPr="00684640">
              <w:t>Preschool was compulsory at age five, although most children started attending at age three or four. Eligibility started in the calendar year that children turned three. For younger children, CBDC services with no pedagogical content were available but not commonly used.</w:t>
            </w:r>
          </w:p>
        </w:tc>
        <w:tc>
          <w:tcPr>
            <w:tcW w:w="1952" w:type="pct"/>
            <w:tcBorders>
              <w:top w:val="nil"/>
              <w:bottom w:val="nil"/>
            </w:tcBorders>
            <w:shd w:val="clear" w:color="000000" w:fill="FFFFFF" w:themeFill="background1"/>
          </w:tcPr>
          <w:p w14:paraId="5A3A9DE7" w14:textId="77777777" w:rsidR="00396052" w:rsidRPr="00684640" w:rsidRDefault="00396052" w:rsidP="00177648">
            <w:pPr>
              <w:pStyle w:val="TableBody"/>
            </w:pPr>
            <w:r w:rsidRPr="00684640">
              <w:t>Starting preschool at an earlier age increased school test scores in maths and reading through to grade ten.</w:t>
            </w:r>
          </w:p>
          <w:p w14:paraId="15C88076" w14:textId="77777777" w:rsidR="00396052" w:rsidRPr="00684640" w:rsidRDefault="00396052" w:rsidP="00177648">
            <w:pPr>
              <w:pStyle w:val="TableBody"/>
              <w:spacing w:before="45" w:after="45"/>
              <w:ind w:right="108"/>
              <w:rPr>
                <w:rFonts w:ascii="Arial (Body)" w:hAnsi="Arial (Body)"/>
                <w:color w:val="000000"/>
              </w:rPr>
            </w:pPr>
            <w:r w:rsidRPr="00684640">
              <w:t>Effects were larger with children for lower maternal education levels.</w:t>
            </w:r>
          </w:p>
        </w:tc>
      </w:tr>
      <w:tr w:rsidR="00396052" w:rsidRPr="00684640" w14:paraId="25C72C96" w14:textId="77777777" w:rsidTr="00177648">
        <w:tc>
          <w:tcPr>
            <w:tcW w:w="1095" w:type="pct"/>
            <w:tcBorders>
              <w:top w:val="nil"/>
              <w:bottom w:val="nil"/>
            </w:tcBorders>
            <w:shd w:val="clear" w:color="000000" w:fill="F2F2F2"/>
          </w:tcPr>
          <w:p w14:paraId="18F537A2" w14:textId="77777777" w:rsidR="00396052" w:rsidRPr="00684640" w:rsidRDefault="00396052" w:rsidP="00177648">
            <w:pPr>
              <w:pStyle w:val="TableBody"/>
            </w:pPr>
            <w:r w:rsidRPr="00684640">
              <w:rPr>
                <w:rFonts w:ascii="Arial" w:hAnsi="Arial" w:cs="Arial"/>
              </w:rPr>
              <w:lastRenderedPageBreak/>
              <w:t>Folkestad 2022</w:t>
            </w:r>
          </w:p>
          <w:p w14:paraId="12640E95" w14:textId="77777777" w:rsidR="00396052" w:rsidRPr="00684640" w:rsidRDefault="00396052" w:rsidP="00177648">
            <w:pPr>
              <w:pStyle w:val="TableBody"/>
            </w:pPr>
            <w:r w:rsidRPr="00684640">
              <w:t>DiD exploiting a change allowing children whose parents were on parental leave to use ECEC in Sweden; medium</w:t>
            </w:r>
            <w:r>
              <w:noBreakHyphen/>
            </w:r>
            <w:r w:rsidRPr="00684640">
              <w:t>term academic outcomes.</w:t>
            </w:r>
          </w:p>
        </w:tc>
        <w:tc>
          <w:tcPr>
            <w:tcW w:w="1953" w:type="pct"/>
            <w:tcBorders>
              <w:top w:val="nil"/>
              <w:bottom w:val="nil"/>
            </w:tcBorders>
            <w:shd w:val="clear" w:color="000000" w:fill="F2F2F2"/>
          </w:tcPr>
          <w:p w14:paraId="23901D9B" w14:textId="77777777" w:rsidR="00396052" w:rsidRPr="00684640" w:rsidRDefault="00396052" w:rsidP="00177648">
            <w:pPr>
              <w:pStyle w:val="TableBody"/>
            </w:pPr>
            <w:r w:rsidRPr="00684640">
              <w:t>Children born between 1993 and 2001 who attended ECEC in Sweden while their parents used paid parental leave and who had a younger sibling.</w:t>
            </w:r>
          </w:p>
          <w:p w14:paraId="6ACC94FA" w14:textId="77777777" w:rsidR="00396052" w:rsidRPr="00684640" w:rsidRDefault="00396052" w:rsidP="00177648">
            <w:pPr>
              <w:pStyle w:val="TableBody"/>
            </w:pPr>
            <w:r w:rsidRPr="00684640">
              <w:t>The reform allowed children whose parents used parental leave to attend ECEC, if they had a younger sibling. Previously, this was only the case in some municipalities. Paid parental leave had a duration of 14</w:t>
            </w:r>
            <w:r>
              <w:noBreakHyphen/>
            </w:r>
            <w:r w:rsidRPr="00684640">
              <w:t>15 months during this time period.</w:t>
            </w:r>
          </w:p>
          <w:p w14:paraId="457C3A93" w14:textId="77777777" w:rsidR="00396052" w:rsidRPr="00684640" w:rsidRDefault="00396052" w:rsidP="00177648">
            <w:pPr>
              <w:pStyle w:val="TableBody"/>
            </w:pPr>
            <w:r w:rsidRPr="00684640">
              <w:t>Children attended during a period of cuts to per</w:t>
            </w:r>
            <w:r>
              <w:noBreakHyphen/>
            </w:r>
            <w:r w:rsidRPr="00684640">
              <w:t>child funding and relaxations of ratio requirements in order to limit fiscal costs.</w:t>
            </w:r>
          </w:p>
          <w:p w14:paraId="49DFE7B4" w14:textId="77777777" w:rsidR="00396052" w:rsidRPr="00684640" w:rsidRDefault="00396052" w:rsidP="00177648">
            <w:pPr>
              <w:pStyle w:val="TableBody"/>
              <w:spacing w:before="45" w:after="45"/>
              <w:ind w:right="108"/>
              <w:rPr>
                <w:rFonts w:ascii="Arial (Body)" w:hAnsi="Arial (Body)"/>
                <w:color w:val="000000"/>
              </w:rPr>
            </w:pPr>
            <w:r w:rsidRPr="00684640">
              <w:t>The increases in full</w:t>
            </w:r>
            <w:r>
              <w:noBreakHyphen/>
            </w:r>
            <w:r w:rsidRPr="00684640">
              <w:t>time ECEC came from decreases in parental or informal care, FDC and part</w:t>
            </w:r>
            <w:r>
              <w:noBreakHyphen/>
            </w:r>
            <w:r w:rsidRPr="00684640">
              <w:t xml:space="preserve">time ECEC. </w:t>
            </w:r>
          </w:p>
        </w:tc>
        <w:tc>
          <w:tcPr>
            <w:tcW w:w="1952" w:type="pct"/>
            <w:tcBorders>
              <w:top w:val="nil"/>
              <w:bottom w:val="nil"/>
            </w:tcBorders>
            <w:shd w:val="clear" w:color="000000" w:fill="F2F2F2"/>
          </w:tcPr>
          <w:p w14:paraId="2DC8B71D" w14:textId="77777777" w:rsidR="00396052" w:rsidRPr="00684640" w:rsidRDefault="00396052" w:rsidP="00177648">
            <w:pPr>
              <w:pStyle w:val="TableBody"/>
            </w:pPr>
            <w:r w:rsidRPr="00684640">
              <w:t>There was an insignificant positive effect on high school grade point average at age 16, with a significant positive effect on maths test scores.</w:t>
            </w:r>
          </w:p>
          <w:p w14:paraId="08259B65" w14:textId="77777777" w:rsidR="00396052" w:rsidRPr="00684640" w:rsidRDefault="00396052" w:rsidP="00177648">
            <w:pPr>
              <w:pStyle w:val="TableBody"/>
              <w:spacing w:before="45" w:after="45"/>
              <w:ind w:right="108"/>
              <w:rPr>
                <w:rFonts w:ascii="Arial (Body)" w:hAnsi="Arial (Body)"/>
                <w:color w:val="000000"/>
              </w:rPr>
            </w:pPr>
            <w:r w:rsidRPr="00684640">
              <w:t>Effects seemed larger for children with higher levels of maternal education, although parental education levels could have been affected by the reform and were only measured when the children were at age 16.</w:t>
            </w:r>
          </w:p>
        </w:tc>
      </w:tr>
      <w:tr w:rsidR="00396052" w:rsidRPr="00684640" w14:paraId="619D9D73" w14:textId="77777777" w:rsidTr="00177648">
        <w:tc>
          <w:tcPr>
            <w:tcW w:w="1095" w:type="pct"/>
            <w:tcBorders>
              <w:top w:val="nil"/>
              <w:bottom w:val="nil"/>
            </w:tcBorders>
            <w:shd w:val="clear" w:color="000000" w:fill="FFFFFF" w:themeFill="background1"/>
          </w:tcPr>
          <w:p w14:paraId="6506477D" w14:textId="77777777" w:rsidR="00396052" w:rsidRPr="00684640" w:rsidRDefault="00396052" w:rsidP="00177648">
            <w:pPr>
              <w:pStyle w:val="TableBody"/>
            </w:pPr>
            <w:r w:rsidRPr="00684640">
              <w:t>Cascio 2023</w:t>
            </w:r>
          </w:p>
          <w:p w14:paraId="3CF16DD0" w14:textId="77777777" w:rsidR="00396052" w:rsidRPr="00684640" w:rsidRDefault="00396052" w:rsidP="00177648">
            <w:pPr>
              <w:pStyle w:val="TableBody"/>
            </w:pPr>
            <w:r w:rsidRPr="00684640">
              <w:t>DiD exploiting age eligibility cutoffs in 16 US states; short</w:t>
            </w:r>
            <w:r>
              <w:noBreakHyphen/>
            </w:r>
            <w:r w:rsidRPr="00684640">
              <w:t>term educational outcomes.</w:t>
            </w:r>
          </w:p>
        </w:tc>
        <w:tc>
          <w:tcPr>
            <w:tcW w:w="1953" w:type="pct"/>
            <w:tcBorders>
              <w:top w:val="nil"/>
              <w:bottom w:val="nil"/>
            </w:tcBorders>
            <w:shd w:val="clear" w:color="000000" w:fill="FFFFFF" w:themeFill="background1"/>
          </w:tcPr>
          <w:p w14:paraId="150E9184" w14:textId="77777777" w:rsidR="00396052" w:rsidRPr="00684640" w:rsidRDefault="00396052" w:rsidP="00177648">
            <w:pPr>
              <w:pStyle w:val="TableBody"/>
            </w:pPr>
            <w:r w:rsidRPr="00684640">
              <w:t>Children who were four years old in 2005 and attended universal or targeted preschool programs in one of 16 US states.</w:t>
            </w:r>
          </w:p>
          <w:p w14:paraId="6AF13D55" w14:textId="77777777" w:rsidR="00396052" w:rsidRPr="00684640" w:rsidRDefault="00396052" w:rsidP="00177648">
            <w:pPr>
              <w:pStyle w:val="TableBody"/>
            </w:pPr>
            <w:r w:rsidRPr="00684640">
              <w:t>In the targeted programs, eligibility was limited based on parental income or risk factors. Ten of the state programs were targeted and six were universal. These two groups of programs had similar costs on average, with the targeted programs performing slightly better on a measure of quality. The universal programs had less stringent training requirements but smaller classroom sizes, on average.</w:t>
            </w:r>
          </w:p>
          <w:p w14:paraId="43CAD18D" w14:textId="77777777" w:rsidR="00396052" w:rsidRPr="00684640" w:rsidRDefault="00396052" w:rsidP="00177648">
            <w:pPr>
              <w:pStyle w:val="TableBody"/>
              <w:spacing w:before="45" w:after="45"/>
              <w:ind w:right="108"/>
              <w:rPr>
                <w:rFonts w:ascii="Arial (Body)" w:hAnsi="Arial (Body)"/>
                <w:color w:val="000000"/>
              </w:rPr>
            </w:pPr>
            <w:r w:rsidRPr="00684640">
              <w:t>Within each type of program, there was significant variation in indicators of quality.</w:t>
            </w:r>
          </w:p>
        </w:tc>
        <w:tc>
          <w:tcPr>
            <w:tcW w:w="1952" w:type="pct"/>
            <w:tcBorders>
              <w:top w:val="nil"/>
              <w:bottom w:val="nil"/>
            </w:tcBorders>
            <w:shd w:val="clear" w:color="000000" w:fill="FFFFFF" w:themeFill="background1"/>
          </w:tcPr>
          <w:p w14:paraId="56D5E8CF" w14:textId="77777777" w:rsidR="00396052" w:rsidRPr="00684640" w:rsidRDefault="00396052" w:rsidP="00177648">
            <w:pPr>
              <w:pStyle w:val="TableBody"/>
            </w:pPr>
            <w:r w:rsidRPr="00684640">
              <w:t>Universal preschool programs led to (marginally) significant increases in test scores at age four, while targeted programs did not. This difference in effects could not be fully explained by differences in the observed characteristics of these programs.</w:t>
            </w:r>
          </w:p>
          <w:p w14:paraId="67513E30" w14:textId="77777777" w:rsidR="00396052" w:rsidRPr="00684640" w:rsidRDefault="00396052" w:rsidP="00177648">
            <w:pPr>
              <w:pStyle w:val="TableBody"/>
            </w:pPr>
            <w:r w:rsidRPr="00684640">
              <w:t>Benefits of the universal programs were driven by effects for low</w:t>
            </w:r>
            <w:r>
              <w:noBreakHyphen/>
            </w:r>
            <w:r w:rsidRPr="00684640">
              <w:t>SES children, who saw significant and much larger increases in test scores.</w:t>
            </w:r>
          </w:p>
          <w:p w14:paraId="32CBB458" w14:textId="77777777" w:rsidR="00396052" w:rsidRPr="00684640" w:rsidRDefault="00396052" w:rsidP="00177648">
            <w:pPr>
              <w:pStyle w:val="TableBody"/>
            </w:pPr>
            <w:r w:rsidRPr="00684640">
              <w:t>The estimated benefit</w:t>
            </w:r>
            <w:r>
              <w:noBreakHyphen/>
            </w:r>
            <w:r w:rsidRPr="00684640">
              <w:t>to</w:t>
            </w:r>
            <w:r>
              <w:noBreakHyphen/>
            </w:r>
            <w:r w:rsidRPr="00684640">
              <w:t>cost ratio for universal preschool for four</w:t>
            </w:r>
            <w:r>
              <w:noBreakHyphen/>
            </w:r>
            <w:r w:rsidRPr="00684640">
              <w:t>year</w:t>
            </w:r>
            <w:r>
              <w:noBreakHyphen/>
            </w:r>
            <w:r w:rsidRPr="00684640">
              <w:t>olds was higher than the equivalent for universal kindergarten for five</w:t>
            </w:r>
            <w:r>
              <w:noBreakHyphen/>
            </w:r>
            <w:r w:rsidRPr="00684640">
              <w:t>year</w:t>
            </w:r>
            <w:r>
              <w:noBreakHyphen/>
            </w:r>
            <w:r w:rsidRPr="00684640">
              <w:t>olds.</w:t>
            </w:r>
          </w:p>
          <w:p w14:paraId="4BD265F1" w14:textId="77777777" w:rsidR="00396052" w:rsidRPr="00684640" w:rsidRDefault="00396052" w:rsidP="00177648">
            <w:pPr>
              <w:pStyle w:val="TableBody"/>
              <w:spacing w:before="45" w:after="45"/>
              <w:ind w:right="108"/>
              <w:rPr>
                <w:rFonts w:ascii="Arial (Body)" w:hAnsi="Arial (Body)"/>
                <w:color w:val="000000"/>
              </w:rPr>
            </w:pPr>
            <w:r w:rsidRPr="00684640">
              <w:t>Other quasi</w:t>
            </w:r>
            <w:r>
              <w:noBreakHyphen/>
            </w:r>
            <w:r w:rsidRPr="00684640">
              <w:t>experimental analyses, each considering multiple US preschool programs, have also found positive effects on short</w:t>
            </w:r>
            <w:r>
              <w:noBreakHyphen/>
            </w:r>
            <w:r w:rsidRPr="00684640">
              <w:t xml:space="preserve">term academic outcomes from at least some of these programs </w:t>
            </w:r>
            <w:r w:rsidRPr="00684640">
              <w:rPr>
                <w:rFonts w:ascii="Arial" w:hAnsi="Arial" w:cs="Arial"/>
              </w:rPr>
              <w:t>(Bartik and Hershbein 2018; Wong et al. 2008; Zerpa 2018)</w:t>
            </w:r>
            <w:r w:rsidRPr="00684640">
              <w:t>.</w:t>
            </w:r>
          </w:p>
        </w:tc>
      </w:tr>
      <w:tr w:rsidR="00396052" w:rsidRPr="00684640" w14:paraId="73F88A93" w14:textId="77777777" w:rsidTr="00177648">
        <w:tc>
          <w:tcPr>
            <w:tcW w:w="1095" w:type="pct"/>
            <w:tcBorders>
              <w:top w:val="nil"/>
              <w:bottom w:val="nil"/>
            </w:tcBorders>
            <w:shd w:val="clear" w:color="000000" w:fill="F2F2F2"/>
          </w:tcPr>
          <w:p w14:paraId="76AE28E1" w14:textId="77777777" w:rsidR="00396052" w:rsidRPr="00684640" w:rsidRDefault="00396052" w:rsidP="00177648">
            <w:pPr>
              <w:pStyle w:val="TableBody"/>
              <w:rPr>
                <w:rStyle w:val="Hyperlink"/>
                <w:u w:val="none"/>
              </w:rPr>
            </w:pPr>
            <w:r w:rsidRPr="00684640">
              <w:rPr>
                <w:rFonts w:ascii="Arial" w:hAnsi="Arial" w:cs="Arial"/>
                <w:szCs w:val="24"/>
              </w:rPr>
              <w:t>Chor et al. 2016</w:t>
            </w:r>
          </w:p>
          <w:p w14:paraId="1263335B" w14:textId="77777777" w:rsidR="00396052" w:rsidRPr="00684640" w:rsidRDefault="00396052" w:rsidP="00177648">
            <w:pPr>
              <w:pStyle w:val="TableBody"/>
            </w:pPr>
            <w:r w:rsidRPr="00684640">
              <w:rPr>
                <w:rStyle w:val="Hyperlink"/>
                <w:u w:val="none"/>
              </w:rPr>
              <w:t>DiD exploiting changes to preschool availability in Queensland; short</w:t>
            </w:r>
            <w:r>
              <w:rPr>
                <w:rStyle w:val="Hyperlink"/>
                <w:u w:val="none"/>
              </w:rPr>
              <w:noBreakHyphen/>
            </w:r>
            <w:r w:rsidRPr="00684640">
              <w:rPr>
                <w:rStyle w:val="Hyperlink"/>
                <w:u w:val="none"/>
              </w:rPr>
              <w:t>term academic outcomes.</w:t>
            </w:r>
          </w:p>
        </w:tc>
        <w:tc>
          <w:tcPr>
            <w:tcW w:w="1953" w:type="pct"/>
            <w:tcBorders>
              <w:top w:val="nil"/>
              <w:bottom w:val="nil"/>
            </w:tcBorders>
            <w:shd w:val="clear" w:color="000000" w:fill="F2F2F2"/>
          </w:tcPr>
          <w:p w14:paraId="02B5E807" w14:textId="77777777" w:rsidR="00396052" w:rsidRPr="00684640" w:rsidRDefault="00396052" w:rsidP="00177648">
            <w:pPr>
              <w:pStyle w:val="TableBody"/>
            </w:pPr>
            <w:r w:rsidRPr="00684640">
              <w:t>Children who attended preschool in Queensland at age four, around 2007 when a policy change reduced access.</w:t>
            </w:r>
          </w:p>
          <w:p w14:paraId="17931057" w14:textId="77777777" w:rsidR="00396052" w:rsidRPr="00684640" w:rsidRDefault="00396052" w:rsidP="00177648">
            <w:pPr>
              <w:pStyle w:val="TableBody"/>
              <w:spacing w:before="45" w:after="45"/>
              <w:ind w:right="108"/>
              <w:rPr>
                <w:rFonts w:ascii="Arial (Body)" w:hAnsi="Arial (Body)"/>
                <w:color w:val="000000"/>
              </w:rPr>
            </w:pPr>
            <w:r w:rsidRPr="00684640">
              <w:lastRenderedPageBreak/>
              <w:t>Services were almost all managed by one not</w:t>
            </w:r>
            <w:r>
              <w:noBreakHyphen/>
            </w:r>
            <w:r w:rsidRPr="00684640">
              <w:t>for</w:t>
            </w:r>
            <w:r>
              <w:noBreakHyphen/>
            </w:r>
            <w:r w:rsidRPr="00684640">
              <w:t>profit provider. Children attended prior to the introduction of the National Quality Framework. The length of enrolment varied but was mostly from four to six months.</w:t>
            </w:r>
          </w:p>
        </w:tc>
        <w:tc>
          <w:tcPr>
            <w:tcW w:w="1952" w:type="pct"/>
            <w:tcBorders>
              <w:top w:val="nil"/>
              <w:bottom w:val="nil"/>
            </w:tcBorders>
            <w:shd w:val="clear" w:color="000000" w:fill="F2F2F2"/>
          </w:tcPr>
          <w:p w14:paraId="7FE68B22" w14:textId="77777777" w:rsidR="00396052" w:rsidRPr="00684640" w:rsidRDefault="00396052" w:rsidP="00177648">
            <w:pPr>
              <w:pStyle w:val="TableBody"/>
            </w:pPr>
            <w:r w:rsidRPr="00684640">
              <w:lastRenderedPageBreak/>
              <w:t>Early vocabulary and school readiness scores were improved by access to preschool. There was an improvement in a measure of socioemotional development that was only significant for girls.</w:t>
            </w:r>
          </w:p>
          <w:p w14:paraId="4A748AAA" w14:textId="77777777" w:rsidR="00396052" w:rsidRPr="00684640" w:rsidRDefault="00396052" w:rsidP="00177648">
            <w:pPr>
              <w:pStyle w:val="TableBody"/>
              <w:spacing w:before="45" w:after="45"/>
              <w:ind w:right="108"/>
              <w:rPr>
                <w:rFonts w:ascii="Arial (Body)" w:hAnsi="Arial (Body)"/>
                <w:color w:val="000000"/>
              </w:rPr>
            </w:pPr>
            <w:r w:rsidRPr="00684640">
              <w:lastRenderedPageBreak/>
              <w:t>Effects did not seem to vary by maternal education levels.</w:t>
            </w:r>
          </w:p>
        </w:tc>
      </w:tr>
      <w:tr w:rsidR="00396052" w:rsidRPr="00684640" w14:paraId="057BA95A" w14:textId="77777777" w:rsidTr="00177648">
        <w:tc>
          <w:tcPr>
            <w:tcW w:w="1095" w:type="pct"/>
            <w:tcBorders>
              <w:top w:val="nil"/>
              <w:bottom w:val="nil"/>
            </w:tcBorders>
            <w:shd w:val="clear" w:color="000000" w:fill="FFFFFF" w:themeFill="background1"/>
          </w:tcPr>
          <w:p w14:paraId="20E91C0B" w14:textId="77777777" w:rsidR="00396052" w:rsidRPr="00684640" w:rsidRDefault="00396052" w:rsidP="00177648">
            <w:pPr>
              <w:pStyle w:val="TableBody"/>
            </w:pPr>
            <w:r w:rsidRPr="00684640">
              <w:lastRenderedPageBreak/>
              <w:t>Durkin et al. 2022</w:t>
            </w:r>
          </w:p>
          <w:p w14:paraId="29E5A88A" w14:textId="77777777" w:rsidR="00396052" w:rsidRPr="00684640" w:rsidRDefault="00396052" w:rsidP="00177648">
            <w:pPr>
              <w:pStyle w:val="TableBody"/>
            </w:pPr>
            <w:r w:rsidRPr="00684640">
              <w:rPr>
                <w:rStyle w:val="Hyperlink"/>
                <w:u w:val="none"/>
              </w:rPr>
              <w:t>IV exploiting an admissions lottery in a US state; medium</w:t>
            </w:r>
            <w:r>
              <w:rPr>
                <w:rStyle w:val="Hyperlink"/>
                <w:u w:val="none"/>
              </w:rPr>
              <w:noBreakHyphen/>
            </w:r>
            <w:r w:rsidRPr="00684640">
              <w:rPr>
                <w:rStyle w:val="Hyperlink"/>
                <w:u w:val="none"/>
              </w:rPr>
              <w:t>term academic outcomes.</w:t>
            </w:r>
          </w:p>
        </w:tc>
        <w:tc>
          <w:tcPr>
            <w:tcW w:w="1953" w:type="pct"/>
            <w:tcBorders>
              <w:top w:val="nil"/>
              <w:bottom w:val="nil"/>
            </w:tcBorders>
            <w:shd w:val="clear" w:color="000000" w:fill="FFFFFF" w:themeFill="background1"/>
          </w:tcPr>
          <w:p w14:paraId="6A7F881A" w14:textId="77777777" w:rsidR="00396052" w:rsidRPr="00684640" w:rsidRDefault="00396052" w:rsidP="00177648">
            <w:pPr>
              <w:pStyle w:val="TableBody"/>
            </w:pPr>
            <w:r w:rsidRPr="00684640">
              <w:t>Children who attended preschool in Tennessee at age four in 2009 and 2010.</w:t>
            </w:r>
          </w:p>
          <w:p w14:paraId="399542B5" w14:textId="77777777" w:rsidR="00396052" w:rsidRPr="00684640" w:rsidRDefault="00396052" w:rsidP="00177648">
            <w:pPr>
              <w:pStyle w:val="TableBody"/>
            </w:pPr>
            <w:r w:rsidRPr="00684640">
              <w:t>The program was targeted at children of low</w:t>
            </w:r>
            <w:r>
              <w:noBreakHyphen/>
            </w:r>
            <w:r w:rsidRPr="00684640">
              <w:t>income families. The minimum daily instructional time was 5.5 hours, five day a week. The maximum class size was 20 with one teacher and one assistant.</w:t>
            </w:r>
          </w:p>
          <w:p w14:paraId="2E2CFDDC" w14:textId="77777777" w:rsidR="00396052" w:rsidRPr="00684640" w:rsidRDefault="00396052" w:rsidP="00177648">
            <w:pPr>
              <w:pStyle w:val="TableBody"/>
              <w:spacing w:before="45" w:after="45"/>
              <w:ind w:right="108"/>
              <w:rPr>
                <w:rFonts w:ascii="Arial (Body)" w:hAnsi="Arial (Body)"/>
                <w:color w:val="000000"/>
              </w:rPr>
            </w:pPr>
            <w:r w:rsidRPr="00684640">
              <w:t>Oversubscribed services determined which families to offer a place to through a lottery. Almost two thirds of the children who were not offered a slot received home</w:t>
            </w:r>
            <w:r>
              <w:noBreakHyphen/>
            </w:r>
            <w:r w:rsidRPr="00684640">
              <w:t>based care, with the remainder split between Head Start and private CBDC.</w:t>
            </w:r>
          </w:p>
        </w:tc>
        <w:tc>
          <w:tcPr>
            <w:tcW w:w="1952" w:type="pct"/>
            <w:tcBorders>
              <w:top w:val="nil"/>
              <w:bottom w:val="nil"/>
            </w:tcBorders>
            <w:shd w:val="clear" w:color="000000" w:fill="FFFFFF" w:themeFill="background1"/>
          </w:tcPr>
          <w:p w14:paraId="0F13AE2D" w14:textId="77777777" w:rsidR="00396052" w:rsidRPr="00684640" w:rsidRDefault="00396052" w:rsidP="00177648">
            <w:pPr>
              <w:pStyle w:val="TableBody"/>
            </w:pPr>
            <w:r w:rsidRPr="00684640">
              <w:t>Children offered a place had worse school test scores in sixth grade, and were more likely to be in special education programs. There were no significant effects on grade repetition.</w:t>
            </w:r>
          </w:p>
          <w:p w14:paraId="010DB23E" w14:textId="77777777" w:rsidR="00396052" w:rsidRPr="00684640" w:rsidRDefault="00396052" w:rsidP="00177648">
            <w:pPr>
              <w:pStyle w:val="TableBody"/>
              <w:spacing w:before="45" w:after="45"/>
              <w:ind w:right="108"/>
              <w:rPr>
                <w:rFonts w:ascii="Arial (Body)" w:hAnsi="Arial (Body)"/>
                <w:color w:val="000000"/>
              </w:rPr>
            </w:pPr>
            <w:r w:rsidRPr="00684640">
              <w:t>There was also an increase in school disciplinary infractions and a small but significant reduction in attendance.</w:t>
            </w:r>
          </w:p>
        </w:tc>
      </w:tr>
      <w:tr w:rsidR="00396052" w:rsidRPr="00684640" w14:paraId="31686D68" w14:textId="77777777" w:rsidTr="00177648">
        <w:tc>
          <w:tcPr>
            <w:tcW w:w="1095" w:type="pct"/>
            <w:tcBorders>
              <w:top w:val="nil"/>
              <w:bottom w:val="nil"/>
            </w:tcBorders>
            <w:shd w:val="clear" w:color="000000" w:fill="F2F2F2"/>
          </w:tcPr>
          <w:p w14:paraId="741C9758" w14:textId="77777777" w:rsidR="00396052" w:rsidRPr="00684640" w:rsidRDefault="00396052" w:rsidP="00177648">
            <w:pPr>
              <w:pStyle w:val="TableBody"/>
            </w:pPr>
            <w:r w:rsidRPr="00684640">
              <w:t>Cascio and Schanzenbach 2013</w:t>
            </w:r>
          </w:p>
          <w:p w14:paraId="07E6F268" w14:textId="77777777" w:rsidR="00396052" w:rsidRPr="00684640" w:rsidRDefault="00396052" w:rsidP="00177648">
            <w:pPr>
              <w:pStyle w:val="TableBody"/>
            </w:pPr>
            <w:r w:rsidRPr="00684640">
              <w:t>DiD exploiting the introduction of two US state preschool programs; medium</w:t>
            </w:r>
            <w:r>
              <w:noBreakHyphen/>
            </w:r>
            <w:r w:rsidRPr="00684640">
              <w:t>term educational outcomes.</w:t>
            </w:r>
          </w:p>
        </w:tc>
        <w:tc>
          <w:tcPr>
            <w:tcW w:w="1953" w:type="pct"/>
            <w:tcBorders>
              <w:top w:val="nil"/>
              <w:bottom w:val="nil"/>
            </w:tcBorders>
            <w:shd w:val="clear" w:color="000000" w:fill="F2F2F2"/>
          </w:tcPr>
          <w:p w14:paraId="41EE3581" w14:textId="77777777" w:rsidR="00396052" w:rsidRPr="00684640" w:rsidRDefault="00396052" w:rsidP="00177648">
            <w:pPr>
              <w:pStyle w:val="TableBody"/>
            </w:pPr>
            <w:r w:rsidRPr="00684640">
              <w:t>4</w:t>
            </w:r>
            <w:r>
              <w:noBreakHyphen/>
            </w:r>
            <w:r w:rsidRPr="00684640">
              <w:t>year</w:t>
            </w:r>
            <w:r>
              <w:noBreakHyphen/>
            </w:r>
            <w:r w:rsidRPr="00684640">
              <w:t>olds who attended universal state</w:t>
            </w:r>
            <w:r>
              <w:noBreakHyphen/>
            </w:r>
            <w:r w:rsidRPr="00684640">
              <w:t>funded preschool in Georgia and Oklahoma, around the time these programs became universal in 1995 and 1998, respectively.</w:t>
            </w:r>
          </w:p>
          <w:p w14:paraId="6A8778C4" w14:textId="77777777" w:rsidR="00396052" w:rsidRPr="00684640" w:rsidRDefault="00396052" w:rsidP="00177648">
            <w:pPr>
              <w:pStyle w:val="TableBody"/>
            </w:pPr>
            <w:r w:rsidRPr="00684640">
              <w:t>A disproportionate amount of the increase in enrolment caused by the introduction of these programs came from disadvantaged families.</w:t>
            </w:r>
          </w:p>
          <w:p w14:paraId="6A30EE69" w14:textId="77777777" w:rsidR="00396052" w:rsidRPr="00684640" w:rsidRDefault="00396052" w:rsidP="00177648">
            <w:pPr>
              <w:pStyle w:val="TableBody"/>
              <w:spacing w:before="45" w:after="45"/>
              <w:ind w:right="108"/>
              <w:rPr>
                <w:rFonts w:ascii="Arial (Body)" w:hAnsi="Arial (Body)"/>
                <w:color w:val="000000"/>
              </w:rPr>
            </w:pPr>
            <w:r w:rsidRPr="00684640">
              <w:t>The programs had higher quality measures than most US state programs. There was a maximum class size of 20, with a degree</w:t>
            </w:r>
            <w:r>
              <w:noBreakHyphen/>
            </w:r>
            <w:r w:rsidRPr="00684640">
              <w:t>qualified teacher and an assistant. Oklahoma’s program was school</w:t>
            </w:r>
            <w:r>
              <w:noBreakHyphen/>
            </w:r>
            <w:r w:rsidRPr="00684640">
              <w:t>based and Georgia’s was run through private centres.</w:t>
            </w:r>
          </w:p>
        </w:tc>
        <w:tc>
          <w:tcPr>
            <w:tcW w:w="1952" w:type="pct"/>
            <w:tcBorders>
              <w:top w:val="nil"/>
              <w:bottom w:val="nil"/>
            </w:tcBorders>
            <w:shd w:val="clear" w:color="000000" w:fill="F2F2F2"/>
          </w:tcPr>
          <w:p w14:paraId="723731F8" w14:textId="77777777" w:rsidR="00396052" w:rsidRPr="00684640" w:rsidRDefault="00396052" w:rsidP="00177648">
            <w:pPr>
              <w:pStyle w:val="TableBody"/>
            </w:pPr>
            <w:r w:rsidRPr="00684640">
              <w:t>Accessing preschool caused mothers to spend less time in the presence of their children, but more time caring for or helping their children, for example reading to or doing art projects with them.</w:t>
            </w:r>
          </w:p>
          <w:p w14:paraId="4A84F2A6" w14:textId="77777777" w:rsidR="00396052" w:rsidRPr="00684640" w:rsidRDefault="00396052" w:rsidP="00177648">
            <w:pPr>
              <w:pStyle w:val="TableBody"/>
            </w:pPr>
            <w:r w:rsidRPr="00684640">
              <w:t>For low</w:t>
            </w:r>
            <w:r>
              <w:noBreakHyphen/>
            </w:r>
            <w:r w:rsidRPr="00684640">
              <w:t>income children, fourth grade maths and reading test scores increased, although this only persisted through to eight grade for maths test scores.</w:t>
            </w:r>
          </w:p>
          <w:p w14:paraId="695DB85F" w14:textId="77777777" w:rsidR="00396052" w:rsidRPr="00684640" w:rsidRDefault="00396052" w:rsidP="00177648">
            <w:pPr>
              <w:pStyle w:val="TableBody"/>
            </w:pPr>
            <w:r w:rsidRPr="00684640">
              <w:t>Effects for higher</w:t>
            </w:r>
            <w:r>
              <w:noBreakHyphen/>
            </w:r>
            <w:r w:rsidRPr="00684640">
              <w:t>income children were negative although not significant.</w:t>
            </w:r>
          </w:p>
          <w:p w14:paraId="4B770E32" w14:textId="77777777" w:rsidR="00396052" w:rsidRPr="00684640" w:rsidRDefault="00396052" w:rsidP="00177648">
            <w:pPr>
              <w:pStyle w:val="TableBody"/>
              <w:spacing w:before="45" w:after="45"/>
              <w:ind w:right="108"/>
              <w:rPr>
                <w:rFonts w:ascii="Arial (Body)" w:hAnsi="Arial (Body)"/>
                <w:color w:val="000000"/>
              </w:rPr>
            </w:pPr>
            <w:r w:rsidRPr="00684640">
              <w:t>Using estimates of the relationship between early test scores and later earnings, a benefit</w:t>
            </w:r>
            <w:r>
              <w:noBreakHyphen/>
            </w:r>
            <w:r w:rsidRPr="00684640">
              <w:t>to</w:t>
            </w:r>
            <w:r>
              <w:noBreakHyphen/>
            </w:r>
            <w:r w:rsidRPr="00684640">
              <w:t>cost ratio was estimated that depended on the assumptions used, but was at least three.</w:t>
            </w:r>
          </w:p>
        </w:tc>
      </w:tr>
      <w:tr w:rsidR="00396052" w:rsidRPr="00684640" w14:paraId="458D40FF" w14:textId="77777777" w:rsidTr="00177648">
        <w:tc>
          <w:tcPr>
            <w:tcW w:w="1095" w:type="pct"/>
            <w:tcBorders>
              <w:top w:val="nil"/>
              <w:bottom w:val="nil"/>
            </w:tcBorders>
            <w:shd w:val="clear" w:color="000000" w:fill="FFFFFF" w:themeFill="background1"/>
          </w:tcPr>
          <w:p w14:paraId="0E39EF13" w14:textId="77777777" w:rsidR="00396052" w:rsidRPr="00684640" w:rsidRDefault="00396052" w:rsidP="00177648">
            <w:pPr>
              <w:pStyle w:val="TableBody"/>
            </w:pPr>
            <w:r w:rsidRPr="00684640">
              <w:t>Bartik et al. 2012</w:t>
            </w:r>
          </w:p>
          <w:p w14:paraId="5F955988" w14:textId="77777777" w:rsidR="00396052" w:rsidRPr="00684640" w:rsidRDefault="00396052" w:rsidP="00177648">
            <w:pPr>
              <w:pStyle w:val="TableBody"/>
            </w:pPr>
            <w:r w:rsidRPr="00684640">
              <w:lastRenderedPageBreak/>
              <w:t>RD exploiting age eligibility cutoff for a US state preschool program; short</w:t>
            </w:r>
            <w:r>
              <w:noBreakHyphen/>
            </w:r>
            <w:r w:rsidRPr="00684640">
              <w:t>term academic outcomes.</w:t>
            </w:r>
          </w:p>
        </w:tc>
        <w:tc>
          <w:tcPr>
            <w:tcW w:w="1953" w:type="pct"/>
            <w:tcBorders>
              <w:top w:val="nil"/>
              <w:bottom w:val="nil"/>
            </w:tcBorders>
            <w:shd w:val="clear" w:color="000000" w:fill="FFFFFF" w:themeFill="background1"/>
          </w:tcPr>
          <w:p w14:paraId="7F98A7FE" w14:textId="77777777" w:rsidR="00396052" w:rsidRPr="00684640" w:rsidRDefault="00396052" w:rsidP="00177648">
            <w:pPr>
              <w:pStyle w:val="TableBody"/>
            </w:pPr>
            <w:r w:rsidRPr="00684640">
              <w:lastRenderedPageBreak/>
              <w:t>Public school students in Tulsa, Oklahoma who attended preschool in the 2005</w:t>
            </w:r>
            <w:r>
              <w:noBreakHyphen/>
            </w:r>
            <w:r w:rsidRPr="00684640">
              <w:t xml:space="preserve">06 academic year at age four. </w:t>
            </w:r>
          </w:p>
          <w:p w14:paraId="1E71C991" w14:textId="77777777" w:rsidR="00396052" w:rsidRPr="00684640" w:rsidRDefault="00396052" w:rsidP="00177648">
            <w:pPr>
              <w:pStyle w:val="TableBody"/>
            </w:pPr>
            <w:r w:rsidRPr="00684640">
              <w:lastRenderedPageBreak/>
              <w:t>Preschools were located on school premises, and offered either half</w:t>
            </w:r>
            <w:r>
              <w:noBreakHyphen/>
            </w:r>
            <w:r w:rsidRPr="00684640">
              <w:t xml:space="preserve"> or full</w:t>
            </w:r>
            <w:r>
              <w:noBreakHyphen/>
            </w:r>
            <w:r w:rsidRPr="00684640">
              <w:t>day programs. Full</w:t>
            </w:r>
            <w:r>
              <w:noBreakHyphen/>
            </w:r>
            <w:r w:rsidRPr="00684640">
              <w:t xml:space="preserve">day programs were more likely to be available in disadvantaged areas. </w:t>
            </w:r>
          </w:p>
          <w:p w14:paraId="0E4E70C2" w14:textId="77777777" w:rsidR="00396052" w:rsidRPr="00684640" w:rsidRDefault="00396052" w:rsidP="00177648">
            <w:pPr>
              <w:pStyle w:val="TableBody"/>
            </w:pPr>
            <w:r w:rsidRPr="00684640">
              <w:t>Teachers were required to have a bachelor degree and there was a minimum ratio of 1:10.</w:t>
            </w:r>
          </w:p>
          <w:p w14:paraId="724874FA" w14:textId="77777777" w:rsidR="00396052" w:rsidRPr="00684640" w:rsidRDefault="00396052" w:rsidP="00177648">
            <w:pPr>
              <w:pStyle w:val="TableBody"/>
              <w:spacing w:before="45" w:after="45"/>
              <w:ind w:right="108"/>
              <w:rPr>
                <w:rFonts w:ascii="Arial (Body)" w:hAnsi="Arial (Body)"/>
                <w:color w:val="000000"/>
              </w:rPr>
            </w:pPr>
            <w:r w:rsidRPr="00684640">
              <w:t>42% of participants (although not necessarily 42% of compliers) were in other forms of ECEC prior to entering the program.</w:t>
            </w:r>
          </w:p>
        </w:tc>
        <w:tc>
          <w:tcPr>
            <w:tcW w:w="1952" w:type="pct"/>
            <w:tcBorders>
              <w:top w:val="nil"/>
              <w:bottom w:val="nil"/>
            </w:tcBorders>
            <w:shd w:val="clear" w:color="000000" w:fill="FFFFFF" w:themeFill="background1"/>
          </w:tcPr>
          <w:p w14:paraId="60BC84FE" w14:textId="77777777" w:rsidR="00396052" w:rsidRPr="00684640" w:rsidRDefault="00396052" w:rsidP="00177648">
            <w:pPr>
              <w:pStyle w:val="TableBody"/>
            </w:pPr>
            <w:r w:rsidRPr="00684640">
              <w:lastRenderedPageBreak/>
              <w:t xml:space="preserve">Tests for cognitive skills on kindergarten entry were significantly improved. Effects were significant regardless of children’s eligibility for </w:t>
            </w:r>
            <w:r w:rsidRPr="00684640">
              <w:lastRenderedPageBreak/>
              <w:t>free or reduced</w:t>
            </w:r>
            <w:r>
              <w:t>-</w:t>
            </w:r>
            <w:r w:rsidRPr="00684640">
              <w:t>price lunch (an indicator of parental income), but were larger for children with low parental incomes.</w:t>
            </w:r>
          </w:p>
          <w:p w14:paraId="3B46ECF3" w14:textId="77777777" w:rsidR="00396052" w:rsidRPr="00684640" w:rsidRDefault="00396052" w:rsidP="00177648">
            <w:pPr>
              <w:pStyle w:val="TableBody"/>
            </w:pPr>
            <w:r w:rsidRPr="00684640">
              <w:t>Effects for children who attended services that offered full</w:t>
            </w:r>
            <w:r>
              <w:noBreakHyphen/>
            </w:r>
            <w:r w:rsidRPr="00684640">
              <w:t>day programs seemed larger, although differential effects by program length could not be separated from differences in SES between areas where full</w:t>
            </w:r>
            <w:r>
              <w:noBreakHyphen/>
            </w:r>
            <w:r w:rsidRPr="00684640">
              <w:t>day programs were offered.</w:t>
            </w:r>
          </w:p>
          <w:p w14:paraId="2AFCF69A" w14:textId="77777777" w:rsidR="00396052" w:rsidRPr="00684640" w:rsidRDefault="00396052" w:rsidP="00177648">
            <w:pPr>
              <w:pStyle w:val="TableBody"/>
              <w:spacing w:before="45" w:after="45"/>
              <w:ind w:right="108"/>
              <w:rPr>
                <w:rFonts w:ascii="Arial (Body)" w:hAnsi="Arial (Body)"/>
                <w:color w:val="000000"/>
              </w:rPr>
            </w:pPr>
            <w:r w:rsidRPr="00684640">
              <w:t>Using estimates of the relationship between early test scores and later earnings, benefit</w:t>
            </w:r>
            <w:r>
              <w:noBreakHyphen/>
            </w:r>
            <w:r w:rsidRPr="00684640">
              <w:t>to</w:t>
            </w:r>
            <w:r>
              <w:noBreakHyphen/>
            </w:r>
            <w:r w:rsidRPr="00684640">
              <w:t>cost ratios of about three to four were estimated, depending on the assumptions used.</w:t>
            </w:r>
          </w:p>
        </w:tc>
      </w:tr>
      <w:tr w:rsidR="00396052" w:rsidRPr="00684640" w14:paraId="36DBA95D" w14:textId="77777777" w:rsidTr="00177648">
        <w:tc>
          <w:tcPr>
            <w:tcW w:w="1095" w:type="pct"/>
            <w:tcBorders>
              <w:top w:val="nil"/>
              <w:bottom w:val="nil"/>
            </w:tcBorders>
            <w:shd w:val="clear" w:color="000000" w:fill="F2F2F2"/>
          </w:tcPr>
          <w:p w14:paraId="57034250" w14:textId="77777777" w:rsidR="00396052" w:rsidRPr="00684640" w:rsidRDefault="00396052" w:rsidP="00177648">
            <w:pPr>
              <w:pStyle w:val="TableBody"/>
            </w:pPr>
            <w:r w:rsidRPr="00684640">
              <w:lastRenderedPageBreak/>
              <w:t>Montrosse-Moorhead et al. 2019</w:t>
            </w:r>
          </w:p>
          <w:p w14:paraId="3313E270" w14:textId="77777777" w:rsidR="00396052" w:rsidRPr="00684640" w:rsidRDefault="00396052" w:rsidP="00177648">
            <w:pPr>
              <w:pStyle w:val="TableBody"/>
            </w:pPr>
            <w:r w:rsidRPr="00684640">
              <w:t>RD exploiting age eligibility cutoff for a US state preschool program; academic outcomes.</w:t>
            </w:r>
          </w:p>
        </w:tc>
        <w:tc>
          <w:tcPr>
            <w:tcW w:w="1953" w:type="pct"/>
            <w:tcBorders>
              <w:top w:val="nil"/>
              <w:bottom w:val="nil"/>
            </w:tcBorders>
            <w:shd w:val="clear" w:color="000000" w:fill="F2F2F2"/>
          </w:tcPr>
          <w:p w14:paraId="1CE2A154" w14:textId="77777777" w:rsidR="00396052" w:rsidRPr="00684640" w:rsidRDefault="00396052" w:rsidP="00177648">
            <w:pPr>
              <w:pStyle w:val="TableBody"/>
            </w:pPr>
            <w:r w:rsidRPr="00684640">
              <w:t>Children in Connecticut who attended preschool at age four between 2014 and 2016.</w:t>
            </w:r>
          </w:p>
          <w:p w14:paraId="3D53E7A9" w14:textId="77777777" w:rsidR="00396052" w:rsidRPr="00684640" w:rsidRDefault="00396052" w:rsidP="00177648">
            <w:pPr>
              <w:pStyle w:val="TableBody"/>
            </w:pPr>
            <w:r w:rsidRPr="00684640">
              <w:t>The program was targeted at low</w:t>
            </w:r>
            <w:r>
              <w:noBreakHyphen/>
            </w:r>
            <w:r w:rsidRPr="00684640">
              <w:t>income or non</w:t>
            </w:r>
            <w:r>
              <w:noBreakHyphen/>
            </w:r>
            <w:r w:rsidRPr="00684640">
              <w:t>native English</w:t>
            </w:r>
            <w:r>
              <w:noBreakHyphen/>
            </w:r>
            <w:r w:rsidRPr="00684640">
              <w:t>speaking families and traditionally underserved racial groups.</w:t>
            </w:r>
          </w:p>
          <w:p w14:paraId="56EB178F" w14:textId="77777777" w:rsidR="00396052" w:rsidRPr="00684640" w:rsidRDefault="00396052" w:rsidP="00177648">
            <w:pPr>
              <w:pStyle w:val="TableBody"/>
              <w:spacing w:before="45" w:after="45"/>
              <w:ind w:right="108"/>
              <w:rPr>
                <w:rFonts w:ascii="Arial (Body)" w:hAnsi="Arial (Body)"/>
                <w:color w:val="000000"/>
              </w:rPr>
            </w:pPr>
            <w:r w:rsidRPr="00684640">
              <w:t>The program offered full</w:t>
            </w:r>
            <w:r>
              <w:noBreakHyphen/>
            </w:r>
            <w:r w:rsidRPr="00684640">
              <w:t>day and school</w:t>
            </w:r>
            <w:r>
              <w:noBreakHyphen/>
            </w:r>
            <w:r w:rsidRPr="00684640">
              <w:t>day versions (up to ten hours a day, 50 weeks a year, and six hours a day, 180 days a year, respectively). It also offered a 2.5</w:t>
            </w:r>
            <w:r>
              <w:noBreakHyphen/>
            </w:r>
            <w:r w:rsidRPr="00684640">
              <w:t>hour program, which was not studied.</w:t>
            </w:r>
          </w:p>
        </w:tc>
        <w:tc>
          <w:tcPr>
            <w:tcW w:w="1952" w:type="pct"/>
            <w:tcBorders>
              <w:top w:val="nil"/>
              <w:bottom w:val="nil"/>
            </w:tcBorders>
            <w:shd w:val="clear" w:color="000000" w:fill="F2F2F2"/>
          </w:tcPr>
          <w:p w14:paraId="13F3A8A3" w14:textId="77777777" w:rsidR="00396052" w:rsidRPr="00684640" w:rsidRDefault="00396052" w:rsidP="00177648">
            <w:pPr>
              <w:pStyle w:val="TableBody"/>
            </w:pPr>
            <w:r w:rsidRPr="00684640">
              <w:t>There were significant benefits for early maths and reading scores, with positive but insignificant effects on oral language and receptive vocabulary scores.</w:t>
            </w:r>
          </w:p>
          <w:p w14:paraId="059926F9" w14:textId="77777777" w:rsidR="00396052" w:rsidRPr="00684640" w:rsidRDefault="00396052" w:rsidP="00177648">
            <w:pPr>
              <w:pStyle w:val="TableBody"/>
            </w:pPr>
            <w:r w:rsidRPr="00684640">
              <w:t>Effects seemed larger for students who were not</w:t>
            </w:r>
            <w:r w:rsidRPr="00684640">
              <w:rPr>
                <w:i/>
                <w:iCs/>
              </w:rPr>
              <w:t xml:space="preserve"> </w:t>
            </w:r>
            <w:r w:rsidRPr="00684640">
              <w:t>eligible for free or reduced</w:t>
            </w:r>
            <w:r>
              <w:noBreakHyphen/>
            </w:r>
            <w:r w:rsidRPr="00684640">
              <w:t>price lunch.</w:t>
            </w:r>
          </w:p>
          <w:p w14:paraId="5F78C2F2" w14:textId="77777777" w:rsidR="00396052" w:rsidRPr="00684640" w:rsidRDefault="00396052" w:rsidP="00177648">
            <w:pPr>
              <w:pStyle w:val="TableBody"/>
              <w:spacing w:before="45" w:after="45"/>
              <w:ind w:right="108"/>
              <w:rPr>
                <w:rFonts w:ascii="Arial (Body)" w:hAnsi="Arial (Body)"/>
                <w:color w:val="000000"/>
              </w:rPr>
            </w:pPr>
          </w:p>
        </w:tc>
      </w:tr>
      <w:tr w:rsidR="00396052" w:rsidRPr="00684640" w14:paraId="4EABEC2B" w14:textId="77777777" w:rsidTr="00177648">
        <w:tc>
          <w:tcPr>
            <w:tcW w:w="1095" w:type="pct"/>
            <w:tcBorders>
              <w:top w:val="nil"/>
              <w:bottom w:val="nil"/>
            </w:tcBorders>
            <w:shd w:val="clear" w:color="000000" w:fill="FFFFFF" w:themeFill="background1"/>
          </w:tcPr>
          <w:p w14:paraId="23FD1A65" w14:textId="77777777" w:rsidR="00396052" w:rsidRPr="00684640" w:rsidRDefault="00396052" w:rsidP="00177648">
            <w:pPr>
              <w:pStyle w:val="TableBody"/>
            </w:pPr>
            <w:r w:rsidRPr="00684640">
              <w:t>Hustedt et al. 2021</w:t>
            </w:r>
          </w:p>
          <w:p w14:paraId="3FEA64B7" w14:textId="77777777" w:rsidR="00396052" w:rsidRPr="00684640" w:rsidRDefault="00396052" w:rsidP="00177648">
            <w:pPr>
              <w:pStyle w:val="TableBody"/>
            </w:pPr>
            <w:r w:rsidRPr="00684640">
              <w:t>RD exploiting age eligibility cutoff for a US state preschool program; early academic outcomes.</w:t>
            </w:r>
          </w:p>
        </w:tc>
        <w:tc>
          <w:tcPr>
            <w:tcW w:w="1953" w:type="pct"/>
            <w:tcBorders>
              <w:top w:val="nil"/>
              <w:bottom w:val="nil"/>
            </w:tcBorders>
            <w:shd w:val="clear" w:color="000000" w:fill="FFFFFF" w:themeFill="background1"/>
          </w:tcPr>
          <w:p w14:paraId="1E269A06" w14:textId="77777777" w:rsidR="00396052" w:rsidRPr="00684640" w:rsidRDefault="00396052" w:rsidP="00177648">
            <w:pPr>
              <w:pStyle w:val="TableBody"/>
            </w:pPr>
            <w:r w:rsidRPr="00684640">
              <w:t xml:space="preserve">Children who attended preschool at age four in New Mexico between 2005 to 2010. </w:t>
            </w:r>
          </w:p>
          <w:p w14:paraId="49EF8DFA" w14:textId="77777777" w:rsidR="00396052" w:rsidRPr="00684640" w:rsidRDefault="00396052" w:rsidP="00177648">
            <w:pPr>
              <w:pStyle w:val="TableBody"/>
            </w:pPr>
            <w:r w:rsidRPr="00684640">
              <w:t>Services were required to have at least two thirds of students come from low</w:t>
            </w:r>
            <w:r>
              <w:noBreakHyphen/>
            </w:r>
            <w:r w:rsidRPr="00684640">
              <w:t xml:space="preserve">income catchment zones. </w:t>
            </w:r>
          </w:p>
          <w:p w14:paraId="062699B3" w14:textId="77777777" w:rsidR="00396052" w:rsidRPr="00684640" w:rsidRDefault="00396052" w:rsidP="00177648">
            <w:pPr>
              <w:pStyle w:val="TableBody"/>
              <w:spacing w:before="45" w:after="45"/>
              <w:ind w:right="108"/>
              <w:rPr>
                <w:rFonts w:ascii="Arial (Body)" w:hAnsi="Arial (Body)"/>
                <w:color w:val="000000"/>
              </w:rPr>
            </w:pPr>
            <w:r w:rsidRPr="00684640">
              <w:t>There was a maximum class size of 20, with a ratio of 1:10 and teachers required to be at least working towards a bachelor degree</w:t>
            </w:r>
          </w:p>
        </w:tc>
        <w:tc>
          <w:tcPr>
            <w:tcW w:w="1952" w:type="pct"/>
            <w:tcBorders>
              <w:top w:val="nil"/>
              <w:bottom w:val="nil"/>
            </w:tcBorders>
            <w:shd w:val="clear" w:color="000000" w:fill="FFFFFF" w:themeFill="background1"/>
          </w:tcPr>
          <w:p w14:paraId="11E30E65" w14:textId="77777777" w:rsidR="00396052" w:rsidRPr="00684640" w:rsidRDefault="00396052" w:rsidP="00177648">
            <w:pPr>
              <w:pStyle w:val="TableBody"/>
              <w:spacing w:before="45" w:after="45"/>
              <w:ind w:right="108"/>
              <w:rPr>
                <w:rFonts w:ascii="Arial (Body)" w:hAnsi="Arial (Body)"/>
                <w:color w:val="000000"/>
              </w:rPr>
            </w:pPr>
            <w:r w:rsidRPr="00684640">
              <w:t>Test scores on kindergarten entry across language, literacy and maths were significantly improved by preschool attendance.</w:t>
            </w:r>
          </w:p>
        </w:tc>
      </w:tr>
      <w:tr w:rsidR="00396052" w:rsidRPr="00684640" w14:paraId="47619378" w14:textId="77777777" w:rsidTr="00177648">
        <w:tc>
          <w:tcPr>
            <w:tcW w:w="1095" w:type="pct"/>
            <w:tcBorders>
              <w:top w:val="nil"/>
              <w:bottom w:val="nil"/>
            </w:tcBorders>
            <w:shd w:val="clear" w:color="000000" w:fill="F2F2F2"/>
          </w:tcPr>
          <w:p w14:paraId="348FFF4B" w14:textId="77777777" w:rsidR="00396052" w:rsidRPr="00684640" w:rsidRDefault="00396052" w:rsidP="00177648">
            <w:pPr>
              <w:pStyle w:val="TableBody"/>
            </w:pPr>
            <w:r w:rsidRPr="00684640">
              <w:t>Williams 2019</w:t>
            </w:r>
          </w:p>
          <w:p w14:paraId="1341B9A3" w14:textId="77777777" w:rsidR="00396052" w:rsidRPr="00684640" w:rsidRDefault="00396052" w:rsidP="00177648">
            <w:pPr>
              <w:pStyle w:val="TableBody"/>
            </w:pPr>
            <w:r w:rsidRPr="00684640">
              <w:t>DiD exploiting the introduction of a US state preschool program; short</w:t>
            </w:r>
            <w:r>
              <w:noBreakHyphen/>
            </w:r>
            <w:r w:rsidRPr="00684640">
              <w:t>term educational outcomes.</w:t>
            </w:r>
          </w:p>
        </w:tc>
        <w:tc>
          <w:tcPr>
            <w:tcW w:w="1953" w:type="pct"/>
            <w:tcBorders>
              <w:top w:val="nil"/>
              <w:bottom w:val="nil"/>
            </w:tcBorders>
            <w:shd w:val="clear" w:color="000000" w:fill="F2F2F2"/>
          </w:tcPr>
          <w:p w14:paraId="5B7B7070" w14:textId="77777777" w:rsidR="00396052" w:rsidRPr="00684640" w:rsidRDefault="00396052" w:rsidP="00177648">
            <w:pPr>
              <w:pStyle w:val="TableBody"/>
            </w:pPr>
            <w:r w:rsidRPr="00684640">
              <w:t xml:space="preserve"> 4</w:t>
            </w:r>
            <w:r>
              <w:noBreakHyphen/>
            </w:r>
            <w:r w:rsidRPr="00684640">
              <w:t>year</w:t>
            </w:r>
            <w:r>
              <w:noBreakHyphen/>
            </w:r>
            <w:r w:rsidRPr="00684640">
              <w:t>old children in South Carolina who attended a targeted preschool program between 2005 and 2009.</w:t>
            </w:r>
          </w:p>
          <w:p w14:paraId="29956ACE" w14:textId="77777777" w:rsidR="00396052" w:rsidRPr="00684640" w:rsidRDefault="00396052" w:rsidP="00177648">
            <w:pPr>
              <w:pStyle w:val="TableBody"/>
            </w:pPr>
            <w:r w:rsidRPr="00684640">
              <w:t>Children were eligible for the preschool program if they were also eligible for free or reduced</w:t>
            </w:r>
            <w:r>
              <w:noBreakHyphen/>
            </w:r>
            <w:r w:rsidRPr="00684640">
              <w:t>price lunch or Medicaid at age four.</w:t>
            </w:r>
          </w:p>
          <w:p w14:paraId="642F2CD0" w14:textId="77777777" w:rsidR="00396052" w:rsidRPr="00684640" w:rsidRDefault="00396052" w:rsidP="00177648">
            <w:pPr>
              <w:pStyle w:val="TableBody"/>
              <w:spacing w:before="45" w:after="45"/>
              <w:ind w:right="108"/>
              <w:rPr>
                <w:rFonts w:ascii="Arial (Body)" w:hAnsi="Arial (Body)"/>
                <w:color w:val="000000"/>
              </w:rPr>
            </w:pPr>
            <w:r w:rsidRPr="00684640">
              <w:lastRenderedPageBreak/>
              <w:t>A half</w:t>
            </w:r>
            <w:r>
              <w:noBreakHyphen/>
            </w:r>
            <w:r w:rsidRPr="00684640">
              <w:t>day program was provided by public and private schools. Children attended five days a week, for at least 6.5 hours a day. Food was provided as part of the program. There was a minimum ratio of 1:10 and in larger classes, was a requirement for a degree</w:t>
            </w:r>
            <w:r>
              <w:noBreakHyphen/>
            </w:r>
            <w:r w:rsidRPr="00684640">
              <w:t xml:space="preserve">qualified teacher and an assistant with at least two years’ experience. </w:t>
            </w:r>
          </w:p>
        </w:tc>
        <w:tc>
          <w:tcPr>
            <w:tcW w:w="1952" w:type="pct"/>
            <w:tcBorders>
              <w:top w:val="nil"/>
              <w:bottom w:val="nil"/>
            </w:tcBorders>
            <w:shd w:val="clear" w:color="000000" w:fill="F2F2F2"/>
          </w:tcPr>
          <w:p w14:paraId="00D70873" w14:textId="77777777" w:rsidR="00396052" w:rsidRPr="00684640" w:rsidRDefault="00396052" w:rsidP="00177648">
            <w:pPr>
              <w:pStyle w:val="TableBody"/>
            </w:pPr>
            <w:r w:rsidRPr="00684640">
              <w:lastRenderedPageBreak/>
              <w:t>There were increases in third</w:t>
            </w:r>
            <w:r>
              <w:noBreakHyphen/>
            </w:r>
            <w:r w:rsidRPr="00684640">
              <w:t xml:space="preserve"> and fifth</w:t>
            </w:r>
            <w:r>
              <w:noBreakHyphen/>
            </w:r>
            <w:r w:rsidRPr="00684640">
              <w:t>grade test scores for children who were eligible to attend preschool earlier. Ineligible students saw smaller but still significant increases.</w:t>
            </w:r>
          </w:p>
          <w:p w14:paraId="546BD1EF" w14:textId="77777777" w:rsidR="00396052" w:rsidRPr="00684640" w:rsidRDefault="00396052" w:rsidP="00177648">
            <w:pPr>
              <w:pStyle w:val="TableBody"/>
              <w:spacing w:before="45" w:after="45"/>
              <w:ind w:right="108"/>
              <w:rPr>
                <w:rFonts w:ascii="Arial (Body)" w:hAnsi="Arial (Body)"/>
                <w:color w:val="000000"/>
              </w:rPr>
            </w:pPr>
            <w:r w:rsidRPr="00684640">
              <w:lastRenderedPageBreak/>
              <w:t>These could have been driven by spillovers from students who did attend. There was a significant reduction in involvement in disciplinary for children who were eligible (but not for those who were ineligible), from which ineligible children may have benefitted.</w:t>
            </w:r>
          </w:p>
        </w:tc>
      </w:tr>
      <w:tr w:rsidR="00396052" w:rsidRPr="00684640" w14:paraId="05B81871" w14:textId="77777777" w:rsidTr="00177648">
        <w:tc>
          <w:tcPr>
            <w:tcW w:w="1095" w:type="pct"/>
            <w:tcBorders>
              <w:top w:val="nil"/>
              <w:bottom w:val="nil"/>
            </w:tcBorders>
            <w:shd w:val="clear" w:color="000000" w:fill="FFFFFF" w:themeFill="background1"/>
          </w:tcPr>
          <w:p w14:paraId="05633924" w14:textId="77777777" w:rsidR="00396052" w:rsidRPr="00684640" w:rsidRDefault="00396052" w:rsidP="00177648">
            <w:pPr>
              <w:pStyle w:val="TableBody"/>
            </w:pPr>
            <w:r w:rsidRPr="00684640">
              <w:rPr>
                <w:rFonts w:ascii="Arial" w:hAnsi="Arial" w:cs="Arial"/>
              </w:rPr>
              <w:lastRenderedPageBreak/>
              <w:t>Figlio and Roth 2011</w:t>
            </w:r>
          </w:p>
          <w:p w14:paraId="4A93C5B0" w14:textId="77777777" w:rsidR="00396052" w:rsidRPr="00684640" w:rsidRDefault="00396052" w:rsidP="00177648">
            <w:pPr>
              <w:pStyle w:val="TableBody"/>
            </w:pPr>
            <w:r w:rsidRPr="00684640">
              <w:t>Sibling control and IV exploiting distance to services for a US state preschool program; behavioural outcomes.</w:t>
            </w:r>
          </w:p>
        </w:tc>
        <w:tc>
          <w:tcPr>
            <w:tcW w:w="1953" w:type="pct"/>
            <w:tcBorders>
              <w:top w:val="nil"/>
              <w:bottom w:val="nil"/>
            </w:tcBorders>
            <w:shd w:val="clear" w:color="000000" w:fill="FFFFFF" w:themeFill="background1"/>
          </w:tcPr>
          <w:p w14:paraId="2213BFD7" w14:textId="77777777" w:rsidR="00396052" w:rsidRPr="00684640" w:rsidRDefault="00396052" w:rsidP="00177648">
            <w:pPr>
              <w:pStyle w:val="TableBody"/>
            </w:pPr>
            <w:r w:rsidRPr="00684640">
              <w:t>Children who attended preschool in Florida at age four, who were born after 1989 and enrolled in school before 2002.</w:t>
            </w:r>
          </w:p>
          <w:p w14:paraId="6AB358D8" w14:textId="77777777" w:rsidR="00396052" w:rsidRPr="00684640" w:rsidRDefault="00396052" w:rsidP="00177648">
            <w:pPr>
              <w:pStyle w:val="TableBody"/>
              <w:spacing w:before="45" w:after="45"/>
              <w:ind w:right="108"/>
              <w:rPr>
                <w:rFonts w:ascii="Arial (Body)" w:hAnsi="Arial (Body)"/>
                <w:color w:val="000000"/>
              </w:rPr>
            </w:pPr>
            <w:r w:rsidRPr="00684640">
              <w:t>Services were required to operate for at least six hours a day, five days a week during the school year, although could operate ten hours a day all year. There was a minimum ratio of 1:10 and lead teachers were required to hold an associate</w:t>
            </w:r>
            <w:r>
              <w:noBreakHyphen/>
            </w:r>
            <w:r w:rsidRPr="00684640">
              <w:t>level credential.</w:t>
            </w:r>
          </w:p>
        </w:tc>
        <w:tc>
          <w:tcPr>
            <w:tcW w:w="1952" w:type="pct"/>
            <w:tcBorders>
              <w:top w:val="nil"/>
              <w:bottom w:val="nil"/>
            </w:tcBorders>
            <w:shd w:val="clear" w:color="000000" w:fill="FFFFFF" w:themeFill="background1"/>
          </w:tcPr>
          <w:p w14:paraId="7D644A14" w14:textId="77777777" w:rsidR="00396052" w:rsidRPr="00684640" w:rsidRDefault="00396052" w:rsidP="00177648">
            <w:pPr>
              <w:pStyle w:val="TableBody"/>
            </w:pPr>
            <w:r w:rsidRPr="00684640">
              <w:t>Preschool participation improved school disciplinary records, and children were less likely to be classified as emotionally disabled or severely emotionally disturbed.</w:t>
            </w:r>
          </w:p>
          <w:p w14:paraId="0B7AEBE3" w14:textId="77777777" w:rsidR="00396052" w:rsidRPr="00684640" w:rsidRDefault="00396052" w:rsidP="00177648">
            <w:pPr>
              <w:pStyle w:val="TableBody"/>
              <w:spacing w:before="45" w:after="45"/>
              <w:ind w:right="108"/>
              <w:rPr>
                <w:rFonts w:ascii="Arial (Body)" w:hAnsi="Arial (Body)"/>
                <w:color w:val="000000"/>
              </w:rPr>
            </w:pPr>
            <w:r w:rsidRPr="00684640">
              <w:t>Effects seemed larger for children living in areas with greater levels of socio</w:t>
            </w:r>
            <w:r>
              <w:noBreakHyphen/>
            </w:r>
            <w:r w:rsidRPr="00684640">
              <w:t>economic disadvantage.</w:t>
            </w:r>
          </w:p>
        </w:tc>
      </w:tr>
      <w:tr w:rsidR="00396052" w:rsidRPr="00684640" w14:paraId="6CFDCD4F" w14:textId="77777777" w:rsidTr="00177648">
        <w:tc>
          <w:tcPr>
            <w:tcW w:w="1095" w:type="pct"/>
            <w:tcBorders>
              <w:bottom w:val="single" w:sz="4" w:space="0" w:color="B3B3B3"/>
            </w:tcBorders>
            <w:shd w:val="clear" w:color="000000" w:fill="F2F2F2"/>
          </w:tcPr>
          <w:p w14:paraId="028E6AA4" w14:textId="77777777" w:rsidR="00396052" w:rsidRPr="00037576" w:rsidRDefault="00396052" w:rsidP="00177648">
            <w:pPr>
              <w:pStyle w:val="TableBody"/>
              <w:rPr>
                <w:rFonts w:ascii="Arial" w:hAnsi="Arial" w:cs="Arial"/>
              </w:rPr>
            </w:pPr>
            <w:r w:rsidRPr="00037576">
              <w:rPr>
                <w:rFonts w:ascii="Arial" w:hAnsi="Arial" w:cs="Arial"/>
              </w:rPr>
              <w:t>Baker et al. 2019</w:t>
            </w:r>
          </w:p>
          <w:p w14:paraId="2C9DC2E9" w14:textId="77777777" w:rsidR="00396052" w:rsidRPr="00037576" w:rsidRDefault="00396052" w:rsidP="00177648">
            <w:pPr>
              <w:pStyle w:val="TableBody"/>
              <w:rPr>
                <w:rFonts w:ascii="Arial" w:hAnsi="Arial" w:cs="Arial"/>
              </w:rPr>
            </w:pPr>
            <w:r w:rsidRPr="00037576">
              <w:rPr>
                <w:rFonts w:ascii="Arial" w:hAnsi="Arial" w:cs="Arial"/>
              </w:rPr>
              <w:t>DiD exploiting a reform that introduced low</w:t>
            </w:r>
            <w:r>
              <w:rPr>
                <w:rFonts w:ascii="Arial" w:hAnsi="Arial" w:cs="Arial"/>
              </w:rPr>
              <w:noBreakHyphen/>
            </w:r>
            <w:r w:rsidRPr="00037576">
              <w:rPr>
                <w:rFonts w:ascii="Arial" w:hAnsi="Arial" w:cs="Arial"/>
              </w:rPr>
              <w:t>cost ECEC in Quebec, Canada; developmental, health and justice system outcomes.</w:t>
            </w:r>
          </w:p>
        </w:tc>
        <w:tc>
          <w:tcPr>
            <w:tcW w:w="1953" w:type="pct"/>
            <w:tcBorders>
              <w:bottom w:val="single" w:sz="4" w:space="0" w:color="B3B3B3"/>
            </w:tcBorders>
            <w:shd w:val="clear" w:color="000000" w:fill="F2F2F2"/>
          </w:tcPr>
          <w:p w14:paraId="3B4B3A5E" w14:textId="77777777" w:rsidR="00396052" w:rsidRPr="00037576" w:rsidRDefault="00396052" w:rsidP="00177648">
            <w:pPr>
              <w:pStyle w:val="TableBody"/>
              <w:rPr>
                <w:rFonts w:ascii="Arial" w:hAnsi="Arial" w:cs="Arial"/>
              </w:rPr>
            </w:pPr>
            <w:r w:rsidRPr="00037576">
              <w:rPr>
                <w:rFonts w:ascii="Arial" w:hAnsi="Arial" w:cs="Arial"/>
              </w:rPr>
              <w:t>Children aged 0</w:t>
            </w:r>
            <w:r>
              <w:rPr>
                <w:rFonts w:ascii="Arial" w:hAnsi="Arial" w:cs="Arial"/>
              </w:rPr>
              <w:noBreakHyphen/>
            </w:r>
            <w:r w:rsidRPr="00037576">
              <w:rPr>
                <w:rFonts w:ascii="Arial" w:hAnsi="Arial" w:cs="Arial"/>
              </w:rPr>
              <w:t>4 who attended ECEC in Quebec after low</w:t>
            </w:r>
            <w:r>
              <w:rPr>
                <w:rFonts w:ascii="Arial" w:hAnsi="Arial" w:cs="Arial"/>
              </w:rPr>
              <w:noBreakHyphen/>
            </w:r>
            <w:r w:rsidRPr="00037576">
              <w:rPr>
                <w:rFonts w:ascii="Arial" w:hAnsi="Arial" w:cs="Arial"/>
              </w:rPr>
              <w:t>cost ECEC was introduced in 1997.</w:t>
            </w:r>
          </w:p>
          <w:p w14:paraId="500AEAD5" w14:textId="77777777" w:rsidR="00396052" w:rsidRPr="00037576" w:rsidRDefault="00396052" w:rsidP="00177648">
            <w:pPr>
              <w:pStyle w:val="TableBody"/>
              <w:rPr>
                <w:rFonts w:ascii="Arial" w:hAnsi="Arial" w:cs="Arial"/>
              </w:rPr>
            </w:pPr>
            <w:r w:rsidRPr="00037576">
              <w:rPr>
                <w:rFonts w:ascii="Arial" w:hAnsi="Arial" w:cs="Arial"/>
              </w:rPr>
              <w:t>Children attended FDC or CBDC, with FDC more common at younger ages. There was a mix of public and private providers, although the expansion was almost entirely limited to private providers.</w:t>
            </w:r>
          </w:p>
          <w:p w14:paraId="4DDFE08B" w14:textId="77777777" w:rsidR="00396052" w:rsidRPr="00037576" w:rsidRDefault="00396052" w:rsidP="00177648">
            <w:pPr>
              <w:pStyle w:val="TableBody"/>
              <w:spacing w:before="45" w:after="45"/>
              <w:ind w:right="108"/>
              <w:rPr>
                <w:rFonts w:ascii="Arial" w:hAnsi="Arial" w:cs="Arial"/>
              </w:rPr>
            </w:pPr>
            <w:r w:rsidRPr="00037576">
              <w:rPr>
                <w:rFonts w:ascii="Arial" w:hAnsi="Arial" w:cs="Arial"/>
              </w:rPr>
              <w:t>After the reform, two</w:t>
            </w:r>
            <w:r>
              <w:rPr>
                <w:rFonts w:ascii="Arial" w:hAnsi="Arial" w:cs="Arial"/>
              </w:rPr>
              <w:noBreakHyphen/>
            </w:r>
            <w:r w:rsidRPr="00037576">
              <w:rPr>
                <w:rFonts w:ascii="Arial" w:hAnsi="Arial" w:cs="Arial"/>
              </w:rPr>
              <w:t>thirds of educators were required to have a diploma or degree in early childhood education, although this was often not met. FDC educators were required to have completed 24</w:t>
            </w:r>
            <w:r>
              <w:rPr>
                <w:rFonts w:ascii="Arial" w:hAnsi="Arial" w:cs="Arial"/>
              </w:rPr>
              <w:noBreakHyphen/>
            </w:r>
            <w:r w:rsidRPr="00037576">
              <w:rPr>
                <w:rFonts w:ascii="Arial" w:hAnsi="Arial" w:cs="Arial"/>
              </w:rPr>
              <w:t>45 hours of training. The maximum centre size increased from 60 to 80 and the minimum ratio for four</w:t>
            </w:r>
            <w:r>
              <w:rPr>
                <w:rFonts w:ascii="Arial" w:hAnsi="Arial" w:cs="Arial"/>
              </w:rPr>
              <w:noBreakHyphen/>
            </w:r>
            <w:r w:rsidRPr="00037576">
              <w:rPr>
                <w:rFonts w:ascii="Arial" w:hAnsi="Arial" w:cs="Arial"/>
              </w:rPr>
              <w:t>to</w:t>
            </w:r>
            <w:r>
              <w:rPr>
                <w:rFonts w:ascii="Arial" w:hAnsi="Arial" w:cs="Arial"/>
              </w:rPr>
              <w:noBreakHyphen/>
            </w:r>
            <w:r w:rsidRPr="00037576">
              <w:rPr>
                <w:rFonts w:ascii="Arial" w:hAnsi="Arial" w:cs="Arial"/>
              </w:rPr>
              <w:t>five</w:t>
            </w:r>
            <w:r>
              <w:rPr>
                <w:rFonts w:ascii="Arial" w:hAnsi="Arial" w:cs="Arial"/>
              </w:rPr>
              <w:noBreakHyphen/>
            </w:r>
            <w:r w:rsidRPr="00037576">
              <w:rPr>
                <w:rFonts w:ascii="Arial" w:hAnsi="Arial" w:cs="Arial"/>
              </w:rPr>
              <w:t>year</w:t>
            </w:r>
            <w:r>
              <w:rPr>
                <w:rFonts w:ascii="Arial" w:hAnsi="Arial" w:cs="Arial"/>
              </w:rPr>
              <w:noBreakHyphen/>
            </w:r>
            <w:r w:rsidRPr="00037576">
              <w:rPr>
                <w:rFonts w:ascii="Arial" w:hAnsi="Arial" w:cs="Arial"/>
              </w:rPr>
              <w:t>old children decreased from 1:8 to 1:10.</w:t>
            </w:r>
          </w:p>
        </w:tc>
        <w:tc>
          <w:tcPr>
            <w:tcW w:w="1952" w:type="pct"/>
            <w:tcBorders>
              <w:bottom w:val="single" w:sz="4" w:space="0" w:color="B3B3B3"/>
            </w:tcBorders>
            <w:shd w:val="clear" w:color="000000" w:fill="F2F2F2"/>
          </w:tcPr>
          <w:p w14:paraId="20B6154E" w14:textId="77777777" w:rsidR="00396052" w:rsidRPr="00037576" w:rsidRDefault="00396052" w:rsidP="00177648">
            <w:pPr>
              <w:pStyle w:val="TableBody"/>
              <w:rPr>
                <w:rFonts w:ascii="Arial" w:hAnsi="Arial" w:cs="Arial"/>
              </w:rPr>
            </w:pPr>
            <w:r w:rsidRPr="00037576">
              <w:rPr>
                <w:rFonts w:ascii="Arial" w:hAnsi="Arial" w:cs="Arial"/>
              </w:rPr>
              <w:t>Short</w:t>
            </w:r>
            <w:r>
              <w:rPr>
                <w:rFonts w:ascii="Arial" w:hAnsi="Arial" w:cs="Arial"/>
              </w:rPr>
              <w:noBreakHyphen/>
            </w:r>
            <w:r w:rsidRPr="00037576">
              <w:rPr>
                <w:rFonts w:ascii="Arial" w:hAnsi="Arial" w:cs="Arial"/>
              </w:rPr>
              <w:t>term measures of behaviour and cognitive development worsened. There were significant benefits for PISA maths test scores at age 15, with smaller and insignificant positive effects on PISA reading and science scores. For school test scores, there negative but insignificant effects.</w:t>
            </w:r>
          </w:p>
          <w:p w14:paraId="045C1EE4" w14:textId="77777777" w:rsidR="00396052" w:rsidRPr="00037576" w:rsidRDefault="00396052" w:rsidP="00177648">
            <w:pPr>
              <w:pStyle w:val="TableBody"/>
              <w:rPr>
                <w:rFonts w:ascii="Arial" w:hAnsi="Arial" w:cs="Arial"/>
              </w:rPr>
            </w:pPr>
            <w:r w:rsidRPr="00037576">
              <w:rPr>
                <w:rFonts w:ascii="Arial" w:hAnsi="Arial" w:cs="Arial"/>
              </w:rPr>
              <w:t>In adolescence, self</w:t>
            </w:r>
            <w:r>
              <w:rPr>
                <w:rFonts w:ascii="Arial" w:hAnsi="Arial" w:cs="Arial"/>
              </w:rPr>
              <w:noBreakHyphen/>
            </w:r>
            <w:r w:rsidRPr="00037576">
              <w:rPr>
                <w:rFonts w:ascii="Arial" w:hAnsi="Arial" w:cs="Arial"/>
              </w:rPr>
              <w:t>reported physical health was worsened, although there was a small and insignificant improvement in self</w:t>
            </w:r>
            <w:r>
              <w:rPr>
                <w:rFonts w:ascii="Arial" w:hAnsi="Arial" w:cs="Arial"/>
              </w:rPr>
              <w:noBreakHyphen/>
            </w:r>
            <w:r w:rsidRPr="00037576">
              <w:rPr>
                <w:rFonts w:ascii="Arial" w:hAnsi="Arial" w:cs="Arial"/>
              </w:rPr>
              <w:t>reported mental health. Accusations of and convictions for criminal offences increased.</w:t>
            </w:r>
          </w:p>
          <w:p w14:paraId="5D19C43A" w14:textId="77777777" w:rsidR="00396052" w:rsidRPr="00037576" w:rsidRDefault="00396052" w:rsidP="00177648">
            <w:pPr>
              <w:pStyle w:val="TableBody"/>
              <w:rPr>
                <w:rFonts w:ascii="Arial" w:hAnsi="Arial" w:cs="Arial"/>
              </w:rPr>
            </w:pPr>
            <w:r w:rsidRPr="00037576">
              <w:rPr>
                <w:rFonts w:ascii="Arial" w:hAnsi="Arial" w:cs="Arial"/>
              </w:rPr>
              <w:t>Effects of ECEC could not be separated from the effects of changes in the quality of ECEC due to the reform.</w:t>
            </w:r>
          </w:p>
          <w:p w14:paraId="4089D623" w14:textId="77777777" w:rsidR="00396052" w:rsidRPr="00037576" w:rsidRDefault="00396052" w:rsidP="00177648">
            <w:pPr>
              <w:pStyle w:val="TableBody"/>
              <w:rPr>
                <w:rFonts w:ascii="Arial" w:hAnsi="Arial" w:cs="Arial"/>
              </w:rPr>
            </w:pPr>
            <w:r w:rsidRPr="00684640">
              <w:rPr>
                <w:rFonts w:ascii="Arial" w:hAnsi="Arial" w:cs="Arial"/>
              </w:rPr>
              <w:t>Kottelenberg and Lehrer (2013</w:t>
            </w:r>
            <w:r w:rsidRPr="00037576">
              <w:rPr>
                <w:rFonts w:ascii="Arial" w:hAnsi="Arial" w:cs="Arial"/>
              </w:rPr>
              <w:t>), for ECEC in Quebec in the same period, used an IV approach that could estimate effects for children who only attended due to the reform, at the quality level after the reform, and found adverse effects.</w:t>
            </w:r>
          </w:p>
          <w:p w14:paraId="02E8DA3B" w14:textId="77777777" w:rsidR="00396052" w:rsidRPr="00037576" w:rsidRDefault="00396052" w:rsidP="00177648">
            <w:pPr>
              <w:pStyle w:val="TableBody"/>
              <w:rPr>
                <w:rFonts w:ascii="Arial" w:hAnsi="Arial" w:cs="Arial"/>
              </w:rPr>
            </w:pPr>
            <w:r w:rsidRPr="00037576">
              <w:rPr>
                <w:rFonts w:ascii="Arial" w:hAnsi="Arial" w:cs="Arial"/>
              </w:rPr>
              <w:lastRenderedPageBreak/>
              <w:t>They also used an inverse probability weighting</w:t>
            </w:r>
            <w:r w:rsidRPr="00037576">
              <w:rPr>
                <w:rFonts w:ascii="Arial" w:hAnsi="Arial" w:cs="Arial"/>
              </w:rPr>
              <w:footnoteReference w:id="75"/>
            </w:r>
            <w:r w:rsidRPr="00037576">
              <w:rPr>
                <w:rFonts w:ascii="Arial" w:hAnsi="Arial" w:cs="Arial"/>
              </w:rPr>
              <w:t xml:space="preserve"> approach that could estimate effects for all children who attended ECEC in Quebec, at the quality level after the reform, finding beneficial effects on a measure of motor and social development (which DiD and IV models found to be adversely affected).</w:t>
            </w:r>
          </w:p>
          <w:p w14:paraId="3A08B0EC" w14:textId="77777777" w:rsidR="00396052" w:rsidRPr="00037576" w:rsidRDefault="00396052" w:rsidP="00177648">
            <w:pPr>
              <w:pStyle w:val="TableBody"/>
              <w:rPr>
                <w:rFonts w:ascii="Arial" w:hAnsi="Arial" w:cs="Arial"/>
              </w:rPr>
            </w:pPr>
            <w:r w:rsidRPr="00037576">
              <w:rPr>
                <w:rFonts w:ascii="Arial" w:hAnsi="Arial" w:cs="Arial"/>
              </w:rPr>
              <w:t>These results could be consistent if adverse DiD and IV estimates were driven by reductions in ECEC quality due to the reform, with newly established services being low quality, while ECEC remained at a quality level high enough to benefit most children (on this measure at least).</w:t>
            </w:r>
          </w:p>
          <w:p w14:paraId="7A781D02" w14:textId="77777777" w:rsidR="00396052" w:rsidRPr="00037576" w:rsidRDefault="00396052" w:rsidP="00177648">
            <w:pPr>
              <w:pStyle w:val="TableBody"/>
              <w:spacing w:before="45" w:after="45"/>
              <w:ind w:right="108"/>
              <w:rPr>
                <w:rFonts w:ascii="Arial" w:hAnsi="Arial" w:cs="Arial"/>
              </w:rPr>
            </w:pPr>
            <w:r w:rsidRPr="00684640">
              <w:rPr>
                <w:rFonts w:ascii="Arial" w:hAnsi="Arial" w:cs="Arial"/>
              </w:rPr>
              <w:t>Montpetit et al. (2024)</w:t>
            </w:r>
            <w:r w:rsidRPr="00037576">
              <w:rPr>
                <w:rFonts w:ascii="Arial" w:hAnsi="Arial" w:cs="Arial"/>
              </w:rPr>
              <w:t xml:space="preserve"> found no effects on high school graduation and positive but insignificant effects on the likelihood of completing a university degree, using more recent data with a broadly similar approach to Baker et al. (2019).</w:t>
            </w:r>
          </w:p>
        </w:tc>
      </w:tr>
    </w:tbl>
    <w:p w14:paraId="5FBA4C01" w14:textId="77777777" w:rsidR="00396052" w:rsidRDefault="00396052" w:rsidP="00396052">
      <w:pPr>
        <w:pStyle w:val="BodyText"/>
        <w:sectPr w:rsidR="00396052" w:rsidSect="00396052">
          <w:headerReference w:type="default" r:id="rId106"/>
          <w:footerReference w:type="default" r:id="rId107"/>
          <w:pgSz w:w="16838" w:h="11906" w:orient="landscape" w:code="9"/>
          <w:pgMar w:top="1134" w:right="1134" w:bottom="1134" w:left="1134" w:header="794" w:footer="510" w:gutter="0"/>
          <w:cols w:space="708"/>
          <w:docGrid w:linePitch="360"/>
        </w:sectPr>
      </w:pPr>
    </w:p>
    <w:p w14:paraId="3FCFFD94" w14:textId="5B7E3149" w:rsidR="00396052" w:rsidRDefault="00396052" w:rsidP="00411A45">
      <w:pPr>
        <w:pStyle w:val="Heading2-nonumber"/>
      </w:pPr>
      <w:bookmarkStart w:id="57" w:name="_Toc172213607"/>
      <w:r>
        <w:lastRenderedPageBreak/>
        <w:t>References</w:t>
      </w:r>
      <w:bookmarkEnd w:id="57"/>
    </w:p>
    <w:p w14:paraId="462931CD" w14:textId="77777777" w:rsidR="00411A45" w:rsidRDefault="00411A45" w:rsidP="00396052">
      <w:pPr>
        <w:pStyle w:val="Reference"/>
        <w:sectPr w:rsidR="00411A45" w:rsidSect="00396052">
          <w:pgSz w:w="11906" w:h="16838" w:code="9"/>
          <w:pgMar w:top="1134" w:right="1134" w:bottom="1134" w:left="1134" w:header="794" w:footer="510" w:gutter="0"/>
          <w:cols w:space="708"/>
          <w:docGrid w:linePitch="360"/>
        </w:sectPr>
      </w:pPr>
    </w:p>
    <w:p w14:paraId="35686276" w14:textId="77777777" w:rsidR="00396052" w:rsidRDefault="00396052" w:rsidP="00396052">
      <w:pPr>
        <w:pStyle w:val="Reference"/>
      </w:pPr>
      <w:r>
        <w:t xml:space="preserve">Aalto, A-M, Mörk, E, Sjögren, A and Svaleryd, H 2019, </w:t>
      </w:r>
      <w:r>
        <w:rPr>
          <w:i/>
          <w:iCs/>
        </w:rPr>
        <w:t>Does childcare improve the health of children with unemployed parents?</w:t>
      </w:r>
      <w:r>
        <w:t>, 8 February, 2019:1, IFAU - Institute for Evaluation of Labour Market and Education Policy, https://www.ifau.se/en/Research/Publications/Working-papers/2019/does-childcare-improve-the-health-of-children-with-unemployed-parents/ (accessed 23 June 2024).</w:t>
      </w:r>
    </w:p>
    <w:p w14:paraId="00960C4F" w14:textId="77777777" w:rsidR="00396052" w:rsidRDefault="00396052" w:rsidP="00396052">
      <w:pPr>
        <w:pStyle w:val="Reference"/>
      </w:pPr>
      <w:r>
        <w:t xml:space="preserve">Abadie, A 2021, ‘Using Synthetic Controls: Feasibility, Data Requirements, and Methodological Aspects’, </w:t>
      </w:r>
      <w:r>
        <w:rPr>
          <w:i/>
          <w:iCs/>
        </w:rPr>
        <w:t>Journal of Economic Literature</w:t>
      </w:r>
      <w:r>
        <w:t>, vol. 59, no. 2, pp. 391–425.</w:t>
      </w:r>
    </w:p>
    <w:p w14:paraId="1762D219" w14:textId="77777777" w:rsidR="00396052" w:rsidRPr="002B10F3" w:rsidRDefault="00396052" w:rsidP="00396052">
      <w:pPr>
        <w:pStyle w:val="Reference"/>
        <w:rPr>
          <w:spacing w:val="-4"/>
        </w:rPr>
      </w:pPr>
      <w:r w:rsidRPr="002B10F3">
        <w:rPr>
          <w:spacing w:val="-4"/>
        </w:rPr>
        <w:t xml:space="preserve">Akee, R and Clark, L 2024, </w:t>
      </w:r>
      <w:r w:rsidRPr="002B10F3">
        <w:rPr>
          <w:i/>
          <w:iCs/>
          <w:spacing w:val="-4"/>
        </w:rPr>
        <w:t>Preschool Lottery Admissions and Its Effects on Long-Run Earnings and Outcomes</w:t>
      </w:r>
      <w:r w:rsidRPr="002B10F3">
        <w:rPr>
          <w:spacing w:val="-4"/>
        </w:rPr>
        <w:t>, https://www.nber.org/papers/w32570 (accessed 18 June 2024).</w:t>
      </w:r>
    </w:p>
    <w:p w14:paraId="4522C0AE" w14:textId="77777777" w:rsidR="00396052" w:rsidRDefault="00396052" w:rsidP="00396052">
      <w:pPr>
        <w:pStyle w:val="Reference"/>
      </w:pPr>
      <w:r>
        <w:t xml:space="preserve">Anders, J, Barr, AC and Smith, AA 2023, ‘The effect of early childhood education on adult criminality: evidence from the 1960s through 1990s’, </w:t>
      </w:r>
      <w:r>
        <w:rPr>
          <w:i/>
          <w:iCs/>
        </w:rPr>
        <w:t>American Economic Journal: Economic Policy</w:t>
      </w:r>
      <w:r>
        <w:t>, vol. 15, no. 1, pp. 37–69.</w:t>
      </w:r>
    </w:p>
    <w:p w14:paraId="6146B002" w14:textId="77777777" w:rsidR="00396052" w:rsidRDefault="00396052" w:rsidP="00396052">
      <w:pPr>
        <w:pStyle w:val="Reference"/>
      </w:pPr>
      <w:r>
        <w:t xml:space="preserve">Ando, M, Mori, H and Yamaguchi, S 2023, </w:t>
      </w:r>
      <w:r>
        <w:rPr>
          <w:i/>
          <w:iCs/>
        </w:rPr>
        <w:t>Universal Early Childhood Education and Adolescent Risky Behavior</w:t>
      </w:r>
      <w:r>
        <w:t>.</w:t>
      </w:r>
    </w:p>
    <w:p w14:paraId="6FDB2852" w14:textId="77777777" w:rsidR="00396052" w:rsidRDefault="00396052" w:rsidP="00396052">
      <w:pPr>
        <w:pStyle w:val="Reference"/>
      </w:pPr>
      <w:r>
        <w:t>Andreoli, F, Lefranc, A and Prete, V 2023, ‘Preschool duration, family background and long-term outcomes: Evidence from the expansion of Ecole Maternelle in France’.</w:t>
      </w:r>
    </w:p>
    <w:p w14:paraId="45A6CBB3" w14:textId="77777777" w:rsidR="00396052" w:rsidRDefault="00396052" w:rsidP="00396052">
      <w:pPr>
        <w:pStyle w:val="Reference"/>
      </w:pPr>
      <w:r>
        <w:t xml:space="preserve">Bach, M, Koebe, J and Peter, F 2019, </w:t>
      </w:r>
      <w:r>
        <w:rPr>
          <w:i/>
          <w:iCs/>
        </w:rPr>
        <w:t>Long Run Effects of Universal Childcare on Personality Traits</w:t>
      </w:r>
      <w:r>
        <w:t>.</w:t>
      </w:r>
    </w:p>
    <w:p w14:paraId="2AE159E3" w14:textId="77777777" w:rsidR="00396052" w:rsidRDefault="00396052" w:rsidP="00396052">
      <w:pPr>
        <w:pStyle w:val="Reference"/>
      </w:pPr>
      <w:r>
        <w:t xml:space="preserve">Bailey, MJ, Sun, S and Timpe, B 2021, ‘Prep School for Poor Kids: The Long-Run Impacts of Head Start on Human Capital and Economic Self-Sufficiency’, </w:t>
      </w:r>
      <w:r>
        <w:rPr>
          <w:i/>
          <w:iCs/>
        </w:rPr>
        <w:t>American Economic Review</w:t>
      </w:r>
      <w:r>
        <w:t>, vol. 111, no. 12, pp. 3963–4001.</w:t>
      </w:r>
    </w:p>
    <w:p w14:paraId="2242145C" w14:textId="77777777" w:rsidR="00396052" w:rsidRDefault="00396052" w:rsidP="00396052">
      <w:pPr>
        <w:pStyle w:val="Reference"/>
      </w:pPr>
      <w:r>
        <w:t xml:space="preserve">Baker, M, Gruber, J and Milligan, K 2019, ‘The Long-Run Impacts of a Universal Child Care Program’, </w:t>
      </w:r>
      <w:r>
        <w:rPr>
          <w:i/>
          <w:iCs/>
        </w:rPr>
        <w:t>American Economic Journal: Economic Policy</w:t>
      </w:r>
      <w:r>
        <w:t>, vol. 11, no. 3, pp. 1–26.</w:t>
      </w:r>
    </w:p>
    <w:p w14:paraId="5C13DE6B" w14:textId="77777777" w:rsidR="00396052" w:rsidRDefault="00396052" w:rsidP="00396052">
      <w:pPr>
        <w:pStyle w:val="Reference"/>
      </w:pPr>
      <w:r>
        <w:t>Barschkett, M 2024, ‘The Early Bird Gets the Germs? The Impact of Early Daycare Attendance on Children’s Health’, https://papers.ssrn.com/sol3/papers.cfm?abstract_id=4760456 (accessed 12 October 2023).</w:t>
      </w:r>
    </w:p>
    <w:p w14:paraId="01489647" w14:textId="77777777" w:rsidR="00396052" w:rsidRDefault="00396052" w:rsidP="00396052">
      <w:pPr>
        <w:pStyle w:val="Reference"/>
      </w:pPr>
      <w:r>
        <w:t xml:space="preserve">Bartik, TJ, Gormley, W and Adelstein, S 2012, ‘Earnings benefits of Tulsa’s pre-K program for different income groups’, </w:t>
      </w:r>
      <w:r>
        <w:rPr>
          <w:i/>
          <w:iCs/>
        </w:rPr>
        <w:t>Economics of Education Review</w:t>
      </w:r>
      <w:r>
        <w:t>, vol. 31, no. 6, pp. 1143–1161.</w:t>
      </w:r>
    </w:p>
    <w:p w14:paraId="58B9C861" w14:textId="77777777" w:rsidR="00396052" w:rsidRDefault="00396052" w:rsidP="00396052">
      <w:pPr>
        <w:pStyle w:val="Reference"/>
      </w:pPr>
      <w:r>
        <w:t>—— and Hershbein, BJ 2018, ‘Pre-K in the public schools: Evidence from within U.S. States’, https://www.econstor.eu/handle/10419/202883 (accessed 5 June 2023).</w:t>
      </w:r>
    </w:p>
    <w:p w14:paraId="6A491FFB" w14:textId="77777777" w:rsidR="00396052" w:rsidRDefault="00396052" w:rsidP="00396052">
      <w:pPr>
        <w:pStyle w:val="Reference"/>
      </w:pPr>
      <w:r>
        <w:t xml:space="preserve">van den Berg, GJ and Siflinger, BM 2022, ‘The effects of a daycare reform on health in childhood – Evidence from Sweden’, IFAU - Institute for Evaluation of Labour Market and Education Policy, </w:t>
      </w:r>
      <w:r>
        <w:rPr>
          <w:i/>
          <w:iCs/>
        </w:rPr>
        <w:t>Journal of Health Economics</w:t>
      </w:r>
      <w:r>
        <w:t>, vol. 81, https://www.sciencedirect.com/science/article/pii/S0167629621001624 (accessed 1 August 2023).</w:t>
      </w:r>
    </w:p>
    <w:p w14:paraId="125CD753" w14:textId="77777777" w:rsidR="00396052" w:rsidRDefault="00396052" w:rsidP="00396052">
      <w:pPr>
        <w:pStyle w:val="Reference"/>
      </w:pPr>
      <w:r>
        <w:t xml:space="preserve">Berger, LM, Panico, L and Solaz, A 2021, ‘The Impact of Center-Based Childcare Attendance on Early Child Development: Evidence From the French Elfe Cohort’, </w:t>
      </w:r>
      <w:r>
        <w:rPr>
          <w:i/>
          <w:iCs/>
        </w:rPr>
        <w:t>Demography</w:t>
      </w:r>
      <w:r>
        <w:t>, vol. 58, no. 2, pp. 419–450.</w:t>
      </w:r>
    </w:p>
    <w:p w14:paraId="0EBD374A" w14:textId="77777777" w:rsidR="00396052" w:rsidRDefault="00396052" w:rsidP="00396052">
      <w:pPr>
        <w:pStyle w:val="Reference"/>
      </w:pPr>
      <w:r>
        <w:t xml:space="preserve">Berlinski, S, Galiani, S and Gertler, P 2009, ‘The effect of pre-primary education on primary school performance’, North-Holland, </w:t>
      </w:r>
      <w:r>
        <w:rPr>
          <w:i/>
          <w:iCs/>
        </w:rPr>
        <w:t>Journal of Public Economics</w:t>
      </w:r>
      <w:r>
        <w:t>, vol. 93, no. 1–2, pp. 219–234.</w:t>
      </w:r>
    </w:p>
    <w:p w14:paraId="0BFEC4D6" w14:textId="77777777" w:rsidR="00396052" w:rsidRDefault="00396052" w:rsidP="00396052">
      <w:pPr>
        <w:pStyle w:val="Reference"/>
      </w:pPr>
      <w:r>
        <w:t xml:space="preserve">Berne, JS 2022, </w:t>
      </w:r>
      <w:r>
        <w:rPr>
          <w:i/>
          <w:iCs/>
        </w:rPr>
        <w:t>The Long-Run Impacts of Universal Pre-K: Evidence from the First Statewide Program</w:t>
      </w:r>
      <w:r>
        <w:t xml:space="preserve">, </w:t>
      </w:r>
      <w:r>
        <w:rPr>
          <w:i/>
          <w:iCs/>
        </w:rPr>
        <w:t>EdWorkingPapers.com</w:t>
      </w:r>
      <w:r>
        <w:t>, 7 August, Annenberg Institute at Brown University, https://edworkingpapers.com/ai22-626 (accessed 19 June 2024).</w:t>
      </w:r>
    </w:p>
    <w:p w14:paraId="47D20D00" w14:textId="77777777" w:rsidR="00396052" w:rsidRDefault="00396052" w:rsidP="00396052">
      <w:pPr>
        <w:pStyle w:val="Reference"/>
      </w:pPr>
      <w:r>
        <w:t xml:space="preserve">Bingley, P, Jensen, VM and Sander, S 2021, </w:t>
      </w:r>
      <w:r>
        <w:rPr>
          <w:i/>
          <w:iCs/>
        </w:rPr>
        <w:t>Understanding the Gradient in the Long-Run Effects of Universal Daycare</w:t>
      </w:r>
      <w:r>
        <w:t>.</w:t>
      </w:r>
    </w:p>
    <w:p w14:paraId="604988DF" w14:textId="77777777" w:rsidR="00396052" w:rsidRDefault="00396052" w:rsidP="00396052">
      <w:pPr>
        <w:pStyle w:val="Reference"/>
      </w:pPr>
      <w:r>
        <w:t xml:space="preserve">Blanden, J, Del Bono, E, Hansen, K and Rabe, B 2022, ‘Quantity and quality of childcare and children’s educational outcomes’, </w:t>
      </w:r>
      <w:r>
        <w:rPr>
          <w:i/>
          <w:iCs/>
        </w:rPr>
        <w:t>Journal of Population Economics</w:t>
      </w:r>
      <w:r>
        <w:t>, vol. 35, no. 2, pp. 785–828.</w:t>
      </w:r>
    </w:p>
    <w:p w14:paraId="0014C4FB" w14:textId="77777777" w:rsidR="00396052" w:rsidRDefault="00396052" w:rsidP="00396052">
      <w:pPr>
        <w:pStyle w:val="Reference"/>
      </w:pPr>
      <w:r>
        <w:t xml:space="preserve">——, ——, McNally, S and Rabe, B 2016, ‘Universal Pre-school Education: The Case of Public Funding with Private Provision’, </w:t>
      </w:r>
      <w:r>
        <w:rPr>
          <w:i/>
          <w:iCs/>
        </w:rPr>
        <w:t>The Economic Journal</w:t>
      </w:r>
      <w:r>
        <w:t>, vol. 126, no. 592, pp. 682–723.</w:t>
      </w:r>
    </w:p>
    <w:p w14:paraId="37D58F3A" w14:textId="77777777" w:rsidR="00396052" w:rsidRDefault="00396052" w:rsidP="00396052">
      <w:pPr>
        <w:pStyle w:val="Reference"/>
      </w:pPr>
      <w:r>
        <w:t xml:space="preserve">Blandhol, C, Bonney, J, Mogstad, M and Torgovitsky, A 2022, </w:t>
      </w:r>
      <w:r>
        <w:rPr>
          <w:i/>
          <w:iCs/>
        </w:rPr>
        <w:t>When is TSLS Actually LATE?</w:t>
      </w:r>
      <w:r>
        <w:t>, https://ideas.repec.org/p/nbr/nberwo/29709.html (accessed 24 June 2024).</w:t>
      </w:r>
    </w:p>
    <w:p w14:paraId="16E466D6" w14:textId="77777777" w:rsidR="00396052" w:rsidRDefault="00396052" w:rsidP="00396052">
      <w:pPr>
        <w:pStyle w:val="Reference"/>
      </w:pPr>
      <w:r>
        <w:t xml:space="preserve">Borusyak, K, Jaravel, X and Spiess, J 2024, ‘Revisiting Event-Study Designs: Robust and Efficient Estimation’, </w:t>
      </w:r>
      <w:r>
        <w:rPr>
          <w:i/>
          <w:iCs/>
        </w:rPr>
        <w:t>The Review of Economic Studies</w:t>
      </w:r>
      <w:r>
        <w:t>, p. rdae007.</w:t>
      </w:r>
    </w:p>
    <w:p w14:paraId="5349DAC9" w14:textId="77777777" w:rsidR="00396052" w:rsidRDefault="00396052" w:rsidP="00396052">
      <w:pPr>
        <w:pStyle w:val="Reference"/>
      </w:pPr>
      <w:r>
        <w:t>Bosque-Mercader, L 2022, ‘The Effect of a Universal Preschool Programme on Long-Term Health Outcomes: Evidence from Spain’, https://ideas.repec.org//p/fda/fdaddt/202207.html (accessed 12 October 2023).</w:t>
      </w:r>
    </w:p>
    <w:p w14:paraId="535B2FF4" w14:textId="77777777" w:rsidR="00396052" w:rsidRDefault="00396052" w:rsidP="00396052">
      <w:pPr>
        <w:pStyle w:val="Reference"/>
      </w:pPr>
      <w:r>
        <w:t xml:space="preserve">Breivik, A-L, Del Bono, E and Riise, J 2020, ‘Effects of Universal Childcare on Long-Run Health’, </w:t>
      </w:r>
      <w:r>
        <w:rPr>
          <w:i/>
          <w:iCs/>
        </w:rPr>
        <w:t>Determinants of Health and Labor Market Outcomes : Three Essays in Applied Microeconomics</w:t>
      </w:r>
      <w:r>
        <w:t>, https://bora.uib.no/bora-xmlui/handle/1956/21794 (accessed 10 October 2023).</w:t>
      </w:r>
    </w:p>
    <w:p w14:paraId="6C4B82CC" w14:textId="77777777" w:rsidR="00396052" w:rsidRDefault="00396052" w:rsidP="00396052">
      <w:pPr>
        <w:pStyle w:val="Reference"/>
      </w:pPr>
      <w:r>
        <w:t xml:space="preserve">Bruhn, J and Emick, E 2023, </w:t>
      </w:r>
      <w:r>
        <w:rPr>
          <w:i/>
          <w:iCs/>
        </w:rPr>
        <w:t>Lottery Evidence on the Impact of Preschool in the United States: A Review and Meta-Analysis - Blueprint Labs</w:t>
      </w:r>
      <w:r>
        <w:t>, https://blueprintlabs.mit.edu/research/lottery-evidence-on-the-impact-of-preschool-in-the-united-states-a-review-and-meta-analysis/ (accessed 18 June 2024).</w:t>
      </w:r>
    </w:p>
    <w:p w14:paraId="27E5C02D" w14:textId="77777777" w:rsidR="00396052" w:rsidRDefault="00396052" w:rsidP="00396052">
      <w:pPr>
        <w:pStyle w:val="Reference"/>
      </w:pPr>
      <w:r>
        <w:t xml:space="preserve">Brutti, Z and Montolio, D 2021, ‘Preventing criminal minds: Early education access and adult offending behavior’, </w:t>
      </w:r>
      <w:r>
        <w:rPr>
          <w:i/>
          <w:iCs/>
        </w:rPr>
        <w:t>Journal of Economic Behavior &amp; Organization</w:t>
      </w:r>
      <w:r>
        <w:t>, vol. 191, pp. 97–126.</w:t>
      </w:r>
    </w:p>
    <w:p w14:paraId="340A3FC3" w14:textId="77777777" w:rsidR="00396052" w:rsidRDefault="00396052" w:rsidP="00396052">
      <w:pPr>
        <w:pStyle w:val="Reference"/>
      </w:pPr>
      <w:r>
        <w:t xml:space="preserve">Callaway, B and Sant’Anna, PHC 2021, ‘Difference-in-Differences with multiple time periods’, </w:t>
      </w:r>
      <w:r>
        <w:rPr>
          <w:i/>
          <w:iCs/>
        </w:rPr>
        <w:t>Journal of Econometrics</w:t>
      </w:r>
      <w:r>
        <w:t>, vol. 225, no. 2, pp. 200–230.</w:t>
      </w:r>
    </w:p>
    <w:p w14:paraId="083CE546" w14:textId="77777777" w:rsidR="00396052" w:rsidRDefault="00396052" w:rsidP="00396052">
      <w:pPr>
        <w:pStyle w:val="Reference"/>
      </w:pPr>
      <w:r>
        <w:t xml:space="preserve">Carta, F and Rizzica, L 2018, ‘Early kindergarten, maternal labor supply and children’s outcomes: Evidence from Italy’, </w:t>
      </w:r>
      <w:r>
        <w:rPr>
          <w:i/>
          <w:iCs/>
        </w:rPr>
        <w:t>Journal of Public Economics</w:t>
      </w:r>
      <w:r>
        <w:t>, vol. 158, pp. 79–102.</w:t>
      </w:r>
    </w:p>
    <w:p w14:paraId="23346235" w14:textId="77777777" w:rsidR="00396052" w:rsidRDefault="00396052" w:rsidP="00396052">
      <w:pPr>
        <w:pStyle w:val="Reference"/>
      </w:pPr>
      <w:r>
        <w:t xml:space="preserve">Cascio, E and Schanzenbach, DW 2013, ‘The Impacts of Expanding Access to High-Quality Preschool Education’, Economic Studies Program, The Brookings Institution, </w:t>
      </w:r>
      <w:r>
        <w:rPr>
          <w:i/>
          <w:iCs/>
        </w:rPr>
        <w:t>Brookings Papers on Economic Activity</w:t>
      </w:r>
      <w:r>
        <w:t>, vol. 44, 2 (Fall), pp. 127–192.</w:t>
      </w:r>
    </w:p>
    <w:p w14:paraId="2BA85270" w14:textId="77777777" w:rsidR="00396052" w:rsidRDefault="00396052" w:rsidP="00396052">
      <w:pPr>
        <w:pStyle w:val="Reference"/>
      </w:pPr>
      <w:r>
        <w:t xml:space="preserve">Cascio, EU 2023, ‘Does Universal Preschool Hit the Target?: Program Access and Preschool Impacts’, University of Wisconsin Press, </w:t>
      </w:r>
      <w:r>
        <w:rPr>
          <w:i/>
          <w:iCs/>
        </w:rPr>
        <w:t>Journal of Human Resources</w:t>
      </w:r>
      <w:r>
        <w:t>, vol. 58, no. 1, pp. 1–42.</w:t>
      </w:r>
    </w:p>
    <w:p w14:paraId="736F5B97" w14:textId="77777777" w:rsidR="00396052" w:rsidRDefault="00396052" w:rsidP="00396052">
      <w:pPr>
        <w:pStyle w:val="Reference"/>
      </w:pPr>
      <w:r>
        <w:t xml:space="preserve">Cattan, S, Conti, G, Farquharson, C, Ginja, R and Pecher, M 2021, ‘The health impacts of universal early childhood interventions: evidence from Sure Start’, </w:t>
      </w:r>
      <w:r>
        <w:lastRenderedPageBreak/>
        <w:t>https://ideas.repec.org//p/ifs/ifsewp/21-25.html (accessed 1 August 2023).</w:t>
      </w:r>
    </w:p>
    <w:p w14:paraId="1219A5F2" w14:textId="77777777" w:rsidR="00396052" w:rsidRDefault="00396052" w:rsidP="00396052">
      <w:pPr>
        <w:pStyle w:val="Reference"/>
      </w:pPr>
      <w:r>
        <w:t xml:space="preserve">de Chaisemartin, C 2017, ‘Tolerating defiance? Local average treatment effects without monotonicity’, </w:t>
      </w:r>
      <w:r>
        <w:rPr>
          <w:i/>
          <w:iCs/>
        </w:rPr>
        <w:t>Quantitative Economics</w:t>
      </w:r>
      <w:r>
        <w:t>, vol. 8, no. 2, pp. 367–396.</w:t>
      </w:r>
    </w:p>
    <w:p w14:paraId="7CFFF294" w14:textId="22E95CC8" w:rsidR="00396052" w:rsidRDefault="00396052" w:rsidP="00396052">
      <w:pPr>
        <w:pStyle w:val="Reference"/>
      </w:pPr>
      <w:r>
        <w:t xml:space="preserve">—— and D’Haultfœuille, X 2023, </w:t>
      </w:r>
      <w:r>
        <w:rPr>
          <w:i/>
          <w:iCs/>
        </w:rPr>
        <w:t>Difference-in-Differences for Simple and Complex Natural Experiments</w:t>
      </w:r>
      <w:r>
        <w:t>, SSRN Scholarly Paper, Rochester, NY, https://papers.ssrn.com/abstract=</w:t>
      </w:r>
      <w:r w:rsidR="008E5E61">
        <w:br/>
      </w:r>
      <w:r>
        <w:t>4487202 (accessed 24 June 2024).</w:t>
      </w:r>
    </w:p>
    <w:p w14:paraId="020A046A" w14:textId="77777777" w:rsidR="00396052" w:rsidRDefault="00396052" w:rsidP="00396052">
      <w:pPr>
        <w:pStyle w:val="Reference"/>
      </w:pPr>
      <w:r>
        <w:t xml:space="preserve">Chiu, A, Lan, X, Liu, Z and Xu, Y 2023, </w:t>
      </w:r>
      <w:r>
        <w:rPr>
          <w:i/>
          <w:iCs/>
        </w:rPr>
        <w:t>What To Do (and Not to Do) with Causal Panel Analysis under Parallel Trends: Lessons from A Large Reanalysis Study</w:t>
      </w:r>
    </w:p>
    <w:p w14:paraId="555818AB" w14:textId="77777777" w:rsidR="00396052" w:rsidRPr="008E5E61" w:rsidRDefault="00396052" w:rsidP="00396052">
      <w:pPr>
        <w:pStyle w:val="Reference"/>
        <w:rPr>
          <w:spacing w:val="-4"/>
        </w:rPr>
      </w:pPr>
      <w:r w:rsidRPr="008E5E61">
        <w:rPr>
          <w:spacing w:val="-4"/>
        </w:rPr>
        <w:t xml:space="preserve">Chor, E, Andresen, ME and Kalil, A 2016, ‘The impact of universal prekindergarten on family behavior and child outcomes’, </w:t>
      </w:r>
      <w:r w:rsidRPr="008E5E61">
        <w:rPr>
          <w:i/>
          <w:iCs/>
          <w:spacing w:val="-4"/>
        </w:rPr>
        <w:t>Economics of Education Review</w:t>
      </w:r>
      <w:r w:rsidRPr="008E5E61">
        <w:rPr>
          <w:spacing w:val="-4"/>
        </w:rPr>
        <w:t>, vol. 55, pp. 168–181.</w:t>
      </w:r>
    </w:p>
    <w:p w14:paraId="2FB740E0" w14:textId="77777777" w:rsidR="00396052" w:rsidRDefault="00396052" w:rsidP="00396052">
      <w:pPr>
        <w:pStyle w:val="Reference"/>
      </w:pPr>
      <w:r>
        <w:t xml:space="preserve">Corazzini, L, Meschi, E and Pavese, C 2021, ‘Impact of early childcare on immigrant children’s educational performance’, </w:t>
      </w:r>
      <w:r>
        <w:rPr>
          <w:i/>
          <w:iCs/>
        </w:rPr>
        <w:t>Economics of Education Review</w:t>
      </w:r>
      <w:r>
        <w:t>, vol. 85, p. 102181.</w:t>
      </w:r>
    </w:p>
    <w:p w14:paraId="2440994F" w14:textId="77777777" w:rsidR="00396052" w:rsidRDefault="00396052" w:rsidP="00396052">
      <w:pPr>
        <w:pStyle w:val="Reference"/>
      </w:pPr>
      <w:r>
        <w:t xml:space="preserve">Cornelissen, T, Dustmann, C, Raute, A and Schönberg, U 2018, ‘Who Benefits from Universal Child Care? Estimating Marginal Returns to Early Child Care Attendance’, The University of Chicago Press, </w:t>
      </w:r>
      <w:r>
        <w:rPr>
          <w:i/>
          <w:iCs/>
        </w:rPr>
        <w:t>Journal of Political Economy</w:t>
      </w:r>
      <w:r>
        <w:t>, vol. 126, no. 6, pp. 2356–2409.</w:t>
      </w:r>
    </w:p>
    <w:p w14:paraId="5D462D8F" w14:textId="77777777" w:rsidR="00396052" w:rsidRDefault="00396052" w:rsidP="00396052">
      <w:pPr>
        <w:pStyle w:val="Reference"/>
      </w:pPr>
      <w:r>
        <w:t xml:space="preserve">Dearing, E, Zachrisson, H and Nærde, A 2015, ‘Age of Entry Into Early Childhood Education and Care and Aggression: Faint and fading associations for young Norwegian children’, </w:t>
      </w:r>
      <w:r>
        <w:rPr>
          <w:i/>
          <w:iCs/>
        </w:rPr>
        <w:t>Psychological science</w:t>
      </w:r>
      <w:r>
        <w:t>, vol. 26.</w:t>
      </w:r>
    </w:p>
    <w:p w14:paraId="684EBA30" w14:textId="77777777" w:rsidR="00396052" w:rsidRDefault="00396052" w:rsidP="00396052">
      <w:pPr>
        <w:pStyle w:val="Reference"/>
      </w:pPr>
      <w:r>
        <w:t xml:space="preserve">DeMalach, E and Schlosser, A 2024, </w:t>
      </w:r>
      <w:r>
        <w:rPr>
          <w:i/>
          <w:iCs/>
        </w:rPr>
        <w:t>Short- and Long-Term Effects of Universal Preschool: Evidence from the Arab Population in Israel</w:t>
      </w:r>
      <w:r>
        <w:t>, https://papers.ssrn.com/sol3/papers.cfm?abstract_id=4711261 (accessed 22 June 2024).</w:t>
      </w:r>
    </w:p>
    <w:p w14:paraId="2F49AB37" w14:textId="77777777" w:rsidR="00396052" w:rsidRDefault="00396052" w:rsidP="00396052">
      <w:pPr>
        <w:pStyle w:val="Reference"/>
      </w:pPr>
      <w:r>
        <w:t xml:space="preserve">Drange, N and Havnes, T 2019, ‘Early Childcare and Cognitive Development: Evidence from an Assignment Lottery’, The University of Chicago Press, </w:t>
      </w:r>
      <w:r>
        <w:rPr>
          <w:i/>
          <w:iCs/>
        </w:rPr>
        <w:t>Journal of Labor Economics</w:t>
      </w:r>
      <w:r>
        <w:t>, vol. 37, no. 2, pp. 581–620.</w:t>
      </w:r>
    </w:p>
    <w:p w14:paraId="383A2669" w14:textId="77777777" w:rsidR="00396052" w:rsidRDefault="00396052" w:rsidP="00396052">
      <w:pPr>
        <w:pStyle w:val="Reference"/>
      </w:pPr>
      <w:r>
        <w:t xml:space="preserve">Duncan, GJ, Magnuson, KA and Ludwig, J 2004, ‘The endogeneity problem in developmental studies’, Lawrence Erlbaum, US, </w:t>
      </w:r>
      <w:r>
        <w:rPr>
          <w:i/>
          <w:iCs/>
        </w:rPr>
        <w:t>Research in Human Development</w:t>
      </w:r>
      <w:r>
        <w:t>, vol. 1, pp. 59–80.</w:t>
      </w:r>
    </w:p>
    <w:p w14:paraId="29E06449" w14:textId="77777777" w:rsidR="00396052" w:rsidRDefault="00396052" w:rsidP="00396052">
      <w:pPr>
        <w:pStyle w:val="Reference"/>
      </w:pPr>
      <w:r>
        <w:t xml:space="preserve">Durkin, K, Lipsey, MW, Farran, DC and Wiesen, SE 2022, ‘Effects of a statewide pre-kindergarten program on children’s achievement and behavior through sixth grade’, American Psychological Association, US, </w:t>
      </w:r>
      <w:r>
        <w:rPr>
          <w:i/>
          <w:iCs/>
        </w:rPr>
        <w:t>Developmental Psychology</w:t>
      </w:r>
      <w:r>
        <w:t>, vol. 58, pp. 470–484.</w:t>
      </w:r>
    </w:p>
    <w:p w14:paraId="20740BB4" w14:textId="77777777" w:rsidR="00396052" w:rsidRDefault="00396052" w:rsidP="00396052">
      <w:pPr>
        <w:pStyle w:val="Reference"/>
      </w:pPr>
      <w:r>
        <w:t xml:space="preserve">Felfe, C and Huber, M 2017, ‘Felfe and Huber (2017) Does preschool boost the development of minority children the case of Roma children’, [Wiley, Royal Statistical Society], </w:t>
      </w:r>
      <w:r>
        <w:rPr>
          <w:i/>
          <w:iCs/>
        </w:rPr>
        <w:t>Journal of the Royal Statistical Society. Series A (Statistics in Society)</w:t>
      </w:r>
      <w:r>
        <w:t>, vol. 180, no. 2, pp. 475–502.</w:t>
      </w:r>
    </w:p>
    <w:p w14:paraId="1EF1C14C" w14:textId="77777777" w:rsidR="00396052" w:rsidRDefault="00396052" w:rsidP="00396052">
      <w:pPr>
        <w:pStyle w:val="Reference"/>
      </w:pPr>
      <w:r>
        <w:t xml:space="preserve">—— and Lalive, R 2018, ‘Does early child care affect children’s development?’, </w:t>
      </w:r>
      <w:r>
        <w:rPr>
          <w:i/>
          <w:iCs/>
        </w:rPr>
        <w:t>Journal of Public Economics</w:t>
      </w:r>
      <w:r>
        <w:t>, vol. 159, pp. 33–53.</w:t>
      </w:r>
    </w:p>
    <w:p w14:paraId="3B915055" w14:textId="77777777" w:rsidR="00396052" w:rsidRDefault="00396052" w:rsidP="00396052">
      <w:pPr>
        <w:pStyle w:val="Reference"/>
      </w:pPr>
      <w:r>
        <w:t xml:space="preserve">——, Nollenberger, N and Rodríguez-Planas, N 2015, ‘Can’t buy mommy’s love? Universal childcare and children’s long-term cognitive development’, </w:t>
      </w:r>
      <w:r>
        <w:rPr>
          <w:i/>
          <w:iCs/>
        </w:rPr>
        <w:t>Journal of Population Economics</w:t>
      </w:r>
      <w:r>
        <w:t>, vol. 28, no. 2, pp. 393–422.</w:t>
      </w:r>
    </w:p>
    <w:p w14:paraId="50C3B0E8" w14:textId="77777777" w:rsidR="00396052" w:rsidRDefault="00396052" w:rsidP="00396052">
      <w:pPr>
        <w:pStyle w:val="Reference"/>
      </w:pPr>
      <w:r>
        <w:t xml:space="preserve">Figlio, D and Roth, J 2011, ‘The Problems of Disadvantaged Youth: An Economic Perspective: The Behavioral Consequences of Pre-Kindergarten Participation for Disadvantaged Youth’, </w:t>
      </w:r>
      <w:r>
        <w:rPr>
          <w:i/>
          <w:iCs/>
        </w:rPr>
        <w:t>NBER Book Chapters</w:t>
      </w:r>
      <w:r>
        <w:t>.</w:t>
      </w:r>
    </w:p>
    <w:p w14:paraId="7E66A0EC" w14:textId="1D07EA6F" w:rsidR="00396052" w:rsidRDefault="00396052" w:rsidP="00396052">
      <w:pPr>
        <w:pStyle w:val="Reference"/>
      </w:pPr>
      <w:r>
        <w:t xml:space="preserve">Folkestad, M 2022, </w:t>
      </w:r>
      <w:r>
        <w:rPr>
          <w:i/>
          <w:iCs/>
        </w:rPr>
        <w:t>Pre-school or parental care - what is the effect on school performance at age sixteen? Evidence from a Swedish child care reform</w:t>
      </w:r>
      <w:r>
        <w:t>, https://mattiasfolkestad.com/</w:t>
      </w:r>
      <w:r w:rsidR="008E5E61">
        <w:br/>
      </w:r>
      <w:r>
        <w:t>research/ (accessed 1 August 2023).</w:t>
      </w:r>
    </w:p>
    <w:p w14:paraId="42388C79" w14:textId="77777777" w:rsidR="00396052" w:rsidRDefault="00396052" w:rsidP="00396052">
      <w:pPr>
        <w:pStyle w:val="Reference"/>
      </w:pPr>
      <w:r>
        <w:t xml:space="preserve">Fort, M, Ichino, A and Zanella, G 2020, ‘Cognitive and Noncognitive Costs of Day Care at Age 0–2 for Children in Advantaged Families’, The University of Chicago Press, </w:t>
      </w:r>
      <w:r>
        <w:rPr>
          <w:i/>
          <w:iCs/>
        </w:rPr>
        <w:t>Journal of Political Economy</w:t>
      </w:r>
      <w:r>
        <w:t>, vol. 128, no. 1, pp. 158–205.</w:t>
      </w:r>
    </w:p>
    <w:p w14:paraId="0E71D8D9" w14:textId="77777777" w:rsidR="00396052" w:rsidRDefault="00396052" w:rsidP="00396052">
      <w:pPr>
        <w:pStyle w:val="Reference"/>
      </w:pPr>
      <w:r>
        <w:t xml:space="preserve">Gelman, A, Hill, J and Vehtari, A 2020, </w:t>
      </w:r>
      <w:r>
        <w:rPr>
          <w:i/>
          <w:iCs/>
        </w:rPr>
        <w:t>Regression and Other Stories</w:t>
      </w:r>
      <w:r>
        <w:t>, Cambridge University Press, Higher Education from Cambridge University Press, https://www.cambridge.org/highereducation/books/regression-and-other-stories/DD20DD6C9057118581076E54E40C372C (accessed 6 September 2023).</w:t>
      </w:r>
    </w:p>
    <w:p w14:paraId="4098BCF9" w14:textId="5BC7F06E" w:rsidR="00396052" w:rsidRDefault="00396052" w:rsidP="00396052">
      <w:pPr>
        <w:pStyle w:val="Reference"/>
      </w:pPr>
      <w:r>
        <w:t xml:space="preserve">Gørtz, M, Jensen, VM and Sander, S 2024, </w:t>
      </w:r>
      <w:r>
        <w:rPr>
          <w:i/>
          <w:iCs/>
        </w:rPr>
        <w:t>Daycare Enrollment Age and Child Development</w:t>
      </w:r>
      <w:r>
        <w:t>, IZA Discussion paper, 16881, https://papers.ssrn.com/sol3/papers.cfm?</w:t>
      </w:r>
      <w:r w:rsidR="003B1EC4">
        <w:br/>
      </w:r>
      <w:r>
        <w:t>abstract_id=4774106 (accessed 22 June 2024).</w:t>
      </w:r>
    </w:p>
    <w:p w14:paraId="3E966284" w14:textId="77777777" w:rsidR="00396052" w:rsidRDefault="00396052" w:rsidP="00396052">
      <w:pPr>
        <w:pStyle w:val="Reference"/>
      </w:pPr>
      <w:r>
        <w:t xml:space="preserve">Gray-Lobe, G, Pathak, PA and Walters, C 2023, ‘The Long-Term Effects of Universal Preschool in Boston’, </w:t>
      </w:r>
      <w:r>
        <w:rPr>
          <w:i/>
          <w:iCs/>
        </w:rPr>
        <w:t>The Quarterly Journal of Economics</w:t>
      </w:r>
      <w:r>
        <w:t>, vol. 138, no. 1, pp. 363–411.</w:t>
      </w:r>
    </w:p>
    <w:p w14:paraId="2A4E356D" w14:textId="77777777" w:rsidR="00396052" w:rsidRDefault="00396052" w:rsidP="00396052">
      <w:pPr>
        <w:pStyle w:val="Reference"/>
      </w:pPr>
      <w:r>
        <w:t xml:space="preserve">Gruber, J, Kosonen, T and Huttunen, K 2023, </w:t>
      </w:r>
      <w:r>
        <w:rPr>
          <w:i/>
          <w:iCs/>
        </w:rPr>
        <w:t>Paying Moms to Stay Home: Short and Long Run Effects on Parents and Children</w:t>
      </w:r>
      <w:r>
        <w:t>, National Bureau of Economic Research, https://www.nber.org/papers/w30931 (accessed 14 June 2023).</w:t>
      </w:r>
    </w:p>
    <w:p w14:paraId="1564576A" w14:textId="12E84EB0" w:rsidR="00396052" w:rsidRDefault="00396052" w:rsidP="00396052">
      <w:pPr>
        <w:pStyle w:val="Reference"/>
      </w:pPr>
      <w:r>
        <w:t>Haimovich Paz, F 2015, ‘Three Essays on the Economics of Education and Early Childhood’, https://escholarship.org/uc/</w:t>
      </w:r>
      <w:r w:rsidR="008E5E61">
        <w:br/>
      </w:r>
      <w:r>
        <w:t>item/4vd7d3x9 (accessed 1 August 2023).</w:t>
      </w:r>
    </w:p>
    <w:p w14:paraId="457A358E" w14:textId="77777777" w:rsidR="00396052" w:rsidRDefault="00396052" w:rsidP="00396052">
      <w:pPr>
        <w:pStyle w:val="Reference"/>
      </w:pPr>
      <w:r>
        <w:t xml:space="preserve">Havnes, T and Mogstad, M 2011, ‘No Child Left Behind: Subsidized Child Care and Children’s Long-Run Outcomes’, American Economic Association, </w:t>
      </w:r>
      <w:r>
        <w:rPr>
          <w:i/>
          <w:iCs/>
        </w:rPr>
        <w:t>American Economic Journal: Economic Policy</w:t>
      </w:r>
      <w:r>
        <w:t>, vol. 3, no. 2, pp. 97–129.</w:t>
      </w:r>
    </w:p>
    <w:p w14:paraId="7C655D54" w14:textId="77777777" w:rsidR="00396052" w:rsidRDefault="00396052" w:rsidP="00396052">
      <w:pPr>
        <w:pStyle w:val="Reference"/>
      </w:pPr>
      <w:r>
        <w:t xml:space="preserve">—— and —— 2015, ‘Is universal child care leveling the playing field?’, </w:t>
      </w:r>
      <w:r>
        <w:rPr>
          <w:i/>
          <w:iCs/>
        </w:rPr>
        <w:t>Journal of Public Economics</w:t>
      </w:r>
      <w:r>
        <w:t>, vol. 127, pp. 100–114.</w:t>
      </w:r>
    </w:p>
    <w:p w14:paraId="57BA4A10" w14:textId="77777777" w:rsidR="00396052" w:rsidRDefault="00396052" w:rsidP="00396052">
      <w:pPr>
        <w:pStyle w:val="Reference"/>
      </w:pPr>
      <w:r>
        <w:t xml:space="preserve">Herbst, CM 2017, ‘Universal Child Care, Maternal Employment, and Children’s Long-Run Outcomes: Evidence from the US Lanham Act of 1940’, The University of Chicago Press, </w:t>
      </w:r>
      <w:r>
        <w:rPr>
          <w:i/>
          <w:iCs/>
        </w:rPr>
        <w:t>Journal of Labor Economics</w:t>
      </w:r>
      <w:r>
        <w:t>, vol. 35, no. 2, pp. 519–564.</w:t>
      </w:r>
    </w:p>
    <w:p w14:paraId="20B82D0B" w14:textId="77777777" w:rsidR="00396052" w:rsidRDefault="00396052" w:rsidP="00396052">
      <w:pPr>
        <w:pStyle w:val="Reference"/>
      </w:pPr>
      <w:r>
        <w:t xml:space="preserve">van Huizen, T, Dumhs, L and Plantenga, J 2019, ‘The Costs and Benefits of Investing in Universal Preschool: Evidence From a Spanish Reform’, </w:t>
      </w:r>
      <w:r>
        <w:rPr>
          <w:i/>
          <w:iCs/>
        </w:rPr>
        <w:t>Child Development</w:t>
      </w:r>
      <w:r>
        <w:t>, vol. 90, no. 3, pp. e386–e406.</w:t>
      </w:r>
    </w:p>
    <w:p w14:paraId="54A4C1AE" w14:textId="77777777" w:rsidR="00396052" w:rsidRDefault="00396052" w:rsidP="00396052">
      <w:pPr>
        <w:pStyle w:val="Reference"/>
      </w:pPr>
      <w:r>
        <w:t xml:space="preserve">Hustedt, JT, Jung, K, Friedman-Krauss, AH, Barnett, WS and Slicker, G 2021, ‘Impacts of the New Mexico PreK initiative by children’s race/ethnicity’, </w:t>
      </w:r>
      <w:r>
        <w:rPr>
          <w:i/>
          <w:iCs/>
        </w:rPr>
        <w:t>Early Childhood Research Quarterly</w:t>
      </w:r>
      <w:r>
        <w:t>, vol. 54, pp. 194–203.</w:t>
      </w:r>
    </w:p>
    <w:p w14:paraId="4FA72360" w14:textId="77777777" w:rsidR="00396052" w:rsidRDefault="00396052" w:rsidP="00396052">
      <w:pPr>
        <w:pStyle w:val="Reference"/>
      </w:pPr>
      <w:r>
        <w:t xml:space="preserve">Imbens, GW 2021, ‘Statistical Significance, p-Values, and the Reporting of Uncertainty’, </w:t>
      </w:r>
      <w:r>
        <w:rPr>
          <w:i/>
          <w:iCs/>
        </w:rPr>
        <w:t>Journal of Economic Perspectives</w:t>
      </w:r>
      <w:r>
        <w:t>, vol. 35, no. 3, pp. 157–174.</w:t>
      </w:r>
    </w:p>
    <w:p w14:paraId="5A04FAAE" w14:textId="77777777" w:rsidR="00396052" w:rsidRDefault="00396052" w:rsidP="00396052">
      <w:pPr>
        <w:pStyle w:val="Reference"/>
      </w:pPr>
      <w:r>
        <w:t xml:space="preserve">Johnson, RC and Jackson, CK 2019, ‘Reducing Inequality through Dynamic Complementarity: Evidence from Head Start and Public School Spending’, </w:t>
      </w:r>
      <w:r>
        <w:rPr>
          <w:i/>
          <w:iCs/>
        </w:rPr>
        <w:t>American Economic Journal: Economic Policy</w:t>
      </w:r>
      <w:r>
        <w:t>, vol. 11, no. 4, pp. 310–349.</w:t>
      </w:r>
    </w:p>
    <w:p w14:paraId="0C11D921" w14:textId="59A40EFB" w:rsidR="00396052" w:rsidRDefault="00396052" w:rsidP="00396052">
      <w:pPr>
        <w:pStyle w:val="Reference"/>
      </w:pPr>
      <w:r>
        <w:t>Kawarazaki, H 2023, ‘Early childhood education and care: effects after half a century and their mechanisms | Journal of Population Economics’, https://link.springer.com/article/</w:t>
      </w:r>
      <w:r w:rsidR="00411A45">
        <w:br/>
      </w:r>
      <w:r>
        <w:t>10.1007/s00148-022-00899-w#appendices (accessed 12 May 2024).</w:t>
      </w:r>
    </w:p>
    <w:p w14:paraId="23C37A64" w14:textId="77777777" w:rsidR="00396052" w:rsidRDefault="00396052" w:rsidP="00396052">
      <w:pPr>
        <w:pStyle w:val="Reference"/>
      </w:pPr>
      <w:r>
        <w:lastRenderedPageBreak/>
        <w:t xml:space="preserve">Keane, M and Neal, T 2023, ‘Instrument strength in IV estimation and inference: A guide to theory and practice’, </w:t>
      </w:r>
      <w:r>
        <w:rPr>
          <w:i/>
          <w:iCs/>
        </w:rPr>
        <w:t>Journal of Econometrics</w:t>
      </w:r>
      <w:r>
        <w:t>, vol. 235.</w:t>
      </w:r>
    </w:p>
    <w:p w14:paraId="1D3B1909" w14:textId="77777777" w:rsidR="00396052" w:rsidRDefault="00396052" w:rsidP="00396052">
      <w:pPr>
        <w:pStyle w:val="Reference"/>
      </w:pPr>
      <w:r>
        <w:t xml:space="preserve">Kottelenberg, MJ and Lehrer, SF 2013, ‘New Evidence on the Impacts of Access to and Attending Universal Child-Care in Canada’, </w:t>
      </w:r>
      <w:r>
        <w:rPr>
          <w:i/>
          <w:iCs/>
        </w:rPr>
        <w:t>Canadian Public Policy / Analyse de Politiques</w:t>
      </w:r>
      <w:r>
        <w:t>, vol. 39, no. 2, pp. 263–285.</w:t>
      </w:r>
    </w:p>
    <w:p w14:paraId="7F3C256A" w14:textId="77777777" w:rsidR="00396052" w:rsidRDefault="00396052" w:rsidP="00396052">
      <w:pPr>
        <w:pStyle w:val="Reference"/>
      </w:pPr>
      <w:r>
        <w:t>Kuehnle, D and Oberfichtner, M 2017, ‘Does Early Child Care Attendance Influence Children’s Cognitive and Non-Cognitive Skill Development?’, https://papers.ssrn.com/sol3/papers.cfm?abstract_id=2949097 (accessed 31 July 2023).</w:t>
      </w:r>
    </w:p>
    <w:p w14:paraId="417447B9" w14:textId="77777777" w:rsidR="00396052" w:rsidRPr="008E5E61" w:rsidRDefault="00396052" w:rsidP="00396052">
      <w:pPr>
        <w:pStyle w:val="Reference"/>
        <w:rPr>
          <w:spacing w:val="-4"/>
        </w:rPr>
      </w:pPr>
      <w:r w:rsidRPr="008E5E61">
        <w:rPr>
          <w:spacing w:val="-4"/>
        </w:rPr>
        <w:t xml:space="preserve">Lacey, L 2023, ‘The physical and mental health returns of Head Start 25 years after participation: Evidence from income eligibility cutoffs’, </w:t>
      </w:r>
      <w:r w:rsidRPr="008E5E61">
        <w:rPr>
          <w:i/>
          <w:iCs/>
          <w:spacing w:val="-4"/>
        </w:rPr>
        <w:t>Economic Inquiry</w:t>
      </w:r>
      <w:r w:rsidRPr="008E5E61">
        <w:rPr>
          <w:spacing w:val="-4"/>
        </w:rPr>
        <w:t>, vol. 61, no. 4, pp. 870–890.</w:t>
      </w:r>
    </w:p>
    <w:p w14:paraId="24F0538F" w14:textId="77777777" w:rsidR="00396052" w:rsidRDefault="00396052" w:rsidP="00396052">
      <w:pPr>
        <w:pStyle w:val="Reference"/>
      </w:pPr>
      <w:r>
        <w:t xml:space="preserve">Leuven, E, Lindahl, M, Oosterbeek, H and Webbink, D 2006, ‘Expanding Schooling Opportunities for 4-Year-Olds’, Institute of Labor Economics (IZA), </w:t>
      </w:r>
      <w:r>
        <w:rPr>
          <w:i/>
          <w:iCs/>
        </w:rPr>
        <w:t>IZA Discussion Papers</w:t>
      </w:r>
      <w:r>
        <w:t>, https://ideas.repec.org//p/iza/izadps/dp2434.html (accessed 6 June 2023).</w:t>
      </w:r>
    </w:p>
    <w:p w14:paraId="32C25623" w14:textId="77777777" w:rsidR="00396052" w:rsidRDefault="00396052" w:rsidP="00396052">
      <w:pPr>
        <w:pStyle w:val="Reference"/>
      </w:pPr>
      <w:r>
        <w:t xml:space="preserve">Lipsey, MW, Farran, DC and Durkin, K 2018, ‘Effects of the Tennessee Prekindergarten Program on children’s achievement and behavior through third grade’, </w:t>
      </w:r>
      <w:r>
        <w:rPr>
          <w:i/>
          <w:iCs/>
        </w:rPr>
        <w:t>Early Childhood Research Quarterly</w:t>
      </w:r>
      <w:r>
        <w:t>, vol. 45, pp. 155–176.</w:t>
      </w:r>
    </w:p>
    <w:p w14:paraId="646F579A" w14:textId="77777777" w:rsidR="00396052" w:rsidRDefault="00396052" w:rsidP="00396052">
      <w:pPr>
        <w:pStyle w:val="Reference"/>
      </w:pPr>
      <w:r>
        <w:t>Melhuish, E, Ereky-Stevens, K, Petrogiannis, K, Ariescu, A, Penderi, E, Rentzou, K, Tawell, A, Slot, P, Broekhuizen, M and Leseman, P 2015, ‘A review of research on the effects of Early Childhood Education and Care (ECEC) upon child development. CARE project; Curriculum Quality Analysis and Impact Review of European Early Childhood Education and Care (ECEC)’.</w:t>
      </w:r>
    </w:p>
    <w:p w14:paraId="1E809573" w14:textId="77777777" w:rsidR="00396052" w:rsidRDefault="00396052" w:rsidP="00396052">
      <w:pPr>
        <w:pStyle w:val="Reference"/>
      </w:pPr>
      <w:r>
        <w:t xml:space="preserve">Montpetit, S, Beauregard, P-L and Carrer, L 2024, </w:t>
      </w:r>
      <w:r>
        <w:rPr>
          <w:i/>
          <w:iCs/>
        </w:rPr>
        <w:t>A welfare analysis of universal childcare: lessons from a Canadian reform</w:t>
      </w:r>
      <w:r>
        <w:t>.</w:t>
      </w:r>
    </w:p>
    <w:p w14:paraId="45F222D6" w14:textId="77777777" w:rsidR="00396052" w:rsidRDefault="00396052" w:rsidP="00396052">
      <w:pPr>
        <w:pStyle w:val="Reference"/>
      </w:pPr>
      <w:r>
        <w:t xml:space="preserve">Montrosse-Moorhead, B, Dougherty, SM, La Salle, TP, Weiner, JM and Dostal, HM 2019, ‘The overall and differential effects of a targeted prekindergarten program: Evidence from Connecticut’, </w:t>
      </w:r>
      <w:r>
        <w:rPr>
          <w:i/>
          <w:iCs/>
        </w:rPr>
        <w:t>Early Childhood Research Quarterly</w:t>
      </w:r>
      <w:r>
        <w:t>, vol. 48, pp. 134–145.</w:t>
      </w:r>
    </w:p>
    <w:p w14:paraId="752F3F36" w14:textId="77777777" w:rsidR="00396052" w:rsidRDefault="00396052" w:rsidP="00396052">
      <w:pPr>
        <w:pStyle w:val="Reference"/>
      </w:pPr>
      <w:r>
        <w:t xml:space="preserve">Oster, E 2019, ‘Unobservable Selection and Coefficient Stability: Theory and Evidence’, Taylor &amp; Francis, </w:t>
      </w:r>
      <w:r>
        <w:rPr>
          <w:i/>
          <w:iCs/>
        </w:rPr>
        <w:t>Journal of Business &amp; Economic Statistics</w:t>
      </w:r>
      <w:r>
        <w:t>, vol. 37, no. 2, pp. 187–204.</w:t>
      </w:r>
    </w:p>
    <w:p w14:paraId="3098E1CB" w14:textId="77777777" w:rsidR="00396052" w:rsidRDefault="00396052" w:rsidP="00396052">
      <w:pPr>
        <w:pStyle w:val="Reference"/>
      </w:pPr>
      <w:r>
        <w:t>Pion, G and Lipsey, M 2021, ‘Impact of the Tennessee Voluntary Prekindergarten Program on  Children’s Literacy, Language, and Mathematics Skills: Results From a  Regression-Discontinuity Design’.</w:t>
      </w:r>
    </w:p>
    <w:p w14:paraId="741B073A" w14:textId="77777777" w:rsidR="00396052" w:rsidRDefault="00396052" w:rsidP="00396052">
      <w:pPr>
        <w:pStyle w:val="Reference"/>
      </w:pPr>
      <w:r>
        <w:t xml:space="preserve">Rossin-Slater, M and Wüst, M 2020, ‘What Is the Added Value of Preschool for Poor Children? Long-Term and Intergenerational Impacts and Interactions with an Infant </w:t>
      </w:r>
      <w:r>
        <w:t xml:space="preserve">Health Intervention’, </w:t>
      </w:r>
      <w:r>
        <w:rPr>
          <w:i/>
          <w:iCs/>
        </w:rPr>
        <w:t>American Economic Journal: Applied Economics</w:t>
      </w:r>
      <w:r>
        <w:t>, vol. 12, no. 3, pp. 255–286.</w:t>
      </w:r>
    </w:p>
    <w:p w14:paraId="4BF13E25" w14:textId="77777777" w:rsidR="00396052" w:rsidRDefault="00396052" w:rsidP="00396052">
      <w:pPr>
        <w:pStyle w:val="Reference"/>
      </w:pPr>
      <w:r>
        <w:t>Schlotter, M 2011, ‘Age at Preschool Entrance and Noncognitive Skills before School - An Instrumental Variable Approach’, https://www.ifo.de/en/publications/2011/working-paper/age-preschool-entrance-and-noncognitive-skills-school-instrumental (accessed 1 August 2023).</w:t>
      </w:r>
    </w:p>
    <w:p w14:paraId="00E9F7DF" w14:textId="77777777" w:rsidR="00396052" w:rsidRDefault="00396052" w:rsidP="00396052">
      <w:pPr>
        <w:pStyle w:val="Reference"/>
      </w:pPr>
      <w:r>
        <w:t>Silliman, M and Mäkinen, J 2022, ‘Childcare, social skills, and the labour market’.</w:t>
      </w:r>
    </w:p>
    <w:p w14:paraId="2AD6E51A" w14:textId="77777777" w:rsidR="00396052" w:rsidRDefault="00396052" w:rsidP="00396052">
      <w:pPr>
        <w:pStyle w:val="Reference"/>
      </w:pPr>
      <w:r>
        <w:t xml:space="preserve">Słoczyński, T 2021, ‘When Should We (Not) Interpret Linear IV Estimands as LATE?’, Institute of Labor Economics (IZA), </w:t>
      </w:r>
      <w:r>
        <w:rPr>
          <w:i/>
          <w:iCs/>
        </w:rPr>
        <w:t>IZA Discussion Papers</w:t>
      </w:r>
      <w:r>
        <w:t>, https://ideas.repec.org//p/iza/izadps/dp14349.html (accessed 24 June 2024).</w:t>
      </w:r>
    </w:p>
    <w:p w14:paraId="111FEE0A" w14:textId="77777777" w:rsidR="00396052" w:rsidRDefault="00396052" w:rsidP="00396052">
      <w:pPr>
        <w:pStyle w:val="Reference"/>
      </w:pPr>
      <w:r>
        <w:t xml:space="preserve">—— 2022, ‘Interpreting OLS Estimands When Treatment Effects Are Heterogeneous: Smaller Groups Get Larger Weights’, </w:t>
      </w:r>
      <w:r>
        <w:rPr>
          <w:i/>
          <w:iCs/>
        </w:rPr>
        <w:t>The Review of Economics and Statistics</w:t>
      </w:r>
      <w:r>
        <w:t>, vol. 104, no. 3, pp. 501–509.</w:t>
      </w:r>
    </w:p>
    <w:p w14:paraId="10FBC193" w14:textId="77777777" w:rsidR="00396052" w:rsidRDefault="00396052" w:rsidP="00396052">
      <w:pPr>
        <w:pStyle w:val="Reference"/>
      </w:pPr>
      <w:r>
        <w:t xml:space="preserve">Smith, A 2015, </w:t>
      </w:r>
      <w:r>
        <w:rPr>
          <w:i/>
          <w:iCs/>
        </w:rPr>
        <w:t>The Long-Run Effects of Universal Pre-K on Criminal Activity</w:t>
      </w:r>
      <w:r>
        <w:t>, https://papers.ssrn.com/abstract=2685507 (accessed 5 June 2023).</w:t>
      </w:r>
    </w:p>
    <w:p w14:paraId="253DEE9F" w14:textId="77777777" w:rsidR="00396052" w:rsidRDefault="00396052" w:rsidP="00396052">
      <w:pPr>
        <w:pStyle w:val="Reference"/>
      </w:pPr>
      <w:r>
        <w:t xml:space="preserve">Sun, L and Abraham, S 2021, ‘Estimating dynamic treatment effects in event studies with heterogeneous treatment effects’, </w:t>
      </w:r>
      <w:r>
        <w:rPr>
          <w:i/>
          <w:iCs/>
        </w:rPr>
        <w:t>Journal of Econometrics</w:t>
      </w:r>
      <w:r>
        <w:t>, vol. 225, no. 2, pp. 175–199.</w:t>
      </w:r>
    </w:p>
    <w:p w14:paraId="53F80D29" w14:textId="77777777" w:rsidR="00396052" w:rsidRDefault="00396052" w:rsidP="00396052">
      <w:pPr>
        <w:pStyle w:val="Reference"/>
      </w:pPr>
      <w:r>
        <w:t xml:space="preserve">Szabó-Morvai, Á, Horn, D, Lovász, A and De Witte, K 2023, ‘Universal preschool and cognitive skills – the role of school starting age as a moderating factor’, </w:t>
      </w:r>
      <w:r>
        <w:rPr>
          <w:i/>
          <w:iCs/>
        </w:rPr>
        <w:t>Early Childhood Research Quarterly</w:t>
      </w:r>
      <w:r>
        <w:t>, vol. 64, pp. 278–289.</w:t>
      </w:r>
    </w:p>
    <w:p w14:paraId="6E1DB359" w14:textId="77777777" w:rsidR="00396052" w:rsidRDefault="00396052" w:rsidP="00396052">
      <w:pPr>
        <w:pStyle w:val="Reference"/>
      </w:pPr>
      <w:r>
        <w:t>Wentzel, M 2023, ‘Formal Child Care and Later-in-Life Delinquency’, https://papers.ssrn.com/abstract=4551653 (accessed 3 June 2024).</w:t>
      </w:r>
    </w:p>
    <w:p w14:paraId="04765093" w14:textId="77777777" w:rsidR="00396052" w:rsidRDefault="00396052" w:rsidP="00396052">
      <w:pPr>
        <w:pStyle w:val="Reference"/>
      </w:pPr>
      <w:r>
        <w:t xml:space="preserve">Williams, BJ 2019, ‘The spillover benefits of expanding access to preschool’, </w:t>
      </w:r>
      <w:r>
        <w:rPr>
          <w:i/>
          <w:iCs/>
        </w:rPr>
        <w:t>Economics of Education Review</w:t>
      </w:r>
      <w:r>
        <w:t>, vol. 70, pp. 127–143.</w:t>
      </w:r>
    </w:p>
    <w:p w14:paraId="49FDD8F7" w14:textId="77777777" w:rsidR="00396052" w:rsidRDefault="00396052" w:rsidP="00396052">
      <w:pPr>
        <w:pStyle w:val="Reference"/>
      </w:pPr>
      <w:r>
        <w:t xml:space="preserve">Wong, VC, Cook, TD, Barnett, WS and Jung, K 2008, ‘An effectiveness-based evaluation of five state pre-kindergarten programs’, </w:t>
      </w:r>
      <w:r>
        <w:rPr>
          <w:i/>
          <w:iCs/>
        </w:rPr>
        <w:t>Journal of Policy Analysis and Management</w:t>
      </w:r>
      <w:r>
        <w:t>, vol. 27, no. 1, pp. 122–154.</w:t>
      </w:r>
    </w:p>
    <w:p w14:paraId="2A795319" w14:textId="77777777" w:rsidR="00396052" w:rsidRDefault="00396052" w:rsidP="00396052">
      <w:pPr>
        <w:pStyle w:val="Reference"/>
      </w:pPr>
      <w:r>
        <w:t xml:space="preserve">Yamaguchi, S, Asai, Y and Kambayashi, R 2018, ‘How does early childcare enrollment affect children, parents, and their interactions?’, </w:t>
      </w:r>
      <w:r>
        <w:rPr>
          <w:i/>
          <w:iCs/>
        </w:rPr>
        <w:t>Labour Economics</w:t>
      </w:r>
      <w:r>
        <w:t>, vol. 55, pp. 56–71.</w:t>
      </w:r>
    </w:p>
    <w:p w14:paraId="0B75B7FB" w14:textId="77777777" w:rsidR="00396052" w:rsidRDefault="00396052" w:rsidP="00396052">
      <w:pPr>
        <w:pStyle w:val="Reference"/>
      </w:pPr>
      <w:r>
        <w:t xml:space="preserve">Zachrisson, H, Dearing, E, Borgen, N, Sandsor, A and Karoly, L 2023, ‘Universal Early Childhood Education and Care for Toddlers and Achievement Outcomes in Middle Childhood’, </w:t>
      </w:r>
      <w:r>
        <w:rPr>
          <w:i/>
          <w:iCs/>
        </w:rPr>
        <w:t>Journal of Research on Educational Effectiveness</w:t>
      </w:r>
      <w:r>
        <w:t>, pp. 1–29.</w:t>
      </w:r>
    </w:p>
    <w:p w14:paraId="01158BFC" w14:textId="77777777" w:rsidR="00411A45" w:rsidRDefault="00396052" w:rsidP="00396052">
      <w:pPr>
        <w:pStyle w:val="Reference"/>
        <w:sectPr w:rsidR="00411A45" w:rsidSect="00411A45">
          <w:headerReference w:type="default" r:id="rId108"/>
          <w:footerReference w:type="default" r:id="rId109"/>
          <w:type w:val="continuous"/>
          <w:pgSz w:w="11906" w:h="16838" w:code="9"/>
          <w:pgMar w:top="1134" w:right="1134" w:bottom="1134" w:left="1134" w:header="794" w:footer="510" w:gutter="0"/>
          <w:cols w:num="2" w:space="708"/>
          <w:docGrid w:linePitch="360"/>
        </w:sectPr>
      </w:pPr>
      <w:r>
        <w:t xml:space="preserve">Zerpa, M 2018, </w:t>
      </w:r>
      <w:r>
        <w:rPr>
          <w:i/>
          <w:iCs/>
        </w:rPr>
        <w:t>Short and Medium Run Impacts of Preschool Education: Evidence from State Pre-K Programs</w:t>
      </w:r>
      <w:r>
        <w:t>, Washington Center for Equitable Growth Working Paper.</w:t>
      </w:r>
    </w:p>
    <w:p w14:paraId="3E1FE01D" w14:textId="77777777" w:rsidR="00396052" w:rsidRDefault="00396052" w:rsidP="00396052">
      <w:pPr>
        <w:pStyle w:val="Reference"/>
      </w:pPr>
    </w:p>
    <w:p w14:paraId="52D698C7" w14:textId="548CCAED" w:rsidR="00A86051" w:rsidRPr="008E7BD4" w:rsidRDefault="00A86051" w:rsidP="008E7FC3">
      <w:pPr>
        <w:pStyle w:val="BodyText"/>
      </w:pPr>
    </w:p>
    <w:sectPr w:rsidR="00A86051" w:rsidRPr="008E7BD4" w:rsidSect="00411A45">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B68E2" w14:textId="77777777" w:rsidR="000F5073" w:rsidRDefault="000F5073" w:rsidP="008017BC">
      <w:r>
        <w:separator/>
      </w:r>
    </w:p>
    <w:p w14:paraId="27836DE2" w14:textId="77777777" w:rsidR="000F5073" w:rsidRDefault="000F5073"/>
  </w:endnote>
  <w:endnote w:type="continuationSeparator" w:id="0">
    <w:p w14:paraId="4B0E3E72" w14:textId="77777777" w:rsidR="000F5073" w:rsidRDefault="000F5073" w:rsidP="008017BC">
      <w:r>
        <w:continuationSeparator/>
      </w:r>
    </w:p>
    <w:p w14:paraId="7C7E8270" w14:textId="77777777" w:rsidR="000F5073" w:rsidRDefault="000F5073"/>
  </w:endnote>
  <w:endnote w:type="continuationNotice" w:id="1">
    <w:p w14:paraId="029766D2" w14:textId="77777777" w:rsidR="000F5073" w:rsidRDefault="000F50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50626" w14:textId="77777777" w:rsidR="00F04EA7" w:rsidRPr="00187F05" w:rsidRDefault="00F04EA7" w:rsidP="00322C6D">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15E87" w14:textId="77777777" w:rsidR="00396052" w:rsidRDefault="00396052"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1523615"/>
      <w:docPartObj>
        <w:docPartGallery w:val="Page Numbers (Bottom of Page)"/>
        <w:docPartUnique/>
      </w:docPartObj>
    </w:sdtPr>
    <w:sdtContent>
      <w:sdt>
        <w:sdtPr>
          <w:id w:val="-212659457"/>
          <w:docPartObj>
            <w:docPartGallery w:val="Page Numbers (Top of Page)"/>
            <w:docPartUnique/>
          </w:docPartObj>
        </w:sdtPr>
        <w:sdtContent>
          <w:p w14:paraId="6210DDA6" w14:textId="77777777" w:rsidR="00396052" w:rsidRDefault="00396052" w:rsidP="00340DDC">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9838006"/>
      <w:docPartObj>
        <w:docPartGallery w:val="Page Numbers (Bottom of Page)"/>
        <w:docPartUnique/>
      </w:docPartObj>
    </w:sdtPr>
    <w:sdtContent>
      <w:sdt>
        <w:sdtPr>
          <w:id w:val="-269549157"/>
          <w:docPartObj>
            <w:docPartGallery w:val="Page Numbers (Top of Page)"/>
            <w:docPartUnique/>
          </w:docPartObj>
        </w:sdtPr>
        <w:sdtContent>
          <w:p w14:paraId="75F578AE" w14:textId="77777777" w:rsidR="00FB31E7" w:rsidRDefault="00FB31E7" w:rsidP="00FB31E7">
            <w:pPr>
              <w:pStyle w:val="Footer"/>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930742"/>
      <w:docPartObj>
        <w:docPartGallery w:val="Page Numbers (Bottom of Page)"/>
        <w:docPartUnique/>
      </w:docPartObj>
    </w:sdtPr>
    <w:sdtContent>
      <w:sdt>
        <w:sdtPr>
          <w:id w:val="1252698831"/>
          <w:docPartObj>
            <w:docPartGallery w:val="Page Numbers (Top of Page)"/>
            <w:docPartUnique/>
          </w:docPartObj>
        </w:sdtPr>
        <w:sdtContent>
          <w:p w14:paraId="1AF37FA4" w14:textId="77777777" w:rsidR="001A6B59" w:rsidRDefault="001A6B59" w:rsidP="001A6B5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DE1AB" w14:textId="77777777" w:rsidR="00C31E23" w:rsidRDefault="00C31E23" w:rsidP="00322C6D">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FABAB"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F2743" w14:textId="77777777" w:rsidR="002316C7" w:rsidRDefault="002316C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3263635"/>
      <w:docPartObj>
        <w:docPartGallery w:val="Page Numbers (Bottom of Page)"/>
        <w:docPartUnique/>
      </w:docPartObj>
    </w:sdtPr>
    <w:sdtContent>
      <w:sdt>
        <w:sdtPr>
          <w:id w:val="-1061403672"/>
          <w:docPartObj>
            <w:docPartGallery w:val="Page Numbers (Top of Page)"/>
            <w:docPartUnique/>
          </w:docPartObj>
        </w:sdtPr>
        <w:sdtContent>
          <w:p w14:paraId="4E89EE3D" w14:textId="77777777" w:rsidR="002316C7" w:rsidRDefault="002316C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4FDA0" w14:textId="77777777" w:rsidR="00CF51C5" w:rsidRDefault="00CF51C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3859313"/>
      <w:docPartObj>
        <w:docPartGallery w:val="Page Numbers (Bottom of Page)"/>
        <w:docPartUnique/>
      </w:docPartObj>
    </w:sdtPr>
    <w:sdtContent>
      <w:sdt>
        <w:sdtPr>
          <w:id w:val="-264701936"/>
          <w:docPartObj>
            <w:docPartGallery w:val="Page Numbers (Top of Page)"/>
            <w:docPartUnique/>
          </w:docPartObj>
        </w:sdtPr>
        <w:sdtContent>
          <w:p w14:paraId="24880232" w14:textId="77777777" w:rsidR="00CF51C5" w:rsidRDefault="00CF51C5"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AE22F" w14:textId="77777777" w:rsidR="008E7FC3" w:rsidRDefault="008E7FC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4996CF6" w14:textId="77777777" w:rsidR="008E7FC3" w:rsidRDefault="008E7FC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DC5AE" w14:textId="77777777" w:rsidR="000F5073" w:rsidRPr="00C238D1" w:rsidRDefault="000F5073" w:rsidP="00273E86">
      <w:pPr>
        <w:spacing w:after="0" w:line="240" w:lineRule="auto"/>
        <w:rPr>
          <w:rStyle w:val="ColourDarkBlue"/>
        </w:rPr>
      </w:pPr>
      <w:r w:rsidRPr="00C238D1">
        <w:rPr>
          <w:rStyle w:val="ColourDarkBlue"/>
        </w:rPr>
        <w:continuationSeparator/>
      </w:r>
    </w:p>
  </w:footnote>
  <w:footnote w:type="continuationSeparator" w:id="0">
    <w:p w14:paraId="7D7F5269" w14:textId="77777777" w:rsidR="000F5073" w:rsidRPr="001D7D9B" w:rsidRDefault="000F5073" w:rsidP="001D7D9B">
      <w:pPr>
        <w:spacing w:after="0" w:line="240" w:lineRule="auto"/>
        <w:rPr>
          <w:color w:val="265A9A" w:themeColor="background2"/>
        </w:rPr>
      </w:pPr>
      <w:r w:rsidRPr="00C238D1">
        <w:rPr>
          <w:rStyle w:val="ColourDarkBlue"/>
        </w:rPr>
        <w:continuationSeparator/>
      </w:r>
    </w:p>
  </w:footnote>
  <w:footnote w:type="continuationNotice" w:id="1">
    <w:p w14:paraId="6CEE6D5B" w14:textId="77777777" w:rsidR="000F5073" w:rsidRDefault="000F5073" w:rsidP="00460750">
      <w:pPr>
        <w:spacing w:before="0" w:after="0" w:line="200" w:lineRule="atLeast"/>
      </w:pPr>
    </w:p>
  </w:footnote>
  <w:footnote w:id="2">
    <w:p w14:paraId="0BCAA23A" w14:textId="6580A759" w:rsidR="00EC5BB1" w:rsidRPr="00E8581F" w:rsidRDefault="00EC5BB1" w:rsidP="00E8581F">
      <w:pPr>
        <w:pStyle w:val="FootnoteText"/>
      </w:pPr>
      <w:r>
        <w:rPr>
          <w:rStyle w:val="FootnoteReference"/>
        </w:rPr>
        <w:footnoteRef/>
      </w:r>
      <w:r>
        <w:t xml:space="preserve"> This e</w:t>
      </w:r>
      <w:r w:rsidRPr="005A3F1D">
        <w:t>xcludes services that do not fall under the NQF (including most WA dedicated preschools, all Tasmanian dedicated preschools and all IHC services)</w:t>
      </w:r>
      <w:r>
        <w:t>, which are largely publicly provided.</w:t>
      </w:r>
    </w:p>
  </w:footnote>
  <w:footnote w:id="3">
    <w:p w14:paraId="53D0D9AD" w14:textId="77777777" w:rsidR="00EC5BB1" w:rsidRPr="00E8581F" w:rsidRDefault="00EC5BB1" w:rsidP="00E8581F">
      <w:pPr>
        <w:pStyle w:val="FootnoteText"/>
      </w:pPr>
      <w:r>
        <w:rPr>
          <w:rStyle w:val="FootnoteReference"/>
        </w:rPr>
        <w:footnoteRef/>
      </w:r>
      <w:r>
        <w:t xml:space="preserve"> </w:t>
      </w:r>
      <w:r w:rsidRPr="00E8581F">
        <w:t>In some countries, including Australia, children may have already commenced primary school by age six.</w:t>
      </w:r>
    </w:p>
  </w:footnote>
  <w:footnote w:id="4">
    <w:p w14:paraId="0E3BAF8C" w14:textId="77777777" w:rsidR="00EC5BB1" w:rsidRPr="00E8581F" w:rsidRDefault="00EC5BB1" w:rsidP="00E8581F">
      <w:pPr>
        <w:pStyle w:val="FootnoteText"/>
      </w:pPr>
      <w:r>
        <w:rPr>
          <w:rStyle w:val="FootnoteReference"/>
        </w:rPr>
        <w:footnoteRef/>
      </w:r>
      <w:r>
        <w:t xml:space="preserve"> Examination</w:t>
      </w:r>
      <w:r w:rsidRPr="005E0A65">
        <w:t xml:space="preserve"> of the relative contributions of demand</w:t>
      </w:r>
      <w:r>
        <w:t>-side</w:t>
      </w:r>
      <w:r w:rsidRPr="005E0A65">
        <w:t xml:space="preserve"> and supply-side subsidies to total government expenditure </w:t>
      </w:r>
      <w:r>
        <w:t>on</w:t>
      </w:r>
      <w:r w:rsidRPr="005E0A65">
        <w:t xml:space="preserve"> ECEC is difficult. Overall, the different combinations of demand</w:t>
      </w:r>
      <w:r>
        <w:t>-</w:t>
      </w:r>
      <w:r w:rsidRPr="005E0A65">
        <w:t xml:space="preserve"> and supply-side funding</w:t>
      </w:r>
      <w:r>
        <w:t xml:space="preserve"> mechanisms used in each country have</w:t>
      </w:r>
      <w:r w:rsidRPr="005E0A65">
        <w:t xml:space="preserve"> led to out</w:t>
      </w:r>
      <w:r>
        <w:noBreakHyphen/>
      </w:r>
      <w:r w:rsidRPr="005E0A65">
        <w:t>of</w:t>
      </w:r>
      <w:r>
        <w:noBreakHyphen/>
      </w:r>
      <w:r w:rsidRPr="005E0A65">
        <w:t>pocket expenses</w:t>
      </w:r>
      <w:r>
        <w:t xml:space="preserve"> for families that</w:t>
      </w:r>
      <w:r w:rsidRPr="005E0A65">
        <w:t xml:space="preserve"> </w:t>
      </w:r>
      <w:r>
        <w:t>are</w:t>
      </w:r>
      <w:r w:rsidRPr="005E0A65">
        <w:t xml:space="preserve"> similar to or higher than in Australia in all of the countries studied except Sweden (</w:t>
      </w:r>
      <w:r>
        <w:t>in</w:t>
      </w:r>
      <w:r w:rsidRPr="005E0A65">
        <w:t xml:space="preserve"> the </w:t>
      </w:r>
      <w:r>
        <w:t>examples</w:t>
      </w:r>
      <w:r w:rsidRPr="005E0A65">
        <w:t xml:space="preserve"> reported in figure B.5).</w:t>
      </w:r>
    </w:p>
  </w:footnote>
  <w:footnote w:id="5">
    <w:p w14:paraId="43C65716" w14:textId="19F122A5" w:rsidR="00EC5BB1" w:rsidRPr="00E8581F" w:rsidRDefault="00EC5BB1" w:rsidP="00E8581F">
      <w:pPr>
        <w:pStyle w:val="FootnoteText"/>
      </w:pPr>
      <w:r>
        <w:rPr>
          <w:rStyle w:val="FootnoteReference"/>
        </w:rPr>
        <w:footnoteRef/>
      </w:r>
      <w:r>
        <w:t xml:space="preserve"> </w:t>
      </w:r>
      <w:r w:rsidRPr="00E8581F">
        <w:t>Teacher certification requires satisfactory recent teaching experience and participation in professional development, among other requirements. Practising certificates expire and must be renewed every three years.</w:t>
      </w:r>
    </w:p>
  </w:footnote>
  <w:footnote w:id="6">
    <w:p w14:paraId="2B07CBC6" w14:textId="77777777" w:rsidR="00EC5BB1" w:rsidRPr="00E8581F" w:rsidRDefault="00EC5BB1" w:rsidP="00E8581F">
      <w:pPr>
        <w:pStyle w:val="FootnoteText"/>
      </w:pPr>
      <w:r>
        <w:rPr>
          <w:rStyle w:val="FootnoteReference"/>
        </w:rPr>
        <w:footnoteRef/>
      </w:r>
      <w:r>
        <w:t xml:space="preserve"> Kindergarten in New Zealand is </w:t>
      </w:r>
      <w:r w:rsidRPr="00EE41A5">
        <w:t>a particular type of centre</w:t>
      </w:r>
      <w:r>
        <w:t>-</w:t>
      </w:r>
      <w:r w:rsidRPr="00EE41A5">
        <w:t xml:space="preserve">based ECEC service for children </w:t>
      </w:r>
      <w:r>
        <w:t>age two to five. Kindergartens are</w:t>
      </w:r>
      <w:r w:rsidRPr="00EE41A5">
        <w:t xml:space="preserve"> no</w:t>
      </w:r>
      <w:r>
        <w:t>t</w:t>
      </w:r>
      <w:r>
        <w:noBreakHyphen/>
      </w:r>
      <w:r w:rsidRPr="00EE41A5">
        <w:t>for</w:t>
      </w:r>
      <w:r>
        <w:noBreakHyphen/>
      </w:r>
      <w:r w:rsidRPr="00EE41A5">
        <w:t xml:space="preserve">profit </w:t>
      </w:r>
      <w:r>
        <w:t xml:space="preserve">services </w:t>
      </w:r>
      <w:r w:rsidRPr="00EE41A5">
        <w:t>and</w:t>
      </w:r>
      <w:r>
        <w:t xml:space="preserve"> are</w:t>
      </w:r>
      <w:r w:rsidRPr="00EE41A5">
        <w:t xml:space="preserve"> managed by a Kindergarten Association</w:t>
      </w:r>
      <w:r>
        <w:t>.</w:t>
      </w:r>
    </w:p>
  </w:footnote>
  <w:footnote w:id="7">
    <w:p w14:paraId="30F379DD" w14:textId="77777777" w:rsidR="002316C7" w:rsidRPr="00E8581F" w:rsidRDefault="002316C7" w:rsidP="00E8581F">
      <w:pPr>
        <w:pStyle w:val="FootnoteText"/>
      </w:pPr>
      <w:r>
        <w:rPr>
          <w:rStyle w:val="FootnoteReference"/>
        </w:rPr>
        <w:footnoteRef/>
      </w:r>
      <w:r>
        <w:t xml:space="preserve"> The </w:t>
      </w:r>
      <w:r w:rsidRPr="00E8581F">
        <w:t xml:space="preserve">Budget Based Funded program provided a contribution to the operational costs of some services, predominantly located in rural, remote and Indigenous communities. In 2018, most Budget Based Funded services transitioned to funding under </w:t>
      </w:r>
      <w:r>
        <w:t>the Child Care Package</w:t>
      </w:r>
      <w:r w:rsidRPr="00E8581F">
        <w:t>.</w:t>
      </w:r>
    </w:p>
  </w:footnote>
  <w:footnote w:id="8">
    <w:p w14:paraId="0796ECFA" w14:textId="77777777" w:rsidR="002316C7" w:rsidRPr="00E8581F" w:rsidRDefault="002316C7" w:rsidP="00E8581F">
      <w:pPr>
        <w:pStyle w:val="FootnoteText"/>
      </w:pPr>
      <w:r>
        <w:rPr>
          <w:rStyle w:val="FootnoteReference"/>
        </w:rPr>
        <w:footnoteRef/>
      </w:r>
      <w:r>
        <w:t xml:space="preserve"> </w:t>
      </w:r>
      <w:r w:rsidRPr="00E8581F">
        <w:t>‘Centre-based’ services include long day care (services that offer a full day of care in a centre), preschool (also known as kindergarten, and is for children in the year or two years before school) and outside school hours care (care provided before and/or after school).</w:t>
      </w:r>
    </w:p>
  </w:footnote>
  <w:footnote w:id="9">
    <w:p w14:paraId="496C4ED1" w14:textId="77777777" w:rsidR="005E1B35" w:rsidRPr="00E8581F" w:rsidRDefault="005E1B35" w:rsidP="00E8581F">
      <w:pPr>
        <w:pStyle w:val="FootnoteText"/>
      </w:pPr>
      <w:r>
        <w:rPr>
          <w:rStyle w:val="FootnoteReference"/>
        </w:rPr>
        <w:footnoteRef/>
      </w:r>
      <w:r>
        <w:t xml:space="preserve"> A provider running a service that offers CCS must have two types of approval (appendix C)</w:t>
      </w:r>
      <w:r w:rsidRPr="00AC67A5">
        <w:t>.</w:t>
      </w:r>
      <w:r>
        <w:t xml:space="preserve"> One, granted by the relevant state or territory government, deems the service suitable to ensure the health, safety, wellbeing and educational outcomes of children (National Law or state regulatory approval). The second, granted by the Australian Government, deems the service suitable to administer CCS (CCS or Family Assistance Law approval), </w:t>
      </w:r>
      <w:r w:rsidRPr="00E8581F">
        <w:t>and cannot be granted until state or territory government approval has been granted. Both approvals can be applied for at the same time (DoE 2023a).</w:t>
      </w:r>
    </w:p>
  </w:footnote>
  <w:footnote w:id="10">
    <w:p w14:paraId="0A37368F" w14:textId="3AB682F7" w:rsidR="005E1B35" w:rsidRPr="00E8581F" w:rsidRDefault="005E1B35" w:rsidP="00E8581F">
      <w:pPr>
        <w:pStyle w:val="FootnoteText"/>
      </w:pPr>
      <w:r>
        <w:rPr>
          <w:rStyle w:val="FootnoteReference"/>
        </w:rPr>
        <w:footnoteRef/>
      </w:r>
      <w:r>
        <w:t xml:space="preserve"> Exemptions may apply if the child is 13 years old or under, or 14 to 18 with a disability </w:t>
      </w:r>
      <w:r w:rsidRPr="00E8581F">
        <w:t>(Services Australia 2023h)</w:t>
      </w:r>
      <w:r>
        <w:t>.</w:t>
      </w:r>
    </w:p>
  </w:footnote>
  <w:footnote w:id="11">
    <w:p w14:paraId="5650ECB6" w14:textId="77777777" w:rsidR="005E1B35" w:rsidRPr="00E8581F" w:rsidRDefault="005E1B35" w:rsidP="00E8581F">
      <w:pPr>
        <w:pStyle w:val="FootnoteText"/>
      </w:pPr>
      <w:r>
        <w:rPr>
          <w:rStyle w:val="FootnoteReference"/>
        </w:rPr>
        <w:footnoteRef/>
      </w:r>
      <w:r>
        <w:t xml:space="preserve"> On the day the individual claims, they or their partner must be living in Australia and have Australian citizenship, a permanent visa, a Special Category visa, or a Partner Provisional or Temporary Protection type visa. Alternatively they may be in hardship, experiencing other special circumstances or they or their partner may be a student from overseas and receiving financial assistance from the Australian Government to study in Australia </w:t>
      </w:r>
      <w:r w:rsidRPr="00E8581F">
        <w:t>(Services Australia 2023d)</w:t>
      </w:r>
      <w:r>
        <w:t>.</w:t>
      </w:r>
    </w:p>
  </w:footnote>
  <w:footnote w:id="12">
    <w:p w14:paraId="7995DCC7" w14:textId="77777777" w:rsidR="005E1B35" w:rsidRPr="00E8581F" w:rsidRDefault="005E1B35" w:rsidP="00E8581F">
      <w:pPr>
        <w:pStyle w:val="FootnoteText"/>
      </w:pPr>
      <w:r>
        <w:rPr>
          <w:rStyle w:val="FootnoteReference"/>
        </w:rPr>
        <w:footnoteRef/>
      </w:r>
      <w:r>
        <w:t xml:space="preserve"> For the remainder of this appendix, adjusted taxable income, which determines CCS and HCCS rates, will be referred to as income.</w:t>
      </w:r>
    </w:p>
  </w:footnote>
  <w:footnote w:id="13">
    <w:p w14:paraId="0543B642" w14:textId="77777777" w:rsidR="005E1B35" w:rsidRPr="00E8581F" w:rsidRDefault="005E1B35" w:rsidP="00E8581F">
      <w:pPr>
        <w:pStyle w:val="FootnoteText"/>
      </w:pPr>
      <w:r>
        <w:rPr>
          <w:rStyle w:val="FootnoteReference"/>
        </w:rPr>
        <w:footnoteRef/>
      </w:r>
      <w:r>
        <w:t xml:space="preserve"> </w:t>
      </w:r>
      <w:r w:rsidRPr="001560F1">
        <w:t>Carer Allowance recipients report</w:t>
      </w:r>
      <w:r>
        <w:t>ing</w:t>
      </w:r>
      <w:r w:rsidRPr="001560F1">
        <w:t xml:space="preserve"> more than 48 hours of activity per fortnight (either hours of caring or combined with hours of other recognised activities) will </w:t>
      </w:r>
      <w:r>
        <w:t>have an activity test result of</w:t>
      </w:r>
      <w:r w:rsidRPr="001560F1">
        <w:t xml:space="preserve"> 100 hours of subsidised care per fortnight.</w:t>
      </w:r>
      <w:r>
        <w:t xml:space="preserve"> </w:t>
      </w:r>
      <w:r w:rsidRPr="00E8581F">
        <w:t>If the recipient also receives Carer Payment, the higher number of eligible subsidised hours applies (that is, 100 hours).</w:t>
      </w:r>
    </w:p>
  </w:footnote>
  <w:footnote w:id="14">
    <w:p w14:paraId="11B3AE1D" w14:textId="77777777" w:rsidR="005E1B35" w:rsidRPr="00E8581F" w:rsidRDefault="005E1B35" w:rsidP="00E8581F">
      <w:pPr>
        <w:pStyle w:val="FootnoteText"/>
      </w:pPr>
      <w:r>
        <w:rPr>
          <w:rStyle w:val="FootnoteReference"/>
        </w:rPr>
        <w:footnoteRef/>
      </w:r>
      <w:r>
        <w:t xml:space="preserve"> </w:t>
      </w:r>
      <w:r w:rsidRPr="00E8581F">
        <w:t>With the introduction of the CCS in 2018, long day care and occasional care were combined and are now collectively called CBDC.</w:t>
      </w:r>
    </w:p>
  </w:footnote>
  <w:footnote w:id="15">
    <w:p w14:paraId="1FA7ED89" w14:textId="5E446A05" w:rsidR="005E1B35" w:rsidRPr="00E8581F" w:rsidRDefault="005E1B35" w:rsidP="00E8581F">
      <w:pPr>
        <w:pStyle w:val="FootnoteText"/>
      </w:pPr>
      <w:r>
        <w:rPr>
          <w:rStyle w:val="FootnoteReference"/>
        </w:rPr>
        <w:footnoteRef/>
      </w:r>
      <w:r>
        <w:t xml:space="preserve"> </w:t>
      </w:r>
      <w:r w:rsidRPr="00E8581F">
        <w:t>The exception to this is when a child is eligible for ACCS (table D.4).</w:t>
      </w:r>
    </w:p>
  </w:footnote>
  <w:footnote w:id="16">
    <w:p w14:paraId="577C1FAA" w14:textId="77777777" w:rsidR="005E1B35" w:rsidRPr="00E8581F" w:rsidRDefault="005E1B35" w:rsidP="00E8581F">
      <w:pPr>
        <w:pStyle w:val="FootnoteText"/>
      </w:pPr>
      <w:r>
        <w:rPr>
          <w:rStyle w:val="FootnoteReference"/>
        </w:rPr>
        <w:footnoteRef/>
      </w:r>
      <w:r>
        <w:t xml:space="preserve"> The 2023 Cheaper Child Care changes also resulted in higher</w:t>
      </w:r>
      <w:r>
        <w:noBreakHyphen/>
        <w:t xml:space="preserve">income families being eligible for CCS where previously they were not. While these families remain ineligible to receive HCCS for any second and subsequent children they have, they can now receive the standard CCS rate for all their children </w:t>
      </w:r>
      <w:r w:rsidRPr="00E8581F">
        <w:t>(Services Australia 2023j)</w:t>
      </w:r>
      <w:r>
        <w:t>.</w:t>
      </w:r>
    </w:p>
  </w:footnote>
  <w:footnote w:id="17">
    <w:p w14:paraId="4FD7B2FE" w14:textId="77777777" w:rsidR="005E1B35" w:rsidRDefault="005E1B35" w:rsidP="00E8581F">
      <w:pPr>
        <w:pStyle w:val="FootnoteText"/>
      </w:pPr>
      <w:r>
        <w:rPr>
          <w:rStyle w:val="FootnoteReference"/>
        </w:rPr>
        <w:footnoteRef/>
      </w:r>
      <w:r>
        <w:t xml:space="preserve"> Calculated as a share of weekly-level child observations. Children who received ACCS in multiple weeks are included multiple times in the denominator.</w:t>
      </w:r>
    </w:p>
  </w:footnote>
  <w:footnote w:id="18">
    <w:p w14:paraId="20FAAC3E" w14:textId="77777777" w:rsidR="005E1B35" w:rsidRPr="00E8581F" w:rsidRDefault="005E1B35" w:rsidP="00E8581F">
      <w:pPr>
        <w:pStyle w:val="FootnoteText"/>
      </w:pPr>
      <w:r>
        <w:rPr>
          <w:rStyle w:val="FootnoteReference"/>
        </w:rPr>
        <w:footnoteRef/>
      </w:r>
      <w:r>
        <w:t xml:space="preserve"> Nannies were subsidised temporarily under the Nanny Pilot Program, which was introduced in early 2016. The program was intended to run for two years but was discontinued in December 2016 due to low take-up. It provided a means and activity-tested subsidy for nanny care for families who worked non-standard hours or lived in regional or remote areas </w:t>
      </w:r>
      <w:r w:rsidRPr="00E8581F">
        <w:t>(Australian Government 2016, p. 145; DSS 2015, pp. 1–2)</w:t>
      </w:r>
      <w:r>
        <w:t>.</w:t>
      </w:r>
    </w:p>
  </w:footnote>
  <w:footnote w:id="19">
    <w:p w14:paraId="6A511618" w14:textId="77777777" w:rsidR="005E1B35" w:rsidRPr="001A2BF7" w:rsidRDefault="005E1B35" w:rsidP="00E8581F">
      <w:pPr>
        <w:pStyle w:val="FootnoteText"/>
      </w:pPr>
      <w:r>
        <w:rPr>
          <w:rStyle w:val="FootnoteReference"/>
        </w:rPr>
        <w:footnoteRef/>
      </w:r>
      <w:r>
        <w:t xml:space="preserve"> Services with fewer than 25 children in attendance at any one time must have access to an ECT for at least 20% of the time the service is operating (including through ICT solutions). If there are 25 or more children in attendance, services must employ or engage a full-time or full-time equivalent ECT (or have one in attendance for a prescribed amount of time based on the weekly operating hours of the service). Services with 60 or more children in attendance must employ a second ECT or suitably qualified person in attendance for a prescribed amount of time.</w:t>
      </w:r>
    </w:p>
  </w:footnote>
  <w:footnote w:id="20">
    <w:p w14:paraId="43C98E74" w14:textId="77777777" w:rsidR="005E1B35" w:rsidRPr="00E8581F" w:rsidRDefault="005E1B35" w:rsidP="00E8581F">
      <w:pPr>
        <w:pStyle w:val="FootnoteText"/>
      </w:pPr>
      <w:r>
        <w:rPr>
          <w:rStyle w:val="FootnoteReference"/>
        </w:rPr>
        <w:footnoteRef/>
      </w:r>
      <w:r>
        <w:t xml:space="preserve"> </w:t>
      </w:r>
      <w:r w:rsidRPr="00E8581F">
        <w:t>Some state and territory governments operate their own systems of identifying whether services have a preschool program delivered by an ECT, such as the Victorian Government’s Kinder Tick.</w:t>
      </w:r>
    </w:p>
  </w:footnote>
  <w:footnote w:id="21">
    <w:p w14:paraId="5FD531C6" w14:textId="3EEB92E0" w:rsidR="005E1B35" w:rsidRPr="00E8581F" w:rsidRDefault="005E1B35" w:rsidP="00E8581F">
      <w:pPr>
        <w:pStyle w:val="FootnoteText"/>
      </w:pPr>
      <w:r>
        <w:rPr>
          <w:rStyle w:val="FootnoteReference"/>
        </w:rPr>
        <w:footnoteRef/>
      </w:r>
      <w:r>
        <w:t xml:space="preserve"> </w:t>
      </w:r>
      <w:r w:rsidRPr="00E8581F">
        <w:t>Preschool Reform Agreement, Table 1a.</w:t>
      </w:r>
    </w:p>
  </w:footnote>
  <w:footnote w:id="22">
    <w:p w14:paraId="6C878A86" w14:textId="77777777" w:rsidR="005E1B35" w:rsidRPr="00E8581F" w:rsidRDefault="005E1B35" w:rsidP="00E8581F">
      <w:pPr>
        <w:pStyle w:val="FootnoteText"/>
      </w:pPr>
      <w:r>
        <w:rPr>
          <w:rStyle w:val="FootnoteReference"/>
        </w:rPr>
        <w:footnoteRef/>
      </w:r>
      <w:r>
        <w:t xml:space="preserve"> </w:t>
      </w:r>
      <w:r w:rsidRPr="00E8581F">
        <w:t>Preschool Reform Agreement, Appendix A.1.</w:t>
      </w:r>
    </w:p>
  </w:footnote>
  <w:footnote w:id="23">
    <w:p w14:paraId="66DAE87F" w14:textId="77777777" w:rsidR="00CF51C5" w:rsidRPr="00E8581F" w:rsidRDefault="00CF51C5" w:rsidP="00E8581F">
      <w:pPr>
        <w:pStyle w:val="FootnoteText"/>
      </w:pPr>
      <w:r>
        <w:rPr>
          <w:rStyle w:val="FootnoteReference"/>
        </w:rPr>
        <w:footnoteRef/>
      </w:r>
      <w:r>
        <w:t xml:space="preserve"> </w:t>
      </w:r>
      <w:r w:rsidRPr="00E8581F">
        <w:t>Some hypothetical families analysed here reflect those used by the Australian Institute of Family Studies in their Child Care Package evaluation: final report (Bray et al. 2021, p. 279). Other hypothetical families were chosen to represent relatively more common full</w:t>
      </w:r>
      <w:r w:rsidRPr="00E8581F">
        <w:noBreakHyphen/>
        <w:t>time equivalent family income compositions, as identified in section F.3.</w:t>
      </w:r>
    </w:p>
  </w:footnote>
  <w:footnote w:id="24">
    <w:p w14:paraId="77163BBB" w14:textId="77777777" w:rsidR="00CF51C5" w:rsidRDefault="00CF51C5" w:rsidP="00E8581F">
      <w:pPr>
        <w:pStyle w:val="FootnoteText"/>
      </w:pPr>
      <w:r>
        <w:rPr>
          <w:rStyle w:val="FootnoteReference"/>
        </w:rPr>
        <w:footnoteRef/>
      </w:r>
      <w:r>
        <w:t xml:space="preserve"> These are gross (pre</w:t>
      </w:r>
      <w:r>
        <w:noBreakHyphen/>
        <w:t>tax) employee incomes.</w:t>
      </w:r>
    </w:p>
  </w:footnote>
  <w:footnote w:id="25">
    <w:p w14:paraId="2AFE6ED8" w14:textId="77777777" w:rsidR="00CF51C5" w:rsidRDefault="00CF51C5" w:rsidP="00E8581F">
      <w:pPr>
        <w:pStyle w:val="FootnoteText"/>
      </w:pPr>
      <w:r>
        <w:rPr>
          <w:rStyle w:val="FootnoteReference"/>
        </w:rPr>
        <w:footnoteRef/>
      </w:r>
      <w:r>
        <w:t xml:space="preserve"> </w:t>
      </w:r>
      <w:r w:rsidRPr="00F55FAC">
        <w:t>For coupled earners, it is assumed that the primary earner is already</w:t>
      </w:r>
      <w:r>
        <w:t xml:space="preserve"> working</w:t>
      </w:r>
      <w:r w:rsidRPr="00F55FAC">
        <w:t xml:space="preserve"> full-time</w:t>
      </w:r>
      <w:r>
        <w:t>.</w:t>
      </w:r>
    </w:p>
  </w:footnote>
  <w:footnote w:id="26">
    <w:p w14:paraId="0E54463D" w14:textId="3C770981" w:rsidR="00CF51C5" w:rsidRDefault="00CF51C5" w:rsidP="00E8581F">
      <w:pPr>
        <w:pStyle w:val="FootnoteText"/>
      </w:pPr>
      <w:r>
        <w:rPr>
          <w:rStyle w:val="FootnoteReference"/>
        </w:rPr>
        <w:footnoteRef/>
      </w:r>
      <w:r w:rsidR="00B760BA">
        <w:t xml:space="preserve"> </w:t>
      </w:r>
      <w:r w:rsidR="00EA0AE8">
        <w:t>As the Stage 3 tax cuts take effect on 1 July 2024 (2024</w:t>
      </w:r>
      <w:r w:rsidR="00EA0AE8">
        <w:noBreakHyphen/>
        <w:t>25 financial year), they are not reflected in the scenarios.</w:t>
      </w:r>
    </w:p>
  </w:footnote>
  <w:footnote w:id="27">
    <w:p w14:paraId="591E7D68" w14:textId="77777777" w:rsidR="00CF51C5" w:rsidRDefault="00CF51C5" w:rsidP="00E8581F">
      <w:pPr>
        <w:pStyle w:val="FootnoteText"/>
      </w:pPr>
      <w:r>
        <w:rPr>
          <w:rStyle w:val="FootnoteReference"/>
        </w:rPr>
        <w:footnoteRef/>
      </w:r>
      <w:r>
        <w:t xml:space="preserve"> </w:t>
      </w:r>
      <w:r w:rsidRPr="00017773">
        <w:t xml:space="preserve">Adjusted taxable income is the income measure used to determine a family’s CCS and HCCS rates. However, for ease of reading, ‘adjusted taxable income’ will simply be referred to as </w:t>
      </w:r>
      <w:r>
        <w:t>‘</w:t>
      </w:r>
      <w:r w:rsidRPr="00017773">
        <w:t>income</w:t>
      </w:r>
      <w:r>
        <w:t>’ in table F.2</w:t>
      </w:r>
      <w:r w:rsidRPr="00017773">
        <w:t>.</w:t>
      </w:r>
    </w:p>
  </w:footnote>
  <w:footnote w:id="28">
    <w:p w14:paraId="01BDF64C" w14:textId="77777777" w:rsidR="00CF51C5" w:rsidRDefault="00CF51C5" w:rsidP="00E8581F">
      <w:pPr>
        <w:pStyle w:val="FootnoteText"/>
      </w:pPr>
      <w:r>
        <w:rPr>
          <w:rStyle w:val="FootnoteReference"/>
        </w:rPr>
        <w:footnoteRef/>
      </w:r>
      <w:r>
        <w:t xml:space="preserve"> </w:t>
      </w:r>
      <w:r w:rsidRPr="00E8581F">
        <w:t>This inquiry’s report refers to options A, B and C – these are equivalent to options one, five, and six respectively.</w:t>
      </w:r>
    </w:p>
  </w:footnote>
  <w:footnote w:id="29">
    <w:p w14:paraId="6F9E6A38" w14:textId="77777777" w:rsidR="00CF51C5" w:rsidRDefault="00CF51C5" w:rsidP="00E8581F">
      <w:pPr>
        <w:pStyle w:val="FootnoteText"/>
      </w:pPr>
      <w:r w:rsidRPr="0012580E">
        <w:rPr>
          <w:rStyle w:val="FootnoteReference"/>
          <w:spacing w:val="-4"/>
          <w:sz w:val="20"/>
        </w:rPr>
        <w:footnoteRef/>
      </w:r>
      <w:r w:rsidRPr="0012580E">
        <w:rPr>
          <w:rStyle w:val="FootnoteReference"/>
          <w:spacing w:val="-4"/>
          <w:sz w:val="20"/>
        </w:rPr>
        <w:t xml:space="preserve"> </w:t>
      </w:r>
      <w:r>
        <w:t>Family Tax Benefit is a two</w:t>
      </w:r>
      <w:r>
        <w:noBreakHyphen/>
        <w:t xml:space="preserve">part (Part A and Part B) payment that assists with the cost of raising children </w:t>
      </w:r>
      <w:r w:rsidRPr="00E8581F">
        <w:t>(Services Australia 2024, pp. 2–4)</w:t>
      </w:r>
      <w:r>
        <w:t>.</w:t>
      </w:r>
    </w:p>
  </w:footnote>
  <w:footnote w:id="30">
    <w:p w14:paraId="2B5DD16C" w14:textId="77777777" w:rsidR="00CF51C5" w:rsidRDefault="00CF51C5" w:rsidP="00D13425">
      <w:pPr>
        <w:pStyle w:val="FootnoteText"/>
      </w:pPr>
      <w:r w:rsidRPr="0012580E">
        <w:rPr>
          <w:rStyle w:val="FootnoteReference"/>
          <w:spacing w:val="-4"/>
          <w:sz w:val="20"/>
        </w:rPr>
        <w:footnoteRef/>
      </w:r>
      <w:r w:rsidRPr="0012580E">
        <w:rPr>
          <w:rStyle w:val="FootnoteReference"/>
          <w:spacing w:val="-4"/>
          <w:sz w:val="20"/>
        </w:rPr>
        <w:t xml:space="preserve"> </w:t>
      </w:r>
      <w:r>
        <w:t xml:space="preserve">More generally, the annual family income limit above which Family Tax Benefit Part A may not be paid differs with the number of children aged 0–12 and 13–19. As of 20 March 2024, the income limits were between $117,348 and $206,858, depending on the number of children. For Family Tax Benefit Part B, income limits differ between family types. For sole earners, Family Tax Benefit Part B may not be paid when an individual’s income exceeds $112,578. For coupled earners, Family Tax Benefit Part B may not be paid when the primary earner earns more than $112,578 and the secondary earner earns more than $32,303 (youngest child aged under five) or $25,149 (youngest child aged five to 18) </w:t>
      </w:r>
      <w:r w:rsidRPr="00E8581F">
        <w:t>(Services Australia 2024, pp. 2–4)</w:t>
      </w:r>
      <w:r>
        <w:t>.</w:t>
      </w:r>
    </w:p>
  </w:footnote>
  <w:footnote w:id="31">
    <w:p w14:paraId="4937D601" w14:textId="77777777" w:rsidR="00CF51C5" w:rsidRDefault="00CF51C5" w:rsidP="00D13425">
      <w:pPr>
        <w:pStyle w:val="FootnoteText"/>
      </w:pPr>
      <w:r>
        <w:rPr>
          <w:rStyle w:val="FootnoteReference"/>
        </w:rPr>
        <w:footnoteRef/>
      </w:r>
      <w:r>
        <w:t xml:space="preserve"> Rent Assistance is a supplementary payment to help meet the costs of renting in the private rental market or community housing </w:t>
      </w:r>
      <w:r w:rsidRPr="00E8581F">
        <w:t>(Services Australia 2024, p. 38)</w:t>
      </w:r>
      <w:r>
        <w:t xml:space="preserve">. The latest available data from the Australian Institute of Family Studies identifies that about three quarters of coupled earner families and half of sole earner families are not renters (and are therefore ineligible for Rent Assistance). Additionally, not all renters will be eligible for Rent Assistance. WDRs were therefore calculated without an assumption </w:t>
      </w:r>
      <w:r w:rsidRPr="00381091">
        <w:t>that families are renters</w:t>
      </w:r>
      <w:r>
        <w:t xml:space="preserve"> </w:t>
      </w:r>
      <w:r w:rsidRPr="00E8581F">
        <w:t>(Qu and Warren 2020, p. 4)</w:t>
      </w:r>
      <w:r>
        <w:t>.</w:t>
      </w:r>
    </w:p>
  </w:footnote>
  <w:footnote w:id="32">
    <w:p w14:paraId="6DD557E6" w14:textId="527141BA" w:rsidR="00CF51C5" w:rsidRDefault="00CF51C5" w:rsidP="00D13425">
      <w:pPr>
        <w:pStyle w:val="FootnoteText"/>
      </w:pPr>
      <w:r>
        <w:rPr>
          <w:rStyle w:val="FootnoteReference"/>
        </w:rPr>
        <w:footnoteRef/>
      </w:r>
      <w:r w:rsidR="003B6AF2">
        <w:t xml:space="preserve"> For example, an individual who reported working 20 hours per week had their income multiplied by two to provide an estimated FTE (40 hours per week) income.</w:t>
      </w:r>
    </w:p>
  </w:footnote>
  <w:footnote w:id="33">
    <w:p w14:paraId="3CE4BF97" w14:textId="77777777" w:rsidR="00CF51C5" w:rsidRDefault="00CF51C5" w:rsidP="00D13425">
      <w:pPr>
        <w:pStyle w:val="FootnoteText"/>
      </w:pPr>
      <w:r>
        <w:rPr>
          <w:rStyle w:val="FootnoteReference"/>
        </w:rPr>
        <w:footnoteRef/>
      </w:r>
      <w:r>
        <w:t xml:space="preserve"> Individuals who did not report earning an employee income or who reported earning an employee income despite working zero hours have been excluded from the analysis, as an FTE income cannot be calculated for them. 117 unweighted sole earner families with one child, 38 sole earner families with two children, 502 unweighted coupled earner families with one child and 251 coupled earner families with two children have been excluded.</w:t>
      </w:r>
    </w:p>
  </w:footnote>
  <w:footnote w:id="34">
    <w:p w14:paraId="2E96CB43" w14:textId="77777777" w:rsidR="00CF51C5" w:rsidRDefault="00CF51C5" w:rsidP="00D13425">
      <w:pPr>
        <w:pStyle w:val="FootnoteText"/>
      </w:pPr>
      <w:r>
        <w:rPr>
          <w:rStyle w:val="FootnoteReference"/>
        </w:rPr>
        <w:footnoteRef/>
      </w:r>
      <w:r>
        <w:t xml:space="preserve"> When considering all sole earners with one or two children (including those who report no employee income and are excluded from the below analysis), about 85% earn $80,000 FTE or less. When considering the actual (non</w:t>
      </w:r>
      <w:r>
        <w:noBreakHyphen/>
        <w:t>FTE) incomes of sole earners, 90% earn $80,000 or less.</w:t>
      </w:r>
    </w:p>
  </w:footnote>
  <w:footnote w:id="35">
    <w:p w14:paraId="6A00A726" w14:textId="77777777" w:rsidR="00CF51C5" w:rsidRPr="00E8581F" w:rsidRDefault="00CF51C5" w:rsidP="00D13425">
      <w:pPr>
        <w:pStyle w:val="FootnoteText"/>
      </w:pPr>
      <w:r>
        <w:rPr>
          <w:rStyle w:val="FootnoteReference"/>
        </w:rPr>
        <w:footnoteRef/>
      </w:r>
      <w:r>
        <w:t xml:space="preserve"> </w:t>
      </w:r>
      <w:r w:rsidRPr="00E343E4">
        <w:t xml:space="preserve">The analysis presented here in </w:t>
      </w:r>
      <w:r>
        <w:t>section F.4</w:t>
      </w:r>
      <w:r w:rsidRPr="00E343E4">
        <w:t xml:space="preserve"> uses an estimate of </w:t>
      </w:r>
      <w:r>
        <w:t xml:space="preserve">families’ </w:t>
      </w:r>
      <w:r w:rsidRPr="00E343E4">
        <w:t>adjusted taxable income</w:t>
      </w:r>
      <w:r>
        <w:t xml:space="preserve"> from CAPITA</w:t>
      </w:r>
      <w:r>
        <w:noBreakHyphen/>
        <w:t>B with ECEC, a behavioural microsimulation model. More detail on CAPITA</w:t>
      </w:r>
      <w:r>
        <w:noBreakHyphen/>
        <w:t>B with ECEC is in appendix G.</w:t>
      </w:r>
    </w:p>
  </w:footnote>
  <w:footnote w:id="36">
    <w:p w14:paraId="76D9964D" w14:textId="7E14452C" w:rsidR="00CF51C5" w:rsidRPr="00E8581F" w:rsidRDefault="00CF51C5" w:rsidP="00D13425">
      <w:pPr>
        <w:pStyle w:val="FootnoteText"/>
      </w:pPr>
      <w:r>
        <w:rPr>
          <w:rStyle w:val="FootnoteReference"/>
        </w:rPr>
        <w:footnoteRef/>
      </w:r>
      <w:r w:rsidR="003B6AF2">
        <w:t xml:space="preserve"> </w:t>
      </w:r>
      <w:r w:rsidR="003B6AF2" w:rsidRPr="00E8581F">
        <w:t>Hence, individuals who report earning no employee income are not excluded from the analysis as they were in section</w:t>
      </w:r>
      <w:r w:rsidR="003B6AF2">
        <w:t> </w:t>
      </w:r>
      <w:r w:rsidR="003B6AF2" w:rsidRPr="00E8581F">
        <w:t>F.3.</w:t>
      </w:r>
    </w:p>
  </w:footnote>
  <w:footnote w:id="37">
    <w:p w14:paraId="27CFB247" w14:textId="77777777" w:rsidR="008E7FC3" w:rsidRPr="00B70D05" w:rsidRDefault="008E7FC3" w:rsidP="008E7FC3">
      <w:pPr>
        <w:pStyle w:val="FootnoteText"/>
        <w:rPr>
          <w:lang w:val="en-US"/>
        </w:rPr>
      </w:pPr>
      <w:r w:rsidRPr="004F3B66">
        <w:rPr>
          <w:rStyle w:val="FootnoteReference"/>
        </w:rPr>
        <w:footnoteRef/>
      </w:r>
      <w:r>
        <w:t xml:space="preserve"> CAPITA does have the ability to include ECEC policies in hypothetical analysis such as cameos and effective marginal tax rates but does not include the ability to model ECEC policy effects across the full population.</w:t>
      </w:r>
    </w:p>
  </w:footnote>
  <w:footnote w:id="38">
    <w:p w14:paraId="65F72502" w14:textId="77777777" w:rsidR="008E7FC3" w:rsidRDefault="008E7FC3" w:rsidP="008E7FC3">
      <w:pPr>
        <w:pStyle w:val="FootnoteText"/>
      </w:pPr>
      <w:r>
        <w:rPr>
          <w:rStyle w:val="FootnoteReference"/>
        </w:rPr>
        <w:footnoteRef/>
      </w:r>
      <w:r>
        <w:t xml:space="preserve"> An income unit is ‘[a] group of two or more related people in the same household assumed to pool their income and savings and to share the benefits deriving from them equitably; or [o]ne person assumed to have sole command over their income, consumption and savings </w:t>
      </w:r>
      <w:r w:rsidRPr="00CF234F">
        <w:rPr>
          <w:rFonts w:ascii="Arial" w:hAnsi="Arial" w:cs="Arial"/>
        </w:rPr>
        <w:t>(Australian Bureau of Statistics 2015)</w:t>
      </w:r>
      <w:r>
        <w:t>’.</w:t>
      </w:r>
    </w:p>
  </w:footnote>
  <w:footnote w:id="39">
    <w:p w14:paraId="5553A80D" w14:textId="77777777" w:rsidR="008E7FC3" w:rsidRPr="00836A3D" w:rsidRDefault="008E7FC3" w:rsidP="008E7FC3">
      <w:pPr>
        <w:pStyle w:val="FootnoteText"/>
        <w:rPr>
          <w:lang w:val="en-US"/>
        </w:rPr>
      </w:pPr>
      <w:r w:rsidRPr="004F3B66">
        <w:rPr>
          <w:rStyle w:val="FootnoteReference"/>
        </w:rPr>
        <w:footnoteRef/>
      </w:r>
      <w:r>
        <w:t xml:space="preserve"> </w:t>
      </w:r>
      <w:r>
        <w:rPr>
          <w:lang w:val="en-US"/>
        </w:rPr>
        <w:t>Henceforth referred to as net income.</w:t>
      </w:r>
    </w:p>
  </w:footnote>
  <w:footnote w:id="40">
    <w:p w14:paraId="0562CAE6" w14:textId="77777777" w:rsidR="008E7FC3" w:rsidRPr="000D7A28" w:rsidRDefault="008E7FC3" w:rsidP="008E7FC3">
      <w:pPr>
        <w:pStyle w:val="FootnoteText"/>
        <w:rPr>
          <w:lang w:val="en-US"/>
        </w:rPr>
      </w:pPr>
      <w:r w:rsidRPr="004F3B66">
        <w:rPr>
          <w:rStyle w:val="FootnoteReference"/>
        </w:rPr>
        <w:footnoteRef/>
      </w:r>
      <w:r>
        <w:t xml:space="preserve"> </w:t>
      </w:r>
      <w:r w:rsidRPr="000D7A28">
        <w:t xml:space="preserve">The model includes the structure of the tax and transfer system and therefore the calculation of net income accounts </w:t>
      </w:r>
      <w:r>
        <w:t xml:space="preserve">for </w:t>
      </w:r>
      <w:r w:rsidRPr="000D7A28">
        <w:t>personal income taxes and transfer payments such as Family Tax Benefit and Parenting Payment in addition to ou</w:t>
      </w:r>
      <w:r>
        <w:t>t</w:t>
      </w:r>
      <w:r>
        <w:noBreakHyphen/>
      </w:r>
      <w:r w:rsidRPr="000D7A28">
        <w:t>of</w:t>
      </w:r>
      <w:r>
        <w:noBreakHyphen/>
      </w:r>
      <w:r w:rsidRPr="000D7A28">
        <w:t>pocket ECEC expenses.</w:t>
      </w:r>
    </w:p>
  </w:footnote>
  <w:footnote w:id="41">
    <w:p w14:paraId="3A0E9AAB" w14:textId="77777777" w:rsidR="008E7FC3" w:rsidRPr="00E02BA5" w:rsidRDefault="008E7FC3" w:rsidP="008E7FC3">
      <w:pPr>
        <w:pStyle w:val="FootnoteText"/>
        <w:rPr>
          <w:lang w:val="en-US"/>
        </w:rPr>
      </w:pPr>
      <w:r>
        <w:rPr>
          <w:rStyle w:val="FootnoteReference"/>
        </w:rPr>
        <w:footnoteRef/>
      </w:r>
      <w:r>
        <w:t xml:space="preserve"> CAPITA</w:t>
      </w:r>
      <w:r>
        <w:noBreakHyphen/>
        <w:t xml:space="preserve">B with ECEC can also </w:t>
      </w:r>
      <w:r w:rsidRPr="004B39EB">
        <w:t xml:space="preserve">model </w:t>
      </w:r>
      <w:r>
        <w:t xml:space="preserve">changes to tax and transfer policies </w:t>
      </w:r>
      <w:r w:rsidRPr="004B39EB">
        <w:t xml:space="preserve">but </w:t>
      </w:r>
      <w:r>
        <w:t xml:space="preserve">this was </w:t>
      </w:r>
      <w:r w:rsidRPr="004B39EB">
        <w:t>not the focus of the inquiry.</w:t>
      </w:r>
    </w:p>
  </w:footnote>
  <w:footnote w:id="42">
    <w:p w14:paraId="5D50660A" w14:textId="77777777" w:rsidR="008E7FC3" w:rsidRPr="00662D5C" w:rsidRDefault="008E7FC3" w:rsidP="008E7FC3">
      <w:pPr>
        <w:pStyle w:val="FootnoteText"/>
        <w:rPr>
          <w:lang w:val="en-US"/>
        </w:rPr>
      </w:pPr>
      <w:r w:rsidRPr="004F3B66">
        <w:rPr>
          <w:rStyle w:val="FootnoteReference"/>
        </w:rPr>
        <w:footnoteRef/>
      </w:r>
      <w:r>
        <w:t xml:space="preserve"> </w:t>
      </w:r>
      <w:r w:rsidRPr="00CA74F8">
        <w:t xml:space="preserve">The SIH asks households whether they used childcare in the four weeks leading up to the interview and the hours usually used. Calculating the average </w:t>
      </w:r>
      <w:r>
        <w:t xml:space="preserve">ECEC usage </w:t>
      </w:r>
      <w:r w:rsidRPr="00CA74F8">
        <w:t>using administrative data provides a comparable number to that collected in the S</w:t>
      </w:r>
      <w:r>
        <w:t>I</w:t>
      </w:r>
      <w:r w:rsidRPr="00CA74F8">
        <w:t>H.</w:t>
      </w:r>
    </w:p>
  </w:footnote>
  <w:footnote w:id="43">
    <w:p w14:paraId="70677841" w14:textId="77777777" w:rsidR="008E7FC3" w:rsidRDefault="008E7FC3" w:rsidP="008E7FC3">
      <w:pPr>
        <w:pStyle w:val="FootnoteText"/>
      </w:pPr>
      <w:r>
        <w:rPr>
          <w:rStyle w:val="FootnoteReference"/>
        </w:rPr>
        <w:footnoteRef/>
      </w:r>
      <w:r>
        <w:t xml:space="preserve"> Wage imputation involves assigning a predicted wage rate to non</w:t>
      </w:r>
      <w:r>
        <w:noBreakHyphen/>
        <w:t>workers, for whom wage information is not observed in the SIH.</w:t>
      </w:r>
    </w:p>
  </w:footnote>
  <w:footnote w:id="44">
    <w:p w14:paraId="4C7D41A9" w14:textId="77777777" w:rsidR="008E7FC3" w:rsidRDefault="008E7FC3" w:rsidP="008E7FC3">
      <w:pPr>
        <w:pStyle w:val="FootnoteText"/>
      </w:pPr>
      <w:r>
        <w:rPr>
          <w:rStyle w:val="FootnoteReference"/>
        </w:rPr>
        <w:footnoteRef/>
      </w:r>
      <w:r>
        <w:t xml:space="preserve"> </w:t>
      </w:r>
      <w:r w:rsidRPr="00EF4641">
        <w:t xml:space="preserve">Instead of linking datasets one-to-one for individual projects, </w:t>
      </w:r>
      <w:r>
        <w:t xml:space="preserve">the ABS </w:t>
      </w:r>
      <w:r w:rsidRPr="00EF4641">
        <w:t>link</w:t>
      </w:r>
      <w:r>
        <w:t>s</w:t>
      </w:r>
      <w:r w:rsidRPr="00EF4641">
        <w:t xml:space="preserve"> all datasets to the </w:t>
      </w:r>
      <w:r>
        <w:t>'s</w:t>
      </w:r>
      <w:r w:rsidRPr="00EF4641">
        <w:t>pine</w:t>
      </w:r>
      <w:r>
        <w:t>’</w:t>
      </w:r>
      <w:r w:rsidRPr="00EF4641">
        <w:t xml:space="preserve"> once and then </w:t>
      </w:r>
      <w:r>
        <w:t xml:space="preserve">allows datasets to be combined </w:t>
      </w:r>
      <w:r w:rsidRPr="00EF4641">
        <w:t xml:space="preserve">via the </w:t>
      </w:r>
      <w:r>
        <w:t>s</w:t>
      </w:r>
      <w:r w:rsidRPr="00EF4641">
        <w:t>pine as needed</w:t>
      </w:r>
      <w:r>
        <w:t xml:space="preserve"> </w:t>
      </w:r>
      <w:r w:rsidRPr="00CA7B55">
        <w:rPr>
          <w:rFonts w:ascii="Arial" w:hAnsi="Arial" w:cs="Arial"/>
        </w:rPr>
        <w:t>(ABS 2024)</w:t>
      </w:r>
      <w:r w:rsidRPr="00EF4641">
        <w:t>.</w:t>
      </w:r>
    </w:p>
  </w:footnote>
  <w:footnote w:id="45">
    <w:p w14:paraId="7C4CC788" w14:textId="77777777" w:rsidR="008E7FC3" w:rsidRPr="006C758A" w:rsidRDefault="008E7FC3" w:rsidP="008E7FC3">
      <w:pPr>
        <w:pStyle w:val="FootnoteText"/>
      </w:pPr>
      <w:r>
        <w:rPr>
          <w:rStyle w:val="FootnoteReference"/>
        </w:rPr>
        <w:footnoteRef/>
      </w:r>
      <w:r>
        <w:t xml:space="preserve"> </w:t>
      </w:r>
      <w:r w:rsidRPr="006C758A">
        <w:t xml:space="preserve">Hours enrolled in family day care services were included in the model. However, due to limitations in obtaining the median hourly fee for family day care services at the </w:t>
      </w:r>
      <w:r>
        <w:t>SA</w:t>
      </w:r>
      <w:r w:rsidRPr="006C758A">
        <w:t>3 level, income units that used family day care services were re</w:t>
      </w:r>
      <w:r>
        <w:noBreakHyphen/>
      </w:r>
      <w:r w:rsidRPr="006C758A">
        <w:t>categorised as CBDCs and the median hourly fee for CBDCs were imputed for these observations.</w:t>
      </w:r>
      <w:r>
        <w:t xml:space="preserve"> In the December 2023 quarter, there was little difference between the average hourly fee for CBDCs and FDCs. CBDCs had an average hourly fee across Australia of $12.85 compared to the average hourly fee of FDCs of $12.55 </w:t>
      </w:r>
      <w:r w:rsidRPr="00780291">
        <w:rPr>
          <w:rFonts w:ascii="Arial" w:hAnsi="Arial" w:cs="Arial"/>
        </w:rPr>
        <w:t>(DoE 2024)</w:t>
      </w:r>
      <w:r>
        <w:t xml:space="preserve">. Between CBDC and FDC, about 7% of families used FDCs with the remaining 93% using CDBCs </w:t>
      </w:r>
      <w:r w:rsidRPr="00A34634">
        <w:rPr>
          <w:rFonts w:ascii="Arial" w:hAnsi="Arial" w:cs="Arial"/>
        </w:rPr>
        <w:t>(DoE 2024)</w:t>
      </w:r>
      <w:r>
        <w:t>.</w:t>
      </w:r>
    </w:p>
  </w:footnote>
  <w:footnote w:id="46">
    <w:p w14:paraId="288FB620" w14:textId="77777777" w:rsidR="008E7FC3" w:rsidRDefault="008E7FC3" w:rsidP="008E7FC3">
      <w:pPr>
        <w:pStyle w:val="FootnoteText"/>
      </w:pPr>
      <w:r>
        <w:rPr>
          <w:rStyle w:val="FootnoteReference"/>
        </w:rPr>
        <w:footnoteRef/>
      </w:r>
      <w:r>
        <w:t xml:space="preserve"> Fees by SA3 and GCCSA were calculated outside the DataLab environment as geographic information at the SA3 level was not available in the CCS administrative data within the DataLab environment.</w:t>
      </w:r>
    </w:p>
  </w:footnote>
  <w:footnote w:id="47">
    <w:p w14:paraId="2C4ABE12" w14:textId="77777777" w:rsidR="008E7FC3" w:rsidRPr="00FA0551" w:rsidRDefault="008E7FC3" w:rsidP="008E7FC3">
      <w:pPr>
        <w:pStyle w:val="FootnoteText"/>
        <w:rPr>
          <w:lang w:val="en-US"/>
        </w:rPr>
      </w:pPr>
      <w:r>
        <w:rPr>
          <w:rStyle w:val="FootnoteReference"/>
        </w:rPr>
        <w:footnoteRef/>
      </w:r>
      <w:r>
        <w:t xml:space="preserve"> </w:t>
      </w:r>
      <w:r>
        <w:rPr>
          <w:lang w:val="en-US"/>
        </w:rPr>
        <w:t>Primary carers have 80 hours of waking time that can be used to provide informal care or to work.</w:t>
      </w:r>
    </w:p>
  </w:footnote>
  <w:footnote w:id="48">
    <w:p w14:paraId="4A6A8737" w14:textId="77777777" w:rsidR="008E7FC3" w:rsidRDefault="008E7FC3" w:rsidP="008E7FC3">
      <w:pPr>
        <w:pStyle w:val="FootnoteText"/>
      </w:pPr>
      <w:r w:rsidRPr="004F3B66">
        <w:rPr>
          <w:rStyle w:val="FootnoteReference"/>
        </w:rPr>
        <w:footnoteRef/>
      </w:r>
      <w:r>
        <w:t xml:space="preserve"> Children aged 6–12 are assumed to use 40% of the normalised hours, while children aged 0–5 use 100% of the normalised hours.</w:t>
      </w:r>
    </w:p>
  </w:footnote>
  <w:footnote w:id="49">
    <w:p w14:paraId="73D2182D" w14:textId="77777777" w:rsidR="008E7FC3" w:rsidRDefault="008E7FC3" w:rsidP="008E7FC3">
      <w:pPr>
        <w:pStyle w:val="FootnoteText"/>
      </w:pPr>
      <w:r>
        <w:rPr>
          <w:rStyle w:val="FootnoteReference"/>
        </w:rPr>
        <w:footnoteRef/>
      </w:r>
      <w:r>
        <w:t xml:space="preserve"> CCS activity hours refers to the number of hours of eligible activity completed by parents or guardian to access subsidised ECEC under the activity test.</w:t>
      </w:r>
      <w:r w:rsidRPr="00405A42">
        <w:t xml:space="preserve"> </w:t>
      </w:r>
      <w:r>
        <w:t>CCS activity hours are assumed to be 1.2 times their hours of work. The additional 20% of the time is to account for break times and travel times.</w:t>
      </w:r>
    </w:p>
  </w:footnote>
  <w:footnote w:id="50">
    <w:p w14:paraId="5DF67653" w14:textId="77777777" w:rsidR="008E7FC3" w:rsidRPr="00B70D05" w:rsidRDefault="008E7FC3" w:rsidP="008E7FC3">
      <w:pPr>
        <w:pStyle w:val="FootnoteText"/>
        <w:rPr>
          <w:lang w:val="en-US"/>
        </w:rPr>
      </w:pPr>
      <w:r w:rsidRPr="004F3B66">
        <w:rPr>
          <w:rStyle w:val="FootnoteReference"/>
        </w:rPr>
        <w:footnoteRef/>
      </w:r>
      <w:r>
        <w:t xml:space="preserve"> </w:t>
      </w:r>
      <w:r w:rsidRPr="00233EF5">
        <w:t xml:space="preserve">For other cohorts </w:t>
      </w:r>
      <w:r>
        <w:t>in CAPITA</w:t>
      </w:r>
      <w:r>
        <w:noBreakHyphen/>
        <w:t xml:space="preserve">B </w:t>
      </w:r>
      <w:r w:rsidRPr="00233EF5">
        <w:t>– single men</w:t>
      </w:r>
      <w:r>
        <w:t>,</w:t>
      </w:r>
      <w:r w:rsidRPr="00233EF5">
        <w:t xml:space="preserve"> single women </w:t>
      </w:r>
      <w:r>
        <w:t>and partnered male parents</w:t>
      </w:r>
      <w:r w:rsidRPr="00233EF5">
        <w:t xml:space="preserve"> – CAPITA</w:t>
      </w:r>
      <w:r>
        <w:t>-</w:t>
      </w:r>
      <w:r w:rsidRPr="00233EF5">
        <w:t>B’s preexisting wage equations were used to impute wages</w:t>
      </w:r>
      <w:r>
        <w:t xml:space="preserve">. For the ECEC inquiry modelling, these cohorts were excluded from the results. Changes to ECEC subsidies are unlikely to influence the decisions of single men and single women to participate in the labour force. In line with the broader model, it is </w:t>
      </w:r>
      <w:r w:rsidRPr="00CF0B8B">
        <w:t>assum</w:t>
      </w:r>
      <w:r>
        <w:t>ed</w:t>
      </w:r>
      <w:r w:rsidRPr="00CF0B8B">
        <w:t xml:space="preserve"> that the father</w:t>
      </w:r>
      <w:r>
        <w:t xml:space="preserve"> in a partnered parent family</w:t>
      </w:r>
      <w:r w:rsidRPr="00CF0B8B">
        <w:t xml:space="preserve"> is the primary earner, and the mother is the primary carer</w:t>
      </w:r>
      <w:r>
        <w:t>. This means that partnered male parents are less likely to have their labour force participation decisions influenced by changes to ECEC subsidises compared to partnered female parents.</w:t>
      </w:r>
    </w:p>
  </w:footnote>
  <w:footnote w:id="51">
    <w:p w14:paraId="53263148" w14:textId="77777777" w:rsidR="008E7FC3" w:rsidRDefault="008E7FC3" w:rsidP="008E7FC3">
      <w:pPr>
        <w:pStyle w:val="FootnoteText"/>
      </w:pPr>
      <w:r>
        <w:rPr>
          <w:rStyle w:val="FootnoteReference"/>
        </w:rPr>
        <w:footnoteRef/>
      </w:r>
      <w:r>
        <w:t xml:space="preserve"> </w:t>
      </w:r>
      <w:r w:rsidRPr="00671842">
        <w:t xml:space="preserve">The wage equations were estimated in R using the </w:t>
      </w:r>
      <w:r w:rsidRPr="00671842">
        <w:rPr>
          <w:i/>
          <w:iCs/>
        </w:rPr>
        <w:t>selection()</w:t>
      </w:r>
      <w:r w:rsidRPr="00671842">
        <w:t xml:space="preserve"> function from the </w:t>
      </w:r>
      <w:r w:rsidRPr="00671842">
        <w:rPr>
          <w:i/>
          <w:iCs/>
        </w:rPr>
        <w:t>sampleSelection</w:t>
      </w:r>
      <w:r w:rsidRPr="00671842">
        <w:t xml:space="preserve"> package.</w:t>
      </w:r>
    </w:p>
  </w:footnote>
  <w:footnote w:id="52">
    <w:p w14:paraId="7B3D7CE8" w14:textId="77777777" w:rsidR="008E7FC3" w:rsidRDefault="008E7FC3" w:rsidP="008E7FC3">
      <w:pPr>
        <w:pStyle w:val="FootnoteText"/>
      </w:pPr>
      <w:r w:rsidRPr="004F3B66">
        <w:rPr>
          <w:rStyle w:val="FootnoteReference"/>
        </w:rPr>
        <w:footnoteRef/>
      </w:r>
      <w:r>
        <w:t xml:space="preserve"> See, for example, Creedy </w:t>
      </w:r>
      <w:r w:rsidRPr="00223EE3">
        <w:rPr>
          <w:rFonts w:cs="Arial"/>
        </w:rPr>
        <w:t>(2000)</w:t>
      </w:r>
      <w:r>
        <w:t>,</w:t>
      </w:r>
      <w:r w:rsidDel="00A25CCB">
        <w:t xml:space="preserve"> </w:t>
      </w:r>
      <w:r>
        <w:t xml:space="preserve">Kalb </w:t>
      </w:r>
      <w:r w:rsidRPr="005559C7">
        <w:rPr>
          <w:rFonts w:cs="Arial"/>
        </w:rPr>
        <w:t>(2002)</w:t>
      </w:r>
      <w:r>
        <w:t xml:space="preserve">, Mercante and Mok </w:t>
      </w:r>
      <w:r w:rsidRPr="00906D68">
        <w:rPr>
          <w:rFonts w:cs="Arial"/>
        </w:rPr>
        <w:t>(2014a, 2014b)</w:t>
      </w:r>
      <w:r>
        <w:t xml:space="preserve"> and DEWR </w:t>
      </w:r>
      <w:r w:rsidRPr="005572BF">
        <w:rPr>
          <w:rFonts w:cs="Arial"/>
        </w:rPr>
        <w:t>(2017)</w:t>
      </w:r>
      <w:r>
        <w:t xml:space="preserve"> (technical guide to CAPITA</w:t>
      </w:r>
      <w:r>
        <w:noBreakHyphen/>
        <w:t>B).</w:t>
      </w:r>
    </w:p>
  </w:footnote>
  <w:footnote w:id="53">
    <w:p w14:paraId="00EDC3C0" w14:textId="77777777" w:rsidR="008E7FC3" w:rsidRDefault="008E7FC3" w:rsidP="008E7FC3">
      <w:pPr>
        <w:pStyle w:val="FootnoteText"/>
      </w:pPr>
      <w:r w:rsidRPr="004F3B66">
        <w:rPr>
          <w:rStyle w:val="FootnoteReference"/>
        </w:rPr>
        <w:footnoteRef/>
      </w:r>
      <w:r>
        <w:t xml:space="preserve"> If the </w:t>
      </w:r>
      <w:r w:rsidRPr="007627EB">
        <w:t>residuals</w:t>
      </w:r>
      <w:r>
        <w:t xml:space="preserve"> from a regression using the untransformed wage rate</w:t>
      </w:r>
      <w:r w:rsidRPr="007627EB">
        <w:t xml:space="preserve"> are</w:t>
      </w:r>
      <w:r>
        <w:t xml:space="preserve"> not</w:t>
      </w:r>
      <w:r w:rsidRPr="007627EB">
        <w:t xml:space="preserve"> normally distributed</w:t>
      </w:r>
      <w:r>
        <w:t xml:space="preserve">, </w:t>
      </w:r>
      <w:r w:rsidRPr="007627EB">
        <w:t xml:space="preserve">taking the </w:t>
      </w:r>
      <w:r>
        <w:t xml:space="preserve">natural </w:t>
      </w:r>
      <w:r w:rsidRPr="007627EB">
        <w:t>logarithm of</w:t>
      </w:r>
      <w:r>
        <w:t xml:space="preserve"> the wage rate</w:t>
      </w:r>
      <w:r w:rsidRPr="007627EB">
        <w:t xml:space="preserve"> may improve </w:t>
      </w:r>
      <w:r>
        <w:t xml:space="preserve">model </w:t>
      </w:r>
      <w:r w:rsidRPr="007627EB">
        <w:t>fit by altering the</w:t>
      </w:r>
      <w:r>
        <w:t xml:space="preserve"> variable’s</w:t>
      </w:r>
      <w:r w:rsidRPr="007627EB">
        <w:t xml:space="preserve"> scale and making </w:t>
      </w:r>
      <w:r>
        <w:t>it</w:t>
      </w:r>
      <w:r w:rsidRPr="007627EB">
        <w:t xml:space="preserve"> more </w:t>
      </w:r>
      <w:r>
        <w:t>‘</w:t>
      </w:r>
      <w:r w:rsidRPr="007627EB">
        <w:t>normally distributed</w:t>
      </w:r>
      <w:r>
        <w:t>’.</w:t>
      </w:r>
    </w:p>
  </w:footnote>
  <w:footnote w:id="54">
    <w:p w14:paraId="3C7B4CC8" w14:textId="77777777" w:rsidR="008E7FC3" w:rsidRDefault="008E7FC3" w:rsidP="008E7FC3">
      <w:pPr>
        <w:pStyle w:val="FootnoteText"/>
      </w:pPr>
      <w:r>
        <w:rPr>
          <w:rStyle w:val="FootnoteReference"/>
        </w:rPr>
        <w:footnoteRef/>
      </w:r>
      <w:r>
        <w:t xml:space="preserve"> Based</w:t>
      </w:r>
      <w:r w:rsidRPr="005F6905">
        <w:t xml:space="preserve"> on feedback </w:t>
      </w:r>
      <w:r>
        <w:t>at a workshop to discuss the modelling during the course of the inquiry, the selection term was not included when imputing wages.</w:t>
      </w:r>
    </w:p>
  </w:footnote>
  <w:footnote w:id="55">
    <w:p w14:paraId="613D58B1" w14:textId="77777777" w:rsidR="008E7FC3" w:rsidRDefault="008E7FC3" w:rsidP="008E7FC3">
      <w:pPr>
        <w:pStyle w:val="FootnoteText"/>
      </w:pPr>
      <w:r>
        <w:rPr>
          <w:rStyle w:val="FootnoteReference"/>
        </w:rPr>
        <w:footnoteRef/>
      </w:r>
      <w:r>
        <w:t xml:space="preserve"> The observed wage rate was used for workers.</w:t>
      </w:r>
    </w:p>
  </w:footnote>
  <w:footnote w:id="56">
    <w:p w14:paraId="098060E9" w14:textId="77777777" w:rsidR="008E7FC3" w:rsidRDefault="008E7FC3" w:rsidP="008E7FC3">
      <w:pPr>
        <w:pStyle w:val="FootnoteText"/>
      </w:pPr>
      <w:r>
        <w:rPr>
          <w:rStyle w:val="FootnoteReference"/>
        </w:rPr>
        <w:footnoteRef/>
      </w:r>
      <w:r>
        <w:t xml:space="preserve"> The impact of the motherhood penalty could be controlled for to some extent by including information like people’s work experience. Work experience information would capture the impact that time out of the labour market has on hourly wage rates, both due to child rearing and other reasons. However, information relating to an individual’s work experience is not available in the SIH.</w:t>
      </w:r>
    </w:p>
  </w:footnote>
  <w:footnote w:id="57">
    <w:p w14:paraId="1D127F9F" w14:textId="77777777" w:rsidR="008E7FC3" w:rsidRDefault="008E7FC3" w:rsidP="008E7FC3">
      <w:pPr>
        <w:pStyle w:val="FootnoteText"/>
      </w:pPr>
      <w:r w:rsidRPr="004F3B66">
        <w:rPr>
          <w:rStyle w:val="FootnoteReference"/>
        </w:rPr>
        <w:footnoteRef/>
      </w:r>
      <w:r>
        <w:t xml:space="preserve"> Both the presence of children (using dummy variables for children in different age brackets) and the number of children were used as instruments. A full list of variables is presented below.</w:t>
      </w:r>
    </w:p>
  </w:footnote>
  <w:footnote w:id="58">
    <w:p w14:paraId="69B6BA58" w14:textId="77777777" w:rsidR="008E7FC3" w:rsidRDefault="008E7FC3" w:rsidP="008E7FC3">
      <w:pPr>
        <w:pStyle w:val="FootnoteText"/>
      </w:pPr>
      <w:r>
        <w:rPr>
          <w:rStyle w:val="FootnoteReference"/>
        </w:rPr>
        <w:footnoteRef/>
      </w:r>
      <w:r>
        <w:t xml:space="preserve"> </w:t>
      </w:r>
      <w:r w:rsidRPr="00E63743">
        <w:t>It is</w:t>
      </w:r>
      <w:r>
        <w:t xml:space="preserve"> also</w:t>
      </w:r>
      <w:r w:rsidRPr="00E63743">
        <w:t xml:space="preserve"> important to keep in mind that the goal of CAPITA</w:t>
      </w:r>
      <w:r>
        <w:noBreakHyphen/>
      </w:r>
      <w:r w:rsidRPr="00E63743">
        <w:t>B</w:t>
      </w:r>
      <w:r>
        <w:t xml:space="preserve"> with ECEC</w:t>
      </w:r>
      <w:r w:rsidRPr="00E63743">
        <w:t xml:space="preserve">’s wage equations is to accurately predict wages rather than to obtain unbiased coefficients (although there is undoubtedly some degree of association between these two measures of performance). </w:t>
      </w:r>
      <w:r>
        <w:t xml:space="preserve">When the wage equations were initially developed using SIH CURF data, </w:t>
      </w:r>
      <w:r w:rsidRPr="00E63743">
        <w:t>the predictive performance</w:t>
      </w:r>
      <w:r>
        <w:t xml:space="preserve"> </w:t>
      </w:r>
      <w:r w:rsidRPr="00E63743">
        <w:t>of model specifications</w:t>
      </w:r>
      <w:r>
        <w:t xml:space="preserve"> </w:t>
      </w:r>
      <w:r w:rsidRPr="00E63743">
        <w:t>that did and did not control for the child penalty was similar</w:t>
      </w:r>
      <w:r>
        <w:t xml:space="preserve"> (predictive performance was based on in</w:t>
      </w:r>
      <w:r>
        <w:noBreakHyphen/>
        <w:t>sample analysis of the proportion of individuals whose predicted wage quintile was the same as the actual wage distribution). Given this result and the similarities between the SIH CURF and SIH MURF data, the same wage equation specification was implemented for the final model using SIH MURF data.</w:t>
      </w:r>
    </w:p>
  </w:footnote>
  <w:footnote w:id="59">
    <w:p w14:paraId="2217BC07" w14:textId="77777777" w:rsidR="008E7FC3" w:rsidRDefault="008E7FC3" w:rsidP="008E7FC3">
      <w:pPr>
        <w:pStyle w:val="FootnoteText"/>
      </w:pPr>
      <w:r w:rsidRPr="004F3B66">
        <w:rPr>
          <w:rStyle w:val="FootnoteReference"/>
        </w:rPr>
        <w:footnoteRef/>
      </w:r>
      <w:r>
        <w:t xml:space="preserve"> An income unit is </w:t>
      </w:r>
      <w:r w:rsidRPr="00166818">
        <w:t>one person, or a group of related persons within a household, whose command over income is assumed to be shared</w:t>
      </w:r>
      <w:r>
        <w:t>.</w:t>
      </w:r>
    </w:p>
  </w:footnote>
  <w:footnote w:id="60">
    <w:p w14:paraId="03952E44" w14:textId="77777777" w:rsidR="008E7FC3" w:rsidRDefault="008E7FC3" w:rsidP="008E7FC3">
      <w:pPr>
        <w:pStyle w:val="FootnoteText"/>
      </w:pPr>
      <w:r w:rsidRPr="004F3B66">
        <w:rPr>
          <w:rStyle w:val="FootnoteReference"/>
        </w:rPr>
        <w:footnoteRef/>
      </w:r>
      <w:r>
        <w:t xml:space="preserve"> As an example, for full</w:t>
      </w:r>
      <w:r>
        <w:noBreakHyphen/>
        <w:t>time students, considerations other than financial incentives – such as having work hours that suit their class timetable – are often important in making labour supply decisions.</w:t>
      </w:r>
    </w:p>
  </w:footnote>
  <w:footnote w:id="61">
    <w:p w14:paraId="0D1C9264" w14:textId="77777777" w:rsidR="008E7FC3" w:rsidRDefault="008E7FC3" w:rsidP="008E7FC3">
      <w:pPr>
        <w:pStyle w:val="FootnoteText"/>
      </w:pPr>
      <w:r w:rsidRPr="004F3B66">
        <w:rPr>
          <w:rStyle w:val="FootnoteReference"/>
        </w:rPr>
        <w:footnoteRef/>
      </w:r>
      <w:r>
        <w:t xml:space="preserve"> Data is collected quarterly in February, May, August and November. Ideally, data from August 2019 to May 2020 would be used to align with the timing of the 2019</w:t>
      </w:r>
      <w:r>
        <w:noBreakHyphen/>
        <w:t>20 SIH. However, d</w:t>
      </w:r>
      <w:r w:rsidRPr="00A755AE">
        <w:t>ata from May 2019 is used in place of May 2020 due to the impact of C</w:t>
      </w:r>
      <w:r>
        <w:t>OVID</w:t>
      </w:r>
      <w:r w:rsidRPr="00A755AE">
        <w:t>-19</w:t>
      </w:r>
      <w:r>
        <w:t>.</w:t>
      </w:r>
    </w:p>
  </w:footnote>
  <w:footnote w:id="62">
    <w:p w14:paraId="1C28B5D6" w14:textId="77777777" w:rsidR="008E7FC3" w:rsidRDefault="008E7FC3" w:rsidP="008E7FC3">
      <w:pPr>
        <w:pStyle w:val="FootnoteText"/>
      </w:pPr>
      <w:r w:rsidRPr="004F3B66">
        <w:rPr>
          <w:rStyle w:val="FootnoteReference"/>
        </w:rPr>
        <w:footnoteRef/>
      </w:r>
      <w:r>
        <w:t xml:space="preserve"> See, for example Kalb </w:t>
      </w:r>
      <w:r w:rsidRPr="00895FE3">
        <w:rPr>
          <w:rFonts w:cs="Arial"/>
          <w:szCs w:val="24"/>
        </w:rPr>
        <w:t>(2002, pp. 10–12)</w:t>
      </w:r>
      <w:r>
        <w:t xml:space="preserve"> and the Commission’s ECEC inquiry </w:t>
      </w:r>
      <w:r w:rsidRPr="00B9002E">
        <w:rPr>
          <w:rFonts w:ascii="Arial" w:hAnsi="Arial" w:cs="Arial"/>
        </w:rPr>
        <w:t>(2014a)</w:t>
      </w:r>
      <w:r>
        <w:t xml:space="preserve"> (technical supplement to the final report, pp. 50</w:t>
      </w:r>
      <w:r>
        <w:noBreakHyphen/>
        <w:t>51).</w:t>
      </w:r>
    </w:p>
  </w:footnote>
  <w:footnote w:id="63">
    <w:p w14:paraId="60D48C5C" w14:textId="77777777" w:rsidR="008E7FC3" w:rsidRPr="00B70D05" w:rsidRDefault="008E7FC3" w:rsidP="008E7FC3">
      <w:pPr>
        <w:pStyle w:val="FootnoteText"/>
        <w:rPr>
          <w:lang w:val="en-GB"/>
        </w:rPr>
      </w:pPr>
      <w:r w:rsidRPr="006D33FB">
        <w:rPr>
          <w:rStyle w:val="FootnoteReference"/>
        </w:rPr>
        <w:footnoteRef/>
      </w:r>
      <w:r>
        <w:t xml:space="preserve"> Utility</w:t>
      </w:r>
      <w:r>
        <w:rPr>
          <w:lang w:val="en-GB"/>
        </w:rPr>
        <w:t xml:space="preserve"> measures the value, happiness or satisfaction a person or family gets from the consumption of goods and services and from the different ways a person spends their time (for example, through working or leisure).</w:t>
      </w:r>
    </w:p>
  </w:footnote>
  <w:footnote w:id="64">
    <w:p w14:paraId="55199969" w14:textId="77777777" w:rsidR="008E7FC3" w:rsidRDefault="008E7FC3" w:rsidP="008E7FC3">
      <w:pPr>
        <w:pStyle w:val="FootnoteText"/>
      </w:pPr>
      <w:r>
        <w:rPr>
          <w:rStyle w:val="FootnoteReference"/>
        </w:rPr>
        <w:footnoteRef/>
      </w:r>
      <w:r>
        <w:t xml:space="preserve"> A number of utility equation specifications were tested, with alternatives that excluded terms for fixed costs of work and that were more similar to the Commission’s 2014 inquiry specification </w:t>
      </w:r>
      <w:r w:rsidRPr="000075FF">
        <w:t>(PC 2014a)</w:t>
      </w:r>
      <w:r>
        <w:t>. The chosen specification performed best on fit statistics such as proportion of correct predictions, log-likelihood values and McFadden’s R-squared.</w:t>
      </w:r>
    </w:p>
  </w:footnote>
  <w:footnote w:id="65">
    <w:p w14:paraId="521F31E0" w14:textId="77777777" w:rsidR="008E7FC3" w:rsidRDefault="008E7FC3" w:rsidP="008E7FC3">
      <w:pPr>
        <w:pStyle w:val="FootnoteText"/>
      </w:pPr>
      <w:r>
        <w:rPr>
          <w:rStyle w:val="FootnoteReference"/>
        </w:rPr>
        <w:footnoteRef/>
      </w:r>
      <w:r>
        <w:t xml:space="preserve"> Work was initiated to re</w:t>
      </w:r>
      <w:r>
        <w:noBreakHyphen/>
        <w:t>estimate the utility equation using a dataset produced by CAPITA-B with ECEC based on the SIH MURF linked to administrative CCS data but due to time constraints this work was not able to be finalised in time for the inquiry’s final report.</w:t>
      </w:r>
    </w:p>
  </w:footnote>
  <w:footnote w:id="66">
    <w:p w14:paraId="11C94B53" w14:textId="77777777" w:rsidR="008E7FC3" w:rsidRDefault="008E7FC3" w:rsidP="008E7FC3">
      <w:pPr>
        <w:pStyle w:val="FootnoteText"/>
      </w:pPr>
      <w:r w:rsidRPr="004F3B66">
        <w:rPr>
          <w:rStyle w:val="FootnoteReference"/>
        </w:rPr>
        <w:footnoteRef/>
      </w:r>
      <w:r>
        <w:t xml:space="preserve"> This is an updated extract from DEWR’s ‘Technical Guide to CAPITA-B’ document </w:t>
      </w:r>
      <w:r w:rsidRPr="0054317B">
        <w:rPr>
          <w:rFonts w:ascii="Arial" w:hAnsi="Arial" w:cs="Arial"/>
        </w:rPr>
        <w:t>(DEWR 2017)</w:t>
      </w:r>
      <w:r>
        <w:rPr>
          <w:rFonts w:ascii="Arial" w:hAnsi="Arial" w:cs="Arial"/>
        </w:rPr>
        <w:t>.</w:t>
      </w:r>
    </w:p>
  </w:footnote>
  <w:footnote w:id="67">
    <w:p w14:paraId="67E5A0C2" w14:textId="77777777" w:rsidR="00396052" w:rsidRDefault="00396052" w:rsidP="00396052">
      <w:pPr>
        <w:pStyle w:val="FootnoteText"/>
      </w:pPr>
      <w:r w:rsidRPr="00DB4956">
        <w:rPr>
          <w:rStyle w:val="FootnoteReference"/>
        </w:rPr>
        <w:footnoteRef/>
      </w:r>
      <w:r>
        <w:t xml:space="preserve"> They must also be accurately </w:t>
      </w:r>
      <w:r w:rsidRPr="0075201A">
        <w:t xml:space="preserve">measured and their </w:t>
      </w:r>
      <w:r>
        <w:t>‘</w:t>
      </w:r>
      <w:r w:rsidRPr="0075201A">
        <w:t>functional form</w:t>
      </w:r>
      <w:r>
        <w:t>’</w:t>
      </w:r>
      <w:r w:rsidRPr="0075201A">
        <w:t xml:space="preserve"> in the model </w:t>
      </w:r>
      <w:r>
        <w:t xml:space="preserve">must </w:t>
      </w:r>
      <w:r w:rsidRPr="0075201A">
        <w:t>perfectly reflect their relationship with the outcome variable</w:t>
      </w:r>
      <w:r>
        <w:t xml:space="preserve"> (which will not be the case if, for example, parental education is modelled as having a linear effect, but the 10</w:t>
      </w:r>
      <w:r w:rsidRPr="00E0311F">
        <w:rPr>
          <w:vertAlign w:val="superscript"/>
        </w:rPr>
        <w:t>th</w:t>
      </w:r>
      <w:r>
        <w:t xml:space="preserve"> year of education has a different effect to the 16</w:t>
      </w:r>
      <w:r w:rsidRPr="00E0311F">
        <w:rPr>
          <w:vertAlign w:val="superscript"/>
        </w:rPr>
        <w:t>th</w:t>
      </w:r>
      <w:r>
        <w:t>).</w:t>
      </w:r>
    </w:p>
  </w:footnote>
  <w:footnote w:id="68">
    <w:p w14:paraId="6F5525B7" w14:textId="77777777" w:rsidR="00396052" w:rsidRDefault="00396052" w:rsidP="00396052">
      <w:pPr>
        <w:pStyle w:val="FootnoteText"/>
      </w:pPr>
      <w:r>
        <w:rPr>
          <w:rStyle w:val="FootnoteReference"/>
        </w:rPr>
        <w:footnoteRef/>
      </w:r>
      <w:r>
        <w:t xml:space="preserve"> Some studies use a ‘synthetic’ control group that may be more similar to the state in which the intervention took place. This is constructed from states in which the intervention did not occur, by placing different weights on them in order to construct a synthetic state that is as close as possible to the treated state in its measured characteristics </w:t>
      </w:r>
      <w:r w:rsidRPr="00F319E2">
        <w:rPr>
          <w:rFonts w:ascii="Arial" w:hAnsi="Arial" w:cs="Arial"/>
        </w:rPr>
        <w:t>(Abadie 2021)</w:t>
      </w:r>
      <w:r>
        <w:t>.</w:t>
      </w:r>
    </w:p>
  </w:footnote>
  <w:footnote w:id="69">
    <w:p w14:paraId="3094C542" w14:textId="77777777" w:rsidR="00396052" w:rsidRDefault="00396052" w:rsidP="00396052">
      <w:pPr>
        <w:pStyle w:val="FootnoteText"/>
      </w:pPr>
      <w:r>
        <w:rPr>
          <w:rStyle w:val="FootnoteReference"/>
        </w:rPr>
        <w:footnoteRef/>
      </w:r>
      <w:r>
        <w:t xml:space="preserve"> Although these tests will not always be sufficient to justify this assumption </w:t>
      </w:r>
      <w:r w:rsidRPr="00F319E2">
        <w:rPr>
          <w:rFonts w:ascii="Arial" w:hAnsi="Arial" w:cs="Arial"/>
        </w:rPr>
        <w:t>(Keane and Neal 2023)</w:t>
      </w:r>
      <w:r>
        <w:t>.</w:t>
      </w:r>
    </w:p>
  </w:footnote>
  <w:footnote w:id="70">
    <w:p w14:paraId="56603E7B" w14:textId="77777777" w:rsidR="00396052" w:rsidRDefault="00396052" w:rsidP="00396052">
      <w:pPr>
        <w:pStyle w:val="FootnoteText"/>
      </w:pPr>
      <w:r>
        <w:rPr>
          <w:rStyle w:val="FootnoteReference"/>
        </w:rPr>
        <w:footnoteRef/>
      </w:r>
      <w:r>
        <w:t xml:space="preserve"> Although results can still be meaningful under weaker versions of this assumption </w:t>
      </w:r>
      <w:r w:rsidRPr="00F319E2">
        <w:rPr>
          <w:rFonts w:ascii="Arial" w:hAnsi="Arial" w:cs="Arial"/>
        </w:rPr>
        <w:t>(de Chaisemartin 2017)</w:t>
      </w:r>
      <w:r>
        <w:t>.</w:t>
      </w:r>
    </w:p>
  </w:footnote>
  <w:footnote w:id="71">
    <w:p w14:paraId="4549D5CA" w14:textId="77777777" w:rsidR="00396052" w:rsidRDefault="00396052" w:rsidP="00396052">
      <w:pPr>
        <w:pStyle w:val="FootnoteText"/>
      </w:pPr>
      <w:r w:rsidRPr="00DB4956">
        <w:rPr>
          <w:rStyle w:val="FootnoteReference"/>
        </w:rPr>
        <w:footnoteRef/>
      </w:r>
      <w:r>
        <w:t xml:space="preserve"> Children will differ in terms of the ‘running variable’ that determines the cutoff, in this case age, but differences will be small and can be adjusted for.</w:t>
      </w:r>
    </w:p>
  </w:footnote>
  <w:footnote w:id="72">
    <w:p w14:paraId="3C9B8FCF" w14:textId="77777777" w:rsidR="00396052" w:rsidRDefault="00396052" w:rsidP="00396052">
      <w:pPr>
        <w:pStyle w:val="FootnoteText"/>
      </w:pPr>
      <w:r w:rsidRPr="00DB4956">
        <w:rPr>
          <w:rStyle w:val="FootnoteReference"/>
        </w:rPr>
        <w:footnoteRef/>
      </w:r>
      <w:r>
        <w:t xml:space="preserve"> This will not be the case in a ‘sharp’ RD, where crossing the threshold leads to a 100% chance of treatment. But all the RDs contained in this appendix are ‘fuzzy’ RDs, where crossing the threshold increases the likelihood of treatment, but does not guarantee it.</w:t>
      </w:r>
    </w:p>
  </w:footnote>
  <w:footnote w:id="73">
    <w:p w14:paraId="36E8C17B" w14:textId="77777777" w:rsidR="00396052" w:rsidRDefault="00396052" w:rsidP="00396052">
      <w:pPr>
        <w:pStyle w:val="FootnoteText"/>
      </w:pPr>
      <w:r>
        <w:rPr>
          <w:rStyle w:val="FootnoteReference"/>
        </w:rPr>
        <w:footnoteRef/>
      </w:r>
      <w:r>
        <w:t xml:space="preserve"> The threshold used for statistical significance in this appendix is a ‘p-value’ of 5%. The p-value is often used as a measure of the probability that a statistical result is due to chance and not a true effect – for example, that if the p-value for the test of whether an ECEC program had an effect was 4%, there is a 4% probability that the finding was due to random chance, and a 96% probability that it did have an effect. There are many reasons why this interpretation will not be accurate </w:t>
      </w:r>
      <w:r w:rsidRPr="00F319E2">
        <w:rPr>
          <w:rFonts w:ascii="Arial" w:hAnsi="Arial" w:cs="Arial"/>
        </w:rPr>
        <w:t>(Gelman et al. 2020; Imbens 2021)</w:t>
      </w:r>
      <w:r>
        <w:t>. The concept of statistical significance is used in this appendix only to briefly communicate some information about the reliability of findings, which it is far from able to fully capture.</w:t>
      </w:r>
    </w:p>
  </w:footnote>
  <w:footnote w:id="74">
    <w:p w14:paraId="1A5357E3" w14:textId="77777777" w:rsidR="00396052" w:rsidRDefault="00396052" w:rsidP="00396052">
      <w:pPr>
        <w:pStyle w:val="FootnoteText"/>
      </w:pPr>
      <w:r>
        <w:rPr>
          <w:rStyle w:val="FootnoteReference"/>
        </w:rPr>
        <w:footnoteRef/>
      </w:r>
      <w:r>
        <w:t xml:space="preserve"> A cutoff may be relevant in multiple ways, for example affecting both ECEC attendance and school starting age. If an ECEC program with an age cutoff is introduced one year, and the school starting age cutoff was in place before and after the introduction, a difference-in-regression-discontinuity approach would consider how the effect of crossing the age cutoff changes as it starts to affect ECEC attendance as well as school starting age.</w:t>
      </w:r>
    </w:p>
  </w:footnote>
  <w:footnote w:id="75">
    <w:p w14:paraId="0A5F6EE4" w14:textId="77777777" w:rsidR="00396052" w:rsidRDefault="00396052" w:rsidP="00396052">
      <w:pPr>
        <w:pStyle w:val="FootnoteText"/>
      </w:pPr>
      <w:r>
        <w:rPr>
          <w:rStyle w:val="FootnoteReference"/>
        </w:rPr>
        <w:footnoteRef/>
      </w:r>
      <w:r>
        <w:t xml:space="preserve"> This technique is vulnerable to the issue with statistical bias from unobserved confounding factors described above. However, in this case this bias would have to be very high to fully account for the estimated effect.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2DD5" w14:textId="32D0C023" w:rsidR="00F04EA7" w:rsidRPr="007215EF" w:rsidRDefault="00F04EA7" w:rsidP="007215EF">
    <w:r w:rsidRPr="007215EF">
      <w:rPr>
        <w:noProof/>
      </w:rPr>
      <w:drawing>
        <wp:anchor distT="0" distB="0" distL="114300" distR="114300" simplePos="0" relativeHeight="251658240" behindDoc="0" locked="1" layoutInCell="1" allowOverlap="1" wp14:anchorId="69616E3A" wp14:editId="1E08D802">
          <wp:simplePos x="0" y="0"/>
          <wp:positionH relativeFrom="margin">
            <wp:align>left</wp:align>
          </wp:positionH>
          <wp:positionV relativeFrom="page">
            <wp:align>top</wp:align>
          </wp:positionV>
          <wp:extent cx="2235600" cy="1058400"/>
          <wp:effectExtent l="0" t="0" r="0" b="8890"/>
          <wp:wrapNone/>
          <wp:docPr id="253205866"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F16CE"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82DB6" w14:textId="1ECB9B46" w:rsidR="002316C7" w:rsidRDefault="002316C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F93D0" w14:textId="03DDF5AC" w:rsidR="00A803D9" w:rsidRDefault="00C60428">
    <w:pPr>
      <w:pStyle w:val="Header-KeylineRight"/>
    </w:pPr>
    <w:r>
      <w:t>The Child Care Subsidy system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CDA5F" w14:textId="488AE942" w:rsidR="00CF01BD" w:rsidRDefault="00C60428">
    <w:pPr>
      <w:pStyle w:val="Header-KeylineRight"/>
    </w:pPr>
    <w:r>
      <w:t>Preschool funding and reforms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918F2" w14:textId="7CD04284" w:rsidR="00CF51C5" w:rsidRPr="00E1714D" w:rsidRDefault="00000000" w:rsidP="00882158">
    <w:pPr>
      <w:pStyle w:val="Header-KeylineRight"/>
    </w:pPr>
    <w:fldSimple w:instr=" STYLEREF  Heading-Appendix  \* MERGEFORMAT ">
      <w:r w:rsidR="00A33E9D" w:rsidRPr="00A33E9D">
        <w:rPr>
          <w:noProof/>
          <w:lang w:val="en-US"/>
        </w:rPr>
        <w:t>Workforce disincentive rates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7EED8" w14:textId="2D1FD68E" w:rsidR="00CF51C5" w:rsidRDefault="00CF51C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C0910" w14:textId="19860982" w:rsidR="008E7FC3" w:rsidRDefault="00000000" w:rsidP="00BB5C22">
    <w:pPr>
      <w:pStyle w:val="Header-KeylineRight"/>
    </w:pPr>
    <w:fldSimple w:instr=" STYLEREF  Heading-Appendix  \* MERGEFORMAT ">
      <w:r w:rsidR="00A33E9D">
        <w:rPr>
          <w:noProof/>
        </w:rPr>
        <w:t>Modelling of labour supply and ECEC demand</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09B1C" w14:textId="77777777" w:rsidR="008E7FC3" w:rsidRDefault="008E7FC3">
    <w:pPr>
      <w:pStyle w:val="Header"/>
    </w:pPr>
    <w:r>
      <w:rPr>
        <w:noProof/>
      </w:rPr>
      <mc:AlternateContent>
        <mc:Choice Requires="wps">
          <w:drawing>
            <wp:anchor distT="0" distB="0" distL="0" distR="0" simplePos="0" relativeHeight="251658241" behindDoc="0" locked="0" layoutInCell="1" allowOverlap="1" wp14:anchorId="3794CD0A" wp14:editId="628ABB8B">
              <wp:simplePos x="635" y="635"/>
              <wp:positionH relativeFrom="page">
                <wp:align>center</wp:align>
              </wp:positionH>
              <wp:positionV relativeFrom="page">
                <wp:align>top</wp:align>
              </wp:positionV>
              <wp:extent cx="443865" cy="443865"/>
              <wp:effectExtent l="0" t="0" r="4445" b="4445"/>
              <wp:wrapNone/>
              <wp:docPr id="1935954733"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B66AC" w14:textId="77777777" w:rsidR="008E7FC3" w:rsidRPr="003C4D21" w:rsidRDefault="008E7FC3" w:rsidP="003C4D21">
                          <w:pPr>
                            <w:spacing w:after="0"/>
                            <w:rPr>
                              <w:rFonts w:ascii="Calibri" w:eastAsia="Calibri" w:hAnsi="Calibri" w:cs="Calibri"/>
                              <w:noProof/>
                              <w:color w:val="000000"/>
                              <w:sz w:val="24"/>
                              <w:szCs w:val="24"/>
                            </w:rPr>
                          </w:pPr>
                          <w:r w:rsidRPr="003C4D21">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4CD0A" id="_x0000_t202" coordsize="21600,21600" o:spt="202" path="m,l,21600r21600,l21600,xe">
              <v:stroke joinstyle="miter"/>
              <v:path gradientshapeok="t" o:connecttype="rect"/>
            </v:shapetype>
            <v:shape id="Text Box 1" o:spid="_x0000_s1026" type="#_x0000_t202" alt=" 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25B66AC" w14:textId="77777777" w:rsidR="008E7FC3" w:rsidRPr="003C4D21" w:rsidRDefault="008E7FC3" w:rsidP="003C4D21">
                    <w:pPr>
                      <w:spacing w:after="0"/>
                      <w:rPr>
                        <w:rFonts w:ascii="Calibri" w:eastAsia="Calibri" w:hAnsi="Calibri" w:cs="Calibri"/>
                        <w:noProof/>
                        <w:color w:val="000000"/>
                        <w:sz w:val="24"/>
                        <w:szCs w:val="24"/>
                      </w:rPr>
                    </w:pPr>
                    <w:r w:rsidRPr="003C4D21">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14E7F" w14:textId="56A04EC3" w:rsidR="00396052" w:rsidRDefault="00396052" w:rsidP="00F173EF">
    <w:pPr>
      <w:pStyle w:val="Header-Keyline"/>
    </w:pPr>
    <w:r>
      <w:rPr>
        <w:rStyle w:val="Strong"/>
      </w:rPr>
      <w:t>A path to universal early childhood education and care</w:t>
    </w:r>
    <w:r>
      <w:t xml:space="preserve"> Appendices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4D9AF" w14:textId="3DBEF97A" w:rsidR="00396052" w:rsidRDefault="00000000" w:rsidP="00F173EF">
    <w:pPr>
      <w:pStyle w:val="Header-KeylineRight"/>
    </w:pPr>
    <w:fldSimple w:instr=" STYLEREF  &quot;Heading 1&quot;  \* MERGEFORMAT ">
      <w:r w:rsidR="00A33E9D">
        <w:rPr>
          <w:noProof/>
        </w:rPr>
        <w:t>Children’s outcomes literature</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3E422" w14:textId="77777777" w:rsidR="00396052" w:rsidRDefault="00396052">
    <w:pPr>
      <w:pStyle w:val="Header"/>
    </w:pPr>
    <w:r>
      <w:rPr>
        <w:noProof/>
      </w:rPr>
      <mc:AlternateContent>
        <mc:Choice Requires="wps">
          <w:drawing>
            <wp:anchor distT="0" distB="0" distL="0" distR="0" simplePos="0" relativeHeight="251658242" behindDoc="0" locked="0" layoutInCell="1" allowOverlap="1" wp14:anchorId="228B008D" wp14:editId="49A0E02A">
              <wp:simplePos x="635" y="635"/>
              <wp:positionH relativeFrom="page">
                <wp:align>center</wp:align>
              </wp:positionH>
              <wp:positionV relativeFrom="page">
                <wp:align>top</wp:align>
              </wp:positionV>
              <wp:extent cx="586105" cy="452755"/>
              <wp:effectExtent l="0" t="0" r="4445" b="4445"/>
              <wp:wrapNone/>
              <wp:docPr id="252736826"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6523639" w14:textId="77777777" w:rsidR="00396052" w:rsidRPr="002010CA" w:rsidRDefault="00396052" w:rsidP="002010CA">
                          <w:pPr>
                            <w:spacing w:after="0"/>
                            <w:rPr>
                              <w:rFonts w:ascii="Calibri" w:eastAsia="Calibri" w:hAnsi="Calibri" w:cs="Calibri"/>
                              <w:noProof/>
                              <w:color w:val="000000"/>
                              <w:sz w:val="24"/>
                              <w:szCs w:val="24"/>
                            </w:rPr>
                          </w:pPr>
                          <w:r w:rsidRPr="002010CA">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B008D" id="_x0000_t202" coordsize="21600,21600" o:spt="202" path="m,l,21600r21600,l21600,xe">
              <v:stroke joinstyle="miter"/>
              <v:path gradientshapeok="t" o:connecttype="rect"/>
            </v:shapetype>
            <v:shape id="_x0000_s1027" type="#_x0000_t202" alt=" OFFICIAL" style="position:absolute;margin-left:0;margin-top:0;width:46.1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" filled="f" stroked="f">
              <v:textbox style="mso-fit-shape-to-text:t" inset="0,15pt,0,0">
                <w:txbxContent>
                  <w:p w14:paraId="06523639" w14:textId="77777777" w:rsidR="00396052" w:rsidRPr="002010CA" w:rsidRDefault="00396052" w:rsidP="002010CA">
                    <w:pPr>
                      <w:spacing w:after="0"/>
                      <w:rPr>
                        <w:rFonts w:ascii="Calibri" w:eastAsia="Calibri" w:hAnsi="Calibri" w:cs="Calibri"/>
                        <w:noProof/>
                        <w:color w:val="000000"/>
                        <w:sz w:val="24"/>
                        <w:szCs w:val="24"/>
                      </w:rPr>
                    </w:pPr>
                    <w:r w:rsidRPr="002010CA">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806FF" w14:textId="317811B0" w:rsidR="00CB1248" w:rsidRDefault="005C09BE" w:rsidP="005C09BE">
    <w:pPr>
      <w:pStyle w:val="Header-Keyline"/>
    </w:pPr>
    <w:r w:rsidRPr="002B7B70">
      <w:rPr>
        <w:rStyle w:val="Strong"/>
      </w:rPr>
      <w:t>A path to universal early childhood education and care</w:t>
    </w:r>
    <w:r w:rsidRPr="00F0142E">
      <w:rPr>
        <w:rStyle w:val="Strong"/>
        <w:b w:val="0"/>
        <w:bCs w:val="0"/>
      </w:rPr>
      <w:t xml:space="preserve"> Supporting paper</w:t>
    </w:r>
    <w:r>
      <w:rPr>
        <w:rStyle w:val="Strong"/>
        <w:b w:val="0"/>
        <w:bCs w:val="0"/>
      </w:rPr>
      <w: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D6E8D" w14:textId="79B999D8" w:rsidR="00396052" w:rsidRPr="00FB31E7" w:rsidRDefault="00000000" w:rsidP="001A6B59">
    <w:pPr>
      <w:pStyle w:val="Header-Keyline"/>
    </w:pPr>
    <w:fldSimple w:instr=" STYLEREF  &quot;Heading 1&quot;  \* MERGEFORMAT ">
      <w:r w:rsidR="00A33E9D">
        <w:rPr>
          <w:noProof/>
        </w:rPr>
        <w:t>Children’s outcomes literature</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E6429" w14:textId="53FC66B7" w:rsidR="001A6B59" w:rsidRPr="00FB31E7" w:rsidRDefault="00000000" w:rsidP="001A6B59">
    <w:pPr>
      <w:pStyle w:val="Header-KeylineRight"/>
    </w:pPr>
    <w:fldSimple w:instr=" STYLEREF  &quot;Heading 1&quot;  \* MERGEFORMAT ">
      <w:r w:rsidR="00790ADA">
        <w:rPr>
          <w:noProof/>
        </w:rPr>
        <w:t>Children’s outcomes literature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811FE" w14:textId="7F0774E6" w:rsidR="00890154" w:rsidRDefault="00000000" w:rsidP="004544D6">
    <w:pPr>
      <w:pStyle w:val="Header-KeylineRight"/>
    </w:pPr>
    <w:fldSimple w:instr="STYLEREF  &quot;Heading 1-no background&quot;  \* MERGEFORMAT">
      <w:r w:rsidR="00A33E9D">
        <w:rPr>
          <w:noProof/>
        </w:rPr>
        <w:t>Contents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7F3E9" w14:textId="18D2BE4D" w:rsidR="00CB1248" w:rsidRDefault="00CB12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3AC8F" w14:textId="5C0A64FF" w:rsidR="00E52928" w:rsidRDefault="008E47FB">
    <w:pPr>
      <w:pStyle w:val="Header-Keyline"/>
    </w:pPr>
    <w:r>
      <w:rPr>
        <w:rStyle w:val="Strong"/>
      </w:rPr>
      <w:t>A path to universal early childhood education and care</w:t>
    </w:r>
    <w:r>
      <w:t xml:space="preserve"> </w:t>
    </w:r>
    <w:r w:rsidR="00DA1FAF">
      <w:t>Appendices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086E2" w14:textId="77777777" w:rsidR="00CA48F6" w:rsidRDefault="00A014AE">
    <w:pPr>
      <w:pStyle w:val="Header-KeylineRight"/>
    </w:pPr>
    <w:r>
      <w:t>Public consultation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EC26E" w14:textId="46005CAA" w:rsidR="00A803D9" w:rsidRDefault="00607F71">
    <w:pPr>
      <w:pStyle w:val="Header-KeylineRight"/>
    </w:pPr>
    <w:r>
      <w:t>International models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83CD2" w14:textId="31FAE784" w:rsidR="002316C7" w:rsidRDefault="002316C7" w:rsidP="00882158">
    <w:pPr>
      <w:pStyle w:val="Header-Keyline"/>
    </w:pPr>
    <w:r>
      <w:rPr>
        <w:rStyle w:val="Strong"/>
      </w:rPr>
      <w:t>A path to universal early childhood education and care</w:t>
    </w:r>
    <w:r>
      <w:t xml:space="preserve"> Appendi</w:t>
    </w:r>
    <w:r w:rsidR="00B15829">
      <w:t>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C75D0" w14:textId="2D61FDD6" w:rsidR="002316C7" w:rsidRDefault="008E47FB" w:rsidP="00882158">
    <w:pPr>
      <w:pStyle w:val="Header-KeylineRight"/>
    </w:pPr>
    <w:r>
      <w:t>Overview of the National Quality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5B75B20"/>
    <w:multiLevelType w:val="hybridMultilevel"/>
    <w:tmpl w:val="652C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201C3"/>
    <w:multiLevelType w:val="hybridMultilevel"/>
    <w:tmpl w:val="97D8B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417A86"/>
    <w:multiLevelType w:val="hybridMultilevel"/>
    <w:tmpl w:val="0784D10A"/>
    <w:lvl w:ilvl="0" w:tplc="3A0E7968">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0F8A6470"/>
    <w:multiLevelType w:val="hybridMultilevel"/>
    <w:tmpl w:val="C4EC3E4E"/>
    <w:lvl w:ilvl="0" w:tplc="2CE82098">
      <w:start w:val="3"/>
      <w:numFmt w:val="low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6786D9B6"/>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F122D6"/>
    <w:multiLevelType w:val="hybridMultilevel"/>
    <w:tmpl w:val="59C8D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B896E0E8"/>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470ECC"/>
    <w:multiLevelType w:val="hybridMultilevel"/>
    <w:tmpl w:val="B202A8E2"/>
    <w:styleLink w:val="TableList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B46C44"/>
    <w:multiLevelType w:val="hybridMultilevel"/>
    <w:tmpl w:val="6E1818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24A0740"/>
    <w:multiLevelType w:val="hybridMultilevel"/>
    <w:tmpl w:val="9F06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4F51F5"/>
    <w:multiLevelType w:val="hybridMultilevel"/>
    <w:tmpl w:val="CF209552"/>
    <w:lvl w:ilvl="0" w:tplc="58D8B290">
      <w:start w:val="6"/>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35CE530A"/>
    <w:multiLevelType w:val="hybridMultilevel"/>
    <w:tmpl w:val="CF1E6AC6"/>
    <w:styleLink w:val="TOCList1"/>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3AB0236F"/>
    <w:multiLevelType w:val="hybridMultilevel"/>
    <w:tmpl w:val="65AE4FF2"/>
    <w:lvl w:ilvl="0" w:tplc="FC223840">
      <w:start w:val="100"/>
      <w:numFmt w:val="decimal"/>
      <w:lvlText w:val="%1"/>
      <w:lvlJc w:val="left"/>
      <w:pPr>
        <w:ind w:left="417" w:hanging="360"/>
      </w:pPr>
      <w:rPr>
        <w:rFonts w:asciiTheme="minorHAnsi" w:hAnsiTheme="minorHAnsi" w:hint="default"/>
        <w:color w:val="auto"/>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4" w15:restartNumberingAfterBreak="0">
    <w:nsid w:val="3AD24B59"/>
    <w:multiLevelType w:val="hybridMultilevel"/>
    <w:tmpl w:val="D8585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A54F5C"/>
    <w:multiLevelType w:val="hybridMultilevel"/>
    <w:tmpl w:val="81A2A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490C52"/>
    <w:multiLevelType w:val="hybridMultilevel"/>
    <w:tmpl w:val="A770F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BD37F9"/>
    <w:multiLevelType w:val="hybridMultilevel"/>
    <w:tmpl w:val="F2AE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D66514"/>
    <w:multiLevelType w:val="hybridMultilevel"/>
    <w:tmpl w:val="9D38DB1A"/>
    <w:lvl w:ilvl="0" w:tplc="BD22413A">
      <w:start w:val="10"/>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15:restartNumberingAfterBreak="0">
    <w:nsid w:val="51E44D75"/>
    <w:multiLevelType w:val="hybridMultilevel"/>
    <w:tmpl w:val="7D6AC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A171F2"/>
    <w:multiLevelType w:val="hybridMultilevel"/>
    <w:tmpl w:val="726E45FC"/>
    <w:lvl w:ilvl="0" w:tplc="96A25978">
      <w:start w:val="8"/>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FCE2681"/>
    <w:multiLevelType w:val="hybridMultilevel"/>
    <w:tmpl w:val="9F1C9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305498"/>
    <w:multiLevelType w:val="hybridMultilevel"/>
    <w:tmpl w:val="156E6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6" w15:restartNumberingAfterBreak="0">
    <w:nsid w:val="68F55BB0"/>
    <w:multiLevelType w:val="hybridMultilevel"/>
    <w:tmpl w:val="8E9EE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8D1ACA"/>
    <w:multiLevelType w:val="hybridMultilevel"/>
    <w:tmpl w:val="EBBC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760101"/>
    <w:multiLevelType w:val="hybridMultilevel"/>
    <w:tmpl w:val="4C34D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1B4A1B"/>
    <w:multiLevelType w:val="multilevel"/>
    <w:tmpl w:val="4F48000A"/>
    <w:numStyleLink w:val="Alphalist"/>
  </w:abstractNum>
  <w:num w:numId="1" w16cid:durableId="1937514810">
    <w:abstractNumId w:val="10"/>
  </w:num>
  <w:num w:numId="2" w16cid:durableId="1664696665">
    <w:abstractNumId w:val="4"/>
  </w:num>
  <w:num w:numId="3" w16cid:durableId="1120298667">
    <w:abstractNumId w:val="13"/>
  </w:num>
  <w:num w:numId="4" w16cid:durableId="1947075703">
    <w:abstractNumId w:val="32"/>
  </w:num>
  <w:num w:numId="5" w16cid:durableId="2095470981">
    <w:abstractNumId w:val="35"/>
  </w:num>
  <w:num w:numId="6" w16cid:durableId="233584399">
    <w:abstractNumId w:val="26"/>
  </w:num>
  <w:num w:numId="7" w16cid:durableId="1199123175">
    <w:abstractNumId w:val="16"/>
  </w:num>
  <w:num w:numId="8" w16cid:durableId="189530793">
    <w:abstractNumId w:val="11"/>
  </w:num>
  <w:num w:numId="9" w16cid:durableId="1138261005">
    <w:abstractNumId w:val="15"/>
  </w:num>
  <w:num w:numId="10" w16cid:durableId="296030403">
    <w:abstractNumId w:val="39"/>
  </w:num>
  <w:num w:numId="11" w16cid:durableId="1876774051">
    <w:abstractNumId w:val="0"/>
  </w:num>
  <w:num w:numId="12" w16cid:durableId="1472013086">
    <w:abstractNumId w:val="5"/>
  </w:num>
  <w:num w:numId="13" w16cid:durableId="1976332351">
    <w:abstractNumId w:val="12"/>
  </w:num>
  <w:num w:numId="14" w16cid:durableId="1850022735">
    <w:abstractNumId w:val="8"/>
  </w:num>
  <w:num w:numId="15" w16cid:durableId="329017514">
    <w:abstractNumId w:val="7"/>
  </w:num>
  <w:num w:numId="16" w16cid:durableId="280187588">
    <w:abstractNumId w:val="3"/>
  </w:num>
  <w:num w:numId="17" w16cid:durableId="1586105911">
    <w:abstractNumId w:val="20"/>
  </w:num>
  <w:num w:numId="18" w16cid:durableId="849562419">
    <w:abstractNumId w:val="17"/>
  </w:num>
  <w:num w:numId="19" w16cid:durableId="1843201378">
    <w:abstractNumId w:val="22"/>
  </w:num>
  <w:num w:numId="20" w16cid:durableId="2101173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60657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27905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0712571">
    <w:abstractNumId w:val="23"/>
  </w:num>
  <w:num w:numId="24" w16cid:durableId="1406417095">
    <w:abstractNumId w:val="29"/>
  </w:num>
  <w:num w:numId="25" w16cid:durableId="1404259383">
    <w:abstractNumId w:val="21"/>
  </w:num>
  <w:num w:numId="26" w16cid:durableId="17041151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4975641">
    <w:abstractNumId w:val="7"/>
  </w:num>
  <w:num w:numId="28" w16cid:durableId="16956181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4817880">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3409180">
    <w:abstractNumId w:val="9"/>
  </w:num>
  <w:num w:numId="31" w16cid:durableId="90248584">
    <w:abstractNumId w:val="31"/>
  </w:num>
  <w:num w:numId="32" w16cid:durableId="418328165">
    <w:abstractNumId w:val="2"/>
  </w:num>
  <w:num w:numId="33" w16cid:durableId="658266506">
    <w:abstractNumId w:val="27"/>
  </w:num>
  <w:num w:numId="34" w16cid:durableId="7294639">
    <w:abstractNumId w:val="33"/>
  </w:num>
  <w:num w:numId="35" w16cid:durableId="1993095996">
    <w:abstractNumId w:val="19"/>
  </w:num>
  <w:num w:numId="36" w16cid:durableId="1748067889">
    <w:abstractNumId w:val="18"/>
  </w:num>
  <w:num w:numId="37" w16cid:durableId="240794469">
    <w:abstractNumId w:val="34"/>
  </w:num>
  <w:num w:numId="38" w16cid:durableId="1228148327">
    <w:abstractNumId w:val="14"/>
  </w:num>
  <w:num w:numId="39" w16cid:durableId="1456172050">
    <w:abstractNumId w:val="24"/>
  </w:num>
  <w:num w:numId="40" w16cid:durableId="353960771">
    <w:abstractNumId w:val="28"/>
  </w:num>
  <w:num w:numId="41" w16cid:durableId="490603332">
    <w:abstractNumId w:val="1"/>
  </w:num>
  <w:num w:numId="42" w16cid:durableId="288365008">
    <w:abstractNumId w:val="37"/>
  </w:num>
  <w:num w:numId="43" w16cid:durableId="851576360">
    <w:abstractNumId w:val="30"/>
  </w:num>
  <w:num w:numId="44" w16cid:durableId="272176808">
    <w:abstractNumId w:val="36"/>
  </w:num>
  <w:num w:numId="45" w16cid:durableId="377824213">
    <w:abstractNumId w:val="38"/>
  </w:num>
  <w:num w:numId="46" w16cid:durableId="1882860508">
    <w:abstractNumId w:val="25"/>
  </w:num>
  <w:num w:numId="47" w16cid:durableId="645282476">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03"/>
    <w:rsid w:val="0000002F"/>
    <w:rsid w:val="00000075"/>
    <w:rsid w:val="00000203"/>
    <w:rsid w:val="00000F3C"/>
    <w:rsid w:val="00002DD2"/>
    <w:rsid w:val="00003E84"/>
    <w:rsid w:val="00004489"/>
    <w:rsid w:val="0000567D"/>
    <w:rsid w:val="00005B6A"/>
    <w:rsid w:val="00005C79"/>
    <w:rsid w:val="00005D0D"/>
    <w:rsid w:val="0000732F"/>
    <w:rsid w:val="0001113B"/>
    <w:rsid w:val="00011A37"/>
    <w:rsid w:val="00011AA5"/>
    <w:rsid w:val="00012086"/>
    <w:rsid w:val="00012662"/>
    <w:rsid w:val="00014D58"/>
    <w:rsid w:val="00015050"/>
    <w:rsid w:val="000156FC"/>
    <w:rsid w:val="000160FA"/>
    <w:rsid w:val="000177D2"/>
    <w:rsid w:val="000202B3"/>
    <w:rsid w:val="00020EAF"/>
    <w:rsid w:val="00022939"/>
    <w:rsid w:val="00022C68"/>
    <w:rsid w:val="00023835"/>
    <w:rsid w:val="0002436E"/>
    <w:rsid w:val="000246E1"/>
    <w:rsid w:val="0002662F"/>
    <w:rsid w:val="00026C04"/>
    <w:rsid w:val="000300AF"/>
    <w:rsid w:val="000307B2"/>
    <w:rsid w:val="00030F27"/>
    <w:rsid w:val="0003141B"/>
    <w:rsid w:val="00031B88"/>
    <w:rsid w:val="00031F7C"/>
    <w:rsid w:val="00032A80"/>
    <w:rsid w:val="00032F6E"/>
    <w:rsid w:val="000331E4"/>
    <w:rsid w:val="0003338D"/>
    <w:rsid w:val="00033619"/>
    <w:rsid w:val="00033D6B"/>
    <w:rsid w:val="00033EAE"/>
    <w:rsid w:val="00034765"/>
    <w:rsid w:val="00034C7C"/>
    <w:rsid w:val="00036C11"/>
    <w:rsid w:val="00037C6C"/>
    <w:rsid w:val="0004047A"/>
    <w:rsid w:val="00041680"/>
    <w:rsid w:val="00043E3F"/>
    <w:rsid w:val="00044434"/>
    <w:rsid w:val="00046DEF"/>
    <w:rsid w:val="00047894"/>
    <w:rsid w:val="00050244"/>
    <w:rsid w:val="0005151B"/>
    <w:rsid w:val="0005161F"/>
    <w:rsid w:val="00051CD9"/>
    <w:rsid w:val="000529B9"/>
    <w:rsid w:val="0005323C"/>
    <w:rsid w:val="0005464E"/>
    <w:rsid w:val="00054C95"/>
    <w:rsid w:val="00055951"/>
    <w:rsid w:val="000561CF"/>
    <w:rsid w:val="00056432"/>
    <w:rsid w:val="00056C53"/>
    <w:rsid w:val="000573EB"/>
    <w:rsid w:val="0005774F"/>
    <w:rsid w:val="00057B32"/>
    <w:rsid w:val="00057FA4"/>
    <w:rsid w:val="000615AE"/>
    <w:rsid w:val="00062A44"/>
    <w:rsid w:val="0006400D"/>
    <w:rsid w:val="000642B4"/>
    <w:rsid w:val="00064708"/>
    <w:rsid w:val="00064BF4"/>
    <w:rsid w:val="00064C9E"/>
    <w:rsid w:val="00064F2E"/>
    <w:rsid w:val="00065D8D"/>
    <w:rsid w:val="000668BB"/>
    <w:rsid w:val="0007028A"/>
    <w:rsid w:val="000705ED"/>
    <w:rsid w:val="00070F0B"/>
    <w:rsid w:val="00071B78"/>
    <w:rsid w:val="00072247"/>
    <w:rsid w:val="000724AE"/>
    <w:rsid w:val="00073097"/>
    <w:rsid w:val="00073355"/>
    <w:rsid w:val="00073478"/>
    <w:rsid w:val="000748D6"/>
    <w:rsid w:val="0007643F"/>
    <w:rsid w:val="000774E8"/>
    <w:rsid w:val="0007776A"/>
    <w:rsid w:val="00077930"/>
    <w:rsid w:val="00077A76"/>
    <w:rsid w:val="00077B59"/>
    <w:rsid w:val="0008037D"/>
    <w:rsid w:val="00080896"/>
    <w:rsid w:val="00080F14"/>
    <w:rsid w:val="00081E93"/>
    <w:rsid w:val="0008201F"/>
    <w:rsid w:val="00082635"/>
    <w:rsid w:val="0008379F"/>
    <w:rsid w:val="00083D91"/>
    <w:rsid w:val="000841AF"/>
    <w:rsid w:val="00084660"/>
    <w:rsid w:val="00085517"/>
    <w:rsid w:val="00085C9A"/>
    <w:rsid w:val="00085E00"/>
    <w:rsid w:val="00085FB9"/>
    <w:rsid w:val="000860EC"/>
    <w:rsid w:val="00086D56"/>
    <w:rsid w:val="00087BDC"/>
    <w:rsid w:val="00090304"/>
    <w:rsid w:val="00091164"/>
    <w:rsid w:val="00091286"/>
    <w:rsid w:val="00092A8C"/>
    <w:rsid w:val="00092E3D"/>
    <w:rsid w:val="000931F8"/>
    <w:rsid w:val="0009369B"/>
    <w:rsid w:val="00093B3C"/>
    <w:rsid w:val="00097034"/>
    <w:rsid w:val="0009753B"/>
    <w:rsid w:val="000979B0"/>
    <w:rsid w:val="000A0CD2"/>
    <w:rsid w:val="000A0D1A"/>
    <w:rsid w:val="000A0F08"/>
    <w:rsid w:val="000A1CA5"/>
    <w:rsid w:val="000A2AF1"/>
    <w:rsid w:val="000A3387"/>
    <w:rsid w:val="000A38AA"/>
    <w:rsid w:val="000A4DEB"/>
    <w:rsid w:val="000A4EAB"/>
    <w:rsid w:val="000A67B8"/>
    <w:rsid w:val="000A7363"/>
    <w:rsid w:val="000B10E1"/>
    <w:rsid w:val="000B1599"/>
    <w:rsid w:val="000B2F7D"/>
    <w:rsid w:val="000B3F58"/>
    <w:rsid w:val="000B497F"/>
    <w:rsid w:val="000B4A72"/>
    <w:rsid w:val="000B5105"/>
    <w:rsid w:val="000B5C18"/>
    <w:rsid w:val="000B5CDD"/>
    <w:rsid w:val="000B5FFF"/>
    <w:rsid w:val="000B7027"/>
    <w:rsid w:val="000C004F"/>
    <w:rsid w:val="000C08FC"/>
    <w:rsid w:val="000C23AD"/>
    <w:rsid w:val="000C34ED"/>
    <w:rsid w:val="000C3F7A"/>
    <w:rsid w:val="000C58A6"/>
    <w:rsid w:val="000C58BF"/>
    <w:rsid w:val="000C6713"/>
    <w:rsid w:val="000C6B77"/>
    <w:rsid w:val="000C6C19"/>
    <w:rsid w:val="000D144C"/>
    <w:rsid w:val="000D2D6B"/>
    <w:rsid w:val="000D3B71"/>
    <w:rsid w:val="000D3BE7"/>
    <w:rsid w:val="000D5B39"/>
    <w:rsid w:val="000D734E"/>
    <w:rsid w:val="000D7433"/>
    <w:rsid w:val="000D788D"/>
    <w:rsid w:val="000D7AF6"/>
    <w:rsid w:val="000E1385"/>
    <w:rsid w:val="000E15F5"/>
    <w:rsid w:val="000E1BFF"/>
    <w:rsid w:val="000E2691"/>
    <w:rsid w:val="000E2B96"/>
    <w:rsid w:val="000E2BF5"/>
    <w:rsid w:val="000E33FF"/>
    <w:rsid w:val="000E3D48"/>
    <w:rsid w:val="000E3DD4"/>
    <w:rsid w:val="000E43B0"/>
    <w:rsid w:val="000E46C8"/>
    <w:rsid w:val="000E57ED"/>
    <w:rsid w:val="000E5AC6"/>
    <w:rsid w:val="000E7320"/>
    <w:rsid w:val="000E768C"/>
    <w:rsid w:val="000F0317"/>
    <w:rsid w:val="000F187D"/>
    <w:rsid w:val="000F18DD"/>
    <w:rsid w:val="000F3F16"/>
    <w:rsid w:val="000F4488"/>
    <w:rsid w:val="000F46BC"/>
    <w:rsid w:val="000F4B9D"/>
    <w:rsid w:val="000F5073"/>
    <w:rsid w:val="000F5220"/>
    <w:rsid w:val="000F5FBD"/>
    <w:rsid w:val="000F6723"/>
    <w:rsid w:val="000F68FE"/>
    <w:rsid w:val="000F6DBC"/>
    <w:rsid w:val="001003B1"/>
    <w:rsid w:val="00100FAB"/>
    <w:rsid w:val="0010151E"/>
    <w:rsid w:val="0010195E"/>
    <w:rsid w:val="001034AC"/>
    <w:rsid w:val="00103DB0"/>
    <w:rsid w:val="00105D42"/>
    <w:rsid w:val="00106061"/>
    <w:rsid w:val="00106743"/>
    <w:rsid w:val="00107B9E"/>
    <w:rsid w:val="00110B28"/>
    <w:rsid w:val="001113FB"/>
    <w:rsid w:val="0011217E"/>
    <w:rsid w:val="001122B2"/>
    <w:rsid w:val="00112B30"/>
    <w:rsid w:val="00112E8F"/>
    <w:rsid w:val="0011382E"/>
    <w:rsid w:val="00113C6D"/>
    <w:rsid w:val="00114CEC"/>
    <w:rsid w:val="00116E8B"/>
    <w:rsid w:val="00120792"/>
    <w:rsid w:val="0012179D"/>
    <w:rsid w:val="001217C4"/>
    <w:rsid w:val="001218C9"/>
    <w:rsid w:val="00123DE2"/>
    <w:rsid w:val="00124278"/>
    <w:rsid w:val="00124913"/>
    <w:rsid w:val="00124CE2"/>
    <w:rsid w:val="001254E3"/>
    <w:rsid w:val="0012580E"/>
    <w:rsid w:val="00126840"/>
    <w:rsid w:val="001268BC"/>
    <w:rsid w:val="00131270"/>
    <w:rsid w:val="001318A6"/>
    <w:rsid w:val="001334B4"/>
    <w:rsid w:val="001343B2"/>
    <w:rsid w:val="00134F1C"/>
    <w:rsid w:val="001355E9"/>
    <w:rsid w:val="0013722E"/>
    <w:rsid w:val="0013772D"/>
    <w:rsid w:val="00137FAB"/>
    <w:rsid w:val="001402C1"/>
    <w:rsid w:val="00140B0D"/>
    <w:rsid w:val="00142194"/>
    <w:rsid w:val="00142789"/>
    <w:rsid w:val="0014298D"/>
    <w:rsid w:val="00142B0C"/>
    <w:rsid w:val="001435DF"/>
    <w:rsid w:val="0014375B"/>
    <w:rsid w:val="00144092"/>
    <w:rsid w:val="001442B0"/>
    <w:rsid w:val="001445F3"/>
    <w:rsid w:val="0014550B"/>
    <w:rsid w:val="001458E3"/>
    <w:rsid w:val="0014650C"/>
    <w:rsid w:val="00146608"/>
    <w:rsid w:val="00150F2A"/>
    <w:rsid w:val="00152357"/>
    <w:rsid w:val="00152C98"/>
    <w:rsid w:val="00153024"/>
    <w:rsid w:val="0015304E"/>
    <w:rsid w:val="00153627"/>
    <w:rsid w:val="00153DDA"/>
    <w:rsid w:val="0015407E"/>
    <w:rsid w:val="00154E0D"/>
    <w:rsid w:val="00155B0B"/>
    <w:rsid w:val="00155B38"/>
    <w:rsid w:val="00155CC7"/>
    <w:rsid w:val="001567EA"/>
    <w:rsid w:val="001600E9"/>
    <w:rsid w:val="00160FEC"/>
    <w:rsid w:val="001610E5"/>
    <w:rsid w:val="00161BC8"/>
    <w:rsid w:val="00161D80"/>
    <w:rsid w:val="00161E0C"/>
    <w:rsid w:val="0016414A"/>
    <w:rsid w:val="001648B5"/>
    <w:rsid w:val="001650EB"/>
    <w:rsid w:val="00165A32"/>
    <w:rsid w:val="00165F16"/>
    <w:rsid w:val="00167310"/>
    <w:rsid w:val="001673AE"/>
    <w:rsid w:val="00167513"/>
    <w:rsid w:val="00167C03"/>
    <w:rsid w:val="00170637"/>
    <w:rsid w:val="00170B4D"/>
    <w:rsid w:val="00170D4B"/>
    <w:rsid w:val="001714F3"/>
    <w:rsid w:val="00171DB2"/>
    <w:rsid w:val="00172440"/>
    <w:rsid w:val="00172BDF"/>
    <w:rsid w:val="00174A79"/>
    <w:rsid w:val="001760C7"/>
    <w:rsid w:val="00176873"/>
    <w:rsid w:val="00176AF0"/>
    <w:rsid w:val="00176FAA"/>
    <w:rsid w:val="00177AEF"/>
    <w:rsid w:val="00177D52"/>
    <w:rsid w:val="00180116"/>
    <w:rsid w:val="001805E5"/>
    <w:rsid w:val="00180C03"/>
    <w:rsid w:val="00180C50"/>
    <w:rsid w:val="00181023"/>
    <w:rsid w:val="001810C9"/>
    <w:rsid w:val="00181B5D"/>
    <w:rsid w:val="00182EEA"/>
    <w:rsid w:val="00183AE5"/>
    <w:rsid w:val="00187299"/>
    <w:rsid w:val="00187D8F"/>
    <w:rsid w:val="00187F05"/>
    <w:rsid w:val="00190D9C"/>
    <w:rsid w:val="001913A1"/>
    <w:rsid w:val="001913B4"/>
    <w:rsid w:val="00193242"/>
    <w:rsid w:val="001937BB"/>
    <w:rsid w:val="001938F6"/>
    <w:rsid w:val="001957BF"/>
    <w:rsid w:val="00195BB9"/>
    <w:rsid w:val="001A0D77"/>
    <w:rsid w:val="001A1222"/>
    <w:rsid w:val="001A196A"/>
    <w:rsid w:val="001A1D95"/>
    <w:rsid w:val="001A2565"/>
    <w:rsid w:val="001A2BBA"/>
    <w:rsid w:val="001A2C6B"/>
    <w:rsid w:val="001A2D94"/>
    <w:rsid w:val="001A322C"/>
    <w:rsid w:val="001A3D81"/>
    <w:rsid w:val="001A467C"/>
    <w:rsid w:val="001A5E42"/>
    <w:rsid w:val="001A65BF"/>
    <w:rsid w:val="001A6603"/>
    <w:rsid w:val="001A6AE0"/>
    <w:rsid w:val="001A6B59"/>
    <w:rsid w:val="001A6D8E"/>
    <w:rsid w:val="001A7389"/>
    <w:rsid w:val="001A7CE7"/>
    <w:rsid w:val="001B05A6"/>
    <w:rsid w:val="001B1762"/>
    <w:rsid w:val="001B17AC"/>
    <w:rsid w:val="001B3AEE"/>
    <w:rsid w:val="001B3C05"/>
    <w:rsid w:val="001B47B2"/>
    <w:rsid w:val="001B4A08"/>
    <w:rsid w:val="001B588D"/>
    <w:rsid w:val="001B5A01"/>
    <w:rsid w:val="001B7B00"/>
    <w:rsid w:val="001C0C15"/>
    <w:rsid w:val="001C2E57"/>
    <w:rsid w:val="001C367A"/>
    <w:rsid w:val="001C3D42"/>
    <w:rsid w:val="001C462B"/>
    <w:rsid w:val="001C4A88"/>
    <w:rsid w:val="001C4E98"/>
    <w:rsid w:val="001C5B8E"/>
    <w:rsid w:val="001C609D"/>
    <w:rsid w:val="001C6362"/>
    <w:rsid w:val="001C7835"/>
    <w:rsid w:val="001D0579"/>
    <w:rsid w:val="001D09C7"/>
    <w:rsid w:val="001D1D0A"/>
    <w:rsid w:val="001D23C1"/>
    <w:rsid w:val="001D37E9"/>
    <w:rsid w:val="001D4050"/>
    <w:rsid w:val="001D4BE8"/>
    <w:rsid w:val="001D5874"/>
    <w:rsid w:val="001D5D81"/>
    <w:rsid w:val="001D6B04"/>
    <w:rsid w:val="001D7C26"/>
    <w:rsid w:val="001D7D9B"/>
    <w:rsid w:val="001E0A63"/>
    <w:rsid w:val="001E0C4F"/>
    <w:rsid w:val="001E1210"/>
    <w:rsid w:val="001E158B"/>
    <w:rsid w:val="001E2696"/>
    <w:rsid w:val="001E327D"/>
    <w:rsid w:val="001E355C"/>
    <w:rsid w:val="001F002D"/>
    <w:rsid w:val="001F0618"/>
    <w:rsid w:val="001F0803"/>
    <w:rsid w:val="001F0C71"/>
    <w:rsid w:val="001F13C1"/>
    <w:rsid w:val="001F1E9A"/>
    <w:rsid w:val="001F29E0"/>
    <w:rsid w:val="001F29EA"/>
    <w:rsid w:val="001F2A94"/>
    <w:rsid w:val="001F446D"/>
    <w:rsid w:val="001F5849"/>
    <w:rsid w:val="001F66A5"/>
    <w:rsid w:val="001F6B0A"/>
    <w:rsid w:val="001F6D7F"/>
    <w:rsid w:val="001F72F7"/>
    <w:rsid w:val="002009C5"/>
    <w:rsid w:val="0020114B"/>
    <w:rsid w:val="00201268"/>
    <w:rsid w:val="00201320"/>
    <w:rsid w:val="0020204A"/>
    <w:rsid w:val="002042CB"/>
    <w:rsid w:val="0021045B"/>
    <w:rsid w:val="00210BBA"/>
    <w:rsid w:val="00210DDD"/>
    <w:rsid w:val="002112EC"/>
    <w:rsid w:val="00211778"/>
    <w:rsid w:val="002123A5"/>
    <w:rsid w:val="00215285"/>
    <w:rsid w:val="002152BE"/>
    <w:rsid w:val="00216CAB"/>
    <w:rsid w:val="00217434"/>
    <w:rsid w:val="0021764A"/>
    <w:rsid w:val="002176F1"/>
    <w:rsid w:val="002216B2"/>
    <w:rsid w:val="00221800"/>
    <w:rsid w:val="00221AB7"/>
    <w:rsid w:val="00221BAE"/>
    <w:rsid w:val="00221C67"/>
    <w:rsid w:val="002225E4"/>
    <w:rsid w:val="00224C22"/>
    <w:rsid w:val="00225505"/>
    <w:rsid w:val="00226AC0"/>
    <w:rsid w:val="00227712"/>
    <w:rsid w:val="002277B0"/>
    <w:rsid w:val="00227A06"/>
    <w:rsid w:val="00227F2D"/>
    <w:rsid w:val="002306C9"/>
    <w:rsid w:val="002316C7"/>
    <w:rsid w:val="002336D8"/>
    <w:rsid w:val="002346C2"/>
    <w:rsid w:val="00235A5E"/>
    <w:rsid w:val="00237FC5"/>
    <w:rsid w:val="00241563"/>
    <w:rsid w:val="002421F4"/>
    <w:rsid w:val="002446DF"/>
    <w:rsid w:val="00244BA1"/>
    <w:rsid w:val="002457DE"/>
    <w:rsid w:val="00245988"/>
    <w:rsid w:val="00246174"/>
    <w:rsid w:val="00246435"/>
    <w:rsid w:val="00246BCF"/>
    <w:rsid w:val="002473D4"/>
    <w:rsid w:val="002502FE"/>
    <w:rsid w:val="00250E3B"/>
    <w:rsid w:val="00251245"/>
    <w:rsid w:val="00251CA2"/>
    <w:rsid w:val="00252E94"/>
    <w:rsid w:val="00253A70"/>
    <w:rsid w:val="00253F49"/>
    <w:rsid w:val="00254253"/>
    <w:rsid w:val="0025442E"/>
    <w:rsid w:val="0025540F"/>
    <w:rsid w:val="00255847"/>
    <w:rsid w:val="00255CD6"/>
    <w:rsid w:val="00255F25"/>
    <w:rsid w:val="002601BB"/>
    <w:rsid w:val="002601CB"/>
    <w:rsid w:val="00260584"/>
    <w:rsid w:val="00260844"/>
    <w:rsid w:val="00260F44"/>
    <w:rsid w:val="00262762"/>
    <w:rsid w:val="00262B27"/>
    <w:rsid w:val="00263BB5"/>
    <w:rsid w:val="002641AD"/>
    <w:rsid w:val="00265294"/>
    <w:rsid w:val="00265918"/>
    <w:rsid w:val="00265E68"/>
    <w:rsid w:val="0026618F"/>
    <w:rsid w:val="002662A4"/>
    <w:rsid w:val="00267340"/>
    <w:rsid w:val="00267972"/>
    <w:rsid w:val="00270834"/>
    <w:rsid w:val="00270DEB"/>
    <w:rsid w:val="002716FD"/>
    <w:rsid w:val="00273095"/>
    <w:rsid w:val="00273334"/>
    <w:rsid w:val="00273876"/>
    <w:rsid w:val="00273E86"/>
    <w:rsid w:val="0027456B"/>
    <w:rsid w:val="00274815"/>
    <w:rsid w:val="00275585"/>
    <w:rsid w:val="00275774"/>
    <w:rsid w:val="002761A5"/>
    <w:rsid w:val="0027640A"/>
    <w:rsid w:val="00276C3D"/>
    <w:rsid w:val="00276FEC"/>
    <w:rsid w:val="002771AE"/>
    <w:rsid w:val="00277522"/>
    <w:rsid w:val="00277B72"/>
    <w:rsid w:val="002812A4"/>
    <w:rsid w:val="002814E6"/>
    <w:rsid w:val="0028188B"/>
    <w:rsid w:val="00281A54"/>
    <w:rsid w:val="00281C8F"/>
    <w:rsid w:val="00281CEA"/>
    <w:rsid w:val="00282AE5"/>
    <w:rsid w:val="00283407"/>
    <w:rsid w:val="00283DDA"/>
    <w:rsid w:val="00284877"/>
    <w:rsid w:val="002851C9"/>
    <w:rsid w:val="002853DA"/>
    <w:rsid w:val="00287114"/>
    <w:rsid w:val="00287C4E"/>
    <w:rsid w:val="00290A38"/>
    <w:rsid w:val="00290D3A"/>
    <w:rsid w:val="00291331"/>
    <w:rsid w:val="002917D8"/>
    <w:rsid w:val="00291DE5"/>
    <w:rsid w:val="002923FF"/>
    <w:rsid w:val="002936B4"/>
    <w:rsid w:val="00294E7E"/>
    <w:rsid w:val="002951E6"/>
    <w:rsid w:val="00295330"/>
    <w:rsid w:val="002953FF"/>
    <w:rsid w:val="00296542"/>
    <w:rsid w:val="00297712"/>
    <w:rsid w:val="002A0244"/>
    <w:rsid w:val="002A027C"/>
    <w:rsid w:val="002A0291"/>
    <w:rsid w:val="002A05EA"/>
    <w:rsid w:val="002A1370"/>
    <w:rsid w:val="002A290B"/>
    <w:rsid w:val="002A2915"/>
    <w:rsid w:val="002A3067"/>
    <w:rsid w:val="002A3DA9"/>
    <w:rsid w:val="002A5020"/>
    <w:rsid w:val="002B0577"/>
    <w:rsid w:val="002B0621"/>
    <w:rsid w:val="002B1765"/>
    <w:rsid w:val="002B23C7"/>
    <w:rsid w:val="002B2A5E"/>
    <w:rsid w:val="002B318A"/>
    <w:rsid w:val="002B38EF"/>
    <w:rsid w:val="002B41A4"/>
    <w:rsid w:val="002B566D"/>
    <w:rsid w:val="002B7AAC"/>
    <w:rsid w:val="002B7B70"/>
    <w:rsid w:val="002C2BB4"/>
    <w:rsid w:val="002C3ED8"/>
    <w:rsid w:val="002C4142"/>
    <w:rsid w:val="002C5B7D"/>
    <w:rsid w:val="002C6884"/>
    <w:rsid w:val="002C797E"/>
    <w:rsid w:val="002D100D"/>
    <w:rsid w:val="002D1E4B"/>
    <w:rsid w:val="002D2B5A"/>
    <w:rsid w:val="002D2C92"/>
    <w:rsid w:val="002D3B30"/>
    <w:rsid w:val="002D3B95"/>
    <w:rsid w:val="002D3C25"/>
    <w:rsid w:val="002D448A"/>
    <w:rsid w:val="002D4F36"/>
    <w:rsid w:val="002D50CB"/>
    <w:rsid w:val="002D533A"/>
    <w:rsid w:val="002D5945"/>
    <w:rsid w:val="002D7504"/>
    <w:rsid w:val="002D7A38"/>
    <w:rsid w:val="002D7ED2"/>
    <w:rsid w:val="002E1451"/>
    <w:rsid w:val="002E18A4"/>
    <w:rsid w:val="002E290A"/>
    <w:rsid w:val="002E32E2"/>
    <w:rsid w:val="002E3F19"/>
    <w:rsid w:val="002E4E9A"/>
    <w:rsid w:val="002E51D2"/>
    <w:rsid w:val="002E5C64"/>
    <w:rsid w:val="002E6226"/>
    <w:rsid w:val="002E7729"/>
    <w:rsid w:val="002E7A0E"/>
    <w:rsid w:val="002E7EFA"/>
    <w:rsid w:val="002F00CC"/>
    <w:rsid w:val="002F09D2"/>
    <w:rsid w:val="002F1099"/>
    <w:rsid w:val="002F18FE"/>
    <w:rsid w:val="002F1ECC"/>
    <w:rsid w:val="002F2AE2"/>
    <w:rsid w:val="002F2C24"/>
    <w:rsid w:val="002F2DE9"/>
    <w:rsid w:val="002F4563"/>
    <w:rsid w:val="002F47A5"/>
    <w:rsid w:val="002F6386"/>
    <w:rsid w:val="002F67CE"/>
    <w:rsid w:val="002F7B99"/>
    <w:rsid w:val="00300AD4"/>
    <w:rsid w:val="0030106D"/>
    <w:rsid w:val="00301590"/>
    <w:rsid w:val="003016D9"/>
    <w:rsid w:val="0030181B"/>
    <w:rsid w:val="00301D59"/>
    <w:rsid w:val="00301EBD"/>
    <w:rsid w:val="00303704"/>
    <w:rsid w:val="00305171"/>
    <w:rsid w:val="003054DF"/>
    <w:rsid w:val="003062C5"/>
    <w:rsid w:val="003066CF"/>
    <w:rsid w:val="00307F0B"/>
    <w:rsid w:val="00307F11"/>
    <w:rsid w:val="00310365"/>
    <w:rsid w:val="003103B7"/>
    <w:rsid w:val="003111DD"/>
    <w:rsid w:val="00311ED5"/>
    <w:rsid w:val="003127DB"/>
    <w:rsid w:val="00312C39"/>
    <w:rsid w:val="00312FEE"/>
    <w:rsid w:val="00315D45"/>
    <w:rsid w:val="0031667F"/>
    <w:rsid w:val="00316C67"/>
    <w:rsid w:val="00316E92"/>
    <w:rsid w:val="00317C52"/>
    <w:rsid w:val="003202E8"/>
    <w:rsid w:val="00321E99"/>
    <w:rsid w:val="003226CA"/>
    <w:rsid w:val="00322C6D"/>
    <w:rsid w:val="00322E51"/>
    <w:rsid w:val="003233E1"/>
    <w:rsid w:val="00323400"/>
    <w:rsid w:val="00324CC7"/>
    <w:rsid w:val="00325C6C"/>
    <w:rsid w:val="00325F54"/>
    <w:rsid w:val="00326582"/>
    <w:rsid w:val="00326A36"/>
    <w:rsid w:val="00327C1B"/>
    <w:rsid w:val="00327D01"/>
    <w:rsid w:val="00331E7F"/>
    <w:rsid w:val="0033276B"/>
    <w:rsid w:val="00332C70"/>
    <w:rsid w:val="00332CF8"/>
    <w:rsid w:val="00332D7B"/>
    <w:rsid w:val="00332E6E"/>
    <w:rsid w:val="00333E94"/>
    <w:rsid w:val="00333F6F"/>
    <w:rsid w:val="00334A05"/>
    <w:rsid w:val="00334F8F"/>
    <w:rsid w:val="00335C8F"/>
    <w:rsid w:val="003364A6"/>
    <w:rsid w:val="00336D79"/>
    <w:rsid w:val="00336E6A"/>
    <w:rsid w:val="00336ECB"/>
    <w:rsid w:val="0034031C"/>
    <w:rsid w:val="0034037D"/>
    <w:rsid w:val="00340B22"/>
    <w:rsid w:val="0034168B"/>
    <w:rsid w:val="00342116"/>
    <w:rsid w:val="0034231A"/>
    <w:rsid w:val="00342828"/>
    <w:rsid w:val="00343052"/>
    <w:rsid w:val="003431EE"/>
    <w:rsid w:val="0034349E"/>
    <w:rsid w:val="003438EC"/>
    <w:rsid w:val="00343A24"/>
    <w:rsid w:val="0034401D"/>
    <w:rsid w:val="003444EA"/>
    <w:rsid w:val="00344D78"/>
    <w:rsid w:val="0034680A"/>
    <w:rsid w:val="00347A67"/>
    <w:rsid w:val="00351017"/>
    <w:rsid w:val="003511F0"/>
    <w:rsid w:val="00352325"/>
    <w:rsid w:val="003527CE"/>
    <w:rsid w:val="00352D3A"/>
    <w:rsid w:val="00353449"/>
    <w:rsid w:val="00354696"/>
    <w:rsid w:val="0035519A"/>
    <w:rsid w:val="00356B5B"/>
    <w:rsid w:val="00356EC3"/>
    <w:rsid w:val="00357595"/>
    <w:rsid w:val="0036016F"/>
    <w:rsid w:val="0036059A"/>
    <w:rsid w:val="00361D36"/>
    <w:rsid w:val="00362C91"/>
    <w:rsid w:val="00363FF8"/>
    <w:rsid w:val="003640E1"/>
    <w:rsid w:val="00364CFD"/>
    <w:rsid w:val="00364FC2"/>
    <w:rsid w:val="0036549D"/>
    <w:rsid w:val="00365897"/>
    <w:rsid w:val="003672DE"/>
    <w:rsid w:val="00371694"/>
    <w:rsid w:val="00371917"/>
    <w:rsid w:val="003728BC"/>
    <w:rsid w:val="00373E4D"/>
    <w:rsid w:val="003742DE"/>
    <w:rsid w:val="003745C2"/>
    <w:rsid w:val="00375BCF"/>
    <w:rsid w:val="00376491"/>
    <w:rsid w:val="003764BB"/>
    <w:rsid w:val="00376E96"/>
    <w:rsid w:val="0037721D"/>
    <w:rsid w:val="00377EB2"/>
    <w:rsid w:val="00380445"/>
    <w:rsid w:val="003804E0"/>
    <w:rsid w:val="00380C81"/>
    <w:rsid w:val="00380F3B"/>
    <w:rsid w:val="0038102A"/>
    <w:rsid w:val="00382082"/>
    <w:rsid w:val="003827E7"/>
    <w:rsid w:val="00382812"/>
    <w:rsid w:val="00382841"/>
    <w:rsid w:val="0038326C"/>
    <w:rsid w:val="003833B4"/>
    <w:rsid w:val="00383E5C"/>
    <w:rsid w:val="00384A47"/>
    <w:rsid w:val="00385F07"/>
    <w:rsid w:val="003901ED"/>
    <w:rsid w:val="003902F7"/>
    <w:rsid w:val="0039241C"/>
    <w:rsid w:val="003930D2"/>
    <w:rsid w:val="003946FF"/>
    <w:rsid w:val="003948A7"/>
    <w:rsid w:val="00394920"/>
    <w:rsid w:val="0039538C"/>
    <w:rsid w:val="00396052"/>
    <w:rsid w:val="0039642C"/>
    <w:rsid w:val="00396730"/>
    <w:rsid w:val="003967D2"/>
    <w:rsid w:val="003972AD"/>
    <w:rsid w:val="003A06E2"/>
    <w:rsid w:val="003A073A"/>
    <w:rsid w:val="003A07D1"/>
    <w:rsid w:val="003A11BF"/>
    <w:rsid w:val="003A22D6"/>
    <w:rsid w:val="003A2FA5"/>
    <w:rsid w:val="003A36DA"/>
    <w:rsid w:val="003A37F6"/>
    <w:rsid w:val="003A39BF"/>
    <w:rsid w:val="003A414E"/>
    <w:rsid w:val="003A421C"/>
    <w:rsid w:val="003A4924"/>
    <w:rsid w:val="003A495C"/>
    <w:rsid w:val="003A5CC1"/>
    <w:rsid w:val="003A680B"/>
    <w:rsid w:val="003A702C"/>
    <w:rsid w:val="003A743E"/>
    <w:rsid w:val="003A7ADE"/>
    <w:rsid w:val="003B01B7"/>
    <w:rsid w:val="003B07EB"/>
    <w:rsid w:val="003B0A57"/>
    <w:rsid w:val="003B0DBD"/>
    <w:rsid w:val="003B1178"/>
    <w:rsid w:val="003B1EC4"/>
    <w:rsid w:val="003B27D8"/>
    <w:rsid w:val="003B2A34"/>
    <w:rsid w:val="003B30E3"/>
    <w:rsid w:val="003B3B99"/>
    <w:rsid w:val="003B4B4E"/>
    <w:rsid w:val="003B4CF7"/>
    <w:rsid w:val="003B672B"/>
    <w:rsid w:val="003B6AF2"/>
    <w:rsid w:val="003B6E2C"/>
    <w:rsid w:val="003B7DB1"/>
    <w:rsid w:val="003C01D4"/>
    <w:rsid w:val="003C0511"/>
    <w:rsid w:val="003C0A3E"/>
    <w:rsid w:val="003C29F5"/>
    <w:rsid w:val="003C2CC3"/>
    <w:rsid w:val="003C38E0"/>
    <w:rsid w:val="003C3963"/>
    <w:rsid w:val="003C43E3"/>
    <w:rsid w:val="003C4882"/>
    <w:rsid w:val="003C644A"/>
    <w:rsid w:val="003C6669"/>
    <w:rsid w:val="003C69BF"/>
    <w:rsid w:val="003C6AA2"/>
    <w:rsid w:val="003C6F20"/>
    <w:rsid w:val="003C7234"/>
    <w:rsid w:val="003C7EED"/>
    <w:rsid w:val="003D063D"/>
    <w:rsid w:val="003D09EE"/>
    <w:rsid w:val="003D0B97"/>
    <w:rsid w:val="003D1342"/>
    <w:rsid w:val="003D1FD3"/>
    <w:rsid w:val="003D23A3"/>
    <w:rsid w:val="003D3F02"/>
    <w:rsid w:val="003D4520"/>
    <w:rsid w:val="003D5856"/>
    <w:rsid w:val="003D5AFB"/>
    <w:rsid w:val="003D69BB"/>
    <w:rsid w:val="003D6A57"/>
    <w:rsid w:val="003D6D3A"/>
    <w:rsid w:val="003D720B"/>
    <w:rsid w:val="003E0BF1"/>
    <w:rsid w:val="003E0C2F"/>
    <w:rsid w:val="003E0D97"/>
    <w:rsid w:val="003E0F86"/>
    <w:rsid w:val="003E3089"/>
    <w:rsid w:val="003E32A4"/>
    <w:rsid w:val="003E3617"/>
    <w:rsid w:val="003E3CDE"/>
    <w:rsid w:val="003E489C"/>
    <w:rsid w:val="003E501C"/>
    <w:rsid w:val="003E52F6"/>
    <w:rsid w:val="003E5C32"/>
    <w:rsid w:val="003E5E88"/>
    <w:rsid w:val="003E6055"/>
    <w:rsid w:val="003E6858"/>
    <w:rsid w:val="003E6921"/>
    <w:rsid w:val="003E6F3A"/>
    <w:rsid w:val="003F1934"/>
    <w:rsid w:val="003F343B"/>
    <w:rsid w:val="003F595C"/>
    <w:rsid w:val="003F6551"/>
    <w:rsid w:val="003F6876"/>
    <w:rsid w:val="003F6F1A"/>
    <w:rsid w:val="003F7B5E"/>
    <w:rsid w:val="003F7D9B"/>
    <w:rsid w:val="0040060F"/>
    <w:rsid w:val="0040168E"/>
    <w:rsid w:val="00401C7D"/>
    <w:rsid w:val="0040225D"/>
    <w:rsid w:val="00402B4D"/>
    <w:rsid w:val="00403779"/>
    <w:rsid w:val="004045EE"/>
    <w:rsid w:val="0040480D"/>
    <w:rsid w:val="00404E4F"/>
    <w:rsid w:val="00405526"/>
    <w:rsid w:val="0040606B"/>
    <w:rsid w:val="004064F7"/>
    <w:rsid w:val="00406647"/>
    <w:rsid w:val="00411112"/>
    <w:rsid w:val="00411A45"/>
    <w:rsid w:val="0041346E"/>
    <w:rsid w:val="0041355E"/>
    <w:rsid w:val="00416832"/>
    <w:rsid w:val="00417C79"/>
    <w:rsid w:val="00417D6A"/>
    <w:rsid w:val="004204E4"/>
    <w:rsid w:val="00420D40"/>
    <w:rsid w:val="00420F0E"/>
    <w:rsid w:val="00421A7B"/>
    <w:rsid w:val="004229C6"/>
    <w:rsid w:val="0042339A"/>
    <w:rsid w:val="004234DE"/>
    <w:rsid w:val="00423B15"/>
    <w:rsid w:val="00423D62"/>
    <w:rsid w:val="00424771"/>
    <w:rsid w:val="00424CB8"/>
    <w:rsid w:val="00424EF3"/>
    <w:rsid w:val="00425045"/>
    <w:rsid w:val="0042508F"/>
    <w:rsid w:val="00426C65"/>
    <w:rsid w:val="00426F45"/>
    <w:rsid w:val="0042767D"/>
    <w:rsid w:val="0042772A"/>
    <w:rsid w:val="00427959"/>
    <w:rsid w:val="00430899"/>
    <w:rsid w:val="0043109E"/>
    <w:rsid w:val="0043258D"/>
    <w:rsid w:val="0043281D"/>
    <w:rsid w:val="00432C91"/>
    <w:rsid w:val="00432FB3"/>
    <w:rsid w:val="0043326D"/>
    <w:rsid w:val="0043366D"/>
    <w:rsid w:val="00433D57"/>
    <w:rsid w:val="004356BA"/>
    <w:rsid w:val="0043658C"/>
    <w:rsid w:val="00436837"/>
    <w:rsid w:val="00436AC6"/>
    <w:rsid w:val="00436DFC"/>
    <w:rsid w:val="00436FEA"/>
    <w:rsid w:val="00437643"/>
    <w:rsid w:val="004379C2"/>
    <w:rsid w:val="00437C3E"/>
    <w:rsid w:val="00437F36"/>
    <w:rsid w:val="004400E8"/>
    <w:rsid w:val="00442ACF"/>
    <w:rsid w:val="00442C17"/>
    <w:rsid w:val="00443BE1"/>
    <w:rsid w:val="004447AA"/>
    <w:rsid w:val="0044627C"/>
    <w:rsid w:val="004465C7"/>
    <w:rsid w:val="00447168"/>
    <w:rsid w:val="00450C80"/>
    <w:rsid w:val="00451629"/>
    <w:rsid w:val="00451C62"/>
    <w:rsid w:val="00451EB7"/>
    <w:rsid w:val="0045227B"/>
    <w:rsid w:val="00452858"/>
    <w:rsid w:val="00453924"/>
    <w:rsid w:val="00453A12"/>
    <w:rsid w:val="004542CA"/>
    <w:rsid w:val="004544D6"/>
    <w:rsid w:val="0045471F"/>
    <w:rsid w:val="0045653A"/>
    <w:rsid w:val="00457D5A"/>
    <w:rsid w:val="00457FE7"/>
    <w:rsid w:val="0046015B"/>
    <w:rsid w:val="004603A5"/>
    <w:rsid w:val="00460750"/>
    <w:rsid w:val="00460831"/>
    <w:rsid w:val="00461CE9"/>
    <w:rsid w:val="00462407"/>
    <w:rsid w:val="004624D0"/>
    <w:rsid w:val="004631DD"/>
    <w:rsid w:val="004632EA"/>
    <w:rsid w:val="004635FD"/>
    <w:rsid w:val="004653E9"/>
    <w:rsid w:val="004658A6"/>
    <w:rsid w:val="004663BA"/>
    <w:rsid w:val="00470129"/>
    <w:rsid w:val="004718D2"/>
    <w:rsid w:val="004719A6"/>
    <w:rsid w:val="00471B12"/>
    <w:rsid w:val="00471E18"/>
    <w:rsid w:val="004728A0"/>
    <w:rsid w:val="00472FDF"/>
    <w:rsid w:val="00473DFF"/>
    <w:rsid w:val="004742DD"/>
    <w:rsid w:val="00474C1E"/>
    <w:rsid w:val="004750A0"/>
    <w:rsid w:val="00475231"/>
    <w:rsid w:val="0047543B"/>
    <w:rsid w:val="00475608"/>
    <w:rsid w:val="00475736"/>
    <w:rsid w:val="00476A99"/>
    <w:rsid w:val="00477035"/>
    <w:rsid w:val="004779E4"/>
    <w:rsid w:val="00481509"/>
    <w:rsid w:val="00482222"/>
    <w:rsid w:val="00482888"/>
    <w:rsid w:val="00483183"/>
    <w:rsid w:val="0048368E"/>
    <w:rsid w:val="00483F8E"/>
    <w:rsid w:val="00484E96"/>
    <w:rsid w:val="0048559A"/>
    <w:rsid w:val="00485A56"/>
    <w:rsid w:val="00486E77"/>
    <w:rsid w:val="00487613"/>
    <w:rsid w:val="0048784D"/>
    <w:rsid w:val="00490DC1"/>
    <w:rsid w:val="00493B16"/>
    <w:rsid w:val="0049511F"/>
    <w:rsid w:val="00495DD9"/>
    <w:rsid w:val="00496700"/>
    <w:rsid w:val="0049695F"/>
    <w:rsid w:val="004976E9"/>
    <w:rsid w:val="00497842"/>
    <w:rsid w:val="0049794D"/>
    <w:rsid w:val="004A2FB8"/>
    <w:rsid w:val="004A3154"/>
    <w:rsid w:val="004A36F4"/>
    <w:rsid w:val="004A378B"/>
    <w:rsid w:val="004A40A7"/>
    <w:rsid w:val="004A410E"/>
    <w:rsid w:val="004A5586"/>
    <w:rsid w:val="004A5DB9"/>
    <w:rsid w:val="004A64DC"/>
    <w:rsid w:val="004B0371"/>
    <w:rsid w:val="004B12DA"/>
    <w:rsid w:val="004B1531"/>
    <w:rsid w:val="004B1619"/>
    <w:rsid w:val="004B1E1C"/>
    <w:rsid w:val="004B26D5"/>
    <w:rsid w:val="004B3573"/>
    <w:rsid w:val="004B37B7"/>
    <w:rsid w:val="004B41CC"/>
    <w:rsid w:val="004B44E1"/>
    <w:rsid w:val="004B52C0"/>
    <w:rsid w:val="004B5880"/>
    <w:rsid w:val="004B5A29"/>
    <w:rsid w:val="004B609E"/>
    <w:rsid w:val="004B621C"/>
    <w:rsid w:val="004B6443"/>
    <w:rsid w:val="004B72EB"/>
    <w:rsid w:val="004B79EA"/>
    <w:rsid w:val="004C2532"/>
    <w:rsid w:val="004C28EA"/>
    <w:rsid w:val="004C34D2"/>
    <w:rsid w:val="004C4421"/>
    <w:rsid w:val="004C45C0"/>
    <w:rsid w:val="004C4823"/>
    <w:rsid w:val="004C492B"/>
    <w:rsid w:val="004C6182"/>
    <w:rsid w:val="004D2281"/>
    <w:rsid w:val="004D2598"/>
    <w:rsid w:val="004D26A2"/>
    <w:rsid w:val="004D2BB0"/>
    <w:rsid w:val="004D3A0E"/>
    <w:rsid w:val="004D4962"/>
    <w:rsid w:val="004D4C60"/>
    <w:rsid w:val="004D55D2"/>
    <w:rsid w:val="004D5AF1"/>
    <w:rsid w:val="004D5F15"/>
    <w:rsid w:val="004D6058"/>
    <w:rsid w:val="004D7010"/>
    <w:rsid w:val="004E0479"/>
    <w:rsid w:val="004E05D6"/>
    <w:rsid w:val="004E0E23"/>
    <w:rsid w:val="004E11F2"/>
    <w:rsid w:val="004E1233"/>
    <w:rsid w:val="004E1D90"/>
    <w:rsid w:val="004E28C6"/>
    <w:rsid w:val="004E29F6"/>
    <w:rsid w:val="004E388B"/>
    <w:rsid w:val="004E39CF"/>
    <w:rsid w:val="004E3B9F"/>
    <w:rsid w:val="004E5D9E"/>
    <w:rsid w:val="004E6DE1"/>
    <w:rsid w:val="004F0A2A"/>
    <w:rsid w:val="004F0BD6"/>
    <w:rsid w:val="004F10E0"/>
    <w:rsid w:val="004F138F"/>
    <w:rsid w:val="004F21D6"/>
    <w:rsid w:val="004F2D0A"/>
    <w:rsid w:val="004F4103"/>
    <w:rsid w:val="004F420C"/>
    <w:rsid w:val="004F4FAF"/>
    <w:rsid w:val="004F4FDD"/>
    <w:rsid w:val="004F5B6F"/>
    <w:rsid w:val="004F6221"/>
    <w:rsid w:val="004F6468"/>
    <w:rsid w:val="004F7146"/>
    <w:rsid w:val="004F7CD4"/>
    <w:rsid w:val="00500123"/>
    <w:rsid w:val="00500811"/>
    <w:rsid w:val="00500A0B"/>
    <w:rsid w:val="00500EAC"/>
    <w:rsid w:val="00501510"/>
    <w:rsid w:val="00501742"/>
    <w:rsid w:val="00505D2A"/>
    <w:rsid w:val="0050642E"/>
    <w:rsid w:val="0050670B"/>
    <w:rsid w:val="00510155"/>
    <w:rsid w:val="0051044D"/>
    <w:rsid w:val="005109A6"/>
    <w:rsid w:val="00511B29"/>
    <w:rsid w:val="005123F8"/>
    <w:rsid w:val="005124ED"/>
    <w:rsid w:val="00512B70"/>
    <w:rsid w:val="005141E8"/>
    <w:rsid w:val="00515335"/>
    <w:rsid w:val="005158F0"/>
    <w:rsid w:val="00516685"/>
    <w:rsid w:val="00516A89"/>
    <w:rsid w:val="00517257"/>
    <w:rsid w:val="0051734D"/>
    <w:rsid w:val="0051794C"/>
    <w:rsid w:val="00517CF3"/>
    <w:rsid w:val="00521E2F"/>
    <w:rsid w:val="0052442D"/>
    <w:rsid w:val="00524470"/>
    <w:rsid w:val="00524D42"/>
    <w:rsid w:val="00524DAA"/>
    <w:rsid w:val="00524E25"/>
    <w:rsid w:val="0052636F"/>
    <w:rsid w:val="00527A18"/>
    <w:rsid w:val="0053192F"/>
    <w:rsid w:val="005326C8"/>
    <w:rsid w:val="0053354D"/>
    <w:rsid w:val="00533CBF"/>
    <w:rsid w:val="0053462B"/>
    <w:rsid w:val="00534D61"/>
    <w:rsid w:val="005350FA"/>
    <w:rsid w:val="00535F3D"/>
    <w:rsid w:val="00536577"/>
    <w:rsid w:val="005368A1"/>
    <w:rsid w:val="00536AB4"/>
    <w:rsid w:val="00536D80"/>
    <w:rsid w:val="005378A2"/>
    <w:rsid w:val="00537A05"/>
    <w:rsid w:val="00537A24"/>
    <w:rsid w:val="00540B70"/>
    <w:rsid w:val="005434C9"/>
    <w:rsid w:val="00543A4B"/>
    <w:rsid w:val="005446FE"/>
    <w:rsid w:val="00546110"/>
    <w:rsid w:val="00546D48"/>
    <w:rsid w:val="00547AEA"/>
    <w:rsid w:val="005503A3"/>
    <w:rsid w:val="005506BD"/>
    <w:rsid w:val="005509A1"/>
    <w:rsid w:val="00550C99"/>
    <w:rsid w:val="00551098"/>
    <w:rsid w:val="00551963"/>
    <w:rsid w:val="00552E63"/>
    <w:rsid w:val="00553413"/>
    <w:rsid w:val="0055420F"/>
    <w:rsid w:val="00555AB2"/>
    <w:rsid w:val="00556714"/>
    <w:rsid w:val="00557558"/>
    <w:rsid w:val="00557D80"/>
    <w:rsid w:val="00557EF5"/>
    <w:rsid w:val="00560D7A"/>
    <w:rsid w:val="00560DC6"/>
    <w:rsid w:val="00561129"/>
    <w:rsid w:val="005614FC"/>
    <w:rsid w:val="00562410"/>
    <w:rsid w:val="00562803"/>
    <w:rsid w:val="0056463B"/>
    <w:rsid w:val="0056523A"/>
    <w:rsid w:val="005652FD"/>
    <w:rsid w:val="005653FD"/>
    <w:rsid w:val="005656C2"/>
    <w:rsid w:val="005660B1"/>
    <w:rsid w:val="0056731D"/>
    <w:rsid w:val="00570310"/>
    <w:rsid w:val="00570EC7"/>
    <w:rsid w:val="00571371"/>
    <w:rsid w:val="00571C54"/>
    <w:rsid w:val="005729A8"/>
    <w:rsid w:val="00572A4B"/>
    <w:rsid w:val="00572C43"/>
    <w:rsid w:val="00572DDC"/>
    <w:rsid w:val="00572F7E"/>
    <w:rsid w:val="005731BC"/>
    <w:rsid w:val="00574D36"/>
    <w:rsid w:val="005754AB"/>
    <w:rsid w:val="00576882"/>
    <w:rsid w:val="005814C5"/>
    <w:rsid w:val="005826F4"/>
    <w:rsid w:val="00582FEE"/>
    <w:rsid w:val="0058369E"/>
    <w:rsid w:val="00583A85"/>
    <w:rsid w:val="0058496C"/>
    <w:rsid w:val="00585395"/>
    <w:rsid w:val="0058619C"/>
    <w:rsid w:val="005877E5"/>
    <w:rsid w:val="00587CC7"/>
    <w:rsid w:val="00590930"/>
    <w:rsid w:val="00590D09"/>
    <w:rsid w:val="00590D18"/>
    <w:rsid w:val="005914A5"/>
    <w:rsid w:val="0059156A"/>
    <w:rsid w:val="0059166F"/>
    <w:rsid w:val="00591E2F"/>
    <w:rsid w:val="00591F2A"/>
    <w:rsid w:val="005924B2"/>
    <w:rsid w:val="0059284B"/>
    <w:rsid w:val="00592CAB"/>
    <w:rsid w:val="00593314"/>
    <w:rsid w:val="0059368E"/>
    <w:rsid w:val="00593BCE"/>
    <w:rsid w:val="00593BF5"/>
    <w:rsid w:val="00594496"/>
    <w:rsid w:val="005944DE"/>
    <w:rsid w:val="00594934"/>
    <w:rsid w:val="00594FDC"/>
    <w:rsid w:val="00595225"/>
    <w:rsid w:val="005956D3"/>
    <w:rsid w:val="00595A1B"/>
    <w:rsid w:val="00596365"/>
    <w:rsid w:val="005965BC"/>
    <w:rsid w:val="005967F6"/>
    <w:rsid w:val="00597284"/>
    <w:rsid w:val="005A0094"/>
    <w:rsid w:val="005A0663"/>
    <w:rsid w:val="005A0784"/>
    <w:rsid w:val="005A0C4A"/>
    <w:rsid w:val="005A0DD0"/>
    <w:rsid w:val="005A0FA2"/>
    <w:rsid w:val="005A1728"/>
    <w:rsid w:val="005A2BB6"/>
    <w:rsid w:val="005A30A0"/>
    <w:rsid w:val="005A4364"/>
    <w:rsid w:val="005A79D2"/>
    <w:rsid w:val="005A7E78"/>
    <w:rsid w:val="005B03ED"/>
    <w:rsid w:val="005B0B6F"/>
    <w:rsid w:val="005B0E94"/>
    <w:rsid w:val="005B1776"/>
    <w:rsid w:val="005B1BA3"/>
    <w:rsid w:val="005B2073"/>
    <w:rsid w:val="005B2F7B"/>
    <w:rsid w:val="005B32FB"/>
    <w:rsid w:val="005B330B"/>
    <w:rsid w:val="005B3FC9"/>
    <w:rsid w:val="005B4118"/>
    <w:rsid w:val="005B4728"/>
    <w:rsid w:val="005B63FC"/>
    <w:rsid w:val="005B6474"/>
    <w:rsid w:val="005B7FE4"/>
    <w:rsid w:val="005C05E0"/>
    <w:rsid w:val="005C09BE"/>
    <w:rsid w:val="005C0CA4"/>
    <w:rsid w:val="005C1E9A"/>
    <w:rsid w:val="005C2238"/>
    <w:rsid w:val="005C2BC0"/>
    <w:rsid w:val="005C37E0"/>
    <w:rsid w:val="005C54B9"/>
    <w:rsid w:val="005C575E"/>
    <w:rsid w:val="005C5A1C"/>
    <w:rsid w:val="005C5D06"/>
    <w:rsid w:val="005C6618"/>
    <w:rsid w:val="005D0189"/>
    <w:rsid w:val="005D1569"/>
    <w:rsid w:val="005D1830"/>
    <w:rsid w:val="005D2238"/>
    <w:rsid w:val="005D255C"/>
    <w:rsid w:val="005D2BAC"/>
    <w:rsid w:val="005D389F"/>
    <w:rsid w:val="005D39DE"/>
    <w:rsid w:val="005D41A7"/>
    <w:rsid w:val="005D42B7"/>
    <w:rsid w:val="005D49D4"/>
    <w:rsid w:val="005D4F02"/>
    <w:rsid w:val="005D5CCA"/>
    <w:rsid w:val="005D627E"/>
    <w:rsid w:val="005D7D76"/>
    <w:rsid w:val="005E046F"/>
    <w:rsid w:val="005E0B9F"/>
    <w:rsid w:val="005E1341"/>
    <w:rsid w:val="005E1B35"/>
    <w:rsid w:val="005E1E3D"/>
    <w:rsid w:val="005E32E6"/>
    <w:rsid w:val="005E3A2A"/>
    <w:rsid w:val="005E4470"/>
    <w:rsid w:val="005E5794"/>
    <w:rsid w:val="005E680F"/>
    <w:rsid w:val="005E7888"/>
    <w:rsid w:val="005E7B57"/>
    <w:rsid w:val="005F096A"/>
    <w:rsid w:val="005F24DC"/>
    <w:rsid w:val="005F3588"/>
    <w:rsid w:val="005F41D0"/>
    <w:rsid w:val="005F4C57"/>
    <w:rsid w:val="005F5719"/>
    <w:rsid w:val="005F6D42"/>
    <w:rsid w:val="00600B0F"/>
    <w:rsid w:val="00603C94"/>
    <w:rsid w:val="00603FD5"/>
    <w:rsid w:val="0060435D"/>
    <w:rsid w:val="00604ADB"/>
    <w:rsid w:val="00607188"/>
    <w:rsid w:val="00607F03"/>
    <w:rsid w:val="00607F71"/>
    <w:rsid w:val="006100BE"/>
    <w:rsid w:val="00610534"/>
    <w:rsid w:val="00610627"/>
    <w:rsid w:val="00610F6C"/>
    <w:rsid w:val="0061142F"/>
    <w:rsid w:val="00611C28"/>
    <w:rsid w:val="00611E03"/>
    <w:rsid w:val="00612808"/>
    <w:rsid w:val="00612A17"/>
    <w:rsid w:val="006132F8"/>
    <w:rsid w:val="00613908"/>
    <w:rsid w:val="00614224"/>
    <w:rsid w:val="0061431E"/>
    <w:rsid w:val="0061482E"/>
    <w:rsid w:val="00614C5B"/>
    <w:rsid w:val="00614CC6"/>
    <w:rsid w:val="00615D36"/>
    <w:rsid w:val="00615F59"/>
    <w:rsid w:val="00616DC8"/>
    <w:rsid w:val="00617AAB"/>
    <w:rsid w:val="00617C08"/>
    <w:rsid w:val="0062053D"/>
    <w:rsid w:val="00620548"/>
    <w:rsid w:val="0062066D"/>
    <w:rsid w:val="00620929"/>
    <w:rsid w:val="00620C77"/>
    <w:rsid w:val="00620CE3"/>
    <w:rsid w:val="00622769"/>
    <w:rsid w:val="00623D7E"/>
    <w:rsid w:val="0062475E"/>
    <w:rsid w:val="00624B90"/>
    <w:rsid w:val="00624C6F"/>
    <w:rsid w:val="006256DB"/>
    <w:rsid w:val="00625CA0"/>
    <w:rsid w:val="006265EE"/>
    <w:rsid w:val="00630054"/>
    <w:rsid w:val="00630167"/>
    <w:rsid w:val="00630F02"/>
    <w:rsid w:val="006324D3"/>
    <w:rsid w:val="0063267E"/>
    <w:rsid w:val="00632804"/>
    <w:rsid w:val="0063294D"/>
    <w:rsid w:val="00634720"/>
    <w:rsid w:val="006364AF"/>
    <w:rsid w:val="00636E81"/>
    <w:rsid w:val="006373F9"/>
    <w:rsid w:val="006377B9"/>
    <w:rsid w:val="006379FF"/>
    <w:rsid w:val="00641199"/>
    <w:rsid w:val="00641263"/>
    <w:rsid w:val="00642A29"/>
    <w:rsid w:val="0064419F"/>
    <w:rsid w:val="006447EC"/>
    <w:rsid w:val="00645886"/>
    <w:rsid w:val="00645E67"/>
    <w:rsid w:val="006475BD"/>
    <w:rsid w:val="00647BD0"/>
    <w:rsid w:val="006510ED"/>
    <w:rsid w:val="0065156C"/>
    <w:rsid w:val="0065206A"/>
    <w:rsid w:val="00652256"/>
    <w:rsid w:val="006522B9"/>
    <w:rsid w:val="006527FF"/>
    <w:rsid w:val="00653660"/>
    <w:rsid w:val="006539B7"/>
    <w:rsid w:val="0065588A"/>
    <w:rsid w:val="00656114"/>
    <w:rsid w:val="00656A8A"/>
    <w:rsid w:val="00656DCE"/>
    <w:rsid w:val="0065709F"/>
    <w:rsid w:val="00657158"/>
    <w:rsid w:val="00660461"/>
    <w:rsid w:val="00661C1D"/>
    <w:rsid w:val="00662209"/>
    <w:rsid w:val="006639FD"/>
    <w:rsid w:val="00663BA3"/>
    <w:rsid w:val="00663BAF"/>
    <w:rsid w:val="00664665"/>
    <w:rsid w:val="00665276"/>
    <w:rsid w:val="0066647C"/>
    <w:rsid w:val="006669DB"/>
    <w:rsid w:val="00666B43"/>
    <w:rsid w:val="0066792E"/>
    <w:rsid w:val="006703C9"/>
    <w:rsid w:val="00670524"/>
    <w:rsid w:val="00670D9F"/>
    <w:rsid w:val="0067156C"/>
    <w:rsid w:val="00673A5E"/>
    <w:rsid w:val="00674AE6"/>
    <w:rsid w:val="00676575"/>
    <w:rsid w:val="00676CF4"/>
    <w:rsid w:val="006773A2"/>
    <w:rsid w:val="00680256"/>
    <w:rsid w:val="00680609"/>
    <w:rsid w:val="00680FCA"/>
    <w:rsid w:val="00681434"/>
    <w:rsid w:val="00681583"/>
    <w:rsid w:val="00682A3E"/>
    <w:rsid w:val="00683411"/>
    <w:rsid w:val="006866F0"/>
    <w:rsid w:val="00686D8C"/>
    <w:rsid w:val="00686FCC"/>
    <w:rsid w:val="0068724F"/>
    <w:rsid w:val="00687457"/>
    <w:rsid w:val="00687681"/>
    <w:rsid w:val="006878D7"/>
    <w:rsid w:val="00691C4F"/>
    <w:rsid w:val="0069246A"/>
    <w:rsid w:val="00692486"/>
    <w:rsid w:val="00692970"/>
    <w:rsid w:val="00692AF7"/>
    <w:rsid w:val="00693718"/>
    <w:rsid w:val="006941E8"/>
    <w:rsid w:val="006949DF"/>
    <w:rsid w:val="00694BDE"/>
    <w:rsid w:val="0069655C"/>
    <w:rsid w:val="00696A08"/>
    <w:rsid w:val="00696D59"/>
    <w:rsid w:val="006A00C3"/>
    <w:rsid w:val="006A0D93"/>
    <w:rsid w:val="006A13C1"/>
    <w:rsid w:val="006A1DEF"/>
    <w:rsid w:val="006A2078"/>
    <w:rsid w:val="006A5132"/>
    <w:rsid w:val="006A7069"/>
    <w:rsid w:val="006A737C"/>
    <w:rsid w:val="006B28FB"/>
    <w:rsid w:val="006B2CB9"/>
    <w:rsid w:val="006B3212"/>
    <w:rsid w:val="006B34FA"/>
    <w:rsid w:val="006B3644"/>
    <w:rsid w:val="006B56A8"/>
    <w:rsid w:val="006B5A64"/>
    <w:rsid w:val="006B6008"/>
    <w:rsid w:val="006B6CFD"/>
    <w:rsid w:val="006B7703"/>
    <w:rsid w:val="006C0978"/>
    <w:rsid w:val="006C09A7"/>
    <w:rsid w:val="006C13A1"/>
    <w:rsid w:val="006C166C"/>
    <w:rsid w:val="006C17F0"/>
    <w:rsid w:val="006C1B43"/>
    <w:rsid w:val="006C1B6D"/>
    <w:rsid w:val="006C1D60"/>
    <w:rsid w:val="006C1E1A"/>
    <w:rsid w:val="006C27F8"/>
    <w:rsid w:val="006C307C"/>
    <w:rsid w:val="006C31C6"/>
    <w:rsid w:val="006C36D5"/>
    <w:rsid w:val="006C3FF8"/>
    <w:rsid w:val="006C4177"/>
    <w:rsid w:val="006C4AF4"/>
    <w:rsid w:val="006C4C82"/>
    <w:rsid w:val="006C5A4D"/>
    <w:rsid w:val="006C5AFB"/>
    <w:rsid w:val="006C6B5B"/>
    <w:rsid w:val="006C6CFC"/>
    <w:rsid w:val="006C6EAB"/>
    <w:rsid w:val="006D0168"/>
    <w:rsid w:val="006D095B"/>
    <w:rsid w:val="006D254F"/>
    <w:rsid w:val="006D2658"/>
    <w:rsid w:val="006D340E"/>
    <w:rsid w:val="006D3A4E"/>
    <w:rsid w:val="006D3F2F"/>
    <w:rsid w:val="006D4F09"/>
    <w:rsid w:val="006D5124"/>
    <w:rsid w:val="006D5403"/>
    <w:rsid w:val="006D5BF7"/>
    <w:rsid w:val="006D5F4F"/>
    <w:rsid w:val="006D68BD"/>
    <w:rsid w:val="006D74C8"/>
    <w:rsid w:val="006D7E87"/>
    <w:rsid w:val="006E0E7D"/>
    <w:rsid w:val="006E1143"/>
    <w:rsid w:val="006E29F9"/>
    <w:rsid w:val="006E2AB9"/>
    <w:rsid w:val="006E3536"/>
    <w:rsid w:val="006E3E0B"/>
    <w:rsid w:val="006E4AC7"/>
    <w:rsid w:val="006E5403"/>
    <w:rsid w:val="006E66EA"/>
    <w:rsid w:val="006F0C4B"/>
    <w:rsid w:val="006F2DA3"/>
    <w:rsid w:val="006F4C13"/>
    <w:rsid w:val="006F5E33"/>
    <w:rsid w:val="006F63AB"/>
    <w:rsid w:val="006F6418"/>
    <w:rsid w:val="006F6B97"/>
    <w:rsid w:val="00700392"/>
    <w:rsid w:val="00701100"/>
    <w:rsid w:val="00703112"/>
    <w:rsid w:val="007031AE"/>
    <w:rsid w:val="00703E76"/>
    <w:rsid w:val="00705C16"/>
    <w:rsid w:val="00706A50"/>
    <w:rsid w:val="00706D6F"/>
    <w:rsid w:val="00707049"/>
    <w:rsid w:val="0070726F"/>
    <w:rsid w:val="007075D9"/>
    <w:rsid w:val="0071206C"/>
    <w:rsid w:val="0071345B"/>
    <w:rsid w:val="00714488"/>
    <w:rsid w:val="00714DFC"/>
    <w:rsid w:val="00715360"/>
    <w:rsid w:val="00715455"/>
    <w:rsid w:val="007158C6"/>
    <w:rsid w:val="00715E91"/>
    <w:rsid w:val="00716CBA"/>
    <w:rsid w:val="00720507"/>
    <w:rsid w:val="00720E73"/>
    <w:rsid w:val="00721423"/>
    <w:rsid w:val="007215EF"/>
    <w:rsid w:val="0072342A"/>
    <w:rsid w:val="00723514"/>
    <w:rsid w:val="00724A01"/>
    <w:rsid w:val="007255A0"/>
    <w:rsid w:val="00725CD3"/>
    <w:rsid w:val="007301C9"/>
    <w:rsid w:val="0073033D"/>
    <w:rsid w:val="00730704"/>
    <w:rsid w:val="0073151E"/>
    <w:rsid w:val="007316CD"/>
    <w:rsid w:val="00732CCD"/>
    <w:rsid w:val="00733AFB"/>
    <w:rsid w:val="00733F15"/>
    <w:rsid w:val="007373F6"/>
    <w:rsid w:val="0073759B"/>
    <w:rsid w:val="0074017C"/>
    <w:rsid w:val="00740459"/>
    <w:rsid w:val="0074168A"/>
    <w:rsid w:val="0074214B"/>
    <w:rsid w:val="00742536"/>
    <w:rsid w:val="00742F0D"/>
    <w:rsid w:val="00743548"/>
    <w:rsid w:val="00743882"/>
    <w:rsid w:val="00743F0E"/>
    <w:rsid w:val="00743F26"/>
    <w:rsid w:val="00744120"/>
    <w:rsid w:val="0074458C"/>
    <w:rsid w:val="00745040"/>
    <w:rsid w:val="00746A8A"/>
    <w:rsid w:val="00751FB5"/>
    <w:rsid w:val="00752474"/>
    <w:rsid w:val="00752932"/>
    <w:rsid w:val="00753191"/>
    <w:rsid w:val="0075321A"/>
    <w:rsid w:val="0075386F"/>
    <w:rsid w:val="00753B15"/>
    <w:rsid w:val="00754888"/>
    <w:rsid w:val="00754A64"/>
    <w:rsid w:val="00755256"/>
    <w:rsid w:val="00755C09"/>
    <w:rsid w:val="007560C4"/>
    <w:rsid w:val="00756F34"/>
    <w:rsid w:val="00756FA4"/>
    <w:rsid w:val="00757583"/>
    <w:rsid w:val="007578C8"/>
    <w:rsid w:val="00757979"/>
    <w:rsid w:val="00757E40"/>
    <w:rsid w:val="00760304"/>
    <w:rsid w:val="00760D2D"/>
    <w:rsid w:val="00760E1B"/>
    <w:rsid w:val="00761106"/>
    <w:rsid w:val="00761FBB"/>
    <w:rsid w:val="007629D2"/>
    <w:rsid w:val="00762A48"/>
    <w:rsid w:val="00762F69"/>
    <w:rsid w:val="0076319F"/>
    <w:rsid w:val="00764FE1"/>
    <w:rsid w:val="00764FFA"/>
    <w:rsid w:val="0076618E"/>
    <w:rsid w:val="007661B1"/>
    <w:rsid w:val="007669DE"/>
    <w:rsid w:val="00767EAE"/>
    <w:rsid w:val="0077082D"/>
    <w:rsid w:val="00770A0B"/>
    <w:rsid w:val="00770DB0"/>
    <w:rsid w:val="007723F0"/>
    <w:rsid w:val="00772BAE"/>
    <w:rsid w:val="0077388B"/>
    <w:rsid w:val="0077483D"/>
    <w:rsid w:val="00775165"/>
    <w:rsid w:val="00775B28"/>
    <w:rsid w:val="00776D99"/>
    <w:rsid w:val="00777866"/>
    <w:rsid w:val="007819F4"/>
    <w:rsid w:val="00783000"/>
    <w:rsid w:val="00783491"/>
    <w:rsid w:val="0078398F"/>
    <w:rsid w:val="00784593"/>
    <w:rsid w:val="0078533C"/>
    <w:rsid w:val="00785B66"/>
    <w:rsid w:val="00786349"/>
    <w:rsid w:val="00790ADA"/>
    <w:rsid w:val="00791446"/>
    <w:rsid w:val="0079288C"/>
    <w:rsid w:val="00792AD5"/>
    <w:rsid w:val="00794118"/>
    <w:rsid w:val="007947C2"/>
    <w:rsid w:val="00795354"/>
    <w:rsid w:val="007959F6"/>
    <w:rsid w:val="0079646C"/>
    <w:rsid w:val="0079677C"/>
    <w:rsid w:val="007968F4"/>
    <w:rsid w:val="00796956"/>
    <w:rsid w:val="007A0363"/>
    <w:rsid w:val="007A03A3"/>
    <w:rsid w:val="007A0464"/>
    <w:rsid w:val="007A37B8"/>
    <w:rsid w:val="007A3A14"/>
    <w:rsid w:val="007A58F5"/>
    <w:rsid w:val="007A59A1"/>
    <w:rsid w:val="007A5A60"/>
    <w:rsid w:val="007A5D25"/>
    <w:rsid w:val="007A6DF8"/>
    <w:rsid w:val="007A7705"/>
    <w:rsid w:val="007B020D"/>
    <w:rsid w:val="007B0600"/>
    <w:rsid w:val="007B1608"/>
    <w:rsid w:val="007B40FB"/>
    <w:rsid w:val="007B6F89"/>
    <w:rsid w:val="007B70F7"/>
    <w:rsid w:val="007B743A"/>
    <w:rsid w:val="007B7597"/>
    <w:rsid w:val="007C020D"/>
    <w:rsid w:val="007C0F23"/>
    <w:rsid w:val="007C1A14"/>
    <w:rsid w:val="007C2247"/>
    <w:rsid w:val="007C3475"/>
    <w:rsid w:val="007C437A"/>
    <w:rsid w:val="007C57DB"/>
    <w:rsid w:val="007C67B9"/>
    <w:rsid w:val="007C7265"/>
    <w:rsid w:val="007D0364"/>
    <w:rsid w:val="007D0536"/>
    <w:rsid w:val="007D0611"/>
    <w:rsid w:val="007D1569"/>
    <w:rsid w:val="007D1B88"/>
    <w:rsid w:val="007D25EB"/>
    <w:rsid w:val="007D2C1E"/>
    <w:rsid w:val="007D2E4F"/>
    <w:rsid w:val="007D386B"/>
    <w:rsid w:val="007D3982"/>
    <w:rsid w:val="007D465E"/>
    <w:rsid w:val="007D46E4"/>
    <w:rsid w:val="007D4C70"/>
    <w:rsid w:val="007D597B"/>
    <w:rsid w:val="007D6BA2"/>
    <w:rsid w:val="007D6BE8"/>
    <w:rsid w:val="007D6E43"/>
    <w:rsid w:val="007D7CA3"/>
    <w:rsid w:val="007D7FC1"/>
    <w:rsid w:val="007E1115"/>
    <w:rsid w:val="007E12E3"/>
    <w:rsid w:val="007E1A38"/>
    <w:rsid w:val="007E1B70"/>
    <w:rsid w:val="007E26DC"/>
    <w:rsid w:val="007E27FB"/>
    <w:rsid w:val="007E2A5A"/>
    <w:rsid w:val="007E3B94"/>
    <w:rsid w:val="007E4113"/>
    <w:rsid w:val="007E46BB"/>
    <w:rsid w:val="007E4C29"/>
    <w:rsid w:val="007E51A7"/>
    <w:rsid w:val="007E574C"/>
    <w:rsid w:val="007E62A8"/>
    <w:rsid w:val="007E6794"/>
    <w:rsid w:val="007E6F51"/>
    <w:rsid w:val="007E7928"/>
    <w:rsid w:val="007E7E99"/>
    <w:rsid w:val="007F0904"/>
    <w:rsid w:val="007F13FA"/>
    <w:rsid w:val="007F2228"/>
    <w:rsid w:val="007F35A8"/>
    <w:rsid w:val="007F5105"/>
    <w:rsid w:val="007F54D3"/>
    <w:rsid w:val="007F5D03"/>
    <w:rsid w:val="007F62B9"/>
    <w:rsid w:val="007F7035"/>
    <w:rsid w:val="007F7C43"/>
    <w:rsid w:val="0080018A"/>
    <w:rsid w:val="00800C18"/>
    <w:rsid w:val="00801558"/>
    <w:rsid w:val="008017BC"/>
    <w:rsid w:val="00802B3F"/>
    <w:rsid w:val="00803036"/>
    <w:rsid w:val="0080322B"/>
    <w:rsid w:val="008035C3"/>
    <w:rsid w:val="008036F4"/>
    <w:rsid w:val="00803706"/>
    <w:rsid w:val="00803F26"/>
    <w:rsid w:val="00804689"/>
    <w:rsid w:val="00804B8B"/>
    <w:rsid w:val="00806280"/>
    <w:rsid w:val="00806C83"/>
    <w:rsid w:val="00806F63"/>
    <w:rsid w:val="008075C7"/>
    <w:rsid w:val="0080782F"/>
    <w:rsid w:val="00807F06"/>
    <w:rsid w:val="00810CE3"/>
    <w:rsid w:val="00811196"/>
    <w:rsid w:val="0081186A"/>
    <w:rsid w:val="00812F32"/>
    <w:rsid w:val="008133AB"/>
    <w:rsid w:val="00813F67"/>
    <w:rsid w:val="0081432D"/>
    <w:rsid w:val="00814A3E"/>
    <w:rsid w:val="00814F7E"/>
    <w:rsid w:val="0081533C"/>
    <w:rsid w:val="008161D7"/>
    <w:rsid w:val="00817BD8"/>
    <w:rsid w:val="008203BD"/>
    <w:rsid w:val="00820661"/>
    <w:rsid w:val="008214F3"/>
    <w:rsid w:val="00821877"/>
    <w:rsid w:val="00821A6E"/>
    <w:rsid w:val="00821C11"/>
    <w:rsid w:val="00823B3B"/>
    <w:rsid w:val="0082420E"/>
    <w:rsid w:val="0082437F"/>
    <w:rsid w:val="00824A16"/>
    <w:rsid w:val="0082612A"/>
    <w:rsid w:val="00826B69"/>
    <w:rsid w:val="00827FA7"/>
    <w:rsid w:val="00830787"/>
    <w:rsid w:val="00830B74"/>
    <w:rsid w:val="00831C3A"/>
    <w:rsid w:val="00832897"/>
    <w:rsid w:val="00832F27"/>
    <w:rsid w:val="00834A9D"/>
    <w:rsid w:val="00836262"/>
    <w:rsid w:val="00836447"/>
    <w:rsid w:val="00836BB8"/>
    <w:rsid w:val="00836DBC"/>
    <w:rsid w:val="00836E3A"/>
    <w:rsid w:val="00837045"/>
    <w:rsid w:val="00837210"/>
    <w:rsid w:val="00837747"/>
    <w:rsid w:val="0084028E"/>
    <w:rsid w:val="00840CAD"/>
    <w:rsid w:val="00841CA4"/>
    <w:rsid w:val="0084238D"/>
    <w:rsid w:val="008427F2"/>
    <w:rsid w:val="008437CC"/>
    <w:rsid w:val="00843C50"/>
    <w:rsid w:val="008445CB"/>
    <w:rsid w:val="008450D7"/>
    <w:rsid w:val="0084537A"/>
    <w:rsid w:val="00845A66"/>
    <w:rsid w:val="008464D0"/>
    <w:rsid w:val="0084705B"/>
    <w:rsid w:val="008472B8"/>
    <w:rsid w:val="00851884"/>
    <w:rsid w:val="00852427"/>
    <w:rsid w:val="008527C2"/>
    <w:rsid w:val="008529A2"/>
    <w:rsid w:val="0085312E"/>
    <w:rsid w:val="00853654"/>
    <w:rsid w:val="0085439B"/>
    <w:rsid w:val="0085561B"/>
    <w:rsid w:val="00855806"/>
    <w:rsid w:val="00856663"/>
    <w:rsid w:val="008579B4"/>
    <w:rsid w:val="00857A5E"/>
    <w:rsid w:val="00860D46"/>
    <w:rsid w:val="00861891"/>
    <w:rsid w:val="008626FB"/>
    <w:rsid w:val="00862B9C"/>
    <w:rsid w:val="008643F5"/>
    <w:rsid w:val="008705A3"/>
    <w:rsid w:val="00870FA9"/>
    <w:rsid w:val="00871A6C"/>
    <w:rsid w:val="00872A6F"/>
    <w:rsid w:val="00872F02"/>
    <w:rsid w:val="00873617"/>
    <w:rsid w:val="008750B5"/>
    <w:rsid w:val="008759CA"/>
    <w:rsid w:val="00875CCB"/>
    <w:rsid w:val="008765BF"/>
    <w:rsid w:val="00876B5B"/>
    <w:rsid w:val="00876BA8"/>
    <w:rsid w:val="0087701A"/>
    <w:rsid w:val="008771E8"/>
    <w:rsid w:val="00877266"/>
    <w:rsid w:val="00877DBA"/>
    <w:rsid w:val="00880935"/>
    <w:rsid w:val="00881D1A"/>
    <w:rsid w:val="00882158"/>
    <w:rsid w:val="00882879"/>
    <w:rsid w:val="00882C08"/>
    <w:rsid w:val="008833F3"/>
    <w:rsid w:val="008841B1"/>
    <w:rsid w:val="00884993"/>
    <w:rsid w:val="00885220"/>
    <w:rsid w:val="008852AC"/>
    <w:rsid w:val="0088535B"/>
    <w:rsid w:val="0088591E"/>
    <w:rsid w:val="00885C10"/>
    <w:rsid w:val="008860C2"/>
    <w:rsid w:val="00886F38"/>
    <w:rsid w:val="00887044"/>
    <w:rsid w:val="00887F88"/>
    <w:rsid w:val="00890154"/>
    <w:rsid w:val="008904A5"/>
    <w:rsid w:val="00890D60"/>
    <w:rsid w:val="00891F04"/>
    <w:rsid w:val="00892058"/>
    <w:rsid w:val="00892162"/>
    <w:rsid w:val="0089258C"/>
    <w:rsid w:val="00892625"/>
    <w:rsid w:val="0089277F"/>
    <w:rsid w:val="0089515E"/>
    <w:rsid w:val="00895922"/>
    <w:rsid w:val="00895D9D"/>
    <w:rsid w:val="00895E30"/>
    <w:rsid w:val="00896203"/>
    <w:rsid w:val="00897793"/>
    <w:rsid w:val="008A08C5"/>
    <w:rsid w:val="008A106A"/>
    <w:rsid w:val="008A1632"/>
    <w:rsid w:val="008A1B77"/>
    <w:rsid w:val="008A1DEC"/>
    <w:rsid w:val="008A2073"/>
    <w:rsid w:val="008A2A29"/>
    <w:rsid w:val="008A35BA"/>
    <w:rsid w:val="008A3687"/>
    <w:rsid w:val="008A3690"/>
    <w:rsid w:val="008A4537"/>
    <w:rsid w:val="008A4C43"/>
    <w:rsid w:val="008A66BB"/>
    <w:rsid w:val="008A6E0E"/>
    <w:rsid w:val="008A6F83"/>
    <w:rsid w:val="008A705F"/>
    <w:rsid w:val="008A7487"/>
    <w:rsid w:val="008A7B49"/>
    <w:rsid w:val="008A7C89"/>
    <w:rsid w:val="008B05C3"/>
    <w:rsid w:val="008B0C5D"/>
    <w:rsid w:val="008B1542"/>
    <w:rsid w:val="008B1FB7"/>
    <w:rsid w:val="008B4877"/>
    <w:rsid w:val="008B4965"/>
    <w:rsid w:val="008B4D32"/>
    <w:rsid w:val="008B4EE4"/>
    <w:rsid w:val="008B5139"/>
    <w:rsid w:val="008B5706"/>
    <w:rsid w:val="008B689A"/>
    <w:rsid w:val="008B6F1E"/>
    <w:rsid w:val="008B78B1"/>
    <w:rsid w:val="008B7AA0"/>
    <w:rsid w:val="008B7F84"/>
    <w:rsid w:val="008C04B4"/>
    <w:rsid w:val="008C05ED"/>
    <w:rsid w:val="008C0DC7"/>
    <w:rsid w:val="008C0FB6"/>
    <w:rsid w:val="008C1135"/>
    <w:rsid w:val="008C1CCF"/>
    <w:rsid w:val="008C1EEE"/>
    <w:rsid w:val="008C211F"/>
    <w:rsid w:val="008C38A0"/>
    <w:rsid w:val="008C3AB6"/>
    <w:rsid w:val="008C3EE8"/>
    <w:rsid w:val="008C4F8F"/>
    <w:rsid w:val="008C526F"/>
    <w:rsid w:val="008C56DE"/>
    <w:rsid w:val="008C56F8"/>
    <w:rsid w:val="008C5B15"/>
    <w:rsid w:val="008C68C8"/>
    <w:rsid w:val="008D0B2D"/>
    <w:rsid w:val="008D0E61"/>
    <w:rsid w:val="008D1701"/>
    <w:rsid w:val="008D19FD"/>
    <w:rsid w:val="008D1ABD"/>
    <w:rsid w:val="008D286A"/>
    <w:rsid w:val="008D3A0D"/>
    <w:rsid w:val="008D428E"/>
    <w:rsid w:val="008D45DA"/>
    <w:rsid w:val="008D5988"/>
    <w:rsid w:val="008D6318"/>
    <w:rsid w:val="008D6C5E"/>
    <w:rsid w:val="008D7724"/>
    <w:rsid w:val="008E04C6"/>
    <w:rsid w:val="008E0DC4"/>
    <w:rsid w:val="008E10DE"/>
    <w:rsid w:val="008E1BAA"/>
    <w:rsid w:val="008E2397"/>
    <w:rsid w:val="008E25D6"/>
    <w:rsid w:val="008E47FB"/>
    <w:rsid w:val="008E4974"/>
    <w:rsid w:val="008E5869"/>
    <w:rsid w:val="008E5E61"/>
    <w:rsid w:val="008E6779"/>
    <w:rsid w:val="008E7BD4"/>
    <w:rsid w:val="008E7E9D"/>
    <w:rsid w:val="008E7FC3"/>
    <w:rsid w:val="008F0A95"/>
    <w:rsid w:val="008F163B"/>
    <w:rsid w:val="008F1A94"/>
    <w:rsid w:val="008F2CB9"/>
    <w:rsid w:val="008F3473"/>
    <w:rsid w:val="008F34C0"/>
    <w:rsid w:val="008F384F"/>
    <w:rsid w:val="008F4895"/>
    <w:rsid w:val="008F4B58"/>
    <w:rsid w:val="008F567D"/>
    <w:rsid w:val="008F63E4"/>
    <w:rsid w:val="008F65D8"/>
    <w:rsid w:val="008F6F1A"/>
    <w:rsid w:val="008F7897"/>
    <w:rsid w:val="008F7F00"/>
    <w:rsid w:val="009006B2"/>
    <w:rsid w:val="0090079E"/>
    <w:rsid w:val="0090137A"/>
    <w:rsid w:val="009014B9"/>
    <w:rsid w:val="00901D45"/>
    <w:rsid w:val="00903370"/>
    <w:rsid w:val="00904D47"/>
    <w:rsid w:val="00905341"/>
    <w:rsid w:val="0090589F"/>
    <w:rsid w:val="009059FF"/>
    <w:rsid w:val="00907BB8"/>
    <w:rsid w:val="0091009B"/>
    <w:rsid w:val="00910986"/>
    <w:rsid w:val="009111EB"/>
    <w:rsid w:val="0091349A"/>
    <w:rsid w:val="00913579"/>
    <w:rsid w:val="00913985"/>
    <w:rsid w:val="00913EC3"/>
    <w:rsid w:val="00914399"/>
    <w:rsid w:val="00914BB2"/>
    <w:rsid w:val="0091530C"/>
    <w:rsid w:val="00915438"/>
    <w:rsid w:val="009156B9"/>
    <w:rsid w:val="009158BF"/>
    <w:rsid w:val="009200BC"/>
    <w:rsid w:val="00920B0F"/>
    <w:rsid w:val="009210B8"/>
    <w:rsid w:val="009245E9"/>
    <w:rsid w:val="0092563F"/>
    <w:rsid w:val="009270B4"/>
    <w:rsid w:val="00927679"/>
    <w:rsid w:val="009301E5"/>
    <w:rsid w:val="009307BD"/>
    <w:rsid w:val="00931874"/>
    <w:rsid w:val="00931E7C"/>
    <w:rsid w:val="00932D32"/>
    <w:rsid w:val="009335A4"/>
    <w:rsid w:val="009337C5"/>
    <w:rsid w:val="00933E08"/>
    <w:rsid w:val="009342FC"/>
    <w:rsid w:val="0093434A"/>
    <w:rsid w:val="00935251"/>
    <w:rsid w:val="009358C6"/>
    <w:rsid w:val="0093590A"/>
    <w:rsid w:val="00936068"/>
    <w:rsid w:val="00936468"/>
    <w:rsid w:val="00937775"/>
    <w:rsid w:val="0093792D"/>
    <w:rsid w:val="009402BD"/>
    <w:rsid w:val="00940CB6"/>
    <w:rsid w:val="009418D7"/>
    <w:rsid w:val="00941BC6"/>
    <w:rsid w:val="00943371"/>
    <w:rsid w:val="00943806"/>
    <w:rsid w:val="00944505"/>
    <w:rsid w:val="00944E04"/>
    <w:rsid w:val="00945BC7"/>
    <w:rsid w:val="00945C91"/>
    <w:rsid w:val="00946351"/>
    <w:rsid w:val="00946627"/>
    <w:rsid w:val="00947D2D"/>
    <w:rsid w:val="009508E1"/>
    <w:rsid w:val="00950D7B"/>
    <w:rsid w:val="009517CC"/>
    <w:rsid w:val="00951F15"/>
    <w:rsid w:val="009533CF"/>
    <w:rsid w:val="00953C3E"/>
    <w:rsid w:val="00953E47"/>
    <w:rsid w:val="00954988"/>
    <w:rsid w:val="0095624E"/>
    <w:rsid w:val="00956698"/>
    <w:rsid w:val="009579D7"/>
    <w:rsid w:val="00960C1B"/>
    <w:rsid w:val="00960F51"/>
    <w:rsid w:val="009615D4"/>
    <w:rsid w:val="00961F68"/>
    <w:rsid w:val="00962905"/>
    <w:rsid w:val="009632C0"/>
    <w:rsid w:val="009634E0"/>
    <w:rsid w:val="0096380D"/>
    <w:rsid w:val="009639A9"/>
    <w:rsid w:val="00964A52"/>
    <w:rsid w:val="009650E7"/>
    <w:rsid w:val="00965D13"/>
    <w:rsid w:val="00966DCE"/>
    <w:rsid w:val="00970A20"/>
    <w:rsid w:val="0097163D"/>
    <w:rsid w:val="00971FB7"/>
    <w:rsid w:val="009721F8"/>
    <w:rsid w:val="009729D1"/>
    <w:rsid w:val="00972A64"/>
    <w:rsid w:val="00973DCE"/>
    <w:rsid w:val="00974677"/>
    <w:rsid w:val="00974778"/>
    <w:rsid w:val="00975086"/>
    <w:rsid w:val="00976023"/>
    <w:rsid w:val="00976A9D"/>
    <w:rsid w:val="00976D06"/>
    <w:rsid w:val="009779D7"/>
    <w:rsid w:val="00977E52"/>
    <w:rsid w:val="00980461"/>
    <w:rsid w:val="009804C9"/>
    <w:rsid w:val="0098111B"/>
    <w:rsid w:val="009819D7"/>
    <w:rsid w:val="00981ADF"/>
    <w:rsid w:val="009853EF"/>
    <w:rsid w:val="009864AF"/>
    <w:rsid w:val="00986D3A"/>
    <w:rsid w:val="00986FB0"/>
    <w:rsid w:val="00987926"/>
    <w:rsid w:val="009901F4"/>
    <w:rsid w:val="009906BC"/>
    <w:rsid w:val="00990CCD"/>
    <w:rsid w:val="00990E1C"/>
    <w:rsid w:val="00991DFB"/>
    <w:rsid w:val="0099227E"/>
    <w:rsid w:val="00992B42"/>
    <w:rsid w:val="0099541F"/>
    <w:rsid w:val="00995F1F"/>
    <w:rsid w:val="009969C3"/>
    <w:rsid w:val="009969CE"/>
    <w:rsid w:val="00997354"/>
    <w:rsid w:val="009A15FF"/>
    <w:rsid w:val="009A198C"/>
    <w:rsid w:val="009A2DAC"/>
    <w:rsid w:val="009A2F17"/>
    <w:rsid w:val="009A308D"/>
    <w:rsid w:val="009A3C2B"/>
    <w:rsid w:val="009A425A"/>
    <w:rsid w:val="009A42E1"/>
    <w:rsid w:val="009A4718"/>
    <w:rsid w:val="009A4FB3"/>
    <w:rsid w:val="009A543A"/>
    <w:rsid w:val="009A5ADF"/>
    <w:rsid w:val="009A5E9F"/>
    <w:rsid w:val="009A5EB5"/>
    <w:rsid w:val="009A6628"/>
    <w:rsid w:val="009B077B"/>
    <w:rsid w:val="009B0F6C"/>
    <w:rsid w:val="009B1AD6"/>
    <w:rsid w:val="009B1C6B"/>
    <w:rsid w:val="009B255B"/>
    <w:rsid w:val="009B3273"/>
    <w:rsid w:val="009B3C3B"/>
    <w:rsid w:val="009B4007"/>
    <w:rsid w:val="009B44CB"/>
    <w:rsid w:val="009B452B"/>
    <w:rsid w:val="009B4C29"/>
    <w:rsid w:val="009B4E8E"/>
    <w:rsid w:val="009B4E91"/>
    <w:rsid w:val="009B56E1"/>
    <w:rsid w:val="009B69C3"/>
    <w:rsid w:val="009B6A57"/>
    <w:rsid w:val="009B72C0"/>
    <w:rsid w:val="009B7A42"/>
    <w:rsid w:val="009B7B37"/>
    <w:rsid w:val="009B7EDA"/>
    <w:rsid w:val="009C074B"/>
    <w:rsid w:val="009C0854"/>
    <w:rsid w:val="009C1573"/>
    <w:rsid w:val="009C1D77"/>
    <w:rsid w:val="009C36E3"/>
    <w:rsid w:val="009C3E13"/>
    <w:rsid w:val="009C5143"/>
    <w:rsid w:val="009C5F41"/>
    <w:rsid w:val="009C6075"/>
    <w:rsid w:val="009C6B35"/>
    <w:rsid w:val="009C6BFC"/>
    <w:rsid w:val="009D0257"/>
    <w:rsid w:val="009D0CB0"/>
    <w:rsid w:val="009D156D"/>
    <w:rsid w:val="009D24F5"/>
    <w:rsid w:val="009D3E11"/>
    <w:rsid w:val="009D42EB"/>
    <w:rsid w:val="009D43B1"/>
    <w:rsid w:val="009D4666"/>
    <w:rsid w:val="009D47D8"/>
    <w:rsid w:val="009D4A92"/>
    <w:rsid w:val="009D4E8B"/>
    <w:rsid w:val="009D5A89"/>
    <w:rsid w:val="009D5D9B"/>
    <w:rsid w:val="009D6EE8"/>
    <w:rsid w:val="009E19A3"/>
    <w:rsid w:val="009E1C90"/>
    <w:rsid w:val="009E2BF5"/>
    <w:rsid w:val="009E2F37"/>
    <w:rsid w:val="009E2F5F"/>
    <w:rsid w:val="009E387F"/>
    <w:rsid w:val="009E4DC0"/>
    <w:rsid w:val="009E518A"/>
    <w:rsid w:val="009E56AC"/>
    <w:rsid w:val="009E5E76"/>
    <w:rsid w:val="009E5F2A"/>
    <w:rsid w:val="009E67BA"/>
    <w:rsid w:val="009E74E0"/>
    <w:rsid w:val="009E76D6"/>
    <w:rsid w:val="009F116A"/>
    <w:rsid w:val="009F358A"/>
    <w:rsid w:val="009F3C2F"/>
    <w:rsid w:val="009F43C9"/>
    <w:rsid w:val="009F4F0F"/>
    <w:rsid w:val="009F7B1F"/>
    <w:rsid w:val="00A00759"/>
    <w:rsid w:val="00A014AE"/>
    <w:rsid w:val="00A03831"/>
    <w:rsid w:val="00A04EAB"/>
    <w:rsid w:val="00A0501F"/>
    <w:rsid w:val="00A072C3"/>
    <w:rsid w:val="00A0757A"/>
    <w:rsid w:val="00A0785E"/>
    <w:rsid w:val="00A11174"/>
    <w:rsid w:val="00A115D9"/>
    <w:rsid w:val="00A11D34"/>
    <w:rsid w:val="00A11DD6"/>
    <w:rsid w:val="00A128B7"/>
    <w:rsid w:val="00A1335C"/>
    <w:rsid w:val="00A134E8"/>
    <w:rsid w:val="00A13664"/>
    <w:rsid w:val="00A20AE8"/>
    <w:rsid w:val="00A21475"/>
    <w:rsid w:val="00A21801"/>
    <w:rsid w:val="00A21D7D"/>
    <w:rsid w:val="00A226B6"/>
    <w:rsid w:val="00A22809"/>
    <w:rsid w:val="00A22EF0"/>
    <w:rsid w:val="00A230A9"/>
    <w:rsid w:val="00A2365D"/>
    <w:rsid w:val="00A24FEA"/>
    <w:rsid w:val="00A25478"/>
    <w:rsid w:val="00A25DEA"/>
    <w:rsid w:val="00A2634B"/>
    <w:rsid w:val="00A268BB"/>
    <w:rsid w:val="00A26971"/>
    <w:rsid w:val="00A27220"/>
    <w:rsid w:val="00A272C2"/>
    <w:rsid w:val="00A27AE9"/>
    <w:rsid w:val="00A302E3"/>
    <w:rsid w:val="00A30787"/>
    <w:rsid w:val="00A30BBE"/>
    <w:rsid w:val="00A3180D"/>
    <w:rsid w:val="00A32BFC"/>
    <w:rsid w:val="00A33E9D"/>
    <w:rsid w:val="00A35BE0"/>
    <w:rsid w:val="00A37A1F"/>
    <w:rsid w:val="00A37BC9"/>
    <w:rsid w:val="00A40AA9"/>
    <w:rsid w:val="00A4145A"/>
    <w:rsid w:val="00A416AD"/>
    <w:rsid w:val="00A41E98"/>
    <w:rsid w:val="00A4212F"/>
    <w:rsid w:val="00A42519"/>
    <w:rsid w:val="00A4275B"/>
    <w:rsid w:val="00A42A1A"/>
    <w:rsid w:val="00A43B01"/>
    <w:rsid w:val="00A44F5C"/>
    <w:rsid w:val="00A455B5"/>
    <w:rsid w:val="00A458A8"/>
    <w:rsid w:val="00A45BA2"/>
    <w:rsid w:val="00A46016"/>
    <w:rsid w:val="00A4664A"/>
    <w:rsid w:val="00A471AE"/>
    <w:rsid w:val="00A50184"/>
    <w:rsid w:val="00A509C7"/>
    <w:rsid w:val="00A50CD9"/>
    <w:rsid w:val="00A51374"/>
    <w:rsid w:val="00A513DC"/>
    <w:rsid w:val="00A52DDC"/>
    <w:rsid w:val="00A5323B"/>
    <w:rsid w:val="00A54A23"/>
    <w:rsid w:val="00A5529A"/>
    <w:rsid w:val="00A55D75"/>
    <w:rsid w:val="00A5662D"/>
    <w:rsid w:val="00A5703F"/>
    <w:rsid w:val="00A57877"/>
    <w:rsid w:val="00A57BDF"/>
    <w:rsid w:val="00A62C59"/>
    <w:rsid w:val="00A639DE"/>
    <w:rsid w:val="00A63F1B"/>
    <w:rsid w:val="00A64EAE"/>
    <w:rsid w:val="00A65C27"/>
    <w:rsid w:val="00A65DCB"/>
    <w:rsid w:val="00A66DB3"/>
    <w:rsid w:val="00A671E5"/>
    <w:rsid w:val="00A672EF"/>
    <w:rsid w:val="00A70A9E"/>
    <w:rsid w:val="00A70E51"/>
    <w:rsid w:val="00A73599"/>
    <w:rsid w:val="00A73AC7"/>
    <w:rsid w:val="00A74F81"/>
    <w:rsid w:val="00A75DCB"/>
    <w:rsid w:val="00A76574"/>
    <w:rsid w:val="00A76A47"/>
    <w:rsid w:val="00A803D9"/>
    <w:rsid w:val="00A80E66"/>
    <w:rsid w:val="00A81036"/>
    <w:rsid w:val="00A8183A"/>
    <w:rsid w:val="00A81DD1"/>
    <w:rsid w:val="00A82E1A"/>
    <w:rsid w:val="00A83898"/>
    <w:rsid w:val="00A8490D"/>
    <w:rsid w:val="00A85058"/>
    <w:rsid w:val="00A86051"/>
    <w:rsid w:val="00A8625F"/>
    <w:rsid w:val="00A87AB4"/>
    <w:rsid w:val="00A87B2E"/>
    <w:rsid w:val="00A90151"/>
    <w:rsid w:val="00A90256"/>
    <w:rsid w:val="00A90B13"/>
    <w:rsid w:val="00A90C9C"/>
    <w:rsid w:val="00A91AB6"/>
    <w:rsid w:val="00A91DEC"/>
    <w:rsid w:val="00A926FD"/>
    <w:rsid w:val="00A928F9"/>
    <w:rsid w:val="00A929A0"/>
    <w:rsid w:val="00A93568"/>
    <w:rsid w:val="00A9359B"/>
    <w:rsid w:val="00A9453B"/>
    <w:rsid w:val="00A94576"/>
    <w:rsid w:val="00A951E7"/>
    <w:rsid w:val="00A9545C"/>
    <w:rsid w:val="00A95803"/>
    <w:rsid w:val="00A95976"/>
    <w:rsid w:val="00A96541"/>
    <w:rsid w:val="00A970A6"/>
    <w:rsid w:val="00A976FB"/>
    <w:rsid w:val="00A97C93"/>
    <w:rsid w:val="00AA0597"/>
    <w:rsid w:val="00AA0844"/>
    <w:rsid w:val="00AA1310"/>
    <w:rsid w:val="00AA1375"/>
    <w:rsid w:val="00AA163B"/>
    <w:rsid w:val="00AA17E5"/>
    <w:rsid w:val="00AA2876"/>
    <w:rsid w:val="00AA313A"/>
    <w:rsid w:val="00AA3569"/>
    <w:rsid w:val="00AA4292"/>
    <w:rsid w:val="00AA5727"/>
    <w:rsid w:val="00AA703D"/>
    <w:rsid w:val="00AA7216"/>
    <w:rsid w:val="00AA7CF1"/>
    <w:rsid w:val="00AB0425"/>
    <w:rsid w:val="00AB10F4"/>
    <w:rsid w:val="00AB2267"/>
    <w:rsid w:val="00AB2D17"/>
    <w:rsid w:val="00AB34AD"/>
    <w:rsid w:val="00AB46E2"/>
    <w:rsid w:val="00AB4787"/>
    <w:rsid w:val="00AB575C"/>
    <w:rsid w:val="00AB616E"/>
    <w:rsid w:val="00AB7526"/>
    <w:rsid w:val="00AB7B35"/>
    <w:rsid w:val="00AC06BE"/>
    <w:rsid w:val="00AC31CD"/>
    <w:rsid w:val="00AC3385"/>
    <w:rsid w:val="00AC348A"/>
    <w:rsid w:val="00AC4903"/>
    <w:rsid w:val="00AC4F7C"/>
    <w:rsid w:val="00AC587D"/>
    <w:rsid w:val="00AC6D75"/>
    <w:rsid w:val="00AC790D"/>
    <w:rsid w:val="00AC7AE4"/>
    <w:rsid w:val="00AC7BF9"/>
    <w:rsid w:val="00AD10C7"/>
    <w:rsid w:val="00AD1AA2"/>
    <w:rsid w:val="00AD53B7"/>
    <w:rsid w:val="00AD70E7"/>
    <w:rsid w:val="00AD765F"/>
    <w:rsid w:val="00AD7A30"/>
    <w:rsid w:val="00AD7E20"/>
    <w:rsid w:val="00AE025D"/>
    <w:rsid w:val="00AE0E44"/>
    <w:rsid w:val="00AE17CC"/>
    <w:rsid w:val="00AE1903"/>
    <w:rsid w:val="00AE1A61"/>
    <w:rsid w:val="00AE30CB"/>
    <w:rsid w:val="00AE30FE"/>
    <w:rsid w:val="00AE421B"/>
    <w:rsid w:val="00AE4414"/>
    <w:rsid w:val="00AE68B4"/>
    <w:rsid w:val="00AE7F8E"/>
    <w:rsid w:val="00AF2216"/>
    <w:rsid w:val="00AF22A9"/>
    <w:rsid w:val="00AF28A2"/>
    <w:rsid w:val="00AF2BD2"/>
    <w:rsid w:val="00AF36B7"/>
    <w:rsid w:val="00AF38CB"/>
    <w:rsid w:val="00AF3BD9"/>
    <w:rsid w:val="00AF479F"/>
    <w:rsid w:val="00AF4FF5"/>
    <w:rsid w:val="00AF6EE7"/>
    <w:rsid w:val="00AF79D9"/>
    <w:rsid w:val="00B00A9A"/>
    <w:rsid w:val="00B00B87"/>
    <w:rsid w:val="00B012F1"/>
    <w:rsid w:val="00B01D35"/>
    <w:rsid w:val="00B02159"/>
    <w:rsid w:val="00B02640"/>
    <w:rsid w:val="00B027A5"/>
    <w:rsid w:val="00B02C6C"/>
    <w:rsid w:val="00B03682"/>
    <w:rsid w:val="00B040E4"/>
    <w:rsid w:val="00B040E7"/>
    <w:rsid w:val="00B044BC"/>
    <w:rsid w:val="00B0767A"/>
    <w:rsid w:val="00B079AC"/>
    <w:rsid w:val="00B07F5D"/>
    <w:rsid w:val="00B105AB"/>
    <w:rsid w:val="00B10E8F"/>
    <w:rsid w:val="00B11003"/>
    <w:rsid w:val="00B1102E"/>
    <w:rsid w:val="00B1110F"/>
    <w:rsid w:val="00B11F80"/>
    <w:rsid w:val="00B1281E"/>
    <w:rsid w:val="00B12B09"/>
    <w:rsid w:val="00B13403"/>
    <w:rsid w:val="00B13D2E"/>
    <w:rsid w:val="00B14C30"/>
    <w:rsid w:val="00B15829"/>
    <w:rsid w:val="00B158E3"/>
    <w:rsid w:val="00B1594E"/>
    <w:rsid w:val="00B15B58"/>
    <w:rsid w:val="00B16BC8"/>
    <w:rsid w:val="00B178A2"/>
    <w:rsid w:val="00B205EF"/>
    <w:rsid w:val="00B20A18"/>
    <w:rsid w:val="00B215E7"/>
    <w:rsid w:val="00B21B4C"/>
    <w:rsid w:val="00B21EAB"/>
    <w:rsid w:val="00B23258"/>
    <w:rsid w:val="00B23440"/>
    <w:rsid w:val="00B23603"/>
    <w:rsid w:val="00B2383D"/>
    <w:rsid w:val="00B238EB"/>
    <w:rsid w:val="00B247C2"/>
    <w:rsid w:val="00B2498B"/>
    <w:rsid w:val="00B24A80"/>
    <w:rsid w:val="00B24DF8"/>
    <w:rsid w:val="00B25070"/>
    <w:rsid w:val="00B252EF"/>
    <w:rsid w:val="00B26D7F"/>
    <w:rsid w:val="00B276DC"/>
    <w:rsid w:val="00B27D11"/>
    <w:rsid w:val="00B302FA"/>
    <w:rsid w:val="00B30550"/>
    <w:rsid w:val="00B32124"/>
    <w:rsid w:val="00B32D6C"/>
    <w:rsid w:val="00B32FED"/>
    <w:rsid w:val="00B3403E"/>
    <w:rsid w:val="00B34048"/>
    <w:rsid w:val="00B342E3"/>
    <w:rsid w:val="00B344A7"/>
    <w:rsid w:val="00B3454E"/>
    <w:rsid w:val="00B36335"/>
    <w:rsid w:val="00B37065"/>
    <w:rsid w:val="00B3749D"/>
    <w:rsid w:val="00B37EF7"/>
    <w:rsid w:val="00B37F11"/>
    <w:rsid w:val="00B40C7C"/>
    <w:rsid w:val="00B40DB0"/>
    <w:rsid w:val="00B40F46"/>
    <w:rsid w:val="00B414DC"/>
    <w:rsid w:val="00B41B75"/>
    <w:rsid w:val="00B41E93"/>
    <w:rsid w:val="00B42DBB"/>
    <w:rsid w:val="00B4346E"/>
    <w:rsid w:val="00B435AD"/>
    <w:rsid w:val="00B4414D"/>
    <w:rsid w:val="00B44390"/>
    <w:rsid w:val="00B443CC"/>
    <w:rsid w:val="00B443DD"/>
    <w:rsid w:val="00B45733"/>
    <w:rsid w:val="00B46C1D"/>
    <w:rsid w:val="00B471A5"/>
    <w:rsid w:val="00B50132"/>
    <w:rsid w:val="00B506FF"/>
    <w:rsid w:val="00B50B06"/>
    <w:rsid w:val="00B520A9"/>
    <w:rsid w:val="00B524BF"/>
    <w:rsid w:val="00B533E8"/>
    <w:rsid w:val="00B5417E"/>
    <w:rsid w:val="00B54745"/>
    <w:rsid w:val="00B54FF0"/>
    <w:rsid w:val="00B56128"/>
    <w:rsid w:val="00B5670D"/>
    <w:rsid w:val="00B56ACE"/>
    <w:rsid w:val="00B56F27"/>
    <w:rsid w:val="00B626F2"/>
    <w:rsid w:val="00B633D9"/>
    <w:rsid w:val="00B63671"/>
    <w:rsid w:val="00B63DE0"/>
    <w:rsid w:val="00B6565B"/>
    <w:rsid w:val="00B65DAA"/>
    <w:rsid w:val="00B66B2F"/>
    <w:rsid w:val="00B66C69"/>
    <w:rsid w:val="00B6753E"/>
    <w:rsid w:val="00B676B6"/>
    <w:rsid w:val="00B70901"/>
    <w:rsid w:val="00B71430"/>
    <w:rsid w:val="00B71F64"/>
    <w:rsid w:val="00B720EC"/>
    <w:rsid w:val="00B7219C"/>
    <w:rsid w:val="00B723E3"/>
    <w:rsid w:val="00B72529"/>
    <w:rsid w:val="00B727C6"/>
    <w:rsid w:val="00B73DCD"/>
    <w:rsid w:val="00B73EEC"/>
    <w:rsid w:val="00B743D2"/>
    <w:rsid w:val="00B74F7F"/>
    <w:rsid w:val="00B7530B"/>
    <w:rsid w:val="00B75B08"/>
    <w:rsid w:val="00B75FB2"/>
    <w:rsid w:val="00B75FC1"/>
    <w:rsid w:val="00B760BA"/>
    <w:rsid w:val="00B7663C"/>
    <w:rsid w:val="00B7707A"/>
    <w:rsid w:val="00B8053D"/>
    <w:rsid w:val="00B83388"/>
    <w:rsid w:val="00B83DE0"/>
    <w:rsid w:val="00B84869"/>
    <w:rsid w:val="00B85129"/>
    <w:rsid w:val="00B86607"/>
    <w:rsid w:val="00B86B23"/>
    <w:rsid w:val="00B86E37"/>
    <w:rsid w:val="00B87291"/>
    <w:rsid w:val="00B872AB"/>
    <w:rsid w:val="00B87859"/>
    <w:rsid w:val="00B900EC"/>
    <w:rsid w:val="00B91CEF"/>
    <w:rsid w:val="00B91D47"/>
    <w:rsid w:val="00B93A2C"/>
    <w:rsid w:val="00B94691"/>
    <w:rsid w:val="00B95144"/>
    <w:rsid w:val="00B953E2"/>
    <w:rsid w:val="00B965F5"/>
    <w:rsid w:val="00B97910"/>
    <w:rsid w:val="00BA27B5"/>
    <w:rsid w:val="00BA281F"/>
    <w:rsid w:val="00BA2E44"/>
    <w:rsid w:val="00BA3A2B"/>
    <w:rsid w:val="00BA3CAC"/>
    <w:rsid w:val="00BA3CB8"/>
    <w:rsid w:val="00BA3ECF"/>
    <w:rsid w:val="00BA4F4E"/>
    <w:rsid w:val="00BA4F92"/>
    <w:rsid w:val="00BA527E"/>
    <w:rsid w:val="00BA5CB1"/>
    <w:rsid w:val="00BA5F2D"/>
    <w:rsid w:val="00BA653F"/>
    <w:rsid w:val="00BA6F33"/>
    <w:rsid w:val="00BA7079"/>
    <w:rsid w:val="00BA7623"/>
    <w:rsid w:val="00BA7A44"/>
    <w:rsid w:val="00BB294B"/>
    <w:rsid w:val="00BB2B75"/>
    <w:rsid w:val="00BB2D64"/>
    <w:rsid w:val="00BB3336"/>
    <w:rsid w:val="00BB35E9"/>
    <w:rsid w:val="00BB4880"/>
    <w:rsid w:val="00BB4C43"/>
    <w:rsid w:val="00BB5275"/>
    <w:rsid w:val="00BB5549"/>
    <w:rsid w:val="00BB58AF"/>
    <w:rsid w:val="00BB65D9"/>
    <w:rsid w:val="00BB6F6F"/>
    <w:rsid w:val="00BB72CD"/>
    <w:rsid w:val="00BB7F37"/>
    <w:rsid w:val="00BC0D2F"/>
    <w:rsid w:val="00BC0DCE"/>
    <w:rsid w:val="00BC107E"/>
    <w:rsid w:val="00BC127C"/>
    <w:rsid w:val="00BC2115"/>
    <w:rsid w:val="00BC46E4"/>
    <w:rsid w:val="00BC5480"/>
    <w:rsid w:val="00BC5E6F"/>
    <w:rsid w:val="00BC6606"/>
    <w:rsid w:val="00BC71D8"/>
    <w:rsid w:val="00BC7C1B"/>
    <w:rsid w:val="00BD07B9"/>
    <w:rsid w:val="00BD0805"/>
    <w:rsid w:val="00BD087B"/>
    <w:rsid w:val="00BD1213"/>
    <w:rsid w:val="00BD190D"/>
    <w:rsid w:val="00BD3340"/>
    <w:rsid w:val="00BD3502"/>
    <w:rsid w:val="00BD5D60"/>
    <w:rsid w:val="00BD67FA"/>
    <w:rsid w:val="00BD7065"/>
    <w:rsid w:val="00BD725B"/>
    <w:rsid w:val="00BD77DA"/>
    <w:rsid w:val="00BE01E5"/>
    <w:rsid w:val="00BE286A"/>
    <w:rsid w:val="00BE3E56"/>
    <w:rsid w:val="00BE4282"/>
    <w:rsid w:val="00BE4851"/>
    <w:rsid w:val="00BE5271"/>
    <w:rsid w:val="00BE606D"/>
    <w:rsid w:val="00BE6170"/>
    <w:rsid w:val="00BE7D65"/>
    <w:rsid w:val="00BF0DF6"/>
    <w:rsid w:val="00BF0EF2"/>
    <w:rsid w:val="00BF11A0"/>
    <w:rsid w:val="00BF12B7"/>
    <w:rsid w:val="00BF1CA3"/>
    <w:rsid w:val="00BF273C"/>
    <w:rsid w:val="00BF4B30"/>
    <w:rsid w:val="00BF55EA"/>
    <w:rsid w:val="00BF68C8"/>
    <w:rsid w:val="00BF6B00"/>
    <w:rsid w:val="00C0084B"/>
    <w:rsid w:val="00C00F19"/>
    <w:rsid w:val="00C016A3"/>
    <w:rsid w:val="00C01E68"/>
    <w:rsid w:val="00C02747"/>
    <w:rsid w:val="00C0375A"/>
    <w:rsid w:val="00C037CE"/>
    <w:rsid w:val="00C03F3E"/>
    <w:rsid w:val="00C04126"/>
    <w:rsid w:val="00C045A6"/>
    <w:rsid w:val="00C0666C"/>
    <w:rsid w:val="00C06A1D"/>
    <w:rsid w:val="00C071CA"/>
    <w:rsid w:val="00C07997"/>
    <w:rsid w:val="00C07D29"/>
    <w:rsid w:val="00C10133"/>
    <w:rsid w:val="00C10421"/>
    <w:rsid w:val="00C11924"/>
    <w:rsid w:val="00C12EF3"/>
    <w:rsid w:val="00C1396D"/>
    <w:rsid w:val="00C14016"/>
    <w:rsid w:val="00C14277"/>
    <w:rsid w:val="00C14516"/>
    <w:rsid w:val="00C15B52"/>
    <w:rsid w:val="00C160CA"/>
    <w:rsid w:val="00C16317"/>
    <w:rsid w:val="00C16F45"/>
    <w:rsid w:val="00C17B40"/>
    <w:rsid w:val="00C17EEA"/>
    <w:rsid w:val="00C2184F"/>
    <w:rsid w:val="00C221A0"/>
    <w:rsid w:val="00C22886"/>
    <w:rsid w:val="00C22AEE"/>
    <w:rsid w:val="00C238D1"/>
    <w:rsid w:val="00C23B1F"/>
    <w:rsid w:val="00C23FE4"/>
    <w:rsid w:val="00C24247"/>
    <w:rsid w:val="00C25C46"/>
    <w:rsid w:val="00C26163"/>
    <w:rsid w:val="00C26167"/>
    <w:rsid w:val="00C269EE"/>
    <w:rsid w:val="00C26E55"/>
    <w:rsid w:val="00C27094"/>
    <w:rsid w:val="00C270AE"/>
    <w:rsid w:val="00C27B7C"/>
    <w:rsid w:val="00C30B6B"/>
    <w:rsid w:val="00C31670"/>
    <w:rsid w:val="00C31E23"/>
    <w:rsid w:val="00C326F9"/>
    <w:rsid w:val="00C3417C"/>
    <w:rsid w:val="00C34E19"/>
    <w:rsid w:val="00C3581C"/>
    <w:rsid w:val="00C36977"/>
    <w:rsid w:val="00C36FFC"/>
    <w:rsid w:val="00C37A29"/>
    <w:rsid w:val="00C40E4D"/>
    <w:rsid w:val="00C41220"/>
    <w:rsid w:val="00C422C1"/>
    <w:rsid w:val="00C42E43"/>
    <w:rsid w:val="00C43369"/>
    <w:rsid w:val="00C4372C"/>
    <w:rsid w:val="00C4391E"/>
    <w:rsid w:val="00C43D50"/>
    <w:rsid w:val="00C45BFA"/>
    <w:rsid w:val="00C46610"/>
    <w:rsid w:val="00C468DB"/>
    <w:rsid w:val="00C477AE"/>
    <w:rsid w:val="00C479D2"/>
    <w:rsid w:val="00C50A6F"/>
    <w:rsid w:val="00C51056"/>
    <w:rsid w:val="00C5114F"/>
    <w:rsid w:val="00C51D63"/>
    <w:rsid w:val="00C53797"/>
    <w:rsid w:val="00C53864"/>
    <w:rsid w:val="00C53DEE"/>
    <w:rsid w:val="00C5440D"/>
    <w:rsid w:val="00C54857"/>
    <w:rsid w:val="00C5577B"/>
    <w:rsid w:val="00C56023"/>
    <w:rsid w:val="00C571BA"/>
    <w:rsid w:val="00C571F3"/>
    <w:rsid w:val="00C602E4"/>
    <w:rsid w:val="00C60428"/>
    <w:rsid w:val="00C6075C"/>
    <w:rsid w:val="00C609D6"/>
    <w:rsid w:val="00C60EC4"/>
    <w:rsid w:val="00C61103"/>
    <w:rsid w:val="00C617E2"/>
    <w:rsid w:val="00C62408"/>
    <w:rsid w:val="00C643E8"/>
    <w:rsid w:val="00C64B0B"/>
    <w:rsid w:val="00C653CD"/>
    <w:rsid w:val="00C6594D"/>
    <w:rsid w:val="00C67DE7"/>
    <w:rsid w:val="00C703E9"/>
    <w:rsid w:val="00C70AA1"/>
    <w:rsid w:val="00C70D80"/>
    <w:rsid w:val="00C70EFC"/>
    <w:rsid w:val="00C712B9"/>
    <w:rsid w:val="00C7150E"/>
    <w:rsid w:val="00C71646"/>
    <w:rsid w:val="00C71688"/>
    <w:rsid w:val="00C726E0"/>
    <w:rsid w:val="00C72F4F"/>
    <w:rsid w:val="00C73AE5"/>
    <w:rsid w:val="00C744D0"/>
    <w:rsid w:val="00C75A64"/>
    <w:rsid w:val="00C75BD3"/>
    <w:rsid w:val="00C75C56"/>
    <w:rsid w:val="00C75F1B"/>
    <w:rsid w:val="00C8120E"/>
    <w:rsid w:val="00C81BAC"/>
    <w:rsid w:val="00C82096"/>
    <w:rsid w:val="00C8241A"/>
    <w:rsid w:val="00C8258B"/>
    <w:rsid w:val="00C83848"/>
    <w:rsid w:val="00C838F6"/>
    <w:rsid w:val="00C83BBB"/>
    <w:rsid w:val="00C8463D"/>
    <w:rsid w:val="00C84D4D"/>
    <w:rsid w:val="00C84FCB"/>
    <w:rsid w:val="00C8512A"/>
    <w:rsid w:val="00C852DC"/>
    <w:rsid w:val="00C85A43"/>
    <w:rsid w:val="00C87E03"/>
    <w:rsid w:val="00C9011E"/>
    <w:rsid w:val="00C90CB4"/>
    <w:rsid w:val="00C92521"/>
    <w:rsid w:val="00C92956"/>
    <w:rsid w:val="00C932F3"/>
    <w:rsid w:val="00C94939"/>
    <w:rsid w:val="00C94CBC"/>
    <w:rsid w:val="00C95F05"/>
    <w:rsid w:val="00C978BA"/>
    <w:rsid w:val="00C97C04"/>
    <w:rsid w:val="00CA00B4"/>
    <w:rsid w:val="00CA0B3F"/>
    <w:rsid w:val="00CA1A32"/>
    <w:rsid w:val="00CA1E84"/>
    <w:rsid w:val="00CA31E5"/>
    <w:rsid w:val="00CA3FDB"/>
    <w:rsid w:val="00CA48F6"/>
    <w:rsid w:val="00CA49C5"/>
    <w:rsid w:val="00CA579A"/>
    <w:rsid w:val="00CA58F8"/>
    <w:rsid w:val="00CA5B76"/>
    <w:rsid w:val="00CA5DAD"/>
    <w:rsid w:val="00CA6782"/>
    <w:rsid w:val="00CA795B"/>
    <w:rsid w:val="00CB01D9"/>
    <w:rsid w:val="00CB085D"/>
    <w:rsid w:val="00CB1248"/>
    <w:rsid w:val="00CB12BF"/>
    <w:rsid w:val="00CB13EF"/>
    <w:rsid w:val="00CB47F5"/>
    <w:rsid w:val="00CB67F1"/>
    <w:rsid w:val="00CB74BA"/>
    <w:rsid w:val="00CC2F9B"/>
    <w:rsid w:val="00CC3041"/>
    <w:rsid w:val="00CC3421"/>
    <w:rsid w:val="00CC342E"/>
    <w:rsid w:val="00CC3DE4"/>
    <w:rsid w:val="00CC459B"/>
    <w:rsid w:val="00CC5559"/>
    <w:rsid w:val="00CC5E52"/>
    <w:rsid w:val="00CC5F5B"/>
    <w:rsid w:val="00CC638F"/>
    <w:rsid w:val="00CC6B75"/>
    <w:rsid w:val="00CC7D07"/>
    <w:rsid w:val="00CC7F2D"/>
    <w:rsid w:val="00CD030F"/>
    <w:rsid w:val="00CD0559"/>
    <w:rsid w:val="00CD06BB"/>
    <w:rsid w:val="00CD0C04"/>
    <w:rsid w:val="00CD0ECA"/>
    <w:rsid w:val="00CD133E"/>
    <w:rsid w:val="00CD1521"/>
    <w:rsid w:val="00CD1B8E"/>
    <w:rsid w:val="00CD3268"/>
    <w:rsid w:val="00CD5C51"/>
    <w:rsid w:val="00CD61EB"/>
    <w:rsid w:val="00CD65D0"/>
    <w:rsid w:val="00CD73AA"/>
    <w:rsid w:val="00CD7F44"/>
    <w:rsid w:val="00CE07AD"/>
    <w:rsid w:val="00CE0B19"/>
    <w:rsid w:val="00CE1AE1"/>
    <w:rsid w:val="00CE32E3"/>
    <w:rsid w:val="00CE3A94"/>
    <w:rsid w:val="00CE43AF"/>
    <w:rsid w:val="00CE4D3A"/>
    <w:rsid w:val="00CE50FB"/>
    <w:rsid w:val="00CE64D9"/>
    <w:rsid w:val="00CE64FD"/>
    <w:rsid w:val="00CE7236"/>
    <w:rsid w:val="00CE774B"/>
    <w:rsid w:val="00CF01BD"/>
    <w:rsid w:val="00CF02F0"/>
    <w:rsid w:val="00CF1703"/>
    <w:rsid w:val="00CF2A99"/>
    <w:rsid w:val="00CF2CE4"/>
    <w:rsid w:val="00CF35A0"/>
    <w:rsid w:val="00CF3BD6"/>
    <w:rsid w:val="00CF4BC6"/>
    <w:rsid w:val="00CF4DBB"/>
    <w:rsid w:val="00CF4E56"/>
    <w:rsid w:val="00CF4F69"/>
    <w:rsid w:val="00CF51C5"/>
    <w:rsid w:val="00CF603F"/>
    <w:rsid w:val="00CF6D12"/>
    <w:rsid w:val="00CF7F06"/>
    <w:rsid w:val="00D0049A"/>
    <w:rsid w:val="00D01615"/>
    <w:rsid w:val="00D02433"/>
    <w:rsid w:val="00D02B6C"/>
    <w:rsid w:val="00D0328E"/>
    <w:rsid w:val="00D0352E"/>
    <w:rsid w:val="00D0439C"/>
    <w:rsid w:val="00D05576"/>
    <w:rsid w:val="00D0585B"/>
    <w:rsid w:val="00D06E5E"/>
    <w:rsid w:val="00D07F40"/>
    <w:rsid w:val="00D109ED"/>
    <w:rsid w:val="00D10F14"/>
    <w:rsid w:val="00D11499"/>
    <w:rsid w:val="00D11F75"/>
    <w:rsid w:val="00D13425"/>
    <w:rsid w:val="00D134C3"/>
    <w:rsid w:val="00D135A3"/>
    <w:rsid w:val="00D13E5B"/>
    <w:rsid w:val="00D14C93"/>
    <w:rsid w:val="00D15113"/>
    <w:rsid w:val="00D15B5E"/>
    <w:rsid w:val="00D15B7C"/>
    <w:rsid w:val="00D15B7D"/>
    <w:rsid w:val="00D16F74"/>
    <w:rsid w:val="00D17A78"/>
    <w:rsid w:val="00D17C11"/>
    <w:rsid w:val="00D17C74"/>
    <w:rsid w:val="00D21257"/>
    <w:rsid w:val="00D21E1E"/>
    <w:rsid w:val="00D232A3"/>
    <w:rsid w:val="00D236BD"/>
    <w:rsid w:val="00D23C99"/>
    <w:rsid w:val="00D23F09"/>
    <w:rsid w:val="00D24371"/>
    <w:rsid w:val="00D2456C"/>
    <w:rsid w:val="00D24D69"/>
    <w:rsid w:val="00D251F4"/>
    <w:rsid w:val="00D256DB"/>
    <w:rsid w:val="00D267BC"/>
    <w:rsid w:val="00D267E0"/>
    <w:rsid w:val="00D30791"/>
    <w:rsid w:val="00D314DE"/>
    <w:rsid w:val="00D31952"/>
    <w:rsid w:val="00D31E3E"/>
    <w:rsid w:val="00D330CA"/>
    <w:rsid w:val="00D3316D"/>
    <w:rsid w:val="00D33D89"/>
    <w:rsid w:val="00D3564E"/>
    <w:rsid w:val="00D37882"/>
    <w:rsid w:val="00D37F89"/>
    <w:rsid w:val="00D40991"/>
    <w:rsid w:val="00D40ACA"/>
    <w:rsid w:val="00D413BD"/>
    <w:rsid w:val="00D42D40"/>
    <w:rsid w:val="00D43039"/>
    <w:rsid w:val="00D437B9"/>
    <w:rsid w:val="00D4564D"/>
    <w:rsid w:val="00D46FD9"/>
    <w:rsid w:val="00D47354"/>
    <w:rsid w:val="00D47553"/>
    <w:rsid w:val="00D47A4C"/>
    <w:rsid w:val="00D47C6C"/>
    <w:rsid w:val="00D5058B"/>
    <w:rsid w:val="00D50FFD"/>
    <w:rsid w:val="00D521D4"/>
    <w:rsid w:val="00D523F5"/>
    <w:rsid w:val="00D52628"/>
    <w:rsid w:val="00D534D7"/>
    <w:rsid w:val="00D5666E"/>
    <w:rsid w:val="00D56BE2"/>
    <w:rsid w:val="00D578F5"/>
    <w:rsid w:val="00D60649"/>
    <w:rsid w:val="00D60994"/>
    <w:rsid w:val="00D60AA5"/>
    <w:rsid w:val="00D60D34"/>
    <w:rsid w:val="00D60E70"/>
    <w:rsid w:val="00D619E6"/>
    <w:rsid w:val="00D61E88"/>
    <w:rsid w:val="00D63779"/>
    <w:rsid w:val="00D6407A"/>
    <w:rsid w:val="00D65482"/>
    <w:rsid w:val="00D65FF6"/>
    <w:rsid w:val="00D667D8"/>
    <w:rsid w:val="00D67E69"/>
    <w:rsid w:val="00D71344"/>
    <w:rsid w:val="00D73C92"/>
    <w:rsid w:val="00D7445D"/>
    <w:rsid w:val="00D74485"/>
    <w:rsid w:val="00D748BB"/>
    <w:rsid w:val="00D748C1"/>
    <w:rsid w:val="00D74AFF"/>
    <w:rsid w:val="00D755BC"/>
    <w:rsid w:val="00D76774"/>
    <w:rsid w:val="00D773B1"/>
    <w:rsid w:val="00D81047"/>
    <w:rsid w:val="00D81163"/>
    <w:rsid w:val="00D8118B"/>
    <w:rsid w:val="00D83923"/>
    <w:rsid w:val="00D840BE"/>
    <w:rsid w:val="00D848C8"/>
    <w:rsid w:val="00D84B20"/>
    <w:rsid w:val="00D85F01"/>
    <w:rsid w:val="00D86AD6"/>
    <w:rsid w:val="00D86AF9"/>
    <w:rsid w:val="00D87FE0"/>
    <w:rsid w:val="00D907C2"/>
    <w:rsid w:val="00D915CB"/>
    <w:rsid w:val="00D91C04"/>
    <w:rsid w:val="00D92174"/>
    <w:rsid w:val="00D92993"/>
    <w:rsid w:val="00D93CB6"/>
    <w:rsid w:val="00D9419D"/>
    <w:rsid w:val="00D95C10"/>
    <w:rsid w:val="00D96F65"/>
    <w:rsid w:val="00D9700D"/>
    <w:rsid w:val="00D97E82"/>
    <w:rsid w:val="00DA136C"/>
    <w:rsid w:val="00DA1FAF"/>
    <w:rsid w:val="00DA291E"/>
    <w:rsid w:val="00DA3017"/>
    <w:rsid w:val="00DA3649"/>
    <w:rsid w:val="00DA4A5B"/>
    <w:rsid w:val="00DA5484"/>
    <w:rsid w:val="00DA5626"/>
    <w:rsid w:val="00DA6660"/>
    <w:rsid w:val="00DA6891"/>
    <w:rsid w:val="00DA68A5"/>
    <w:rsid w:val="00DA6BC4"/>
    <w:rsid w:val="00DA703B"/>
    <w:rsid w:val="00DA7560"/>
    <w:rsid w:val="00DA7BA1"/>
    <w:rsid w:val="00DB0C95"/>
    <w:rsid w:val="00DB1E92"/>
    <w:rsid w:val="00DB1EC9"/>
    <w:rsid w:val="00DB202B"/>
    <w:rsid w:val="00DB39D8"/>
    <w:rsid w:val="00DB4433"/>
    <w:rsid w:val="00DB4B6A"/>
    <w:rsid w:val="00DB4FCF"/>
    <w:rsid w:val="00DB5820"/>
    <w:rsid w:val="00DB5ACF"/>
    <w:rsid w:val="00DB73D6"/>
    <w:rsid w:val="00DB750D"/>
    <w:rsid w:val="00DB7775"/>
    <w:rsid w:val="00DB7E8D"/>
    <w:rsid w:val="00DC029E"/>
    <w:rsid w:val="00DC02FC"/>
    <w:rsid w:val="00DC0EA8"/>
    <w:rsid w:val="00DC0F2E"/>
    <w:rsid w:val="00DC1012"/>
    <w:rsid w:val="00DC18D8"/>
    <w:rsid w:val="00DC1900"/>
    <w:rsid w:val="00DC1B37"/>
    <w:rsid w:val="00DC1CEE"/>
    <w:rsid w:val="00DC55A0"/>
    <w:rsid w:val="00DC5DFF"/>
    <w:rsid w:val="00DC6545"/>
    <w:rsid w:val="00DC6EC1"/>
    <w:rsid w:val="00DC74CB"/>
    <w:rsid w:val="00DD134A"/>
    <w:rsid w:val="00DD14E4"/>
    <w:rsid w:val="00DD3245"/>
    <w:rsid w:val="00DD3588"/>
    <w:rsid w:val="00DD3906"/>
    <w:rsid w:val="00DD3950"/>
    <w:rsid w:val="00DD445A"/>
    <w:rsid w:val="00DD48E2"/>
    <w:rsid w:val="00DD529C"/>
    <w:rsid w:val="00DD53D2"/>
    <w:rsid w:val="00DD6473"/>
    <w:rsid w:val="00DD688F"/>
    <w:rsid w:val="00DD7245"/>
    <w:rsid w:val="00DD7B56"/>
    <w:rsid w:val="00DE053C"/>
    <w:rsid w:val="00DE1C3F"/>
    <w:rsid w:val="00DE2793"/>
    <w:rsid w:val="00DE29DA"/>
    <w:rsid w:val="00DE2BF1"/>
    <w:rsid w:val="00DE3090"/>
    <w:rsid w:val="00DE36F7"/>
    <w:rsid w:val="00DE4AE3"/>
    <w:rsid w:val="00DE598B"/>
    <w:rsid w:val="00DE5F6E"/>
    <w:rsid w:val="00DE7991"/>
    <w:rsid w:val="00DF1924"/>
    <w:rsid w:val="00DF2727"/>
    <w:rsid w:val="00DF4E3E"/>
    <w:rsid w:val="00DF57D9"/>
    <w:rsid w:val="00DF5D45"/>
    <w:rsid w:val="00DF5DAA"/>
    <w:rsid w:val="00DF60B9"/>
    <w:rsid w:val="00DF61C1"/>
    <w:rsid w:val="00DF63B7"/>
    <w:rsid w:val="00DF721D"/>
    <w:rsid w:val="00DF7295"/>
    <w:rsid w:val="00DF740B"/>
    <w:rsid w:val="00DF7A25"/>
    <w:rsid w:val="00E00021"/>
    <w:rsid w:val="00E00107"/>
    <w:rsid w:val="00E00430"/>
    <w:rsid w:val="00E004D2"/>
    <w:rsid w:val="00E010CD"/>
    <w:rsid w:val="00E02BAE"/>
    <w:rsid w:val="00E03780"/>
    <w:rsid w:val="00E03E05"/>
    <w:rsid w:val="00E03E84"/>
    <w:rsid w:val="00E0453D"/>
    <w:rsid w:val="00E0496A"/>
    <w:rsid w:val="00E05ACA"/>
    <w:rsid w:val="00E05DCD"/>
    <w:rsid w:val="00E05FA6"/>
    <w:rsid w:val="00E05FC2"/>
    <w:rsid w:val="00E10810"/>
    <w:rsid w:val="00E12F59"/>
    <w:rsid w:val="00E13EFA"/>
    <w:rsid w:val="00E159B5"/>
    <w:rsid w:val="00E15A2F"/>
    <w:rsid w:val="00E16FA9"/>
    <w:rsid w:val="00E17114"/>
    <w:rsid w:val="00E17806"/>
    <w:rsid w:val="00E2063E"/>
    <w:rsid w:val="00E21003"/>
    <w:rsid w:val="00E21064"/>
    <w:rsid w:val="00E2142D"/>
    <w:rsid w:val="00E217C6"/>
    <w:rsid w:val="00E22532"/>
    <w:rsid w:val="00E2453C"/>
    <w:rsid w:val="00E24811"/>
    <w:rsid w:val="00E24935"/>
    <w:rsid w:val="00E2535E"/>
    <w:rsid w:val="00E25474"/>
    <w:rsid w:val="00E2641A"/>
    <w:rsid w:val="00E27188"/>
    <w:rsid w:val="00E27619"/>
    <w:rsid w:val="00E279A1"/>
    <w:rsid w:val="00E27C8D"/>
    <w:rsid w:val="00E3093D"/>
    <w:rsid w:val="00E32EE5"/>
    <w:rsid w:val="00E32F93"/>
    <w:rsid w:val="00E3527B"/>
    <w:rsid w:val="00E35A55"/>
    <w:rsid w:val="00E35A68"/>
    <w:rsid w:val="00E37243"/>
    <w:rsid w:val="00E379F7"/>
    <w:rsid w:val="00E40C44"/>
    <w:rsid w:val="00E41066"/>
    <w:rsid w:val="00E41CA9"/>
    <w:rsid w:val="00E43275"/>
    <w:rsid w:val="00E436F2"/>
    <w:rsid w:val="00E44797"/>
    <w:rsid w:val="00E44DC9"/>
    <w:rsid w:val="00E45337"/>
    <w:rsid w:val="00E46C56"/>
    <w:rsid w:val="00E46F40"/>
    <w:rsid w:val="00E47107"/>
    <w:rsid w:val="00E512DE"/>
    <w:rsid w:val="00E51E27"/>
    <w:rsid w:val="00E52206"/>
    <w:rsid w:val="00E5233F"/>
    <w:rsid w:val="00E52928"/>
    <w:rsid w:val="00E536F0"/>
    <w:rsid w:val="00E54931"/>
    <w:rsid w:val="00E54ACD"/>
    <w:rsid w:val="00E54AF5"/>
    <w:rsid w:val="00E54B2B"/>
    <w:rsid w:val="00E5580F"/>
    <w:rsid w:val="00E55A30"/>
    <w:rsid w:val="00E56202"/>
    <w:rsid w:val="00E56320"/>
    <w:rsid w:val="00E56BDA"/>
    <w:rsid w:val="00E572FD"/>
    <w:rsid w:val="00E61132"/>
    <w:rsid w:val="00E61632"/>
    <w:rsid w:val="00E61711"/>
    <w:rsid w:val="00E61D4F"/>
    <w:rsid w:val="00E626B3"/>
    <w:rsid w:val="00E629BC"/>
    <w:rsid w:val="00E62D09"/>
    <w:rsid w:val="00E63810"/>
    <w:rsid w:val="00E63B11"/>
    <w:rsid w:val="00E646CF"/>
    <w:rsid w:val="00E65266"/>
    <w:rsid w:val="00E6560E"/>
    <w:rsid w:val="00E66330"/>
    <w:rsid w:val="00E66F53"/>
    <w:rsid w:val="00E6757C"/>
    <w:rsid w:val="00E67866"/>
    <w:rsid w:val="00E709D2"/>
    <w:rsid w:val="00E70DD7"/>
    <w:rsid w:val="00E7165D"/>
    <w:rsid w:val="00E725C0"/>
    <w:rsid w:val="00E72EE0"/>
    <w:rsid w:val="00E73152"/>
    <w:rsid w:val="00E741FB"/>
    <w:rsid w:val="00E75235"/>
    <w:rsid w:val="00E762FE"/>
    <w:rsid w:val="00E76FDD"/>
    <w:rsid w:val="00E77A87"/>
    <w:rsid w:val="00E82190"/>
    <w:rsid w:val="00E826B0"/>
    <w:rsid w:val="00E83788"/>
    <w:rsid w:val="00E83C1B"/>
    <w:rsid w:val="00E83FD1"/>
    <w:rsid w:val="00E84231"/>
    <w:rsid w:val="00E84E9B"/>
    <w:rsid w:val="00E85743"/>
    <w:rsid w:val="00E8581F"/>
    <w:rsid w:val="00E87A1D"/>
    <w:rsid w:val="00E902FB"/>
    <w:rsid w:val="00E9039B"/>
    <w:rsid w:val="00E906FE"/>
    <w:rsid w:val="00E913F1"/>
    <w:rsid w:val="00E919CB"/>
    <w:rsid w:val="00E91A7E"/>
    <w:rsid w:val="00E91FED"/>
    <w:rsid w:val="00E923EF"/>
    <w:rsid w:val="00E92C55"/>
    <w:rsid w:val="00E93343"/>
    <w:rsid w:val="00E936EA"/>
    <w:rsid w:val="00E94B21"/>
    <w:rsid w:val="00E96801"/>
    <w:rsid w:val="00EA0AE8"/>
    <w:rsid w:val="00EA0F6C"/>
    <w:rsid w:val="00EA12E4"/>
    <w:rsid w:val="00EA1725"/>
    <w:rsid w:val="00EA1943"/>
    <w:rsid w:val="00EA2987"/>
    <w:rsid w:val="00EA2ADE"/>
    <w:rsid w:val="00EA2F29"/>
    <w:rsid w:val="00EA31B5"/>
    <w:rsid w:val="00EA3558"/>
    <w:rsid w:val="00EA4ABE"/>
    <w:rsid w:val="00EA5A94"/>
    <w:rsid w:val="00EA75CB"/>
    <w:rsid w:val="00EA7A09"/>
    <w:rsid w:val="00EA7A6F"/>
    <w:rsid w:val="00EB07EF"/>
    <w:rsid w:val="00EB1516"/>
    <w:rsid w:val="00EB2F7F"/>
    <w:rsid w:val="00EB31E7"/>
    <w:rsid w:val="00EB3F9D"/>
    <w:rsid w:val="00EB5DC6"/>
    <w:rsid w:val="00EB79E3"/>
    <w:rsid w:val="00EC0D4C"/>
    <w:rsid w:val="00EC0F70"/>
    <w:rsid w:val="00EC1BE7"/>
    <w:rsid w:val="00EC2622"/>
    <w:rsid w:val="00EC26A1"/>
    <w:rsid w:val="00EC27D1"/>
    <w:rsid w:val="00EC2A8B"/>
    <w:rsid w:val="00EC40FA"/>
    <w:rsid w:val="00EC5BB1"/>
    <w:rsid w:val="00EC6A22"/>
    <w:rsid w:val="00EC7EC8"/>
    <w:rsid w:val="00ED002B"/>
    <w:rsid w:val="00ED1D60"/>
    <w:rsid w:val="00ED2836"/>
    <w:rsid w:val="00ED3896"/>
    <w:rsid w:val="00ED414C"/>
    <w:rsid w:val="00ED43CF"/>
    <w:rsid w:val="00ED4983"/>
    <w:rsid w:val="00ED62E0"/>
    <w:rsid w:val="00ED782A"/>
    <w:rsid w:val="00EE02ED"/>
    <w:rsid w:val="00EE0563"/>
    <w:rsid w:val="00EE0BDA"/>
    <w:rsid w:val="00EE0FEA"/>
    <w:rsid w:val="00EE1955"/>
    <w:rsid w:val="00EE2EA6"/>
    <w:rsid w:val="00EE2F82"/>
    <w:rsid w:val="00EE3366"/>
    <w:rsid w:val="00EE533C"/>
    <w:rsid w:val="00EE5938"/>
    <w:rsid w:val="00EE5D69"/>
    <w:rsid w:val="00EE698A"/>
    <w:rsid w:val="00EE6F14"/>
    <w:rsid w:val="00EE7B40"/>
    <w:rsid w:val="00EE7DC4"/>
    <w:rsid w:val="00EE7F09"/>
    <w:rsid w:val="00EF0063"/>
    <w:rsid w:val="00EF0C3C"/>
    <w:rsid w:val="00EF0D55"/>
    <w:rsid w:val="00EF0FB9"/>
    <w:rsid w:val="00EF1B59"/>
    <w:rsid w:val="00EF1F1C"/>
    <w:rsid w:val="00EF21C6"/>
    <w:rsid w:val="00EF3F23"/>
    <w:rsid w:val="00EF4A1D"/>
    <w:rsid w:val="00EF64CB"/>
    <w:rsid w:val="00EF6B0D"/>
    <w:rsid w:val="00EF6C8C"/>
    <w:rsid w:val="00EF755A"/>
    <w:rsid w:val="00F00A9E"/>
    <w:rsid w:val="00F00CEC"/>
    <w:rsid w:val="00F01E5B"/>
    <w:rsid w:val="00F022FB"/>
    <w:rsid w:val="00F0312D"/>
    <w:rsid w:val="00F034B7"/>
    <w:rsid w:val="00F03B39"/>
    <w:rsid w:val="00F03F2E"/>
    <w:rsid w:val="00F048E4"/>
    <w:rsid w:val="00F04CBA"/>
    <w:rsid w:val="00F04EA7"/>
    <w:rsid w:val="00F05C78"/>
    <w:rsid w:val="00F06807"/>
    <w:rsid w:val="00F06A76"/>
    <w:rsid w:val="00F06D36"/>
    <w:rsid w:val="00F0795C"/>
    <w:rsid w:val="00F10752"/>
    <w:rsid w:val="00F1109F"/>
    <w:rsid w:val="00F12C08"/>
    <w:rsid w:val="00F135C4"/>
    <w:rsid w:val="00F15F9B"/>
    <w:rsid w:val="00F162D4"/>
    <w:rsid w:val="00F17EA4"/>
    <w:rsid w:val="00F2058B"/>
    <w:rsid w:val="00F207ED"/>
    <w:rsid w:val="00F22347"/>
    <w:rsid w:val="00F2285F"/>
    <w:rsid w:val="00F22D39"/>
    <w:rsid w:val="00F238B2"/>
    <w:rsid w:val="00F2505A"/>
    <w:rsid w:val="00F25890"/>
    <w:rsid w:val="00F25AE6"/>
    <w:rsid w:val="00F3209B"/>
    <w:rsid w:val="00F3214C"/>
    <w:rsid w:val="00F322B1"/>
    <w:rsid w:val="00F326A2"/>
    <w:rsid w:val="00F33190"/>
    <w:rsid w:val="00F33F8D"/>
    <w:rsid w:val="00F34929"/>
    <w:rsid w:val="00F3494C"/>
    <w:rsid w:val="00F35DF6"/>
    <w:rsid w:val="00F35E6D"/>
    <w:rsid w:val="00F36DB1"/>
    <w:rsid w:val="00F37A51"/>
    <w:rsid w:val="00F37CB6"/>
    <w:rsid w:val="00F37F65"/>
    <w:rsid w:val="00F4010B"/>
    <w:rsid w:val="00F40939"/>
    <w:rsid w:val="00F41AC6"/>
    <w:rsid w:val="00F41F88"/>
    <w:rsid w:val="00F42B0D"/>
    <w:rsid w:val="00F4314F"/>
    <w:rsid w:val="00F444D0"/>
    <w:rsid w:val="00F46E42"/>
    <w:rsid w:val="00F4702C"/>
    <w:rsid w:val="00F47298"/>
    <w:rsid w:val="00F479D7"/>
    <w:rsid w:val="00F47E6A"/>
    <w:rsid w:val="00F505B8"/>
    <w:rsid w:val="00F5109D"/>
    <w:rsid w:val="00F52788"/>
    <w:rsid w:val="00F528B5"/>
    <w:rsid w:val="00F53970"/>
    <w:rsid w:val="00F53EFE"/>
    <w:rsid w:val="00F54D7F"/>
    <w:rsid w:val="00F56652"/>
    <w:rsid w:val="00F56B43"/>
    <w:rsid w:val="00F56D8C"/>
    <w:rsid w:val="00F56F2A"/>
    <w:rsid w:val="00F578EA"/>
    <w:rsid w:val="00F579B6"/>
    <w:rsid w:val="00F6024F"/>
    <w:rsid w:val="00F60B71"/>
    <w:rsid w:val="00F60BA2"/>
    <w:rsid w:val="00F60FB9"/>
    <w:rsid w:val="00F61D5F"/>
    <w:rsid w:val="00F61F71"/>
    <w:rsid w:val="00F625C2"/>
    <w:rsid w:val="00F62CC4"/>
    <w:rsid w:val="00F631F5"/>
    <w:rsid w:val="00F634F6"/>
    <w:rsid w:val="00F635AE"/>
    <w:rsid w:val="00F6516F"/>
    <w:rsid w:val="00F65A1B"/>
    <w:rsid w:val="00F665CD"/>
    <w:rsid w:val="00F66725"/>
    <w:rsid w:val="00F66952"/>
    <w:rsid w:val="00F66DB5"/>
    <w:rsid w:val="00F672AD"/>
    <w:rsid w:val="00F67E05"/>
    <w:rsid w:val="00F71A84"/>
    <w:rsid w:val="00F71C74"/>
    <w:rsid w:val="00F723D1"/>
    <w:rsid w:val="00F74164"/>
    <w:rsid w:val="00F744C0"/>
    <w:rsid w:val="00F7527C"/>
    <w:rsid w:val="00F75357"/>
    <w:rsid w:val="00F77818"/>
    <w:rsid w:val="00F77B4D"/>
    <w:rsid w:val="00F807F1"/>
    <w:rsid w:val="00F8235C"/>
    <w:rsid w:val="00F82F9A"/>
    <w:rsid w:val="00F8319A"/>
    <w:rsid w:val="00F838F5"/>
    <w:rsid w:val="00F84C23"/>
    <w:rsid w:val="00F8567C"/>
    <w:rsid w:val="00F85F2D"/>
    <w:rsid w:val="00F862DA"/>
    <w:rsid w:val="00F866A7"/>
    <w:rsid w:val="00F87B07"/>
    <w:rsid w:val="00F90D08"/>
    <w:rsid w:val="00F91BEA"/>
    <w:rsid w:val="00F91C5F"/>
    <w:rsid w:val="00F9262B"/>
    <w:rsid w:val="00F934C9"/>
    <w:rsid w:val="00F94880"/>
    <w:rsid w:val="00F9533C"/>
    <w:rsid w:val="00F96490"/>
    <w:rsid w:val="00F966F0"/>
    <w:rsid w:val="00F96747"/>
    <w:rsid w:val="00F9717B"/>
    <w:rsid w:val="00FA006A"/>
    <w:rsid w:val="00FA065B"/>
    <w:rsid w:val="00FA1919"/>
    <w:rsid w:val="00FA21CC"/>
    <w:rsid w:val="00FA31C4"/>
    <w:rsid w:val="00FA31E9"/>
    <w:rsid w:val="00FA33D2"/>
    <w:rsid w:val="00FA4C53"/>
    <w:rsid w:val="00FA54C4"/>
    <w:rsid w:val="00FA555E"/>
    <w:rsid w:val="00FA58E0"/>
    <w:rsid w:val="00FA5B53"/>
    <w:rsid w:val="00FA618F"/>
    <w:rsid w:val="00FA6910"/>
    <w:rsid w:val="00FA69CB"/>
    <w:rsid w:val="00FA69DE"/>
    <w:rsid w:val="00FA724F"/>
    <w:rsid w:val="00FA7922"/>
    <w:rsid w:val="00FB016C"/>
    <w:rsid w:val="00FB01CF"/>
    <w:rsid w:val="00FB0403"/>
    <w:rsid w:val="00FB05D8"/>
    <w:rsid w:val="00FB2312"/>
    <w:rsid w:val="00FB2C0D"/>
    <w:rsid w:val="00FB31E7"/>
    <w:rsid w:val="00FB3CC9"/>
    <w:rsid w:val="00FB46B2"/>
    <w:rsid w:val="00FB4E93"/>
    <w:rsid w:val="00FB53CA"/>
    <w:rsid w:val="00FB6640"/>
    <w:rsid w:val="00FB6723"/>
    <w:rsid w:val="00FB6773"/>
    <w:rsid w:val="00FB6C16"/>
    <w:rsid w:val="00FB7618"/>
    <w:rsid w:val="00FB77B6"/>
    <w:rsid w:val="00FB78FE"/>
    <w:rsid w:val="00FB7C53"/>
    <w:rsid w:val="00FC0373"/>
    <w:rsid w:val="00FC094E"/>
    <w:rsid w:val="00FC14B9"/>
    <w:rsid w:val="00FC2811"/>
    <w:rsid w:val="00FC2D8B"/>
    <w:rsid w:val="00FC3598"/>
    <w:rsid w:val="00FC3E48"/>
    <w:rsid w:val="00FC3F1C"/>
    <w:rsid w:val="00FC4384"/>
    <w:rsid w:val="00FC4BD9"/>
    <w:rsid w:val="00FC5E9D"/>
    <w:rsid w:val="00FC5FC9"/>
    <w:rsid w:val="00FC6CCD"/>
    <w:rsid w:val="00FD0E92"/>
    <w:rsid w:val="00FD1F6E"/>
    <w:rsid w:val="00FD2DF1"/>
    <w:rsid w:val="00FD307E"/>
    <w:rsid w:val="00FD3306"/>
    <w:rsid w:val="00FD36B1"/>
    <w:rsid w:val="00FD4FE9"/>
    <w:rsid w:val="00FD5976"/>
    <w:rsid w:val="00FE009C"/>
    <w:rsid w:val="00FE0A96"/>
    <w:rsid w:val="00FE10EA"/>
    <w:rsid w:val="00FE165A"/>
    <w:rsid w:val="00FE19FA"/>
    <w:rsid w:val="00FE1E4A"/>
    <w:rsid w:val="00FE1FE0"/>
    <w:rsid w:val="00FE33AB"/>
    <w:rsid w:val="00FE4EAF"/>
    <w:rsid w:val="00FE59FD"/>
    <w:rsid w:val="00FE6076"/>
    <w:rsid w:val="00FE6366"/>
    <w:rsid w:val="00FE6548"/>
    <w:rsid w:val="00FE6CEE"/>
    <w:rsid w:val="00FE7F98"/>
    <w:rsid w:val="00FF06FE"/>
    <w:rsid w:val="00FF09AC"/>
    <w:rsid w:val="00FF0D11"/>
    <w:rsid w:val="00FF0F81"/>
    <w:rsid w:val="00FF23AE"/>
    <w:rsid w:val="00FF2909"/>
    <w:rsid w:val="00FF2E7F"/>
    <w:rsid w:val="00FF306D"/>
    <w:rsid w:val="00FF30EC"/>
    <w:rsid w:val="00FF3709"/>
    <w:rsid w:val="00FF3A6F"/>
    <w:rsid w:val="00FF3D99"/>
    <w:rsid w:val="00FF4A75"/>
    <w:rsid w:val="00FF5F28"/>
    <w:rsid w:val="00FF70E6"/>
    <w:rsid w:val="00FF7FF5"/>
    <w:rsid w:val="3EFD5817"/>
    <w:rsid w:val="4C92821E"/>
    <w:rsid w:val="61A1F0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80A9"/>
  <w15:chartTrackingRefBased/>
  <w15:docId w15:val="{6485F9DA-7D0B-4E14-B0A3-9F20E5BBA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40C7C"/>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7947C2"/>
    <w:pPr>
      <w:numPr>
        <w:numId w:val="27"/>
      </w:numPr>
      <w:contextualSpacing/>
    </w:pPr>
  </w:style>
  <w:style w:type="paragraph" w:styleId="ListBullet2">
    <w:name w:val="List Bullet 2"/>
    <w:basedOn w:val="Normal"/>
    <w:uiPriority w:val="1"/>
    <w:qFormat/>
    <w:rsid w:val="00F60B71"/>
    <w:pPr>
      <w:numPr>
        <w:ilvl w:val="1"/>
        <w:numId w:val="27"/>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qFormat/>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27"/>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qFormat/>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60B71"/>
    <w:pPr>
      <w:spacing w:before="60" w:after="60" w:line="293" w:lineRule="auto"/>
      <w:contextualSpacing/>
    </w:pPr>
    <w:rPr>
      <w:sz w:val="18"/>
    </w:rPr>
  </w:style>
  <w:style w:type="paragraph" w:styleId="TOC1">
    <w:name w:val="toc 1"/>
    <w:basedOn w:val="Normal"/>
    <w:next w:val="BodyText"/>
    <w:autoRedefine/>
    <w:uiPriority w:val="39"/>
    <w:unhideWhenUsed/>
    <w:rsid w:val="005E32E6"/>
    <w:pPr>
      <w:keepNext/>
      <w:tabs>
        <w:tab w:val="left" w:pos="567"/>
        <w:tab w:val="right" w:pos="7938"/>
      </w:tabs>
      <w:spacing w:after="90" w:line="293" w:lineRule="auto"/>
      <w:ind w:left="567" w:right="1701" w:hanging="567"/>
    </w:pPr>
    <w:rPr>
      <w:rFonts w:cstheme="minorHAnsi"/>
      <w:b/>
      <w:bCs/>
      <w:noProof/>
    </w:rPr>
  </w:style>
  <w:style w:type="character" w:customStyle="1" w:styleId="FootnoteTextChar">
    <w:name w:val="Footnote Text Char"/>
    <w:basedOn w:val="DefaultParagraphFont"/>
    <w:link w:val="FootnoteText"/>
    <w:uiPriority w:val="99"/>
    <w:rsid w:val="00F60B71"/>
    <w:rPr>
      <w:sz w:val="18"/>
      <w:szCs w:val="20"/>
    </w:rPr>
  </w:style>
  <w:style w:type="character" w:styleId="FootnoteReference">
    <w:name w:val="footnote reference"/>
    <w:basedOn w:val="DefaultParagraphFont"/>
    <w:uiPriority w:val="99"/>
    <w:qFormat/>
    <w:rsid w:val="008450D7"/>
    <w:rPr>
      <w:vertAlign w:val="superscript"/>
    </w:rPr>
  </w:style>
  <w:style w:type="character" w:styleId="Hyperlink">
    <w:name w:val="Hyperlink"/>
    <w:basedOn w:val="DefaultParagraphFont"/>
    <w:uiPriority w:val="99"/>
    <w:unhideWhenUsed/>
    <w:qFormat/>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1E327D"/>
    <w:pPr>
      <w:tabs>
        <w:tab w:val="left" w:pos="567"/>
        <w:tab w:val="left" w:pos="1134"/>
        <w:tab w:val="right" w:pos="7938"/>
      </w:tabs>
      <w:spacing w:after="100" w:line="293" w:lineRule="auto"/>
      <w:ind w:left="1134" w:right="1701" w:hanging="567"/>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7947C2"/>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Mention">
    <w:name w:val="Mention"/>
    <w:basedOn w:val="DefaultParagraphFont"/>
    <w:uiPriority w:val="99"/>
    <w:unhideWhenUsed/>
    <w:rsid w:val="00992B42"/>
    <w:rPr>
      <w:color w:val="2B579A"/>
      <w:shd w:val="clear" w:color="auto" w:fill="E1DFDD"/>
    </w:rPr>
  </w:style>
  <w:style w:type="character" w:styleId="FollowedHyperlink">
    <w:name w:val="FollowedHyperlink"/>
    <w:basedOn w:val="DefaultParagraphFont"/>
    <w:uiPriority w:val="99"/>
    <w:semiHidden/>
    <w:unhideWhenUsed/>
    <w:rsid w:val="00D47C6C"/>
    <w:rPr>
      <w:color w:val="BFBFBF" w:themeColor="followedHyperlink"/>
      <w:u w:val="single"/>
    </w:rPr>
  </w:style>
  <w:style w:type="numbering" w:customStyle="1" w:styleId="AppendixHeading1">
    <w:name w:val="AppendixHeading1"/>
    <w:uiPriority w:val="99"/>
    <w:rsid w:val="008B5139"/>
  </w:style>
  <w:style w:type="numbering" w:customStyle="1" w:styleId="AppendixHeading2">
    <w:name w:val="AppendixHeading2"/>
    <w:uiPriority w:val="99"/>
    <w:rsid w:val="008B5139"/>
  </w:style>
  <w:style w:type="numbering" w:customStyle="1" w:styleId="AppendixHeading3">
    <w:name w:val="AppendixHeading3"/>
    <w:uiPriority w:val="99"/>
    <w:rsid w:val="008B5139"/>
  </w:style>
  <w:style w:type="numbering" w:customStyle="1" w:styleId="AppendixHeading4">
    <w:name w:val="AppendixHeading4"/>
    <w:uiPriority w:val="99"/>
    <w:rsid w:val="008B5139"/>
  </w:style>
  <w:style w:type="numbering" w:customStyle="1" w:styleId="AppendixHeading5">
    <w:name w:val="AppendixHeading5"/>
    <w:uiPriority w:val="99"/>
    <w:rsid w:val="008B5139"/>
  </w:style>
  <w:style w:type="numbering" w:customStyle="1" w:styleId="AppendixHeading6">
    <w:name w:val="AppendixHeading6"/>
    <w:uiPriority w:val="99"/>
    <w:rsid w:val="008B5139"/>
  </w:style>
  <w:style w:type="character" w:customStyle="1" w:styleId="normaltextrun">
    <w:name w:val="normaltextrun"/>
    <w:basedOn w:val="DefaultParagraphFont"/>
    <w:rsid w:val="008B5139"/>
  </w:style>
  <w:style w:type="character" w:customStyle="1" w:styleId="ui-provider">
    <w:name w:val="ui-provider"/>
    <w:basedOn w:val="DefaultParagraphFont"/>
    <w:rsid w:val="008B5139"/>
  </w:style>
  <w:style w:type="paragraph" w:styleId="NormalWeb">
    <w:name w:val="Normal (Web)"/>
    <w:basedOn w:val="Normal"/>
    <w:uiPriority w:val="99"/>
    <w:unhideWhenUsed/>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111DD"/>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111DD"/>
  </w:style>
  <w:style w:type="character" w:styleId="EndnoteReference">
    <w:name w:val="endnote reference"/>
    <w:basedOn w:val="DefaultParagraphFont"/>
    <w:uiPriority w:val="99"/>
    <w:semiHidden/>
    <w:unhideWhenUsed/>
    <w:rsid w:val="003111DD"/>
    <w:rPr>
      <w:vertAlign w:val="superscript"/>
    </w:rPr>
  </w:style>
  <w:style w:type="character" w:customStyle="1" w:styleId="anchor-text">
    <w:name w:val="anchor-text"/>
    <w:basedOn w:val="DefaultParagraphFont"/>
    <w:rsid w:val="003111DD"/>
  </w:style>
  <w:style w:type="paragraph" w:styleId="Bibliography">
    <w:name w:val="Bibliography"/>
    <w:basedOn w:val="Normal"/>
    <w:next w:val="Normal"/>
    <w:uiPriority w:val="37"/>
    <w:unhideWhenUsed/>
    <w:rsid w:val="003111DD"/>
    <w:pPr>
      <w:spacing w:after="240" w:line="240" w:lineRule="atLeast"/>
      <w:ind w:left="720" w:hanging="720"/>
    </w:pPr>
  </w:style>
  <w:style w:type="paragraph" w:customStyle="1" w:styleId="x">
    <w:name w:val="x"/>
    <w:basedOn w:val="Normal"/>
    <w:rsid w:val="003111DD"/>
    <w:pPr>
      <w:spacing w:before="100" w:beforeAutospacing="1" w:after="100" w:afterAutospacing="1"/>
    </w:pPr>
  </w:style>
  <w:style w:type="character" w:customStyle="1" w:styleId="superscript">
    <w:name w:val="superscript"/>
    <w:basedOn w:val="DefaultParagraphFont"/>
    <w:rsid w:val="003111DD"/>
  </w:style>
  <w:style w:type="paragraph" w:styleId="EndnoteText">
    <w:name w:val="endnote text"/>
    <w:basedOn w:val="Normal"/>
    <w:link w:val="EndnoteTextChar"/>
    <w:uiPriority w:val="99"/>
    <w:semiHidden/>
    <w:unhideWhenUsed/>
    <w:rsid w:val="003111DD"/>
  </w:style>
  <w:style w:type="character" w:customStyle="1" w:styleId="EndnoteTextChar">
    <w:name w:val="Endnote Text Char"/>
    <w:basedOn w:val="DefaultParagraphFont"/>
    <w:link w:val="EndnoteText"/>
    <w:uiPriority w:val="99"/>
    <w:semiHidden/>
    <w:rsid w:val="003111DD"/>
    <w:rPr>
      <w:sz w:val="20"/>
      <w:szCs w:val="20"/>
    </w:rPr>
  </w:style>
  <w:style w:type="paragraph" w:customStyle="1" w:styleId="Numberslevel1">
    <w:name w:val="Numbers level 1"/>
    <w:basedOn w:val="Normal"/>
    <w:uiPriority w:val="4"/>
    <w:semiHidden/>
    <w:qFormat/>
    <w:rsid w:val="003111DD"/>
    <w:pPr>
      <w:tabs>
        <w:tab w:val="num" w:pos="643"/>
      </w:tabs>
      <w:suppressAutoHyphens/>
      <w:spacing w:line="250" w:lineRule="atLeast"/>
      <w:ind w:left="643" w:hanging="360"/>
    </w:pPr>
    <w:rPr>
      <w:rFonts w:ascii="Verdana" w:hAnsi="Verdana"/>
      <w:sz w:val="18"/>
      <w:szCs w:val="18"/>
    </w:rPr>
  </w:style>
  <w:style w:type="paragraph" w:customStyle="1" w:styleId="Numberslevel2">
    <w:name w:val="Numbers level 2"/>
    <w:basedOn w:val="Normal"/>
    <w:uiPriority w:val="4"/>
    <w:semiHidden/>
    <w:rsid w:val="003111DD"/>
    <w:pPr>
      <w:suppressAutoHyphens/>
      <w:spacing w:line="250" w:lineRule="atLeast"/>
    </w:pPr>
    <w:rPr>
      <w:rFonts w:ascii="Verdana" w:hAnsi="Verdana"/>
      <w:sz w:val="18"/>
      <w:szCs w:val="18"/>
    </w:rPr>
  </w:style>
  <w:style w:type="paragraph" w:customStyle="1" w:styleId="Numberslevel3">
    <w:name w:val="Numbers level 3"/>
    <w:basedOn w:val="Normal"/>
    <w:uiPriority w:val="4"/>
    <w:semiHidden/>
    <w:rsid w:val="003111DD"/>
    <w:pPr>
      <w:suppressAutoHyphens/>
      <w:spacing w:line="250" w:lineRule="atLeast"/>
    </w:pPr>
    <w:rPr>
      <w:rFonts w:ascii="Verdana" w:hAnsi="Verdana"/>
      <w:sz w:val="18"/>
      <w:szCs w:val="18"/>
    </w:rPr>
  </w:style>
  <w:style w:type="paragraph" w:customStyle="1" w:styleId="CaptionTable">
    <w:name w:val="Caption_Table"/>
    <w:basedOn w:val="Normal"/>
    <w:next w:val="Normal"/>
    <w:uiPriority w:val="4"/>
    <w:rsid w:val="003111DD"/>
    <w:pPr>
      <w:keepNext/>
      <w:keepLines/>
      <w:spacing w:before="240" w:after="240" w:line="240" w:lineRule="atLeast"/>
    </w:pPr>
    <w:rPr>
      <w:rFonts w:ascii="Verdana" w:hAnsi="Verdana"/>
      <w:color w:val="8956A3" w:themeColor="accent6"/>
      <w:sz w:val="17"/>
    </w:rPr>
  </w:style>
  <w:style w:type="paragraph" w:customStyle="1" w:styleId="CaptionFigure">
    <w:name w:val="Caption_Figure"/>
    <w:basedOn w:val="Normal"/>
    <w:next w:val="Normal"/>
    <w:uiPriority w:val="4"/>
    <w:rsid w:val="003111DD"/>
    <w:pPr>
      <w:keepNext/>
      <w:keepLines/>
      <w:spacing w:after="170" w:line="240" w:lineRule="atLeast"/>
    </w:pPr>
    <w:rPr>
      <w:rFonts w:ascii="Verdana" w:hAnsi="Verdana"/>
      <w:bCs/>
      <w:color w:val="8956A3" w:themeColor="accent6"/>
      <w:sz w:val="17"/>
      <w:szCs w:val="22"/>
    </w:rPr>
  </w:style>
  <w:style w:type="paragraph" w:customStyle="1" w:styleId="CaptionChart">
    <w:name w:val="Caption_Chart"/>
    <w:basedOn w:val="Normal"/>
    <w:next w:val="Normal"/>
    <w:uiPriority w:val="4"/>
    <w:rsid w:val="003111DD"/>
    <w:pPr>
      <w:keepNext/>
      <w:keepLines/>
      <w:spacing w:after="170" w:line="240" w:lineRule="atLeast"/>
    </w:pPr>
    <w:rPr>
      <w:rFonts w:ascii="Verdana" w:hAnsi="Verdana"/>
      <w:color w:val="8956A3" w:themeColor="accent6"/>
      <w:sz w:val="17"/>
      <w:szCs w:val="18"/>
    </w:rPr>
  </w:style>
  <w:style w:type="numbering" w:customStyle="1" w:styleId="NoList1">
    <w:name w:val="No List1"/>
    <w:next w:val="NoList"/>
    <w:uiPriority w:val="99"/>
    <w:semiHidden/>
    <w:unhideWhenUsed/>
    <w:rsid w:val="003111DD"/>
  </w:style>
  <w:style w:type="numbering" w:customStyle="1" w:styleId="Bullets1">
    <w:name w:val="Bullets1"/>
    <w:uiPriority w:val="99"/>
    <w:rsid w:val="003111DD"/>
  </w:style>
  <w:style w:type="numbering" w:customStyle="1" w:styleId="Numbering1">
    <w:name w:val="Numbering1"/>
    <w:uiPriority w:val="99"/>
    <w:rsid w:val="003111DD"/>
  </w:style>
  <w:style w:type="numbering" w:customStyle="1" w:styleId="ListHeadings1">
    <w:name w:val="List Headings1"/>
    <w:uiPriority w:val="99"/>
    <w:rsid w:val="003111DD"/>
  </w:style>
  <w:style w:type="numbering" w:customStyle="1" w:styleId="LetteredList1">
    <w:name w:val="Lettered List1"/>
    <w:uiPriority w:val="99"/>
    <w:rsid w:val="003111DD"/>
  </w:style>
  <w:style w:type="table" w:customStyle="1" w:styleId="ProductivityCommissionTable21">
    <w:name w:val="Productivity Commission Table 21"/>
    <w:basedOn w:val="ProductivityCommissionTable1"/>
    <w:uiPriority w:val="99"/>
    <w:rsid w:val="003111DD"/>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3111DD"/>
    <w:pPr>
      <w:jc w:val="left"/>
    </w:p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3111DD"/>
    <w:pPr>
      <w:numPr>
        <w:numId w:val="19"/>
      </w:numPr>
    </w:pPr>
  </w:style>
  <w:style w:type="numbering" w:customStyle="1" w:styleId="Figure1">
    <w:name w:val="Figure1"/>
    <w:uiPriority w:val="99"/>
    <w:rsid w:val="003111DD"/>
  </w:style>
  <w:style w:type="numbering" w:customStyle="1" w:styleId="BoxList1">
    <w:name w:val="Box List1"/>
    <w:uiPriority w:val="99"/>
    <w:rsid w:val="003111DD"/>
  </w:style>
  <w:style w:type="table" w:customStyle="1" w:styleId="ProductivityCommissionTable2-Dark1">
    <w:name w:val="Productivity Commission Table 2 - Dark1"/>
    <w:basedOn w:val="ProductivityCommissionTable2"/>
    <w:uiPriority w:val="99"/>
    <w:rsid w:val="003111DD"/>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1">
    <w:name w:val="Alpha list1"/>
    <w:uiPriority w:val="99"/>
    <w:rsid w:val="003111DD"/>
  </w:style>
  <w:style w:type="numbering" w:customStyle="1" w:styleId="TableList1">
    <w:name w:val="TableList1"/>
    <w:uiPriority w:val="99"/>
    <w:rsid w:val="003111DD"/>
    <w:pPr>
      <w:numPr>
        <w:numId w:val="18"/>
      </w:numPr>
    </w:pPr>
  </w:style>
  <w:style w:type="numbering" w:customStyle="1" w:styleId="AppendixHeadingList1">
    <w:name w:val="Appendix Heading List1"/>
    <w:uiPriority w:val="99"/>
    <w:rsid w:val="003111DD"/>
  </w:style>
  <w:style w:type="character" w:customStyle="1" w:styleId="webbibref">
    <w:name w:val="web_bibref"/>
    <w:basedOn w:val="DefaultParagraphFont"/>
    <w:rsid w:val="003111DD"/>
  </w:style>
  <w:style w:type="paragraph" w:customStyle="1" w:styleId="msonormal0">
    <w:name w:val="msonormal"/>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label">
    <w:name w:val="Note label"/>
    <w:basedOn w:val="BodyText"/>
    <w:rsid w:val="006C09A7"/>
  </w:style>
  <w:style w:type="table" w:styleId="GridTable5Dark-Accent1">
    <w:name w:val="Grid Table 5 Dark Accent 1"/>
    <w:basedOn w:val="TableNormal"/>
    <w:uiPriority w:val="50"/>
    <w:rsid w:val="00EC5B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2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2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2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22F" w:themeFill="accent1"/>
      </w:tcPr>
    </w:tblStylePr>
    <w:tblStylePr w:type="band1Vert">
      <w:tblPr/>
      <w:tcPr>
        <w:shd w:val="clear" w:color="auto" w:fill="CBE3A1" w:themeFill="accent1" w:themeFillTint="66"/>
      </w:tcPr>
    </w:tblStylePr>
    <w:tblStylePr w:type="band1Horz">
      <w:tblPr/>
      <w:tcPr>
        <w:shd w:val="clear" w:color="auto" w:fill="CBE3A1" w:themeFill="accent1" w:themeFillTint="66"/>
      </w:tcPr>
    </w:tblStylePr>
  </w:style>
  <w:style w:type="numbering" w:customStyle="1" w:styleId="Bullets2">
    <w:name w:val="Bullets2"/>
    <w:uiPriority w:val="99"/>
    <w:rsid w:val="00EC5BB1"/>
  </w:style>
  <w:style w:type="numbering" w:customStyle="1" w:styleId="Bullets3">
    <w:name w:val="Bullets3"/>
    <w:uiPriority w:val="99"/>
    <w:rsid w:val="00EC5BB1"/>
  </w:style>
  <w:style w:type="numbering" w:customStyle="1" w:styleId="Numbering2">
    <w:name w:val="Numbering2"/>
    <w:uiPriority w:val="99"/>
    <w:rsid w:val="00EC5BB1"/>
  </w:style>
  <w:style w:type="numbering" w:customStyle="1" w:styleId="ListHeadings2">
    <w:name w:val="List Headings2"/>
    <w:uiPriority w:val="99"/>
    <w:rsid w:val="00EC5BB1"/>
  </w:style>
  <w:style w:type="numbering" w:customStyle="1" w:styleId="LetteredList2">
    <w:name w:val="Lettered List2"/>
    <w:uiPriority w:val="99"/>
    <w:rsid w:val="00EC5BB1"/>
  </w:style>
  <w:style w:type="table" w:customStyle="1" w:styleId="ProductivityCommissionTable22">
    <w:name w:val="Productivity Commission Table 22"/>
    <w:basedOn w:val="ProductivityCommissionTable1"/>
    <w:uiPriority w:val="99"/>
    <w:rsid w:val="00EC5BB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2">
    <w:name w:val="Productivity Commission Table 42"/>
    <w:basedOn w:val="ProductivityCommissionTable3"/>
    <w:uiPriority w:val="99"/>
    <w:rsid w:val="00EC5BB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2">
    <w:name w:val="TOC List2"/>
    <w:uiPriority w:val="99"/>
    <w:rsid w:val="00EC5BB1"/>
  </w:style>
  <w:style w:type="numbering" w:customStyle="1" w:styleId="Figure2">
    <w:name w:val="Figure2"/>
    <w:uiPriority w:val="99"/>
    <w:rsid w:val="00EC5BB1"/>
  </w:style>
  <w:style w:type="numbering" w:customStyle="1" w:styleId="BoxList2">
    <w:name w:val="Box List2"/>
    <w:uiPriority w:val="99"/>
    <w:rsid w:val="00EC5BB1"/>
  </w:style>
  <w:style w:type="table" w:customStyle="1" w:styleId="ProductivityCommissionTable2-Dark2">
    <w:name w:val="Productivity Commission Table 2 - Dark2"/>
    <w:basedOn w:val="ProductivityCommissionTable2"/>
    <w:uiPriority w:val="99"/>
    <w:rsid w:val="00EC5BB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211">
    <w:name w:val="Productivity Commission Table 211"/>
    <w:basedOn w:val="ProductivityCommissionTable1"/>
    <w:uiPriority w:val="99"/>
    <w:rsid w:val="00EC5BB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1">
    <w:name w:val="Productivity Commission Table 411"/>
    <w:basedOn w:val="ProductivityCommissionTable3"/>
    <w:uiPriority w:val="99"/>
    <w:rsid w:val="00EC5BB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ProductivityCommissionTable2-Dark11">
    <w:name w:val="Productivity Commission Table 2 - Dark11"/>
    <w:basedOn w:val="ProductivityCommissionTable2"/>
    <w:uiPriority w:val="99"/>
    <w:rsid w:val="00EC5BB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styleId="TOC5">
    <w:name w:val="toc 5"/>
    <w:basedOn w:val="Normal"/>
    <w:next w:val="Normal"/>
    <w:autoRedefine/>
    <w:uiPriority w:val="39"/>
    <w:unhideWhenUsed/>
    <w:rsid w:val="00D92993"/>
    <w:pPr>
      <w:spacing w:before="0"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D92993"/>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D92993"/>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D92993"/>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D92993"/>
    <w:pPr>
      <w:spacing w:before="0" w:after="100" w:line="278" w:lineRule="auto"/>
      <w:ind w:left="1920"/>
    </w:pPr>
    <w:rPr>
      <w:rFonts w:eastAsiaTheme="minorEastAsia"/>
      <w:kern w:val="2"/>
      <w:sz w:val="24"/>
      <w:szCs w:val="24"/>
      <w:lang w:eastAsia="en-AU"/>
      <w14:ligatures w14:val="standardContextual"/>
    </w:rPr>
  </w:style>
  <w:style w:type="character" w:customStyle="1" w:styleId="math">
    <w:name w:val="math"/>
    <w:basedOn w:val="DefaultParagraphFont"/>
    <w:rsid w:val="008E7FC3"/>
  </w:style>
  <w:style w:type="character" w:customStyle="1" w:styleId="mathjax1">
    <w:name w:val="mathjax1"/>
    <w:basedOn w:val="DefaultParagraphFont"/>
    <w:rsid w:val="008E7FC3"/>
    <w:rPr>
      <w:b w:val="0"/>
      <w:bCs w:val="0"/>
      <w:i w:val="0"/>
      <w:iCs w:val="0"/>
      <w:caps w:val="0"/>
      <w:vanish w:val="0"/>
      <w:webHidden w:val="0"/>
      <w:spacing w:val="0"/>
      <w:sz w:val="24"/>
      <w:szCs w:val="24"/>
      <w:bdr w:val="none" w:sz="0" w:space="0" w:color="auto" w:frame="1"/>
      <w:rtl w:val="0"/>
      <w:specVanish w:val="0"/>
    </w:rPr>
  </w:style>
  <w:style w:type="character" w:customStyle="1" w:styleId="mathjax2">
    <w:name w:val="mathjax2"/>
    <w:basedOn w:val="DefaultParagraphFont"/>
    <w:rsid w:val="008E7FC3"/>
    <w:rPr>
      <w:b w:val="0"/>
      <w:bCs w:val="0"/>
      <w:i w:val="0"/>
      <w:iCs w:val="0"/>
      <w:caps w:val="0"/>
      <w:vanish w:val="0"/>
      <w:webHidden w:val="0"/>
      <w:spacing w:val="0"/>
      <w:sz w:val="24"/>
      <w:szCs w:val="24"/>
      <w:bdr w:val="none" w:sz="0" w:space="0" w:color="auto" w:frame="1"/>
      <w:rtl w:val="0"/>
      <w:specVanish w:val="0"/>
    </w:rPr>
  </w:style>
  <w:style w:type="character" w:customStyle="1" w:styleId="mathjax3">
    <w:name w:val="mathjax3"/>
    <w:basedOn w:val="DefaultParagraphFont"/>
    <w:rsid w:val="008E7FC3"/>
    <w:rPr>
      <w:b w:val="0"/>
      <w:bCs w:val="0"/>
      <w:i w:val="0"/>
      <w:iCs w:val="0"/>
      <w:caps w:val="0"/>
      <w:vanish w:val="0"/>
      <w:webHidden w:val="0"/>
      <w:spacing w:val="0"/>
      <w:sz w:val="24"/>
      <w:szCs w:val="24"/>
      <w:bdr w:val="none" w:sz="0" w:space="0" w:color="auto" w:frame="1"/>
      <w:rtl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s://www.pc.gov.au/childhood" TargetMode="External"/><Relationship Id="rId42" Type="http://schemas.openxmlformats.org/officeDocument/2006/relationships/chart" Target="charts/chart6.xml"/><Relationship Id="rId47" Type="http://schemas.openxmlformats.org/officeDocument/2006/relationships/footer" Target="footer4.xml"/><Relationship Id="rId63" Type="http://schemas.openxmlformats.org/officeDocument/2006/relationships/image" Target="media/image29.emf"/><Relationship Id="rId68" Type="http://schemas.openxmlformats.org/officeDocument/2006/relationships/image" Target="media/image34.emf"/><Relationship Id="rId84" Type="http://schemas.openxmlformats.org/officeDocument/2006/relationships/image" Target="media/image48.emf"/><Relationship Id="rId89" Type="http://schemas.openxmlformats.org/officeDocument/2006/relationships/image" Target="media/image53.emf"/><Relationship Id="rId16" Type="http://schemas.openxmlformats.org/officeDocument/2006/relationships/footer" Target="footer2.xml"/><Relationship Id="rId107" Type="http://schemas.openxmlformats.org/officeDocument/2006/relationships/footer" Target="footer12.xml"/><Relationship Id="rId11" Type="http://schemas.openxmlformats.org/officeDocument/2006/relationships/webSettings" Target="webSettings.xml"/><Relationship Id="rId32" Type="http://schemas.openxmlformats.org/officeDocument/2006/relationships/image" Target="media/image10.emf"/><Relationship Id="rId37" Type="http://schemas.openxmlformats.org/officeDocument/2006/relationships/chart" Target="charts/chart1.xml"/><Relationship Id="rId53" Type="http://schemas.openxmlformats.org/officeDocument/2006/relationships/image" Target="media/image19.emf"/><Relationship Id="rId58" Type="http://schemas.openxmlformats.org/officeDocument/2006/relationships/image" Target="media/image24.emf"/><Relationship Id="rId74" Type="http://schemas.openxmlformats.org/officeDocument/2006/relationships/image" Target="media/image40.emf"/><Relationship Id="rId79" Type="http://schemas.openxmlformats.org/officeDocument/2006/relationships/image" Target="media/image43.emf"/><Relationship Id="rId102" Type="http://schemas.openxmlformats.org/officeDocument/2006/relationships/header" Target="header18.xml"/><Relationship Id="rId5" Type="http://schemas.openxmlformats.org/officeDocument/2006/relationships/customXml" Target="../customXml/item5.xml"/><Relationship Id="rId90" Type="http://schemas.openxmlformats.org/officeDocument/2006/relationships/image" Target="media/image54.emf"/><Relationship Id="rId95" Type="http://schemas.openxmlformats.org/officeDocument/2006/relationships/image" Target="media/image55.emf"/><Relationship Id="rId22" Type="http://schemas.openxmlformats.org/officeDocument/2006/relationships/header" Target="header2.xml"/><Relationship Id="rId27" Type="http://schemas.openxmlformats.org/officeDocument/2006/relationships/header" Target="header6.xml"/><Relationship Id="rId43" Type="http://schemas.openxmlformats.org/officeDocument/2006/relationships/image" Target="media/image14.emf"/><Relationship Id="rId48" Type="http://schemas.openxmlformats.org/officeDocument/2006/relationships/footer" Target="footer5.xml"/><Relationship Id="rId64" Type="http://schemas.openxmlformats.org/officeDocument/2006/relationships/image" Target="media/image30.emf"/><Relationship Id="rId69" Type="http://schemas.openxmlformats.org/officeDocument/2006/relationships/image" Target="media/image35.emf"/><Relationship Id="rId80" Type="http://schemas.openxmlformats.org/officeDocument/2006/relationships/image" Target="media/image44.emf"/><Relationship Id="rId85" Type="http://schemas.openxmlformats.org/officeDocument/2006/relationships/image" Target="media/image49.emf"/><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image" Target="media/image11.emf"/><Relationship Id="rId38" Type="http://schemas.openxmlformats.org/officeDocument/2006/relationships/chart" Target="charts/chart2.xml"/><Relationship Id="rId59" Type="http://schemas.openxmlformats.org/officeDocument/2006/relationships/image" Target="media/image25.emf"/><Relationship Id="rId103" Type="http://schemas.openxmlformats.org/officeDocument/2006/relationships/footer" Target="footer10.xml"/><Relationship Id="rId108" Type="http://schemas.openxmlformats.org/officeDocument/2006/relationships/header" Target="header21.xml"/><Relationship Id="rId54" Type="http://schemas.openxmlformats.org/officeDocument/2006/relationships/image" Target="media/image20.emf"/><Relationship Id="rId70" Type="http://schemas.openxmlformats.org/officeDocument/2006/relationships/image" Target="media/image36.emf"/><Relationship Id="rId75" Type="http://schemas.openxmlformats.org/officeDocument/2006/relationships/header" Target="header11.xml"/><Relationship Id="rId91" Type="http://schemas.openxmlformats.org/officeDocument/2006/relationships/header" Target="header13.xml"/><Relationship Id="rId96"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header" Target="header10.xml"/><Relationship Id="rId57" Type="http://schemas.openxmlformats.org/officeDocument/2006/relationships/image" Target="media/image23.emf"/><Relationship Id="rId106" Type="http://schemas.openxmlformats.org/officeDocument/2006/relationships/header" Target="header20.xml"/><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image" Target="media/image15.emf"/><Relationship Id="rId52"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image" Target="media/image39.emf"/><Relationship Id="rId78" Type="http://schemas.openxmlformats.org/officeDocument/2006/relationships/header" Target="header12.xml"/><Relationship Id="rId81" Type="http://schemas.openxmlformats.org/officeDocument/2006/relationships/image" Target="media/image45.emf"/><Relationship Id="rId86" Type="http://schemas.openxmlformats.org/officeDocument/2006/relationships/image" Target="media/image50.emf"/><Relationship Id="rId94" Type="http://schemas.openxmlformats.org/officeDocument/2006/relationships/header" Target="header14.xml"/><Relationship Id="rId99" Type="http://schemas.openxmlformats.org/officeDocument/2006/relationships/footer" Target="footer9.xml"/><Relationship Id="rId10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chart" Target="charts/chart3.xml"/><Relationship Id="rId109" Type="http://schemas.openxmlformats.org/officeDocument/2006/relationships/footer" Target="footer13.xml"/><Relationship Id="rId34" Type="http://schemas.openxmlformats.org/officeDocument/2006/relationships/image" Target="media/image12.emf"/><Relationship Id="rId50" Type="http://schemas.openxmlformats.org/officeDocument/2006/relationships/image" Target="media/image16.emf"/><Relationship Id="rId55" Type="http://schemas.openxmlformats.org/officeDocument/2006/relationships/image" Target="media/image21.emf"/><Relationship Id="rId76" Type="http://schemas.openxmlformats.org/officeDocument/2006/relationships/image" Target="media/image41.emf"/><Relationship Id="rId97" Type="http://schemas.openxmlformats.org/officeDocument/2006/relationships/header" Target="header15.xml"/><Relationship Id="rId104" Type="http://schemas.openxmlformats.org/officeDocument/2006/relationships/footer" Target="footer11.xml"/><Relationship Id="rId7" Type="http://schemas.openxmlformats.org/officeDocument/2006/relationships/customXml" Target="../customXml/item7.xml"/><Relationship Id="rId71" Type="http://schemas.openxmlformats.org/officeDocument/2006/relationships/image" Target="media/image37.emf"/><Relationship Id="rId92"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header" Target="header4.xml"/><Relationship Id="rId40" Type="http://schemas.openxmlformats.org/officeDocument/2006/relationships/chart" Target="charts/chart4.xml"/><Relationship Id="rId45" Type="http://schemas.openxmlformats.org/officeDocument/2006/relationships/header" Target="header8.xml"/><Relationship Id="rId66" Type="http://schemas.openxmlformats.org/officeDocument/2006/relationships/image" Target="media/image32.emf"/><Relationship Id="rId87" Type="http://schemas.openxmlformats.org/officeDocument/2006/relationships/image" Target="media/image51.emf"/><Relationship Id="rId110" Type="http://schemas.openxmlformats.org/officeDocument/2006/relationships/fontTable" Target="fontTable.xml"/><Relationship Id="rId61" Type="http://schemas.openxmlformats.org/officeDocument/2006/relationships/image" Target="media/image27.emf"/><Relationship Id="rId82" Type="http://schemas.openxmlformats.org/officeDocument/2006/relationships/image" Target="media/image46.emf"/><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image" Target="media/image8.emf"/><Relationship Id="rId35" Type="http://schemas.openxmlformats.org/officeDocument/2006/relationships/header" Target="header7.xml"/><Relationship Id="rId56" Type="http://schemas.openxmlformats.org/officeDocument/2006/relationships/image" Target="media/image22.emf"/><Relationship Id="rId77" Type="http://schemas.openxmlformats.org/officeDocument/2006/relationships/image" Target="media/image42.emf"/><Relationship Id="rId100" Type="http://schemas.openxmlformats.org/officeDocument/2006/relationships/header" Target="header16.xml"/><Relationship Id="rId105" Type="http://schemas.openxmlformats.org/officeDocument/2006/relationships/header" Target="header19.xml"/><Relationship Id="rId8" Type="http://schemas.openxmlformats.org/officeDocument/2006/relationships/numbering" Target="numbering.xml"/><Relationship Id="rId51" Type="http://schemas.openxmlformats.org/officeDocument/2006/relationships/image" Target="media/image17.emf"/><Relationship Id="rId72" Type="http://schemas.openxmlformats.org/officeDocument/2006/relationships/image" Target="media/image38.emf"/><Relationship Id="rId93" Type="http://schemas.openxmlformats.org/officeDocument/2006/relationships/footer" Target="footer7.xml"/><Relationship Id="rId98" Type="http://schemas.openxmlformats.org/officeDocument/2006/relationships/footer" Target="footer8.xml"/><Relationship Id="rId3" Type="http://schemas.openxmlformats.org/officeDocument/2006/relationships/customXml" Target="../customXml/item3.xml"/><Relationship Id="rId25" Type="http://schemas.openxmlformats.org/officeDocument/2006/relationships/hyperlink" Target="https://www.pc.gov.au/inquiries/completed/childhood/submissions" TargetMode="External"/><Relationship Id="rId46" Type="http://schemas.openxmlformats.org/officeDocument/2006/relationships/header" Target="header9.xml"/><Relationship Id="rId67" Type="http://schemas.openxmlformats.org/officeDocument/2006/relationships/image" Target="media/image33.emf"/><Relationship Id="rId20" Type="http://schemas.openxmlformats.org/officeDocument/2006/relationships/image" Target="media/image5.svg"/><Relationship Id="rId41" Type="http://schemas.openxmlformats.org/officeDocument/2006/relationships/chart" Target="charts/chart5.xml"/><Relationship Id="rId62" Type="http://schemas.openxmlformats.org/officeDocument/2006/relationships/image" Target="media/image28.emf"/><Relationship Id="rId83" Type="http://schemas.openxmlformats.org/officeDocument/2006/relationships/image" Target="media/image47.emf"/><Relationship Id="rId88" Type="http://schemas.openxmlformats.org/officeDocument/2006/relationships/image" Target="media/image52.emf"/><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cgov.sharepoint.com/teams/ecec/Literature%20and%20data/Data/ACECQA/!Master/Confidential%20External%20Data%20Requests%20-%202024%20-%20PC%20(confirmed%20breaches%20and%20waiver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pcgov.sharepoint.com/teams/ecec/Literature%20and%20data/Data/ACECQA/!Master/Confidential%20External%20Data%20Requests%20-%202024%20-%20PC%20(confirmed%20breaches%20and%20waiver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pcgov.sharepoint.com/teams/ecec/Literature%20and%20data/Data/ACECQA/!Master/Confidential%20External%20Data%20Requests%20-%202024%20-%20PC%20(confirmed%20breaches%20and%20waiver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pcgov.sharepoint.com/teams/ecec/Literature%20and%20data/Data/ACECQA/!Master/Confidential%20External%20Data%20Requests%20-%202024%20-%20PC%20(confirmed%20breaches%20and%20waiver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pcgov.sharepoint.com/teams/ecec/Literature%20and%20data/Data/ACECQA/!Master/Confidential%20External%20Data%20Requests%20-%202024%20-%20PC%20(confirmed%20breaches%20and%20waivers).xl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pcgov.sharepoint.com/teams/ecec/Shared%20Documents/Reports/Final%20report/Figures%20and%20tables/NQAITS%20Quarterly%20Data%20Splits%20(Q3%202013%20-%20Q1%202024)_paper8_FIN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6BCDB"/>
            </a:solidFill>
            <a:ln w="25400">
              <a:noFill/>
            </a:ln>
            <a:effectLst/>
          </c:spPr>
          <c:invertIfNegative val="0"/>
          <c:dPt>
            <c:idx val="4"/>
            <c:invertIfNegative val="0"/>
            <c:bubble3D val="0"/>
            <c:spPr>
              <a:solidFill>
                <a:schemeClr val="bg2"/>
              </a:solidFill>
              <a:ln w="25400">
                <a:solidFill>
                  <a:schemeClr val="bg2"/>
                </a:solidFill>
              </a:ln>
              <a:effectLst/>
            </c:spPr>
            <c:extLst>
              <c:ext xmlns:c16="http://schemas.microsoft.com/office/drawing/2014/chart" uri="{C3380CC4-5D6E-409C-BE32-E72D297353CC}">
                <c16:uniqueId val="{00000001-2B42-45F4-A2C1-854378E8D8D8}"/>
              </c:ext>
            </c:extLst>
          </c:dPt>
          <c:cat>
            <c:strRef>
              <c:f>'[Confidential External Data Requests - 2024 - PC (confirmed breaches and waivers).xls]Figure C.2'!$A$4:$A$12</c:f>
              <c:strCache>
                <c:ptCount val="9"/>
                <c:pt idx="0">
                  <c:v>WA</c:v>
                </c:pt>
                <c:pt idx="1">
                  <c:v>SA</c:v>
                </c:pt>
                <c:pt idx="2">
                  <c:v>NSW</c:v>
                </c:pt>
                <c:pt idx="3">
                  <c:v>QLD</c:v>
                </c:pt>
                <c:pt idx="4">
                  <c:v>National</c:v>
                </c:pt>
                <c:pt idx="5">
                  <c:v>ACT</c:v>
                </c:pt>
                <c:pt idx="6">
                  <c:v>TAS</c:v>
                </c:pt>
                <c:pt idx="7">
                  <c:v>NT</c:v>
                </c:pt>
                <c:pt idx="8">
                  <c:v>VIC</c:v>
                </c:pt>
              </c:strCache>
            </c:strRef>
          </c:cat>
          <c:val>
            <c:numRef>
              <c:f>'[Confidential External Data Requests - 2024 - PC (confirmed breaches and waivers).xls]Figure C.2'!$B$4:$B$12</c:f>
              <c:numCache>
                <c:formatCode>0%</c:formatCode>
                <c:ptCount val="9"/>
                <c:pt idx="0">
                  <c:v>0.18099999999999999</c:v>
                </c:pt>
                <c:pt idx="1">
                  <c:v>0.16200000000000001</c:v>
                </c:pt>
                <c:pt idx="2">
                  <c:v>0.16</c:v>
                </c:pt>
                <c:pt idx="3">
                  <c:v>0.13700000000000001</c:v>
                </c:pt>
                <c:pt idx="4">
                  <c:v>0.11899999999999999</c:v>
                </c:pt>
                <c:pt idx="5">
                  <c:v>0.10100000000000001</c:v>
                </c:pt>
                <c:pt idx="6">
                  <c:v>9.1999999999999998E-2</c:v>
                </c:pt>
                <c:pt idx="7">
                  <c:v>6.9000000000000006E-2</c:v>
                </c:pt>
                <c:pt idx="8">
                  <c:v>3.3000000000000002E-2</c:v>
                </c:pt>
              </c:numCache>
            </c:numRef>
          </c:val>
          <c:extLst>
            <c:ext xmlns:c16="http://schemas.microsoft.com/office/drawing/2014/chart" uri="{C3380CC4-5D6E-409C-BE32-E72D297353CC}">
              <c16:uniqueId val="{00000002-2B42-45F4-A2C1-854378E8D8D8}"/>
            </c:ext>
          </c:extLst>
        </c:ser>
        <c:dLbls>
          <c:showLegendKey val="0"/>
          <c:showVal val="0"/>
          <c:showCatName val="0"/>
          <c:showSerName val="0"/>
          <c:showPercent val="0"/>
          <c:showBubbleSize val="0"/>
        </c:dLbls>
        <c:gapWidth val="157"/>
        <c:overlap val="-27"/>
        <c:axId val="1022876095"/>
        <c:axId val="1022876575"/>
      </c:barChart>
      <c:catAx>
        <c:axId val="1022876095"/>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022876575"/>
        <c:crosses val="autoZero"/>
        <c:auto val="1"/>
        <c:lblAlgn val="ctr"/>
        <c:lblOffset val="100"/>
        <c:noMultiLvlLbl val="0"/>
      </c:catAx>
      <c:valAx>
        <c:axId val="1022876575"/>
        <c:scaling>
          <c:orientation val="minMax"/>
        </c:scaling>
        <c:delete val="0"/>
        <c:axPos val="l"/>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a:t>
                </a:r>
                <a:r>
                  <a:rPr lang="en-AU" baseline="0"/>
                  <a:t> of all services</a:t>
                </a:r>
                <a:endParaRPr lang="en-AU"/>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022876095"/>
        <c:crosses val="autoZero"/>
        <c:crossBetween val="between"/>
      </c:valAx>
      <c:spPr>
        <a:noFill/>
        <a:ln>
          <a:noFill/>
        </a:ln>
        <a:effectLst/>
      </c:spPr>
    </c:plotArea>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v>Physical</c:v>
          </c:tx>
          <c:spPr>
            <a:solidFill>
              <a:srgbClr val="66BCDB"/>
            </a:solidFill>
            <a:ln w="25400">
              <a:noFill/>
            </a:ln>
          </c:spPr>
          <c:invertIfNegative val="0"/>
          <c:cat>
            <c:strRef>
              <c:f>'[Confidential External Data Requests - 2024 - PC (confirmed breaches and waivers).xls]Figure C.3'!$F$4:$F$11</c:f>
              <c:strCache>
                <c:ptCount val="8"/>
                <c:pt idx="0">
                  <c:v>NSW</c:v>
                </c:pt>
                <c:pt idx="1">
                  <c:v>VIC</c:v>
                </c:pt>
                <c:pt idx="2">
                  <c:v>QLD</c:v>
                </c:pt>
                <c:pt idx="3">
                  <c:v>WA</c:v>
                </c:pt>
                <c:pt idx="4">
                  <c:v>SA</c:v>
                </c:pt>
                <c:pt idx="5">
                  <c:v>NT</c:v>
                </c:pt>
                <c:pt idx="6">
                  <c:v>TAS</c:v>
                </c:pt>
                <c:pt idx="7">
                  <c:v>ACT</c:v>
                </c:pt>
              </c:strCache>
            </c:strRef>
          </c:cat>
          <c:val>
            <c:numRef>
              <c:f>'[Confidential External Data Requests - 2024 - PC (confirmed breaches and waivers).xls]Figure C.3'!$G$4:$G$11</c:f>
              <c:numCache>
                <c:formatCode>0%</c:formatCode>
                <c:ptCount val="8"/>
                <c:pt idx="0">
                  <c:v>0.31898238747553814</c:v>
                </c:pt>
                <c:pt idx="1">
                  <c:v>0.32903225806451614</c:v>
                </c:pt>
                <c:pt idx="2">
                  <c:v>0.37789203084832906</c:v>
                </c:pt>
                <c:pt idx="3">
                  <c:v>9.8360655737704916E-2</c:v>
                </c:pt>
                <c:pt idx="4">
                  <c:v>3.7558685446009391E-2</c:v>
                </c:pt>
                <c:pt idx="5">
                  <c:v>0</c:v>
                </c:pt>
                <c:pt idx="6">
                  <c:v>0</c:v>
                </c:pt>
                <c:pt idx="7">
                  <c:v>5.5555555555555552E-2</c:v>
                </c:pt>
              </c:numCache>
            </c:numRef>
          </c:val>
          <c:extLst>
            <c:ext xmlns:c16="http://schemas.microsoft.com/office/drawing/2014/chart" uri="{C3380CC4-5D6E-409C-BE32-E72D297353CC}">
              <c16:uniqueId val="{00000000-9A95-4993-908E-85C168BBD202}"/>
            </c:ext>
          </c:extLst>
        </c:ser>
        <c:ser>
          <c:idx val="1"/>
          <c:order val="1"/>
          <c:tx>
            <c:v>Staffing</c:v>
          </c:tx>
          <c:spPr>
            <a:solidFill>
              <a:srgbClr val="265A9A"/>
            </a:solidFill>
            <a:ln w="25400">
              <a:noFill/>
            </a:ln>
          </c:spPr>
          <c:invertIfNegative val="0"/>
          <c:cat>
            <c:strRef>
              <c:f>'[Confidential External Data Requests - 2024 - PC (confirmed breaches and waivers).xls]Figure C.3'!$F$4:$F$11</c:f>
              <c:strCache>
                <c:ptCount val="8"/>
                <c:pt idx="0">
                  <c:v>NSW</c:v>
                </c:pt>
                <c:pt idx="1">
                  <c:v>VIC</c:v>
                </c:pt>
                <c:pt idx="2">
                  <c:v>QLD</c:v>
                </c:pt>
                <c:pt idx="3">
                  <c:v>WA</c:v>
                </c:pt>
                <c:pt idx="4">
                  <c:v>SA</c:v>
                </c:pt>
                <c:pt idx="5">
                  <c:v>NT</c:v>
                </c:pt>
                <c:pt idx="6">
                  <c:v>TAS</c:v>
                </c:pt>
                <c:pt idx="7">
                  <c:v>ACT</c:v>
                </c:pt>
              </c:strCache>
            </c:strRef>
          </c:cat>
          <c:val>
            <c:numRef>
              <c:f>'[Confidential External Data Requests - 2024 - PC (confirmed breaches and waivers).xls]Figure C.3'!$H$4:$H$11</c:f>
              <c:numCache>
                <c:formatCode>0%</c:formatCode>
                <c:ptCount val="8"/>
                <c:pt idx="0">
                  <c:v>0.6810176125244618</c:v>
                </c:pt>
                <c:pt idx="1">
                  <c:v>0.67096774193548392</c:v>
                </c:pt>
                <c:pt idx="2">
                  <c:v>0.62210796915167099</c:v>
                </c:pt>
                <c:pt idx="3">
                  <c:v>0.90163934426229508</c:v>
                </c:pt>
                <c:pt idx="4">
                  <c:v>0.96244131455399062</c:v>
                </c:pt>
                <c:pt idx="5">
                  <c:v>1</c:v>
                </c:pt>
                <c:pt idx="6">
                  <c:v>1</c:v>
                </c:pt>
                <c:pt idx="7">
                  <c:v>0.94444444444444442</c:v>
                </c:pt>
              </c:numCache>
            </c:numRef>
          </c:val>
          <c:extLst>
            <c:ext xmlns:c16="http://schemas.microsoft.com/office/drawing/2014/chart" uri="{C3380CC4-5D6E-409C-BE32-E72D297353CC}">
              <c16:uniqueId val="{00000001-9A95-4993-908E-85C168BBD202}"/>
            </c:ext>
          </c:extLst>
        </c:ser>
        <c:dLbls>
          <c:showLegendKey val="0"/>
          <c:showVal val="0"/>
          <c:showCatName val="0"/>
          <c:showSerName val="0"/>
          <c:showPercent val="0"/>
          <c:showBubbleSize val="0"/>
        </c:dLbls>
        <c:gapWidth val="219"/>
        <c:overlap val="100"/>
        <c:axId val="1967552480"/>
        <c:axId val="1"/>
      </c:barChart>
      <c:catAx>
        <c:axId val="1967552480"/>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 of all waivers</a:t>
                </a:r>
              </a:p>
            </c:rich>
          </c:tx>
          <c:overlay val="0"/>
          <c:spPr>
            <a:noFill/>
            <a:ln w="25400">
              <a:noFill/>
            </a:ln>
          </c:sp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967552480"/>
        <c:crosses val="autoZero"/>
        <c:crossBetween val="between"/>
      </c:valAx>
      <c:spPr>
        <a:noFill/>
        <a:ln w="25400">
          <a:noFill/>
        </a:ln>
      </c:spPr>
    </c:plotArea>
    <c:legend>
      <c:legendPos val="b"/>
      <c:overlay val="0"/>
      <c:txPr>
        <a:bodyPr/>
        <a:lstStyle/>
        <a:p>
          <a:pPr>
            <a:defRPr b="0"/>
          </a:pPr>
          <a:endParaRPr lang="en-US"/>
        </a:p>
      </c:txPr>
    </c:legend>
    <c:plotVisOnly val="1"/>
    <c:dispBlanksAs val="gap"/>
    <c:showDLblsOverMax val="0"/>
  </c:chart>
  <c:spPr>
    <a:noFill/>
    <a:ln w="6350">
      <a:noFill/>
    </a:ln>
  </c:spPr>
  <c:txPr>
    <a:bodyPr/>
    <a:lstStyle/>
    <a:p>
      <a:pPr>
        <a:defRPr sz="900">
          <a:solidFill>
            <a:srgbClr val="000000"/>
          </a:solidFill>
          <a:latin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Physical</c:v>
          </c:tx>
          <c:spPr>
            <a:solidFill>
              <a:srgbClr val="66BCDB"/>
            </a:solidFill>
            <a:ln w="25400">
              <a:noFill/>
            </a:ln>
          </c:spPr>
          <c:invertIfNegative val="0"/>
          <c:cat>
            <c:numRef>
              <c:f>'[Confidential External Data Requests - 2024 - PC (confirmed breaches and waivers).xls]Figure C.4'!$A$16:$A$25</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'[Confidential External Data Requests - 2024 - PC (confirmed breaches and waivers).xls]Figure C.4'!$B$16:$B$25</c:f>
              <c:numCache>
                <c:formatCode>0%</c:formatCode>
                <c:ptCount val="10"/>
                <c:pt idx="0">
                  <c:v>1.5932023366967606E-2</c:v>
                </c:pt>
                <c:pt idx="1">
                  <c:v>2.440318302387268E-2</c:v>
                </c:pt>
                <c:pt idx="2">
                  <c:v>2.9411764705882353E-2</c:v>
                </c:pt>
                <c:pt idx="3">
                  <c:v>1.3785180930499713E-2</c:v>
                </c:pt>
                <c:pt idx="4">
                  <c:v>3.090909090909091E-2</c:v>
                </c:pt>
                <c:pt idx="5">
                  <c:v>1.7647058823529412E-2</c:v>
                </c:pt>
                <c:pt idx="6">
                  <c:v>2.6888604353393086E-2</c:v>
                </c:pt>
                <c:pt idx="7">
                  <c:v>3.3353922174181594E-2</c:v>
                </c:pt>
                <c:pt idx="8">
                  <c:v>4.4224422442244227E-2</c:v>
                </c:pt>
                <c:pt idx="9">
                  <c:v>4.163454124903624E-2</c:v>
                </c:pt>
              </c:numCache>
            </c:numRef>
          </c:val>
          <c:extLst>
            <c:ext xmlns:c16="http://schemas.microsoft.com/office/drawing/2014/chart" uri="{C3380CC4-5D6E-409C-BE32-E72D297353CC}">
              <c16:uniqueId val="{00000000-261F-4725-AE6A-500EDCB2862B}"/>
            </c:ext>
          </c:extLst>
        </c:ser>
        <c:ser>
          <c:idx val="1"/>
          <c:order val="1"/>
          <c:tx>
            <c:v>Staffing</c:v>
          </c:tx>
          <c:spPr>
            <a:solidFill>
              <a:srgbClr val="265A9A"/>
            </a:solidFill>
            <a:ln w="25400">
              <a:noFill/>
            </a:ln>
          </c:spPr>
          <c:invertIfNegative val="0"/>
          <c:cat>
            <c:numRef>
              <c:f>'[Confidential External Data Requests - 2024 - PC (confirmed breaches and waivers).xls]Figure C.4'!$A$16:$A$25</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'[Confidential External Data Requests - 2024 - PC (confirmed breaches and waivers).xls]Figure C.4'!$C$16:$C$25</c:f>
              <c:numCache>
                <c:formatCode>0%</c:formatCode>
                <c:ptCount val="10"/>
                <c:pt idx="0">
                  <c:v>8.7626128518321827E-2</c:v>
                </c:pt>
                <c:pt idx="1">
                  <c:v>7.7453580901856764E-2</c:v>
                </c:pt>
                <c:pt idx="2">
                  <c:v>8.1891580161476352E-2</c:v>
                </c:pt>
                <c:pt idx="3">
                  <c:v>7.7541642734060889E-2</c:v>
                </c:pt>
                <c:pt idx="4">
                  <c:v>6.6666666666666666E-2</c:v>
                </c:pt>
                <c:pt idx="5">
                  <c:v>6.7320261437908493E-2</c:v>
                </c:pt>
                <c:pt idx="6">
                  <c:v>5.6338028169014086E-2</c:v>
                </c:pt>
                <c:pt idx="7">
                  <c:v>6.9178505250154412E-2</c:v>
                </c:pt>
                <c:pt idx="8">
                  <c:v>6.5346534653465349E-2</c:v>
                </c:pt>
                <c:pt idx="9">
                  <c:v>4.9344641480339242E-2</c:v>
                </c:pt>
              </c:numCache>
            </c:numRef>
          </c:val>
          <c:extLst>
            <c:ext xmlns:c16="http://schemas.microsoft.com/office/drawing/2014/chart" uri="{C3380CC4-5D6E-409C-BE32-E72D297353CC}">
              <c16:uniqueId val="{00000001-261F-4725-AE6A-500EDCB2862B}"/>
            </c:ext>
          </c:extLst>
        </c:ser>
        <c:dLbls>
          <c:showLegendKey val="0"/>
          <c:showVal val="0"/>
          <c:showCatName val="0"/>
          <c:showSerName val="0"/>
          <c:showPercent val="0"/>
          <c:showBubbleSize val="0"/>
        </c:dLbls>
        <c:gapWidth val="219"/>
        <c:overlap val="-27"/>
        <c:axId val="752145984"/>
        <c:axId val="1"/>
      </c:barChart>
      <c:catAx>
        <c:axId val="752145984"/>
        <c:scaling>
          <c:orientation val="minMax"/>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SEIFA</a:t>
                </a:r>
                <a:r>
                  <a:rPr lang="en-AU" baseline="0"/>
                  <a:t> deciles</a:t>
                </a:r>
                <a:endParaRPr lang="en-AU"/>
              </a:p>
            </c:rich>
          </c:tx>
          <c:overlay val="0"/>
          <c:spPr>
            <a:noFill/>
            <a:ln w="25400">
              <a:noFill/>
            </a:ln>
          </c:spPr>
        </c:title>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a:t>
                </a:r>
                <a:r>
                  <a:rPr lang="en-AU" baseline="0"/>
                  <a:t> of all services</a:t>
                </a:r>
                <a:endParaRPr lang="en-AU"/>
              </a:p>
            </c:rich>
          </c:tx>
          <c:overlay val="0"/>
          <c:spPr>
            <a:noFill/>
            <a:ln w="25400">
              <a:noFill/>
            </a:ln>
          </c:sp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752145984"/>
        <c:crosses val="autoZero"/>
        <c:crossBetween val="between"/>
      </c:valAx>
      <c:spPr>
        <a:noFill/>
        <a:ln w="25400">
          <a:noFill/>
        </a:ln>
      </c:spPr>
    </c:plotArea>
    <c:legend>
      <c:legendPos val="b"/>
      <c:layout>
        <c:manualLayout>
          <c:xMode val="edge"/>
          <c:yMode val="edge"/>
          <c:x val="0.38944526143790847"/>
          <c:y val="0.87545426829268291"/>
          <c:w val="0.20450816993464052"/>
          <c:h val="6.8617547425474254E-2"/>
        </c:manualLayout>
      </c:layout>
      <c:overlay val="0"/>
      <c:spPr>
        <a:noFill/>
        <a:ln w="25400">
          <a:noFill/>
        </a:ln>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legend>
    <c:plotVisOnly val="1"/>
    <c:dispBlanksAs val="gap"/>
    <c:showDLblsOverMax val="0"/>
  </c:chart>
  <c:spPr>
    <a:noFill/>
    <a:ln w="6350">
      <a:noFill/>
    </a:ln>
  </c:spPr>
  <c:txPr>
    <a:bodyPr/>
    <a:lstStyle/>
    <a:p>
      <a:pPr>
        <a:defRPr sz="900">
          <a:solidFill>
            <a:srgbClr val="000000"/>
          </a:solidFill>
          <a:latin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v>FDC location</c:v>
          </c:tx>
          <c:spPr>
            <a:solidFill>
              <a:schemeClr val="accent1"/>
            </a:solidFill>
            <a:ln w="25400">
              <a:solidFill>
                <a:schemeClr val="accent1"/>
              </a:solidFill>
            </a:ln>
            <a:effectLst/>
          </c:spPr>
          <c:invertIfNegative val="0"/>
          <c:cat>
            <c:strRef>
              <c:f>'[Confidential External Data Requests - 2024 - PC (confirmed breaches and waivers).xls]Figure C.5'!$A$9:$A$12</c:f>
              <c:strCache>
                <c:ptCount val="4"/>
                <c:pt idx="0">
                  <c:v>LDC</c:v>
                </c:pt>
                <c:pt idx="1">
                  <c:v>PSK</c:v>
                </c:pt>
                <c:pt idx="2">
                  <c:v>OSHC</c:v>
                </c:pt>
                <c:pt idx="3">
                  <c:v>FDC</c:v>
                </c:pt>
              </c:strCache>
            </c:strRef>
          </c:cat>
          <c:val>
            <c:numRef>
              <c:f>'[Confidential External Data Requests - 2024 - PC (confirmed breaches and waivers).xls]Figure C.5'!$B$9:$B$12</c:f>
              <c:numCache>
                <c:formatCode>0%</c:formatCode>
                <c:ptCount val="4"/>
                <c:pt idx="0">
                  <c:v>0</c:v>
                </c:pt>
                <c:pt idx="1">
                  <c:v>0</c:v>
                </c:pt>
                <c:pt idx="2">
                  <c:v>0</c:v>
                </c:pt>
                <c:pt idx="3">
                  <c:v>9.324009324009324E-3</c:v>
                </c:pt>
              </c:numCache>
            </c:numRef>
          </c:val>
          <c:extLst>
            <c:ext xmlns:c16="http://schemas.microsoft.com/office/drawing/2014/chart" uri="{C3380CC4-5D6E-409C-BE32-E72D297353CC}">
              <c16:uniqueId val="{00000000-522A-46D0-BF06-F40456FB8C4F}"/>
            </c:ext>
          </c:extLst>
        </c:ser>
        <c:ser>
          <c:idx val="1"/>
          <c:order val="1"/>
          <c:tx>
            <c:v>Staffing only</c:v>
          </c:tx>
          <c:spPr>
            <a:solidFill>
              <a:schemeClr val="tx2"/>
            </a:solidFill>
            <a:ln w="25400">
              <a:solidFill>
                <a:schemeClr val="tx2"/>
              </a:solidFill>
            </a:ln>
          </c:spPr>
          <c:invertIfNegative val="0"/>
          <c:cat>
            <c:strRef>
              <c:f>'[Confidential External Data Requests - 2024 - PC (confirmed breaches and waivers).xls]Figure C.5'!$A$9:$A$12</c:f>
              <c:strCache>
                <c:ptCount val="4"/>
                <c:pt idx="0">
                  <c:v>LDC</c:v>
                </c:pt>
                <c:pt idx="1">
                  <c:v>PSK</c:v>
                </c:pt>
                <c:pt idx="2">
                  <c:v>OSHC</c:v>
                </c:pt>
                <c:pt idx="3">
                  <c:v>FDC</c:v>
                </c:pt>
              </c:strCache>
            </c:strRef>
          </c:cat>
          <c:val>
            <c:numRef>
              <c:f>'[Confidential External Data Requests - 2024 - PC (confirmed breaches and waivers).xls]Figure C.5'!$C$9:$C$12</c:f>
              <c:numCache>
                <c:formatCode>0%</c:formatCode>
                <c:ptCount val="4"/>
                <c:pt idx="0">
                  <c:v>0.12142935921473476</c:v>
                </c:pt>
                <c:pt idx="1">
                  <c:v>2.7035725780495654E-2</c:v>
                </c:pt>
                <c:pt idx="2">
                  <c:v>1.4866204162537165E-2</c:v>
                </c:pt>
                <c:pt idx="3">
                  <c:v>2.331002331002331E-3</c:v>
                </c:pt>
              </c:numCache>
            </c:numRef>
          </c:val>
          <c:extLst>
            <c:ext xmlns:c16="http://schemas.microsoft.com/office/drawing/2014/chart" uri="{C3380CC4-5D6E-409C-BE32-E72D297353CC}">
              <c16:uniqueId val="{00000001-522A-46D0-BF06-F40456FB8C4F}"/>
            </c:ext>
          </c:extLst>
        </c:ser>
        <c:ser>
          <c:idx val="2"/>
          <c:order val="2"/>
          <c:tx>
            <c:v>Physical only</c:v>
          </c:tx>
          <c:spPr>
            <a:solidFill>
              <a:schemeClr val="bg2"/>
            </a:solidFill>
            <a:ln w="25400">
              <a:solidFill>
                <a:schemeClr val="bg2"/>
              </a:solidFill>
            </a:ln>
          </c:spPr>
          <c:invertIfNegative val="0"/>
          <c:cat>
            <c:strRef>
              <c:f>'[Confidential External Data Requests - 2024 - PC (confirmed breaches and waivers).xls]Figure C.5'!$A$9:$A$12</c:f>
              <c:strCache>
                <c:ptCount val="4"/>
                <c:pt idx="0">
                  <c:v>LDC</c:v>
                </c:pt>
                <c:pt idx="1">
                  <c:v>PSK</c:v>
                </c:pt>
                <c:pt idx="2">
                  <c:v>OSHC</c:v>
                </c:pt>
                <c:pt idx="3">
                  <c:v>FDC</c:v>
                </c:pt>
              </c:strCache>
            </c:strRef>
          </c:cat>
          <c:val>
            <c:numRef>
              <c:f>'[Confidential External Data Requests - 2024 - PC (confirmed breaches and waivers).xls]Figure C.5'!$D$9:$D$12</c:f>
              <c:numCache>
                <c:formatCode>0%</c:formatCode>
                <c:ptCount val="4"/>
                <c:pt idx="0">
                  <c:v>3.3197308922466084E-2</c:v>
                </c:pt>
                <c:pt idx="1">
                  <c:v>4.1841004184100415E-3</c:v>
                </c:pt>
                <c:pt idx="2">
                  <c:v>3.2309217046580775E-2</c:v>
                </c:pt>
                <c:pt idx="3">
                  <c:v>0</c:v>
                </c:pt>
              </c:numCache>
            </c:numRef>
          </c:val>
          <c:extLst>
            <c:ext xmlns:c16="http://schemas.microsoft.com/office/drawing/2014/chart" uri="{C3380CC4-5D6E-409C-BE32-E72D297353CC}">
              <c16:uniqueId val="{00000002-522A-46D0-BF06-F40456FB8C4F}"/>
            </c:ext>
          </c:extLst>
        </c:ser>
        <c:dLbls>
          <c:showLegendKey val="0"/>
          <c:showVal val="0"/>
          <c:showCatName val="0"/>
          <c:showSerName val="0"/>
          <c:showPercent val="0"/>
          <c:showBubbleSize val="0"/>
        </c:dLbls>
        <c:gapWidth val="219"/>
        <c:overlap val="100"/>
        <c:axId val="1960859600"/>
        <c:axId val="1"/>
      </c:barChart>
      <c:catAx>
        <c:axId val="1960859600"/>
        <c:scaling>
          <c:orientation val="minMax"/>
        </c:scaling>
        <c:delete val="0"/>
        <c:axPos val="l"/>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
        <c:crosses val="autoZero"/>
        <c:auto val="1"/>
        <c:lblAlgn val="ctr"/>
        <c:lblOffset val="100"/>
        <c:noMultiLvlLbl val="0"/>
      </c:catAx>
      <c:valAx>
        <c:axId val="1"/>
        <c:scaling>
          <c:orientation val="minMax"/>
          <c:max val="0.16000000000000003"/>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 of all services in category</a:t>
                </a:r>
              </a:p>
            </c:rich>
          </c:tx>
          <c:overlay val="0"/>
          <c:spPr>
            <a:noFill/>
            <a:ln w="25400">
              <a:noFill/>
            </a:ln>
          </c:sp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960859600"/>
        <c:crosses val="autoZero"/>
        <c:crossBetween val="between"/>
      </c:valAx>
      <c:spPr>
        <a:noFill/>
        <a:ln w="25400">
          <a:noFill/>
        </a:ln>
      </c:spPr>
    </c:plotArea>
    <c:legend>
      <c:legendPos val="b"/>
      <c:overlay val="0"/>
      <c:txPr>
        <a:bodyPr/>
        <a:lstStyle/>
        <a:p>
          <a:pPr>
            <a:defRPr b="0"/>
          </a:pPr>
          <a:endParaRPr lang="en-US"/>
        </a:p>
      </c:txPr>
    </c:legend>
    <c:plotVisOnly val="1"/>
    <c:dispBlanksAs val="gap"/>
    <c:showDLblsOverMax val="0"/>
  </c:chart>
  <c:spPr>
    <a:noFill/>
    <a:ln w="6350">
      <a:noFill/>
    </a:ln>
  </c:spPr>
  <c:txPr>
    <a:bodyPr/>
    <a:lstStyle/>
    <a:p>
      <a:pPr>
        <a:defRPr sz="900">
          <a:solidFill>
            <a:srgbClr val="000000"/>
          </a:solidFill>
          <a:latin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806013071895424"/>
          <c:y val="5.0925925925925923E-2"/>
          <c:w val="0.57080212418300658"/>
          <c:h val="0.7577544473607466"/>
        </c:manualLayout>
      </c:layout>
      <c:barChart>
        <c:barDir val="bar"/>
        <c:grouping val="clustered"/>
        <c:varyColors val="0"/>
        <c:ser>
          <c:idx val="0"/>
          <c:order val="0"/>
          <c:spPr>
            <a:solidFill>
              <a:srgbClr val="66BCDB"/>
            </a:solidFill>
            <a:ln w="25400">
              <a:noFill/>
            </a:ln>
          </c:spPr>
          <c:invertIfNegative val="0"/>
          <c:cat>
            <c:strRef>
              <c:f>'[Confidential External Data Requests - 2024 - PC (confirmed breaches and waivers).xls]Figure C.6'!$A$4:$A$10</c:f>
              <c:strCache>
                <c:ptCount val="7"/>
                <c:pt idx="0">
                  <c:v>Catholic schools</c:v>
                </c:pt>
                <c:pt idx="1">
                  <c:v>Independent schools</c:v>
                </c:pt>
                <c:pt idx="2">
                  <c:v>Private for profit</c:v>
                </c:pt>
                <c:pt idx="3">
                  <c:v>Private not for profit community managed</c:v>
                </c:pt>
                <c:pt idx="4">
                  <c:v>Private not for profit other organisation</c:v>
                </c:pt>
                <c:pt idx="5">
                  <c:v>State/territory and local government managed</c:v>
                </c:pt>
                <c:pt idx="6">
                  <c:v>State/territory government schools</c:v>
                </c:pt>
              </c:strCache>
            </c:strRef>
          </c:cat>
          <c:val>
            <c:numRef>
              <c:f>'[Confidential External Data Requests - 2024 - PC (confirmed breaches and waivers).xls]Figure C.6'!$C$4:$C$10</c:f>
              <c:numCache>
                <c:formatCode>0%</c:formatCode>
                <c:ptCount val="7"/>
                <c:pt idx="0">
                  <c:v>7.1428571428571425E-2</c:v>
                </c:pt>
                <c:pt idx="1">
                  <c:v>4.4265593561368208E-2</c:v>
                </c:pt>
                <c:pt idx="2">
                  <c:v>0.14566548501450211</c:v>
                </c:pt>
                <c:pt idx="3">
                  <c:v>5.184094256259205E-2</c:v>
                </c:pt>
                <c:pt idx="4">
                  <c:v>7.8589634664401026E-2</c:v>
                </c:pt>
                <c:pt idx="5">
                  <c:v>5.7788944723618091E-2</c:v>
                </c:pt>
                <c:pt idx="6">
                  <c:v>4.3026706231454007E-2</c:v>
                </c:pt>
              </c:numCache>
            </c:numRef>
          </c:val>
          <c:extLst>
            <c:ext xmlns:c16="http://schemas.microsoft.com/office/drawing/2014/chart" uri="{C3380CC4-5D6E-409C-BE32-E72D297353CC}">
              <c16:uniqueId val="{00000000-0FB4-4F67-8FCF-AF031E2F0273}"/>
            </c:ext>
          </c:extLst>
        </c:ser>
        <c:dLbls>
          <c:showLegendKey val="0"/>
          <c:showVal val="0"/>
          <c:showCatName val="0"/>
          <c:showSerName val="0"/>
          <c:showPercent val="0"/>
          <c:showBubbleSize val="0"/>
        </c:dLbls>
        <c:gapWidth val="219"/>
        <c:overlap val="-27"/>
        <c:axId val="1960856720"/>
        <c:axId val="1"/>
      </c:barChart>
      <c:catAx>
        <c:axId val="1960856720"/>
        <c:scaling>
          <c:orientation val="minMax"/>
        </c:scaling>
        <c:delete val="0"/>
        <c:axPos val="l"/>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
        <c:crosses val="autoZero"/>
        <c:auto val="1"/>
        <c:lblAlgn val="ctr"/>
        <c:lblOffset val="100"/>
        <c:noMultiLvlLbl val="0"/>
      </c:catAx>
      <c:valAx>
        <c:axId val="1"/>
        <c:scaling>
          <c:orientation val="minMax"/>
          <c:max val="0.16000000000000003"/>
          <c:min val="0"/>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Percentage</a:t>
                </a:r>
                <a:r>
                  <a:rPr lang="en-AU" baseline="0"/>
                  <a:t> of all services in category</a:t>
                </a:r>
                <a:endParaRPr lang="en-AU"/>
              </a:p>
            </c:rich>
          </c:tx>
          <c:overlay val="0"/>
          <c:spPr>
            <a:noFill/>
            <a:ln w="25400">
              <a:noFill/>
            </a:ln>
          </c:spPr>
        </c:title>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960856720"/>
        <c:crosses val="autoZero"/>
        <c:crossBetween val="between"/>
      </c:valAx>
      <c:spPr>
        <a:noFill/>
        <a:ln w="25400">
          <a:noFill/>
        </a:ln>
      </c:spPr>
    </c:plotArea>
    <c:plotVisOnly val="1"/>
    <c:dispBlanksAs val="gap"/>
    <c:showDLblsOverMax val="0"/>
  </c:chart>
  <c:spPr>
    <a:noFill/>
    <a:ln w="6350">
      <a:noFill/>
    </a:ln>
  </c:spPr>
  <c:txPr>
    <a:bodyPr/>
    <a:lstStyle/>
    <a:p>
      <a:pPr>
        <a:defRPr sz="900">
          <a:solidFill>
            <a:srgbClr val="000000"/>
          </a:solidFill>
          <a:latin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Exceeding or Excellent</c:v>
          </c:tx>
          <c:spPr>
            <a:ln w="25400" cap="rnd" cmpd="sng" algn="ctr">
              <a:solidFill>
                <a:srgbClr val="66BCDB"/>
              </a:solidFill>
              <a:prstDash val="solid"/>
              <a:round/>
              <a:headEnd type="none" w="med" len="med"/>
              <a:tailEnd type="none" w="med" len="med"/>
            </a:ln>
            <a:effectLst/>
          </c:spPr>
          <c:marker>
            <c:symbol val="none"/>
          </c:marker>
          <c:cat>
            <c:strRef>
              <c:f>'Figure 8.3&amp;C.7'!$I$3:$I$45</c:f>
              <c:strCache>
                <c:ptCount val="4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pt idx="13">
                  <c:v>Q4 2016</c:v>
                </c:pt>
                <c:pt idx="14">
                  <c:v>Q1 2017</c:v>
                </c:pt>
                <c:pt idx="15">
                  <c:v>Q2 2017</c:v>
                </c:pt>
                <c:pt idx="16">
                  <c:v>Q3 2017</c:v>
                </c:pt>
                <c:pt idx="17">
                  <c:v>Q4 2017</c:v>
                </c:pt>
                <c:pt idx="18">
                  <c:v>Q1 2018</c:v>
                </c:pt>
                <c:pt idx="19">
                  <c:v>Q2 2018</c:v>
                </c:pt>
                <c:pt idx="20">
                  <c:v>Q3 2018</c:v>
                </c:pt>
                <c:pt idx="21">
                  <c:v>Q4 2018</c:v>
                </c:pt>
                <c:pt idx="22">
                  <c:v>Q1 2019</c:v>
                </c:pt>
                <c:pt idx="23">
                  <c:v>Q2 2019</c:v>
                </c:pt>
                <c:pt idx="24">
                  <c:v>Q3 2019</c:v>
                </c:pt>
                <c:pt idx="25">
                  <c:v>Q4 2019</c:v>
                </c:pt>
                <c:pt idx="26">
                  <c:v>Q1 2020</c:v>
                </c:pt>
                <c:pt idx="27">
                  <c:v>Q2 2020</c:v>
                </c:pt>
                <c:pt idx="28">
                  <c:v>Q3 2020</c:v>
                </c:pt>
                <c:pt idx="29">
                  <c:v>Q4 2020</c:v>
                </c:pt>
                <c:pt idx="30">
                  <c:v>Q1 2021</c:v>
                </c:pt>
                <c:pt idx="31">
                  <c:v>Q2 2021</c:v>
                </c:pt>
                <c:pt idx="32">
                  <c:v>Q3 2021</c:v>
                </c:pt>
                <c:pt idx="33">
                  <c:v>Q4 2021</c:v>
                </c:pt>
                <c:pt idx="34">
                  <c:v>Q1 2022</c:v>
                </c:pt>
                <c:pt idx="35">
                  <c:v>Q2 2022</c:v>
                </c:pt>
                <c:pt idx="36">
                  <c:v>Q3 2022</c:v>
                </c:pt>
                <c:pt idx="37">
                  <c:v>Q4 2022</c:v>
                </c:pt>
                <c:pt idx="38">
                  <c:v>Q1 2023</c:v>
                </c:pt>
                <c:pt idx="39">
                  <c:v>Q2 2023</c:v>
                </c:pt>
                <c:pt idx="40">
                  <c:v>Q3 2023</c:v>
                </c:pt>
                <c:pt idx="41">
                  <c:v>Q4 2023</c:v>
                </c:pt>
                <c:pt idx="42">
                  <c:v>Q1 2024</c:v>
                </c:pt>
              </c:strCache>
            </c:strRef>
          </c:cat>
          <c:val>
            <c:numRef>
              <c:f>'Figure 8.3&amp;C.7'!$J$3:$J$45</c:f>
              <c:numCache>
                <c:formatCode>0%</c:formatCode>
                <c:ptCount val="43"/>
                <c:pt idx="0">
                  <c:v>0.23568730020342923</c:v>
                </c:pt>
                <c:pt idx="1">
                  <c:v>0.25199645075421473</c:v>
                </c:pt>
                <c:pt idx="2">
                  <c:v>0.25767716535433072</c:v>
                </c:pt>
                <c:pt idx="3">
                  <c:v>0.26297696803025095</c:v>
                </c:pt>
                <c:pt idx="4">
                  <c:v>0.2809941955648162</c:v>
                </c:pt>
                <c:pt idx="5">
                  <c:v>0.28569557243908827</c:v>
                </c:pt>
                <c:pt idx="6">
                  <c:v>0.28226487987444165</c:v>
                </c:pt>
                <c:pt idx="7">
                  <c:v>0.28309964679439154</c:v>
                </c:pt>
                <c:pt idx="8">
                  <c:v>0.28661992123715302</c:v>
                </c:pt>
                <c:pt idx="9">
                  <c:v>0.29255508173418621</c:v>
                </c:pt>
                <c:pt idx="10">
                  <c:v>0.29247697031729786</c:v>
                </c:pt>
                <c:pt idx="11">
                  <c:v>0.29715867459089801</c:v>
                </c:pt>
                <c:pt idx="12">
                  <c:v>0.30196354533364622</c:v>
                </c:pt>
                <c:pt idx="13">
                  <c:v>0.30792934986847048</c:v>
                </c:pt>
                <c:pt idx="14">
                  <c:v>0.31005198037923715</c:v>
                </c:pt>
                <c:pt idx="15">
                  <c:v>0.316505955757232</c:v>
                </c:pt>
                <c:pt idx="16">
                  <c:v>0.32378839353809885</c:v>
                </c:pt>
                <c:pt idx="17">
                  <c:v>0.33165384353509908</c:v>
                </c:pt>
                <c:pt idx="18">
                  <c:v>0.33387788441903204</c:v>
                </c:pt>
                <c:pt idx="19">
                  <c:v>0.33008789722785664</c:v>
                </c:pt>
                <c:pt idx="20">
                  <c:v>0.32446236559139785</c:v>
                </c:pt>
                <c:pt idx="21">
                  <c:v>0.32075725026852847</c:v>
                </c:pt>
                <c:pt idx="22">
                  <c:v>0.31664093441632546</c:v>
                </c:pt>
                <c:pt idx="23">
                  <c:v>0.31327800829875518</c:v>
                </c:pt>
                <c:pt idx="24">
                  <c:v>0.30717863105175292</c:v>
                </c:pt>
                <c:pt idx="25">
                  <c:v>0.30145294588109839</c:v>
                </c:pt>
                <c:pt idx="26">
                  <c:v>0.29791334396597552</c:v>
                </c:pt>
                <c:pt idx="27">
                  <c:v>0.29577932868062479</c:v>
                </c:pt>
                <c:pt idx="28">
                  <c:v>0.29731887432639215</c:v>
                </c:pt>
                <c:pt idx="29">
                  <c:v>0.29755228607244177</c:v>
                </c:pt>
                <c:pt idx="30">
                  <c:v>0.29580515985032496</c:v>
                </c:pt>
                <c:pt idx="31">
                  <c:v>0.28341898133090482</c:v>
                </c:pt>
                <c:pt idx="32">
                  <c:v>0.27470675912124942</c:v>
                </c:pt>
                <c:pt idx="33">
                  <c:v>0.27271549770092612</c:v>
                </c:pt>
                <c:pt idx="34">
                  <c:v>0.27171014115657321</c:v>
                </c:pt>
                <c:pt idx="35">
                  <c:v>0.2711412017446781</c:v>
                </c:pt>
                <c:pt idx="36">
                  <c:v>0.26955843142355468</c:v>
                </c:pt>
                <c:pt idx="37">
                  <c:v>0.26218886322812418</c:v>
                </c:pt>
                <c:pt idx="38">
                  <c:v>0.25701143550757044</c:v>
                </c:pt>
                <c:pt idx="39">
                  <c:v>0.2407231208372978</c:v>
                </c:pt>
                <c:pt idx="40">
                  <c:v>0.23710949826443672</c:v>
                </c:pt>
                <c:pt idx="41">
                  <c:v>0.23272886992533098</c:v>
                </c:pt>
                <c:pt idx="42">
                  <c:v>0.22896318557475581</c:v>
                </c:pt>
              </c:numCache>
            </c:numRef>
          </c:val>
          <c:smooth val="0"/>
          <c:extLst>
            <c:ext xmlns:c16="http://schemas.microsoft.com/office/drawing/2014/chart" uri="{C3380CC4-5D6E-409C-BE32-E72D297353CC}">
              <c16:uniqueId val="{00000000-63DA-495D-A693-14546E643100}"/>
            </c:ext>
          </c:extLst>
        </c:ser>
        <c:ser>
          <c:idx val="1"/>
          <c:order val="1"/>
          <c:tx>
            <c:v>Meeting</c:v>
          </c:tx>
          <c:spPr>
            <a:ln w="25400" cap="rnd" cmpd="sng" algn="ctr">
              <a:solidFill>
                <a:srgbClr val="265A9A"/>
              </a:solidFill>
              <a:prstDash val="solid"/>
              <a:round/>
              <a:headEnd type="none" w="med" len="med"/>
              <a:tailEnd type="none" w="med" len="med"/>
            </a:ln>
            <a:effectLst/>
          </c:spPr>
          <c:marker>
            <c:symbol val="none"/>
          </c:marker>
          <c:cat>
            <c:strRef>
              <c:f>'Figure 8.3&amp;C.7'!$I$3:$I$45</c:f>
              <c:strCache>
                <c:ptCount val="4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pt idx="13">
                  <c:v>Q4 2016</c:v>
                </c:pt>
                <c:pt idx="14">
                  <c:v>Q1 2017</c:v>
                </c:pt>
                <c:pt idx="15">
                  <c:v>Q2 2017</c:v>
                </c:pt>
                <c:pt idx="16">
                  <c:v>Q3 2017</c:v>
                </c:pt>
                <c:pt idx="17">
                  <c:v>Q4 2017</c:v>
                </c:pt>
                <c:pt idx="18">
                  <c:v>Q1 2018</c:v>
                </c:pt>
                <c:pt idx="19">
                  <c:v>Q2 2018</c:v>
                </c:pt>
                <c:pt idx="20">
                  <c:v>Q3 2018</c:v>
                </c:pt>
                <c:pt idx="21">
                  <c:v>Q4 2018</c:v>
                </c:pt>
                <c:pt idx="22">
                  <c:v>Q1 2019</c:v>
                </c:pt>
                <c:pt idx="23">
                  <c:v>Q2 2019</c:v>
                </c:pt>
                <c:pt idx="24">
                  <c:v>Q3 2019</c:v>
                </c:pt>
                <c:pt idx="25">
                  <c:v>Q4 2019</c:v>
                </c:pt>
                <c:pt idx="26">
                  <c:v>Q1 2020</c:v>
                </c:pt>
                <c:pt idx="27">
                  <c:v>Q2 2020</c:v>
                </c:pt>
                <c:pt idx="28">
                  <c:v>Q3 2020</c:v>
                </c:pt>
                <c:pt idx="29">
                  <c:v>Q4 2020</c:v>
                </c:pt>
                <c:pt idx="30">
                  <c:v>Q1 2021</c:v>
                </c:pt>
                <c:pt idx="31">
                  <c:v>Q2 2021</c:v>
                </c:pt>
                <c:pt idx="32">
                  <c:v>Q3 2021</c:v>
                </c:pt>
                <c:pt idx="33">
                  <c:v>Q4 2021</c:v>
                </c:pt>
                <c:pt idx="34">
                  <c:v>Q1 2022</c:v>
                </c:pt>
                <c:pt idx="35">
                  <c:v>Q2 2022</c:v>
                </c:pt>
                <c:pt idx="36">
                  <c:v>Q3 2022</c:v>
                </c:pt>
                <c:pt idx="37">
                  <c:v>Q4 2022</c:v>
                </c:pt>
                <c:pt idx="38">
                  <c:v>Q1 2023</c:v>
                </c:pt>
                <c:pt idx="39">
                  <c:v>Q2 2023</c:v>
                </c:pt>
                <c:pt idx="40">
                  <c:v>Q3 2023</c:v>
                </c:pt>
                <c:pt idx="41">
                  <c:v>Q4 2023</c:v>
                </c:pt>
                <c:pt idx="42">
                  <c:v>Q1 2024</c:v>
                </c:pt>
              </c:strCache>
            </c:strRef>
          </c:cat>
          <c:val>
            <c:numRef>
              <c:f>'Figure 8.3&amp;C.7'!$K$3:$K$45</c:f>
              <c:numCache>
                <c:formatCode>0%</c:formatCode>
                <c:ptCount val="43"/>
                <c:pt idx="0">
                  <c:v>0.33711130485324031</c:v>
                </c:pt>
                <c:pt idx="1">
                  <c:v>0.34361135758651284</c:v>
                </c:pt>
                <c:pt idx="2">
                  <c:v>0.34921259842519686</c:v>
                </c:pt>
                <c:pt idx="3">
                  <c:v>0.36008937779305605</c:v>
                </c:pt>
                <c:pt idx="4">
                  <c:v>0.36448876320881085</c:v>
                </c:pt>
                <c:pt idx="5">
                  <c:v>0.36782813728058683</c:v>
                </c:pt>
                <c:pt idx="6">
                  <c:v>0.3755885548714234</c:v>
                </c:pt>
                <c:pt idx="7">
                  <c:v>0.38178315316279565</c:v>
                </c:pt>
                <c:pt idx="8">
                  <c:v>0.38766689078858901</c:v>
                </c:pt>
                <c:pt idx="9">
                  <c:v>0.39392324093816633</c:v>
                </c:pt>
                <c:pt idx="10">
                  <c:v>0.40370180825656771</c:v>
                </c:pt>
                <c:pt idx="11">
                  <c:v>0.40722950419278675</c:v>
                </c:pt>
                <c:pt idx="12">
                  <c:v>0.41250097786122192</c:v>
                </c:pt>
                <c:pt idx="13">
                  <c:v>0.41585869973694101</c:v>
                </c:pt>
                <c:pt idx="14">
                  <c:v>0.41716084632842815</c:v>
                </c:pt>
                <c:pt idx="15">
                  <c:v>0.41768292682926828</c:v>
                </c:pt>
                <c:pt idx="16">
                  <c:v>0.42439159675518268</c:v>
                </c:pt>
                <c:pt idx="17">
                  <c:v>0.43453394158099001</c:v>
                </c:pt>
                <c:pt idx="18">
                  <c:v>0.43672997073037917</c:v>
                </c:pt>
                <c:pt idx="19">
                  <c:v>0.44881676808654497</c:v>
                </c:pt>
                <c:pt idx="20">
                  <c:v>0.45967741935483869</c:v>
                </c:pt>
                <c:pt idx="21">
                  <c:v>0.46744092373791624</c:v>
                </c:pt>
                <c:pt idx="22">
                  <c:v>0.47318251997046384</c:v>
                </c:pt>
                <c:pt idx="23">
                  <c:v>0.47831615580243608</c:v>
                </c:pt>
                <c:pt idx="24">
                  <c:v>0.48420701168614355</c:v>
                </c:pt>
                <c:pt idx="25">
                  <c:v>0.49746734204212212</c:v>
                </c:pt>
                <c:pt idx="26">
                  <c:v>0.50611376927166396</c:v>
                </c:pt>
                <c:pt idx="27">
                  <c:v>0.51764705882352946</c:v>
                </c:pt>
                <c:pt idx="28">
                  <c:v>0.5219213625174639</c:v>
                </c:pt>
                <c:pt idx="29">
                  <c:v>0.53810120736293465</c:v>
                </c:pt>
                <c:pt idx="30">
                  <c:v>0.55268167793605982</c:v>
                </c:pt>
                <c:pt idx="31">
                  <c:v>0.57750601704286741</c:v>
                </c:pt>
                <c:pt idx="32">
                  <c:v>0.58816667746743567</c:v>
                </c:pt>
                <c:pt idx="33">
                  <c:v>0.59329058998769513</c:v>
                </c:pt>
                <c:pt idx="34">
                  <c:v>0.59793143823586803</c:v>
                </c:pt>
                <c:pt idx="35">
                  <c:v>0.60399713560315083</c:v>
                </c:pt>
                <c:pt idx="36">
                  <c:v>0.6099369187747935</c:v>
                </c:pt>
                <c:pt idx="37">
                  <c:v>0.62637926610212979</c:v>
                </c:pt>
                <c:pt idx="38">
                  <c:v>0.63316936050597328</c:v>
                </c:pt>
                <c:pt idx="39">
                  <c:v>0.65042816365366318</c:v>
                </c:pt>
                <c:pt idx="40">
                  <c:v>0.6579993688860839</c:v>
                </c:pt>
                <c:pt idx="41">
                  <c:v>0.66417769969253937</c:v>
                </c:pt>
                <c:pt idx="42">
                  <c:v>0.66841973453543702</c:v>
                </c:pt>
              </c:numCache>
            </c:numRef>
          </c:val>
          <c:smooth val="0"/>
          <c:extLst>
            <c:ext xmlns:c16="http://schemas.microsoft.com/office/drawing/2014/chart" uri="{C3380CC4-5D6E-409C-BE32-E72D297353CC}">
              <c16:uniqueId val="{00000001-63DA-495D-A693-14546E643100}"/>
            </c:ext>
          </c:extLst>
        </c:ser>
        <c:ser>
          <c:idx val="2"/>
          <c:order val="2"/>
          <c:tx>
            <c:v>Working Towards</c:v>
          </c:tx>
          <c:spPr>
            <a:ln w="25400" cap="rnd" cmpd="sng" algn="ctr">
              <a:solidFill>
                <a:srgbClr val="78A22F"/>
              </a:solidFill>
              <a:prstDash val="solid"/>
              <a:round/>
              <a:headEnd type="none" w="med" len="med"/>
              <a:tailEnd type="none" w="med" len="med"/>
            </a:ln>
            <a:effectLst/>
          </c:spPr>
          <c:marker>
            <c:symbol val="none"/>
          </c:marker>
          <c:cat>
            <c:strRef>
              <c:f>'Figure 8.3&amp;C.7'!$I$3:$I$45</c:f>
              <c:strCache>
                <c:ptCount val="4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pt idx="13">
                  <c:v>Q4 2016</c:v>
                </c:pt>
                <c:pt idx="14">
                  <c:v>Q1 2017</c:v>
                </c:pt>
                <c:pt idx="15">
                  <c:v>Q2 2017</c:v>
                </c:pt>
                <c:pt idx="16">
                  <c:v>Q3 2017</c:v>
                </c:pt>
                <c:pt idx="17">
                  <c:v>Q4 2017</c:v>
                </c:pt>
                <c:pt idx="18">
                  <c:v>Q1 2018</c:v>
                </c:pt>
                <c:pt idx="19">
                  <c:v>Q2 2018</c:v>
                </c:pt>
                <c:pt idx="20">
                  <c:v>Q3 2018</c:v>
                </c:pt>
                <c:pt idx="21">
                  <c:v>Q4 2018</c:v>
                </c:pt>
                <c:pt idx="22">
                  <c:v>Q1 2019</c:v>
                </c:pt>
                <c:pt idx="23">
                  <c:v>Q2 2019</c:v>
                </c:pt>
                <c:pt idx="24">
                  <c:v>Q3 2019</c:v>
                </c:pt>
                <c:pt idx="25">
                  <c:v>Q4 2019</c:v>
                </c:pt>
                <c:pt idx="26">
                  <c:v>Q1 2020</c:v>
                </c:pt>
                <c:pt idx="27">
                  <c:v>Q2 2020</c:v>
                </c:pt>
                <c:pt idx="28">
                  <c:v>Q3 2020</c:v>
                </c:pt>
                <c:pt idx="29">
                  <c:v>Q4 2020</c:v>
                </c:pt>
                <c:pt idx="30">
                  <c:v>Q1 2021</c:v>
                </c:pt>
                <c:pt idx="31">
                  <c:v>Q2 2021</c:v>
                </c:pt>
                <c:pt idx="32">
                  <c:v>Q3 2021</c:v>
                </c:pt>
                <c:pt idx="33">
                  <c:v>Q4 2021</c:v>
                </c:pt>
                <c:pt idx="34">
                  <c:v>Q1 2022</c:v>
                </c:pt>
                <c:pt idx="35">
                  <c:v>Q2 2022</c:v>
                </c:pt>
                <c:pt idx="36">
                  <c:v>Q3 2022</c:v>
                </c:pt>
                <c:pt idx="37">
                  <c:v>Q4 2022</c:v>
                </c:pt>
                <c:pt idx="38">
                  <c:v>Q1 2023</c:v>
                </c:pt>
                <c:pt idx="39">
                  <c:v>Q2 2023</c:v>
                </c:pt>
                <c:pt idx="40">
                  <c:v>Q3 2023</c:v>
                </c:pt>
                <c:pt idx="41">
                  <c:v>Q4 2023</c:v>
                </c:pt>
                <c:pt idx="42">
                  <c:v>Q1 2024</c:v>
                </c:pt>
              </c:strCache>
            </c:strRef>
          </c:cat>
          <c:val>
            <c:numRef>
              <c:f>'Figure 8.3&amp;C.7'!$L$3:$L$45</c:f>
              <c:numCache>
                <c:formatCode>0%</c:formatCode>
                <c:ptCount val="43"/>
                <c:pt idx="0">
                  <c:v>0.42371403661726242</c:v>
                </c:pt>
                <c:pt idx="1">
                  <c:v>0.40173025732031942</c:v>
                </c:pt>
                <c:pt idx="2">
                  <c:v>0.39153543307086613</c:v>
                </c:pt>
                <c:pt idx="3">
                  <c:v>0.3759023719491234</c:v>
                </c:pt>
                <c:pt idx="4">
                  <c:v>0.35362405119809498</c:v>
                </c:pt>
                <c:pt idx="5">
                  <c:v>0.34569033272203303</c:v>
                </c:pt>
                <c:pt idx="6">
                  <c:v>0.34130146082337315</c:v>
                </c:pt>
                <c:pt idx="7">
                  <c:v>0.33415391201969391</c:v>
                </c:pt>
                <c:pt idx="8">
                  <c:v>0.32484871770243012</c:v>
                </c:pt>
                <c:pt idx="9">
                  <c:v>0.31298862828713575</c:v>
                </c:pt>
                <c:pt idx="10">
                  <c:v>0.3032241555783009</c:v>
                </c:pt>
                <c:pt idx="11">
                  <c:v>0.29455344785475862</c:v>
                </c:pt>
                <c:pt idx="12">
                  <c:v>0.28389266995228035</c:v>
                </c:pt>
                <c:pt idx="13">
                  <c:v>0.27373167981961666</c:v>
                </c:pt>
                <c:pt idx="14">
                  <c:v>0.26993191302437952</c:v>
                </c:pt>
                <c:pt idx="15">
                  <c:v>0.26297504254112308</c:v>
                </c:pt>
                <c:pt idx="16">
                  <c:v>0.2490466615821951</c:v>
                </c:pt>
                <c:pt idx="17">
                  <c:v>0.23122489276230679</c:v>
                </c:pt>
                <c:pt idx="18">
                  <c:v>0.22694166496494453</c:v>
                </c:pt>
                <c:pt idx="19">
                  <c:v>0.21933739012846518</c:v>
                </c:pt>
                <c:pt idx="20">
                  <c:v>0.21451612903225806</c:v>
                </c:pt>
                <c:pt idx="21">
                  <c:v>0.21106337271750805</c:v>
                </c:pt>
                <c:pt idx="22">
                  <c:v>0.20950526951735249</c:v>
                </c:pt>
                <c:pt idx="23">
                  <c:v>0.20766965600321241</c:v>
                </c:pt>
                <c:pt idx="24">
                  <c:v>0.20794657762938232</c:v>
                </c:pt>
                <c:pt idx="25">
                  <c:v>0.2003465742468675</c:v>
                </c:pt>
                <c:pt idx="26">
                  <c:v>0.19537480063795853</c:v>
                </c:pt>
                <c:pt idx="27">
                  <c:v>0.18584247258225323</c:v>
                </c:pt>
                <c:pt idx="28">
                  <c:v>0.17996141307963542</c:v>
                </c:pt>
                <c:pt idx="29">
                  <c:v>0.16375272151481163</c:v>
                </c:pt>
                <c:pt idx="30">
                  <c:v>0.15085669270662377</c:v>
                </c:pt>
                <c:pt idx="31">
                  <c:v>0.13848955961751122</c:v>
                </c:pt>
                <c:pt idx="32">
                  <c:v>0.13660812649860671</c:v>
                </c:pt>
                <c:pt idx="33">
                  <c:v>0.13360533644194028</c:v>
                </c:pt>
                <c:pt idx="34">
                  <c:v>0.13003317504716061</c:v>
                </c:pt>
                <c:pt idx="35">
                  <c:v>0.1244710630818306</c:v>
                </c:pt>
                <c:pt idx="36">
                  <c:v>0.1203745854197828</c:v>
                </c:pt>
                <c:pt idx="37">
                  <c:v>0.11098280728765718</c:v>
                </c:pt>
                <c:pt idx="38">
                  <c:v>0.10956366191784322</c:v>
                </c:pt>
                <c:pt idx="39">
                  <c:v>0.10878528385664446</c:v>
                </c:pt>
                <c:pt idx="40">
                  <c:v>0.10470179867466077</c:v>
                </c:pt>
                <c:pt idx="41">
                  <c:v>0.10259145384953254</c:v>
                </c:pt>
                <c:pt idx="42">
                  <c:v>0.10211620335587278</c:v>
                </c:pt>
              </c:numCache>
            </c:numRef>
          </c:val>
          <c:smooth val="0"/>
          <c:extLst>
            <c:ext xmlns:c16="http://schemas.microsoft.com/office/drawing/2014/chart" uri="{C3380CC4-5D6E-409C-BE32-E72D297353CC}">
              <c16:uniqueId val="{00000002-63DA-495D-A693-14546E643100}"/>
            </c:ext>
          </c:extLst>
        </c:ser>
        <c:ser>
          <c:idx val="3"/>
          <c:order val="3"/>
          <c:tx>
            <c:v>Meeting NQS or above</c:v>
          </c:tx>
          <c:spPr>
            <a:ln w="28575" cap="rnd">
              <a:solidFill>
                <a:schemeClr val="bg1">
                  <a:lumMod val="65000"/>
                </a:schemeClr>
              </a:solidFill>
              <a:prstDash val="dash"/>
              <a:round/>
            </a:ln>
            <a:effectLst/>
          </c:spPr>
          <c:marker>
            <c:symbol val="none"/>
          </c:marker>
          <c:cat>
            <c:strRef>
              <c:f>'Figure 8.3&amp;C.7'!$I$3:$I$45</c:f>
              <c:strCache>
                <c:ptCount val="43"/>
                <c:pt idx="0">
                  <c:v>Q3 2013</c:v>
                </c:pt>
                <c:pt idx="1">
                  <c:v>Q4 2013</c:v>
                </c:pt>
                <c:pt idx="2">
                  <c:v>Q1 2014</c:v>
                </c:pt>
                <c:pt idx="3">
                  <c:v>Q2 2014</c:v>
                </c:pt>
                <c:pt idx="4">
                  <c:v>Q3 2014</c:v>
                </c:pt>
                <c:pt idx="5">
                  <c:v>Q4 2014</c:v>
                </c:pt>
                <c:pt idx="6">
                  <c:v>Q1 2015</c:v>
                </c:pt>
                <c:pt idx="7">
                  <c:v>Q2 2015</c:v>
                </c:pt>
                <c:pt idx="8">
                  <c:v>Q3 2015</c:v>
                </c:pt>
                <c:pt idx="9">
                  <c:v>Q4 2015</c:v>
                </c:pt>
                <c:pt idx="10">
                  <c:v>Q1 2016</c:v>
                </c:pt>
                <c:pt idx="11">
                  <c:v>Q2 2016</c:v>
                </c:pt>
                <c:pt idx="12">
                  <c:v>Q3 2016</c:v>
                </c:pt>
                <c:pt idx="13">
                  <c:v>Q4 2016</c:v>
                </c:pt>
                <c:pt idx="14">
                  <c:v>Q1 2017</c:v>
                </c:pt>
                <c:pt idx="15">
                  <c:v>Q2 2017</c:v>
                </c:pt>
                <c:pt idx="16">
                  <c:v>Q3 2017</c:v>
                </c:pt>
                <c:pt idx="17">
                  <c:v>Q4 2017</c:v>
                </c:pt>
                <c:pt idx="18">
                  <c:v>Q1 2018</c:v>
                </c:pt>
                <c:pt idx="19">
                  <c:v>Q2 2018</c:v>
                </c:pt>
                <c:pt idx="20">
                  <c:v>Q3 2018</c:v>
                </c:pt>
                <c:pt idx="21">
                  <c:v>Q4 2018</c:v>
                </c:pt>
                <c:pt idx="22">
                  <c:v>Q1 2019</c:v>
                </c:pt>
                <c:pt idx="23">
                  <c:v>Q2 2019</c:v>
                </c:pt>
                <c:pt idx="24">
                  <c:v>Q3 2019</c:v>
                </c:pt>
                <c:pt idx="25">
                  <c:v>Q4 2019</c:v>
                </c:pt>
                <c:pt idx="26">
                  <c:v>Q1 2020</c:v>
                </c:pt>
                <c:pt idx="27">
                  <c:v>Q2 2020</c:v>
                </c:pt>
                <c:pt idx="28">
                  <c:v>Q3 2020</c:v>
                </c:pt>
                <c:pt idx="29">
                  <c:v>Q4 2020</c:v>
                </c:pt>
                <c:pt idx="30">
                  <c:v>Q1 2021</c:v>
                </c:pt>
                <c:pt idx="31">
                  <c:v>Q2 2021</c:v>
                </c:pt>
                <c:pt idx="32">
                  <c:v>Q3 2021</c:v>
                </c:pt>
                <c:pt idx="33">
                  <c:v>Q4 2021</c:v>
                </c:pt>
                <c:pt idx="34">
                  <c:v>Q1 2022</c:v>
                </c:pt>
                <c:pt idx="35">
                  <c:v>Q2 2022</c:v>
                </c:pt>
                <c:pt idx="36">
                  <c:v>Q3 2022</c:v>
                </c:pt>
                <c:pt idx="37">
                  <c:v>Q4 2022</c:v>
                </c:pt>
                <c:pt idx="38">
                  <c:v>Q1 2023</c:v>
                </c:pt>
                <c:pt idx="39">
                  <c:v>Q2 2023</c:v>
                </c:pt>
                <c:pt idx="40">
                  <c:v>Q3 2023</c:v>
                </c:pt>
                <c:pt idx="41">
                  <c:v>Q4 2023</c:v>
                </c:pt>
                <c:pt idx="42">
                  <c:v>Q1 2024</c:v>
                </c:pt>
              </c:strCache>
            </c:strRef>
          </c:cat>
          <c:val>
            <c:numRef>
              <c:f>'Figure 8.3&amp;C.7'!$O$3:$O$45</c:f>
              <c:numCache>
                <c:formatCode>0%</c:formatCode>
                <c:ptCount val="43"/>
                <c:pt idx="0">
                  <c:v>0.57279860505666957</c:v>
                </c:pt>
                <c:pt idx="1">
                  <c:v>0.59560780834072757</c:v>
                </c:pt>
                <c:pt idx="2">
                  <c:v>0.60688976377952752</c:v>
                </c:pt>
                <c:pt idx="3">
                  <c:v>0.623066345823307</c:v>
                </c:pt>
                <c:pt idx="4">
                  <c:v>0.64548295877362705</c:v>
                </c:pt>
                <c:pt idx="5">
                  <c:v>0.65352370971967511</c:v>
                </c:pt>
                <c:pt idx="6">
                  <c:v>0.657853434745865</c:v>
                </c:pt>
                <c:pt idx="7">
                  <c:v>0.66488279995718724</c:v>
                </c:pt>
                <c:pt idx="8">
                  <c:v>0.67428681202574203</c:v>
                </c:pt>
                <c:pt idx="9">
                  <c:v>0.68647832267235254</c:v>
                </c:pt>
                <c:pt idx="10">
                  <c:v>0.69617877857386556</c:v>
                </c:pt>
                <c:pt idx="11">
                  <c:v>0.70438817878368476</c:v>
                </c:pt>
                <c:pt idx="12">
                  <c:v>0.7144645231948682</c:v>
                </c:pt>
                <c:pt idx="13">
                  <c:v>0.72378804960541154</c:v>
                </c:pt>
                <c:pt idx="14">
                  <c:v>0.72721282670766529</c:v>
                </c:pt>
                <c:pt idx="15">
                  <c:v>0.73418888258650028</c:v>
                </c:pt>
                <c:pt idx="16">
                  <c:v>0.74817999029328153</c:v>
                </c:pt>
                <c:pt idx="17">
                  <c:v>0.76618778511608909</c:v>
                </c:pt>
                <c:pt idx="18">
                  <c:v>0.77060785514941121</c:v>
                </c:pt>
                <c:pt idx="19">
                  <c:v>0.77890466531440161</c:v>
                </c:pt>
                <c:pt idx="20">
                  <c:v>0.7841397849462366</c:v>
                </c:pt>
                <c:pt idx="21">
                  <c:v>0.78819817400644465</c:v>
                </c:pt>
                <c:pt idx="22">
                  <c:v>0.78982345438678925</c:v>
                </c:pt>
                <c:pt idx="23">
                  <c:v>0.79159416410119132</c:v>
                </c:pt>
                <c:pt idx="24">
                  <c:v>0.79138564273789647</c:v>
                </c:pt>
                <c:pt idx="25">
                  <c:v>0.79892028792322045</c:v>
                </c:pt>
                <c:pt idx="26">
                  <c:v>0.80402711323763953</c:v>
                </c:pt>
                <c:pt idx="27">
                  <c:v>0.81342638750415419</c:v>
                </c:pt>
                <c:pt idx="28">
                  <c:v>0.81924023684385605</c:v>
                </c:pt>
                <c:pt idx="29">
                  <c:v>0.83565349343537643</c:v>
                </c:pt>
                <c:pt idx="30">
                  <c:v>0.84848683778638478</c:v>
                </c:pt>
                <c:pt idx="31">
                  <c:v>0.86092499837377223</c:v>
                </c:pt>
                <c:pt idx="32">
                  <c:v>0.86287343658868509</c:v>
                </c:pt>
                <c:pt idx="33">
                  <c:v>0.8660060876886212</c:v>
                </c:pt>
                <c:pt idx="34">
                  <c:v>0.86964157939244124</c:v>
                </c:pt>
                <c:pt idx="35">
                  <c:v>0.87513833734782887</c:v>
                </c:pt>
                <c:pt idx="36">
                  <c:v>0.87949535019834824</c:v>
                </c:pt>
                <c:pt idx="37">
                  <c:v>0.88856812933025409</c:v>
                </c:pt>
                <c:pt idx="38">
                  <c:v>0.89018079601354372</c:v>
                </c:pt>
                <c:pt idx="39">
                  <c:v>0.89115128449096104</c:v>
                </c:pt>
                <c:pt idx="40">
                  <c:v>0.89510886715052063</c:v>
                </c:pt>
                <c:pt idx="41">
                  <c:v>0.89690656961787041</c:v>
                </c:pt>
                <c:pt idx="42">
                  <c:v>0.89738292011019283</c:v>
                </c:pt>
              </c:numCache>
            </c:numRef>
          </c:val>
          <c:smooth val="0"/>
          <c:extLst>
            <c:ext xmlns:c16="http://schemas.microsoft.com/office/drawing/2014/chart" uri="{C3380CC4-5D6E-409C-BE32-E72D297353CC}">
              <c16:uniqueId val="{00000003-63DA-495D-A693-14546E643100}"/>
            </c:ext>
          </c:extLst>
        </c:ser>
        <c:dLbls>
          <c:showLegendKey val="0"/>
          <c:showVal val="0"/>
          <c:showCatName val="0"/>
          <c:showSerName val="0"/>
          <c:showPercent val="0"/>
          <c:showBubbleSize val="0"/>
        </c:dLbls>
        <c:smooth val="0"/>
        <c:axId val="1309472752"/>
        <c:axId val="1309473232"/>
      </c:lineChart>
      <c:dateAx>
        <c:axId val="1309472752"/>
        <c:scaling>
          <c:orientation val="minMax"/>
        </c:scaling>
        <c:delete val="0"/>
        <c:axPos val="b"/>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309473232"/>
        <c:crosses val="autoZero"/>
        <c:auto val="0"/>
        <c:lblOffset val="100"/>
        <c:baseTimeUnit val="days"/>
        <c:majorUnit val="6"/>
        <c:minorUnit val="6"/>
      </c:dateAx>
      <c:valAx>
        <c:axId val="1309473232"/>
        <c:scaling>
          <c:orientation val="minMax"/>
        </c:scaling>
        <c:delete val="0"/>
        <c:axPos val="l"/>
        <c:numFmt formatCode="0%"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309472752"/>
        <c:crosses val="autoZero"/>
        <c:crossBetween val="between"/>
        <c:majorUnit val="0.2"/>
      </c:valAx>
      <c:spPr>
        <a:noFill/>
        <a:ln>
          <a:noFill/>
        </a:ln>
        <a:effectLst/>
      </c:spPr>
    </c:plotArea>
    <c:legend>
      <c:legendPos val="b"/>
      <c:layout>
        <c:manualLayout>
          <c:xMode val="edge"/>
          <c:yMode val="edge"/>
          <c:x val="3.2519591445000891E-2"/>
          <c:y val="0.85838562378761163"/>
          <c:w val="0.93078040244969373"/>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legend>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FormConfiguration><![CDATA[{"formFields":[],"formDataEntries":[]}]]></TemplafyFormConfiguration>
</file>

<file path=customXml/item5.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SharedWithUsers xmlns="20393cdf-440a-4521-8f19-00ba43423d00">
      <UserInfo>
        <DisplayName/>
        <AccountId xsi:nil="true"/>
        <AccountType/>
      </UserInfo>
    </SharedWithUsers>
    <MediaLengthInSeconds xmlns="3d385984-9344-419b-a80b-49c06a2bdab8" xsi:nil="true"/>
    <_dlc_DocId xmlns="20393cdf-440a-4521-8f19-00ba43423d00">MPWT-2140667901-66156</_dlc_DocId>
    <_dlc_DocIdUrl xmlns="20393cdf-440a-4521-8f19-00ba43423d00">
      <Url>https://pcgov.sharepoint.com/sites/sceteam/_layouts/15/DocIdRedir.aspx?ID=MPWT-2140667901-66156</Url>
      <Description>MPWT-2140667901-66156</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937c1d83b665f58ca638c966779aa227">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aaf7125c7f13d437ccd9728a03513ed"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2.xml><?xml version="1.0" encoding="utf-8"?>
<ds:datastoreItem xmlns:ds="http://schemas.openxmlformats.org/officeDocument/2006/customXml" ds:itemID="{AAD4ADBF-8787-43F3-826C-17568A722EEA}">
  <ds:schemaRefs>
    <ds:schemaRef ds:uri="http://schemas.microsoft.com/sharepoint/event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AE6C94D3-1CCD-4021-9862-E2EDFB8F0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1439</TotalTime>
  <Pages>214</Pages>
  <Words>72850</Words>
  <Characters>415245</Characters>
  <Application>Microsoft Office Word</Application>
  <DocSecurity>0</DocSecurity>
  <Lines>3460</Lines>
  <Paragraphs>974</Paragraphs>
  <ScaleCrop>false</ScaleCrop>
  <HeadingPairs>
    <vt:vector size="2" baseType="variant">
      <vt:variant>
        <vt:lpstr>Title</vt:lpstr>
      </vt:variant>
      <vt:variant>
        <vt:i4>1</vt:i4>
      </vt:variant>
    </vt:vector>
  </HeadingPairs>
  <TitlesOfParts>
    <vt:vector size="1" baseType="lpstr">
      <vt:lpstr>Volume 3: Appendices - A path to universal early childhood education and care</vt:lpstr>
    </vt:vector>
  </TitlesOfParts>
  <Company>Productivity Commission</Company>
  <LinksUpToDate>false</LinksUpToDate>
  <CharactersWithSpaces>487121</CharactersWithSpaces>
  <SharedDoc>false</SharedDoc>
  <HLinks>
    <vt:vector size="12" baseType="variant">
      <vt:variant>
        <vt:i4>2555954</vt:i4>
      </vt:variant>
      <vt:variant>
        <vt:i4>462</vt:i4>
      </vt:variant>
      <vt:variant>
        <vt:i4>0</vt:i4>
      </vt:variant>
      <vt:variant>
        <vt:i4>5</vt:i4>
      </vt:variant>
      <vt:variant>
        <vt:lpwstr>https://www.pc.gov.au/inquiries/completed/childhood/submissions</vt:lpwstr>
      </vt:variant>
      <vt:variant>
        <vt:lpwstr/>
      </vt:variant>
      <vt:variant>
        <vt:i4>7798827</vt:i4>
      </vt:variant>
      <vt:variant>
        <vt:i4>0</vt:i4>
      </vt:variant>
      <vt:variant>
        <vt:i4>0</vt:i4>
      </vt:variant>
      <vt:variant>
        <vt:i4>5</vt:i4>
      </vt:variant>
      <vt:variant>
        <vt:lpwstr>https://www.pc.gov.au/childhood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3: Appendices - A path to universal early childhood education and care</dc:title>
  <dc:subject>Inquiry report</dc:subject>
  <dc:creator>Productivity Commission</dc:creator>
  <cp:keywords/>
  <dc:description/>
  <cp:lastModifiedBy>Chris Alston</cp:lastModifiedBy>
  <cp:revision>674</cp:revision>
  <cp:lastPrinted>2024-08-13T03:07:00Z</cp:lastPrinted>
  <dcterms:created xsi:type="dcterms:W3CDTF">2024-06-24T23:21:00Z</dcterms:created>
  <dcterms:modified xsi:type="dcterms:W3CDTF">2024-09-11T01:36:00Z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5395f0ad-22f8-489e-938c-89ec79239e3e</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637782392590976563</vt:lpwstr>
  </property>
  <property fmtid="{D5CDD505-2E9C-101B-9397-08002B2CF9AE}" pid="9" name="TemplafyFromBlank">
    <vt:bool>false</vt:bool>
  </property>
  <property fmtid="{D5CDD505-2E9C-101B-9397-08002B2CF9AE}" pid="10" name="ClassificationContentMarkingHeaderShapeIds">
    <vt:lpwstr>68f66ee9,6bcc0640,3ed802c9,55170404,417bab3f,5878ef1e,1e14d679,4771e700,47f74ec2,3f5e406a,62c556d2,475a68c6,7f8b1e0b</vt:lpwstr>
  </property>
  <property fmtid="{D5CDD505-2E9C-101B-9397-08002B2CF9AE}" pid="11" name="ClassificationContentMarkingHeaderFontProps">
    <vt:lpwstr>#000000,12,Calibri</vt:lpwstr>
  </property>
  <property fmtid="{D5CDD505-2E9C-101B-9397-08002B2CF9AE}" pid="12" name="ClassificationContentMarkingHeaderText">
    <vt:lpwstr> OFFICIAL</vt:lpwstr>
  </property>
  <property fmtid="{D5CDD505-2E9C-101B-9397-08002B2CF9AE}" pid="13" name="MSIP_Label_c1f2b1ce-4212-46db-a901-dd8453f57141_Enabled">
    <vt:lpwstr>true</vt:lpwstr>
  </property>
  <property fmtid="{D5CDD505-2E9C-101B-9397-08002B2CF9AE}" pid="14" name="MSIP_Label_c1f2b1ce-4212-46db-a901-dd8453f57141_SetDate">
    <vt:lpwstr>2024-06-26T03:41:50Z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518e62fe-ab39-4e14-b7b5-d005c75a50e2</vt:lpwstr>
  </property>
  <property fmtid="{D5CDD505-2E9C-101B-9397-08002B2CF9AE}" pid="19" name="MSIP_Label_c1f2b1ce-4212-46db-a901-dd8453f57141_ContentBits">
    <vt:lpwstr>0</vt:lpwstr>
  </property>
  <property fmtid="{D5CDD505-2E9C-101B-9397-08002B2CF9AE}" pid="20" name="Order">
    <vt:r8>476300</vt:r8>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y fmtid="{D5CDD505-2E9C-101B-9397-08002B2CF9AE}" pid="26" name="xd_Signature">
    <vt:bool>false</vt:bool>
  </property>
</Properties>
</file>